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9C7AE2" w:rsidRPr="009C7AE2" w14:paraId="1D18702A" w14:textId="77777777" w:rsidTr="00FA6EFD">
        <w:trPr>
          <w:trHeight w:hRule="exact" w:val="142"/>
        </w:trPr>
        <w:tc>
          <w:tcPr>
            <w:tcW w:w="709" w:type="dxa"/>
            <w:vMerge w:val="restart"/>
            <w:vAlign w:val="center"/>
          </w:tcPr>
          <w:p w14:paraId="5A146949" w14:textId="77777777" w:rsidR="009C7AE2" w:rsidRPr="009C7AE2" w:rsidRDefault="009C7AE2" w:rsidP="0004477E">
            <w:pPr>
              <w:spacing w:after="0" w:line="240" w:lineRule="auto"/>
              <w:rPr>
                <w:rFonts w:ascii="Times New Roman" w:hAnsi="Times New Roman" w:cs="Times New Roman"/>
                <w:lang w:val="en-GB"/>
              </w:rPr>
            </w:pPr>
            <w:bookmarkStart w:id="0" w:name="_Hlk184284483"/>
            <w:bookmarkStart w:id="1" w:name="_Hlk145412337"/>
            <w:bookmarkStart w:id="2" w:name="_Hlk103340665"/>
            <w:bookmarkStart w:id="3" w:name="_Hlk24804592"/>
            <w:bookmarkEnd w:id="0"/>
            <w:bookmarkEnd w:id="1"/>
            <w:bookmarkEnd w:id="2"/>
            <w:r w:rsidRPr="009C7AE2">
              <w:rPr>
                <w:rFonts w:ascii="Times New Roman" w:hAnsi="Times New Roman" w:cs="Times New Roman"/>
                <w:noProof/>
                <w:lang w:val="en-GB"/>
              </w:rPr>
              <w:drawing>
                <wp:anchor distT="0" distB="0" distL="114300" distR="114300" simplePos="0" relativeHeight="251659264" behindDoc="0" locked="0" layoutInCell="1" allowOverlap="1" wp14:anchorId="30C7AEED" wp14:editId="778E962E">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5C17EE29" w14:textId="77777777" w:rsidR="009C7AE2" w:rsidRPr="009C7AE2" w:rsidRDefault="009C7AE2" w:rsidP="0004477E">
            <w:pPr>
              <w:spacing w:after="0" w:line="240" w:lineRule="auto"/>
              <w:jc w:val="center"/>
              <w:rPr>
                <w:rFonts w:ascii="Times New Roman" w:hAnsi="Times New Roman" w:cs="Times New Roman"/>
                <w:lang w:val="en-GB"/>
              </w:rPr>
            </w:pPr>
          </w:p>
        </w:tc>
      </w:tr>
      <w:tr w:rsidR="009C7AE2" w:rsidRPr="009C7AE2" w14:paraId="409F46E7" w14:textId="77777777" w:rsidTr="00FA6EFD">
        <w:trPr>
          <w:trHeight w:hRule="exact" w:val="283"/>
        </w:trPr>
        <w:tc>
          <w:tcPr>
            <w:tcW w:w="709" w:type="dxa"/>
            <w:vMerge/>
          </w:tcPr>
          <w:p w14:paraId="4D93C9DB" w14:textId="77777777" w:rsidR="009C7AE2" w:rsidRPr="009C7AE2" w:rsidRDefault="009C7AE2" w:rsidP="0004477E">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39B3C527" w14:textId="77777777" w:rsidR="009C7AE2" w:rsidRPr="009C7AE2" w:rsidRDefault="009C7AE2" w:rsidP="0004477E">
            <w:pPr>
              <w:spacing w:after="0" w:line="240" w:lineRule="auto"/>
              <w:jc w:val="center"/>
              <w:rPr>
                <w:rFonts w:ascii="Times New Roman" w:hAnsi="Times New Roman" w:cs="Times New Roman"/>
                <w:lang w:val="en-GB"/>
              </w:rPr>
            </w:pPr>
            <w:proofErr w:type="spellStart"/>
            <w:r w:rsidRPr="009C7AE2">
              <w:rPr>
                <w:rFonts w:ascii="Times New Roman" w:hAnsi="Times New Roman" w:cs="Times New Roman"/>
                <w:b/>
                <w:sz w:val="20"/>
                <w:lang w:val="en-GB"/>
              </w:rPr>
              <w:t>Rocznik</w:t>
            </w:r>
            <w:proofErr w:type="spellEnd"/>
            <w:r w:rsidRPr="009C7AE2">
              <w:rPr>
                <w:rFonts w:ascii="Times New Roman" w:hAnsi="Times New Roman" w:cs="Times New Roman"/>
                <w:b/>
                <w:sz w:val="20"/>
                <w:lang w:val="en-GB"/>
              </w:rPr>
              <w:t xml:space="preserve"> </w:t>
            </w:r>
            <w:proofErr w:type="spellStart"/>
            <w:r w:rsidRPr="009C7AE2">
              <w:rPr>
                <w:rFonts w:ascii="Times New Roman" w:hAnsi="Times New Roman" w:cs="Times New Roman"/>
                <w:b/>
                <w:sz w:val="20"/>
                <w:lang w:val="en-GB"/>
              </w:rPr>
              <w:t>Ochrona</w:t>
            </w:r>
            <w:proofErr w:type="spellEnd"/>
            <w:r w:rsidRPr="009C7AE2">
              <w:rPr>
                <w:rFonts w:ascii="Times New Roman" w:hAnsi="Times New Roman" w:cs="Times New Roman"/>
                <w:b/>
                <w:sz w:val="20"/>
                <w:lang w:val="en-GB"/>
              </w:rPr>
              <w:t xml:space="preserve"> </w:t>
            </w:r>
            <w:proofErr w:type="spellStart"/>
            <w:r w:rsidRPr="009C7AE2">
              <w:rPr>
                <w:rFonts w:ascii="Times New Roman" w:hAnsi="Times New Roman" w:cs="Times New Roman"/>
                <w:b/>
                <w:sz w:val="20"/>
                <w:lang w:val="en-GB"/>
              </w:rPr>
              <w:t>Środowiska</w:t>
            </w:r>
            <w:proofErr w:type="spellEnd"/>
          </w:p>
        </w:tc>
      </w:tr>
      <w:tr w:rsidR="009C7AE2" w:rsidRPr="009C7AE2" w14:paraId="68240CFD" w14:textId="77777777" w:rsidTr="00FA6EFD">
        <w:trPr>
          <w:trHeight w:hRule="exact" w:val="283"/>
        </w:trPr>
        <w:tc>
          <w:tcPr>
            <w:tcW w:w="709" w:type="dxa"/>
            <w:vMerge/>
          </w:tcPr>
          <w:p w14:paraId="396FEEAD" w14:textId="77777777" w:rsidR="009C7AE2" w:rsidRPr="009C7AE2" w:rsidRDefault="009C7AE2" w:rsidP="0004477E">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162425C3" w14:textId="77777777" w:rsidR="009C7AE2" w:rsidRPr="009C7AE2" w:rsidRDefault="009C7AE2" w:rsidP="0004477E">
            <w:pPr>
              <w:spacing w:after="0" w:line="240" w:lineRule="auto"/>
              <w:rPr>
                <w:rFonts w:ascii="Times New Roman" w:hAnsi="Times New Roman" w:cs="Times New Roman"/>
                <w:kern w:val="18"/>
                <w:sz w:val="18"/>
                <w:lang w:val="en-GB"/>
              </w:rPr>
            </w:pPr>
            <w:r w:rsidRPr="009C7AE2">
              <w:rPr>
                <w:rFonts w:ascii="Times New Roman" w:hAnsi="Times New Roman" w:cs="Times New Roman"/>
                <w:kern w:val="18"/>
                <w:sz w:val="18"/>
                <w:lang w:val="en-GB"/>
              </w:rPr>
              <w:t>Volume 27</w:t>
            </w:r>
          </w:p>
        </w:tc>
        <w:tc>
          <w:tcPr>
            <w:tcW w:w="6304" w:type="dxa"/>
            <w:tcBorders>
              <w:top w:val="single" w:sz="2" w:space="0" w:color="auto"/>
              <w:bottom w:val="single" w:sz="2" w:space="0" w:color="auto"/>
            </w:tcBorders>
            <w:vAlign w:val="center"/>
          </w:tcPr>
          <w:p w14:paraId="03C96530" w14:textId="77777777" w:rsidR="009C7AE2" w:rsidRPr="009C7AE2" w:rsidRDefault="009C7AE2" w:rsidP="0004477E">
            <w:pPr>
              <w:tabs>
                <w:tab w:val="left" w:pos="3057"/>
              </w:tabs>
              <w:spacing w:after="0" w:line="240" w:lineRule="auto"/>
              <w:ind w:left="141"/>
              <w:rPr>
                <w:rFonts w:ascii="Times New Roman" w:hAnsi="Times New Roman" w:cs="Times New Roman"/>
                <w:kern w:val="18"/>
                <w:sz w:val="18"/>
                <w:lang w:val="en-GB"/>
              </w:rPr>
            </w:pPr>
            <w:r w:rsidRPr="009C7AE2">
              <w:rPr>
                <w:rFonts w:ascii="Times New Roman" w:hAnsi="Times New Roman" w:cs="Times New Roman"/>
                <w:kern w:val="18"/>
                <w:sz w:val="18"/>
                <w:lang w:val="en-GB"/>
              </w:rPr>
              <w:t>Year 2025</w:t>
            </w:r>
            <w:r w:rsidRPr="009C7AE2">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603B9084" w14:textId="03289951" w:rsidR="009C7AE2" w:rsidRPr="009C7AE2" w:rsidRDefault="009C7AE2" w:rsidP="0004477E">
            <w:pPr>
              <w:spacing w:after="0" w:line="240" w:lineRule="auto"/>
              <w:jc w:val="right"/>
              <w:rPr>
                <w:rFonts w:ascii="Times New Roman" w:hAnsi="Times New Roman" w:cs="Times New Roman"/>
                <w:sz w:val="18"/>
                <w:lang w:val="en-GB"/>
              </w:rPr>
            </w:pPr>
            <w:r w:rsidRPr="009C7AE2">
              <w:rPr>
                <w:rFonts w:ascii="Times New Roman" w:hAnsi="Times New Roman" w:cs="Times New Roman"/>
                <w:sz w:val="18"/>
                <w:lang w:val="en-GB"/>
              </w:rPr>
              <w:t xml:space="preserve">pp. </w:t>
            </w:r>
            <w:r w:rsidR="0009130A">
              <w:rPr>
                <w:rFonts w:ascii="Times New Roman" w:hAnsi="Times New Roman" w:cs="Times New Roman"/>
                <w:sz w:val="18"/>
                <w:lang w:val="en-GB"/>
              </w:rPr>
              <w:t>837</w:t>
            </w:r>
            <w:r w:rsidRPr="009C7AE2">
              <w:rPr>
                <w:rFonts w:ascii="Times New Roman" w:hAnsi="Times New Roman" w:cs="Times New Roman"/>
                <w:sz w:val="18"/>
                <w:lang w:val="en-GB"/>
              </w:rPr>
              <w:t>-</w:t>
            </w:r>
            <w:r w:rsidR="0009130A">
              <w:rPr>
                <w:rFonts w:ascii="Times New Roman" w:hAnsi="Times New Roman" w:cs="Times New Roman"/>
                <w:sz w:val="18"/>
                <w:lang w:val="en-GB"/>
              </w:rPr>
              <w:t>854</w:t>
            </w:r>
            <w:r w:rsidRPr="009C7AE2">
              <w:rPr>
                <w:rFonts w:ascii="Times New Roman" w:hAnsi="Times New Roman" w:cs="Times New Roman"/>
                <w:sz w:val="18"/>
                <w:lang w:val="en-GB"/>
              </w:rPr>
              <w:t xml:space="preserve"> </w:t>
            </w:r>
          </w:p>
        </w:tc>
      </w:tr>
      <w:tr w:rsidR="009C7AE2" w:rsidRPr="009C7AE2" w14:paraId="6F4E462B" w14:textId="77777777" w:rsidTr="00FA6EFD">
        <w:trPr>
          <w:trHeight w:hRule="exact" w:val="283"/>
        </w:trPr>
        <w:tc>
          <w:tcPr>
            <w:tcW w:w="709" w:type="dxa"/>
          </w:tcPr>
          <w:p w14:paraId="4A133B79" w14:textId="77777777" w:rsidR="009C7AE2" w:rsidRPr="009C7AE2" w:rsidRDefault="009C7AE2" w:rsidP="0004477E">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5EDD6A92" w14:textId="1338823D" w:rsidR="009C7AE2" w:rsidRPr="009C7AE2" w:rsidRDefault="009C7AE2" w:rsidP="0004477E">
            <w:pPr>
              <w:tabs>
                <w:tab w:val="right" w:pos="8928"/>
              </w:tabs>
              <w:spacing w:after="0" w:line="240" w:lineRule="auto"/>
              <w:rPr>
                <w:rFonts w:ascii="Times New Roman" w:hAnsi="Times New Roman" w:cs="Times New Roman"/>
                <w:sz w:val="18"/>
                <w:lang w:val="en-GB"/>
              </w:rPr>
            </w:pPr>
            <w:r w:rsidRPr="009C7AE2">
              <w:rPr>
                <w:rFonts w:ascii="Times New Roman" w:hAnsi="Times New Roman" w:cs="Times New Roman"/>
                <w:sz w:val="18"/>
                <w:lang w:val="en-GB"/>
              </w:rPr>
              <w:t>https://doi.org/10.54740/ros.2025.0</w:t>
            </w:r>
            <w:r w:rsidR="0009130A">
              <w:rPr>
                <w:rFonts w:ascii="Times New Roman" w:hAnsi="Times New Roman" w:cs="Times New Roman"/>
                <w:sz w:val="18"/>
                <w:lang w:val="en-GB"/>
              </w:rPr>
              <w:t>67</w:t>
            </w:r>
            <w:r w:rsidRPr="009C7AE2">
              <w:rPr>
                <w:rFonts w:ascii="Times New Roman" w:hAnsi="Times New Roman" w:cs="Times New Roman"/>
                <w:sz w:val="18"/>
                <w:lang w:val="en-GB"/>
              </w:rPr>
              <w:tab/>
              <w:t>open access</w:t>
            </w:r>
          </w:p>
        </w:tc>
      </w:tr>
      <w:tr w:rsidR="009C7AE2" w:rsidRPr="009C7AE2" w14:paraId="74B3CCE0" w14:textId="77777777" w:rsidTr="00FA6EFD">
        <w:trPr>
          <w:trHeight w:hRule="exact" w:val="283"/>
        </w:trPr>
        <w:tc>
          <w:tcPr>
            <w:tcW w:w="709" w:type="dxa"/>
          </w:tcPr>
          <w:p w14:paraId="28E6C560" w14:textId="77777777" w:rsidR="009C7AE2" w:rsidRPr="009C7AE2" w:rsidRDefault="009C7AE2" w:rsidP="0004477E">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382EC120" w14:textId="77777777" w:rsidR="009C7AE2" w:rsidRPr="009C7AE2" w:rsidRDefault="009C7AE2" w:rsidP="0004477E">
            <w:pPr>
              <w:tabs>
                <w:tab w:val="left" w:pos="3684"/>
                <w:tab w:val="right" w:pos="8928"/>
              </w:tabs>
              <w:spacing w:after="0" w:line="240" w:lineRule="auto"/>
              <w:rPr>
                <w:rFonts w:ascii="Times New Roman" w:hAnsi="Times New Roman" w:cs="Times New Roman"/>
                <w:sz w:val="18"/>
                <w:lang w:val="en-GB"/>
              </w:rPr>
            </w:pPr>
            <w:r w:rsidRPr="009C7AE2">
              <w:rPr>
                <w:rFonts w:ascii="Times New Roman" w:hAnsi="Times New Roman" w:cs="Times New Roman"/>
                <w:sz w:val="18"/>
                <w:lang w:val="en-GB"/>
              </w:rPr>
              <w:t>Received: December 2025</w:t>
            </w:r>
            <w:r w:rsidRPr="009C7AE2">
              <w:rPr>
                <w:rFonts w:ascii="Times New Roman" w:hAnsi="Times New Roman" w:cs="Times New Roman"/>
                <w:sz w:val="18"/>
                <w:lang w:val="en-GB"/>
              </w:rPr>
              <w:tab/>
              <w:t>Accepted: December 2025</w:t>
            </w:r>
            <w:r w:rsidRPr="009C7AE2">
              <w:rPr>
                <w:rFonts w:ascii="Times New Roman" w:hAnsi="Times New Roman" w:cs="Times New Roman"/>
                <w:sz w:val="18"/>
                <w:lang w:val="en-GB"/>
              </w:rPr>
              <w:tab/>
              <w:t>Published: December 2025</w:t>
            </w:r>
          </w:p>
        </w:tc>
      </w:tr>
    </w:tbl>
    <w:bookmarkEnd w:id="3"/>
    <w:p w14:paraId="65D31E29" w14:textId="3CC454A4" w:rsidR="008B3708" w:rsidRPr="00816C73" w:rsidRDefault="008B3708" w:rsidP="009C7AE2">
      <w:pPr>
        <w:pStyle w:val="Rtytu"/>
        <w:rPr>
          <w:lang w:val="en-GB"/>
        </w:rPr>
      </w:pPr>
      <w:r w:rsidRPr="00816C73">
        <w:rPr>
          <w:lang w:val="en-GB"/>
        </w:rPr>
        <w:t xml:space="preserve">Logistics </w:t>
      </w:r>
      <w:r w:rsidR="00816C73" w:rsidRPr="00816C73">
        <w:rPr>
          <w:lang w:val="en-GB"/>
        </w:rPr>
        <w:t>M</w:t>
      </w:r>
      <w:r w:rsidRPr="00816C73">
        <w:rPr>
          <w:lang w:val="en-GB"/>
        </w:rPr>
        <w:t xml:space="preserve">arket </w:t>
      </w:r>
      <w:r w:rsidR="00816C73" w:rsidRPr="00816C73">
        <w:rPr>
          <w:lang w:val="en-GB"/>
        </w:rPr>
        <w:t>S</w:t>
      </w:r>
      <w:r w:rsidRPr="00816C73">
        <w:rPr>
          <w:lang w:val="en-GB"/>
        </w:rPr>
        <w:t xml:space="preserve">takeholders in the </w:t>
      </w:r>
      <w:r w:rsidR="00816C73" w:rsidRPr="00816C73">
        <w:rPr>
          <w:lang w:val="en-GB"/>
        </w:rPr>
        <w:t>C</w:t>
      </w:r>
      <w:r w:rsidRPr="00816C73">
        <w:rPr>
          <w:lang w:val="en-GB"/>
        </w:rPr>
        <w:t xml:space="preserve">ontext of </w:t>
      </w:r>
      <w:r w:rsidR="00816C73" w:rsidRPr="00816C73">
        <w:rPr>
          <w:lang w:val="en-GB"/>
        </w:rPr>
        <w:t>S</w:t>
      </w:r>
      <w:r w:rsidRPr="00816C73">
        <w:rPr>
          <w:lang w:val="en-GB"/>
        </w:rPr>
        <w:t xml:space="preserve">ustainable </w:t>
      </w:r>
      <w:r w:rsidR="00816C73" w:rsidRPr="00816C73">
        <w:rPr>
          <w:lang w:val="en-GB"/>
        </w:rPr>
        <w:t>D</w:t>
      </w:r>
      <w:r w:rsidRPr="00816C73">
        <w:rPr>
          <w:lang w:val="en-GB"/>
        </w:rPr>
        <w:t>evelopment and ESG</w:t>
      </w:r>
    </w:p>
    <w:p w14:paraId="7D31B77F" w14:textId="5E186F0E" w:rsidR="001E1E48" w:rsidRPr="00816C73" w:rsidRDefault="00FD23EA" w:rsidP="009C7AE2">
      <w:pPr>
        <w:pStyle w:val="Rautor"/>
        <w:rPr>
          <w:lang w:val="en-GB"/>
        </w:rPr>
      </w:pPr>
      <w:r w:rsidRPr="00816C73">
        <w:rPr>
          <w:lang w:val="en-GB"/>
        </w:rPr>
        <w:t>Jakub Murawski</w:t>
      </w:r>
    </w:p>
    <w:p w14:paraId="7A8C60F9" w14:textId="5B1E3102" w:rsidR="001E1E48" w:rsidRPr="00816C73" w:rsidRDefault="001E1E48" w:rsidP="009C7AE2">
      <w:pPr>
        <w:pStyle w:val="Rafiliacja"/>
        <w:rPr>
          <w:lang w:val="en-GB"/>
        </w:rPr>
      </w:pPr>
      <w:r w:rsidRPr="00816C73">
        <w:rPr>
          <w:lang w:val="en-GB"/>
        </w:rPr>
        <w:t>Faculty of Transport, Warsaw University of Technology, Warsaw, Poland</w:t>
      </w:r>
      <w:r w:rsidR="00816C73" w:rsidRPr="00816C73">
        <w:rPr>
          <w:lang w:val="en-GB"/>
        </w:rPr>
        <w:t xml:space="preserve"> </w:t>
      </w:r>
      <w:r w:rsidR="00517535">
        <w:rPr>
          <w:lang w:val="en-GB"/>
        </w:rPr>
        <w:br/>
      </w:r>
      <w:r w:rsidRPr="00816C73">
        <w:rPr>
          <w:lang w:val="en-GB"/>
        </w:rPr>
        <w:t>https://orcid.org/0000-0003-2902-3882</w:t>
      </w:r>
    </w:p>
    <w:p w14:paraId="76712917" w14:textId="1E63F378" w:rsidR="001E1E48" w:rsidRPr="00816C73" w:rsidRDefault="001E1E48" w:rsidP="009C7AE2">
      <w:pPr>
        <w:pStyle w:val="Rauco"/>
      </w:pPr>
      <w:r w:rsidRPr="00816C73">
        <w:t>corresponding author</w:t>
      </w:r>
      <w:r w:rsidR="004919C5">
        <w:t>'</w:t>
      </w:r>
      <w:r w:rsidRPr="00816C73">
        <w:t xml:space="preserve">s e-mail: </w:t>
      </w:r>
      <w:r w:rsidR="008B3708" w:rsidRPr="00816C73">
        <w:t>jakub.murawski</w:t>
      </w:r>
      <w:r w:rsidRPr="00816C73">
        <w:t>@pw.edu.pl</w:t>
      </w:r>
    </w:p>
    <w:p w14:paraId="6E424247" w14:textId="7F62784E" w:rsidR="001E1E48" w:rsidRPr="00816C73" w:rsidRDefault="001E1E48" w:rsidP="009C7AE2">
      <w:pPr>
        <w:pStyle w:val="Rab1"/>
      </w:pPr>
      <w:r w:rsidRPr="00816C73">
        <w:rPr>
          <w:b/>
        </w:rPr>
        <w:t>Abstract:</w:t>
      </w:r>
      <w:r w:rsidRPr="00816C73">
        <w:t xml:space="preserve"> </w:t>
      </w:r>
      <w:r w:rsidR="008B3708" w:rsidRPr="00816C73">
        <w:t xml:space="preserve">In recent years, ESG (Environmental, Social, Governance) criteria have gained significant importance in assessing the activities of entities operating in the logistics market. Dynamic regulatory changes, increasing stakeholder pressure, and the need to reduce negative environmental and social impacts have made ESG issues an integral element of logistics system management. </w:t>
      </w:r>
      <w:r w:rsidR="00CC063A" w:rsidRPr="00816C73">
        <w:t>This paper aims</w:t>
      </w:r>
      <w:r w:rsidR="008B3708" w:rsidRPr="00816C73">
        <w:t xml:space="preserve"> to identify and analyse key stakeholder groups in the logistics market and to determine their expectations across the environmental, social, and governance dimensions. The study proposes an original stakeholder classification that encompasses </w:t>
      </w:r>
      <w:r w:rsidR="004919C5">
        <w:t>actors involved in the value chain and market, as well as institutional</w:t>
      </w:r>
      <w:r w:rsidR="008B3708" w:rsidRPr="00816C73">
        <w:t xml:space="preserve"> and societal stakeholders. The analysis </w:t>
      </w:r>
      <w:r w:rsidR="00CC063A" w:rsidRPr="00816C73">
        <w:t>reveals a diversified yet partially overlapping structure of stakeholder expectations across individual ESG dimensions, with corporate governance playing a crucial role as an integrating area that links</w:t>
      </w:r>
      <w:r w:rsidR="008B3708" w:rsidRPr="00816C73">
        <w:t xml:space="preserve"> environmental and social activities. The results may provide a basis for further empirical research and support logistics companies in </w:t>
      </w:r>
      <w:r w:rsidR="00D149B8" w:rsidRPr="00816C73">
        <w:t>designing and implementing</w:t>
      </w:r>
      <w:r w:rsidR="008B3708" w:rsidRPr="00816C73">
        <w:t xml:space="preserve"> sustainable development strategies.</w:t>
      </w:r>
    </w:p>
    <w:p w14:paraId="5E3899DD" w14:textId="68278D9D" w:rsidR="00A022A4" w:rsidRPr="00816C73" w:rsidRDefault="001E1E48" w:rsidP="009C7AE2">
      <w:pPr>
        <w:pStyle w:val="Rab2"/>
      </w:pPr>
      <w:r w:rsidRPr="00816C73">
        <w:rPr>
          <w:b/>
          <w:bCs/>
        </w:rPr>
        <w:t>Keywords:</w:t>
      </w:r>
      <w:r w:rsidRPr="00816C73">
        <w:t xml:space="preserve"> </w:t>
      </w:r>
      <w:r w:rsidR="008B3708" w:rsidRPr="00816C73">
        <w:t>sustainable development, ESG, logistics market, stakeholder analysis, environmental impacts</w:t>
      </w:r>
    </w:p>
    <w:p w14:paraId="76361BD3" w14:textId="0CCB3179" w:rsidR="00D80C14" w:rsidRPr="00816C73" w:rsidRDefault="00241F09" w:rsidP="009C7AE2">
      <w:pPr>
        <w:pStyle w:val="Rn1"/>
        <w:rPr>
          <w:lang w:val="en-GB"/>
        </w:rPr>
      </w:pPr>
      <w:r w:rsidRPr="00816C73">
        <w:rPr>
          <w:lang w:val="en-GB"/>
        </w:rPr>
        <w:t xml:space="preserve">1. </w:t>
      </w:r>
      <w:r w:rsidR="004A6657" w:rsidRPr="00816C73">
        <w:rPr>
          <w:lang w:val="en-GB"/>
        </w:rPr>
        <w:t>Introduction</w:t>
      </w:r>
    </w:p>
    <w:p w14:paraId="3BE15CDD" w14:textId="78A7D328" w:rsidR="00332BB9" w:rsidRPr="00816C73" w:rsidRDefault="00332BB9"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 xml:space="preserve">Contemporary logistics systems operate in a </w:t>
      </w:r>
      <w:r w:rsidR="00D149B8" w:rsidRPr="00816C73">
        <w:rPr>
          <w:rFonts w:ascii="Times New Roman" w:eastAsia="Times New Roman" w:hAnsi="Times New Roman" w:cs="Times New Roman"/>
          <w:kern w:val="0"/>
          <w:lang w:val="en-GB" w:eastAsia="pl-PL" w:bidi="pl-PL"/>
          <w14:ligatures w14:val="none"/>
        </w:rPr>
        <w:t>dynamic</w:t>
      </w:r>
      <w:r w:rsidR="004919C5">
        <w:rPr>
          <w:rFonts w:ascii="Times New Roman" w:eastAsia="Times New Roman" w:hAnsi="Times New Roman" w:cs="Times New Roman"/>
          <w:kern w:val="0"/>
          <w:lang w:val="en-GB" w:eastAsia="pl-PL" w:bidi="pl-PL"/>
          <w14:ligatures w14:val="none"/>
        </w:rPr>
        <w:t>, constantly changing environment, subject</w:t>
      </w:r>
      <w:r w:rsidRPr="00816C73">
        <w:rPr>
          <w:rFonts w:ascii="Times New Roman" w:eastAsia="Times New Roman" w:hAnsi="Times New Roman" w:cs="Times New Roman"/>
          <w:kern w:val="0"/>
          <w:lang w:val="en-GB" w:eastAsia="pl-PL" w:bidi="pl-PL"/>
          <w14:ligatures w14:val="none"/>
        </w:rPr>
        <w:t xml:space="preserve"> to numerous pressures. One of the most significant challenges arises from geopolitical factors. Political instability, armed conflicts, and tensions in various regions of the world increase the risk of disruptions to global supply chains. A high level of globalization means that companies </w:t>
      </w:r>
      <w:r w:rsidR="00D149B8" w:rsidRPr="00816C73">
        <w:rPr>
          <w:rFonts w:ascii="Times New Roman" w:eastAsia="Times New Roman" w:hAnsi="Times New Roman" w:cs="Times New Roman"/>
          <w:kern w:val="0"/>
          <w:lang w:val="en-GB" w:eastAsia="pl-PL" w:bidi="pl-PL"/>
          <w14:ligatures w14:val="none"/>
        </w:rPr>
        <w:t>primarily</w:t>
      </w:r>
      <w:r w:rsidRPr="00816C73">
        <w:rPr>
          <w:rFonts w:ascii="Times New Roman" w:eastAsia="Times New Roman" w:hAnsi="Times New Roman" w:cs="Times New Roman"/>
          <w:kern w:val="0"/>
          <w:lang w:val="en-GB" w:eastAsia="pl-PL" w:bidi="pl-PL"/>
          <w14:ligatures w14:val="none"/>
        </w:rPr>
        <w:t xml:space="preserve"> base their operations on semi-finished products and components manufactured in distant locations. Consequently, even local geopolitical disturbances may trigger effects felt several thousand kilometres away </w:t>
      </w:r>
      <w:r w:rsidR="00CC4CB9" w:rsidRPr="00816C73">
        <w:rPr>
          <w:rFonts w:ascii="Times New Roman" w:eastAsia="Times New Roman" w:hAnsi="Times New Roman" w:cs="Times New Roman"/>
          <w:kern w:val="0"/>
          <w:lang w:val="en-GB" w:eastAsia="pl-PL" w:bidi="pl-PL"/>
          <w14:ligatures w14:val="none"/>
        </w:rPr>
        <w:t>(</w:t>
      </w:r>
      <w:proofErr w:type="spellStart"/>
      <w:r w:rsidR="00AD53CA" w:rsidRPr="00816C73">
        <w:rPr>
          <w:rFonts w:ascii="Times New Roman" w:eastAsia="Times New Roman" w:hAnsi="Times New Roman" w:cs="Times New Roman"/>
          <w:kern w:val="0"/>
          <w:lang w:val="en-GB" w:eastAsia="pl-PL" w:bidi="pl-PL"/>
          <w14:ligatures w14:val="none"/>
        </w:rPr>
        <w:t>Dolgui</w:t>
      </w:r>
      <w:proofErr w:type="spellEnd"/>
      <w:r w:rsidR="00AD53CA" w:rsidRPr="00816C73">
        <w:rPr>
          <w:rFonts w:ascii="Times New Roman" w:eastAsia="Times New Roman" w:hAnsi="Times New Roman" w:cs="Times New Roman"/>
          <w:kern w:val="0"/>
          <w:lang w:val="en-GB" w:eastAsia="pl-PL" w:bidi="pl-PL"/>
          <w14:ligatures w14:val="none"/>
        </w:rPr>
        <w:t xml:space="preserve"> &amp; Ivanov 2021)</w:t>
      </w:r>
      <w:r w:rsidRPr="00816C73">
        <w:rPr>
          <w:rFonts w:ascii="Times New Roman" w:eastAsia="Times New Roman" w:hAnsi="Times New Roman" w:cs="Times New Roman"/>
          <w:kern w:val="0"/>
          <w:lang w:val="en-GB" w:eastAsia="pl-PL" w:bidi="pl-PL"/>
          <w14:ligatures w14:val="none"/>
        </w:rPr>
        <w:t>.</w:t>
      </w:r>
    </w:p>
    <w:p w14:paraId="7C84A8F9" w14:textId="0649C43B" w:rsidR="009B7037" w:rsidRPr="00816C73" w:rsidRDefault="0074071B"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 xml:space="preserve">In this context, the ability to develop resilient supply chains becomes particularly important. Such supply chains are defined by their capacity to anticipate potential disruptions, absorb their impacts, and swiftly restore operational performance. Resilience is achieved, inter alia, through the diversification of supply sources, enhanced operational flexibility, the capability to rapidly reconfigure cargo flows, and the timely implementation of pre-established contingency plans. </w:t>
      </w:r>
      <w:r w:rsidRPr="00870008">
        <w:rPr>
          <w:rFonts w:ascii="Times New Roman" w:eastAsia="Times New Roman" w:hAnsi="Times New Roman" w:cs="Times New Roman"/>
          <w:spacing w:val="-2"/>
          <w:kern w:val="0"/>
          <w:lang w:val="en-GB" w:eastAsia="pl-PL" w:bidi="pl-PL"/>
          <w14:ligatures w14:val="none"/>
        </w:rPr>
        <w:t>Collectively, these measures help mitigate the effects of unpredictable events and ensure business continuity</w:t>
      </w:r>
      <w:r w:rsidR="005E05C9" w:rsidRPr="00870008">
        <w:rPr>
          <w:rFonts w:ascii="Times New Roman" w:eastAsia="Times New Roman" w:hAnsi="Times New Roman" w:cs="Times New Roman"/>
          <w:spacing w:val="-2"/>
          <w:kern w:val="0"/>
          <w:lang w:val="en-GB" w:eastAsia="pl-PL" w:bidi="pl-PL"/>
          <w14:ligatures w14:val="none"/>
        </w:rPr>
        <w:t xml:space="preserve"> (</w:t>
      </w:r>
      <w:proofErr w:type="spellStart"/>
      <w:r w:rsidR="003F6A4D" w:rsidRPr="00870008">
        <w:rPr>
          <w:rFonts w:ascii="Times New Roman" w:eastAsia="Times New Roman" w:hAnsi="Times New Roman" w:cs="Times New Roman"/>
          <w:spacing w:val="-2"/>
          <w:kern w:val="0"/>
          <w:lang w:val="en-GB" w:eastAsia="pl-PL" w:bidi="pl-PL"/>
          <w14:ligatures w14:val="none"/>
        </w:rPr>
        <w:t>Ponomarov</w:t>
      </w:r>
      <w:proofErr w:type="spellEnd"/>
      <w:r w:rsidR="00E351E1" w:rsidRPr="00870008">
        <w:rPr>
          <w:rFonts w:ascii="Times New Roman" w:eastAsia="Times New Roman" w:hAnsi="Times New Roman" w:cs="Times New Roman"/>
          <w:spacing w:val="-2"/>
          <w:kern w:val="0"/>
          <w:lang w:val="en-GB" w:eastAsia="pl-PL" w:bidi="pl-PL"/>
          <w14:ligatures w14:val="none"/>
        </w:rPr>
        <w:t xml:space="preserve"> &amp; Holcomb</w:t>
      </w:r>
      <w:r w:rsidR="003F6A4D" w:rsidRPr="00870008">
        <w:rPr>
          <w:rFonts w:ascii="Times New Roman" w:eastAsia="Times New Roman" w:hAnsi="Times New Roman" w:cs="Times New Roman"/>
          <w:spacing w:val="-2"/>
          <w:kern w:val="0"/>
          <w:lang w:val="en-GB" w:eastAsia="pl-PL" w:bidi="pl-PL"/>
          <w14:ligatures w14:val="none"/>
        </w:rPr>
        <w:t xml:space="preserve"> 2009</w:t>
      </w:r>
      <w:r w:rsidR="00870008" w:rsidRPr="00870008">
        <w:rPr>
          <w:rFonts w:ascii="Times New Roman" w:eastAsia="Times New Roman" w:hAnsi="Times New Roman" w:cs="Times New Roman"/>
          <w:spacing w:val="-2"/>
          <w:kern w:val="0"/>
          <w:lang w:val="en-GB" w:eastAsia="pl-PL" w:bidi="pl-PL"/>
          <w14:ligatures w14:val="none"/>
        </w:rPr>
        <w:t>,</w:t>
      </w:r>
      <w:r w:rsidR="00E351E1" w:rsidRPr="00870008">
        <w:rPr>
          <w:rFonts w:ascii="Times New Roman" w:eastAsia="Times New Roman" w:hAnsi="Times New Roman" w:cs="Times New Roman"/>
          <w:spacing w:val="-2"/>
          <w:kern w:val="0"/>
          <w:lang w:val="en-GB" w:eastAsia="pl-PL" w:bidi="pl-PL"/>
          <w14:ligatures w14:val="none"/>
        </w:rPr>
        <w:t xml:space="preserve"> </w:t>
      </w:r>
      <w:proofErr w:type="spellStart"/>
      <w:r w:rsidR="00E351E1" w:rsidRPr="00870008">
        <w:rPr>
          <w:rFonts w:ascii="Times New Roman" w:eastAsia="Times New Roman" w:hAnsi="Times New Roman" w:cs="Times New Roman"/>
          <w:spacing w:val="-2"/>
          <w:kern w:val="0"/>
          <w:lang w:val="en-GB" w:eastAsia="pl-PL" w:bidi="pl-PL"/>
          <w14:ligatures w14:val="none"/>
        </w:rPr>
        <w:t>Tukamuhabwa</w:t>
      </w:r>
      <w:proofErr w:type="spellEnd"/>
      <w:r w:rsidR="00E351E1" w:rsidRPr="00870008">
        <w:rPr>
          <w:rFonts w:ascii="Times New Roman" w:eastAsia="Times New Roman" w:hAnsi="Times New Roman" w:cs="Times New Roman"/>
          <w:spacing w:val="-2"/>
          <w:kern w:val="0"/>
          <w:lang w:val="en-GB" w:eastAsia="pl-PL" w:bidi="pl-PL"/>
          <w14:ligatures w14:val="none"/>
        </w:rPr>
        <w:t xml:space="preserve"> </w:t>
      </w:r>
      <w:r w:rsidR="005E05C9" w:rsidRPr="00870008">
        <w:rPr>
          <w:rFonts w:ascii="Times New Roman" w:eastAsia="Times New Roman" w:hAnsi="Times New Roman" w:cs="Times New Roman"/>
          <w:spacing w:val="-2"/>
          <w:kern w:val="0"/>
          <w:lang w:val="en-GB" w:eastAsia="pl-PL" w:bidi="pl-PL"/>
          <w14:ligatures w14:val="none"/>
        </w:rPr>
        <w:t>et al. 2015</w:t>
      </w:r>
      <w:r w:rsidR="00870008" w:rsidRPr="00870008">
        <w:rPr>
          <w:rFonts w:ascii="Times New Roman" w:eastAsia="Times New Roman" w:hAnsi="Times New Roman" w:cs="Times New Roman"/>
          <w:spacing w:val="-2"/>
          <w:kern w:val="0"/>
          <w:lang w:val="en-GB" w:eastAsia="pl-PL" w:bidi="pl-PL"/>
          <w14:ligatures w14:val="none"/>
        </w:rPr>
        <w:t>,</w:t>
      </w:r>
      <w:r w:rsidR="005E05C9" w:rsidRPr="00870008">
        <w:rPr>
          <w:rFonts w:ascii="Times New Roman" w:eastAsia="Times New Roman" w:hAnsi="Times New Roman" w:cs="Times New Roman"/>
          <w:spacing w:val="-2"/>
          <w:kern w:val="0"/>
          <w:lang w:val="en-GB" w:eastAsia="pl-PL" w:bidi="pl-PL"/>
          <w14:ligatures w14:val="none"/>
        </w:rPr>
        <w:t xml:space="preserve"> </w:t>
      </w:r>
      <w:r w:rsidR="00557C45" w:rsidRPr="00870008">
        <w:rPr>
          <w:rFonts w:ascii="Times New Roman" w:eastAsia="Times New Roman" w:hAnsi="Times New Roman" w:cs="Times New Roman"/>
          <w:spacing w:val="-2"/>
          <w:kern w:val="0"/>
          <w:lang w:val="en-GB" w:eastAsia="pl-PL" w:bidi="pl-PL"/>
          <w14:ligatures w14:val="none"/>
        </w:rPr>
        <w:t xml:space="preserve">Ma </w:t>
      </w:r>
      <w:r w:rsidR="005E05C9" w:rsidRPr="00870008">
        <w:rPr>
          <w:rFonts w:ascii="Times New Roman" w:eastAsia="Times New Roman" w:hAnsi="Times New Roman" w:cs="Times New Roman"/>
          <w:spacing w:val="-2"/>
          <w:kern w:val="0"/>
          <w:lang w:val="en-GB" w:eastAsia="pl-PL" w:bidi="pl-PL"/>
          <w14:ligatures w14:val="none"/>
        </w:rPr>
        <w:t xml:space="preserve">et al. </w:t>
      </w:r>
      <w:r w:rsidR="00557C45" w:rsidRPr="00870008">
        <w:rPr>
          <w:rFonts w:ascii="Times New Roman" w:eastAsia="Times New Roman" w:hAnsi="Times New Roman" w:cs="Times New Roman"/>
          <w:spacing w:val="-2"/>
          <w:kern w:val="0"/>
          <w:lang w:val="en-GB" w:eastAsia="pl-PL" w:bidi="pl-PL"/>
          <w14:ligatures w14:val="none"/>
        </w:rPr>
        <w:t>2025</w:t>
      </w:r>
      <w:r w:rsidR="005E05C9" w:rsidRPr="00870008">
        <w:rPr>
          <w:rFonts w:ascii="Times New Roman" w:eastAsia="Times New Roman" w:hAnsi="Times New Roman" w:cs="Times New Roman"/>
          <w:spacing w:val="-2"/>
          <w:kern w:val="0"/>
          <w:lang w:val="en-GB" w:eastAsia="pl-PL" w:bidi="pl-PL"/>
          <w14:ligatures w14:val="none"/>
        </w:rPr>
        <w:t>)</w:t>
      </w:r>
      <w:r w:rsidR="003F6A4D" w:rsidRPr="00870008">
        <w:rPr>
          <w:rFonts w:ascii="Times New Roman" w:eastAsia="Times New Roman" w:hAnsi="Times New Roman" w:cs="Times New Roman"/>
          <w:spacing w:val="-2"/>
          <w:kern w:val="0"/>
          <w:lang w:val="en-GB" w:eastAsia="pl-PL" w:bidi="pl-PL"/>
          <w14:ligatures w14:val="none"/>
        </w:rPr>
        <w:t>.</w:t>
      </w:r>
    </w:p>
    <w:p w14:paraId="025487F0" w14:textId="3779FAE8" w:rsidR="009B7037" w:rsidRPr="00816C73" w:rsidRDefault="00221F4F"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 xml:space="preserve">Another major challenge arises from the increasing expectations of customers, both individual and business. These expectations go beyond price considerations and primarily relate to service quality attributes, including high delivery reliability, punctuality, and operational flexibility. In a highly competitive market environment, logistics operators are therefore required to continuously optimise their processes, improve service quality, and </w:t>
      </w:r>
      <w:r w:rsidRPr="00870008">
        <w:rPr>
          <w:rFonts w:ascii="Times New Roman" w:eastAsia="Times New Roman" w:hAnsi="Times New Roman" w:cs="Times New Roman"/>
          <w:spacing w:val="-2"/>
          <w:kern w:val="0"/>
          <w:lang w:val="en-GB" w:eastAsia="pl-PL" w:bidi="pl-PL"/>
          <w14:ligatures w14:val="none"/>
        </w:rPr>
        <w:t>systematically monitor competitors</w:t>
      </w:r>
      <w:r w:rsidR="004919C5" w:rsidRPr="00870008">
        <w:rPr>
          <w:rFonts w:ascii="Times New Roman" w:eastAsia="Times New Roman" w:hAnsi="Times New Roman" w:cs="Times New Roman"/>
          <w:spacing w:val="-2"/>
          <w:kern w:val="0"/>
          <w:lang w:val="en-GB" w:eastAsia="pl-PL" w:bidi="pl-PL"/>
          <w14:ligatures w14:val="none"/>
        </w:rPr>
        <w:t>'</w:t>
      </w:r>
      <w:r w:rsidRPr="00870008">
        <w:rPr>
          <w:rFonts w:ascii="Times New Roman" w:eastAsia="Times New Roman" w:hAnsi="Times New Roman" w:cs="Times New Roman"/>
          <w:spacing w:val="-2"/>
          <w:kern w:val="0"/>
          <w:lang w:val="en-GB" w:eastAsia="pl-PL" w:bidi="pl-PL"/>
          <w14:ligatures w14:val="none"/>
        </w:rPr>
        <w:t xml:space="preserve"> activities to retain existing customers and attract new ones</w:t>
      </w:r>
      <w:r w:rsidR="001E5A0D" w:rsidRPr="00870008">
        <w:rPr>
          <w:rFonts w:ascii="Times New Roman" w:eastAsia="Times New Roman" w:hAnsi="Times New Roman" w:cs="Times New Roman"/>
          <w:spacing w:val="-2"/>
          <w:kern w:val="0"/>
          <w:lang w:val="en-GB" w:eastAsia="pl-PL" w:bidi="pl-PL"/>
          <w14:ligatures w14:val="none"/>
        </w:rPr>
        <w:t xml:space="preserve"> (Stank et al. 2015</w:t>
      </w:r>
      <w:r w:rsidR="00870008" w:rsidRPr="00870008">
        <w:rPr>
          <w:rFonts w:ascii="Times New Roman" w:eastAsia="Times New Roman" w:hAnsi="Times New Roman" w:cs="Times New Roman"/>
          <w:spacing w:val="-2"/>
          <w:kern w:val="0"/>
          <w:lang w:val="en-GB" w:eastAsia="pl-PL" w:bidi="pl-PL"/>
          <w14:ligatures w14:val="none"/>
        </w:rPr>
        <w:t>,</w:t>
      </w:r>
      <w:r w:rsidR="001E5A0D" w:rsidRPr="00870008">
        <w:rPr>
          <w:rFonts w:ascii="Times New Roman" w:eastAsia="Times New Roman" w:hAnsi="Times New Roman" w:cs="Times New Roman"/>
          <w:spacing w:val="-2"/>
          <w:kern w:val="0"/>
          <w:lang w:val="en-GB" w:eastAsia="pl-PL" w:bidi="pl-PL"/>
          <w14:ligatures w14:val="none"/>
        </w:rPr>
        <w:t xml:space="preserve"> </w:t>
      </w:r>
      <w:proofErr w:type="spellStart"/>
      <w:r w:rsidR="00977C5A" w:rsidRPr="00870008">
        <w:rPr>
          <w:rFonts w:ascii="Times New Roman" w:eastAsia="Times New Roman" w:hAnsi="Times New Roman" w:cs="Times New Roman"/>
          <w:spacing w:val="-2"/>
          <w:kern w:val="0"/>
          <w:lang w:val="en-GB" w:eastAsia="pl-PL" w:bidi="pl-PL"/>
          <w14:ligatures w14:val="none"/>
        </w:rPr>
        <w:t>Vakulenko</w:t>
      </w:r>
      <w:proofErr w:type="spellEnd"/>
      <w:r w:rsidR="00977C5A" w:rsidRPr="00870008">
        <w:rPr>
          <w:rFonts w:ascii="Times New Roman" w:eastAsia="Times New Roman" w:hAnsi="Times New Roman" w:cs="Times New Roman"/>
          <w:spacing w:val="-2"/>
          <w:kern w:val="0"/>
          <w:lang w:val="en-GB" w:eastAsia="pl-PL" w:bidi="pl-PL"/>
          <w14:ligatures w14:val="none"/>
        </w:rPr>
        <w:t xml:space="preserve"> </w:t>
      </w:r>
      <w:r w:rsidR="001E5A0D" w:rsidRPr="00870008">
        <w:rPr>
          <w:rFonts w:ascii="Times New Roman" w:eastAsia="Times New Roman" w:hAnsi="Times New Roman" w:cs="Times New Roman"/>
          <w:spacing w:val="-2"/>
          <w:kern w:val="0"/>
          <w:lang w:val="en-GB" w:eastAsia="pl-PL" w:bidi="pl-PL"/>
          <w14:ligatures w14:val="none"/>
        </w:rPr>
        <w:t xml:space="preserve">et al. </w:t>
      </w:r>
      <w:r w:rsidR="00977C5A" w:rsidRPr="00870008">
        <w:rPr>
          <w:rFonts w:ascii="Times New Roman" w:eastAsia="Times New Roman" w:hAnsi="Times New Roman" w:cs="Times New Roman"/>
          <w:spacing w:val="-2"/>
          <w:kern w:val="0"/>
          <w:lang w:val="en-GB" w:eastAsia="pl-PL" w:bidi="pl-PL"/>
          <w14:ligatures w14:val="none"/>
        </w:rPr>
        <w:t>2019</w:t>
      </w:r>
      <w:r w:rsidR="001E5A0D" w:rsidRPr="00870008">
        <w:rPr>
          <w:rFonts w:ascii="Times New Roman" w:eastAsia="Times New Roman" w:hAnsi="Times New Roman" w:cs="Times New Roman"/>
          <w:spacing w:val="-2"/>
          <w:kern w:val="0"/>
          <w:lang w:val="en-GB" w:eastAsia="pl-PL" w:bidi="pl-PL"/>
          <w14:ligatures w14:val="none"/>
        </w:rPr>
        <w:t>)</w:t>
      </w:r>
      <w:r w:rsidR="009B7037" w:rsidRPr="00870008">
        <w:rPr>
          <w:rFonts w:ascii="Times New Roman" w:eastAsia="Times New Roman" w:hAnsi="Times New Roman" w:cs="Times New Roman"/>
          <w:spacing w:val="-2"/>
          <w:kern w:val="0"/>
          <w:lang w:val="en-GB" w:eastAsia="pl-PL" w:bidi="pl-PL"/>
          <w14:ligatures w14:val="none"/>
        </w:rPr>
        <w:t>.</w:t>
      </w:r>
    </w:p>
    <w:p w14:paraId="0E9791D7" w14:textId="22DBEEC0" w:rsidR="008D12C2" w:rsidRPr="00816C73" w:rsidRDefault="008D12C2"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Social issues are also gaining increasing importance in the functioning of logistics systems. Companies operate within local communities that expect responsible and transparent conduct. Building relationships with local communities, minimising nuisances associated with logistics activities, and engaging in social initiatives are no longer merely image-building efforts but have become prerequisites for social acceptance of logistics operations</w:t>
      </w:r>
      <w:r w:rsidR="00A9020E" w:rsidRPr="00816C73">
        <w:rPr>
          <w:rFonts w:ascii="Times New Roman" w:eastAsia="Times New Roman" w:hAnsi="Times New Roman" w:cs="Times New Roman"/>
          <w:kern w:val="0"/>
          <w:lang w:val="en-GB" w:eastAsia="pl-PL" w:bidi="pl-PL"/>
          <w14:ligatures w14:val="none"/>
        </w:rPr>
        <w:t xml:space="preserve"> (</w:t>
      </w:r>
      <w:r w:rsidRPr="00816C73">
        <w:rPr>
          <w:rFonts w:ascii="Times New Roman" w:eastAsia="Times New Roman" w:hAnsi="Times New Roman" w:cs="Times New Roman"/>
          <w:kern w:val="0"/>
          <w:lang w:val="en-GB" w:eastAsia="pl-PL" w:bidi="pl-PL"/>
          <w14:ligatures w14:val="none"/>
        </w:rPr>
        <w:t>Seuring</w:t>
      </w:r>
      <w:r w:rsidR="00A9020E" w:rsidRPr="00816C73">
        <w:rPr>
          <w:rFonts w:ascii="Times New Roman" w:eastAsia="Times New Roman" w:hAnsi="Times New Roman" w:cs="Times New Roman"/>
          <w:kern w:val="0"/>
          <w:lang w:val="en-GB" w:eastAsia="pl-PL" w:bidi="pl-PL"/>
          <w14:ligatures w14:val="none"/>
        </w:rPr>
        <w:t xml:space="preserve"> &amp; Müller</w:t>
      </w:r>
      <w:r w:rsidRPr="00816C73">
        <w:rPr>
          <w:rFonts w:ascii="Times New Roman" w:eastAsia="Times New Roman" w:hAnsi="Times New Roman" w:cs="Times New Roman"/>
          <w:kern w:val="0"/>
          <w:lang w:val="en-GB" w:eastAsia="pl-PL" w:bidi="pl-PL"/>
          <w14:ligatures w14:val="none"/>
        </w:rPr>
        <w:t xml:space="preserve"> 2008</w:t>
      </w:r>
      <w:r w:rsidR="00870008">
        <w:rPr>
          <w:rFonts w:ascii="Times New Roman" w:eastAsia="Times New Roman" w:hAnsi="Times New Roman" w:cs="Times New Roman"/>
          <w:kern w:val="0"/>
          <w:lang w:val="en-GB" w:eastAsia="pl-PL" w:bidi="pl-PL"/>
          <w14:ligatures w14:val="none"/>
        </w:rPr>
        <w:t>,</w:t>
      </w:r>
      <w:r w:rsidRPr="00816C73">
        <w:rPr>
          <w:rFonts w:ascii="Times New Roman" w:eastAsia="Times New Roman" w:hAnsi="Times New Roman" w:cs="Times New Roman"/>
          <w:kern w:val="0"/>
          <w:lang w:val="en-GB" w:eastAsia="pl-PL" w:bidi="pl-PL"/>
          <w14:ligatures w14:val="none"/>
        </w:rPr>
        <w:t xml:space="preserve"> Busse</w:t>
      </w:r>
      <w:r w:rsidR="00093871" w:rsidRPr="00816C73">
        <w:rPr>
          <w:rFonts w:ascii="Times New Roman" w:eastAsia="Times New Roman" w:hAnsi="Times New Roman" w:cs="Times New Roman"/>
          <w:kern w:val="0"/>
          <w:lang w:val="en-GB" w:eastAsia="pl-PL" w:bidi="pl-PL"/>
          <w14:ligatures w14:val="none"/>
        </w:rPr>
        <w:t xml:space="preserve"> et al.</w:t>
      </w:r>
      <w:r w:rsidRPr="00816C73">
        <w:rPr>
          <w:rFonts w:ascii="Times New Roman" w:eastAsia="Times New Roman" w:hAnsi="Times New Roman" w:cs="Times New Roman"/>
          <w:kern w:val="0"/>
          <w:lang w:val="en-GB" w:eastAsia="pl-PL" w:bidi="pl-PL"/>
          <w14:ligatures w14:val="none"/>
        </w:rPr>
        <w:t xml:space="preserve"> 2016b</w:t>
      </w:r>
      <w:r w:rsidR="00093871" w:rsidRPr="00816C73">
        <w:rPr>
          <w:rFonts w:ascii="Times New Roman" w:eastAsia="Times New Roman" w:hAnsi="Times New Roman" w:cs="Times New Roman"/>
          <w:kern w:val="0"/>
          <w:lang w:val="en-GB" w:eastAsia="pl-PL" w:bidi="pl-PL"/>
          <w14:ligatures w14:val="none"/>
        </w:rPr>
        <w:t>)</w:t>
      </w:r>
      <w:r w:rsidRPr="00816C73">
        <w:rPr>
          <w:rFonts w:ascii="Times New Roman" w:eastAsia="Times New Roman" w:hAnsi="Times New Roman" w:cs="Times New Roman"/>
          <w:kern w:val="0"/>
          <w:lang w:val="en-GB" w:eastAsia="pl-PL" w:bidi="pl-PL"/>
          <w14:ligatures w14:val="none"/>
        </w:rPr>
        <w:t>.</w:t>
      </w:r>
    </w:p>
    <w:p w14:paraId="5F1551C8" w14:textId="6F51CB5B" w:rsidR="009B7037" w:rsidRPr="00816C73" w:rsidRDefault="008D12C2"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 xml:space="preserve">Environmental issues constitute another critical challenge. Market participants in the logistics sector are expected to act in accordance with the principles of sustainable development by reducing emissions, lowering energy consumption, deploying low- and zero-emission vehicles, and increasing the use of renewable energy sources. These requirements stem </w:t>
      </w:r>
      <w:r w:rsidR="008741F7" w:rsidRPr="00816C73">
        <w:rPr>
          <w:rFonts w:ascii="Times New Roman" w:eastAsia="Times New Roman" w:hAnsi="Times New Roman" w:cs="Times New Roman"/>
          <w:kern w:val="0"/>
          <w:lang w:val="en-GB" w:eastAsia="pl-PL" w:bidi="pl-PL"/>
          <w14:ligatures w14:val="none"/>
        </w:rPr>
        <w:t xml:space="preserve">from both social pressure and </w:t>
      </w:r>
      <w:r w:rsidRPr="00816C73">
        <w:rPr>
          <w:rFonts w:ascii="Times New Roman" w:eastAsia="Times New Roman" w:hAnsi="Times New Roman" w:cs="Times New Roman"/>
          <w:kern w:val="0"/>
          <w:lang w:val="en-GB" w:eastAsia="pl-PL" w:bidi="pl-PL"/>
          <w14:ligatures w14:val="none"/>
        </w:rPr>
        <w:t>a growing body of environmental regulations. However, the implementation of environmentally friendly solutions is often associated with additional costs, necessitating appropriate adjustments in operational processes, transport schedules, and financing models</w:t>
      </w:r>
      <w:r w:rsidR="0014772B" w:rsidRPr="00816C73">
        <w:rPr>
          <w:rFonts w:ascii="Times New Roman" w:eastAsia="Times New Roman" w:hAnsi="Times New Roman" w:cs="Times New Roman"/>
          <w:kern w:val="0"/>
          <w:lang w:val="en-GB" w:eastAsia="pl-PL" w:bidi="pl-PL"/>
          <w14:ligatures w14:val="none"/>
        </w:rPr>
        <w:t xml:space="preserve"> (</w:t>
      </w:r>
      <w:proofErr w:type="spellStart"/>
      <w:r w:rsidR="004C1001" w:rsidRPr="00816C73">
        <w:rPr>
          <w:rFonts w:ascii="Times New Roman" w:eastAsia="Times New Roman" w:hAnsi="Times New Roman" w:cs="Times New Roman"/>
          <w:kern w:val="0"/>
          <w:lang w:val="en-GB" w:eastAsia="pl-PL" w:bidi="pl-PL"/>
          <w14:ligatures w14:val="none"/>
        </w:rPr>
        <w:t>Bouchery</w:t>
      </w:r>
      <w:proofErr w:type="spellEnd"/>
      <w:r w:rsidR="004C1001" w:rsidRPr="00816C73">
        <w:rPr>
          <w:rFonts w:ascii="Times New Roman" w:eastAsia="Times New Roman" w:hAnsi="Times New Roman" w:cs="Times New Roman"/>
          <w:kern w:val="0"/>
          <w:lang w:val="en-GB" w:eastAsia="pl-PL" w:bidi="pl-PL"/>
          <w14:ligatures w14:val="none"/>
        </w:rPr>
        <w:t xml:space="preserve"> et al. 2012</w:t>
      </w:r>
      <w:r w:rsidR="00131FA1">
        <w:rPr>
          <w:rFonts w:ascii="Times New Roman" w:eastAsia="Times New Roman" w:hAnsi="Times New Roman" w:cs="Times New Roman"/>
          <w:kern w:val="0"/>
          <w:lang w:val="en-GB" w:eastAsia="pl-PL" w:bidi="pl-PL"/>
          <w14:ligatures w14:val="none"/>
        </w:rPr>
        <w:t>,</w:t>
      </w:r>
      <w:r w:rsidR="004C1001" w:rsidRPr="00816C73">
        <w:rPr>
          <w:rFonts w:ascii="Times New Roman" w:eastAsia="Times New Roman" w:hAnsi="Times New Roman" w:cs="Times New Roman"/>
          <w:kern w:val="0"/>
          <w:lang w:val="en-GB" w:eastAsia="pl-PL" w:bidi="pl-PL"/>
          <w14:ligatures w14:val="none"/>
        </w:rPr>
        <w:t xml:space="preserve"> Abbasi &amp; Nilsson 2016</w:t>
      </w:r>
      <w:r w:rsidR="00131FA1">
        <w:rPr>
          <w:rFonts w:ascii="Times New Roman" w:eastAsia="Times New Roman" w:hAnsi="Times New Roman" w:cs="Times New Roman"/>
          <w:kern w:val="0"/>
          <w:lang w:val="en-GB" w:eastAsia="pl-PL" w:bidi="pl-PL"/>
          <w14:ligatures w14:val="none"/>
        </w:rPr>
        <w:t>,</w:t>
      </w:r>
      <w:r w:rsidR="0014772B" w:rsidRPr="00816C73">
        <w:rPr>
          <w:rFonts w:ascii="Times New Roman" w:eastAsia="Times New Roman" w:hAnsi="Times New Roman" w:cs="Times New Roman"/>
          <w:kern w:val="0"/>
          <w:lang w:val="en-GB" w:eastAsia="pl-PL" w:bidi="pl-PL"/>
          <w14:ligatures w14:val="none"/>
        </w:rPr>
        <w:t xml:space="preserve"> </w:t>
      </w:r>
      <w:r w:rsidR="00FC3715" w:rsidRPr="00816C73">
        <w:rPr>
          <w:rFonts w:ascii="Times New Roman" w:eastAsia="Times New Roman" w:hAnsi="Times New Roman" w:cs="Times New Roman"/>
          <w:kern w:val="0"/>
          <w:lang w:val="en-GB" w:eastAsia="pl-PL" w:bidi="pl-PL"/>
          <w14:ligatures w14:val="none"/>
        </w:rPr>
        <w:t>McKinnon 2018</w:t>
      </w:r>
      <w:r w:rsidR="00ED1B71" w:rsidRPr="00816C73">
        <w:rPr>
          <w:rFonts w:ascii="Times New Roman" w:eastAsia="Times New Roman" w:hAnsi="Times New Roman" w:cs="Times New Roman"/>
          <w:kern w:val="0"/>
          <w:lang w:val="en-GB" w:eastAsia="pl-PL" w:bidi="pl-PL"/>
          <w14:ligatures w14:val="none"/>
        </w:rPr>
        <w:t>)</w:t>
      </w:r>
      <w:r w:rsidR="009B7037" w:rsidRPr="00816C73">
        <w:rPr>
          <w:rFonts w:ascii="Times New Roman" w:eastAsia="Times New Roman" w:hAnsi="Times New Roman" w:cs="Times New Roman"/>
          <w:kern w:val="0"/>
          <w:lang w:val="en-GB" w:eastAsia="pl-PL" w:bidi="pl-PL"/>
          <w14:ligatures w14:val="none"/>
        </w:rPr>
        <w:t>.</w:t>
      </w:r>
    </w:p>
    <w:p w14:paraId="34B49891" w14:textId="66F65AE9" w:rsidR="000463A2" w:rsidRPr="00816C73" w:rsidRDefault="000463A2"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 xml:space="preserve">As indicated by the foregoing discussion, the logistics market currently operates under </w:t>
      </w:r>
      <w:r w:rsidR="004919C5">
        <w:rPr>
          <w:rFonts w:ascii="Times New Roman" w:eastAsia="Times New Roman" w:hAnsi="Times New Roman" w:cs="Times New Roman"/>
          <w:kern w:val="0"/>
          <w:lang w:val="en-GB" w:eastAsia="pl-PL" w:bidi="pl-PL"/>
          <w14:ligatures w14:val="none"/>
        </w:rPr>
        <w:t>increasing,</w:t>
      </w:r>
      <w:r w:rsidRPr="00816C73">
        <w:rPr>
          <w:rFonts w:ascii="Times New Roman" w:eastAsia="Times New Roman" w:hAnsi="Times New Roman" w:cs="Times New Roman"/>
          <w:kern w:val="0"/>
          <w:lang w:val="en-GB" w:eastAsia="pl-PL" w:bidi="pl-PL"/>
          <w14:ligatures w14:val="none"/>
        </w:rPr>
        <w:t xml:space="preserve"> multidimensional pressures</w:t>
      </w:r>
      <w:r w:rsidR="00883464" w:rsidRPr="00816C73">
        <w:rPr>
          <w:rFonts w:ascii="Times New Roman" w:eastAsia="Times New Roman" w:hAnsi="Times New Roman" w:cs="Times New Roman"/>
          <w:kern w:val="0"/>
          <w:lang w:val="en-GB" w:eastAsia="pl-PL" w:bidi="pl-PL"/>
          <w14:ligatures w14:val="none"/>
        </w:rPr>
        <w:t>, including geopolitical, operational, social, environmental, and financial factors</w:t>
      </w:r>
      <w:r w:rsidRPr="00816C73">
        <w:rPr>
          <w:rFonts w:ascii="Times New Roman" w:eastAsia="Times New Roman" w:hAnsi="Times New Roman" w:cs="Times New Roman"/>
          <w:kern w:val="0"/>
          <w:lang w:val="en-GB" w:eastAsia="pl-PL" w:bidi="pl-PL"/>
          <w14:ligatures w14:val="none"/>
        </w:rPr>
        <w:t xml:space="preserve">. These pressures affect companies through diverse stakeholder groups whose expectations are often divergent and, </w:t>
      </w:r>
      <w:r w:rsidRPr="00816C73">
        <w:rPr>
          <w:rFonts w:ascii="Times New Roman" w:eastAsia="Times New Roman" w:hAnsi="Times New Roman" w:cs="Times New Roman"/>
          <w:kern w:val="0"/>
          <w:lang w:val="en-GB" w:eastAsia="pl-PL" w:bidi="pl-PL"/>
          <w14:ligatures w14:val="none"/>
        </w:rPr>
        <w:lastRenderedPageBreak/>
        <w:t>in</w:t>
      </w:r>
      <w:r w:rsidR="00ED23A6">
        <w:rPr>
          <w:rFonts w:ascii="Times New Roman" w:eastAsia="Times New Roman" w:hAnsi="Times New Roman" w:cs="Times New Roman"/>
          <w:kern w:val="0"/>
          <w:lang w:val="en-GB" w:eastAsia="pl-PL" w:bidi="pl-PL"/>
          <w14:ligatures w14:val="none"/>
        </w:rPr>
        <w:t> </w:t>
      </w:r>
      <w:r w:rsidRPr="00816C73">
        <w:rPr>
          <w:rFonts w:ascii="Times New Roman" w:eastAsia="Times New Roman" w:hAnsi="Times New Roman" w:cs="Times New Roman"/>
          <w:kern w:val="0"/>
          <w:lang w:val="en-GB" w:eastAsia="pl-PL" w:bidi="pl-PL"/>
          <w14:ligatures w14:val="none"/>
        </w:rPr>
        <w:t xml:space="preserve">some cases, even conflicting. On the one hand, entities operating in the logistics market are required </w:t>
      </w:r>
      <w:r w:rsidR="00ED23A6">
        <w:rPr>
          <w:rFonts w:ascii="Times New Roman" w:eastAsia="Times New Roman" w:hAnsi="Times New Roman" w:cs="Times New Roman"/>
          <w:kern w:val="0"/>
          <w:lang w:val="en-GB" w:eastAsia="pl-PL" w:bidi="pl-PL"/>
          <w14:ligatures w14:val="none"/>
        </w:rPr>
        <w:br/>
      </w:r>
      <w:r w:rsidRPr="00816C73">
        <w:rPr>
          <w:rFonts w:ascii="Times New Roman" w:eastAsia="Times New Roman" w:hAnsi="Times New Roman" w:cs="Times New Roman"/>
          <w:kern w:val="0"/>
          <w:lang w:val="en-GB" w:eastAsia="pl-PL" w:bidi="pl-PL"/>
          <w14:ligatures w14:val="none"/>
        </w:rPr>
        <w:t xml:space="preserve">to ensure high levels of cost efficiency and operational performance; on the other hand, they must respond to growing stakeholder demands related to environmental </w:t>
      </w:r>
      <w:r w:rsidR="00217CFE" w:rsidRPr="00816C73">
        <w:rPr>
          <w:rFonts w:ascii="Times New Roman" w:eastAsia="Times New Roman" w:hAnsi="Times New Roman" w:cs="Times New Roman"/>
          <w:kern w:val="0"/>
          <w:lang w:val="en-GB" w:eastAsia="pl-PL" w:bidi="pl-PL"/>
          <w14:ligatures w14:val="none"/>
        </w:rPr>
        <w:t>issues</w:t>
      </w:r>
      <w:r w:rsidRPr="00816C73">
        <w:rPr>
          <w:rFonts w:ascii="Times New Roman" w:eastAsia="Times New Roman" w:hAnsi="Times New Roman" w:cs="Times New Roman"/>
          <w:kern w:val="0"/>
          <w:lang w:val="en-GB" w:eastAsia="pl-PL" w:bidi="pl-PL"/>
          <w14:ligatures w14:val="none"/>
        </w:rPr>
        <w:t xml:space="preserve">, social responsibility, and corporate governance </w:t>
      </w:r>
      <w:r w:rsidR="00722E9B" w:rsidRPr="00816C73">
        <w:rPr>
          <w:rFonts w:ascii="Times New Roman" w:eastAsia="Times New Roman" w:hAnsi="Times New Roman" w:cs="Times New Roman"/>
          <w:kern w:val="0"/>
          <w:lang w:val="en-GB" w:eastAsia="pl-PL" w:bidi="pl-PL"/>
          <w14:ligatures w14:val="none"/>
        </w:rPr>
        <w:t>(</w:t>
      </w:r>
      <w:proofErr w:type="spellStart"/>
      <w:r w:rsidRPr="00816C73">
        <w:rPr>
          <w:rFonts w:ascii="Times New Roman" w:eastAsia="Times New Roman" w:hAnsi="Times New Roman" w:cs="Times New Roman"/>
          <w:kern w:val="0"/>
          <w:lang w:val="en-GB" w:eastAsia="pl-PL" w:bidi="pl-PL"/>
          <w14:ligatures w14:val="none"/>
        </w:rPr>
        <w:t>Jacyna-Gołda</w:t>
      </w:r>
      <w:proofErr w:type="spellEnd"/>
      <w:r w:rsidR="00722E9B" w:rsidRPr="00816C73">
        <w:rPr>
          <w:rFonts w:ascii="Times New Roman" w:eastAsia="Times New Roman" w:hAnsi="Times New Roman" w:cs="Times New Roman"/>
          <w:kern w:val="0"/>
          <w:lang w:val="en-GB" w:eastAsia="pl-PL" w:bidi="pl-PL"/>
          <w14:ligatures w14:val="none"/>
        </w:rPr>
        <w:t xml:space="preserve"> et al.</w:t>
      </w:r>
      <w:r w:rsidRPr="00816C73">
        <w:rPr>
          <w:rFonts w:ascii="Times New Roman" w:eastAsia="Times New Roman" w:hAnsi="Times New Roman" w:cs="Times New Roman"/>
          <w:kern w:val="0"/>
          <w:lang w:val="en-GB" w:eastAsia="pl-PL" w:bidi="pl-PL"/>
          <w14:ligatures w14:val="none"/>
        </w:rPr>
        <w:t xml:space="preserve"> 2018</w:t>
      </w:r>
      <w:r w:rsidR="00722E9B" w:rsidRPr="00816C73">
        <w:rPr>
          <w:rFonts w:ascii="Times New Roman" w:eastAsia="Times New Roman" w:hAnsi="Times New Roman" w:cs="Times New Roman"/>
          <w:kern w:val="0"/>
          <w:lang w:val="en-GB" w:eastAsia="pl-PL" w:bidi="pl-PL"/>
          <w14:ligatures w14:val="none"/>
        </w:rPr>
        <w:t>)</w:t>
      </w:r>
      <w:r w:rsidRPr="00816C73">
        <w:rPr>
          <w:rFonts w:ascii="Times New Roman" w:eastAsia="Times New Roman" w:hAnsi="Times New Roman" w:cs="Times New Roman"/>
          <w:kern w:val="0"/>
          <w:lang w:val="en-GB" w:eastAsia="pl-PL" w:bidi="pl-PL"/>
          <w14:ligatures w14:val="none"/>
        </w:rPr>
        <w:t>.</w:t>
      </w:r>
    </w:p>
    <w:p w14:paraId="355884E3" w14:textId="6AF8F67C" w:rsidR="000463A2" w:rsidRPr="00816C73" w:rsidRDefault="000463A2" w:rsidP="006727C4">
      <w:pPr>
        <w:spacing w:after="0" w:line="240" w:lineRule="auto"/>
        <w:ind w:firstLine="284"/>
        <w:jc w:val="both"/>
        <w:rPr>
          <w:rFonts w:ascii="Times New Roman" w:eastAsia="Times New Roman" w:hAnsi="Times New Roman" w:cs="Times New Roman"/>
          <w:kern w:val="0"/>
          <w:lang w:val="en-GB" w:eastAsia="pl-PL" w:bidi="pl-PL"/>
          <w14:ligatures w14:val="none"/>
        </w:rPr>
      </w:pPr>
      <w:r w:rsidRPr="00816C73">
        <w:rPr>
          <w:rFonts w:ascii="Times New Roman" w:eastAsia="Times New Roman" w:hAnsi="Times New Roman" w:cs="Times New Roman"/>
          <w:kern w:val="0"/>
          <w:lang w:val="en-GB" w:eastAsia="pl-PL" w:bidi="pl-PL"/>
          <w14:ligatures w14:val="none"/>
        </w:rPr>
        <w:t>In this context, ESG (Environmental, Social, Governance) criteria gain particular importance as a structured framework for assessing corporate performance in non-financial terms and for identifying and comparing the impacts of organisations on the environment, society, and governance structures. These criteria increasingly serve as a common reference point for various stakeholder groups in the logistics market, including customers, employees, business partners, financial institutions, public authorities, and local communities.</w:t>
      </w:r>
    </w:p>
    <w:p w14:paraId="3DB60422" w14:textId="48DBCB55" w:rsidR="009B7037" w:rsidRPr="00816C73" w:rsidRDefault="000463A2" w:rsidP="006727C4">
      <w:pPr>
        <w:spacing w:after="0" w:line="240" w:lineRule="auto"/>
        <w:ind w:firstLine="284"/>
        <w:jc w:val="both"/>
        <w:rPr>
          <w:rFonts w:ascii="Times New Roman" w:hAnsi="Times New Roman" w:cs="Times New Roman"/>
          <w:lang w:val="en-GB"/>
        </w:rPr>
      </w:pPr>
      <w:r w:rsidRPr="00816C73">
        <w:rPr>
          <w:rFonts w:ascii="Times New Roman" w:eastAsia="Times New Roman" w:hAnsi="Times New Roman" w:cs="Times New Roman"/>
          <w:kern w:val="0"/>
          <w:lang w:val="en-GB" w:eastAsia="pl-PL" w:bidi="pl-PL"/>
          <w14:ligatures w14:val="none"/>
        </w:rPr>
        <w:t>The incorporation of ESG criteria is no longer merely a response to tightening regulatory requirements</w:t>
      </w:r>
      <w:r w:rsidR="00883464" w:rsidRPr="00816C73">
        <w:rPr>
          <w:rFonts w:ascii="Times New Roman" w:eastAsia="Times New Roman" w:hAnsi="Times New Roman" w:cs="Times New Roman"/>
          <w:kern w:val="0"/>
          <w:lang w:val="en-GB" w:eastAsia="pl-PL" w:bidi="pl-PL"/>
          <w14:ligatures w14:val="none"/>
        </w:rPr>
        <w:t xml:space="preserve">. </w:t>
      </w:r>
      <w:r w:rsidR="00BB1AC4" w:rsidRPr="00816C73">
        <w:rPr>
          <w:rFonts w:ascii="Times New Roman" w:eastAsia="Times New Roman" w:hAnsi="Times New Roman" w:cs="Times New Roman"/>
          <w:kern w:val="0"/>
          <w:lang w:val="en-GB" w:eastAsia="pl-PL" w:bidi="pl-PL"/>
          <w14:ligatures w14:val="none"/>
        </w:rPr>
        <w:t>I</w:t>
      </w:r>
      <w:r w:rsidR="00883464" w:rsidRPr="00816C73">
        <w:rPr>
          <w:rFonts w:ascii="Times New Roman" w:eastAsia="Times New Roman" w:hAnsi="Times New Roman" w:cs="Times New Roman"/>
          <w:kern w:val="0"/>
          <w:lang w:val="en-GB" w:eastAsia="pl-PL" w:bidi="pl-PL"/>
          <w14:ligatures w14:val="none"/>
        </w:rPr>
        <w:t>t has</w:t>
      </w:r>
      <w:r w:rsidRPr="00816C73">
        <w:rPr>
          <w:rFonts w:ascii="Times New Roman" w:eastAsia="Times New Roman" w:hAnsi="Times New Roman" w:cs="Times New Roman"/>
          <w:kern w:val="0"/>
          <w:lang w:val="en-GB" w:eastAsia="pl-PL" w:bidi="pl-PL"/>
          <w14:ligatures w14:val="none"/>
        </w:rPr>
        <w:t xml:space="preserve"> become a key element in building stakeholder trust, enhancing the resilience of logistics systems, and shaping the long-term competitiveness of enterprises. Accordingly, </w:t>
      </w:r>
      <w:r w:rsidR="00883464" w:rsidRPr="00816C73">
        <w:rPr>
          <w:rFonts w:ascii="Times New Roman" w:eastAsia="Times New Roman" w:hAnsi="Times New Roman" w:cs="Times New Roman"/>
          <w:kern w:val="0"/>
          <w:lang w:val="en-GB" w:eastAsia="pl-PL" w:bidi="pl-PL"/>
          <w14:ligatures w14:val="none"/>
        </w:rPr>
        <w:t>this paper aims</w:t>
      </w:r>
      <w:r w:rsidRPr="00816C73">
        <w:rPr>
          <w:rFonts w:ascii="Times New Roman" w:eastAsia="Times New Roman" w:hAnsi="Times New Roman" w:cs="Times New Roman"/>
          <w:kern w:val="0"/>
          <w:lang w:val="en-GB" w:eastAsia="pl-PL" w:bidi="pl-PL"/>
          <w14:ligatures w14:val="none"/>
        </w:rPr>
        <w:t xml:space="preserve"> to identify and analyse the key stakeholder groups in the logistics market from the perspective</w:t>
      </w:r>
      <w:r w:rsidR="004919C5">
        <w:rPr>
          <w:rFonts w:ascii="Times New Roman" w:eastAsia="Times New Roman" w:hAnsi="Times New Roman" w:cs="Times New Roman"/>
          <w:kern w:val="0"/>
          <w:lang w:val="en-GB" w:eastAsia="pl-PL" w:bidi="pl-PL"/>
          <w14:ligatures w14:val="none"/>
        </w:rPr>
        <w:t>s of sustainable development and ESG, and to determine the role of</w:t>
      </w:r>
      <w:r w:rsidRPr="00816C73">
        <w:rPr>
          <w:rFonts w:ascii="Times New Roman" w:eastAsia="Times New Roman" w:hAnsi="Times New Roman" w:cs="Times New Roman"/>
          <w:kern w:val="0"/>
          <w:lang w:val="en-GB" w:eastAsia="pl-PL" w:bidi="pl-PL"/>
          <w14:ligatures w14:val="none"/>
        </w:rPr>
        <w:t xml:space="preserve"> ESG criteria in shaping relationships between stakeholders and companies operating in the logistics sector.</w:t>
      </w:r>
    </w:p>
    <w:p w14:paraId="45736294" w14:textId="184BD863" w:rsidR="00132D7C" w:rsidRPr="00816C73" w:rsidRDefault="006727C4" w:rsidP="009C7AE2">
      <w:pPr>
        <w:pStyle w:val="Rn1"/>
        <w:rPr>
          <w:lang w:val="en-GB"/>
        </w:rPr>
      </w:pPr>
      <w:r w:rsidRPr="00816C73">
        <w:rPr>
          <w:lang w:val="en-GB"/>
        </w:rPr>
        <w:t xml:space="preserve">2. </w:t>
      </w:r>
      <w:r w:rsidR="00C31E3D" w:rsidRPr="00816C73">
        <w:rPr>
          <w:lang w:val="en-GB"/>
        </w:rPr>
        <w:t xml:space="preserve">Origin and </w:t>
      </w:r>
      <w:r w:rsidR="009C7AE2">
        <w:rPr>
          <w:lang w:val="en-GB"/>
        </w:rPr>
        <w:t>S</w:t>
      </w:r>
      <w:r w:rsidR="00C31E3D" w:rsidRPr="00816C73">
        <w:rPr>
          <w:lang w:val="en-GB"/>
        </w:rPr>
        <w:t xml:space="preserve">cope of ESG </w:t>
      </w:r>
      <w:r w:rsidR="009C7AE2">
        <w:rPr>
          <w:lang w:val="en-GB"/>
        </w:rPr>
        <w:t>C</w:t>
      </w:r>
      <w:r w:rsidR="00C31E3D" w:rsidRPr="00816C73">
        <w:rPr>
          <w:lang w:val="en-GB"/>
        </w:rPr>
        <w:t>riteria</w:t>
      </w:r>
    </w:p>
    <w:p w14:paraId="11B541C9" w14:textId="49035127" w:rsidR="00D01633" w:rsidRPr="00816C73" w:rsidRDefault="00D01633"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concept of sustainable development has been </w:t>
      </w:r>
      <w:r w:rsidR="001F6FB1" w:rsidRPr="00816C73">
        <w:rPr>
          <w:rFonts w:ascii="Times New Roman" w:hAnsi="Times New Roman" w:cs="Times New Roman"/>
          <w:lang w:val="en-GB"/>
        </w:rPr>
        <w:t>a topic of</w:t>
      </w:r>
      <w:r w:rsidRPr="00816C73">
        <w:rPr>
          <w:rFonts w:ascii="Times New Roman" w:hAnsi="Times New Roman" w:cs="Times New Roman"/>
          <w:lang w:val="en-GB"/>
        </w:rPr>
        <w:t xml:space="preserve"> public debate for several decades. Its core premise is the pursuit of economic activity in a manner that limits negative impacts on the natural environment, society, and spatial order. The implementation of this concept </w:t>
      </w:r>
      <w:r w:rsidR="00F913F3" w:rsidRPr="00816C73">
        <w:rPr>
          <w:rFonts w:ascii="Times New Roman" w:hAnsi="Times New Roman" w:cs="Times New Roman"/>
          <w:lang w:val="en-GB"/>
        </w:rPr>
        <w:t>encompasses, among other things, the application of environmental standards, the utilization of renewable energy sources, investment planning in accordance with spatial planning principles, and collaboration</w:t>
      </w:r>
      <w:r w:rsidRPr="00816C73">
        <w:rPr>
          <w:rFonts w:ascii="Times New Roman" w:hAnsi="Times New Roman" w:cs="Times New Roman"/>
          <w:lang w:val="en-GB"/>
        </w:rPr>
        <w:t xml:space="preserve"> with local communities. Sustainable development assumes the simultaneous pursuit of economic growth, improvements in societal quality of life, and the preservation of natural resources for future generations</w:t>
      </w:r>
      <w:r w:rsidR="005B7B58" w:rsidRPr="00816C73">
        <w:rPr>
          <w:rFonts w:ascii="Times New Roman" w:hAnsi="Times New Roman" w:cs="Times New Roman"/>
          <w:lang w:val="en-GB"/>
        </w:rPr>
        <w:t xml:space="preserve"> (</w:t>
      </w:r>
      <w:proofErr w:type="spellStart"/>
      <w:r w:rsidRPr="00816C73">
        <w:rPr>
          <w:rFonts w:ascii="Times New Roman" w:hAnsi="Times New Roman" w:cs="Times New Roman"/>
          <w:lang w:val="en-GB"/>
        </w:rPr>
        <w:t>Geissdoerfer</w:t>
      </w:r>
      <w:proofErr w:type="spellEnd"/>
      <w:r w:rsidR="005B7B58"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2017</w:t>
      </w:r>
      <w:r w:rsidR="00131FA1">
        <w:rPr>
          <w:rFonts w:ascii="Times New Roman" w:hAnsi="Times New Roman" w:cs="Times New Roman"/>
          <w:lang w:val="en-GB"/>
        </w:rPr>
        <w:t>,</w:t>
      </w:r>
      <w:r w:rsidRPr="00816C73">
        <w:rPr>
          <w:rFonts w:ascii="Times New Roman" w:hAnsi="Times New Roman" w:cs="Times New Roman"/>
          <w:lang w:val="en-GB"/>
        </w:rPr>
        <w:t xml:space="preserve"> </w:t>
      </w:r>
      <w:r w:rsidR="00CD0D92" w:rsidRPr="00816C73">
        <w:rPr>
          <w:rFonts w:ascii="Times New Roman" w:hAnsi="Times New Roman" w:cs="Times New Roman"/>
          <w:lang w:val="en-GB"/>
        </w:rPr>
        <w:t>Köhler et al.</w:t>
      </w:r>
      <w:r w:rsidRPr="00816C73">
        <w:rPr>
          <w:rFonts w:ascii="Times New Roman" w:hAnsi="Times New Roman" w:cs="Times New Roman"/>
          <w:lang w:val="en-GB"/>
        </w:rPr>
        <w:t xml:space="preserve"> 2019</w:t>
      </w:r>
      <w:r w:rsidR="00CD0D92" w:rsidRPr="00816C73">
        <w:rPr>
          <w:rFonts w:ascii="Times New Roman" w:hAnsi="Times New Roman" w:cs="Times New Roman"/>
          <w:lang w:val="en-GB"/>
        </w:rPr>
        <w:t>)</w:t>
      </w:r>
      <w:r w:rsidRPr="00816C73">
        <w:rPr>
          <w:rFonts w:ascii="Times New Roman" w:hAnsi="Times New Roman" w:cs="Times New Roman"/>
          <w:lang w:val="en-GB"/>
        </w:rPr>
        <w:t>.</w:t>
      </w:r>
    </w:p>
    <w:p w14:paraId="1FF17F24" w14:textId="1F4D3018" w:rsidR="00D01633" w:rsidRPr="00816C73" w:rsidRDefault="00D01633"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Closely related to this idea is the concept of corporate social responsibility (CSR), </w:t>
      </w:r>
      <w:r w:rsidR="004919C5">
        <w:rPr>
          <w:rFonts w:ascii="Times New Roman" w:hAnsi="Times New Roman" w:cs="Times New Roman"/>
          <w:lang w:val="en-GB"/>
        </w:rPr>
        <w:t>which refers to</w:t>
      </w:r>
      <w:r w:rsidRPr="00816C73">
        <w:rPr>
          <w:rFonts w:ascii="Times New Roman" w:hAnsi="Times New Roman" w:cs="Times New Roman"/>
          <w:lang w:val="en-GB"/>
        </w:rPr>
        <w:t xml:space="preserve"> voluntary corporate actions that go beyond legal requirements and encompass environmental, social, and ethical dimensions. CSR practices include, among others, stakeholder dialogue, engagement in local initiatives, </w:t>
      </w:r>
      <w:r w:rsidR="00F913F3" w:rsidRPr="00816C73">
        <w:rPr>
          <w:rFonts w:ascii="Times New Roman" w:hAnsi="Times New Roman" w:cs="Times New Roman"/>
          <w:lang w:val="en-GB"/>
        </w:rPr>
        <w:t xml:space="preserve">provision of decent working conditions, commitment to transparency, and </w:t>
      </w:r>
      <w:r w:rsidRPr="00816C73">
        <w:rPr>
          <w:rFonts w:ascii="Times New Roman" w:hAnsi="Times New Roman" w:cs="Times New Roman"/>
          <w:lang w:val="en-GB"/>
        </w:rPr>
        <w:t xml:space="preserve">implementation of investments with due regard for spatial order </w:t>
      </w:r>
      <w:r w:rsidR="00CD0D92" w:rsidRPr="00816C73">
        <w:rPr>
          <w:rFonts w:ascii="Times New Roman" w:hAnsi="Times New Roman" w:cs="Times New Roman"/>
          <w:lang w:val="en-GB"/>
        </w:rPr>
        <w:t>(</w:t>
      </w:r>
      <w:r w:rsidRPr="00816C73">
        <w:rPr>
          <w:rFonts w:ascii="Times New Roman" w:hAnsi="Times New Roman" w:cs="Times New Roman"/>
          <w:lang w:val="en-GB"/>
        </w:rPr>
        <w:t>Jamali</w:t>
      </w:r>
      <w:r w:rsidR="00CD0D92" w:rsidRPr="00816C73">
        <w:rPr>
          <w:rFonts w:ascii="Times New Roman" w:hAnsi="Times New Roman" w:cs="Times New Roman"/>
          <w:lang w:val="en-GB"/>
        </w:rPr>
        <w:t xml:space="preserve"> &amp; Karam</w:t>
      </w:r>
      <w:r w:rsidRPr="00816C73">
        <w:rPr>
          <w:rFonts w:ascii="Times New Roman" w:hAnsi="Times New Roman" w:cs="Times New Roman"/>
          <w:lang w:val="en-GB"/>
        </w:rPr>
        <w:t xml:space="preserve"> 2018</w:t>
      </w:r>
      <w:r w:rsidR="00CD0D92" w:rsidRPr="00816C73">
        <w:rPr>
          <w:rFonts w:ascii="Times New Roman" w:hAnsi="Times New Roman" w:cs="Times New Roman"/>
          <w:lang w:val="en-GB"/>
        </w:rPr>
        <w:t>)</w:t>
      </w:r>
      <w:r w:rsidRPr="00816C73">
        <w:rPr>
          <w:rFonts w:ascii="Times New Roman" w:hAnsi="Times New Roman" w:cs="Times New Roman"/>
          <w:lang w:val="en-GB"/>
        </w:rPr>
        <w:t>. While CSR has become an important element of corporate strategy, its primary limitation has been the lack of measurability and comparability. CSR activities were largely declarat</w:t>
      </w:r>
      <w:r w:rsidR="004919C5">
        <w:rPr>
          <w:rFonts w:ascii="Times New Roman" w:hAnsi="Times New Roman" w:cs="Times New Roman"/>
          <w:lang w:val="en-GB"/>
        </w:rPr>
        <w:t>ory and voluntary, hindering</w:t>
      </w:r>
      <w:r w:rsidRPr="00816C73">
        <w:rPr>
          <w:rFonts w:ascii="Times New Roman" w:hAnsi="Times New Roman" w:cs="Times New Roman"/>
          <w:lang w:val="en-GB"/>
        </w:rPr>
        <w:t xml:space="preserve"> objective and </w:t>
      </w:r>
      <w:r w:rsidR="001825FD" w:rsidRPr="00816C73">
        <w:rPr>
          <w:rFonts w:ascii="Times New Roman" w:hAnsi="Times New Roman" w:cs="Times New Roman"/>
          <w:lang w:val="en-GB"/>
        </w:rPr>
        <w:t xml:space="preserve">transparent </w:t>
      </w:r>
      <w:r w:rsidRPr="00816C73">
        <w:rPr>
          <w:rFonts w:ascii="Times New Roman" w:hAnsi="Times New Roman" w:cs="Times New Roman"/>
          <w:lang w:val="en-GB"/>
        </w:rPr>
        <w:t>evaluation and benchmarking of corporate performance.</w:t>
      </w:r>
    </w:p>
    <w:p w14:paraId="3E62568B" w14:textId="395E22DC" w:rsidR="002727CA" w:rsidRPr="00816C73" w:rsidRDefault="002727CA"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At the same time, since the late twentieth century, the socio-economic environment has undergone dynamic changes. Growing public awareness of environmental protection, spatial order, and human rights, combined with escalating climate risks and the need for </w:t>
      </w:r>
      <w:r w:rsidR="004919C5">
        <w:rPr>
          <w:rFonts w:ascii="Times New Roman" w:hAnsi="Times New Roman" w:cs="Times New Roman"/>
          <w:lang w:val="en-GB"/>
        </w:rPr>
        <w:t>an energy transition, has led companies to be assessed not solely</w:t>
      </w:r>
      <w:r w:rsidR="00F913F3" w:rsidRPr="00816C73">
        <w:rPr>
          <w:rFonts w:ascii="Times New Roman" w:hAnsi="Times New Roman" w:cs="Times New Roman"/>
          <w:lang w:val="en-GB"/>
        </w:rPr>
        <w:t xml:space="preserve"> on</w:t>
      </w:r>
      <w:r w:rsidRPr="00816C73">
        <w:rPr>
          <w:rFonts w:ascii="Times New Roman" w:hAnsi="Times New Roman" w:cs="Times New Roman"/>
          <w:lang w:val="en-GB"/>
        </w:rPr>
        <w:t xml:space="preserve"> financial performance. Whereas traditional corporate analyses were primarily grounded in economic indicators such as profitability, liquidity, and debt levels, increasing attention is now being paid to non-financial aspects of business activity. Initially, environmental and social responsibility initiatives were </w:t>
      </w:r>
      <w:r w:rsidR="004919C5">
        <w:rPr>
          <w:rFonts w:ascii="Times New Roman" w:hAnsi="Times New Roman" w:cs="Times New Roman"/>
          <w:lang w:val="en-GB"/>
        </w:rPr>
        <w:t>main</w:t>
      </w:r>
      <w:r w:rsidRPr="00816C73">
        <w:rPr>
          <w:rFonts w:ascii="Times New Roman" w:hAnsi="Times New Roman" w:cs="Times New Roman"/>
          <w:lang w:val="en-GB"/>
        </w:rPr>
        <w:t>ly of a reputational nature; however, over time</w:t>
      </w:r>
      <w:r w:rsidR="006566A8" w:rsidRPr="00816C73">
        <w:rPr>
          <w:rFonts w:ascii="Times New Roman" w:hAnsi="Times New Roman" w:cs="Times New Roman"/>
          <w:lang w:val="en-GB"/>
        </w:rPr>
        <w:t>,</w:t>
      </w:r>
      <w:r w:rsidRPr="00816C73">
        <w:rPr>
          <w:rFonts w:ascii="Times New Roman" w:hAnsi="Times New Roman" w:cs="Times New Roman"/>
          <w:lang w:val="en-GB"/>
        </w:rPr>
        <w:t xml:space="preserve"> they have begun to exert a tangible influence on investment decisions, procurement strategies, and corporate development pathways </w:t>
      </w:r>
      <w:r w:rsidR="00D52805" w:rsidRPr="00816C73">
        <w:rPr>
          <w:rFonts w:ascii="Times New Roman" w:hAnsi="Times New Roman" w:cs="Times New Roman"/>
          <w:lang w:val="en-GB"/>
        </w:rPr>
        <w:t>(</w:t>
      </w:r>
      <w:r w:rsidRPr="00816C73">
        <w:rPr>
          <w:rFonts w:ascii="Times New Roman" w:hAnsi="Times New Roman" w:cs="Times New Roman"/>
          <w:lang w:val="en-GB"/>
        </w:rPr>
        <w:t>Friede</w:t>
      </w:r>
      <w:r w:rsidR="00D52805"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2015</w:t>
      </w:r>
      <w:r w:rsidR="00131FA1">
        <w:rPr>
          <w:rFonts w:ascii="Times New Roman" w:hAnsi="Times New Roman" w:cs="Times New Roman"/>
          <w:lang w:val="en-GB"/>
        </w:rPr>
        <w:t>,</w:t>
      </w:r>
      <w:r w:rsidRPr="00816C73">
        <w:rPr>
          <w:rFonts w:ascii="Times New Roman" w:hAnsi="Times New Roman" w:cs="Times New Roman"/>
          <w:lang w:val="en-GB"/>
        </w:rPr>
        <w:t xml:space="preserve"> Berg</w:t>
      </w:r>
      <w:r w:rsidR="00D52805"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2022</w:t>
      </w:r>
      <w:r w:rsidR="00D52805" w:rsidRPr="00816C73">
        <w:rPr>
          <w:rFonts w:ascii="Times New Roman" w:hAnsi="Times New Roman" w:cs="Times New Roman"/>
          <w:lang w:val="en-GB"/>
        </w:rPr>
        <w:t>)</w:t>
      </w:r>
      <w:r w:rsidRPr="00816C73">
        <w:rPr>
          <w:rFonts w:ascii="Times New Roman" w:hAnsi="Times New Roman" w:cs="Times New Roman"/>
          <w:lang w:val="en-GB"/>
        </w:rPr>
        <w:t>. As consumer and stakeholder awareness has grown, evaluation criteria for products and services have also evolved, with price no longer serving as the sole determinant of market choice. Customers are increasingly willing to accept higher prices</w:t>
      </w:r>
      <w:r w:rsidR="006566A8" w:rsidRPr="00816C73">
        <w:rPr>
          <w:rFonts w:ascii="Times New Roman" w:hAnsi="Times New Roman" w:cs="Times New Roman"/>
          <w:lang w:val="en-GB"/>
        </w:rPr>
        <w:t>, provided that products or services are delivered in a socially and environmentally responsible manner, such as</w:t>
      </w:r>
      <w:r w:rsidRPr="00816C73">
        <w:rPr>
          <w:rFonts w:ascii="Times New Roman" w:hAnsi="Times New Roman" w:cs="Times New Roman"/>
          <w:lang w:val="en-GB"/>
        </w:rPr>
        <w:t xml:space="preserve"> through the use of renewable energy </w:t>
      </w:r>
      <w:r w:rsidR="00C16A11" w:rsidRPr="00816C73">
        <w:rPr>
          <w:rFonts w:ascii="Times New Roman" w:hAnsi="Times New Roman" w:cs="Times New Roman"/>
          <w:lang w:val="en-GB"/>
        </w:rPr>
        <w:t xml:space="preserve">(Kuczynski et al. 2021) </w:t>
      </w:r>
      <w:r w:rsidRPr="00816C73">
        <w:rPr>
          <w:rFonts w:ascii="Times New Roman" w:hAnsi="Times New Roman" w:cs="Times New Roman"/>
          <w:lang w:val="en-GB"/>
        </w:rPr>
        <w:t>or recycled materials</w:t>
      </w:r>
      <w:r w:rsidR="00C16A11" w:rsidRPr="00816C73">
        <w:rPr>
          <w:rFonts w:ascii="Times New Roman" w:hAnsi="Times New Roman" w:cs="Times New Roman"/>
          <w:lang w:val="en-GB"/>
        </w:rPr>
        <w:t xml:space="preserve"> (</w:t>
      </w:r>
      <w:proofErr w:type="spellStart"/>
      <w:r w:rsidR="00C16A11" w:rsidRPr="00816C73">
        <w:rPr>
          <w:rFonts w:ascii="Times New Roman" w:hAnsi="Times New Roman" w:cs="Times New Roman"/>
          <w:lang w:val="en-GB"/>
        </w:rPr>
        <w:t>Chamier-Gliszczyński</w:t>
      </w:r>
      <w:proofErr w:type="spellEnd"/>
      <w:r w:rsidR="00C16A11" w:rsidRPr="00816C73">
        <w:rPr>
          <w:rFonts w:ascii="Times New Roman" w:hAnsi="Times New Roman" w:cs="Times New Roman"/>
          <w:lang w:val="en-GB"/>
        </w:rPr>
        <w:t xml:space="preserve"> 2011)</w:t>
      </w:r>
      <w:r w:rsidRPr="00816C73">
        <w:rPr>
          <w:rFonts w:ascii="Times New Roman" w:hAnsi="Times New Roman" w:cs="Times New Roman"/>
          <w:lang w:val="en-GB"/>
        </w:rPr>
        <w:t>.</w:t>
      </w:r>
    </w:p>
    <w:p w14:paraId="5D9ED974" w14:textId="7A4D3B20" w:rsidR="002727CA" w:rsidRPr="00816C73" w:rsidRDefault="002727CA" w:rsidP="00DC401D">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Consequently, a need emerged for a set of measurable</w:t>
      </w:r>
      <w:r w:rsidR="004919C5">
        <w:rPr>
          <w:rFonts w:ascii="Times New Roman" w:hAnsi="Times New Roman" w:cs="Times New Roman"/>
          <w:lang w:val="en-GB"/>
        </w:rPr>
        <w:t>, comparable indicators to assess the</w:t>
      </w:r>
      <w:r w:rsidRPr="00816C73">
        <w:rPr>
          <w:rFonts w:ascii="Times New Roman" w:hAnsi="Times New Roman" w:cs="Times New Roman"/>
          <w:lang w:val="en-GB"/>
        </w:rPr>
        <w:t xml:space="preserve"> non-financial aspects of corporate activity. This need gave rise to ESG</w:t>
      </w:r>
      <w:r w:rsidR="00171088" w:rsidRPr="00816C73">
        <w:rPr>
          <w:rFonts w:ascii="Times New Roman" w:hAnsi="Times New Roman" w:cs="Times New Roman"/>
          <w:lang w:val="en-GB"/>
        </w:rPr>
        <w:t xml:space="preserve"> </w:t>
      </w:r>
      <w:r w:rsidRPr="00816C73">
        <w:rPr>
          <w:rFonts w:ascii="Times New Roman" w:hAnsi="Times New Roman" w:cs="Times New Roman"/>
          <w:lang w:val="en-GB"/>
        </w:rPr>
        <w:t>criteria</w:t>
      </w:r>
      <w:r w:rsidR="004919C5">
        <w:rPr>
          <w:rFonts w:ascii="Times New Roman" w:hAnsi="Times New Roman" w:cs="Times New Roman"/>
          <w:lang w:val="en-GB"/>
        </w:rPr>
        <w:t xml:space="preserve"> that allow for evaluating</w:t>
      </w:r>
      <w:r w:rsidRPr="00816C73">
        <w:rPr>
          <w:rFonts w:ascii="Times New Roman" w:hAnsi="Times New Roman" w:cs="Times New Roman"/>
          <w:lang w:val="en-GB"/>
        </w:rPr>
        <w:t xml:space="preserve"> how a company affects the environment, shapes social relations, and adheres to the principles of corporate governance. ESG, however, is not merely an assessment tool. ESG criteria also constitute a foundation for strategic management, supporting the identification of operational risks, the development of stakeholder relationships, and the establishment of transparent governance structures. As a result, various stakeholder groups</w:t>
      </w:r>
      <w:r w:rsidR="000120FE" w:rsidRPr="00816C73">
        <w:rPr>
          <w:rFonts w:ascii="Times New Roman" w:hAnsi="Times New Roman" w:cs="Times New Roman"/>
          <w:lang w:val="en-GB"/>
        </w:rPr>
        <w:t xml:space="preserve">, </w:t>
      </w:r>
      <w:r w:rsidRPr="00816C73">
        <w:rPr>
          <w:rFonts w:ascii="Times New Roman" w:hAnsi="Times New Roman" w:cs="Times New Roman"/>
          <w:lang w:val="en-GB"/>
        </w:rPr>
        <w:t>particularly investors</w:t>
      </w:r>
      <w:r w:rsidR="000120FE" w:rsidRPr="00816C73">
        <w:rPr>
          <w:rFonts w:ascii="Times New Roman" w:hAnsi="Times New Roman" w:cs="Times New Roman"/>
          <w:lang w:val="en-GB"/>
        </w:rPr>
        <w:t xml:space="preserve">, </w:t>
      </w:r>
      <w:r w:rsidRPr="00816C73">
        <w:rPr>
          <w:rFonts w:ascii="Times New Roman" w:hAnsi="Times New Roman" w:cs="Times New Roman"/>
          <w:lang w:val="en-GB"/>
        </w:rPr>
        <w:t xml:space="preserve">are increasingly assessing companies through the lens of ESG-related risks, recognising that organisations neglecting environmental, social, or governance issues are more exposed to financial losses, legal sanctions, and reputational damage </w:t>
      </w:r>
      <w:r w:rsidR="00D26A13" w:rsidRPr="00816C73">
        <w:rPr>
          <w:rFonts w:ascii="Times New Roman" w:hAnsi="Times New Roman" w:cs="Times New Roman"/>
          <w:lang w:val="en-GB"/>
        </w:rPr>
        <w:t>(</w:t>
      </w:r>
      <w:proofErr w:type="spellStart"/>
      <w:r w:rsidR="00D26A13" w:rsidRPr="00816C73">
        <w:rPr>
          <w:rFonts w:ascii="Times New Roman" w:hAnsi="Times New Roman" w:cs="Times New Roman"/>
          <w:lang w:val="en-GB"/>
        </w:rPr>
        <w:t>Kotsantonis</w:t>
      </w:r>
      <w:proofErr w:type="spellEnd"/>
      <w:r w:rsidR="00D26A13" w:rsidRPr="00816C73">
        <w:rPr>
          <w:rFonts w:ascii="Times New Roman" w:hAnsi="Times New Roman" w:cs="Times New Roman"/>
          <w:lang w:val="en-GB"/>
        </w:rPr>
        <w:t xml:space="preserve"> et al. 2016</w:t>
      </w:r>
      <w:r w:rsidR="00131FA1">
        <w:rPr>
          <w:rFonts w:ascii="Times New Roman" w:hAnsi="Times New Roman" w:cs="Times New Roman"/>
          <w:lang w:val="en-GB"/>
        </w:rPr>
        <w:t>,</w:t>
      </w:r>
      <w:r w:rsidR="00D26A13" w:rsidRPr="00816C73">
        <w:rPr>
          <w:rFonts w:ascii="Times New Roman" w:hAnsi="Times New Roman" w:cs="Times New Roman"/>
          <w:lang w:val="en-GB"/>
        </w:rPr>
        <w:t xml:space="preserve"> Aguilera et al. 2019).</w:t>
      </w:r>
    </w:p>
    <w:p w14:paraId="61D5F238" w14:textId="7FE2294A" w:rsidR="007F65A3" w:rsidRPr="00816C73" w:rsidRDefault="007F65A3"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importance of ESG criteria continues to grow </w:t>
      </w:r>
      <w:r w:rsidR="006566A8" w:rsidRPr="00816C73">
        <w:rPr>
          <w:rFonts w:ascii="Times New Roman" w:hAnsi="Times New Roman" w:cs="Times New Roman"/>
          <w:lang w:val="en-GB"/>
        </w:rPr>
        <w:t>due to</w:t>
      </w:r>
      <w:r w:rsidRPr="00816C73">
        <w:rPr>
          <w:rFonts w:ascii="Times New Roman" w:hAnsi="Times New Roman" w:cs="Times New Roman"/>
          <w:lang w:val="en-GB"/>
        </w:rPr>
        <w:t xml:space="preserve"> both societal changes and increasing regulatory pressure. A notable example is the European Union, which has been developing a legal framework for non-financial reporting for many years. In 2013, the first regulations on the disclosure of non-financial information </w:t>
      </w:r>
      <w:r w:rsidRPr="00816C73">
        <w:rPr>
          <w:rFonts w:ascii="Times New Roman" w:hAnsi="Times New Roman" w:cs="Times New Roman"/>
          <w:lang w:val="en-GB"/>
        </w:rPr>
        <w:lastRenderedPageBreak/>
        <w:t xml:space="preserve">were introduced, initially covering only selected large public-interest entities. Subsequent years brought significant developments, with the introduction of the Corporate Sustainability Reporting Directive (CSRD) in 2023 being particularly important. The CSRD substantially expanded both the scope of </w:t>
      </w:r>
      <w:r w:rsidR="004919C5">
        <w:rPr>
          <w:rFonts w:ascii="Times New Roman" w:hAnsi="Times New Roman" w:cs="Times New Roman"/>
          <w:lang w:val="en-GB"/>
        </w:rPr>
        <w:t>the data reported and the number of entities required to disclose it</w:t>
      </w:r>
      <w:r w:rsidRPr="00816C73">
        <w:rPr>
          <w:rFonts w:ascii="Times New Roman" w:hAnsi="Times New Roman" w:cs="Times New Roman"/>
          <w:lang w:val="en-GB"/>
        </w:rPr>
        <w:t xml:space="preserve">. As a result, ESG criteria have become an integral element of corporate operations within the European Union, and their implementation is no longer solely a societal expectation but also a legal requirement </w:t>
      </w:r>
      <w:r w:rsidR="00F6486E" w:rsidRPr="00816C73">
        <w:rPr>
          <w:rFonts w:ascii="Times New Roman" w:hAnsi="Times New Roman" w:cs="Times New Roman"/>
          <w:lang w:val="en-GB"/>
        </w:rPr>
        <w:t>(</w:t>
      </w:r>
      <w:r w:rsidRPr="00816C73">
        <w:rPr>
          <w:rFonts w:ascii="Times New Roman" w:hAnsi="Times New Roman" w:cs="Times New Roman"/>
          <w:lang w:val="en-GB"/>
        </w:rPr>
        <w:t>Martiny</w:t>
      </w:r>
      <w:r w:rsidR="00F6486E"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2024</w:t>
      </w:r>
      <w:r w:rsidR="00F6486E" w:rsidRPr="00816C73">
        <w:rPr>
          <w:rFonts w:ascii="Times New Roman" w:hAnsi="Times New Roman" w:cs="Times New Roman"/>
          <w:lang w:val="en-GB"/>
        </w:rPr>
        <w:t>)</w:t>
      </w:r>
      <w:r w:rsidRPr="00816C73">
        <w:rPr>
          <w:rFonts w:ascii="Times New Roman" w:hAnsi="Times New Roman" w:cs="Times New Roman"/>
          <w:lang w:val="en-GB"/>
        </w:rPr>
        <w:t>.</w:t>
      </w:r>
    </w:p>
    <w:p w14:paraId="67BA3F2F" w14:textId="73BD5718" w:rsidR="007F65A3" w:rsidRPr="00816C73" w:rsidRDefault="007F65A3"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Environmental issues constitute a core component of the ESG framework and are intrinsically linked to the concept of a low-carbon economy and the global energy transition. Contemporary enterprises face the ne</w:t>
      </w:r>
      <w:r w:rsidR="004919C5">
        <w:rPr>
          <w:rFonts w:ascii="Times New Roman" w:hAnsi="Times New Roman" w:cs="Times New Roman"/>
          <w:lang w:val="en-GB"/>
        </w:rPr>
        <w:t>ed to reduce greenhouse gas (GHG) emissions, improve energy efficiency, pursue decarbonisation, and implement</w:t>
      </w:r>
      <w:r w:rsidRPr="00816C73">
        <w:rPr>
          <w:rFonts w:ascii="Times New Roman" w:hAnsi="Times New Roman" w:cs="Times New Roman"/>
          <w:lang w:val="en-GB"/>
        </w:rPr>
        <w:t xml:space="preserve"> technologies based on renewable energy sources. The integration of environmental requirements into corporate development strategies has thus become not only an obligation arising from regulatory frameworks but also </w:t>
      </w:r>
      <w:r w:rsidR="002C43D3" w:rsidRPr="00816C73">
        <w:rPr>
          <w:rFonts w:ascii="Times New Roman" w:hAnsi="Times New Roman" w:cs="Times New Roman"/>
          <w:lang w:val="en-GB"/>
        </w:rPr>
        <w:t>a</w:t>
      </w:r>
      <w:r w:rsidR="00ED23A6">
        <w:rPr>
          <w:rFonts w:ascii="Times New Roman" w:hAnsi="Times New Roman" w:cs="Times New Roman"/>
          <w:lang w:val="en-GB"/>
        </w:rPr>
        <w:t> </w:t>
      </w:r>
      <w:r w:rsidR="002C43D3" w:rsidRPr="00816C73">
        <w:rPr>
          <w:rFonts w:ascii="Times New Roman" w:hAnsi="Times New Roman" w:cs="Times New Roman"/>
          <w:lang w:val="en-GB"/>
        </w:rPr>
        <w:t xml:space="preserve">crucial factor in building a </w:t>
      </w:r>
      <w:r w:rsidRPr="00816C73">
        <w:rPr>
          <w:rFonts w:ascii="Times New Roman" w:hAnsi="Times New Roman" w:cs="Times New Roman"/>
          <w:lang w:val="en-GB"/>
        </w:rPr>
        <w:t xml:space="preserve">competitive advantage and enhancing resilience to rising energy costs and the impacts of climate change </w:t>
      </w:r>
      <w:r w:rsidR="00F6486E" w:rsidRPr="00816C73">
        <w:rPr>
          <w:rFonts w:ascii="Times New Roman" w:hAnsi="Times New Roman" w:cs="Times New Roman"/>
          <w:lang w:val="en-GB"/>
        </w:rPr>
        <w:t>(</w:t>
      </w:r>
      <w:proofErr w:type="spellStart"/>
      <w:r w:rsidRPr="00816C73">
        <w:rPr>
          <w:rFonts w:ascii="Times New Roman" w:hAnsi="Times New Roman" w:cs="Times New Roman"/>
          <w:lang w:val="en-GB"/>
        </w:rPr>
        <w:t>Jacyna</w:t>
      </w:r>
      <w:proofErr w:type="spellEnd"/>
      <w:r w:rsidR="00F6486E"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2014</w:t>
      </w:r>
      <w:r w:rsidR="00131FA1">
        <w:rPr>
          <w:rFonts w:ascii="Times New Roman" w:hAnsi="Times New Roman" w:cs="Times New Roman"/>
          <w:lang w:val="en-GB"/>
        </w:rPr>
        <w:t>,</w:t>
      </w:r>
      <w:r w:rsidRPr="00816C73">
        <w:rPr>
          <w:rFonts w:ascii="Times New Roman" w:hAnsi="Times New Roman" w:cs="Times New Roman"/>
          <w:lang w:val="en-GB"/>
        </w:rPr>
        <w:t xml:space="preserve"> Szczepański</w:t>
      </w:r>
      <w:r w:rsidR="00F6486E"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2025</w:t>
      </w:r>
      <w:r w:rsidR="002C43D3" w:rsidRPr="00816C73">
        <w:rPr>
          <w:rFonts w:ascii="Times New Roman" w:hAnsi="Times New Roman" w:cs="Times New Roman"/>
          <w:lang w:val="en-GB"/>
        </w:rPr>
        <w:t>)</w:t>
      </w:r>
      <w:r w:rsidRPr="00816C73">
        <w:rPr>
          <w:rFonts w:ascii="Times New Roman" w:hAnsi="Times New Roman" w:cs="Times New Roman"/>
          <w:lang w:val="en-GB"/>
        </w:rPr>
        <w:t>.</w:t>
      </w:r>
    </w:p>
    <w:p w14:paraId="52A1BECA" w14:textId="612F5457" w:rsidR="0032044C" w:rsidRPr="00816C73" w:rsidRDefault="0032044C"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environmental component of ESG encompasses corporate activities that affect the </w:t>
      </w:r>
      <w:r w:rsidR="004919C5">
        <w:rPr>
          <w:rFonts w:ascii="Times New Roman" w:hAnsi="Times New Roman" w:cs="Times New Roman"/>
          <w:lang w:val="en-GB"/>
        </w:rPr>
        <w:t>natural environment, including emissions of pollutant</w:t>
      </w:r>
      <w:r w:rsidRPr="00816C73">
        <w:rPr>
          <w:rFonts w:ascii="Times New Roman" w:hAnsi="Times New Roman" w:cs="Times New Roman"/>
          <w:lang w:val="en-GB"/>
        </w:rPr>
        <w:t>s, energy and water consumption, waste generation, and compliance with environmental regulations. In energy-intensive sectors, particular importance is attached to monitoring GHG emissions, the share of energy derived from renewable sources, and the energy efficiency of operational processes</w:t>
      </w:r>
      <w:r w:rsidR="00C16A11" w:rsidRPr="00816C73">
        <w:rPr>
          <w:rFonts w:ascii="Times New Roman" w:hAnsi="Times New Roman" w:cs="Times New Roman"/>
          <w:lang w:val="en-GB"/>
        </w:rPr>
        <w:t xml:space="preserve"> (Lenort et al. 2019)</w:t>
      </w:r>
      <w:r w:rsidRPr="00816C73">
        <w:rPr>
          <w:rFonts w:ascii="Times New Roman" w:hAnsi="Times New Roman" w:cs="Times New Roman"/>
          <w:lang w:val="en-GB"/>
        </w:rPr>
        <w:t>. Other examples of environmental indicators include emission intensity, the volume of waste recycled, and the number of environmental regulation violations.</w:t>
      </w:r>
      <w:r w:rsidR="007C022D" w:rsidRPr="00816C73">
        <w:rPr>
          <w:rFonts w:ascii="Times New Roman" w:hAnsi="Times New Roman" w:cs="Times New Roman"/>
          <w:lang w:val="en-GB"/>
        </w:rPr>
        <w:t xml:space="preserve"> </w:t>
      </w:r>
      <w:r w:rsidRPr="00816C73">
        <w:rPr>
          <w:rFonts w:ascii="Times New Roman" w:hAnsi="Times New Roman" w:cs="Times New Roman"/>
          <w:lang w:val="en-GB"/>
        </w:rPr>
        <w:t xml:space="preserve">The progressive tightening of environmental regulations necessitates infrastructure modernisation, the implementation of emission monitoring systems, and the development of processes aligned with the principles of the circular economy. As a result, environmental indicators currently serve a dual function: they enable ESG-compliant reporting while simultaneously constituting a key element of strategic management </w:t>
      </w:r>
      <w:r w:rsidR="00461787" w:rsidRPr="00816C73">
        <w:rPr>
          <w:rFonts w:ascii="Times New Roman" w:hAnsi="Times New Roman" w:cs="Times New Roman"/>
          <w:lang w:val="en-GB"/>
        </w:rPr>
        <w:t>(</w:t>
      </w:r>
      <w:proofErr w:type="spellStart"/>
      <w:r w:rsidR="00461787" w:rsidRPr="00816C73">
        <w:rPr>
          <w:rFonts w:ascii="Times New Roman" w:hAnsi="Times New Roman" w:cs="Times New Roman"/>
          <w:lang w:val="en-GB"/>
        </w:rPr>
        <w:t>Kotsantonis</w:t>
      </w:r>
      <w:proofErr w:type="spellEnd"/>
      <w:r w:rsidR="00461787"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2016</w:t>
      </w:r>
      <w:r w:rsidR="00131FA1">
        <w:rPr>
          <w:rFonts w:ascii="Times New Roman" w:hAnsi="Times New Roman" w:cs="Times New Roman"/>
          <w:lang w:val="en-GB"/>
        </w:rPr>
        <w:t>,</w:t>
      </w:r>
      <w:r w:rsidRPr="00816C73">
        <w:rPr>
          <w:rFonts w:ascii="Times New Roman" w:hAnsi="Times New Roman" w:cs="Times New Roman"/>
          <w:lang w:val="en-GB"/>
        </w:rPr>
        <w:t xml:space="preserve"> OECD, 2020</w:t>
      </w:r>
      <w:r w:rsidR="00461787" w:rsidRPr="00816C73">
        <w:rPr>
          <w:rFonts w:ascii="Times New Roman" w:hAnsi="Times New Roman" w:cs="Times New Roman"/>
          <w:lang w:val="en-GB"/>
        </w:rPr>
        <w:t>)</w:t>
      </w:r>
      <w:r w:rsidRPr="00816C73">
        <w:rPr>
          <w:rFonts w:ascii="Times New Roman" w:hAnsi="Times New Roman" w:cs="Times New Roman"/>
          <w:lang w:val="en-GB"/>
        </w:rPr>
        <w:t>.</w:t>
      </w:r>
    </w:p>
    <w:p w14:paraId="2221333C" w14:textId="76CE8BF2" w:rsidR="0032044C" w:rsidRPr="00816C73" w:rsidRDefault="0032044C" w:rsidP="00286736">
      <w:pPr>
        <w:spacing w:after="0" w:line="240" w:lineRule="auto"/>
        <w:ind w:firstLine="284"/>
        <w:jc w:val="both"/>
        <w:rPr>
          <w:rFonts w:ascii="Times New Roman" w:hAnsi="Times New Roman" w:cs="Times New Roman"/>
          <w:lang w:val="en-GB"/>
        </w:rPr>
      </w:pPr>
      <w:r w:rsidRPr="00ED23A6">
        <w:rPr>
          <w:rFonts w:ascii="Times New Roman" w:hAnsi="Times New Roman" w:cs="Times New Roman"/>
          <w:spacing w:val="-2"/>
          <w:lang w:val="en-GB"/>
        </w:rPr>
        <w:t>The social component of ESG covers a broad range of issues related to a company</w:t>
      </w:r>
      <w:r w:rsidR="004919C5" w:rsidRPr="00ED23A6">
        <w:rPr>
          <w:rFonts w:ascii="Times New Roman" w:hAnsi="Times New Roman" w:cs="Times New Roman"/>
          <w:spacing w:val="-2"/>
          <w:lang w:val="en-GB"/>
        </w:rPr>
        <w:t>'</w:t>
      </w:r>
      <w:r w:rsidRPr="00ED23A6">
        <w:rPr>
          <w:rFonts w:ascii="Times New Roman" w:hAnsi="Times New Roman" w:cs="Times New Roman"/>
          <w:spacing w:val="-2"/>
          <w:lang w:val="en-GB"/>
        </w:rPr>
        <w:t xml:space="preserve">s interactions with various stakeholder groups, including employees, local communities, customers, and subcontractors. These relationships pertain </w:t>
      </w:r>
      <w:r w:rsidR="002C43D3" w:rsidRPr="00ED23A6">
        <w:rPr>
          <w:rFonts w:ascii="Times New Roman" w:hAnsi="Times New Roman" w:cs="Times New Roman"/>
          <w:spacing w:val="-2"/>
          <w:lang w:val="en-GB"/>
        </w:rPr>
        <w:t xml:space="preserve">to both the quality of working conditions, employee safety, and well-being, as well as </w:t>
      </w:r>
      <w:r w:rsidRPr="00ED23A6">
        <w:rPr>
          <w:rFonts w:ascii="Times New Roman" w:hAnsi="Times New Roman" w:cs="Times New Roman"/>
          <w:spacing w:val="-2"/>
          <w:lang w:val="en-GB"/>
        </w:rPr>
        <w:t xml:space="preserve">the impact of corporate activities on the social and spatial environment </w:t>
      </w:r>
      <w:r w:rsidR="00570626" w:rsidRPr="00ED23A6">
        <w:rPr>
          <w:rFonts w:ascii="Times New Roman" w:hAnsi="Times New Roman" w:cs="Times New Roman"/>
          <w:spacing w:val="-2"/>
          <w:lang w:val="en-GB"/>
        </w:rPr>
        <w:t>(</w:t>
      </w:r>
      <w:r w:rsidRPr="00ED23A6">
        <w:rPr>
          <w:rFonts w:ascii="Times New Roman" w:hAnsi="Times New Roman" w:cs="Times New Roman"/>
          <w:spacing w:val="-2"/>
          <w:lang w:val="en-GB"/>
        </w:rPr>
        <w:t>Yawar</w:t>
      </w:r>
      <w:r w:rsidR="00570626" w:rsidRPr="00ED23A6">
        <w:rPr>
          <w:rFonts w:ascii="Times New Roman" w:hAnsi="Times New Roman" w:cs="Times New Roman"/>
          <w:spacing w:val="-2"/>
          <w:lang w:val="en-GB"/>
        </w:rPr>
        <w:t xml:space="preserve"> &amp; Seuring</w:t>
      </w:r>
      <w:r w:rsidRPr="00ED23A6">
        <w:rPr>
          <w:rFonts w:ascii="Times New Roman" w:hAnsi="Times New Roman" w:cs="Times New Roman"/>
          <w:spacing w:val="-2"/>
          <w:lang w:val="en-GB"/>
        </w:rPr>
        <w:t xml:space="preserve"> 2017</w:t>
      </w:r>
      <w:r w:rsidR="00131FA1" w:rsidRPr="00ED23A6">
        <w:rPr>
          <w:rFonts w:ascii="Times New Roman" w:hAnsi="Times New Roman" w:cs="Times New Roman"/>
          <w:spacing w:val="-2"/>
          <w:lang w:val="en-GB"/>
        </w:rPr>
        <w:t>,</w:t>
      </w:r>
      <w:r w:rsidRPr="00ED23A6">
        <w:rPr>
          <w:rFonts w:ascii="Times New Roman" w:hAnsi="Times New Roman" w:cs="Times New Roman"/>
          <w:spacing w:val="-2"/>
          <w:lang w:val="en-GB"/>
        </w:rPr>
        <w:t xml:space="preserve"> </w:t>
      </w:r>
      <w:proofErr w:type="spellStart"/>
      <w:r w:rsidRPr="00ED23A6">
        <w:rPr>
          <w:rFonts w:ascii="Times New Roman" w:hAnsi="Times New Roman" w:cs="Times New Roman"/>
          <w:spacing w:val="-2"/>
          <w:lang w:val="en-GB"/>
        </w:rPr>
        <w:t>Kiciński</w:t>
      </w:r>
      <w:proofErr w:type="spellEnd"/>
      <w:r w:rsidR="00570626" w:rsidRPr="00ED23A6">
        <w:rPr>
          <w:rFonts w:ascii="Times New Roman" w:hAnsi="Times New Roman" w:cs="Times New Roman"/>
          <w:spacing w:val="-2"/>
          <w:lang w:val="en-GB"/>
        </w:rPr>
        <w:t xml:space="preserve"> &amp; Solecka</w:t>
      </w:r>
      <w:r w:rsidRPr="00ED23A6">
        <w:rPr>
          <w:rFonts w:ascii="Times New Roman" w:hAnsi="Times New Roman" w:cs="Times New Roman"/>
          <w:spacing w:val="-2"/>
          <w:lang w:val="en-GB"/>
        </w:rPr>
        <w:t xml:space="preserve"> 2018</w:t>
      </w:r>
      <w:r w:rsidR="0032603A" w:rsidRPr="00ED23A6">
        <w:rPr>
          <w:rFonts w:ascii="Times New Roman" w:hAnsi="Times New Roman" w:cs="Times New Roman"/>
          <w:spacing w:val="-2"/>
          <w:lang w:val="en-GB"/>
        </w:rPr>
        <w:t>)</w:t>
      </w:r>
      <w:r w:rsidRPr="00ED23A6">
        <w:rPr>
          <w:rFonts w:ascii="Times New Roman" w:hAnsi="Times New Roman" w:cs="Times New Roman"/>
          <w:spacing w:val="-2"/>
          <w:lang w:val="en-GB"/>
        </w:rPr>
        <w:t>.</w:t>
      </w:r>
      <w:r w:rsidRPr="00816C73">
        <w:rPr>
          <w:rFonts w:ascii="Times New Roman" w:hAnsi="Times New Roman" w:cs="Times New Roman"/>
          <w:lang w:val="en-GB"/>
        </w:rPr>
        <w:t xml:space="preserve"> The</w:t>
      </w:r>
      <w:r w:rsidR="00ED23A6">
        <w:rPr>
          <w:rFonts w:ascii="Times New Roman" w:hAnsi="Times New Roman" w:cs="Times New Roman"/>
          <w:lang w:val="en-GB"/>
        </w:rPr>
        <w:t> </w:t>
      </w:r>
      <w:r w:rsidRPr="00816C73">
        <w:rPr>
          <w:rFonts w:ascii="Times New Roman" w:hAnsi="Times New Roman" w:cs="Times New Roman"/>
          <w:lang w:val="en-GB"/>
        </w:rPr>
        <w:t>assessment of social aspects aims to determine the extent to which a company operates responsibly and ethically, in accordance with the principles of human rights and social cohesion.</w:t>
      </w:r>
    </w:p>
    <w:p w14:paraId="6EB75531" w14:textId="741ACB22" w:rsidR="0032044C" w:rsidRPr="00816C73" w:rsidRDefault="0032044C"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Within the area of employee relations, particular attention is paid to factors such as employment stability, employee turnover rates, and occupational safety, </w:t>
      </w:r>
      <w:r w:rsidR="00805072" w:rsidRPr="00816C73">
        <w:rPr>
          <w:rFonts w:ascii="Times New Roman" w:hAnsi="Times New Roman" w:cs="Times New Roman"/>
          <w:lang w:val="en-GB"/>
        </w:rPr>
        <w:t>which is measured, for example,</w:t>
      </w:r>
      <w:r w:rsidRPr="00816C73">
        <w:rPr>
          <w:rFonts w:ascii="Times New Roman" w:hAnsi="Times New Roman" w:cs="Times New Roman"/>
          <w:lang w:val="en-GB"/>
        </w:rPr>
        <w:t xml:space="preserve"> by the number of accidents or the Lost Time Injury Frequency Rate (LTIFR). Employee skills development also represents an important dimension, with indicators such as the average number of training hours per employee used to assess investments in human capital. High standards of the working environment not only enhance organisational performance and efficiency but also contribute to building a long-term reputation as a responsible employer. Gender equality constitutes another essential element of the social component. Companies monitor the share of women in total employment and in managerial positions, as well as gender pay gaps. These indicators reflect the organisation</w:t>
      </w:r>
      <w:r w:rsidR="004919C5">
        <w:rPr>
          <w:rFonts w:ascii="Times New Roman" w:hAnsi="Times New Roman" w:cs="Times New Roman"/>
          <w:lang w:val="en-GB"/>
        </w:rPr>
        <w:t>'</w:t>
      </w:r>
      <w:r w:rsidRPr="00816C73">
        <w:rPr>
          <w:rFonts w:ascii="Times New Roman" w:hAnsi="Times New Roman" w:cs="Times New Roman"/>
          <w:lang w:val="en-GB"/>
        </w:rPr>
        <w:t>s actual commitment to equal opportunities, diversity, and the prevention of discrimination.</w:t>
      </w:r>
    </w:p>
    <w:p w14:paraId="155FC1D9" w14:textId="53CD549F" w:rsidR="00721006" w:rsidRPr="00816C73" w:rsidRDefault="00721006"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social component also encompasses relationships with the local environment, which are of critical importance in many sectors. In this context, a company</w:t>
      </w:r>
      <w:r w:rsidR="004919C5">
        <w:rPr>
          <w:rFonts w:ascii="Times New Roman" w:hAnsi="Times New Roman" w:cs="Times New Roman"/>
          <w:lang w:val="en-GB"/>
        </w:rPr>
        <w:t>'</w:t>
      </w:r>
      <w:r w:rsidRPr="00816C73">
        <w:rPr>
          <w:rFonts w:ascii="Times New Roman" w:hAnsi="Times New Roman" w:cs="Times New Roman"/>
          <w:lang w:val="en-GB"/>
        </w:rPr>
        <w:t xml:space="preserve">s social value is reflected, inter alia, in the number of initiatives undertaken for the benefit of local communities and in the level of financial or in-kind support provided. An important element of social responsibility is also adherence to the principles of spatial planning. Investment planning that limits conflicts with residential, environmental, and transport functions contributes to greater social acceptance of projects </w:t>
      </w:r>
      <w:r w:rsidR="00517F7A" w:rsidRPr="00816C73">
        <w:rPr>
          <w:rFonts w:ascii="Times New Roman" w:hAnsi="Times New Roman" w:cs="Times New Roman"/>
          <w:lang w:val="en-GB"/>
        </w:rPr>
        <w:t>(</w:t>
      </w:r>
      <w:r w:rsidR="00CA740B" w:rsidRPr="00816C73">
        <w:rPr>
          <w:rFonts w:ascii="Times New Roman" w:hAnsi="Times New Roman" w:cs="Times New Roman"/>
          <w:lang w:val="en-GB"/>
        </w:rPr>
        <w:t>Martiny et al. 2024</w:t>
      </w:r>
      <w:r w:rsidR="00131FA1">
        <w:rPr>
          <w:rFonts w:ascii="Times New Roman" w:hAnsi="Times New Roman" w:cs="Times New Roman"/>
          <w:lang w:val="en-GB"/>
        </w:rPr>
        <w:t>,</w:t>
      </w:r>
      <w:r w:rsidR="00517F7A" w:rsidRPr="00816C73">
        <w:rPr>
          <w:rFonts w:ascii="Times New Roman" w:hAnsi="Times New Roman" w:cs="Times New Roman"/>
          <w:lang w:val="en-GB"/>
        </w:rPr>
        <w:t xml:space="preserve"> Chen et al. 2025)</w:t>
      </w:r>
      <w:r w:rsidRPr="00816C73">
        <w:rPr>
          <w:rFonts w:ascii="Times New Roman" w:hAnsi="Times New Roman" w:cs="Times New Roman"/>
          <w:lang w:val="en-GB"/>
        </w:rPr>
        <w:t>.</w:t>
      </w:r>
    </w:p>
    <w:p w14:paraId="159C4BCB" w14:textId="7870F1D7" w:rsidR="00721006" w:rsidRPr="00816C73" w:rsidRDefault="00721006"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Complementing the social component are relationships with customers. Companies monitor customer satisfaction levels using tools such as Net Promoter Score (NPS) surveys and analyse the number of complaints related to service or product quality. A high standard of customer service constitutes an important factor in building market trust and competitive advantage </w:t>
      </w:r>
      <w:r w:rsidR="008F7996" w:rsidRPr="00816C73">
        <w:rPr>
          <w:rFonts w:ascii="Times New Roman" w:hAnsi="Times New Roman" w:cs="Times New Roman"/>
          <w:lang w:val="en-GB"/>
        </w:rPr>
        <w:t>(</w:t>
      </w:r>
      <w:proofErr w:type="spellStart"/>
      <w:r w:rsidRPr="00816C73">
        <w:rPr>
          <w:rFonts w:ascii="Times New Roman" w:hAnsi="Times New Roman" w:cs="Times New Roman"/>
          <w:lang w:val="en-GB"/>
        </w:rPr>
        <w:t>Keiningham</w:t>
      </w:r>
      <w:proofErr w:type="spellEnd"/>
      <w:r w:rsidR="008F7996"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2007</w:t>
      </w:r>
      <w:r w:rsidR="008F7996" w:rsidRPr="00816C73">
        <w:rPr>
          <w:rFonts w:ascii="Times New Roman" w:hAnsi="Times New Roman" w:cs="Times New Roman"/>
          <w:lang w:val="en-GB"/>
        </w:rPr>
        <w:t>)</w:t>
      </w:r>
      <w:r w:rsidRPr="00816C73">
        <w:rPr>
          <w:rFonts w:ascii="Times New Roman" w:hAnsi="Times New Roman" w:cs="Times New Roman"/>
          <w:lang w:val="en-GB"/>
        </w:rPr>
        <w:t xml:space="preserve">. The integration of social criteria into corporate management </w:t>
      </w:r>
      <w:r w:rsidR="004919C5">
        <w:rPr>
          <w:rFonts w:ascii="Times New Roman" w:hAnsi="Times New Roman" w:cs="Times New Roman"/>
          <w:lang w:val="en-GB"/>
        </w:rPr>
        <w:t>enhances operational stability and strengthens</w:t>
      </w:r>
      <w:r w:rsidRPr="00816C73">
        <w:rPr>
          <w:rFonts w:ascii="Times New Roman" w:hAnsi="Times New Roman" w:cs="Times New Roman"/>
          <w:lang w:val="en-GB"/>
        </w:rPr>
        <w:t xml:space="preserve"> stakeholder relationships </w:t>
      </w:r>
      <w:r w:rsidR="00BB0A68" w:rsidRPr="00816C73">
        <w:rPr>
          <w:rFonts w:ascii="Times New Roman" w:hAnsi="Times New Roman" w:cs="Times New Roman"/>
          <w:lang w:val="en-GB"/>
        </w:rPr>
        <w:t>(</w:t>
      </w:r>
      <w:proofErr w:type="spellStart"/>
      <w:r w:rsidR="00BB0A68" w:rsidRPr="00816C73">
        <w:rPr>
          <w:rFonts w:ascii="Times New Roman" w:hAnsi="Times New Roman" w:cs="Times New Roman"/>
          <w:lang w:val="en-GB"/>
        </w:rPr>
        <w:t>Kotsantonis</w:t>
      </w:r>
      <w:proofErr w:type="spellEnd"/>
      <w:r w:rsidR="00BB0A68" w:rsidRPr="00816C73">
        <w:rPr>
          <w:rFonts w:ascii="Times New Roman" w:hAnsi="Times New Roman" w:cs="Times New Roman"/>
          <w:lang w:val="en-GB"/>
        </w:rPr>
        <w:t xml:space="preserve"> et al. 2016)</w:t>
      </w:r>
      <w:r w:rsidRPr="00816C73">
        <w:rPr>
          <w:rFonts w:ascii="Times New Roman" w:hAnsi="Times New Roman" w:cs="Times New Roman"/>
          <w:lang w:val="en-GB"/>
        </w:rPr>
        <w:t>.</w:t>
      </w:r>
    </w:p>
    <w:p w14:paraId="5D4969E8" w14:textId="04B68B64" w:rsidR="003A6570" w:rsidRPr="00816C73" w:rsidRDefault="003A6570"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governance component encompasses principles of corporate governance, management structures, transparency of decision-making processes, and compliance with applicable legal and regulatory requirements. This dimension </w:t>
      </w:r>
      <w:r w:rsidR="004919C5">
        <w:rPr>
          <w:rFonts w:ascii="Times New Roman" w:hAnsi="Times New Roman" w:cs="Times New Roman"/>
          <w:lang w:val="en-GB"/>
        </w:rPr>
        <w:t>concerns how</w:t>
      </w:r>
      <w:r w:rsidRPr="00816C73">
        <w:rPr>
          <w:rFonts w:ascii="Times New Roman" w:hAnsi="Times New Roman" w:cs="Times New Roman"/>
          <w:lang w:val="en-GB"/>
        </w:rPr>
        <w:t xml:space="preserve"> a company is managed, supervised, and held accountable for its activities. Governance plays a critical role in ensuring organisational stability, reducing the risk of misconduct, and building public trust.</w:t>
      </w:r>
    </w:p>
    <w:p w14:paraId="6470E1B0" w14:textId="456E2C60" w:rsidR="003A6570" w:rsidRPr="00816C73" w:rsidRDefault="003A6570"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lastRenderedPageBreak/>
        <w:t xml:space="preserve">One of the fundamental elements of sound corporate governance is a transparent management structure. Assessment criteria include, inter alia, the share of independent members on supervisory boards, the representation of women in governing bodies, and the frequency of supervisory board meetings, which together reflect the quality of ownership oversight. Companies with well-defined governance structures tend to exhibit greater resilience to conflicts of interest, more effective communication, and more stable long-term policies </w:t>
      </w:r>
      <w:r w:rsidR="00CA740B" w:rsidRPr="00816C73">
        <w:rPr>
          <w:rFonts w:ascii="Times New Roman" w:hAnsi="Times New Roman" w:cs="Times New Roman"/>
          <w:lang w:val="en-GB"/>
        </w:rPr>
        <w:t>(</w:t>
      </w:r>
      <w:r w:rsidRPr="00816C73">
        <w:rPr>
          <w:rFonts w:ascii="Times New Roman" w:hAnsi="Times New Roman" w:cs="Times New Roman"/>
          <w:lang w:val="en-GB"/>
        </w:rPr>
        <w:t>Shleifer</w:t>
      </w:r>
      <w:r w:rsidR="00944F41" w:rsidRPr="00816C73">
        <w:rPr>
          <w:rFonts w:ascii="Times New Roman" w:hAnsi="Times New Roman" w:cs="Times New Roman"/>
          <w:lang w:val="en-GB"/>
        </w:rPr>
        <w:t xml:space="preserve"> &amp; </w:t>
      </w:r>
      <w:proofErr w:type="spellStart"/>
      <w:r w:rsidR="00944F41" w:rsidRPr="00816C73">
        <w:rPr>
          <w:rFonts w:ascii="Times New Roman" w:hAnsi="Times New Roman" w:cs="Times New Roman"/>
          <w:lang w:val="en-GB"/>
        </w:rPr>
        <w:t>Vishny</w:t>
      </w:r>
      <w:proofErr w:type="spellEnd"/>
      <w:r w:rsidR="00944F41" w:rsidRPr="00816C73">
        <w:rPr>
          <w:rFonts w:ascii="Times New Roman" w:hAnsi="Times New Roman" w:cs="Times New Roman"/>
          <w:lang w:val="en-GB"/>
        </w:rPr>
        <w:t xml:space="preserve"> </w:t>
      </w:r>
      <w:r w:rsidRPr="00816C73">
        <w:rPr>
          <w:rFonts w:ascii="Times New Roman" w:hAnsi="Times New Roman" w:cs="Times New Roman"/>
          <w:lang w:val="en-GB"/>
        </w:rPr>
        <w:t>1997</w:t>
      </w:r>
      <w:r w:rsidR="00131FA1">
        <w:rPr>
          <w:rFonts w:ascii="Times New Roman" w:hAnsi="Times New Roman" w:cs="Times New Roman"/>
          <w:lang w:val="en-GB"/>
        </w:rPr>
        <w:t>,</w:t>
      </w:r>
      <w:r w:rsidRPr="00816C73">
        <w:rPr>
          <w:rFonts w:ascii="Times New Roman" w:hAnsi="Times New Roman" w:cs="Times New Roman"/>
          <w:lang w:val="en-GB"/>
        </w:rPr>
        <w:t xml:space="preserve"> Eccles</w:t>
      </w:r>
      <w:r w:rsidR="00944F41"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2014</w:t>
      </w:r>
      <w:r w:rsidR="00131FA1">
        <w:rPr>
          <w:rFonts w:ascii="Times New Roman" w:hAnsi="Times New Roman" w:cs="Times New Roman"/>
          <w:lang w:val="en-GB"/>
        </w:rPr>
        <w:t>,</w:t>
      </w:r>
      <w:r w:rsidRPr="00816C73">
        <w:rPr>
          <w:rFonts w:ascii="Times New Roman" w:hAnsi="Times New Roman" w:cs="Times New Roman"/>
          <w:lang w:val="en-GB"/>
        </w:rPr>
        <w:t xml:space="preserve"> </w:t>
      </w:r>
      <w:r w:rsidR="00CA740B" w:rsidRPr="00816C73">
        <w:rPr>
          <w:rFonts w:ascii="Times New Roman" w:hAnsi="Times New Roman" w:cs="Times New Roman"/>
          <w:lang w:val="en-GB"/>
        </w:rPr>
        <w:t>Martiny et al. 2024)</w:t>
      </w:r>
      <w:r w:rsidRPr="00816C73">
        <w:rPr>
          <w:rFonts w:ascii="Times New Roman" w:hAnsi="Times New Roman" w:cs="Times New Roman"/>
          <w:lang w:val="en-GB"/>
        </w:rPr>
        <w:t>.</w:t>
      </w:r>
    </w:p>
    <w:p w14:paraId="598F192B" w14:textId="4288CD92" w:rsidR="003A6570" w:rsidRPr="00816C73" w:rsidRDefault="003A6570"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Another key area within the governance dimension concerns ethics and compliance. This includes measures </w:t>
      </w:r>
      <w:r w:rsidR="004919C5">
        <w:rPr>
          <w:rFonts w:ascii="Times New Roman" w:hAnsi="Times New Roman" w:cs="Times New Roman"/>
          <w:lang w:val="en-GB"/>
        </w:rPr>
        <w:t>to prevent</w:t>
      </w:r>
      <w:r w:rsidRPr="00816C73">
        <w:rPr>
          <w:rFonts w:ascii="Times New Roman" w:hAnsi="Times New Roman" w:cs="Times New Roman"/>
          <w:lang w:val="en-GB"/>
        </w:rPr>
        <w:t xml:space="preserve"> corruption, abuse, and unethical behaviour within the organisation. Typical indicators comprise the number of confirmed ethical violations, the proportion of employees trained in ethics and regulatory compliance, and the number of reports submitted through whistleblowing systems. High standards of organisational ethics </w:t>
      </w:r>
      <w:r w:rsidR="004919C5">
        <w:rPr>
          <w:rFonts w:ascii="Times New Roman" w:hAnsi="Times New Roman" w:cs="Times New Roman"/>
          <w:lang w:val="en-GB"/>
        </w:rPr>
        <w:t>help minimise reputational risk and reduce</w:t>
      </w:r>
      <w:r w:rsidRPr="00816C73">
        <w:rPr>
          <w:rFonts w:ascii="Times New Roman" w:hAnsi="Times New Roman" w:cs="Times New Roman"/>
          <w:lang w:val="en-GB"/>
        </w:rPr>
        <w:t xml:space="preserve"> legal costs associated with regulatory breaches.</w:t>
      </w:r>
    </w:p>
    <w:p w14:paraId="61C5669A" w14:textId="6A46897F" w:rsidR="003A6570" w:rsidRPr="00816C73" w:rsidRDefault="003A6570"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governance dimension of ESG also covers risk management. Companies </w:t>
      </w:r>
      <w:r w:rsidR="00805072" w:rsidRPr="00816C73">
        <w:rPr>
          <w:rFonts w:ascii="Times New Roman" w:hAnsi="Times New Roman" w:cs="Times New Roman"/>
          <w:lang w:val="en-GB"/>
        </w:rPr>
        <w:t>that apply high standards in this area implement formal risk management systems, which</w:t>
      </w:r>
      <w:r w:rsidRPr="00816C73">
        <w:rPr>
          <w:rFonts w:ascii="Times New Roman" w:hAnsi="Times New Roman" w:cs="Times New Roman"/>
          <w:lang w:val="en-GB"/>
        </w:rPr>
        <w:t xml:space="preserve"> include, among others, ESG-based supplier assessments and continuous monitoring of regulatory compliance. Such systems enable faster </w:t>
      </w:r>
      <w:r w:rsidR="004919C5">
        <w:rPr>
          <w:rFonts w:ascii="Times New Roman" w:hAnsi="Times New Roman" w:cs="Times New Roman"/>
          <w:lang w:val="en-GB"/>
        </w:rPr>
        <w:t>threat identification</w:t>
      </w:r>
      <w:r w:rsidRPr="00816C73">
        <w:rPr>
          <w:rFonts w:ascii="Times New Roman" w:hAnsi="Times New Roman" w:cs="Times New Roman"/>
          <w:lang w:val="en-GB"/>
        </w:rPr>
        <w:t xml:space="preserve"> and support decision-making based on a more comprehensive analysis of operational, financial, and reputational risks </w:t>
      </w:r>
      <w:r w:rsidR="00064545" w:rsidRPr="00816C73">
        <w:rPr>
          <w:rFonts w:ascii="Times New Roman" w:hAnsi="Times New Roman" w:cs="Times New Roman"/>
          <w:lang w:val="en-GB"/>
        </w:rPr>
        <w:t>(</w:t>
      </w:r>
      <w:r w:rsidRPr="00816C73">
        <w:rPr>
          <w:rFonts w:ascii="Times New Roman" w:hAnsi="Times New Roman" w:cs="Times New Roman"/>
          <w:lang w:val="en-GB"/>
        </w:rPr>
        <w:t>Kuzmina</w:t>
      </w:r>
      <w:r w:rsidR="00064545"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2023</w:t>
      </w:r>
      <w:r w:rsidR="00131FA1">
        <w:rPr>
          <w:rFonts w:ascii="Times New Roman" w:hAnsi="Times New Roman" w:cs="Times New Roman"/>
          <w:lang w:val="en-GB"/>
        </w:rPr>
        <w:t>,</w:t>
      </w:r>
      <w:r w:rsidRPr="00816C73">
        <w:rPr>
          <w:rFonts w:ascii="Times New Roman" w:hAnsi="Times New Roman" w:cs="Times New Roman"/>
          <w:lang w:val="en-GB"/>
        </w:rPr>
        <w:t xml:space="preserve"> Kukulski</w:t>
      </w:r>
      <w:r w:rsidR="00064545"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2023</w:t>
      </w:r>
      <w:r w:rsidR="00064545" w:rsidRPr="00816C73">
        <w:rPr>
          <w:rFonts w:ascii="Times New Roman" w:hAnsi="Times New Roman" w:cs="Times New Roman"/>
          <w:lang w:val="en-GB"/>
        </w:rPr>
        <w:t>)</w:t>
      </w:r>
      <w:r w:rsidRPr="00816C73">
        <w:rPr>
          <w:rFonts w:ascii="Times New Roman" w:hAnsi="Times New Roman" w:cs="Times New Roman"/>
          <w:lang w:val="en-GB"/>
        </w:rPr>
        <w:t>.</w:t>
      </w:r>
    </w:p>
    <w:p w14:paraId="21546E1A" w14:textId="7653D8EA" w:rsidR="003F7A4F" w:rsidRPr="00816C73" w:rsidRDefault="003F7A4F" w:rsidP="00286736">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w:t>
      </w:r>
      <w:r w:rsidR="004919C5">
        <w:rPr>
          <w:rFonts w:ascii="Times New Roman" w:hAnsi="Times New Roman" w:cs="Times New Roman"/>
          <w:lang w:val="en-GB"/>
        </w:rPr>
        <w:t xml:space="preserve"> vital</w:t>
      </w:r>
      <w:r w:rsidRPr="00816C73">
        <w:rPr>
          <w:rFonts w:ascii="Times New Roman" w:hAnsi="Times New Roman" w:cs="Times New Roman"/>
          <w:lang w:val="en-GB"/>
        </w:rPr>
        <w:t xml:space="preserve"> element of the governance component is financial transparency, which includes, </w:t>
      </w:r>
      <w:r w:rsidR="00805072" w:rsidRPr="00816C73">
        <w:rPr>
          <w:rFonts w:ascii="Times New Roman" w:hAnsi="Times New Roman" w:cs="Times New Roman"/>
          <w:lang w:val="en-GB"/>
        </w:rPr>
        <w:t>among other things</w:t>
      </w:r>
      <w:r w:rsidRPr="00816C73">
        <w:rPr>
          <w:rFonts w:ascii="Times New Roman" w:hAnsi="Times New Roman" w:cs="Times New Roman"/>
          <w:lang w:val="en-GB"/>
        </w:rPr>
        <w:t xml:space="preserve">, </w:t>
      </w:r>
      <w:proofErr w:type="spellStart"/>
      <w:r w:rsidR="004919C5">
        <w:rPr>
          <w:rFonts w:ascii="Times New Roman" w:hAnsi="Times New Roman" w:cs="Times New Roman"/>
          <w:lang w:val="en-GB"/>
        </w:rPr>
        <w:t>analyzing</w:t>
      </w:r>
      <w:proofErr w:type="spellEnd"/>
      <w:r w:rsidR="004919C5">
        <w:rPr>
          <w:rFonts w:ascii="Times New Roman" w:hAnsi="Times New Roman" w:cs="Times New Roman"/>
          <w:lang w:val="en-GB"/>
        </w:rPr>
        <w:t xml:space="preserve"> the share of taxes paid in the country of operation and assessing</w:t>
      </w:r>
      <w:r w:rsidRPr="00816C73">
        <w:rPr>
          <w:rFonts w:ascii="Times New Roman" w:hAnsi="Times New Roman" w:cs="Times New Roman"/>
          <w:lang w:val="en-GB"/>
        </w:rPr>
        <w:t xml:space="preserve"> the number of jurisdictions in which a company operates. Transparency in this area reduces the risk of a company being perceived as engaging in aggressive tax optimisation practices and, consequently, strengthens </w:t>
      </w:r>
      <w:r w:rsidR="004919C5">
        <w:rPr>
          <w:rFonts w:ascii="Times New Roman" w:hAnsi="Times New Roman" w:cs="Times New Roman"/>
          <w:lang w:val="en-GB"/>
        </w:rPr>
        <w:t>investor and other stakeholder trust</w:t>
      </w:r>
      <w:r w:rsidRPr="00816C73">
        <w:rPr>
          <w:rFonts w:ascii="Times New Roman" w:hAnsi="Times New Roman" w:cs="Times New Roman"/>
          <w:lang w:val="en-GB"/>
        </w:rPr>
        <w:t>.</w:t>
      </w:r>
    </w:p>
    <w:p w14:paraId="69402C47" w14:textId="2F15AEC5" w:rsidR="00A06B27" w:rsidRPr="00816C73" w:rsidRDefault="004919C5" w:rsidP="00483F68">
      <w:pPr>
        <w:spacing w:after="0" w:line="240" w:lineRule="auto"/>
        <w:ind w:firstLine="284"/>
        <w:jc w:val="both"/>
        <w:rPr>
          <w:rFonts w:ascii="Times New Roman" w:hAnsi="Times New Roman" w:cs="Times New Roman"/>
          <w:lang w:val="en-GB"/>
        </w:rPr>
      </w:pPr>
      <w:r>
        <w:rPr>
          <w:rFonts w:ascii="Times New Roman" w:hAnsi="Times New Roman" w:cs="Times New Roman"/>
          <w:lang w:val="en-GB"/>
        </w:rPr>
        <w:t>Implementing a sustainable development strategy in supply chains, grounded i</w:t>
      </w:r>
      <w:r w:rsidR="003F7A4F" w:rsidRPr="00816C73">
        <w:rPr>
          <w:rFonts w:ascii="Times New Roman" w:hAnsi="Times New Roman" w:cs="Times New Roman"/>
          <w:lang w:val="en-GB"/>
        </w:rPr>
        <w:t>n ESG principles, provides a solid foundation for justifying business decisions. Such an approach supports the development of a lasting competitive advantage</w:t>
      </w:r>
      <w:r w:rsidR="00805072" w:rsidRPr="00816C73">
        <w:rPr>
          <w:rFonts w:ascii="Times New Roman" w:hAnsi="Times New Roman" w:cs="Times New Roman"/>
          <w:lang w:val="en-GB"/>
        </w:rPr>
        <w:t>, enabling</w:t>
      </w:r>
      <w:r w:rsidR="003F7A4F" w:rsidRPr="00816C73">
        <w:rPr>
          <w:rFonts w:ascii="Times New Roman" w:hAnsi="Times New Roman" w:cs="Times New Roman"/>
          <w:lang w:val="en-GB"/>
        </w:rPr>
        <w:t xml:space="preserve"> companies to respond effectively to the growing expectations of both internal and external stakeholders within the supply chain </w:t>
      </w:r>
      <w:r w:rsidR="00A117F6" w:rsidRPr="00816C73">
        <w:rPr>
          <w:rFonts w:ascii="Times New Roman" w:hAnsi="Times New Roman" w:cs="Times New Roman"/>
          <w:lang w:val="en-GB"/>
        </w:rPr>
        <w:t>(</w:t>
      </w:r>
      <w:proofErr w:type="spellStart"/>
      <w:r w:rsidR="00A117F6" w:rsidRPr="00816C73">
        <w:rPr>
          <w:rFonts w:ascii="Times New Roman" w:hAnsi="Times New Roman" w:cs="Times New Roman"/>
          <w:lang w:val="en-GB"/>
        </w:rPr>
        <w:t>Motowidlak</w:t>
      </w:r>
      <w:proofErr w:type="spellEnd"/>
      <w:r w:rsidR="00A117F6" w:rsidRPr="00816C73">
        <w:rPr>
          <w:rFonts w:ascii="Times New Roman" w:hAnsi="Times New Roman" w:cs="Times New Roman"/>
          <w:lang w:val="en-GB"/>
        </w:rPr>
        <w:t xml:space="preserve"> &amp; Bukowska-</w:t>
      </w:r>
      <w:proofErr w:type="spellStart"/>
      <w:r w:rsidR="00A117F6" w:rsidRPr="00816C73">
        <w:rPr>
          <w:rFonts w:ascii="Times New Roman" w:hAnsi="Times New Roman" w:cs="Times New Roman"/>
          <w:lang w:val="en-GB"/>
        </w:rPr>
        <w:t>Piestrzyńska</w:t>
      </w:r>
      <w:proofErr w:type="spellEnd"/>
      <w:r w:rsidR="00A117F6" w:rsidRPr="00816C73">
        <w:rPr>
          <w:rFonts w:ascii="Times New Roman" w:hAnsi="Times New Roman" w:cs="Times New Roman"/>
          <w:lang w:val="en-GB"/>
        </w:rPr>
        <w:t xml:space="preserve"> 2024)</w:t>
      </w:r>
      <w:r w:rsidR="003F7A4F" w:rsidRPr="00816C73">
        <w:rPr>
          <w:rFonts w:ascii="Times New Roman" w:hAnsi="Times New Roman" w:cs="Times New Roman"/>
          <w:lang w:val="en-GB"/>
        </w:rPr>
        <w:t>.</w:t>
      </w:r>
      <w:r w:rsidR="00A117F6" w:rsidRPr="00816C73">
        <w:rPr>
          <w:rFonts w:ascii="Times New Roman" w:hAnsi="Times New Roman" w:cs="Times New Roman"/>
          <w:lang w:val="en-GB"/>
        </w:rPr>
        <w:t xml:space="preserve"> </w:t>
      </w:r>
      <w:r w:rsidR="003F7A4F" w:rsidRPr="00816C73">
        <w:rPr>
          <w:rFonts w:ascii="Times New Roman" w:hAnsi="Times New Roman" w:cs="Times New Roman"/>
          <w:lang w:val="en-GB"/>
        </w:rPr>
        <w:t>Examples of indicators reported within the ESG framework are presented in Figure 1.</w:t>
      </w:r>
    </w:p>
    <w:p w14:paraId="1F94F948" w14:textId="3CEE39C0" w:rsidR="005146CF" w:rsidRPr="00816C73" w:rsidRDefault="00061BBE" w:rsidP="009C7AE2">
      <w:pPr>
        <w:pStyle w:val="Rn1"/>
        <w:rPr>
          <w:lang w:val="en-GB"/>
        </w:rPr>
      </w:pPr>
      <w:r w:rsidRPr="00816C73">
        <w:rPr>
          <w:lang w:val="en-GB"/>
        </w:rPr>
        <w:t xml:space="preserve">3. </w:t>
      </w:r>
      <w:r w:rsidR="005B26A1" w:rsidRPr="00816C73">
        <w:rPr>
          <w:lang w:val="en-GB"/>
        </w:rPr>
        <w:t>Regulations on ESG</w:t>
      </w:r>
    </w:p>
    <w:p w14:paraId="0ED7D606" w14:textId="55928451" w:rsidR="00037D1D" w:rsidRPr="00816C73" w:rsidRDefault="00037D1D" w:rsidP="00483F6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most advanced </w:t>
      </w:r>
      <w:r w:rsidR="004919C5">
        <w:rPr>
          <w:rFonts w:ascii="Times New Roman" w:hAnsi="Times New Roman" w:cs="Times New Roman"/>
          <w:lang w:val="en-GB"/>
        </w:rPr>
        <w:t xml:space="preserve">ESG reporting regulations have been introduced </w:t>
      </w:r>
      <w:r w:rsidRPr="00816C73">
        <w:rPr>
          <w:rFonts w:ascii="Times New Roman" w:hAnsi="Times New Roman" w:cs="Times New Roman"/>
          <w:lang w:val="en-GB"/>
        </w:rPr>
        <w:t xml:space="preserve">in the European Union. The development of EU regulations in this area has followed a gradual and evolutionary path. The first </w:t>
      </w:r>
      <w:r w:rsidR="003D013B" w:rsidRPr="00816C73">
        <w:rPr>
          <w:rFonts w:ascii="Times New Roman" w:hAnsi="Times New Roman" w:cs="Times New Roman"/>
          <w:lang w:val="en-GB"/>
        </w:rPr>
        <w:t>significant</w:t>
      </w:r>
      <w:r w:rsidRPr="00816C73">
        <w:rPr>
          <w:rFonts w:ascii="Times New Roman" w:hAnsi="Times New Roman" w:cs="Times New Roman"/>
          <w:lang w:val="en-GB"/>
        </w:rPr>
        <w:t xml:space="preserve"> step was Directive 2013/34/EU of the European Parliament and of the Council of 26 June 2013 on annual financial statements, consolidated financial statements, and related reports of certain types of undertakings (2013). This directive introduced the obligation to prepare a management report providing a fair review of an entity</w:t>
      </w:r>
      <w:r w:rsidR="004919C5">
        <w:rPr>
          <w:rFonts w:ascii="Times New Roman" w:hAnsi="Times New Roman" w:cs="Times New Roman"/>
          <w:lang w:val="en-GB"/>
        </w:rPr>
        <w:t>'</w:t>
      </w:r>
      <w:r w:rsidRPr="00816C73">
        <w:rPr>
          <w:rFonts w:ascii="Times New Roman" w:hAnsi="Times New Roman" w:cs="Times New Roman"/>
          <w:lang w:val="en-GB"/>
        </w:rPr>
        <w:t>s development, performance, and position, which</w:t>
      </w:r>
      <w:r w:rsidR="000120FE" w:rsidRPr="00816C73">
        <w:rPr>
          <w:rFonts w:ascii="Times New Roman" w:hAnsi="Times New Roman" w:cs="Times New Roman"/>
          <w:lang w:val="en-GB"/>
        </w:rPr>
        <w:t xml:space="preserve">, </w:t>
      </w:r>
      <w:r w:rsidR="004919C5">
        <w:rPr>
          <w:rFonts w:ascii="Times New Roman" w:hAnsi="Times New Roman" w:cs="Times New Roman"/>
          <w:lang w:val="en-GB"/>
        </w:rPr>
        <w:t>in addition to</w:t>
      </w:r>
      <w:r w:rsidRPr="00816C73">
        <w:rPr>
          <w:rFonts w:ascii="Times New Roman" w:hAnsi="Times New Roman" w:cs="Times New Roman"/>
          <w:lang w:val="en-GB"/>
        </w:rPr>
        <w:t xml:space="preserve"> financial data</w:t>
      </w:r>
      <w:r w:rsidR="000120FE" w:rsidRPr="00816C73">
        <w:rPr>
          <w:rFonts w:ascii="Times New Roman" w:hAnsi="Times New Roman" w:cs="Times New Roman"/>
          <w:lang w:val="en-GB"/>
        </w:rPr>
        <w:t xml:space="preserve">, </w:t>
      </w:r>
      <w:r w:rsidRPr="00816C73">
        <w:rPr>
          <w:rFonts w:ascii="Times New Roman" w:hAnsi="Times New Roman" w:cs="Times New Roman"/>
          <w:lang w:val="en-GB"/>
        </w:rPr>
        <w:t>also took into account environmental matters and employee-related issues.</w:t>
      </w:r>
    </w:p>
    <w:p w14:paraId="093A68AB" w14:textId="6C5DB65E" w:rsidR="00037D1D" w:rsidRPr="00816C73" w:rsidRDefault="00037D1D" w:rsidP="00483F6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This review was general and narrative in nature. The directive did not specify a mandatory set of disclosed data nor a standardised reporting format, granting companies </w:t>
      </w:r>
      <w:r w:rsidR="00EE4AD7" w:rsidRPr="00816C73">
        <w:rPr>
          <w:rFonts w:ascii="Times New Roman" w:hAnsi="Times New Roman" w:cs="Times New Roman"/>
          <w:lang w:val="en-GB"/>
        </w:rPr>
        <w:t>complete</w:t>
      </w:r>
      <w:r w:rsidRPr="00816C73">
        <w:rPr>
          <w:rFonts w:ascii="Times New Roman" w:hAnsi="Times New Roman" w:cs="Times New Roman"/>
          <w:lang w:val="en-GB"/>
        </w:rPr>
        <w:t xml:space="preserve"> discretion in selecting the scope and manner of non-financial disclosures. </w:t>
      </w:r>
      <w:r w:rsidR="00EE4AD7" w:rsidRPr="00816C73">
        <w:rPr>
          <w:rFonts w:ascii="Times New Roman" w:hAnsi="Times New Roman" w:cs="Times New Roman"/>
          <w:lang w:val="en-GB"/>
        </w:rPr>
        <w:t>Additionally, small and medium-sized enterprises (SMEs) were exempt</w:t>
      </w:r>
      <w:r w:rsidRPr="00816C73">
        <w:rPr>
          <w:rFonts w:ascii="Times New Roman" w:hAnsi="Times New Roman" w:cs="Times New Roman"/>
          <w:lang w:val="en-GB"/>
        </w:rPr>
        <w:t xml:space="preserve"> from the obligation to report non-financial information. In practice, reporting requirements applied only to large undertakings that, as of the balance sheet date, met at least two of the following three criteria:</w:t>
      </w:r>
    </w:p>
    <w:p w14:paraId="20CE1C59" w14:textId="0D3C3DCC" w:rsidR="00037D1D" w:rsidRPr="00816C73" w:rsidRDefault="00037D1D" w:rsidP="00ED23A6">
      <w:pPr>
        <w:numPr>
          <w:ilvl w:val="0"/>
          <w:numId w:val="24"/>
        </w:numPr>
        <w:tabs>
          <w:tab w:val="clear" w:pos="720"/>
        </w:tabs>
        <w:spacing w:after="0" w:line="240" w:lineRule="auto"/>
        <w:ind w:left="588" w:hanging="284"/>
        <w:jc w:val="both"/>
        <w:rPr>
          <w:rFonts w:ascii="Times New Roman" w:hAnsi="Times New Roman" w:cs="Times New Roman"/>
          <w:lang w:val="en-GB"/>
        </w:rPr>
      </w:pPr>
      <w:r w:rsidRPr="00816C73">
        <w:rPr>
          <w:rFonts w:ascii="Times New Roman" w:hAnsi="Times New Roman" w:cs="Times New Roman"/>
          <w:lang w:val="en-GB"/>
        </w:rPr>
        <w:t>total assets exceeding EUR 20 million</w:t>
      </w:r>
      <w:r w:rsidR="00131FA1">
        <w:rPr>
          <w:rFonts w:ascii="Times New Roman" w:hAnsi="Times New Roman" w:cs="Times New Roman"/>
          <w:lang w:val="en-GB"/>
        </w:rPr>
        <w:t>,</w:t>
      </w:r>
    </w:p>
    <w:p w14:paraId="1E224CF7" w14:textId="44CA950C" w:rsidR="00037D1D" w:rsidRPr="00816C73" w:rsidRDefault="00037D1D" w:rsidP="00ED23A6">
      <w:pPr>
        <w:numPr>
          <w:ilvl w:val="0"/>
          <w:numId w:val="24"/>
        </w:numPr>
        <w:tabs>
          <w:tab w:val="clear" w:pos="720"/>
        </w:tabs>
        <w:spacing w:after="0" w:line="240" w:lineRule="auto"/>
        <w:ind w:left="588" w:hanging="284"/>
        <w:jc w:val="both"/>
        <w:rPr>
          <w:rFonts w:ascii="Times New Roman" w:hAnsi="Times New Roman" w:cs="Times New Roman"/>
          <w:lang w:val="en-GB"/>
        </w:rPr>
      </w:pPr>
      <w:r w:rsidRPr="00816C73">
        <w:rPr>
          <w:rFonts w:ascii="Times New Roman" w:hAnsi="Times New Roman" w:cs="Times New Roman"/>
          <w:lang w:val="en-GB"/>
        </w:rPr>
        <w:t>net turnover exceeding EUR 40 million</w:t>
      </w:r>
      <w:r w:rsidR="00131FA1">
        <w:rPr>
          <w:rFonts w:ascii="Times New Roman" w:hAnsi="Times New Roman" w:cs="Times New Roman"/>
          <w:lang w:val="en-GB"/>
        </w:rPr>
        <w:t>,</w:t>
      </w:r>
    </w:p>
    <w:p w14:paraId="24EF4FE9" w14:textId="77777777" w:rsidR="00037D1D" w:rsidRPr="00816C73" w:rsidRDefault="00037D1D" w:rsidP="00ED23A6">
      <w:pPr>
        <w:numPr>
          <w:ilvl w:val="0"/>
          <w:numId w:val="24"/>
        </w:numPr>
        <w:tabs>
          <w:tab w:val="clear" w:pos="720"/>
        </w:tabs>
        <w:spacing w:after="0" w:line="240" w:lineRule="auto"/>
        <w:ind w:left="588" w:hanging="284"/>
        <w:jc w:val="both"/>
        <w:rPr>
          <w:rFonts w:ascii="Times New Roman" w:hAnsi="Times New Roman" w:cs="Times New Roman"/>
          <w:lang w:val="en-GB"/>
        </w:rPr>
      </w:pPr>
      <w:r w:rsidRPr="00816C73">
        <w:rPr>
          <w:rFonts w:ascii="Times New Roman" w:hAnsi="Times New Roman" w:cs="Times New Roman"/>
          <w:lang w:val="en-GB"/>
        </w:rPr>
        <w:t>an average number of employees exceeding 250 during the financial year.</w:t>
      </w:r>
    </w:p>
    <w:p w14:paraId="04557FEB" w14:textId="77777777" w:rsidR="004919C5" w:rsidRDefault="004919C5" w:rsidP="00483F68">
      <w:pPr>
        <w:spacing w:after="0" w:line="240" w:lineRule="auto"/>
        <w:ind w:firstLine="284"/>
        <w:jc w:val="both"/>
        <w:rPr>
          <w:rFonts w:ascii="Times New Roman" w:hAnsi="Times New Roman" w:cs="Times New Roman"/>
          <w:lang w:val="en-GB"/>
        </w:rPr>
      </w:pPr>
    </w:p>
    <w:p w14:paraId="0BD96F9F" w14:textId="5CB6EC36" w:rsidR="00037D1D" w:rsidRPr="00816C73" w:rsidRDefault="00037D1D" w:rsidP="00483F6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As a result, Directive 2013/34/EU established a framework for non-financial disclosures that was indicative rather than normative in nature. Reporting under this framework remained highly limited and inconsistent, </w:t>
      </w:r>
      <w:r w:rsidR="004919C5">
        <w:rPr>
          <w:rFonts w:ascii="Times New Roman" w:hAnsi="Times New Roman" w:cs="Times New Roman"/>
          <w:lang w:val="en-GB"/>
        </w:rPr>
        <w:t>hindering comparability both across individual companies and across</w:t>
      </w:r>
      <w:r w:rsidRPr="00816C73">
        <w:rPr>
          <w:rFonts w:ascii="Times New Roman" w:hAnsi="Times New Roman" w:cs="Times New Roman"/>
          <w:lang w:val="en-GB"/>
        </w:rPr>
        <w:t xml:space="preserve"> sectors of the economy.</w:t>
      </w:r>
    </w:p>
    <w:p w14:paraId="441AF085" w14:textId="078EDD7D" w:rsidR="00483F68" w:rsidRPr="00816C73" w:rsidRDefault="0007733D" w:rsidP="00211CE3">
      <w:pPr>
        <w:spacing w:after="12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 significant expansion of non-financial reporting obligations occurred with the introduction of Directive 2014/95/EU of the European Parliament and of the Council of 22 October 2014 amending Directive 2013/34/EU </w:t>
      </w:r>
      <w:r w:rsidR="004919C5">
        <w:rPr>
          <w:rFonts w:ascii="Times New Roman" w:hAnsi="Times New Roman" w:cs="Times New Roman"/>
          <w:lang w:val="en-GB"/>
        </w:rPr>
        <w:t>concerning</w:t>
      </w:r>
      <w:r w:rsidRPr="00816C73">
        <w:rPr>
          <w:rFonts w:ascii="Times New Roman" w:hAnsi="Times New Roman" w:cs="Times New Roman"/>
          <w:lang w:val="en-GB"/>
        </w:rPr>
        <w:t xml:space="preserve"> the disclosure of non-financial and diversity information by certain large undertakings and groups, commonly referred to as the Non-Financial Reporting Directive (NFRD). This directive introduced amendments to Directive 2013/34/EU by strengthening non-financial reporting requirements, obliging companies to disclose information on environmental, social, and employee-related matters, respect for human rights, a</w:t>
      </w:r>
      <w:r w:rsidR="004919C5">
        <w:rPr>
          <w:rFonts w:ascii="Times New Roman" w:hAnsi="Times New Roman" w:cs="Times New Roman"/>
          <w:lang w:val="en-GB"/>
        </w:rPr>
        <w:t>nd</w:t>
      </w:r>
      <w:r w:rsidRPr="00816C73">
        <w:rPr>
          <w:rFonts w:ascii="Times New Roman" w:hAnsi="Times New Roman" w:cs="Times New Roman"/>
          <w:lang w:val="en-GB"/>
        </w:rPr>
        <w:t xml:space="preserve"> anti-corruption and anti-bribery issues.</w:t>
      </w:r>
    </w:p>
    <w:p w14:paraId="3CA003FF" w14:textId="77777777" w:rsidR="00483F68" w:rsidRPr="00816C73" w:rsidRDefault="00483F68" w:rsidP="009C7AE2">
      <w:pPr>
        <w:spacing w:after="0"/>
        <w:jc w:val="both"/>
        <w:rPr>
          <w:lang w:val="en-GB"/>
        </w:rPr>
      </w:pPr>
      <w:r w:rsidRPr="00816C73">
        <w:rPr>
          <w:noProof/>
          <w:lang w:val="en-GB" w:eastAsia="pl-PL"/>
        </w:rPr>
        <w:lastRenderedPageBreak/>
        <w:drawing>
          <wp:inline distT="0" distB="0" distL="0" distR="0" wp14:anchorId="0BBCAFC9" wp14:editId="76977FB3">
            <wp:extent cx="6162142" cy="3333750"/>
            <wp:effectExtent l="0" t="0" r="0" b="0"/>
            <wp:docPr id="340019434" name="Obraz 3" descr="Obraz zawierający tekst, menu, zrzut ekranu, dokumen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19434" name="Obraz 3" descr="Obraz zawierający tekst, menu, zrzut ekranu, dokument&#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291" cy="3344110"/>
                    </a:xfrm>
                    <a:prstGeom prst="rect">
                      <a:avLst/>
                    </a:prstGeom>
                    <a:noFill/>
                    <a:ln>
                      <a:noFill/>
                    </a:ln>
                  </pic:spPr>
                </pic:pic>
              </a:graphicData>
            </a:graphic>
          </wp:inline>
        </w:drawing>
      </w:r>
    </w:p>
    <w:p w14:paraId="321DCF21" w14:textId="2D0AE55F" w:rsidR="00483F68" w:rsidRPr="00816C73" w:rsidRDefault="00483F68" w:rsidP="009C7AE2">
      <w:pPr>
        <w:pStyle w:val="Rrys"/>
        <w:rPr>
          <w:lang w:val="en-GB"/>
        </w:rPr>
      </w:pPr>
      <w:r w:rsidRPr="00816C73">
        <w:rPr>
          <w:b/>
          <w:bCs/>
          <w:lang w:val="en-GB"/>
        </w:rPr>
        <w:t>Fig</w:t>
      </w:r>
      <w:r w:rsidR="009C7AE2">
        <w:rPr>
          <w:b/>
          <w:bCs/>
          <w:lang w:val="en-GB"/>
        </w:rPr>
        <w:t>.</w:t>
      </w:r>
      <w:r w:rsidRPr="00816C73">
        <w:rPr>
          <w:b/>
          <w:bCs/>
          <w:lang w:val="en-GB"/>
        </w:rPr>
        <w:t xml:space="preserve"> 1.</w:t>
      </w:r>
      <w:r w:rsidRPr="00816C73">
        <w:rPr>
          <w:lang w:val="en-GB"/>
        </w:rPr>
        <w:t xml:space="preserve"> Examples of ESG indicators</w:t>
      </w:r>
    </w:p>
    <w:p w14:paraId="7F9FD373" w14:textId="77777777" w:rsidR="009C7AE2" w:rsidRDefault="009C7AE2" w:rsidP="00211CE3">
      <w:pPr>
        <w:spacing w:after="0" w:line="240" w:lineRule="auto"/>
        <w:ind w:firstLine="284"/>
        <w:jc w:val="both"/>
        <w:rPr>
          <w:rFonts w:ascii="Times New Roman" w:hAnsi="Times New Roman" w:cs="Times New Roman"/>
          <w:lang w:val="en-GB"/>
        </w:rPr>
      </w:pPr>
    </w:p>
    <w:p w14:paraId="71D8B474" w14:textId="70BE560D" w:rsidR="0007733D" w:rsidRPr="00816C73" w:rsidRDefault="0007733D"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obligation to disclose such information was imposed on large public-interest entities (e.g.</w:t>
      </w:r>
      <w:r w:rsidR="00EE4AD7" w:rsidRPr="00816C73">
        <w:rPr>
          <w:rFonts w:ascii="Times New Roman" w:hAnsi="Times New Roman" w:cs="Times New Roman"/>
          <w:lang w:val="en-GB"/>
        </w:rPr>
        <w:t>,</w:t>
      </w:r>
      <w:r w:rsidRPr="00816C73">
        <w:rPr>
          <w:rFonts w:ascii="Times New Roman" w:hAnsi="Times New Roman" w:cs="Times New Roman"/>
          <w:lang w:val="en-GB"/>
        </w:rPr>
        <w:t xml:space="preserve"> banks, listed companies, and entities designated by Member States as having public relevance) employing more than 500 employees. Companies were required to provide a brief description of their business model, an outline of the policies implemented in the aforementioned areas</w:t>
      </w:r>
      <w:r w:rsidR="004370D9" w:rsidRPr="00816C73">
        <w:rPr>
          <w:rFonts w:ascii="Times New Roman" w:hAnsi="Times New Roman" w:cs="Times New Roman"/>
          <w:lang w:val="en-GB"/>
        </w:rPr>
        <w:t>,</w:t>
      </w:r>
      <w:r w:rsidRPr="00816C73">
        <w:rPr>
          <w:rFonts w:ascii="Times New Roman" w:hAnsi="Times New Roman" w:cs="Times New Roman"/>
          <w:lang w:val="en-GB"/>
        </w:rPr>
        <w:t xml:space="preserve"> along with the results of their application, the principal risks related to these issues, and key non-financial performance indicators. An important feature of the NFRD was the </w:t>
      </w:r>
      <w:r w:rsidR="004919C5">
        <w:rPr>
          <w:rFonts w:ascii="Times New Roman" w:hAnsi="Times New Roman" w:cs="Times New Roman"/>
          <w:lang w:val="en-GB"/>
        </w:rPr>
        <w:t>"</w:t>
      </w:r>
      <w:r w:rsidRPr="00816C73">
        <w:rPr>
          <w:rFonts w:ascii="Times New Roman" w:hAnsi="Times New Roman" w:cs="Times New Roman"/>
          <w:lang w:val="en-GB"/>
        </w:rPr>
        <w:t>report or explain</w:t>
      </w:r>
      <w:r w:rsidR="004919C5">
        <w:rPr>
          <w:rFonts w:ascii="Times New Roman" w:hAnsi="Times New Roman" w:cs="Times New Roman"/>
          <w:lang w:val="en-GB"/>
        </w:rPr>
        <w:t>"</w:t>
      </w:r>
      <w:r w:rsidRPr="00816C73">
        <w:rPr>
          <w:rFonts w:ascii="Times New Roman" w:hAnsi="Times New Roman" w:cs="Times New Roman"/>
          <w:lang w:val="en-GB"/>
        </w:rPr>
        <w:t xml:space="preserve"> principle, </w:t>
      </w:r>
      <w:r w:rsidR="004370D9" w:rsidRPr="00816C73">
        <w:rPr>
          <w:rFonts w:ascii="Times New Roman" w:hAnsi="Times New Roman" w:cs="Times New Roman"/>
          <w:lang w:val="en-GB"/>
        </w:rPr>
        <w:t>which required companies to provide a clear explanation if they did not apply policies in any of the specified areas</w:t>
      </w:r>
      <w:r w:rsidRPr="00816C73">
        <w:rPr>
          <w:rFonts w:ascii="Times New Roman" w:hAnsi="Times New Roman" w:cs="Times New Roman"/>
          <w:lang w:val="en-GB"/>
        </w:rPr>
        <w:t>.</w:t>
      </w:r>
    </w:p>
    <w:p w14:paraId="218FC12D" w14:textId="6D0B5C92" w:rsidR="0007733D" w:rsidRPr="00816C73" w:rsidRDefault="0007733D"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Although the NFRD broadened the scope of disclosed non-financial information, it granted companies substantial flexibility </w:t>
      </w:r>
      <w:r w:rsidR="004370D9" w:rsidRPr="00816C73">
        <w:rPr>
          <w:rFonts w:ascii="Times New Roman" w:hAnsi="Times New Roman" w:cs="Times New Roman"/>
          <w:lang w:val="en-GB"/>
        </w:rPr>
        <w:t>regarding</w:t>
      </w:r>
      <w:r w:rsidRPr="00816C73">
        <w:rPr>
          <w:rFonts w:ascii="Times New Roman" w:hAnsi="Times New Roman" w:cs="Times New Roman"/>
          <w:lang w:val="en-GB"/>
        </w:rPr>
        <w:t xml:space="preserve"> reporting standards, including the content and formulation of indicators. As a result, reports varied in form and level of detail, as well as in the indicators used, which limited</w:t>
      </w:r>
      <w:r w:rsidR="007F4167" w:rsidRPr="00816C73">
        <w:rPr>
          <w:rFonts w:ascii="Times New Roman" w:hAnsi="Times New Roman" w:cs="Times New Roman"/>
          <w:lang w:val="en-GB"/>
        </w:rPr>
        <w:t xml:space="preserve">, </w:t>
      </w:r>
      <w:r w:rsidRPr="00816C73">
        <w:rPr>
          <w:rFonts w:ascii="Times New Roman" w:hAnsi="Times New Roman" w:cs="Times New Roman"/>
          <w:lang w:val="en-GB"/>
        </w:rPr>
        <w:t>or even prevented</w:t>
      </w:r>
      <w:r w:rsidR="007F4167" w:rsidRPr="00816C73">
        <w:rPr>
          <w:rFonts w:ascii="Times New Roman" w:hAnsi="Times New Roman" w:cs="Times New Roman"/>
          <w:lang w:val="en-GB"/>
        </w:rPr>
        <w:t xml:space="preserve">, </w:t>
      </w:r>
      <w:r w:rsidRPr="00816C73">
        <w:rPr>
          <w:rFonts w:ascii="Times New Roman" w:hAnsi="Times New Roman" w:cs="Times New Roman"/>
          <w:lang w:val="en-GB"/>
        </w:rPr>
        <w:t xml:space="preserve">comparability across companies in terms of their non-financial policies and performance. Furthermore, the NFRD imposed reporting obligations only on large public-interest entities, </w:t>
      </w:r>
      <w:r w:rsidR="004919C5">
        <w:rPr>
          <w:rFonts w:ascii="Times New Roman" w:hAnsi="Times New Roman" w:cs="Times New Roman"/>
          <w:lang w:val="en-GB"/>
        </w:rPr>
        <w:t>thereby applying</w:t>
      </w:r>
      <w:r w:rsidRPr="00816C73">
        <w:rPr>
          <w:rFonts w:ascii="Times New Roman" w:hAnsi="Times New Roman" w:cs="Times New Roman"/>
          <w:lang w:val="en-GB"/>
        </w:rPr>
        <w:t xml:space="preserve"> to a relatively limited number of organisations.</w:t>
      </w:r>
    </w:p>
    <w:p w14:paraId="66AAE738" w14:textId="26B65470" w:rsidR="005142B8" w:rsidRPr="00816C73" w:rsidRDefault="005142B8"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 key development in non-financial reporting was the adoption of the CSRD </w:t>
      </w:r>
      <w:r w:rsidR="00AF022A" w:rsidRPr="00816C73">
        <w:rPr>
          <w:rFonts w:ascii="Times New Roman" w:hAnsi="Times New Roman" w:cs="Times New Roman"/>
          <w:lang w:val="en-GB"/>
        </w:rPr>
        <w:t>-</w:t>
      </w:r>
      <w:r w:rsidRPr="00816C73">
        <w:rPr>
          <w:rFonts w:ascii="Times New Roman" w:hAnsi="Times New Roman" w:cs="Times New Roman"/>
          <w:lang w:val="en-GB"/>
        </w:rPr>
        <w:t xml:space="preserve"> Directive (EU) 2022/2464 amending Regulation (EU) No 537/2014, Directive 2004/109/EC, Directive 2006/43/EC, and Directive 2013/34/EU as regards corporate sustainability reporting (2022). This directive was introduced in response to growing expectations from investors, regulators, and society for reliable, comparable, and verified non-financial data. The CSRD significantly expanded the scope of entities subject to reporting obligations. In addition to the entities covered by the NFRD, reporting requirements were extended to large undertakings, small and medium-sized enterprises (SMEs), and non-EU companies with subsidiaries in the EU whose annual turnover within the EU exceeds EUR 150 million.</w:t>
      </w:r>
    </w:p>
    <w:p w14:paraId="3EFE109A" w14:textId="7A9F9009" w:rsidR="005142B8" w:rsidRPr="00816C73" w:rsidRDefault="005142B8"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directive also substantially increased the level of reporting detail by mandating the application of uniform European Sustainability Reporting Standards (ESRS) </w:t>
      </w:r>
      <w:r w:rsidR="004370D9" w:rsidRPr="00816C73">
        <w:rPr>
          <w:rFonts w:ascii="Times New Roman" w:hAnsi="Times New Roman" w:cs="Times New Roman"/>
          <w:lang w:val="en-GB"/>
        </w:rPr>
        <w:t>to ensure</w:t>
      </w:r>
      <w:r w:rsidRPr="00816C73">
        <w:rPr>
          <w:rFonts w:ascii="Times New Roman" w:hAnsi="Times New Roman" w:cs="Times New Roman"/>
          <w:lang w:val="en-GB"/>
        </w:rPr>
        <w:t xml:space="preserve"> data comparability, high quality, and relevance for investors, regulators, and other stakeholders. The ESRS precisely </w:t>
      </w:r>
      <w:r w:rsidR="004370D9" w:rsidRPr="00816C73">
        <w:rPr>
          <w:rFonts w:ascii="Times New Roman" w:hAnsi="Times New Roman" w:cs="Times New Roman"/>
          <w:lang w:val="en-GB"/>
        </w:rPr>
        <w:t>defines the scope and structure of ESG-related reports and establishes</w:t>
      </w:r>
      <w:r w:rsidRPr="00816C73">
        <w:rPr>
          <w:rFonts w:ascii="Times New Roman" w:hAnsi="Times New Roman" w:cs="Times New Roman"/>
          <w:lang w:val="en-GB"/>
        </w:rPr>
        <w:t xml:space="preserve"> a set of mandatory indicators across environmental, social, and governance dimensions. This enables a comprehensive and objective assessment of corporate performance and the degree of implementation of adopted strategies and policies.</w:t>
      </w:r>
    </w:p>
    <w:p w14:paraId="53AEF517" w14:textId="29357448" w:rsidR="00037D1D" w:rsidRPr="00816C73" w:rsidRDefault="005142B8"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 fundamental element of ESRS-based reporting is the</w:t>
      </w:r>
      <w:r w:rsidR="004A7DDE" w:rsidRPr="00816C73">
        <w:rPr>
          <w:rFonts w:ascii="Times New Roman" w:hAnsi="Times New Roman" w:cs="Times New Roman"/>
          <w:lang w:val="en-GB"/>
        </w:rPr>
        <w:t xml:space="preserve"> double</w:t>
      </w:r>
      <w:r w:rsidRPr="00816C73">
        <w:rPr>
          <w:rFonts w:ascii="Times New Roman" w:hAnsi="Times New Roman" w:cs="Times New Roman"/>
          <w:lang w:val="en-GB"/>
        </w:rPr>
        <w:t xml:space="preserve"> materiality assessment. Companies are required to identify which ESG issues are most significant in the context of their activities, both in terms of the</w:t>
      </w:r>
      <w:r w:rsidR="004919C5">
        <w:rPr>
          <w:rFonts w:ascii="Times New Roman" w:hAnsi="Times New Roman" w:cs="Times New Roman"/>
          <w:lang w:val="en-GB"/>
        </w:rPr>
        <w:t>ir environmental impacts</w:t>
      </w:r>
      <w:r w:rsidRPr="00816C73">
        <w:rPr>
          <w:rFonts w:ascii="Times New Roman" w:hAnsi="Times New Roman" w:cs="Times New Roman"/>
          <w:lang w:val="en-GB"/>
        </w:rPr>
        <w:t xml:space="preserve"> and the financial risks arising from sustainability-related factors. The outcomes of this assessment determine the scope of further reporting and influence decision-making processes and strategic planning. Closely linked to the </w:t>
      </w:r>
      <w:r w:rsidR="00A71FE9" w:rsidRPr="00816C73">
        <w:rPr>
          <w:rFonts w:ascii="Times New Roman" w:hAnsi="Times New Roman" w:cs="Times New Roman"/>
          <w:lang w:val="en-GB"/>
        </w:rPr>
        <w:t xml:space="preserve">double </w:t>
      </w:r>
      <w:r w:rsidRPr="00816C73">
        <w:rPr>
          <w:rFonts w:ascii="Times New Roman" w:hAnsi="Times New Roman" w:cs="Times New Roman"/>
          <w:lang w:val="en-GB"/>
        </w:rPr>
        <w:t xml:space="preserve">materiality assessment is the obligation to disclose due diligence processes. This requires companies to describe the mechanisms </w:t>
      </w:r>
      <w:r w:rsidR="004919C5">
        <w:rPr>
          <w:rFonts w:ascii="Times New Roman" w:hAnsi="Times New Roman" w:cs="Times New Roman"/>
          <w:lang w:val="en-GB"/>
        </w:rPr>
        <w:t>they use to identify, prevent, and mitigate th</w:t>
      </w:r>
      <w:r w:rsidRPr="00816C73">
        <w:rPr>
          <w:rFonts w:ascii="Times New Roman" w:hAnsi="Times New Roman" w:cs="Times New Roman"/>
          <w:lang w:val="en-GB"/>
        </w:rPr>
        <w:t xml:space="preserve">e adverse environmental and social impacts of their operations, in line with recognised international standards. </w:t>
      </w:r>
      <w:r w:rsidRPr="00816C73">
        <w:rPr>
          <w:rFonts w:ascii="Times New Roman" w:hAnsi="Times New Roman" w:cs="Times New Roman"/>
          <w:lang w:val="en-GB"/>
        </w:rPr>
        <w:lastRenderedPageBreak/>
        <w:t xml:space="preserve">In this way, the ESRS </w:t>
      </w:r>
      <w:r w:rsidR="004370D9" w:rsidRPr="00816C73">
        <w:rPr>
          <w:rFonts w:ascii="Times New Roman" w:hAnsi="Times New Roman" w:cs="Times New Roman"/>
          <w:lang w:val="en-GB"/>
        </w:rPr>
        <w:t>strengthens</w:t>
      </w:r>
      <w:r w:rsidRPr="00816C73">
        <w:rPr>
          <w:rFonts w:ascii="Times New Roman" w:hAnsi="Times New Roman" w:cs="Times New Roman"/>
          <w:lang w:val="en-GB"/>
        </w:rPr>
        <w:t xml:space="preserve"> a management-oriented approach to ESG, focusing not only on outcomes but also on processes and accountability.</w:t>
      </w:r>
    </w:p>
    <w:p w14:paraId="65BC4F93" w14:textId="21C8906B" w:rsidR="00737ADA" w:rsidRPr="00816C73" w:rsidRDefault="00737ADA"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ESRS also </w:t>
      </w:r>
      <w:r w:rsidR="004370D9" w:rsidRPr="00816C73">
        <w:rPr>
          <w:rFonts w:ascii="Times New Roman" w:hAnsi="Times New Roman" w:cs="Times New Roman"/>
          <w:lang w:val="en-GB"/>
        </w:rPr>
        <w:t>includes</w:t>
      </w:r>
      <w:r w:rsidRPr="00816C73">
        <w:rPr>
          <w:rFonts w:ascii="Times New Roman" w:hAnsi="Times New Roman" w:cs="Times New Roman"/>
          <w:lang w:val="en-GB"/>
        </w:rPr>
        <w:t xml:space="preserve"> thematic standards that structure reporting requirements across the three core ESG areas:</w:t>
      </w:r>
    </w:p>
    <w:p w14:paraId="0445B8CF" w14:textId="1FCF7994" w:rsidR="00737ADA" w:rsidRPr="00816C73" w:rsidRDefault="00737ADA" w:rsidP="00ED23A6">
      <w:pPr>
        <w:pStyle w:val="Akapitzlist"/>
        <w:numPr>
          <w:ilvl w:val="0"/>
          <w:numId w:val="28"/>
        </w:numPr>
        <w:spacing w:after="0" w:line="240" w:lineRule="auto"/>
        <w:ind w:left="588" w:hanging="284"/>
        <w:contextualSpacing w:val="0"/>
        <w:jc w:val="both"/>
        <w:rPr>
          <w:rFonts w:ascii="Times New Roman" w:hAnsi="Times New Roman" w:cs="Times New Roman"/>
          <w:lang w:val="en-GB"/>
        </w:rPr>
      </w:pPr>
      <w:r w:rsidRPr="00816C73">
        <w:rPr>
          <w:rFonts w:ascii="Times New Roman" w:hAnsi="Times New Roman" w:cs="Times New Roman"/>
          <w:lang w:val="en-GB"/>
        </w:rPr>
        <w:t>environment:</w:t>
      </w:r>
    </w:p>
    <w:p w14:paraId="01CFA117" w14:textId="711DF9EB"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E1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climate change,</w:t>
      </w:r>
    </w:p>
    <w:p w14:paraId="15639233" w14:textId="585A2153"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E2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pollution,</w:t>
      </w:r>
    </w:p>
    <w:p w14:paraId="27EC73C4" w14:textId="3C3F711C"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E3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water and marine resources,</w:t>
      </w:r>
    </w:p>
    <w:p w14:paraId="3521EA64" w14:textId="6B013CBC"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E4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biodiversity and ecosystems,</w:t>
      </w:r>
    </w:p>
    <w:p w14:paraId="7129BD0A" w14:textId="43C4DC25"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E5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resource use and circular economy</w:t>
      </w:r>
      <w:r w:rsidR="009C7AE2">
        <w:rPr>
          <w:rFonts w:ascii="Times New Roman" w:hAnsi="Times New Roman" w:cs="Times New Roman"/>
          <w:lang w:val="en-GB"/>
        </w:rPr>
        <w:t>,</w:t>
      </w:r>
    </w:p>
    <w:p w14:paraId="69462A1B" w14:textId="1314E6AC" w:rsidR="00737ADA" w:rsidRPr="00816C73" w:rsidRDefault="00737ADA" w:rsidP="00ED23A6">
      <w:pPr>
        <w:pStyle w:val="Akapitzlist"/>
        <w:numPr>
          <w:ilvl w:val="0"/>
          <w:numId w:val="28"/>
        </w:numPr>
        <w:spacing w:after="0" w:line="240" w:lineRule="auto"/>
        <w:ind w:left="588" w:hanging="284"/>
        <w:contextualSpacing w:val="0"/>
        <w:jc w:val="both"/>
        <w:rPr>
          <w:rFonts w:ascii="Times New Roman" w:hAnsi="Times New Roman" w:cs="Times New Roman"/>
          <w:lang w:val="en-GB"/>
        </w:rPr>
      </w:pPr>
      <w:r w:rsidRPr="00816C73">
        <w:rPr>
          <w:rFonts w:ascii="Times New Roman" w:hAnsi="Times New Roman" w:cs="Times New Roman"/>
          <w:lang w:val="en-GB"/>
        </w:rPr>
        <w:t>social:</w:t>
      </w:r>
    </w:p>
    <w:p w14:paraId="43CA4937" w14:textId="5C5F21B7"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S1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own workforce,</w:t>
      </w:r>
    </w:p>
    <w:p w14:paraId="4267A30A" w14:textId="54A52D07"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S2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workers in the value chain,</w:t>
      </w:r>
    </w:p>
    <w:p w14:paraId="1CE68B3B" w14:textId="7CF2C4B7"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S3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affected communities,</w:t>
      </w:r>
    </w:p>
    <w:p w14:paraId="53780CAE" w14:textId="08E67A11"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S4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consumers and end-users</w:t>
      </w:r>
      <w:r w:rsidR="009C7AE2">
        <w:rPr>
          <w:rFonts w:ascii="Times New Roman" w:hAnsi="Times New Roman" w:cs="Times New Roman"/>
          <w:lang w:val="en-GB"/>
        </w:rPr>
        <w:t>,</w:t>
      </w:r>
    </w:p>
    <w:p w14:paraId="3F8B5C88" w14:textId="3005094D" w:rsidR="00737ADA" w:rsidRPr="00816C73" w:rsidRDefault="00737ADA" w:rsidP="00ED23A6">
      <w:pPr>
        <w:pStyle w:val="Akapitzlist"/>
        <w:numPr>
          <w:ilvl w:val="0"/>
          <w:numId w:val="28"/>
        </w:numPr>
        <w:spacing w:after="0" w:line="240" w:lineRule="auto"/>
        <w:ind w:left="588" w:hanging="284"/>
        <w:contextualSpacing w:val="0"/>
        <w:jc w:val="both"/>
        <w:rPr>
          <w:rFonts w:ascii="Times New Roman" w:hAnsi="Times New Roman" w:cs="Times New Roman"/>
          <w:lang w:val="en-GB"/>
        </w:rPr>
      </w:pPr>
      <w:r w:rsidRPr="00816C73">
        <w:rPr>
          <w:rFonts w:ascii="Times New Roman" w:hAnsi="Times New Roman" w:cs="Times New Roman"/>
          <w:lang w:val="en-GB"/>
        </w:rPr>
        <w:t>governance:</w:t>
      </w:r>
    </w:p>
    <w:p w14:paraId="6069A7C5" w14:textId="6075C9CB" w:rsidR="00737ADA" w:rsidRPr="00816C73" w:rsidRDefault="00121B4F" w:rsidP="00ED23A6">
      <w:pPr>
        <w:spacing w:after="0" w:line="240" w:lineRule="auto"/>
        <w:ind w:left="588"/>
        <w:jc w:val="both"/>
        <w:rPr>
          <w:rFonts w:ascii="Times New Roman" w:hAnsi="Times New Roman" w:cs="Times New Roman"/>
          <w:lang w:val="en-GB"/>
        </w:rPr>
      </w:pPr>
      <w:r w:rsidRPr="00816C73">
        <w:rPr>
          <w:rFonts w:ascii="Times New Roman" w:hAnsi="Times New Roman" w:cs="Times New Roman"/>
          <w:lang w:val="en-GB"/>
        </w:rPr>
        <w:t xml:space="preserve">- </w:t>
      </w:r>
      <w:r w:rsidR="00737ADA" w:rsidRPr="00816C73">
        <w:rPr>
          <w:rFonts w:ascii="Times New Roman" w:hAnsi="Times New Roman" w:cs="Times New Roman"/>
          <w:lang w:val="en-GB"/>
        </w:rPr>
        <w:t xml:space="preserve">ESRS G1 </w:t>
      </w:r>
      <w:r w:rsidR="009C7AE2">
        <w:rPr>
          <w:rFonts w:ascii="Times New Roman" w:hAnsi="Times New Roman" w:cs="Times New Roman"/>
          <w:lang w:val="en-GB"/>
        </w:rPr>
        <w:t>–</w:t>
      </w:r>
      <w:r w:rsidR="00737ADA" w:rsidRPr="00816C73">
        <w:rPr>
          <w:rFonts w:ascii="Times New Roman" w:hAnsi="Times New Roman" w:cs="Times New Roman"/>
          <w:lang w:val="en-GB"/>
        </w:rPr>
        <w:t xml:space="preserve"> business conduct.</w:t>
      </w:r>
    </w:p>
    <w:p w14:paraId="13DCF5CB" w14:textId="77777777" w:rsidR="009C7AE2" w:rsidRDefault="009C7AE2" w:rsidP="00211CE3">
      <w:pPr>
        <w:spacing w:after="0" w:line="240" w:lineRule="auto"/>
        <w:ind w:firstLine="284"/>
        <w:jc w:val="both"/>
        <w:rPr>
          <w:rFonts w:ascii="Times New Roman" w:hAnsi="Times New Roman" w:cs="Times New Roman"/>
          <w:lang w:val="en-GB"/>
        </w:rPr>
      </w:pPr>
    </w:p>
    <w:p w14:paraId="50560CA7" w14:textId="5249B6CD" w:rsidR="00737ADA" w:rsidRPr="00816C73" w:rsidRDefault="00737ADA"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Within the context of the CSRD, the EU Taxonomy also plays a significant role. Regulation (EU) 2020/852 of the European Parliament and of the Council of 18 June 2020 establishes a unified classification system for economic activities</w:t>
      </w:r>
      <w:r w:rsidR="004919C5">
        <w:rPr>
          <w:rFonts w:ascii="Times New Roman" w:hAnsi="Times New Roman" w:cs="Times New Roman"/>
          <w:lang w:val="en-GB"/>
        </w:rPr>
        <w:t xml:space="preserve"> and defines</w:t>
      </w:r>
      <w:r w:rsidRPr="00816C73">
        <w:rPr>
          <w:rFonts w:ascii="Times New Roman" w:hAnsi="Times New Roman" w:cs="Times New Roman"/>
          <w:lang w:val="en-GB"/>
        </w:rPr>
        <w:t xml:space="preserve"> which activities may be considered environmentally sustainable. Its primary objective is to create a common language for financial markets and enterprises, enabling the comparison and assessment of activities in terms of their alignment with the climate transition. The EU Taxonomy provides precise assessment criteria that </w:t>
      </w:r>
      <w:r w:rsidR="0032776F" w:rsidRPr="00816C73">
        <w:rPr>
          <w:rFonts w:ascii="Times New Roman" w:hAnsi="Times New Roman" w:cs="Times New Roman"/>
          <w:lang w:val="en-GB"/>
        </w:rPr>
        <w:t>enable the determination of the extent to which a company</w:t>
      </w:r>
      <w:r w:rsidR="004919C5">
        <w:rPr>
          <w:rFonts w:ascii="Times New Roman" w:hAnsi="Times New Roman" w:cs="Times New Roman"/>
          <w:lang w:val="en-GB"/>
        </w:rPr>
        <w:t>'</w:t>
      </w:r>
      <w:r w:rsidR="0032776F" w:rsidRPr="00816C73">
        <w:rPr>
          <w:rFonts w:ascii="Times New Roman" w:hAnsi="Times New Roman" w:cs="Times New Roman"/>
          <w:lang w:val="en-GB"/>
        </w:rPr>
        <w:t>s activities align</w:t>
      </w:r>
      <w:r w:rsidRPr="00816C73">
        <w:rPr>
          <w:rFonts w:ascii="Times New Roman" w:hAnsi="Times New Roman" w:cs="Times New Roman"/>
          <w:lang w:val="en-GB"/>
        </w:rPr>
        <w:t xml:space="preserve"> with the European Union</w:t>
      </w:r>
      <w:r w:rsidR="004919C5">
        <w:rPr>
          <w:rFonts w:ascii="Times New Roman" w:hAnsi="Times New Roman" w:cs="Times New Roman"/>
          <w:lang w:val="en-GB"/>
        </w:rPr>
        <w:t>'</w:t>
      </w:r>
      <w:r w:rsidRPr="00816C73">
        <w:rPr>
          <w:rFonts w:ascii="Times New Roman" w:hAnsi="Times New Roman" w:cs="Times New Roman"/>
          <w:lang w:val="en-GB"/>
        </w:rPr>
        <w:t>s environmental objectives. In this sense, the EU Taxonomy may be regarded as an interpretative tool for the data reported in accordance with the CSRD.</w:t>
      </w:r>
    </w:p>
    <w:p w14:paraId="4B388DF2" w14:textId="4232FD1C" w:rsidR="00FC4886" w:rsidRPr="00816C73" w:rsidRDefault="00FC4886"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By imposing detailed</w:t>
      </w:r>
      <w:r w:rsidR="004919C5">
        <w:rPr>
          <w:rFonts w:ascii="Times New Roman" w:hAnsi="Times New Roman" w:cs="Times New Roman"/>
          <w:lang w:val="en-GB"/>
        </w:rPr>
        <w:t>, clearly defined obligations for</w:t>
      </w:r>
      <w:r w:rsidRPr="00816C73">
        <w:rPr>
          <w:rFonts w:ascii="Times New Roman" w:hAnsi="Times New Roman" w:cs="Times New Roman"/>
          <w:lang w:val="en-GB"/>
        </w:rPr>
        <w:t xml:space="preserve"> non-financial reporting, the CSRD has significantly elevated the importance of ESG issues in business activity. Through the requirement to report in accordance with the ESRS, the directive introduces a coherent set of rules that </w:t>
      </w:r>
      <w:r w:rsidR="0032776F" w:rsidRPr="00816C73">
        <w:rPr>
          <w:rFonts w:ascii="Times New Roman" w:hAnsi="Times New Roman" w:cs="Times New Roman"/>
          <w:lang w:val="en-GB"/>
        </w:rPr>
        <w:t>render</w:t>
      </w:r>
      <w:r w:rsidRPr="00816C73">
        <w:rPr>
          <w:rFonts w:ascii="Times New Roman" w:hAnsi="Times New Roman" w:cs="Times New Roman"/>
          <w:lang w:val="en-GB"/>
        </w:rPr>
        <w:t xml:space="preserve"> the disclosure of non-financial information measurable, comparable, and auditable. These standards, in conjunction with the sustainable activity classification system established under the EU Taxonomy, form the foundation of the European sustainable finance framework and constitute a key mechanism for achieving the European Union</w:t>
      </w:r>
      <w:r w:rsidR="004919C5">
        <w:rPr>
          <w:rFonts w:ascii="Times New Roman" w:hAnsi="Times New Roman" w:cs="Times New Roman"/>
          <w:lang w:val="en-GB"/>
        </w:rPr>
        <w:t>'</w:t>
      </w:r>
      <w:r w:rsidRPr="00816C73">
        <w:rPr>
          <w:rFonts w:ascii="Times New Roman" w:hAnsi="Times New Roman" w:cs="Times New Roman"/>
          <w:lang w:val="en-GB"/>
        </w:rPr>
        <w:t>s climate and social policy objectives. As a consequence, ESG has ceased to be an optional or purely reputational domain and has become a core element of corporate strategy and a fundamental basis for assessing corporate responsibility and competitiveness. For this reason, the CSRD is widely regarded as one of the most important legal acts shaping the contemporary approach to sustainable development within the EU.</w:t>
      </w:r>
    </w:p>
    <w:p w14:paraId="0408FA0A" w14:textId="5837D6ED" w:rsidR="00037D1D" w:rsidRPr="00816C73" w:rsidRDefault="00FC4886" w:rsidP="00211CE3">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Although the CSRD primarily focuses on non-financial disclosure obligations, the direction of EU regulatory development clearly extends beyond informational requirements toward operational ones. An example of such regulation is the Corporate Sustainability Due Diligence Directive (CSDDD/CS3D) </w:t>
      </w:r>
      <w:r w:rsidR="00131FA1">
        <w:rPr>
          <w:rFonts w:ascii="Times New Roman" w:hAnsi="Times New Roman" w:cs="Times New Roman"/>
          <w:lang w:val="en-GB"/>
        </w:rPr>
        <w:t>–</w:t>
      </w:r>
      <w:r w:rsidRPr="00816C73">
        <w:rPr>
          <w:rFonts w:ascii="Times New Roman" w:hAnsi="Times New Roman" w:cs="Times New Roman"/>
          <w:lang w:val="en-GB"/>
        </w:rPr>
        <w:t xml:space="preserve"> Directive (EU) 2024/1760 of the European Parliament and of the Council of 13 June 2024 on corporate sustainability due diligence and amending Directive (EU) 2019/1937 and Regulation (EU) 2023/2859. What distinguishes the CSDDD from the previously discussed legal acts is </w:t>
      </w:r>
      <w:r w:rsidR="0032776F" w:rsidRPr="00816C73">
        <w:rPr>
          <w:rFonts w:ascii="Times New Roman" w:hAnsi="Times New Roman" w:cs="Times New Roman"/>
          <w:lang w:val="en-GB"/>
        </w:rPr>
        <w:t xml:space="preserve">that it imposes due diligence and reporting obligations not only at the level of the reporting entity itself but also </w:t>
      </w:r>
      <w:r w:rsidRPr="00816C73">
        <w:rPr>
          <w:rFonts w:ascii="Times New Roman" w:hAnsi="Times New Roman" w:cs="Times New Roman"/>
          <w:lang w:val="en-GB"/>
        </w:rPr>
        <w:t>extends them across the entire value chain of the company.</w:t>
      </w:r>
    </w:p>
    <w:p w14:paraId="6DEB2815" w14:textId="68A2EC56" w:rsidR="00D75184" w:rsidRPr="00816C73" w:rsidRDefault="00D75184" w:rsidP="00D064CA">
      <w:pPr>
        <w:spacing w:after="12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One of the key assumptions of the CSDDD is its broad understanding of the value chain, encompassing both upstream and downstream segments. The upstream segment refers to activities related to </w:t>
      </w:r>
      <w:r w:rsidR="004919C5">
        <w:rPr>
          <w:rFonts w:ascii="Times New Roman" w:hAnsi="Times New Roman" w:cs="Times New Roman"/>
          <w:lang w:val="en-GB"/>
        </w:rPr>
        <w:t>sourcing resources, raw materials, components, and services required</w:t>
      </w:r>
      <w:r w:rsidRPr="00816C73">
        <w:rPr>
          <w:rFonts w:ascii="Times New Roman" w:hAnsi="Times New Roman" w:cs="Times New Roman"/>
          <w:lang w:val="en-GB"/>
        </w:rPr>
        <w:t xml:space="preserve"> for operational activities</w:t>
      </w:r>
      <w:r w:rsidR="0032776F" w:rsidRPr="00816C73">
        <w:rPr>
          <w:rFonts w:ascii="Times New Roman" w:hAnsi="Times New Roman" w:cs="Times New Roman"/>
          <w:lang w:val="en-GB"/>
        </w:rPr>
        <w:t>. It thus includes</w:t>
      </w:r>
      <w:r w:rsidRPr="00816C73">
        <w:rPr>
          <w:rFonts w:ascii="Times New Roman" w:hAnsi="Times New Roman" w:cs="Times New Roman"/>
          <w:lang w:val="en-GB"/>
        </w:rPr>
        <w:t xml:space="preserve"> suppliers, subcontractors, and all entities involved in procurement processes. The downstream segment, in turn, covers subsequent stages in the life cycle of a product or service, including distribution processes </w:t>
      </w:r>
      <w:r w:rsidR="009A0A5E" w:rsidRPr="00816C73">
        <w:rPr>
          <w:rFonts w:ascii="Times New Roman" w:hAnsi="Times New Roman" w:cs="Times New Roman"/>
          <w:lang w:val="en-GB"/>
        </w:rPr>
        <w:t>(</w:t>
      </w:r>
      <w:r w:rsidRPr="00816C73">
        <w:rPr>
          <w:rFonts w:ascii="Times New Roman" w:hAnsi="Times New Roman" w:cs="Times New Roman"/>
          <w:lang w:val="en-GB"/>
        </w:rPr>
        <w:t>Vachon</w:t>
      </w:r>
      <w:r w:rsidR="009A0A5E" w:rsidRPr="00816C73">
        <w:rPr>
          <w:rFonts w:ascii="Times New Roman" w:hAnsi="Times New Roman" w:cs="Times New Roman"/>
          <w:lang w:val="en-GB"/>
        </w:rPr>
        <w:t xml:space="preserve"> &amp; Klassen</w:t>
      </w:r>
      <w:r w:rsidRPr="00816C73">
        <w:rPr>
          <w:rFonts w:ascii="Times New Roman" w:hAnsi="Times New Roman" w:cs="Times New Roman"/>
          <w:lang w:val="en-GB"/>
        </w:rPr>
        <w:t xml:space="preserve"> 2006</w:t>
      </w:r>
      <w:r w:rsidR="009A0A5E" w:rsidRPr="00816C73">
        <w:rPr>
          <w:rFonts w:ascii="Times New Roman" w:hAnsi="Times New Roman" w:cs="Times New Roman"/>
          <w:lang w:val="en-GB"/>
        </w:rPr>
        <w:t>)</w:t>
      </w:r>
      <w:r w:rsidRPr="00816C73">
        <w:rPr>
          <w:rFonts w:ascii="Times New Roman" w:hAnsi="Times New Roman" w:cs="Times New Roman"/>
          <w:lang w:val="en-GB"/>
        </w:rPr>
        <w:t xml:space="preserve">. The </w:t>
      </w:r>
      <w:r w:rsidR="004919C5">
        <w:rPr>
          <w:rFonts w:ascii="Times New Roman" w:hAnsi="Times New Roman" w:cs="Times New Roman"/>
          <w:lang w:val="en-GB"/>
        </w:rPr>
        <w:t>value chain is divided into upstream and downstream segments, illustrated using the example of a</w:t>
      </w:r>
      <w:r w:rsidR="00ED23A6">
        <w:rPr>
          <w:rFonts w:ascii="Times New Roman" w:hAnsi="Times New Roman" w:cs="Times New Roman"/>
          <w:lang w:val="en-GB"/>
        </w:rPr>
        <w:t> </w:t>
      </w:r>
      <w:r w:rsidR="004919C5">
        <w:rPr>
          <w:rFonts w:ascii="Times New Roman" w:hAnsi="Times New Roman" w:cs="Times New Roman"/>
          <w:lang w:val="en-GB"/>
        </w:rPr>
        <w:t>manufacturing company, as shown</w:t>
      </w:r>
      <w:r w:rsidRPr="00816C73">
        <w:rPr>
          <w:rFonts w:ascii="Times New Roman" w:hAnsi="Times New Roman" w:cs="Times New Roman"/>
          <w:lang w:val="en-GB"/>
        </w:rPr>
        <w:t xml:space="preserve"> in Figure 2. By including both segments within the scope of corporate obligations, responsibility for ESG issues extends beyond organisational boundaries to cover the entire product life cycle and all entities associated with its operation </w:t>
      </w:r>
      <w:r w:rsidR="009A0A5E" w:rsidRPr="00816C73">
        <w:rPr>
          <w:rFonts w:ascii="Times New Roman" w:hAnsi="Times New Roman" w:cs="Times New Roman"/>
          <w:lang w:val="en-GB"/>
        </w:rPr>
        <w:t>(</w:t>
      </w:r>
      <w:r w:rsidRPr="00816C73">
        <w:rPr>
          <w:rFonts w:ascii="Times New Roman" w:hAnsi="Times New Roman" w:cs="Times New Roman"/>
          <w:lang w:val="en-GB"/>
        </w:rPr>
        <w:t>Alkhatib 2017</w:t>
      </w:r>
      <w:r w:rsidR="009A0A5E" w:rsidRPr="00816C73">
        <w:rPr>
          <w:rFonts w:ascii="Times New Roman" w:hAnsi="Times New Roman" w:cs="Times New Roman"/>
          <w:lang w:val="en-GB"/>
        </w:rPr>
        <w:t>)</w:t>
      </w:r>
      <w:r w:rsidRPr="00816C73">
        <w:rPr>
          <w:rFonts w:ascii="Times New Roman" w:hAnsi="Times New Roman" w:cs="Times New Roman"/>
          <w:lang w:val="en-GB"/>
        </w:rPr>
        <w:t>.</w:t>
      </w:r>
    </w:p>
    <w:p w14:paraId="1C2D79FE" w14:textId="77777777" w:rsidR="00D064CA" w:rsidRPr="00816C73" w:rsidRDefault="00D064CA" w:rsidP="00D064CA">
      <w:pPr>
        <w:spacing w:after="0"/>
        <w:jc w:val="center"/>
        <w:rPr>
          <w:rFonts w:ascii="Times New Roman" w:hAnsi="Times New Roman" w:cs="Times New Roman"/>
          <w:sz w:val="24"/>
          <w:szCs w:val="24"/>
          <w:lang w:val="en-GB"/>
        </w:rPr>
      </w:pPr>
      <w:r w:rsidRPr="00816C73">
        <w:rPr>
          <w:rFonts w:ascii="Times New Roman" w:hAnsi="Times New Roman" w:cs="Times New Roman"/>
          <w:noProof/>
          <w:sz w:val="24"/>
          <w:szCs w:val="24"/>
          <w:lang w:val="en-GB" w:eastAsia="pl-PL"/>
        </w:rPr>
        <w:lastRenderedPageBreak/>
        <w:drawing>
          <wp:inline distT="0" distB="0" distL="0" distR="0" wp14:anchorId="7E7E7074" wp14:editId="6CE75362">
            <wp:extent cx="3766001" cy="4781550"/>
            <wp:effectExtent l="0" t="0" r="6350" b="0"/>
            <wp:docPr id="1055420994" name="Obraz 3" descr="Obraz zawierający tekst, zrzut ekranu, wizytów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20994" name="Obraz 3" descr="Obraz zawierający tekst, zrzut ekranu, wizytówka, Czcionka&#10;&#10;Zawartość wygenerowana przez AI może być niepopraw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3603" cy="4841988"/>
                    </a:xfrm>
                    <a:prstGeom prst="rect">
                      <a:avLst/>
                    </a:prstGeom>
                    <a:noFill/>
                    <a:ln>
                      <a:noFill/>
                    </a:ln>
                  </pic:spPr>
                </pic:pic>
              </a:graphicData>
            </a:graphic>
          </wp:inline>
        </w:drawing>
      </w:r>
    </w:p>
    <w:p w14:paraId="17ADB827" w14:textId="77777777" w:rsidR="00D064CA" w:rsidRPr="00816C73" w:rsidRDefault="00D064CA" w:rsidP="0056438F">
      <w:pPr>
        <w:pStyle w:val="Rrys"/>
        <w:rPr>
          <w:lang w:val="en-GB"/>
        </w:rPr>
      </w:pPr>
      <w:r w:rsidRPr="00816C73">
        <w:rPr>
          <w:b/>
          <w:bCs/>
          <w:lang w:val="en-GB"/>
        </w:rPr>
        <w:t>Fig. 2.</w:t>
      </w:r>
      <w:r w:rsidRPr="00816C73">
        <w:rPr>
          <w:lang w:val="en-GB"/>
        </w:rPr>
        <w:t xml:space="preserve"> Division of the value chain into upstream and downstream segments based on the example of a manufacturing company</w:t>
      </w:r>
    </w:p>
    <w:p w14:paraId="6A215F2E" w14:textId="77777777" w:rsidR="0056438F" w:rsidRDefault="0056438F" w:rsidP="00D064CA">
      <w:pPr>
        <w:spacing w:after="0" w:line="240" w:lineRule="auto"/>
        <w:ind w:firstLine="284"/>
        <w:jc w:val="both"/>
        <w:rPr>
          <w:rFonts w:ascii="Times New Roman" w:hAnsi="Times New Roman" w:cs="Times New Roman"/>
          <w:lang w:val="en-GB"/>
        </w:rPr>
      </w:pPr>
    </w:p>
    <w:p w14:paraId="716DAA3B" w14:textId="5584FE6C" w:rsidR="00D75184" w:rsidRPr="00816C73" w:rsidRDefault="00D75184" w:rsidP="00D064C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In the context of the CSDDD, this approach has significant implications. The directive requires companies to identify and assess ESG-related risks, implement preventive policies, conduct supplier audits, apply contractual clauses ensuring compliance with ESG guidelines, and undertake remedial actions in cases of non-compliance. These obligations apply to risks occurring in upstream activities</w:t>
      </w:r>
      <w:r w:rsidR="00EB29A2" w:rsidRPr="00816C73">
        <w:rPr>
          <w:rFonts w:ascii="Times New Roman" w:hAnsi="Times New Roman" w:cs="Times New Roman"/>
          <w:lang w:val="en-GB"/>
        </w:rPr>
        <w:t xml:space="preserve">, </w:t>
      </w:r>
      <w:r w:rsidRPr="00816C73">
        <w:rPr>
          <w:rFonts w:ascii="Times New Roman" w:hAnsi="Times New Roman" w:cs="Times New Roman"/>
          <w:lang w:val="en-GB"/>
        </w:rPr>
        <w:t>such as human rights violations in extraction processes, the use of hazardous substances, or inadequate working conditions</w:t>
      </w:r>
      <w:r w:rsidR="00EB29A2" w:rsidRPr="00816C73">
        <w:rPr>
          <w:rFonts w:ascii="Times New Roman" w:hAnsi="Times New Roman" w:cs="Times New Roman"/>
          <w:lang w:val="en-GB"/>
        </w:rPr>
        <w:t xml:space="preserve">, </w:t>
      </w:r>
      <w:r w:rsidRPr="00816C73">
        <w:rPr>
          <w:rFonts w:ascii="Times New Roman" w:hAnsi="Times New Roman" w:cs="Times New Roman"/>
          <w:lang w:val="en-GB"/>
        </w:rPr>
        <w:t>as well as to risks arising downstream, including emissions generated during transport and distribution, end-user safety, impacts on local communities, and the consequences of product disposal.</w:t>
      </w:r>
    </w:p>
    <w:p w14:paraId="4D2312C7" w14:textId="19FA42C6" w:rsidR="0006597C" w:rsidRPr="00816C73" w:rsidRDefault="0006597C" w:rsidP="00D064C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From the </w:t>
      </w:r>
      <w:r w:rsidR="00CA0A62" w:rsidRPr="00816C73">
        <w:rPr>
          <w:rFonts w:ascii="Times New Roman" w:hAnsi="Times New Roman" w:cs="Times New Roman"/>
          <w:lang w:val="en-GB"/>
        </w:rPr>
        <w:t>logistics sector's perspective</w:t>
      </w:r>
      <w:r w:rsidRPr="00816C73">
        <w:rPr>
          <w:rFonts w:ascii="Times New Roman" w:hAnsi="Times New Roman" w:cs="Times New Roman"/>
          <w:lang w:val="en-GB"/>
        </w:rPr>
        <w:t xml:space="preserve">, the significance of the CSDDD is particularly pronounced. Logistics </w:t>
      </w:r>
      <w:r w:rsidR="004919C5">
        <w:rPr>
          <w:rFonts w:ascii="Times New Roman" w:hAnsi="Times New Roman" w:cs="Times New Roman"/>
          <w:lang w:val="en-GB"/>
        </w:rPr>
        <w:t>serves as a natural link between upstream and downstream processes, and logistics operators play a critical role in both procurement and product distribution</w:t>
      </w:r>
      <w:r w:rsidRPr="00816C73">
        <w:rPr>
          <w:rFonts w:ascii="Times New Roman" w:hAnsi="Times New Roman" w:cs="Times New Roman"/>
          <w:lang w:val="en-GB"/>
        </w:rPr>
        <w:t>. This implies that logistics companies will be required to comprehensively monitor emissions, working conditions, environmental compliance, and operational processes not only within their own operations but also across their subcontractors and business partners.</w:t>
      </w:r>
    </w:p>
    <w:p w14:paraId="3BC73177" w14:textId="2A28F893" w:rsidR="00967E5B" w:rsidRPr="00816C73" w:rsidRDefault="0006597C" w:rsidP="00D064C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Consequently, this will necessitate </w:t>
      </w:r>
      <w:r w:rsidR="004919C5">
        <w:rPr>
          <w:rFonts w:ascii="Times New Roman" w:hAnsi="Times New Roman" w:cs="Times New Roman"/>
          <w:lang w:val="en-GB"/>
        </w:rPr>
        <w:t>implementing supplier verification mechanisms, developing tools to monitor carbon footprints, adopting environmental certifications, and deploying technologies to track</w:t>
      </w:r>
      <w:r w:rsidRPr="00816C73">
        <w:rPr>
          <w:rFonts w:ascii="Times New Roman" w:hAnsi="Times New Roman" w:cs="Times New Roman"/>
          <w:lang w:val="en-GB"/>
        </w:rPr>
        <w:t xml:space="preserve"> operational data flows throughout the entire value chain.</w:t>
      </w:r>
    </w:p>
    <w:p w14:paraId="56496C5B" w14:textId="3610251A" w:rsidR="007759C9" w:rsidRPr="00816C73" w:rsidRDefault="007759C9" w:rsidP="00D064C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inclusion of upstream and downstream segments within the scope of corporate responsibility represents a breakthrough in European sustainable development policy. For the first time at the EU level, it has been formally acknowledged that a company</w:t>
      </w:r>
      <w:r w:rsidR="004919C5">
        <w:rPr>
          <w:rFonts w:ascii="Times New Roman" w:hAnsi="Times New Roman" w:cs="Times New Roman"/>
          <w:lang w:val="en-GB"/>
        </w:rPr>
        <w:t>'</w:t>
      </w:r>
      <w:r w:rsidRPr="00816C73">
        <w:rPr>
          <w:rFonts w:ascii="Times New Roman" w:hAnsi="Times New Roman" w:cs="Times New Roman"/>
          <w:lang w:val="en-GB"/>
        </w:rPr>
        <w:t xml:space="preserve">s environmental and social impacts </w:t>
      </w:r>
      <w:r w:rsidR="00CA0A62" w:rsidRPr="00816C73">
        <w:rPr>
          <w:rFonts w:ascii="Times New Roman" w:hAnsi="Times New Roman" w:cs="Times New Roman"/>
          <w:lang w:val="en-GB"/>
        </w:rPr>
        <w:t>extend beyond its own operations to encompass</w:t>
      </w:r>
      <w:r w:rsidRPr="00816C73">
        <w:rPr>
          <w:rFonts w:ascii="Times New Roman" w:hAnsi="Times New Roman" w:cs="Times New Roman"/>
          <w:lang w:val="en-GB"/>
        </w:rPr>
        <w:t xml:space="preserve"> all stages of the value chain. As a result, the CSDDD transforms ESG from a predominantly reporting-oriented domain into an area of substantive risk management and legal responsibility, encompassing the full range of corporate activities as well as those of affiliated and cooperating entities.</w:t>
      </w:r>
    </w:p>
    <w:p w14:paraId="59CEB0BB" w14:textId="6830A371" w:rsidR="007759C9" w:rsidRPr="00816C73" w:rsidRDefault="007759C9" w:rsidP="00D064C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In summary, ESG reporting regulations have undergone a fundamental evolution over the past decade. This process began with the general and narrative requirements introduced by Directive 2013/34/EU, was subse</w:t>
      </w:r>
      <w:r w:rsidRPr="00816C73">
        <w:rPr>
          <w:rFonts w:ascii="Times New Roman" w:hAnsi="Times New Roman" w:cs="Times New Roman"/>
          <w:lang w:val="en-GB"/>
        </w:rPr>
        <w:lastRenderedPageBreak/>
        <w:t>quently refined under the more structured</w:t>
      </w:r>
      <w:r w:rsidR="00890DA2" w:rsidRPr="00816C73">
        <w:rPr>
          <w:rFonts w:ascii="Times New Roman" w:hAnsi="Times New Roman" w:cs="Times New Roman"/>
          <w:lang w:val="en-GB"/>
        </w:rPr>
        <w:t xml:space="preserve">, </w:t>
      </w:r>
      <w:r w:rsidRPr="00816C73">
        <w:rPr>
          <w:rFonts w:ascii="Times New Roman" w:hAnsi="Times New Roman" w:cs="Times New Roman"/>
          <w:lang w:val="en-GB"/>
        </w:rPr>
        <w:t>yet still limited</w:t>
      </w:r>
      <w:r w:rsidR="00890DA2" w:rsidRPr="00816C73">
        <w:rPr>
          <w:rFonts w:ascii="Times New Roman" w:hAnsi="Times New Roman" w:cs="Times New Roman"/>
          <w:lang w:val="en-GB"/>
        </w:rPr>
        <w:t xml:space="preserve">, </w:t>
      </w:r>
      <w:r w:rsidRPr="00816C73">
        <w:rPr>
          <w:rFonts w:ascii="Times New Roman" w:hAnsi="Times New Roman" w:cs="Times New Roman"/>
          <w:lang w:val="en-GB"/>
        </w:rPr>
        <w:t xml:space="preserve">NFRD, and ultimately culminated in the comprehensive and harmonised reporting system established by the CSRD. </w:t>
      </w:r>
      <w:r w:rsidR="00CA0A62" w:rsidRPr="00816C73">
        <w:rPr>
          <w:rFonts w:ascii="Times New Roman" w:hAnsi="Times New Roman" w:cs="Times New Roman"/>
          <w:lang w:val="en-GB"/>
        </w:rPr>
        <w:t>Currently, the regulatory trajectory is further shaped by the CSDDD, which, for the first time,</w:t>
      </w:r>
      <w:r w:rsidRPr="00816C73">
        <w:rPr>
          <w:rFonts w:ascii="Times New Roman" w:hAnsi="Times New Roman" w:cs="Times New Roman"/>
          <w:lang w:val="en-GB"/>
        </w:rPr>
        <w:t xml:space="preserve"> extends corporate responsibility across the entire value chain, introducing not only disclosure obligations but also concrete operational and managerial requirements.</w:t>
      </w:r>
    </w:p>
    <w:p w14:paraId="095D5F1D" w14:textId="45BD4568" w:rsidR="00144F8D" w:rsidRPr="00816C73" w:rsidRDefault="007759C9" w:rsidP="00144F8D">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progressive tightening of regulations reflects the growing importance of environmental, social, and governance issues in business operations, as well as the need to ensure transparency and comparability of corporate disclosures. This evolution clearly illustrates a shift in emphasis</w:t>
      </w:r>
      <w:r w:rsidR="003E3D3F" w:rsidRPr="00816C73">
        <w:rPr>
          <w:rFonts w:ascii="Times New Roman" w:hAnsi="Times New Roman" w:cs="Times New Roman"/>
          <w:lang w:val="en-GB"/>
        </w:rPr>
        <w:t xml:space="preserve">, </w:t>
      </w:r>
      <w:r w:rsidRPr="00816C73">
        <w:rPr>
          <w:rFonts w:ascii="Times New Roman" w:hAnsi="Times New Roman" w:cs="Times New Roman"/>
          <w:lang w:val="en-GB"/>
        </w:rPr>
        <w:t>from broadly defined reporting duties, through detailed and standardised reporting frameworks, to regulations that impose tangible responsibility for managing ESG-related risks throughout the value chain. Consequently, this development constitutes not only a legislative change but also a transformation in how corporate responsibility and the role of enterprises in sustainable development are conceptualised.</w:t>
      </w:r>
    </w:p>
    <w:p w14:paraId="5E16875E" w14:textId="77777777" w:rsidR="00144F8D" w:rsidRPr="00816C73" w:rsidRDefault="00144F8D" w:rsidP="00144F8D">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 summary of European legal acts on non-financial reporting is presented in Table 1.</w:t>
      </w:r>
    </w:p>
    <w:p w14:paraId="46008E10" w14:textId="77777777" w:rsidR="009C7AE2" w:rsidRPr="00816C73" w:rsidRDefault="009C7AE2" w:rsidP="00F06A65">
      <w:pPr>
        <w:spacing w:after="0" w:line="240" w:lineRule="auto"/>
        <w:ind w:firstLine="284"/>
        <w:jc w:val="both"/>
        <w:rPr>
          <w:rFonts w:ascii="Times New Roman" w:hAnsi="Times New Roman" w:cs="Times New Roman"/>
          <w:lang w:val="en-GB"/>
        </w:rPr>
      </w:pPr>
    </w:p>
    <w:p w14:paraId="3CA8234E" w14:textId="4A14A291" w:rsidR="00FC7CBE" w:rsidRPr="00816C73" w:rsidRDefault="00FC7CBE" w:rsidP="009C7AE2">
      <w:pPr>
        <w:pStyle w:val="Rtab"/>
        <w:rPr>
          <w:lang w:val="en-GB"/>
        </w:rPr>
      </w:pPr>
      <w:r w:rsidRPr="00816C73">
        <w:rPr>
          <w:b/>
          <w:bCs/>
          <w:lang w:val="en-GB"/>
        </w:rPr>
        <w:t>Tab</w:t>
      </w:r>
      <w:r w:rsidR="009C7AE2">
        <w:rPr>
          <w:b/>
          <w:bCs/>
          <w:lang w:val="en-GB"/>
        </w:rPr>
        <w:t>le</w:t>
      </w:r>
      <w:r w:rsidRPr="00816C73">
        <w:rPr>
          <w:b/>
          <w:bCs/>
          <w:lang w:val="en-GB"/>
        </w:rPr>
        <w:t xml:space="preserve"> 1.</w:t>
      </w:r>
      <w:r w:rsidRPr="00816C73">
        <w:rPr>
          <w:lang w:val="en-GB"/>
        </w:rPr>
        <w:t xml:space="preserve"> </w:t>
      </w:r>
      <w:r w:rsidR="00C22063" w:rsidRPr="00816C73">
        <w:rPr>
          <w:lang w:val="en-GB"/>
        </w:rPr>
        <w:t>Comparison of European legal acts on non-financial reporting</w:t>
      </w:r>
    </w:p>
    <w:tbl>
      <w:tblPr>
        <w:tblStyle w:val="Tabela-Siatka"/>
        <w:tblW w:w="9634" w:type="dxa"/>
        <w:tblLook w:val="04A0" w:firstRow="1" w:lastRow="0" w:firstColumn="1" w:lastColumn="0" w:noHBand="0" w:noVBand="1"/>
      </w:tblPr>
      <w:tblGrid>
        <w:gridCol w:w="1031"/>
        <w:gridCol w:w="2954"/>
        <w:gridCol w:w="2734"/>
        <w:gridCol w:w="2915"/>
      </w:tblGrid>
      <w:tr w:rsidR="0024199A" w:rsidRPr="00816C73" w14:paraId="2B64B435" w14:textId="77777777" w:rsidTr="00B44C88">
        <w:trPr>
          <w:trHeight w:val="454"/>
        </w:trPr>
        <w:tc>
          <w:tcPr>
            <w:tcW w:w="1031" w:type="dxa"/>
            <w:vAlign w:val="center"/>
          </w:tcPr>
          <w:p w14:paraId="2B90D70B" w14:textId="5DB1DBE9" w:rsidR="0024199A" w:rsidRPr="009C7AE2" w:rsidRDefault="00013F25" w:rsidP="00B44C88">
            <w:pPr>
              <w:jc w:val="center"/>
              <w:rPr>
                <w:rFonts w:ascii="Times New Roman" w:hAnsi="Times New Roman" w:cs="Times New Roman"/>
                <w:sz w:val="20"/>
                <w:szCs w:val="20"/>
                <w:lang w:val="en-GB"/>
              </w:rPr>
            </w:pPr>
            <w:r w:rsidRPr="009C7AE2">
              <w:rPr>
                <w:rFonts w:ascii="Times New Roman" w:hAnsi="Times New Roman" w:cs="Times New Roman"/>
                <w:sz w:val="20"/>
                <w:szCs w:val="20"/>
                <w:lang w:val="en-GB"/>
              </w:rPr>
              <w:t>Legal act</w:t>
            </w:r>
          </w:p>
        </w:tc>
        <w:tc>
          <w:tcPr>
            <w:tcW w:w="2954" w:type="dxa"/>
            <w:vAlign w:val="center"/>
          </w:tcPr>
          <w:p w14:paraId="6E9687BA" w14:textId="798D2A35" w:rsidR="0024199A" w:rsidRPr="009C7AE2" w:rsidRDefault="00013F25" w:rsidP="00006256">
            <w:pPr>
              <w:jc w:val="center"/>
              <w:rPr>
                <w:rFonts w:ascii="Times New Roman" w:hAnsi="Times New Roman" w:cs="Times New Roman"/>
                <w:sz w:val="20"/>
                <w:szCs w:val="20"/>
                <w:lang w:val="en-GB"/>
              </w:rPr>
            </w:pPr>
            <w:r w:rsidRPr="009C7AE2">
              <w:rPr>
                <w:rFonts w:ascii="Times New Roman" w:hAnsi="Times New Roman" w:cs="Times New Roman"/>
                <w:sz w:val="20"/>
                <w:szCs w:val="20"/>
                <w:lang w:val="en-GB"/>
              </w:rPr>
              <w:t>Scope of data</w:t>
            </w:r>
          </w:p>
        </w:tc>
        <w:tc>
          <w:tcPr>
            <w:tcW w:w="2734" w:type="dxa"/>
            <w:vAlign w:val="center"/>
          </w:tcPr>
          <w:p w14:paraId="1FE1D665" w14:textId="051667E9" w:rsidR="0024199A" w:rsidRPr="009C7AE2" w:rsidRDefault="00013F25" w:rsidP="00006256">
            <w:pPr>
              <w:jc w:val="center"/>
              <w:rPr>
                <w:rFonts w:ascii="Times New Roman" w:hAnsi="Times New Roman" w:cs="Times New Roman"/>
                <w:sz w:val="20"/>
                <w:szCs w:val="20"/>
                <w:lang w:val="en-GB"/>
              </w:rPr>
            </w:pPr>
            <w:r w:rsidRPr="009C7AE2">
              <w:rPr>
                <w:rFonts w:ascii="Times New Roman" w:hAnsi="Times New Roman" w:cs="Times New Roman"/>
                <w:sz w:val="20"/>
                <w:szCs w:val="20"/>
                <w:lang w:val="en-GB"/>
              </w:rPr>
              <w:t>Entities covered</w:t>
            </w:r>
          </w:p>
        </w:tc>
        <w:tc>
          <w:tcPr>
            <w:tcW w:w="2915" w:type="dxa"/>
            <w:vAlign w:val="center"/>
          </w:tcPr>
          <w:p w14:paraId="35EAA2DB" w14:textId="0EE7E61E" w:rsidR="0024199A" w:rsidRPr="009C7AE2" w:rsidRDefault="00477F72" w:rsidP="00006256">
            <w:pPr>
              <w:jc w:val="center"/>
              <w:rPr>
                <w:rFonts w:ascii="Times New Roman" w:hAnsi="Times New Roman" w:cs="Times New Roman"/>
                <w:sz w:val="20"/>
                <w:szCs w:val="20"/>
                <w:lang w:val="en-GB"/>
              </w:rPr>
            </w:pPr>
            <w:r w:rsidRPr="009C7AE2">
              <w:rPr>
                <w:rFonts w:ascii="Times New Roman" w:hAnsi="Times New Roman" w:cs="Times New Roman"/>
                <w:sz w:val="20"/>
                <w:szCs w:val="20"/>
                <w:lang w:val="en-GB"/>
              </w:rPr>
              <w:t>Entry into force</w:t>
            </w:r>
          </w:p>
        </w:tc>
      </w:tr>
      <w:tr w:rsidR="0024199A" w:rsidRPr="00816C73" w14:paraId="22A92BD9" w14:textId="77777777" w:rsidTr="00B44C88">
        <w:trPr>
          <w:cantSplit/>
          <w:trHeight w:val="1265"/>
        </w:trPr>
        <w:tc>
          <w:tcPr>
            <w:tcW w:w="1031" w:type="dxa"/>
            <w:textDirection w:val="btLr"/>
            <w:vAlign w:val="center"/>
          </w:tcPr>
          <w:p w14:paraId="5162202E" w14:textId="64114F7A" w:rsidR="0024199A" w:rsidRPr="00816C73" w:rsidRDefault="00477F72"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Directive</w:t>
            </w:r>
            <w:r w:rsidR="0024199A" w:rsidRPr="00816C73">
              <w:rPr>
                <w:rFonts w:ascii="Times New Roman" w:hAnsi="Times New Roman" w:cs="Times New Roman"/>
                <w:sz w:val="20"/>
                <w:szCs w:val="20"/>
                <w:lang w:val="en-GB"/>
              </w:rPr>
              <w:t xml:space="preserve"> 2013/34/</w:t>
            </w:r>
            <w:r w:rsidR="00CA0A62" w:rsidRPr="00816C73">
              <w:rPr>
                <w:rFonts w:ascii="Times New Roman" w:hAnsi="Times New Roman" w:cs="Times New Roman"/>
                <w:sz w:val="20"/>
                <w:szCs w:val="20"/>
                <w:lang w:val="en-GB"/>
              </w:rPr>
              <w:t>EU</w:t>
            </w:r>
          </w:p>
        </w:tc>
        <w:tc>
          <w:tcPr>
            <w:tcW w:w="2954" w:type="dxa"/>
            <w:vAlign w:val="center"/>
          </w:tcPr>
          <w:p w14:paraId="3C797721" w14:textId="5F4F127A" w:rsidR="0024199A" w:rsidRPr="00816C73" w:rsidRDefault="003421AB"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Environmental matters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and employee-related issues.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No specification of the required scope of data or the formulation of concrete indicators</w:t>
            </w:r>
          </w:p>
        </w:tc>
        <w:tc>
          <w:tcPr>
            <w:tcW w:w="2734" w:type="dxa"/>
            <w:vAlign w:val="center"/>
          </w:tcPr>
          <w:p w14:paraId="1ADBEE7A" w14:textId="6C809CFA" w:rsidR="0024199A" w:rsidRPr="00816C73" w:rsidRDefault="0056279F"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Mandatory reporting only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for large undertakings</w:t>
            </w:r>
            <w:r w:rsidR="004919C5">
              <w:rPr>
                <w:rFonts w:ascii="Times New Roman" w:hAnsi="Times New Roman" w:cs="Times New Roman"/>
                <w:sz w:val="20"/>
                <w:szCs w:val="20"/>
                <w:lang w:val="en-GB"/>
              </w:rPr>
              <w:t>,</w:t>
            </w:r>
            <w:r w:rsidRPr="00816C73">
              <w:rPr>
                <w:rFonts w:ascii="Times New Roman" w:hAnsi="Times New Roman" w:cs="Times New Roman"/>
                <w:sz w:val="20"/>
                <w:szCs w:val="20"/>
                <w:lang w:val="en-GB"/>
              </w:rPr>
              <w:t xml:space="preserve"> small and medium-sized enterprises could be exempted</w:t>
            </w:r>
          </w:p>
        </w:tc>
        <w:tc>
          <w:tcPr>
            <w:tcW w:w="2915" w:type="dxa"/>
            <w:vAlign w:val="center"/>
          </w:tcPr>
          <w:p w14:paraId="02588EB9" w14:textId="665C21AA" w:rsidR="0024199A" w:rsidRPr="00816C73" w:rsidRDefault="0056279F"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Member States were required to</w:t>
            </w:r>
            <w:r w:rsidR="00B44C88">
              <w:rPr>
                <w:rFonts w:ascii="Times New Roman" w:hAnsi="Times New Roman" w:cs="Times New Roman"/>
                <w:sz w:val="20"/>
                <w:szCs w:val="20"/>
                <w:lang w:val="en-GB"/>
              </w:rPr>
              <w:t> </w:t>
            </w:r>
            <w:r w:rsidRPr="00816C73">
              <w:rPr>
                <w:rFonts w:ascii="Times New Roman" w:hAnsi="Times New Roman" w:cs="Times New Roman"/>
                <w:sz w:val="20"/>
                <w:szCs w:val="20"/>
                <w:lang w:val="en-GB"/>
              </w:rPr>
              <w:t xml:space="preserve">transpose the directive into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national law by 20 July 2015 at</w:t>
            </w:r>
            <w:r w:rsidR="00B44C88">
              <w:rPr>
                <w:rFonts w:ascii="Times New Roman" w:hAnsi="Times New Roman" w:cs="Times New Roman"/>
                <w:sz w:val="20"/>
                <w:szCs w:val="20"/>
                <w:lang w:val="en-GB"/>
              </w:rPr>
              <w:t> </w:t>
            </w:r>
            <w:r w:rsidRPr="00816C73">
              <w:rPr>
                <w:rFonts w:ascii="Times New Roman" w:hAnsi="Times New Roman" w:cs="Times New Roman"/>
                <w:sz w:val="20"/>
                <w:szCs w:val="20"/>
                <w:lang w:val="en-GB"/>
              </w:rPr>
              <w:t>the latest</w:t>
            </w:r>
          </w:p>
        </w:tc>
      </w:tr>
      <w:tr w:rsidR="00A40A57" w:rsidRPr="00816C73" w14:paraId="5A4F3009" w14:textId="77777777" w:rsidTr="00B44C88">
        <w:trPr>
          <w:cantSplit/>
          <w:trHeight w:val="1497"/>
        </w:trPr>
        <w:tc>
          <w:tcPr>
            <w:tcW w:w="1031" w:type="dxa"/>
            <w:textDirection w:val="btLr"/>
            <w:vAlign w:val="center"/>
          </w:tcPr>
          <w:p w14:paraId="018E815A" w14:textId="3C53A946" w:rsidR="00A40A57" w:rsidRPr="00816C73" w:rsidRDefault="00477F72"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Directive</w:t>
            </w:r>
            <w:r w:rsidR="00006256" w:rsidRPr="00816C73">
              <w:rPr>
                <w:rFonts w:ascii="Times New Roman" w:hAnsi="Times New Roman" w:cs="Times New Roman"/>
                <w:sz w:val="20"/>
                <w:szCs w:val="20"/>
                <w:lang w:val="en-GB"/>
              </w:rPr>
              <w:t xml:space="preserve"> </w:t>
            </w:r>
            <w:r w:rsidR="00A40A57" w:rsidRPr="00816C73">
              <w:rPr>
                <w:rFonts w:ascii="Times New Roman" w:hAnsi="Times New Roman" w:cs="Times New Roman"/>
                <w:sz w:val="20"/>
                <w:szCs w:val="20"/>
                <w:lang w:val="en-GB"/>
              </w:rPr>
              <w:t>2014/95/UE</w:t>
            </w:r>
          </w:p>
          <w:p w14:paraId="4F03D9DB" w14:textId="2F190FA5" w:rsidR="00A40A57" w:rsidRPr="00816C73" w:rsidRDefault="00A40A57"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(NFRD)</w:t>
            </w:r>
          </w:p>
        </w:tc>
        <w:tc>
          <w:tcPr>
            <w:tcW w:w="2954" w:type="dxa"/>
            <w:vAlign w:val="center"/>
          </w:tcPr>
          <w:p w14:paraId="61C97EF9" w14:textId="2C0DC87B" w:rsidR="00A40A57" w:rsidRPr="00816C73" w:rsidRDefault="000B2D18"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Obligation to disclose policies, outcomes, risks, and non-financial indicators in the areas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of environmental matters,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social issues, human rights,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and anti-corruption</w:t>
            </w:r>
          </w:p>
        </w:tc>
        <w:tc>
          <w:tcPr>
            <w:tcW w:w="2734" w:type="dxa"/>
            <w:vAlign w:val="center"/>
          </w:tcPr>
          <w:p w14:paraId="0A18FD30" w14:textId="158E3785" w:rsidR="00A40A57" w:rsidRPr="00816C73" w:rsidRDefault="000B2D18"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Large public-interest entities employing more than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500 employees</w:t>
            </w:r>
          </w:p>
        </w:tc>
        <w:tc>
          <w:tcPr>
            <w:tcW w:w="2915" w:type="dxa"/>
            <w:vAlign w:val="center"/>
          </w:tcPr>
          <w:p w14:paraId="7BB5CF09" w14:textId="77845683" w:rsidR="00A40A57" w:rsidRPr="00816C73" w:rsidRDefault="00014E2A"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Financial years starting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on or after 1 January 2017</w:t>
            </w:r>
          </w:p>
        </w:tc>
      </w:tr>
      <w:tr w:rsidR="009C08CE" w:rsidRPr="00816C73" w14:paraId="75FEEBB5" w14:textId="77777777" w:rsidTr="00B44C88">
        <w:trPr>
          <w:cantSplit/>
          <w:trHeight w:val="624"/>
        </w:trPr>
        <w:tc>
          <w:tcPr>
            <w:tcW w:w="1031" w:type="dxa"/>
            <w:vMerge w:val="restart"/>
            <w:textDirection w:val="btLr"/>
            <w:vAlign w:val="center"/>
          </w:tcPr>
          <w:p w14:paraId="360FC797" w14:textId="6B5D94AC" w:rsidR="009C08CE" w:rsidRPr="00816C73" w:rsidRDefault="00477F72"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Directive</w:t>
            </w:r>
            <w:r w:rsidR="009C08CE" w:rsidRPr="00816C73">
              <w:rPr>
                <w:rFonts w:ascii="Times New Roman" w:hAnsi="Times New Roman" w:cs="Times New Roman"/>
                <w:sz w:val="20"/>
                <w:szCs w:val="20"/>
                <w:lang w:val="en-GB"/>
              </w:rPr>
              <w:t xml:space="preserve"> 2022/2464</w:t>
            </w:r>
          </w:p>
          <w:p w14:paraId="2AF2A416" w14:textId="79D0BEE2" w:rsidR="009C08CE" w:rsidRPr="00816C73" w:rsidRDefault="009C08CE"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(CSRD)</w:t>
            </w:r>
          </w:p>
        </w:tc>
        <w:tc>
          <w:tcPr>
            <w:tcW w:w="2954" w:type="dxa"/>
            <w:vMerge w:val="restart"/>
            <w:vAlign w:val="center"/>
          </w:tcPr>
          <w:p w14:paraId="398D992A" w14:textId="1D130DBF" w:rsidR="009C08CE" w:rsidRPr="00816C73" w:rsidRDefault="00014E2A"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Broad scope of ESG disclosures; obligation to report all required information in accordance with </w:t>
            </w:r>
            <w:r w:rsidR="004919C5">
              <w:rPr>
                <w:rFonts w:ascii="Times New Roman" w:hAnsi="Times New Roman" w:cs="Times New Roman"/>
                <w:sz w:val="20"/>
                <w:szCs w:val="20"/>
                <w:lang w:val="en-GB"/>
              </w:rPr>
              <w:t xml:space="preserve">the </w:t>
            </w:r>
            <w:r w:rsidRPr="00816C73">
              <w:rPr>
                <w:rFonts w:ascii="Times New Roman" w:hAnsi="Times New Roman" w:cs="Times New Roman"/>
                <w:sz w:val="20"/>
                <w:szCs w:val="20"/>
                <w:lang w:val="en-GB"/>
              </w:rPr>
              <w:t>uniform ESRS</w:t>
            </w:r>
          </w:p>
        </w:tc>
        <w:tc>
          <w:tcPr>
            <w:tcW w:w="2734" w:type="dxa"/>
            <w:vAlign w:val="center"/>
          </w:tcPr>
          <w:p w14:paraId="0839AA71" w14:textId="4140C0C2" w:rsidR="009C08CE" w:rsidRPr="00816C73" w:rsidRDefault="00BB2B85"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Entities covered by the NFRD</w:t>
            </w:r>
          </w:p>
        </w:tc>
        <w:tc>
          <w:tcPr>
            <w:tcW w:w="2915" w:type="dxa"/>
            <w:vAlign w:val="center"/>
          </w:tcPr>
          <w:p w14:paraId="274C5DC9" w14:textId="2AF7E50A" w:rsidR="009C08CE" w:rsidRPr="00816C73" w:rsidRDefault="003A184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Financial years starting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on or after 1 January 2024</w:t>
            </w:r>
          </w:p>
        </w:tc>
      </w:tr>
      <w:tr w:rsidR="009C08CE" w:rsidRPr="00816C73" w14:paraId="19E8E61B" w14:textId="77777777" w:rsidTr="00B44C88">
        <w:trPr>
          <w:cantSplit/>
          <w:trHeight w:val="567"/>
        </w:trPr>
        <w:tc>
          <w:tcPr>
            <w:tcW w:w="1031" w:type="dxa"/>
            <w:vMerge/>
            <w:textDirection w:val="btLr"/>
            <w:vAlign w:val="center"/>
          </w:tcPr>
          <w:p w14:paraId="1B5362B1" w14:textId="77777777" w:rsidR="009C08CE" w:rsidRPr="00816C73" w:rsidRDefault="009C08CE" w:rsidP="00006256">
            <w:pPr>
              <w:ind w:left="113" w:right="113"/>
              <w:jc w:val="center"/>
              <w:rPr>
                <w:rFonts w:ascii="Times New Roman" w:hAnsi="Times New Roman" w:cs="Times New Roman"/>
                <w:sz w:val="20"/>
                <w:szCs w:val="20"/>
                <w:lang w:val="en-GB"/>
              </w:rPr>
            </w:pPr>
          </w:p>
        </w:tc>
        <w:tc>
          <w:tcPr>
            <w:tcW w:w="2954" w:type="dxa"/>
            <w:vMerge/>
            <w:vAlign w:val="center"/>
          </w:tcPr>
          <w:p w14:paraId="68FDEB3A" w14:textId="77777777" w:rsidR="009C08CE" w:rsidRPr="00816C73" w:rsidRDefault="009C08CE" w:rsidP="00006256">
            <w:pPr>
              <w:jc w:val="center"/>
              <w:rPr>
                <w:rFonts w:ascii="Times New Roman" w:hAnsi="Times New Roman" w:cs="Times New Roman"/>
                <w:sz w:val="20"/>
                <w:szCs w:val="20"/>
                <w:lang w:val="en-GB"/>
              </w:rPr>
            </w:pPr>
          </w:p>
        </w:tc>
        <w:tc>
          <w:tcPr>
            <w:tcW w:w="2734" w:type="dxa"/>
            <w:vAlign w:val="center"/>
          </w:tcPr>
          <w:p w14:paraId="7036027C" w14:textId="1EE77812" w:rsidR="009C08CE" w:rsidRPr="00816C73" w:rsidRDefault="00BB2B85"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Large enterprises</w:t>
            </w:r>
          </w:p>
        </w:tc>
        <w:tc>
          <w:tcPr>
            <w:tcW w:w="2915" w:type="dxa"/>
            <w:vAlign w:val="center"/>
          </w:tcPr>
          <w:p w14:paraId="630A36E5" w14:textId="031A7772" w:rsidR="009C08CE" w:rsidRPr="00816C73" w:rsidRDefault="003A184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Financial years starting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on or after 1 January 2025</w:t>
            </w:r>
          </w:p>
        </w:tc>
      </w:tr>
      <w:tr w:rsidR="009C08CE" w:rsidRPr="00816C73" w14:paraId="169F260B" w14:textId="77777777" w:rsidTr="00B44C88">
        <w:trPr>
          <w:trHeight w:val="1776"/>
        </w:trPr>
        <w:tc>
          <w:tcPr>
            <w:tcW w:w="1031" w:type="dxa"/>
            <w:vMerge/>
            <w:textDirection w:val="btLr"/>
            <w:vAlign w:val="center"/>
          </w:tcPr>
          <w:p w14:paraId="33ED591C" w14:textId="77777777" w:rsidR="009C08CE" w:rsidRPr="00816C73" w:rsidRDefault="009C08CE" w:rsidP="00006256">
            <w:pPr>
              <w:ind w:left="113" w:right="113"/>
              <w:jc w:val="center"/>
              <w:rPr>
                <w:rFonts w:ascii="Times New Roman" w:hAnsi="Times New Roman" w:cs="Times New Roman"/>
                <w:sz w:val="20"/>
                <w:szCs w:val="20"/>
                <w:lang w:val="en-GB"/>
              </w:rPr>
            </w:pPr>
          </w:p>
        </w:tc>
        <w:tc>
          <w:tcPr>
            <w:tcW w:w="2954" w:type="dxa"/>
            <w:vMerge/>
            <w:vAlign w:val="center"/>
          </w:tcPr>
          <w:p w14:paraId="338065F5" w14:textId="77777777" w:rsidR="009C08CE" w:rsidRPr="00816C73" w:rsidRDefault="009C08CE" w:rsidP="00006256">
            <w:pPr>
              <w:jc w:val="center"/>
              <w:rPr>
                <w:rFonts w:ascii="Times New Roman" w:hAnsi="Times New Roman" w:cs="Times New Roman"/>
                <w:sz w:val="20"/>
                <w:szCs w:val="20"/>
                <w:lang w:val="en-GB"/>
              </w:rPr>
            </w:pPr>
          </w:p>
        </w:tc>
        <w:tc>
          <w:tcPr>
            <w:tcW w:w="2734" w:type="dxa"/>
            <w:vAlign w:val="center"/>
          </w:tcPr>
          <w:p w14:paraId="5FD43939" w14:textId="5AC703C6" w:rsidR="009C08CE" w:rsidRPr="00816C73" w:rsidRDefault="00EE6F28"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Listed SMEs and companies employing more than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50 employees and/or generating net sales revenues exceeding EUR 8 </w:t>
            </w:r>
            <w:proofErr w:type="spellStart"/>
            <w:r w:rsidR="007D1166" w:rsidRPr="00816C73">
              <w:rPr>
                <w:rFonts w:ascii="Times New Roman" w:hAnsi="Times New Roman" w:cs="Times New Roman"/>
                <w:sz w:val="20"/>
                <w:szCs w:val="20"/>
                <w:lang w:val="en-GB"/>
              </w:rPr>
              <w:t>mln</w:t>
            </w:r>
            <w:proofErr w:type="spellEnd"/>
            <w:r w:rsidRPr="00816C73">
              <w:rPr>
                <w:rFonts w:ascii="Times New Roman" w:hAnsi="Times New Roman" w:cs="Times New Roman"/>
                <w:sz w:val="20"/>
                <w:szCs w:val="20"/>
                <w:lang w:val="en-GB"/>
              </w:rPr>
              <w:t xml:space="preserve"> and/or with a</w:t>
            </w:r>
            <w:r w:rsidR="00B44C88">
              <w:rPr>
                <w:rFonts w:ascii="Times New Roman" w:hAnsi="Times New Roman" w:cs="Times New Roman"/>
                <w:sz w:val="20"/>
                <w:szCs w:val="20"/>
                <w:lang w:val="en-GB"/>
              </w:rPr>
              <w:t> </w:t>
            </w:r>
            <w:r w:rsidRPr="00816C73">
              <w:rPr>
                <w:rFonts w:ascii="Times New Roman" w:hAnsi="Times New Roman" w:cs="Times New Roman"/>
                <w:sz w:val="20"/>
                <w:szCs w:val="20"/>
                <w:lang w:val="en-GB"/>
              </w:rPr>
              <w:t xml:space="preserve">balance sheet total of at least EUR 4 </w:t>
            </w:r>
            <w:proofErr w:type="spellStart"/>
            <w:r w:rsidR="007D1166" w:rsidRPr="00816C73">
              <w:rPr>
                <w:rFonts w:ascii="Times New Roman" w:hAnsi="Times New Roman" w:cs="Times New Roman"/>
                <w:sz w:val="20"/>
                <w:szCs w:val="20"/>
                <w:lang w:val="en-GB"/>
              </w:rPr>
              <w:t>mln</w:t>
            </w:r>
            <w:proofErr w:type="spellEnd"/>
          </w:p>
        </w:tc>
        <w:tc>
          <w:tcPr>
            <w:tcW w:w="2915" w:type="dxa"/>
            <w:vAlign w:val="center"/>
          </w:tcPr>
          <w:p w14:paraId="6BA43C03" w14:textId="21508AA7" w:rsidR="009C08CE" w:rsidRPr="00816C73" w:rsidRDefault="007D116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Financial years starting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on or after 1 January 2026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(listed SMEs may defer the new obligations by two years)</w:t>
            </w:r>
          </w:p>
        </w:tc>
      </w:tr>
      <w:tr w:rsidR="009C08CE" w:rsidRPr="00816C73" w14:paraId="0D20E29C" w14:textId="77777777" w:rsidTr="0056438F">
        <w:trPr>
          <w:trHeight w:val="1218"/>
        </w:trPr>
        <w:tc>
          <w:tcPr>
            <w:tcW w:w="1031" w:type="dxa"/>
            <w:vMerge/>
            <w:textDirection w:val="btLr"/>
            <w:vAlign w:val="center"/>
          </w:tcPr>
          <w:p w14:paraId="37E30DF0" w14:textId="77777777" w:rsidR="009C08CE" w:rsidRPr="00816C73" w:rsidRDefault="009C08CE" w:rsidP="00006256">
            <w:pPr>
              <w:ind w:left="113" w:right="113"/>
              <w:jc w:val="center"/>
              <w:rPr>
                <w:rFonts w:ascii="Times New Roman" w:hAnsi="Times New Roman" w:cs="Times New Roman"/>
                <w:sz w:val="20"/>
                <w:szCs w:val="20"/>
                <w:lang w:val="en-GB"/>
              </w:rPr>
            </w:pPr>
          </w:p>
        </w:tc>
        <w:tc>
          <w:tcPr>
            <w:tcW w:w="2954" w:type="dxa"/>
            <w:vMerge/>
            <w:vAlign w:val="center"/>
          </w:tcPr>
          <w:p w14:paraId="1C9A94AB" w14:textId="77777777" w:rsidR="009C08CE" w:rsidRPr="00816C73" w:rsidRDefault="009C08CE" w:rsidP="00006256">
            <w:pPr>
              <w:jc w:val="center"/>
              <w:rPr>
                <w:rFonts w:ascii="Times New Roman" w:hAnsi="Times New Roman" w:cs="Times New Roman"/>
                <w:sz w:val="20"/>
                <w:szCs w:val="20"/>
                <w:lang w:val="en-GB"/>
              </w:rPr>
            </w:pPr>
          </w:p>
        </w:tc>
        <w:tc>
          <w:tcPr>
            <w:tcW w:w="2734" w:type="dxa"/>
            <w:vAlign w:val="center"/>
          </w:tcPr>
          <w:p w14:paraId="71462DD9" w14:textId="1FECF370" w:rsidR="009C08CE" w:rsidRPr="00816C73" w:rsidRDefault="003A184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Non-EU companies with a</w:t>
            </w:r>
            <w:r w:rsidR="00B44C88">
              <w:rPr>
                <w:rFonts w:ascii="Times New Roman" w:hAnsi="Times New Roman" w:cs="Times New Roman"/>
                <w:sz w:val="20"/>
                <w:szCs w:val="20"/>
                <w:lang w:val="en-GB"/>
              </w:rPr>
              <w:t> </w:t>
            </w:r>
            <w:r w:rsidRPr="00816C73">
              <w:rPr>
                <w:rFonts w:ascii="Times New Roman" w:hAnsi="Times New Roman" w:cs="Times New Roman"/>
                <w:sz w:val="20"/>
                <w:szCs w:val="20"/>
                <w:lang w:val="en-GB"/>
              </w:rPr>
              <w:t xml:space="preserve">subsidiary in the EU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whose annual turnover </w:t>
            </w:r>
            <w:r w:rsidR="0056438F">
              <w:rPr>
                <w:rFonts w:ascii="Times New Roman" w:hAnsi="Times New Roman" w:cs="Times New Roman"/>
                <w:sz w:val="20"/>
                <w:szCs w:val="20"/>
                <w:lang w:val="en-GB"/>
              </w:rPr>
              <w:br/>
            </w:r>
            <w:r w:rsidRPr="00816C73">
              <w:rPr>
                <w:rFonts w:ascii="Times New Roman" w:hAnsi="Times New Roman" w:cs="Times New Roman"/>
                <w:sz w:val="20"/>
                <w:szCs w:val="20"/>
                <w:lang w:val="en-GB"/>
              </w:rPr>
              <w:t xml:space="preserve">within the EU exceeds </w:t>
            </w:r>
            <w:r w:rsidR="0056438F">
              <w:rPr>
                <w:rFonts w:ascii="Times New Roman" w:hAnsi="Times New Roman" w:cs="Times New Roman"/>
                <w:sz w:val="20"/>
                <w:szCs w:val="20"/>
                <w:lang w:val="en-GB"/>
              </w:rPr>
              <w:br/>
            </w:r>
            <w:r w:rsidRPr="00816C73">
              <w:rPr>
                <w:rFonts w:ascii="Times New Roman" w:hAnsi="Times New Roman" w:cs="Times New Roman"/>
                <w:sz w:val="20"/>
                <w:szCs w:val="20"/>
                <w:lang w:val="en-GB"/>
              </w:rPr>
              <w:t>EUR 150 m</w:t>
            </w:r>
            <w:r w:rsidR="004919C5">
              <w:rPr>
                <w:rFonts w:ascii="Times New Roman" w:hAnsi="Times New Roman" w:cs="Times New Roman"/>
                <w:sz w:val="20"/>
                <w:szCs w:val="20"/>
                <w:lang w:val="en-GB"/>
              </w:rPr>
              <w:t>illio</w:t>
            </w:r>
            <w:r w:rsidR="007D1166" w:rsidRPr="00816C73">
              <w:rPr>
                <w:rFonts w:ascii="Times New Roman" w:hAnsi="Times New Roman" w:cs="Times New Roman"/>
                <w:sz w:val="20"/>
                <w:szCs w:val="20"/>
                <w:lang w:val="en-GB"/>
              </w:rPr>
              <w:t>n</w:t>
            </w:r>
          </w:p>
        </w:tc>
        <w:tc>
          <w:tcPr>
            <w:tcW w:w="2915" w:type="dxa"/>
            <w:vAlign w:val="center"/>
          </w:tcPr>
          <w:p w14:paraId="2C59D3D8" w14:textId="29E3FB77" w:rsidR="009C08CE" w:rsidRPr="00816C73" w:rsidRDefault="003A184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Financial years starting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on or after 1 January 2028</w:t>
            </w:r>
          </w:p>
        </w:tc>
      </w:tr>
      <w:tr w:rsidR="00D54F0F" w:rsidRPr="00816C73" w14:paraId="6272AA34" w14:textId="77777777" w:rsidTr="00B44C88">
        <w:trPr>
          <w:trHeight w:val="1106"/>
        </w:trPr>
        <w:tc>
          <w:tcPr>
            <w:tcW w:w="1031" w:type="dxa"/>
            <w:vMerge w:val="restart"/>
            <w:textDirection w:val="btLr"/>
            <w:vAlign w:val="center"/>
          </w:tcPr>
          <w:p w14:paraId="1F4FD301" w14:textId="77777777" w:rsidR="00006256" w:rsidRPr="00816C73" w:rsidRDefault="00477F72"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Directive</w:t>
            </w:r>
            <w:r w:rsidR="00D54F0F" w:rsidRPr="00816C73">
              <w:rPr>
                <w:rFonts w:ascii="Times New Roman" w:hAnsi="Times New Roman" w:cs="Times New Roman"/>
                <w:sz w:val="20"/>
                <w:szCs w:val="20"/>
                <w:lang w:val="en-GB"/>
              </w:rPr>
              <w:t xml:space="preserve"> </w:t>
            </w:r>
          </w:p>
          <w:p w14:paraId="49398180" w14:textId="77777777" w:rsidR="00006256" w:rsidRPr="00816C73" w:rsidRDefault="00D54F0F"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 xml:space="preserve">2024/1760 </w:t>
            </w:r>
          </w:p>
          <w:p w14:paraId="4FA577FD" w14:textId="545E85A2" w:rsidR="00D54F0F" w:rsidRPr="00816C73" w:rsidRDefault="00D54F0F" w:rsidP="00006256">
            <w:pPr>
              <w:ind w:left="113" w:right="113"/>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(CSDDD</w:t>
            </w:r>
            <w:r w:rsidR="00C45365" w:rsidRPr="00816C73">
              <w:rPr>
                <w:rFonts w:ascii="Times New Roman" w:hAnsi="Times New Roman" w:cs="Times New Roman"/>
                <w:sz w:val="20"/>
                <w:szCs w:val="20"/>
                <w:lang w:val="en-GB"/>
              </w:rPr>
              <w:t>/CS3D</w:t>
            </w:r>
            <w:r w:rsidRPr="00816C73">
              <w:rPr>
                <w:rFonts w:ascii="Times New Roman" w:hAnsi="Times New Roman" w:cs="Times New Roman"/>
                <w:sz w:val="20"/>
                <w:szCs w:val="20"/>
                <w:lang w:val="en-GB"/>
              </w:rPr>
              <w:t>)</w:t>
            </w:r>
          </w:p>
        </w:tc>
        <w:tc>
          <w:tcPr>
            <w:tcW w:w="2954" w:type="dxa"/>
            <w:vMerge w:val="restart"/>
            <w:vAlign w:val="center"/>
          </w:tcPr>
          <w:p w14:paraId="19F8FADB" w14:textId="6406E364" w:rsidR="00D54F0F" w:rsidRPr="00816C73" w:rsidRDefault="002241A7"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Obligation to conduct due diligence in the areas of human rights, social and labour issues, environmental protection, and responsible governance; extension of corporate responsibility beyond the company</w:t>
            </w:r>
            <w:r w:rsidR="004919C5">
              <w:rPr>
                <w:rFonts w:ascii="Times New Roman" w:hAnsi="Times New Roman" w:cs="Times New Roman"/>
                <w:sz w:val="20"/>
                <w:szCs w:val="20"/>
                <w:lang w:val="en-GB"/>
              </w:rPr>
              <w:t>'</w:t>
            </w:r>
            <w:r w:rsidRPr="00816C73">
              <w:rPr>
                <w:rFonts w:ascii="Times New Roman" w:hAnsi="Times New Roman" w:cs="Times New Roman"/>
                <w:sz w:val="20"/>
                <w:szCs w:val="20"/>
                <w:lang w:val="en-GB"/>
              </w:rPr>
              <w:t xml:space="preserve">s own operations; reporting requirements covering the entire value chain, </w:t>
            </w:r>
            <w:r w:rsidR="00B44C88">
              <w:rPr>
                <w:rFonts w:ascii="Times New Roman" w:hAnsi="Times New Roman" w:cs="Times New Roman"/>
                <w:sz w:val="20"/>
                <w:szCs w:val="20"/>
                <w:lang w:val="en-GB"/>
              </w:rPr>
              <w:br/>
            </w:r>
            <w:r w:rsidRPr="00816C73">
              <w:rPr>
                <w:rFonts w:ascii="Times New Roman" w:hAnsi="Times New Roman" w:cs="Times New Roman"/>
                <w:sz w:val="20"/>
                <w:szCs w:val="20"/>
                <w:lang w:val="en-GB"/>
              </w:rPr>
              <w:t>including the supply chain</w:t>
            </w:r>
          </w:p>
        </w:tc>
        <w:tc>
          <w:tcPr>
            <w:tcW w:w="2734" w:type="dxa"/>
            <w:vAlign w:val="center"/>
          </w:tcPr>
          <w:p w14:paraId="7FBC6425" w14:textId="2CAE73BF" w:rsidR="00D54F0F" w:rsidRPr="00816C73" w:rsidRDefault="002241A7"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Companies employing more than 3</w:t>
            </w:r>
            <w:r w:rsidR="004919C5">
              <w:rPr>
                <w:rFonts w:ascii="Times New Roman" w:hAnsi="Times New Roman" w:cs="Times New Roman"/>
                <w:sz w:val="20"/>
                <w:szCs w:val="20"/>
                <w:lang w:val="en-GB"/>
              </w:rPr>
              <w:t>,</w:t>
            </w:r>
            <w:r w:rsidRPr="00816C73">
              <w:rPr>
                <w:rFonts w:ascii="Times New Roman" w:hAnsi="Times New Roman" w:cs="Times New Roman"/>
                <w:sz w:val="20"/>
                <w:szCs w:val="20"/>
                <w:lang w:val="en-GB"/>
              </w:rPr>
              <w:t xml:space="preserve">000 employees with </w:t>
            </w:r>
            <w:r w:rsidR="005D2B11" w:rsidRPr="00816C73">
              <w:rPr>
                <w:rFonts w:ascii="Times New Roman" w:hAnsi="Times New Roman" w:cs="Times New Roman"/>
                <w:sz w:val="20"/>
                <w:szCs w:val="20"/>
                <w:lang w:val="en-GB"/>
              </w:rPr>
              <w:t>an</w:t>
            </w:r>
            <w:r w:rsidR="00B44C88">
              <w:rPr>
                <w:rFonts w:ascii="Times New Roman" w:hAnsi="Times New Roman" w:cs="Times New Roman"/>
                <w:sz w:val="20"/>
                <w:szCs w:val="20"/>
                <w:lang w:val="en-GB"/>
              </w:rPr>
              <w:t> </w:t>
            </w:r>
            <w:r w:rsidRPr="00816C73">
              <w:rPr>
                <w:rFonts w:ascii="Times New Roman" w:hAnsi="Times New Roman" w:cs="Times New Roman"/>
                <w:sz w:val="20"/>
                <w:szCs w:val="20"/>
                <w:lang w:val="en-GB"/>
              </w:rPr>
              <w:t xml:space="preserve">annual turnover exceeding EUR 900 </w:t>
            </w:r>
            <w:r w:rsidR="005D2B11" w:rsidRPr="00816C73">
              <w:rPr>
                <w:rFonts w:ascii="Times New Roman" w:hAnsi="Times New Roman" w:cs="Times New Roman"/>
                <w:sz w:val="20"/>
                <w:szCs w:val="20"/>
                <w:lang w:val="en-GB"/>
              </w:rPr>
              <w:t>million</w:t>
            </w:r>
          </w:p>
        </w:tc>
        <w:tc>
          <w:tcPr>
            <w:tcW w:w="2915" w:type="dxa"/>
            <w:vAlign w:val="center"/>
          </w:tcPr>
          <w:p w14:paraId="795ACF4E" w14:textId="6F9208F1" w:rsidR="00D54F0F" w:rsidRPr="00816C73" w:rsidRDefault="00C8651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From 26 July 2028</w:t>
            </w:r>
          </w:p>
        </w:tc>
      </w:tr>
      <w:tr w:rsidR="00D54F0F" w:rsidRPr="00816C73" w14:paraId="00DB88E8" w14:textId="77777777" w:rsidTr="0056438F">
        <w:trPr>
          <w:trHeight w:val="1399"/>
        </w:trPr>
        <w:tc>
          <w:tcPr>
            <w:tcW w:w="1031" w:type="dxa"/>
            <w:vMerge/>
          </w:tcPr>
          <w:p w14:paraId="1B673699" w14:textId="77777777" w:rsidR="00D54F0F" w:rsidRPr="00816C73" w:rsidRDefault="00D54F0F" w:rsidP="00006256">
            <w:pPr>
              <w:rPr>
                <w:rFonts w:ascii="Times New Roman" w:hAnsi="Times New Roman" w:cs="Times New Roman"/>
                <w:sz w:val="20"/>
                <w:szCs w:val="20"/>
                <w:lang w:val="en-GB"/>
              </w:rPr>
            </w:pPr>
          </w:p>
        </w:tc>
        <w:tc>
          <w:tcPr>
            <w:tcW w:w="2954" w:type="dxa"/>
            <w:vMerge/>
            <w:vAlign w:val="center"/>
          </w:tcPr>
          <w:p w14:paraId="61A65A68" w14:textId="77777777" w:rsidR="00D54F0F" w:rsidRPr="00816C73" w:rsidRDefault="00D54F0F" w:rsidP="00006256">
            <w:pPr>
              <w:jc w:val="center"/>
              <w:rPr>
                <w:rFonts w:ascii="Times New Roman" w:hAnsi="Times New Roman" w:cs="Times New Roman"/>
                <w:sz w:val="20"/>
                <w:szCs w:val="20"/>
                <w:lang w:val="en-GB"/>
              </w:rPr>
            </w:pPr>
          </w:p>
        </w:tc>
        <w:tc>
          <w:tcPr>
            <w:tcW w:w="2734" w:type="dxa"/>
            <w:vAlign w:val="center"/>
          </w:tcPr>
          <w:p w14:paraId="45E724EB" w14:textId="4D3E0B47" w:rsidR="00D54F0F" w:rsidRPr="00816C73" w:rsidRDefault="00C8651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Companies employing more than 1</w:t>
            </w:r>
            <w:r w:rsidR="004919C5">
              <w:rPr>
                <w:rFonts w:ascii="Times New Roman" w:hAnsi="Times New Roman" w:cs="Times New Roman"/>
                <w:sz w:val="20"/>
                <w:szCs w:val="20"/>
                <w:lang w:val="en-GB"/>
              </w:rPr>
              <w:t>,</w:t>
            </w:r>
            <w:r w:rsidRPr="00816C73">
              <w:rPr>
                <w:rFonts w:ascii="Times New Roman" w:hAnsi="Times New Roman" w:cs="Times New Roman"/>
                <w:sz w:val="20"/>
                <w:szCs w:val="20"/>
                <w:lang w:val="en-GB"/>
              </w:rPr>
              <w:t xml:space="preserve">000 employees with </w:t>
            </w:r>
            <w:r w:rsidR="005D2B11" w:rsidRPr="00816C73">
              <w:rPr>
                <w:rFonts w:ascii="Times New Roman" w:hAnsi="Times New Roman" w:cs="Times New Roman"/>
                <w:sz w:val="20"/>
                <w:szCs w:val="20"/>
                <w:lang w:val="en-GB"/>
              </w:rPr>
              <w:t>an</w:t>
            </w:r>
            <w:r w:rsidR="00B44C88">
              <w:rPr>
                <w:rFonts w:ascii="Times New Roman" w:hAnsi="Times New Roman" w:cs="Times New Roman"/>
                <w:sz w:val="20"/>
                <w:szCs w:val="20"/>
                <w:lang w:val="en-GB"/>
              </w:rPr>
              <w:t> </w:t>
            </w:r>
            <w:r w:rsidRPr="00816C73">
              <w:rPr>
                <w:rFonts w:ascii="Times New Roman" w:hAnsi="Times New Roman" w:cs="Times New Roman"/>
                <w:sz w:val="20"/>
                <w:szCs w:val="20"/>
                <w:lang w:val="en-GB"/>
              </w:rPr>
              <w:t xml:space="preserve">annual turnover exceeding EUR 450 </w:t>
            </w:r>
            <w:r w:rsidR="005D2B11" w:rsidRPr="00816C73">
              <w:rPr>
                <w:rFonts w:ascii="Times New Roman" w:hAnsi="Times New Roman" w:cs="Times New Roman"/>
                <w:sz w:val="20"/>
                <w:szCs w:val="20"/>
                <w:lang w:val="en-GB"/>
              </w:rPr>
              <w:t>million</w:t>
            </w:r>
          </w:p>
        </w:tc>
        <w:tc>
          <w:tcPr>
            <w:tcW w:w="2915" w:type="dxa"/>
            <w:vAlign w:val="center"/>
          </w:tcPr>
          <w:p w14:paraId="4F801CBE" w14:textId="3B2F3050" w:rsidR="00D54F0F" w:rsidRPr="00816C73" w:rsidRDefault="00C86516" w:rsidP="00006256">
            <w:pPr>
              <w:jc w:val="center"/>
              <w:rPr>
                <w:rFonts w:ascii="Times New Roman" w:hAnsi="Times New Roman" w:cs="Times New Roman"/>
                <w:sz w:val="20"/>
                <w:szCs w:val="20"/>
                <w:lang w:val="en-GB"/>
              </w:rPr>
            </w:pPr>
            <w:r w:rsidRPr="00816C73">
              <w:rPr>
                <w:rFonts w:ascii="Times New Roman" w:hAnsi="Times New Roman" w:cs="Times New Roman"/>
                <w:sz w:val="20"/>
                <w:szCs w:val="20"/>
                <w:lang w:val="en-GB"/>
              </w:rPr>
              <w:t>From 26 July 2029</w:t>
            </w:r>
          </w:p>
        </w:tc>
      </w:tr>
    </w:tbl>
    <w:p w14:paraId="700B4CFF" w14:textId="77777777" w:rsidR="00B44C88" w:rsidRDefault="00B44C88">
      <w:pPr>
        <w:rPr>
          <w:rFonts w:ascii="Times New Roman" w:hAnsi="Times New Roman"/>
          <w:b/>
          <w:sz w:val="24"/>
          <w:lang w:val="en-GB"/>
        </w:rPr>
      </w:pPr>
      <w:r>
        <w:rPr>
          <w:lang w:val="en-GB"/>
        </w:rPr>
        <w:br w:type="page"/>
      </w:r>
    </w:p>
    <w:p w14:paraId="0C2A519F" w14:textId="69D6C9DF" w:rsidR="00B44C88" w:rsidRPr="00816C73" w:rsidRDefault="00B44C88" w:rsidP="00B44C88">
      <w:pPr>
        <w:pStyle w:val="Rn1"/>
        <w:rPr>
          <w:lang w:val="en-GB"/>
        </w:rPr>
      </w:pPr>
      <w:r w:rsidRPr="00816C73">
        <w:rPr>
          <w:lang w:val="en-GB"/>
        </w:rPr>
        <w:lastRenderedPageBreak/>
        <w:t xml:space="preserve">4. ESG </w:t>
      </w:r>
      <w:r>
        <w:rPr>
          <w:lang w:val="en-GB"/>
        </w:rPr>
        <w:t>C</w:t>
      </w:r>
      <w:r w:rsidRPr="00816C73">
        <w:rPr>
          <w:lang w:val="en-GB"/>
        </w:rPr>
        <w:t xml:space="preserve">riteria in the </w:t>
      </w:r>
      <w:r>
        <w:rPr>
          <w:lang w:val="en-GB"/>
        </w:rPr>
        <w:t>C</w:t>
      </w:r>
      <w:r w:rsidRPr="00816C73">
        <w:rPr>
          <w:lang w:val="en-GB"/>
        </w:rPr>
        <w:t xml:space="preserve">ontext of </w:t>
      </w:r>
      <w:r>
        <w:rPr>
          <w:lang w:val="en-GB"/>
        </w:rPr>
        <w:t>L</w:t>
      </w:r>
      <w:r w:rsidRPr="00816C73">
        <w:rPr>
          <w:lang w:val="en-GB"/>
        </w:rPr>
        <w:t xml:space="preserve">ogistics </w:t>
      </w:r>
      <w:r>
        <w:rPr>
          <w:lang w:val="en-GB"/>
        </w:rPr>
        <w:t>M</w:t>
      </w:r>
      <w:r w:rsidRPr="00816C73">
        <w:rPr>
          <w:lang w:val="en-GB"/>
        </w:rPr>
        <w:t xml:space="preserve">arket </w:t>
      </w:r>
      <w:r>
        <w:rPr>
          <w:lang w:val="en-GB"/>
        </w:rPr>
        <w:t>S</w:t>
      </w:r>
      <w:r w:rsidRPr="00816C73">
        <w:rPr>
          <w:lang w:val="en-GB"/>
        </w:rPr>
        <w:t xml:space="preserve">takeholder </w:t>
      </w:r>
      <w:r>
        <w:rPr>
          <w:lang w:val="en-GB"/>
        </w:rPr>
        <w:t>N</w:t>
      </w:r>
      <w:r w:rsidRPr="00816C73">
        <w:rPr>
          <w:lang w:val="en-GB"/>
        </w:rPr>
        <w:t>eeds</w:t>
      </w:r>
    </w:p>
    <w:p w14:paraId="4E89F822" w14:textId="77777777" w:rsidR="00B44C88" w:rsidRPr="00816C73" w:rsidRDefault="00B44C88" w:rsidP="00B44C88">
      <w:pPr>
        <w:pStyle w:val="Rn2"/>
        <w:rPr>
          <w:lang w:val="en-GB"/>
        </w:rPr>
      </w:pPr>
      <w:r w:rsidRPr="00816C73">
        <w:rPr>
          <w:lang w:val="en-GB"/>
        </w:rPr>
        <w:t>4.1. Structure of stakeholders in the logistics market</w:t>
      </w:r>
    </w:p>
    <w:p w14:paraId="1E01131C" w14:textId="3203FEB9" w:rsidR="00B44C88" w:rsidRPr="00816C73" w:rsidRDefault="00B44C88" w:rsidP="00B44C8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 logistics system may be defined as a purposefully organised, structured, and interconnected set of elements whose function is to ensure the efficient flow of material streams and the associated information flows within a given economic system. It comprises subsystems of procurement, production, transport, and warehousing, as well as the relationships between enterprises and their supply and distribution markets. The logistics system enables the optimisation of logistics processes, thereby determining the efficiency of flows within the economy and supporting the achievement of both operational and strategic objectives of economic entities (Rushton et al. 2017</w:t>
      </w:r>
      <w:r w:rsidR="00131FA1">
        <w:rPr>
          <w:rFonts w:ascii="Times New Roman" w:hAnsi="Times New Roman" w:cs="Times New Roman"/>
          <w:lang w:val="en-GB"/>
        </w:rPr>
        <w:t>,</w:t>
      </w:r>
      <w:r w:rsidRPr="00816C73">
        <w:rPr>
          <w:rFonts w:ascii="Times New Roman" w:hAnsi="Times New Roman" w:cs="Times New Roman"/>
          <w:lang w:val="en-GB"/>
        </w:rPr>
        <w:t xml:space="preserve"> Wasiak et al. 2019</w:t>
      </w:r>
      <w:r w:rsidR="00131FA1">
        <w:rPr>
          <w:rFonts w:ascii="Times New Roman" w:hAnsi="Times New Roman" w:cs="Times New Roman"/>
          <w:lang w:val="en-GB"/>
        </w:rPr>
        <w:t>,</w:t>
      </w:r>
      <w:r w:rsidRPr="00816C73">
        <w:rPr>
          <w:rFonts w:ascii="Times New Roman" w:hAnsi="Times New Roman" w:cs="Times New Roman"/>
          <w:lang w:val="en-GB"/>
        </w:rPr>
        <w:t xml:space="preserve"> </w:t>
      </w:r>
      <w:proofErr w:type="spellStart"/>
      <w:r w:rsidRPr="00816C73">
        <w:rPr>
          <w:rFonts w:ascii="Times New Roman" w:hAnsi="Times New Roman" w:cs="Times New Roman"/>
          <w:lang w:val="en-GB"/>
        </w:rPr>
        <w:t>Jacyna</w:t>
      </w:r>
      <w:proofErr w:type="spellEnd"/>
      <w:r w:rsidRPr="00816C73">
        <w:rPr>
          <w:rFonts w:ascii="Times New Roman" w:hAnsi="Times New Roman" w:cs="Times New Roman"/>
          <w:lang w:val="en-GB"/>
        </w:rPr>
        <w:t xml:space="preserve"> et al. 2019).</w:t>
      </w:r>
    </w:p>
    <w:p w14:paraId="2A46DC16" w14:textId="5205F0DD" w:rsidR="00B44C88" w:rsidRDefault="00B44C88" w:rsidP="00B44C8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Due to the need to coordinate diverse processes, their spatial dispersion, complex organisational structures, the integration of multiple transport technologies, and the interaction of numerous actors, logistics systems are characterised by a high degree of complexity. As a consequence, the logistics market comprises multiple stakeholder groups whose objectives, expectations, and levels of influence on corporate operations may differ and, in some cases, even conflict (Yawar &amp; Seuring 2017</w:t>
      </w:r>
      <w:r w:rsidR="00131FA1">
        <w:rPr>
          <w:rFonts w:ascii="Times New Roman" w:hAnsi="Times New Roman" w:cs="Times New Roman"/>
          <w:lang w:val="en-GB"/>
        </w:rPr>
        <w:t>,</w:t>
      </w:r>
      <w:r w:rsidRPr="00816C73">
        <w:rPr>
          <w:rFonts w:ascii="Times New Roman" w:hAnsi="Times New Roman" w:cs="Times New Roman"/>
          <w:lang w:val="en-GB"/>
        </w:rPr>
        <w:t xml:space="preserve"> Busse et al. 2016a). Stakeholders may be classified in various ways, for example, </w:t>
      </w:r>
      <w:r w:rsidR="004919C5">
        <w:rPr>
          <w:rFonts w:ascii="Times New Roman" w:hAnsi="Times New Roman" w:cs="Times New Roman"/>
          <w:lang w:val="en-GB"/>
        </w:rPr>
        <w:t>by their position within the product life cycle (e.g., upstream and downstream, as</w:t>
      </w:r>
      <w:r w:rsidR="00ED23A6">
        <w:rPr>
          <w:rFonts w:ascii="Times New Roman" w:hAnsi="Times New Roman" w:cs="Times New Roman"/>
          <w:lang w:val="en-GB"/>
        </w:rPr>
        <w:t> </w:t>
      </w:r>
      <w:r w:rsidR="004919C5">
        <w:rPr>
          <w:rFonts w:ascii="Times New Roman" w:hAnsi="Times New Roman" w:cs="Times New Roman"/>
          <w:lang w:val="en-GB"/>
        </w:rPr>
        <w:t>illustrated in Figure 2) or by</w:t>
      </w:r>
      <w:r w:rsidRPr="00816C73">
        <w:rPr>
          <w:rFonts w:ascii="Times New Roman" w:hAnsi="Times New Roman" w:cs="Times New Roman"/>
          <w:lang w:val="en-GB"/>
        </w:rPr>
        <w:t xml:space="preserve"> the extent of their impact on a company</w:t>
      </w:r>
      <w:r w:rsidR="004919C5">
        <w:rPr>
          <w:rFonts w:ascii="Times New Roman" w:hAnsi="Times New Roman" w:cs="Times New Roman"/>
          <w:lang w:val="en-GB"/>
        </w:rPr>
        <w:t>'</w:t>
      </w:r>
      <w:r w:rsidRPr="00816C73">
        <w:rPr>
          <w:rFonts w:ascii="Times New Roman" w:hAnsi="Times New Roman" w:cs="Times New Roman"/>
          <w:lang w:val="en-GB"/>
        </w:rPr>
        <w:t>s operational capacity. In this paper, a</w:t>
      </w:r>
      <w:r w:rsidR="00ED23A6">
        <w:rPr>
          <w:rFonts w:ascii="Times New Roman" w:hAnsi="Times New Roman" w:cs="Times New Roman"/>
          <w:lang w:val="en-GB"/>
        </w:rPr>
        <w:t> </w:t>
      </w:r>
      <w:r w:rsidRPr="00816C73">
        <w:rPr>
          <w:rFonts w:ascii="Times New Roman" w:hAnsi="Times New Roman" w:cs="Times New Roman"/>
          <w:lang w:val="en-GB"/>
        </w:rPr>
        <w:t>stakeholder classification is proposed for a representative manufacturing or trading company</w:t>
      </w:r>
      <w:r w:rsidR="004919C5">
        <w:rPr>
          <w:rFonts w:ascii="Times New Roman" w:hAnsi="Times New Roman" w:cs="Times New Roman"/>
          <w:lang w:val="en-GB"/>
        </w:rPr>
        <w:t xml:space="preserve"> that incorporates</w:t>
      </w:r>
      <w:r w:rsidRPr="00816C73">
        <w:rPr>
          <w:rFonts w:ascii="Times New Roman" w:hAnsi="Times New Roman" w:cs="Times New Roman"/>
          <w:lang w:val="en-GB"/>
        </w:rPr>
        <w:t xml:space="preserve"> ESG criteria (Figure 3).</w:t>
      </w:r>
    </w:p>
    <w:p w14:paraId="757FEF0A" w14:textId="287C8A57" w:rsidR="00FA681A" w:rsidRPr="00816C73" w:rsidRDefault="00FA681A" w:rsidP="00B44C8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first group consists of internal stakeholders, that is, entities operating within the organisation. This group includes supervisory and management bodies such as the supervisory board, the management board, and senior executive management. It also comprises the company</w:t>
      </w:r>
      <w:r w:rsidR="004919C5">
        <w:rPr>
          <w:rFonts w:ascii="Times New Roman" w:hAnsi="Times New Roman" w:cs="Times New Roman"/>
          <w:lang w:val="en-GB"/>
        </w:rPr>
        <w:t>'</w:t>
      </w:r>
      <w:r w:rsidRPr="00816C73">
        <w:rPr>
          <w:rFonts w:ascii="Times New Roman" w:hAnsi="Times New Roman" w:cs="Times New Roman"/>
          <w:lang w:val="en-GB"/>
        </w:rPr>
        <w:t>s employees as a whole, along with organisations representing their interests, including trade unions. Internal stakeholders are directly interested in the company</w:t>
      </w:r>
      <w:r w:rsidR="004919C5">
        <w:rPr>
          <w:rFonts w:ascii="Times New Roman" w:hAnsi="Times New Roman" w:cs="Times New Roman"/>
          <w:lang w:val="en-GB"/>
        </w:rPr>
        <w:t>'</w:t>
      </w:r>
      <w:r w:rsidRPr="00816C73">
        <w:rPr>
          <w:rFonts w:ascii="Times New Roman" w:hAnsi="Times New Roman" w:cs="Times New Roman"/>
          <w:lang w:val="en-GB"/>
        </w:rPr>
        <w:t xml:space="preserve">s development, as its stability and growth </w:t>
      </w:r>
      <w:r w:rsidR="004919C5">
        <w:rPr>
          <w:rFonts w:ascii="Times New Roman" w:hAnsi="Times New Roman" w:cs="Times New Roman"/>
          <w:lang w:val="en-GB"/>
        </w:rPr>
        <w:t>affect their professional and economic situations</w:t>
      </w:r>
      <w:r w:rsidRPr="00816C73">
        <w:rPr>
          <w:rFonts w:ascii="Times New Roman" w:hAnsi="Times New Roman" w:cs="Times New Roman"/>
          <w:lang w:val="en-GB"/>
        </w:rPr>
        <w:t xml:space="preserve">. At the same time, it should be emphasised that their expectations are not always aligned. For instance, employees seek safe working conditions, employment stability, and fair remuneration, whereas from the perspective of management, operational efficiency and the maximisation of financial performance are of primary importance </w:t>
      </w:r>
      <w:r w:rsidR="002C2DE4" w:rsidRPr="00816C73">
        <w:rPr>
          <w:rFonts w:ascii="Times New Roman" w:hAnsi="Times New Roman" w:cs="Times New Roman"/>
          <w:lang w:val="en-GB"/>
        </w:rPr>
        <w:t>(</w:t>
      </w:r>
      <w:proofErr w:type="spellStart"/>
      <w:r w:rsidRPr="00816C73">
        <w:rPr>
          <w:rFonts w:ascii="Times New Roman" w:hAnsi="Times New Roman" w:cs="Times New Roman"/>
          <w:lang w:val="en-GB"/>
        </w:rPr>
        <w:t>Jacyna-Gołda</w:t>
      </w:r>
      <w:proofErr w:type="spellEnd"/>
      <w:r w:rsidR="002C2DE4"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2018</w:t>
      </w:r>
      <w:r w:rsidR="002C2DE4" w:rsidRPr="00816C73">
        <w:rPr>
          <w:rFonts w:ascii="Times New Roman" w:hAnsi="Times New Roman" w:cs="Times New Roman"/>
          <w:lang w:val="en-GB"/>
        </w:rPr>
        <w:t>)</w:t>
      </w:r>
      <w:r w:rsidRPr="00816C73">
        <w:rPr>
          <w:rFonts w:ascii="Times New Roman" w:hAnsi="Times New Roman" w:cs="Times New Roman"/>
          <w:lang w:val="en-GB"/>
        </w:rPr>
        <w:t>.</w:t>
      </w:r>
    </w:p>
    <w:p w14:paraId="778B81B5" w14:textId="2640275E" w:rsidR="0000353E" w:rsidRPr="00816C73" w:rsidRDefault="0000353E" w:rsidP="00C26717">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Another group comprises value chain stakeholders, among whom </w:t>
      </w:r>
      <w:r w:rsidR="004919C5">
        <w:rPr>
          <w:rFonts w:ascii="Times New Roman" w:hAnsi="Times New Roman" w:cs="Times New Roman"/>
          <w:lang w:val="en-GB"/>
        </w:rPr>
        <w:t>logistics and support service provider</w:t>
      </w:r>
      <w:r w:rsidRPr="00816C73">
        <w:rPr>
          <w:rFonts w:ascii="Times New Roman" w:hAnsi="Times New Roman" w:cs="Times New Roman"/>
          <w:lang w:val="en-GB"/>
        </w:rPr>
        <w:t xml:space="preserve">s can be distinguished. These entities exert </w:t>
      </w:r>
      <w:r w:rsidR="004919C5">
        <w:rPr>
          <w:rFonts w:ascii="Times New Roman" w:hAnsi="Times New Roman" w:cs="Times New Roman"/>
          <w:lang w:val="en-GB"/>
        </w:rPr>
        <w:t>significant influence on a company's operational continuity and efficiency</w:t>
      </w:r>
      <w:r w:rsidRPr="00816C73">
        <w:rPr>
          <w:rFonts w:ascii="Times New Roman" w:hAnsi="Times New Roman" w:cs="Times New Roman"/>
          <w:lang w:val="en-GB"/>
        </w:rPr>
        <w:t xml:space="preserve">. Within the group of logistics service providers are actors involved in the execution of logistics processes on both the supply (upstream) and distribution (downstream) sides. This includes, inter alia, carriers responsible for transporting raw materials, materials, and components required for production, as well as entities </w:t>
      </w:r>
      <w:r w:rsidR="004919C5">
        <w:rPr>
          <w:rFonts w:ascii="Times New Roman" w:hAnsi="Times New Roman" w:cs="Times New Roman"/>
          <w:lang w:val="en-GB"/>
        </w:rPr>
        <w:t>that perform transport services for</w:t>
      </w:r>
      <w:r w:rsidRPr="00816C73">
        <w:rPr>
          <w:rFonts w:ascii="Times New Roman" w:hAnsi="Times New Roman" w:cs="Times New Roman"/>
          <w:lang w:val="en-GB"/>
        </w:rPr>
        <w:t xml:space="preserve"> the distribution of finished goods to end customers. In </w:t>
      </w:r>
      <w:r w:rsidR="00C826F7" w:rsidRPr="00816C73">
        <w:rPr>
          <w:rFonts w:ascii="Times New Roman" w:hAnsi="Times New Roman" w:cs="Times New Roman"/>
          <w:lang w:val="en-GB"/>
        </w:rPr>
        <w:t>this analysis, attention is focused on external carriers that provide</w:t>
      </w:r>
      <w:r w:rsidRPr="00816C73">
        <w:rPr>
          <w:rFonts w:ascii="Times New Roman" w:hAnsi="Times New Roman" w:cs="Times New Roman"/>
          <w:lang w:val="en-GB"/>
        </w:rPr>
        <w:t xml:space="preserve"> transport services on behalf of the company. Where a</w:t>
      </w:r>
      <w:r w:rsidR="00ED23A6">
        <w:rPr>
          <w:rFonts w:ascii="Times New Roman" w:hAnsi="Times New Roman" w:cs="Times New Roman"/>
          <w:lang w:val="en-GB"/>
        </w:rPr>
        <w:t> </w:t>
      </w:r>
      <w:r w:rsidRPr="00816C73">
        <w:rPr>
          <w:rFonts w:ascii="Times New Roman" w:hAnsi="Times New Roman" w:cs="Times New Roman"/>
          <w:lang w:val="en-GB"/>
        </w:rPr>
        <w:t xml:space="preserve">company operates its own transport assets and employs its own drivers, these resources are classified as internal stakeholders </w:t>
      </w:r>
      <w:r w:rsidR="00854AE5" w:rsidRPr="00816C73">
        <w:rPr>
          <w:rFonts w:ascii="Times New Roman" w:hAnsi="Times New Roman" w:cs="Times New Roman"/>
          <w:lang w:val="en-GB"/>
        </w:rPr>
        <w:t>(</w:t>
      </w:r>
      <w:r w:rsidRPr="00816C73">
        <w:rPr>
          <w:rFonts w:ascii="Times New Roman" w:hAnsi="Times New Roman" w:cs="Times New Roman"/>
          <w:lang w:val="en-GB"/>
        </w:rPr>
        <w:t>Rinaldi</w:t>
      </w:r>
      <w:r w:rsidR="00854AE5" w:rsidRPr="00816C73">
        <w:rPr>
          <w:rFonts w:ascii="Times New Roman" w:hAnsi="Times New Roman" w:cs="Times New Roman"/>
          <w:lang w:val="en-GB"/>
        </w:rPr>
        <w:t xml:space="preserve"> et al</w:t>
      </w:r>
      <w:r w:rsidR="00131FA1">
        <w:rPr>
          <w:rFonts w:ascii="Times New Roman" w:hAnsi="Times New Roman" w:cs="Times New Roman"/>
          <w:lang w:val="en-GB"/>
        </w:rPr>
        <w:t>.</w:t>
      </w:r>
      <w:r w:rsidRPr="00816C73">
        <w:rPr>
          <w:rFonts w:ascii="Times New Roman" w:hAnsi="Times New Roman" w:cs="Times New Roman"/>
          <w:lang w:val="en-GB"/>
        </w:rPr>
        <w:t xml:space="preserve"> 2014</w:t>
      </w:r>
      <w:r w:rsidR="00854AE5" w:rsidRPr="00816C73">
        <w:rPr>
          <w:rFonts w:ascii="Times New Roman" w:hAnsi="Times New Roman" w:cs="Times New Roman"/>
          <w:lang w:val="en-GB"/>
        </w:rPr>
        <w:t>)</w:t>
      </w:r>
      <w:r w:rsidRPr="00816C73">
        <w:rPr>
          <w:rFonts w:ascii="Times New Roman" w:hAnsi="Times New Roman" w:cs="Times New Roman"/>
          <w:lang w:val="en-GB"/>
        </w:rPr>
        <w:t>.</w:t>
      </w:r>
    </w:p>
    <w:p w14:paraId="408BA0C3" w14:textId="23C61002" w:rsidR="0000353E" w:rsidRPr="00816C73" w:rsidRDefault="0000353E" w:rsidP="00F06A65">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Logistics service providers also include other entities involved in transport and warehousing processes, such as freight forwarders, logistics operators, and managers of logistics facilities (e.g.</w:t>
      </w:r>
      <w:r w:rsidR="00C826F7" w:rsidRPr="00816C73">
        <w:rPr>
          <w:rFonts w:ascii="Times New Roman" w:hAnsi="Times New Roman" w:cs="Times New Roman"/>
          <w:lang w:val="en-GB"/>
        </w:rPr>
        <w:t>,</w:t>
      </w:r>
      <w:r w:rsidRPr="00816C73">
        <w:rPr>
          <w:rFonts w:ascii="Times New Roman" w:hAnsi="Times New Roman" w:cs="Times New Roman"/>
          <w:lang w:val="en-GB"/>
        </w:rPr>
        <w:t xml:space="preserve"> warehouses, </w:t>
      </w:r>
      <w:r w:rsidR="00C826F7" w:rsidRPr="00816C73">
        <w:rPr>
          <w:rFonts w:ascii="Times New Roman" w:hAnsi="Times New Roman" w:cs="Times New Roman"/>
          <w:lang w:val="en-GB"/>
        </w:rPr>
        <w:t xml:space="preserve">transshipment terminals, and </w:t>
      </w:r>
      <w:proofErr w:type="spellStart"/>
      <w:r w:rsidR="00C826F7" w:rsidRPr="00816C73">
        <w:rPr>
          <w:rFonts w:ascii="Times New Roman" w:hAnsi="Times New Roman" w:cs="Times New Roman"/>
          <w:lang w:val="en-GB"/>
        </w:rPr>
        <w:t>fulfillment</w:t>
      </w:r>
      <w:proofErr w:type="spellEnd"/>
      <w:r w:rsidR="00C826F7" w:rsidRPr="00816C73">
        <w:rPr>
          <w:rFonts w:ascii="Times New Roman" w:hAnsi="Times New Roman" w:cs="Times New Roman"/>
          <w:lang w:val="en-GB"/>
        </w:rPr>
        <w:t xml:space="preserve"> </w:t>
      </w:r>
      <w:proofErr w:type="spellStart"/>
      <w:r w:rsidR="00C826F7" w:rsidRPr="00816C73">
        <w:rPr>
          <w:rFonts w:ascii="Times New Roman" w:hAnsi="Times New Roman" w:cs="Times New Roman"/>
          <w:lang w:val="en-GB"/>
        </w:rPr>
        <w:t>centers</w:t>
      </w:r>
      <w:proofErr w:type="spellEnd"/>
      <w:r w:rsidRPr="00816C73">
        <w:rPr>
          <w:rFonts w:ascii="Times New Roman" w:hAnsi="Times New Roman" w:cs="Times New Roman"/>
          <w:lang w:val="en-GB"/>
        </w:rPr>
        <w:t xml:space="preserve">). This group </w:t>
      </w:r>
      <w:r w:rsidR="004919C5">
        <w:rPr>
          <w:rFonts w:ascii="Times New Roman" w:hAnsi="Times New Roman" w:cs="Times New Roman"/>
          <w:lang w:val="en-GB"/>
        </w:rPr>
        <w:t>also encompasses fleet management entities when</w:t>
      </w:r>
      <w:r w:rsidRPr="00816C73">
        <w:rPr>
          <w:rFonts w:ascii="Times New Roman" w:hAnsi="Times New Roman" w:cs="Times New Roman"/>
          <w:lang w:val="en-GB"/>
        </w:rPr>
        <w:t xml:space="preserve"> a company relies on external transport assets while simultaneously employing its own drivers. All these entities provide operational services whose continuity and quality directly affect the company</w:t>
      </w:r>
      <w:r w:rsidR="004919C5">
        <w:rPr>
          <w:rFonts w:ascii="Times New Roman" w:hAnsi="Times New Roman" w:cs="Times New Roman"/>
          <w:lang w:val="en-GB"/>
        </w:rPr>
        <w:t>'</w:t>
      </w:r>
      <w:r w:rsidRPr="00816C73">
        <w:rPr>
          <w:rFonts w:ascii="Times New Roman" w:hAnsi="Times New Roman" w:cs="Times New Roman"/>
          <w:lang w:val="en-GB"/>
        </w:rPr>
        <w:t>s ability to carry out production and distribution processes. Delays in the delivery of raw materials and components may disrupt production, while inefficient distribution of finished goods restricts access to sales markets and reduces the company</w:t>
      </w:r>
      <w:r w:rsidR="004919C5">
        <w:rPr>
          <w:rFonts w:ascii="Times New Roman" w:hAnsi="Times New Roman" w:cs="Times New Roman"/>
          <w:lang w:val="en-GB"/>
        </w:rPr>
        <w:t>'</w:t>
      </w:r>
      <w:r w:rsidRPr="00816C73">
        <w:rPr>
          <w:rFonts w:ascii="Times New Roman" w:hAnsi="Times New Roman" w:cs="Times New Roman"/>
          <w:lang w:val="en-GB"/>
        </w:rPr>
        <w:t xml:space="preserve">s competitiveness </w:t>
      </w:r>
      <w:r w:rsidR="0074786C" w:rsidRPr="00816C73">
        <w:rPr>
          <w:rFonts w:ascii="Times New Roman" w:hAnsi="Times New Roman" w:cs="Times New Roman"/>
          <w:lang w:val="en-GB"/>
        </w:rPr>
        <w:t>(</w:t>
      </w:r>
      <w:proofErr w:type="spellStart"/>
      <w:r w:rsidRPr="00816C73">
        <w:rPr>
          <w:rFonts w:ascii="Times New Roman" w:hAnsi="Times New Roman" w:cs="Times New Roman"/>
          <w:lang w:val="en-GB"/>
        </w:rPr>
        <w:t>Tatarczak</w:t>
      </w:r>
      <w:proofErr w:type="spellEnd"/>
      <w:r w:rsidR="0074786C" w:rsidRPr="00816C73">
        <w:rPr>
          <w:rFonts w:ascii="Times New Roman" w:hAnsi="Times New Roman" w:cs="Times New Roman"/>
          <w:lang w:val="en-GB"/>
        </w:rPr>
        <w:t xml:space="preserve"> &amp; Gola</w:t>
      </w:r>
      <w:r w:rsidRPr="00816C73">
        <w:rPr>
          <w:rFonts w:ascii="Times New Roman" w:hAnsi="Times New Roman" w:cs="Times New Roman"/>
          <w:lang w:val="en-GB"/>
        </w:rPr>
        <w:t xml:space="preserve"> 2025</w:t>
      </w:r>
      <w:r w:rsidR="0074786C" w:rsidRPr="00816C73">
        <w:rPr>
          <w:rFonts w:ascii="Times New Roman" w:hAnsi="Times New Roman" w:cs="Times New Roman"/>
          <w:lang w:val="en-GB"/>
        </w:rPr>
        <w:t>)</w:t>
      </w:r>
      <w:r w:rsidRPr="00816C73">
        <w:rPr>
          <w:rFonts w:ascii="Times New Roman" w:hAnsi="Times New Roman" w:cs="Times New Roman"/>
          <w:lang w:val="en-GB"/>
        </w:rPr>
        <w:t>.</w:t>
      </w:r>
    </w:p>
    <w:p w14:paraId="174EE928" w14:textId="0060E20A" w:rsidR="00F06A65" w:rsidRPr="00816C73" w:rsidRDefault="00F06A65" w:rsidP="00F06A65">
      <w:pPr>
        <w:spacing w:after="120" w:line="240" w:lineRule="auto"/>
        <w:ind w:firstLine="284"/>
        <w:jc w:val="both"/>
        <w:rPr>
          <w:rFonts w:ascii="Times New Roman" w:hAnsi="Times New Roman" w:cs="Times New Roman"/>
          <w:lang w:val="en-GB"/>
        </w:rPr>
      </w:pPr>
      <w:r w:rsidRPr="00816C73">
        <w:rPr>
          <w:rFonts w:ascii="Times New Roman" w:hAnsi="Times New Roman" w:cs="Times New Roman"/>
          <w:lang w:val="en-GB"/>
        </w:rPr>
        <w:t>Value chain stakeholders also include providers of business support services. These entities do not deliver logistics services in the strict sense but create the conditions necessary for conducting business activities. They primarily include financial institutions, such as banks</w:t>
      </w:r>
      <w:r w:rsidR="004919C5">
        <w:rPr>
          <w:rFonts w:ascii="Times New Roman" w:hAnsi="Times New Roman" w:cs="Times New Roman"/>
          <w:lang w:val="en-GB"/>
        </w:rPr>
        <w:t>, as well as other entities that provide</w:t>
      </w:r>
      <w:r w:rsidRPr="00816C73">
        <w:rPr>
          <w:rFonts w:ascii="Times New Roman" w:hAnsi="Times New Roman" w:cs="Times New Roman"/>
          <w:lang w:val="en-GB"/>
        </w:rPr>
        <w:t xml:space="preserve"> financing for corporate operations. Closely linked to the financial sector are insurance companies, which </w:t>
      </w:r>
      <w:r w:rsidR="004919C5">
        <w:rPr>
          <w:rFonts w:ascii="Times New Roman" w:hAnsi="Times New Roman" w:cs="Times New Roman"/>
          <w:lang w:val="en-GB"/>
        </w:rPr>
        <w:t>help mitigate</w:t>
      </w:r>
      <w:r w:rsidRPr="00816C73">
        <w:rPr>
          <w:rFonts w:ascii="Times New Roman" w:hAnsi="Times New Roman" w:cs="Times New Roman"/>
          <w:lang w:val="en-GB"/>
        </w:rPr>
        <w:t xml:space="preserve"> operational risks. An important role is also played by suppliers of technologies and technical solutions, encompassing production, transport, and digital technologies, including information systems that support the management of logistics processes. These entities constitute natural business partners, delivering solutions tailored to the specific characteristics and needs of individual companies </w:t>
      </w:r>
      <w:r w:rsidR="002C2DE4" w:rsidRPr="00816C73">
        <w:rPr>
          <w:rFonts w:ascii="Times New Roman" w:hAnsi="Times New Roman" w:cs="Times New Roman"/>
          <w:lang w:val="en-GB"/>
        </w:rPr>
        <w:t>(</w:t>
      </w:r>
      <w:proofErr w:type="spellStart"/>
      <w:r w:rsidRPr="00816C73">
        <w:rPr>
          <w:rFonts w:ascii="Times New Roman" w:hAnsi="Times New Roman" w:cs="Times New Roman"/>
          <w:lang w:val="en-GB"/>
        </w:rPr>
        <w:t>Wachnik</w:t>
      </w:r>
      <w:proofErr w:type="spellEnd"/>
      <w:r w:rsidR="002C2DE4"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2021</w:t>
      </w:r>
      <w:r w:rsidR="002C2DE4" w:rsidRPr="00816C73">
        <w:rPr>
          <w:rFonts w:ascii="Times New Roman" w:hAnsi="Times New Roman" w:cs="Times New Roman"/>
          <w:lang w:val="en-GB"/>
        </w:rPr>
        <w:t>)</w:t>
      </w:r>
      <w:r w:rsidRPr="00816C73">
        <w:rPr>
          <w:rFonts w:ascii="Times New Roman" w:hAnsi="Times New Roman" w:cs="Times New Roman"/>
          <w:lang w:val="en-GB"/>
        </w:rPr>
        <w:t>.</w:t>
      </w:r>
    </w:p>
    <w:p w14:paraId="7101528C" w14:textId="2EBDC06B" w:rsidR="00233B79" w:rsidRPr="00816C73" w:rsidRDefault="00233B79" w:rsidP="00F06A65">
      <w:pPr>
        <w:spacing w:after="0"/>
        <w:jc w:val="center"/>
        <w:rPr>
          <w:rFonts w:ascii="Times New Roman" w:hAnsi="Times New Roman" w:cs="Times New Roman"/>
          <w:sz w:val="24"/>
          <w:szCs w:val="24"/>
          <w:lang w:val="en-GB"/>
        </w:rPr>
      </w:pPr>
      <w:r w:rsidRPr="00816C73">
        <w:rPr>
          <w:rFonts w:ascii="Times New Roman" w:hAnsi="Times New Roman" w:cs="Times New Roman"/>
          <w:noProof/>
          <w:sz w:val="24"/>
          <w:szCs w:val="24"/>
          <w:lang w:val="en-GB" w:eastAsia="pl-PL"/>
        </w:rPr>
        <w:lastRenderedPageBreak/>
        <w:drawing>
          <wp:inline distT="0" distB="0" distL="0" distR="0" wp14:anchorId="616DFD74" wp14:editId="77A3159C">
            <wp:extent cx="4842487" cy="4143375"/>
            <wp:effectExtent l="0" t="0" r="0" b="0"/>
            <wp:docPr id="903112247" name="Obraz 4" descr="Obraz zawierający tekst, zrzut ekranu, Czcion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12247" name="Obraz 4" descr="Obraz zawierający tekst, zrzut ekranu, Czcionka, design&#10;&#10;Zawartość wygenerowana przez AI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8277" cy="4191111"/>
                    </a:xfrm>
                    <a:prstGeom prst="rect">
                      <a:avLst/>
                    </a:prstGeom>
                    <a:noFill/>
                    <a:ln>
                      <a:noFill/>
                    </a:ln>
                  </pic:spPr>
                </pic:pic>
              </a:graphicData>
            </a:graphic>
          </wp:inline>
        </w:drawing>
      </w:r>
    </w:p>
    <w:p w14:paraId="69A93502" w14:textId="181E7219" w:rsidR="00233B79" w:rsidRPr="00816C73" w:rsidRDefault="0000353E" w:rsidP="00B44C88">
      <w:pPr>
        <w:pStyle w:val="Rrys"/>
        <w:rPr>
          <w:lang w:val="en-GB"/>
        </w:rPr>
      </w:pPr>
      <w:r w:rsidRPr="00816C73">
        <w:rPr>
          <w:b/>
          <w:bCs/>
          <w:lang w:val="en-GB"/>
        </w:rPr>
        <w:t>Fig</w:t>
      </w:r>
      <w:r w:rsidR="00233B79" w:rsidRPr="00816C73">
        <w:rPr>
          <w:b/>
          <w:bCs/>
          <w:lang w:val="en-GB"/>
        </w:rPr>
        <w:t>. 3</w:t>
      </w:r>
      <w:r w:rsidR="00C26717" w:rsidRPr="00B44C88">
        <w:rPr>
          <w:b/>
          <w:bCs/>
          <w:lang w:val="en-GB"/>
        </w:rPr>
        <w:t>.</w:t>
      </w:r>
      <w:r w:rsidR="00233B79" w:rsidRPr="00816C73">
        <w:rPr>
          <w:lang w:val="en-GB"/>
        </w:rPr>
        <w:t xml:space="preserve"> </w:t>
      </w:r>
      <w:r w:rsidR="00CB72B4" w:rsidRPr="00816C73">
        <w:rPr>
          <w:lang w:val="en-GB"/>
        </w:rPr>
        <w:t>Structure of logistics market stakeholders in the context of ESG criteria</w:t>
      </w:r>
    </w:p>
    <w:p w14:paraId="7439F16C" w14:textId="77777777" w:rsidR="00B44C88" w:rsidRDefault="00B44C88" w:rsidP="00C26717">
      <w:pPr>
        <w:spacing w:after="0" w:line="240" w:lineRule="auto"/>
        <w:ind w:firstLine="284"/>
        <w:jc w:val="both"/>
        <w:rPr>
          <w:rFonts w:ascii="Times New Roman" w:hAnsi="Times New Roman" w:cs="Times New Roman"/>
          <w:lang w:val="en-GB"/>
        </w:rPr>
      </w:pPr>
    </w:p>
    <w:p w14:paraId="31D7E89F" w14:textId="1FCC4DC9" w:rsidR="000E7B64" w:rsidRPr="00816C73" w:rsidRDefault="000E7B64" w:rsidP="00C26717">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Another </w:t>
      </w:r>
      <w:r w:rsidR="004919C5">
        <w:rPr>
          <w:rFonts w:ascii="Times New Roman" w:hAnsi="Times New Roman" w:cs="Times New Roman"/>
          <w:lang w:val="en-GB"/>
        </w:rPr>
        <w:t>essential</w:t>
      </w:r>
      <w:r w:rsidRPr="00816C73">
        <w:rPr>
          <w:rFonts w:ascii="Times New Roman" w:hAnsi="Times New Roman" w:cs="Times New Roman"/>
          <w:lang w:val="en-GB"/>
        </w:rPr>
        <w:t xml:space="preserve"> stakeholder group consists of the recipients of a company</w:t>
      </w:r>
      <w:r w:rsidR="004919C5">
        <w:rPr>
          <w:rFonts w:ascii="Times New Roman" w:hAnsi="Times New Roman" w:cs="Times New Roman"/>
          <w:lang w:val="en-GB"/>
        </w:rPr>
        <w:t>'</w:t>
      </w:r>
      <w:r w:rsidRPr="00816C73">
        <w:rPr>
          <w:rFonts w:ascii="Times New Roman" w:hAnsi="Times New Roman" w:cs="Times New Roman"/>
          <w:lang w:val="en-GB"/>
        </w:rPr>
        <w:t xml:space="preserve">s products and services. This group </w:t>
      </w:r>
      <w:r w:rsidR="00C826F7" w:rsidRPr="00816C73">
        <w:rPr>
          <w:rFonts w:ascii="Times New Roman" w:hAnsi="Times New Roman" w:cs="Times New Roman"/>
          <w:lang w:val="en-GB"/>
        </w:rPr>
        <w:t>comprises individual customers and end-users who purchase products through distribution channels,</w:t>
      </w:r>
      <w:r w:rsidRPr="00816C73">
        <w:rPr>
          <w:rFonts w:ascii="Times New Roman" w:hAnsi="Times New Roman" w:cs="Times New Roman"/>
          <w:lang w:val="en-GB"/>
        </w:rPr>
        <w:t xml:space="preserve"> such as retail networks or e-commerce platforms. Individual customers are the direct users of products and services. In contrast, business customers</w:t>
      </w:r>
      <w:r w:rsidR="00B74F91" w:rsidRPr="00816C73">
        <w:rPr>
          <w:rFonts w:ascii="Times New Roman" w:hAnsi="Times New Roman" w:cs="Times New Roman"/>
          <w:lang w:val="en-GB"/>
        </w:rPr>
        <w:t xml:space="preserve"> (</w:t>
      </w:r>
      <w:r w:rsidRPr="00816C73">
        <w:rPr>
          <w:rFonts w:ascii="Times New Roman" w:hAnsi="Times New Roman" w:cs="Times New Roman"/>
          <w:lang w:val="en-GB"/>
        </w:rPr>
        <w:t>such as other enterprises, public institutions, wholesalers, and retail chains</w:t>
      </w:r>
      <w:r w:rsidR="00B74F91" w:rsidRPr="00816C73">
        <w:rPr>
          <w:rFonts w:ascii="Times New Roman" w:hAnsi="Times New Roman" w:cs="Times New Roman"/>
          <w:lang w:val="en-GB"/>
        </w:rPr>
        <w:t xml:space="preserve">) </w:t>
      </w:r>
      <w:r w:rsidRPr="00816C73">
        <w:rPr>
          <w:rFonts w:ascii="Times New Roman" w:hAnsi="Times New Roman" w:cs="Times New Roman"/>
          <w:lang w:val="en-GB"/>
        </w:rPr>
        <w:t xml:space="preserve">typically purchase on a larger scale and play a significant role in ensuring revenue stability. The group of recipients also includes e-commerce platforms and marketplaces, which </w:t>
      </w:r>
      <w:r w:rsidR="00C826F7" w:rsidRPr="00816C73">
        <w:rPr>
          <w:rFonts w:ascii="Times New Roman" w:hAnsi="Times New Roman" w:cs="Times New Roman"/>
          <w:lang w:val="en-GB"/>
        </w:rPr>
        <w:t xml:space="preserve">have become key components of modern distribution networks in recent years </w:t>
      </w:r>
      <w:r w:rsidR="008F7996" w:rsidRPr="00816C73">
        <w:rPr>
          <w:rFonts w:ascii="Times New Roman" w:hAnsi="Times New Roman" w:cs="Times New Roman"/>
          <w:lang w:val="en-GB"/>
        </w:rPr>
        <w:t>(</w:t>
      </w:r>
      <w:r w:rsidRPr="00816C73">
        <w:rPr>
          <w:rFonts w:ascii="Times New Roman" w:hAnsi="Times New Roman" w:cs="Times New Roman"/>
          <w:lang w:val="en-GB"/>
        </w:rPr>
        <w:t>Mangiaracina</w:t>
      </w:r>
      <w:r w:rsidR="008F7996"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2015</w:t>
      </w:r>
      <w:r w:rsidR="008F7996" w:rsidRPr="00816C73">
        <w:rPr>
          <w:rFonts w:ascii="Times New Roman" w:hAnsi="Times New Roman" w:cs="Times New Roman"/>
          <w:lang w:val="en-GB"/>
        </w:rPr>
        <w:t>)</w:t>
      </w:r>
      <w:r w:rsidRPr="00816C73">
        <w:rPr>
          <w:rFonts w:ascii="Times New Roman" w:hAnsi="Times New Roman" w:cs="Times New Roman"/>
          <w:lang w:val="en-GB"/>
        </w:rPr>
        <w:t>.</w:t>
      </w:r>
    </w:p>
    <w:p w14:paraId="1996DFE5" w14:textId="1723FE0A" w:rsidR="003A5BE6" w:rsidRPr="00816C73" w:rsidRDefault="003A5BE6" w:rsidP="00C26717">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Another group consists of governance-related stakeholders, encompassing the institutional environment in which a company operates. This group includes entities that shape the legal and regulatory framework for business activity at both the international</w:t>
      </w:r>
      <w:r w:rsidR="003E3D3F" w:rsidRPr="00816C73">
        <w:rPr>
          <w:rFonts w:ascii="Times New Roman" w:hAnsi="Times New Roman" w:cs="Times New Roman"/>
          <w:lang w:val="en-GB"/>
        </w:rPr>
        <w:t xml:space="preserve">, </w:t>
      </w:r>
      <w:r w:rsidRPr="00816C73">
        <w:rPr>
          <w:rFonts w:ascii="Times New Roman" w:hAnsi="Times New Roman" w:cs="Times New Roman"/>
          <w:lang w:val="en-GB"/>
        </w:rPr>
        <w:t xml:space="preserve">particularly </w:t>
      </w:r>
      <w:r w:rsidR="00C826F7" w:rsidRPr="00816C73">
        <w:rPr>
          <w:rFonts w:ascii="Times New Roman" w:hAnsi="Times New Roman" w:cs="Times New Roman"/>
          <w:lang w:val="en-GB"/>
        </w:rPr>
        <w:t xml:space="preserve">the </w:t>
      </w:r>
      <w:r w:rsidRPr="00816C73">
        <w:rPr>
          <w:rFonts w:ascii="Times New Roman" w:hAnsi="Times New Roman" w:cs="Times New Roman"/>
          <w:lang w:val="en-GB"/>
        </w:rPr>
        <w:t>European Union</w:t>
      </w:r>
      <w:r w:rsidR="003E3D3F" w:rsidRPr="00816C73">
        <w:rPr>
          <w:rFonts w:ascii="Times New Roman" w:hAnsi="Times New Roman" w:cs="Times New Roman"/>
          <w:lang w:val="en-GB"/>
        </w:rPr>
        <w:t xml:space="preserve">, </w:t>
      </w:r>
      <w:r w:rsidRPr="00816C73">
        <w:rPr>
          <w:rFonts w:ascii="Times New Roman" w:hAnsi="Times New Roman" w:cs="Times New Roman"/>
          <w:lang w:val="en-GB"/>
        </w:rPr>
        <w:t>and national levels. In EU Member States, regulations adopted by EU institutions, such as the European Parliament, are transposed into national legal systems and supplemented by domestic legislation. Governance stakeholders also include local authorities, whose decisions significantly influence local conditions for business operations, including spatial planning and infrastructure development. Furthermore, this group comprises supervisory and control bodies (e.g.</w:t>
      </w:r>
      <w:r w:rsidR="00C826F7" w:rsidRPr="00816C73">
        <w:rPr>
          <w:rFonts w:ascii="Times New Roman" w:hAnsi="Times New Roman" w:cs="Times New Roman"/>
          <w:lang w:val="en-GB"/>
        </w:rPr>
        <w:t>,</w:t>
      </w:r>
      <w:r w:rsidRPr="00816C73">
        <w:rPr>
          <w:rFonts w:ascii="Times New Roman" w:hAnsi="Times New Roman" w:cs="Times New Roman"/>
          <w:lang w:val="en-GB"/>
        </w:rPr>
        <w:t xml:space="preserve"> audit institutions</w:t>
      </w:r>
      <w:r w:rsidR="004919C5">
        <w:rPr>
          <w:rFonts w:ascii="Times New Roman" w:hAnsi="Times New Roman" w:cs="Times New Roman"/>
          <w:lang w:val="en-GB"/>
        </w:rPr>
        <w:t xml:space="preserve"> and tax authorities), whose actions may have a substantial impact on a company's operations</w:t>
      </w:r>
      <w:r w:rsidRPr="00816C73">
        <w:rPr>
          <w:rFonts w:ascii="Times New Roman" w:hAnsi="Times New Roman" w:cs="Times New Roman"/>
          <w:lang w:val="en-GB"/>
        </w:rPr>
        <w:t>.</w:t>
      </w:r>
    </w:p>
    <w:p w14:paraId="4C18165A" w14:textId="6D3BC669" w:rsidR="003A5BE6" w:rsidRPr="00816C73" w:rsidRDefault="003A5BE6" w:rsidP="00C26717">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final group, which is particularly important from an ESG perspective, consists of so-called affected stakeholders - entities and social groups that do not directly participate in a company</w:t>
      </w:r>
      <w:r w:rsidR="004919C5">
        <w:rPr>
          <w:rFonts w:ascii="Times New Roman" w:hAnsi="Times New Roman" w:cs="Times New Roman"/>
          <w:lang w:val="en-GB"/>
        </w:rPr>
        <w:t>'</w:t>
      </w:r>
      <w:r w:rsidRPr="00816C73">
        <w:rPr>
          <w:rFonts w:ascii="Times New Roman" w:hAnsi="Times New Roman" w:cs="Times New Roman"/>
          <w:lang w:val="en-GB"/>
        </w:rPr>
        <w:t>s economic activities but are nevertheless affected by them. This group includes the general public a</w:t>
      </w:r>
      <w:r w:rsidR="004919C5">
        <w:rPr>
          <w:rFonts w:ascii="Times New Roman" w:hAnsi="Times New Roman" w:cs="Times New Roman"/>
          <w:lang w:val="en-GB"/>
        </w:rPr>
        <w:t>nd</w:t>
      </w:r>
      <w:r w:rsidRPr="00816C73">
        <w:rPr>
          <w:rFonts w:ascii="Times New Roman" w:hAnsi="Times New Roman" w:cs="Times New Roman"/>
          <w:lang w:val="en-GB"/>
        </w:rPr>
        <w:t xml:space="preserve"> local communities, for whom the impacts of corporate activity are typically most tangible. These impacts may relate, inter alia, to the natural environment, residents</w:t>
      </w:r>
      <w:r w:rsidR="004919C5">
        <w:rPr>
          <w:rFonts w:ascii="Times New Roman" w:hAnsi="Times New Roman" w:cs="Times New Roman"/>
          <w:lang w:val="en-GB"/>
        </w:rPr>
        <w:t>'</w:t>
      </w:r>
      <w:r w:rsidRPr="00816C73">
        <w:rPr>
          <w:rFonts w:ascii="Times New Roman" w:hAnsi="Times New Roman" w:cs="Times New Roman"/>
          <w:lang w:val="en-GB"/>
        </w:rPr>
        <w:t xml:space="preserve"> quality of life, traffic intensity, and spatial order. Affected stakeholders also include </w:t>
      </w:r>
      <w:r w:rsidR="004919C5">
        <w:rPr>
          <w:rFonts w:ascii="Times New Roman" w:hAnsi="Times New Roman" w:cs="Times New Roman"/>
          <w:lang w:val="en-GB"/>
        </w:rPr>
        <w:t>subcontractor employee</w:t>
      </w:r>
      <w:r w:rsidRPr="00816C73">
        <w:rPr>
          <w:rFonts w:ascii="Times New Roman" w:hAnsi="Times New Roman" w:cs="Times New Roman"/>
          <w:lang w:val="en-GB"/>
        </w:rPr>
        <w:t xml:space="preserve">s, external carriers, and operators of logistics facilities. Although </w:t>
      </w:r>
      <w:r w:rsidR="00412388" w:rsidRPr="00816C73">
        <w:rPr>
          <w:rFonts w:ascii="Times New Roman" w:hAnsi="Times New Roman" w:cs="Times New Roman"/>
          <w:lang w:val="en-GB"/>
        </w:rPr>
        <w:t>the company does not directly employ these individuals</w:t>
      </w:r>
      <w:r w:rsidRPr="00816C73">
        <w:rPr>
          <w:rFonts w:ascii="Times New Roman" w:hAnsi="Times New Roman" w:cs="Times New Roman"/>
          <w:lang w:val="en-GB"/>
        </w:rPr>
        <w:t xml:space="preserve"> under analysis, corporate decisions </w:t>
      </w:r>
      <w:r w:rsidR="004919C5">
        <w:rPr>
          <w:rFonts w:ascii="Times New Roman" w:hAnsi="Times New Roman" w:cs="Times New Roman"/>
          <w:lang w:val="en-GB"/>
        </w:rPr>
        <w:t>on scale of operations, order volumes, and contractual conditions may significantly influence their employment</w:t>
      </w:r>
      <w:r w:rsidRPr="00816C73">
        <w:rPr>
          <w:rFonts w:ascii="Times New Roman" w:hAnsi="Times New Roman" w:cs="Times New Roman"/>
          <w:lang w:val="en-GB"/>
        </w:rPr>
        <w:t xml:space="preserve"> and working conditions.</w:t>
      </w:r>
    </w:p>
    <w:p w14:paraId="5021507E" w14:textId="0B2243A1" w:rsidR="00233B79" w:rsidRDefault="003A5BE6" w:rsidP="00C26717">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In addition, affected stakeholders include non-governmental organisations (NGOs), which represent social and environmental interests and </w:t>
      </w:r>
      <w:r w:rsidR="00412388" w:rsidRPr="00816C73">
        <w:rPr>
          <w:rFonts w:ascii="Times New Roman" w:hAnsi="Times New Roman" w:cs="Times New Roman"/>
          <w:lang w:val="en-GB"/>
        </w:rPr>
        <w:t xml:space="preserve">serve as a societal oversight role </w:t>
      </w:r>
      <w:r w:rsidRPr="00816C73">
        <w:rPr>
          <w:rFonts w:ascii="Times New Roman" w:hAnsi="Times New Roman" w:cs="Times New Roman"/>
          <w:lang w:val="en-GB"/>
        </w:rPr>
        <w:t xml:space="preserve">over business activities. The importance of these entities for a company depends on the scope of their activities, their level of engagement, and their role in public debate </w:t>
      </w:r>
      <w:r w:rsidR="00BB0A68" w:rsidRPr="00816C73">
        <w:rPr>
          <w:rFonts w:ascii="Times New Roman" w:hAnsi="Times New Roman" w:cs="Times New Roman"/>
          <w:lang w:val="en-GB"/>
        </w:rPr>
        <w:t>(</w:t>
      </w:r>
      <w:r w:rsidR="00754E82" w:rsidRPr="00816C73">
        <w:rPr>
          <w:rFonts w:ascii="Times New Roman" w:hAnsi="Times New Roman" w:cs="Times New Roman"/>
          <w:lang w:val="en-GB"/>
        </w:rPr>
        <w:t>Yawar &amp; Seuring 2017</w:t>
      </w:r>
      <w:r w:rsidR="00131FA1">
        <w:rPr>
          <w:rFonts w:ascii="Times New Roman" w:hAnsi="Times New Roman" w:cs="Times New Roman"/>
          <w:lang w:val="en-GB"/>
        </w:rPr>
        <w:t>,</w:t>
      </w:r>
      <w:r w:rsidRPr="00816C73">
        <w:rPr>
          <w:rFonts w:ascii="Times New Roman" w:hAnsi="Times New Roman" w:cs="Times New Roman"/>
          <w:lang w:val="en-GB"/>
        </w:rPr>
        <w:t xml:space="preserve"> Zheng</w:t>
      </w:r>
      <w:r w:rsidR="00BB0A68" w:rsidRPr="00816C73">
        <w:rPr>
          <w:rFonts w:ascii="Times New Roman" w:hAnsi="Times New Roman" w:cs="Times New Roman"/>
          <w:lang w:val="en-GB"/>
        </w:rPr>
        <w:t xml:space="preserve"> et al.</w:t>
      </w:r>
      <w:r w:rsidRPr="00816C73">
        <w:rPr>
          <w:rFonts w:ascii="Times New Roman" w:hAnsi="Times New Roman" w:cs="Times New Roman"/>
          <w:lang w:val="en-GB"/>
        </w:rPr>
        <w:t xml:space="preserve"> 2022</w:t>
      </w:r>
      <w:r w:rsidR="00BB0A68" w:rsidRPr="00816C73">
        <w:rPr>
          <w:rFonts w:ascii="Times New Roman" w:hAnsi="Times New Roman" w:cs="Times New Roman"/>
          <w:lang w:val="en-GB"/>
        </w:rPr>
        <w:t>)</w:t>
      </w:r>
      <w:r w:rsidRPr="00816C73">
        <w:rPr>
          <w:rFonts w:ascii="Times New Roman" w:hAnsi="Times New Roman" w:cs="Times New Roman"/>
          <w:lang w:val="en-GB"/>
        </w:rPr>
        <w:t>.</w:t>
      </w:r>
    </w:p>
    <w:p w14:paraId="3CF66C79" w14:textId="77777777" w:rsidR="004919C5" w:rsidRPr="00816C73" w:rsidRDefault="004919C5" w:rsidP="00C26717">
      <w:pPr>
        <w:spacing w:after="0" w:line="240" w:lineRule="auto"/>
        <w:ind w:firstLine="284"/>
        <w:jc w:val="both"/>
        <w:rPr>
          <w:rFonts w:ascii="Times New Roman" w:hAnsi="Times New Roman" w:cs="Times New Roman"/>
          <w:lang w:val="en-GB"/>
        </w:rPr>
      </w:pPr>
    </w:p>
    <w:p w14:paraId="11F2D9B5" w14:textId="3DE897F8" w:rsidR="00D71140" w:rsidRPr="00816C73" w:rsidRDefault="00C26717" w:rsidP="00B44C88">
      <w:pPr>
        <w:pStyle w:val="Rn2"/>
        <w:rPr>
          <w:lang w:val="en-GB"/>
        </w:rPr>
      </w:pPr>
      <w:r w:rsidRPr="00816C73">
        <w:rPr>
          <w:lang w:val="en-GB"/>
        </w:rPr>
        <w:lastRenderedPageBreak/>
        <w:t xml:space="preserve">4.2. </w:t>
      </w:r>
      <w:r w:rsidR="00D71140" w:rsidRPr="00816C73">
        <w:rPr>
          <w:lang w:val="en-GB"/>
        </w:rPr>
        <w:t>Expectations of logistics market stakeholders</w:t>
      </w:r>
    </w:p>
    <w:p w14:paraId="1734C804" w14:textId="0E126C34" w:rsidR="005D6957" w:rsidRPr="00816C73" w:rsidRDefault="005D6957" w:rsidP="00F06A65">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Stakeholder relationship management </w:t>
      </w:r>
      <w:r w:rsidR="00412388" w:rsidRPr="00816C73">
        <w:rPr>
          <w:rFonts w:ascii="Times New Roman" w:hAnsi="Times New Roman" w:cs="Times New Roman"/>
          <w:lang w:val="en-GB"/>
        </w:rPr>
        <w:t>is one of the key elements of contemporary business operations, particularly in the logistics sector, which is characterized by a high level of operational complexity and a significant</w:t>
      </w:r>
      <w:r w:rsidRPr="00816C73">
        <w:rPr>
          <w:rFonts w:ascii="Times New Roman" w:hAnsi="Times New Roman" w:cs="Times New Roman"/>
          <w:lang w:val="en-GB"/>
        </w:rPr>
        <w:t xml:space="preserve"> impact on the socio-economic environment. Individual stakeholder groups can significantly influence a</w:t>
      </w:r>
      <w:r w:rsidR="00ED23A6">
        <w:rPr>
          <w:rFonts w:ascii="Times New Roman" w:hAnsi="Times New Roman" w:cs="Times New Roman"/>
          <w:lang w:val="en-GB"/>
        </w:rPr>
        <w:t> </w:t>
      </w:r>
      <w:r w:rsidRPr="00816C73">
        <w:rPr>
          <w:rFonts w:ascii="Times New Roman" w:hAnsi="Times New Roman" w:cs="Times New Roman"/>
          <w:lang w:val="en-GB"/>
        </w:rPr>
        <w:t>company</w:t>
      </w:r>
      <w:r w:rsidR="004919C5">
        <w:rPr>
          <w:rFonts w:ascii="Times New Roman" w:hAnsi="Times New Roman" w:cs="Times New Roman"/>
          <w:lang w:val="en-GB"/>
        </w:rPr>
        <w:t>'</w:t>
      </w:r>
      <w:r w:rsidRPr="00816C73">
        <w:rPr>
          <w:rFonts w:ascii="Times New Roman" w:hAnsi="Times New Roman" w:cs="Times New Roman"/>
          <w:lang w:val="en-GB"/>
        </w:rPr>
        <w:t xml:space="preserve">s operational efficiency, financial stability, and reputation. From an ESG perspective, </w:t>
      </w:r>
      <w:r w:rsidR="00412388" w:rsidRPr="00816C73">
        <w:rPr>
          <w:rFonts w:ascii="Times New Roman" w:hAnsi="Times New Roman" w:cs="Times New Roman"/>
          <w:lang w:val="en-GB"/>
        </w:rPr>
        <w:t xml:space="preserve">identifying and </w:t>
      </w:r>
      <w:proofErr w:type="spellStart"/>
      <w:r w:rsidR="00412388" w:rsidRPr="00816C73">
        <w:rPr>
          <w:rFonts w:ascii="Times New Roman" w:hAnsi="Times New Roman" w:cs="Times New Roman"/>
          <w:lang w:val="en-GB"/>
        </w:rPr>
        <w:t>analyzing</w:t>
      </w:r>
      <w:proofErr w:type="spellEnd"/>
      <w:r w:rsidR="00412388" w:rsidRPr="00816C73">
        <w:rPr>
          <w:rFonts w:ascii="Times New Roman" w:hAnsi="Times New Roman" w:cs="Times New Roman"/>
          <w:lang w:val="en-GB"/>
        </w:rPr>
        <w:t xml:space="preserve"> stakeholders</w:t>
      </w:r>
      <w:r w:rsidR="004919C5">
        <w:rPr>
          <w:rFonts w:ascii="Times New Roman" w:hAnsi="Times New Roman" w:cs="Times New Roman"/>
          <w:lang w:val="en-GB"/>
        </w:rPr>
        <w:t>'</w:t>
      </w:r>
      <w:r w:rsidR="00412388" w:rsidRPr="00816C73">
        <w:rPr>
          <w:rFonts w:ascii="Times New Roman" w:hAnsi="Times New Roman" w:cs="Times New Roman"/>
          <w:lang w:val="en-GB"/>
        </w:rPr>
        <w:t xml:space="preserve"> mutual expectations and requirements is </w:t>
      </w:r>
      <w:r w:rsidR="004919C5">
        <w:rPr>
          <w:rFonts w:ascii="Times New Roman" w:hAnsi="Times New Roman" w:cs="Times New Roman"/>
          <w:lang w:val="en-GB"/>
        </w:rPr>
        <w:t>particularly important, as it shapes the direction of corporate actions across</w:t>
      </w:r>
      <w:r w:rsidRPr="00816C73">
        <w:rPr>
          <w:rFonts w:ascii="Times New Roman" w:hAnsi="Times New Roman" w:cs="Times New Roman"/>
          <w:lang w:val="en-GB"/>
        </w:rPr>
        <w:t xml:space="preserve"> the environmental, social, and governance dimensions</w:t>
      </w:r>
      <w:r w:rsidR="00717BFC" w:rsidRPr="00816C73">
        <w:rPr>
          <w:rFonts w:ascii="Times New Roman" w:hAnsi="Times New Roman" w:cs="Times New Roman"/>
          <w:lang w:val="en-GB"/>
        </w:rPr>
        <w:t xml:space="preserve"> (</w:t>
      </w:r>
      <w:proofErr w:type="spellStart"/>
      <w:r w:rsidRPr="00816C73">
        <w:rPr>
          <w:rFonts w:ascii="Times New Roman" w:hAnsi="Times New Roman" w:cs="Times New Roman"/>
          <w:lang w:val="en-GB"/>
        </w:rPr>
        <w:t>Motowidlak</w:t>
      </w:r>
      <w:proofErr w:type="spellEnd"/>
      <w:r w:rsidR="00717BFC" w:rsidRPr="00816C73">
        <w:rPr>
          <w:rFonts w:ascii="Times New Roman" w:hAnsi="Times New Roman" w:cs="Times New Roman"/>
          <w:lang w:val="en-GB"/>
        </w:rPr>
        <w:t xml:space="preserve"> &amp;</w:t>
      </w:r>
      <w:r w:rsidR="00ED23A6">
        <w:rPr>
          <w:rFonts w:ascii="Times New Roman" w:hAnsi="Times New Roman" w:cs="Times New Roman"/>
          <w:lang w:val="en-GB"/>
        </w:rPr>
        <w:t> </w:t>
      </w:r>
      <w:r w:rsidR="00717BFC" w:rsidRPr="00816C73">
        <w:rPr>
          <w:rFonts w:ascii="Times New Roman" w:hAnsi="Times New Roman" w:cs="Times New Roman"/>
          <w:lang w:val="en-GB"/>
        </w:rPr>
        <w:t>Bukowska-</w:t>
      </w:r>
      <w:proofErr w:type="spellStart"/>
      <w:r w:rsidR="00717BFC" w:rsidRPr="00816C73">
        <w:rPr>
          <w:rFonts w:ascii="Times New Roman" w:hAnsi="Times New Roman" w:cs="Times New Roman"/>
          <w:lang w:val="en-GB"/>
        </w:rPr>
        <w:t>Piestrzyńska</w:t>
      </w:r>
      <w:proofErr w:type="spellEnd"/>
      <w:r w:rsidRPr="00816C73">
        <w:rPr>
          <w:rFonts w:ascii="Times New Roman" w:hAnsi="Times New Roman" w:cs="Times New Roman"/>
          <w:lang w:val="en-GB"/>
        </w:rPr>
        <w:t xml:space="preserve"> 2024</w:t>
      </w:r>
      <w:r w:rsidR="00717BFC" w:rsidRPr="00816C73">
        <w:rPr>
          <w:rFonts w:ascii="Times New Roman" w:hAnsi="Times New Roman" w:cs="Times New Roman"/>
          <w:lang w:val="en-GB"/>
        </w:rPr>
        <w:t>)</w:t>
      </w:r>
      <w:r w:rsidRPr="00816C73">
        <w:rPr>
          <w:rFonts w:ascii="Times New Roman" w:hAnsi="Times New Roman" w:cs="Times New Roman"/>
          <w:lang w:val="en-GB"/>
        </w:rPr>
        <w:t>. A synthesis of the key ESG-related expectations of logistics market stakeholders is presented in Table 2.</w:t>
      </w:r>
    </w:p>
    <w:p w14:paraId="664DA013" w14:textId="77777777" w:rsidR="00F06A65" w:rsidRPr="00816C73" w:rsidRDefault="00F06A65" w:rsidP="00C26717">
      <w:pPr>
        <w:spacing w:after="0" w:line="240" w:lineRule="auto"/>
        <w:ind w:firstLine="284"/>
        <w:jc w:val="both"/>
        <w:rPr>
          <w:rFonts w:ascii="Times New Roman" w:hAnsi="Times New Roman" w:cs="Times New Roman"/>
          <w:lang w:val="en-GB"/>
        </w:rPr>
      </w:pPr>
    </w:p>
    <w:p w14:paraId="365AC1B7" w14:textId="3722B291" w:rsidR="0052150E" w:rsidRPr="00816C73" w:rsidRDefault="0052150E" w:rsidP="00B44C88">
      <w:pPr>
        <w:pStyle w:val="Rtab"/>
        <w:rPr>
          <w:lang w:val="en-GB"/>
        </w:rPr>
      </w:pPr>
      <w:r w:rsidRPr="00816C73">
        <w:rPr>
          <w:b/>
          <w:bCs/>
          <w:lang w:val="en-GB"/>
        </w:rPr>
        <w:t>Tab</w:t>
      </w:r>
      <w:r w:rsidR="00B44C88">
        <w:rPr>
          <w:b/>
          <w:bCs/>
          <w:lang w:val="en-GB"/>
        </w:rPr>
        <w:t>le</w:t>
      </w:r>
      <w:r w:rsidRPr="00816C73">
        <w:rPr>
          <w:b/>
          <w:bCs/>
          <w:lang w:val="en-GB"/>
        </w:rPr>
        <w:t xml:space="preserve"> 2.</w:t>
      </w:r>
      <w:r w:rsidRPr="00816C73">
        <w:rPr>
          <w:lang w:val="en-GB"/>
        </w:rPr>
        <w:t xml:space="preserve"> ESG-related expectations of key stakeholder groups in the logistics market</w:t>
      </w:r>
    </w:p>
    <w:tbl>
      <w:tblPr>
        <w:tblW w:w="9794" w:type="dxa"/>
        <w:tblCellMar>
          <w:left w:w="70" w:type="dxa"/>
          <w:right w:w="70" w:type="dxa"/>
        </w:tblCellMar>
        <w:tblLook w:val="04A0" w:firstRow="1" w:lastRow="0" w:firstColumn="1" w:lastColumn="0" w:noHBand="0" w:noVBand="1"/>
      </w:tblPr>
      <w:tblGrid>
        <w:gridCol w:w="406"/>
        <w:gridCol w:w="666"/>
        <w:gridCol w:w="1622"/>
        <w:gridCol w:w="1907"/>
        <w:gridCol w:w="2062"/>
        <w:gridCol w:w="2971"/>
        <w:gridCol w:w="160"/>
      </w:tblGrid>
      <w:tr w:rsidR="0052150E" w:rsidRPr="00816C73" w14:paraId="36C94A2F" w14:textId="77777777" w:rsidTr="00B44C88">
        <w:trPr>
          <w:gridAfter w:val="1"/>
          <w:wAfter w:w="160" w:type="dxa"/>
          <w:trHeight w:val="389"/>
        </w:trPr>
        <w:tc>
          <w:tcPr>
            <w:tcW w:w="2694" w:type="dxa"/>
            <w:gridSpan w:val="3"/>
            <w:vMerge w:val="restart"/>
            <w:tcBorders>
              <w:top w:val="single" w:sz="4" w:space="0" w:color="auto"/>
              <w:left w:val="single" w:sz="4" w:space="0" w:color="auto"/>
              <w:right w:val="single" w:sz="4" w:space="0" w:color="auto"/>
            </w:tcBorders>
            <w:shd w:val="clear" w:color="auto" w:fill="E7E6E6" w:themeFill="background2"/>
            <w:noWrap/>
            <w:vAlign w:val="center"/>
          </w:tcPr>
          <w:p w14:paraId="52C64D71"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Stakeholders</w:t>
            </w:r>
          </w:p>
        </w:tc>
        <w:tc>
          <w:tcPr>
            <w:tcW w:w="694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95B83A"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Expectations</w:t>
            </w:r>
          </w:p>
        </w:tc>
      </w:tr>
      <w:tr w:rsidR="0052150E" w:rsidRPr="00816C73" w14:paraId="09FB63AA" w14:textId="77777777" w:rsidTr="00B44C88">
        <w:trPr>
          <w:gridAfter w:val="1"/>
          <w:wAfter w:w="160" w:type="dxa"/>
          <w:trHeight w:val="600"/>
        </w:trPr>
        <w:tc>
          <w:tcPr>
            <w:tcW w:w="2694" w:type="dxa"/>
            <w:gridSpan w:val="3"/>
            <w:vMerge/>
            <w:tcBorders>
              <w:left w:val="single" w:sz="4" w:space="0" w:color="auto"/>
              <w:bottom w:val="single" w:sz="4" w:space="0" w:color="auto"/>
              <w:right w:val="single" w:sz="4" w:space="0" w:color="auto"/>
            </w:tcBorders>
            <w:shd w:val="clear" w:color="auto" w:fill="E7E6E6" w:themeFill="background2"/>
            <w:noWrap/>
            <w:vAlign w:val="center"/>
            <w:hideMark/>
          </w:tcPr>
          <w:p w14:paraId="632FC0FE" w14:textId="77777777" w:rsidR="0052150E" w:rsidRPr="006D72EF" w:rsidRDefault="0052150E" w:rsidP="00626DF0">
            <w:pPr>
              <w:spacing w:after="0" w:line="240" w:lineRule="auto"/>
              <w:jc w:val="center"/>
              <w:rPr>
                <w:rFonts w:ascii="Times New Roman" w:eastAsia="Times New Roman" w:hAnsi="Times New Roman" w:cs="Times New Roman"/>
                <w:kern w:val="0"/>
                <w:sz w:val="20"/>
                <w:szCs w:val="20"/>
                <w:lang w:val="en-GB" w:eastAsia="pl-PL"/>
                <w14:ligatures w14:val="none"/>
              </w:rPr>
            </w:pPr>
          </w:p>
        </w:tc>
        <w:tc>
          <w:tcPr>
            <w:tcW w:w="19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0BBAE6"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proofErr w:type="spellStart"/>
            <w:r w:rsidRPr="006D72EF">
              <w:rPr>
                <w:rFonts w:ascii="Times New Roman" w:eastAsia="Times New Roman" w:hAnsi="Times New Roman" w:cs="Times New Roman"/>
                <w:color w:val="000000"/>
                <w:kern w:val="0"/>
                <w:sz w:val="20"/>
                <w:szCs w:val="20"/>
                <w:lang w:val="en-GB" w:eastAsia="pl-PL"/>
                <w14:ligatures w14:val="none"/>
              </w:rPr>
              <w:t>Enviromental</w:t>
            </w:r>
            <w:proofErr w:type="spellEnd"/>
          </w:p>
        </w:tc>
        <w:tc>
          <w:tcPr>
            <w:tcW w:w="2062" w:type="dxa"/>
            <w:tcBorders>
              <w:top w:val="single" w:sz="4" w:space="0" w:color="auto"/>
              <w:left w:val="nil"/>
              <w:bottom w:val="single" w:sz="4" w:space="0" w:color="auto"/>
              <w:right w:val="single" w:sz="4" w:space="0" w:color="auto"/>
            </w:tcBorders>
            <w:shd w:val="clear" w:color="auto" w:fill="E7E6E6" w:themeFill="background2"/>
            <w:vAlign w:val="center"/>
            <w:hideMark/>
          </w:tcPr>
          <w:p w14:paraId="6F0DCF3C"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Social</w:t>
            </w:r>
          </w:p>
        </w:tc>
        <w:tc>
          <w:tcPr>
            <w:tcW w:w="2971" w:type="dxa"/>
            <w:tcBorders>
              <w:top w:val="single" w:sz="4" w:space="0" w:color="auto"/>
              <w:left w:val="nil"/>
              <w:bottom w:val="single" w:sz="4" w:space="0" w:color="auto"/>
              <w:right w:val="single" w:sz="4" w:space="0" w:color="auto"/>
            </w:tcBorders>
            <w:shd w:val="clear" w:color="auto" w:fill="E7E6E6" w:themeFill="background2"/>
            <w:vAlign w:val="center"/>
            <w:hideMark/>
          </w:tcPr>
          <w:p w14:paraId="7FD42E26"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proofErr w:type="spellStart"/>
            <w:r w:rsidRPr="006D72EF">
              <w:rPr>
                <w:rFonts w:ascii="Times New Roman" w:eastAsia="Times New Roman" w:hAnsi="Times New Roman" w:cs="Times New Roman"/>
                <w:color w:val="000000"/>
                <w:kern w:val="0"/>
                <w:sz w:val="20"/>
                <w:szCs w:val="20"/>
                <w:lang w:val="en-GB" w:eastAsia="pl-PL"/>
                <w14:ligatures w14:val="none"/>
              </w:rPr>
              <w:t>Govermental</w:t>
            </w:r>
            <w:proofErr w:type="spellEnd"/>
          </w:p>
        </w:tc>
      </w:tr>
      <w:tr w:rsidR="0052150E" w:rsidRPr="00816C73" w14:paraId="7EC2A046" w14:textId="77777777" w:rsidTr="00B44C88">
        <w:trPr>
          <w:gridAfter w:val="1"/>
          <w:wAfter w:w="160" w:type="dxa"/>
          <w:cantSplit/>
          <w:trHeight w:val="624"/>
        </w:trPr>
        <w:tc>
          <w:tcPr>
            <w:tcW w:w="406" w:type="dxa"/>
            <w:vMerge w:val="restart"/>
            <w:tcBorders>
              <w:top w:val="single" w:sz="4" w:space="0" w:color="auto"/>
              <w:left w:val="single" w:sz="4" w:space="0" w:color="auto"/>
              <w:bottom w:val="nil"/>
              <w:right w:val="single" w:sz="4" w:space="0" w:color="auto"/>
            </w:tcBorders>
            <w:shd w:val="clear" w:color="000000" w:fill="E8E8E8"/>
            <w:textDirection w:val="btLr"/>
            <w:vAlign w:val="center"/>
            <w:hideMark/>
          </w:tcPr>
          <w:p w14:paraId="0C2B2DFA"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Value chain stakeholders</w:t>
            </w:r>
          </w:p>
        </w:tc>
        <w:tc>
          <w:tcPr>
            <w:tcW w:w="666" w:type="dxa"/>
            <w:vMerge w:val="restart"/>
            <w:tcBorders>
              <w:top w:val="single" w:sz="4" w:space="0" w:color="auto"/>
              <w:left w:val="single" w:sz="4" w:space="0" w:color="auto"/>
              <w:bottom w:val="single" w:sz="4" w:space="0" w:color="000000"/>
              <w:right w:val="single" w:sz="4" w:space="0" w:color="auto"/>
            </w:tcBorders>
            <w:shd w:val="clear" w:color="000000" w:fill="E8E8E8"/>
            <w:textDirection w:val="btLr"/>
            <w:vAlign w:val="center"/>
            <w:hideMark/>
          </w:tcPr>
          <w:p w14:paraId="6F8F92A7" w14:textId="69FAB616"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 xml:space="preserve">Logistics service </w:t>
            </w:r>
            <w:r w:rsidR="00ED23A6">
              <w:rPr>
                <w:rFonts w:ascii="Times New Roman" w:eastAsia="Times New Roman" w:hAnsi="Times New Roman" w:cs="Times New Roman"/>
                <w:color w:val="000000"/>
                <w:kern w:val="0"/>
                <w:sz w:val="20"/>
                <w:szCs w:val="20"/>
                <w:lang w:val="en-GB" w:eastAsia="pl-PL"/>
                <w14:ligatures w14:val="none"/>
              </w:rPr>
              <w:br/>
            </w:r>
            <w:r w:rsidRPr="006D72EF">
              <w:rPr>
                <w:rFonts w:ascii="Times New Roman" w:eastAsia="Times New Roman" w:hAnsi="Times New Roman" w:cs="Times New Roman"/>
                <w:color w:val="000000"/>
                <w:kern w:val="0"/>
                <w:sz w:val="20"/>
                <w:szCs w:val="20"/>
                <w:lang w:val="en-GB" w:eastAsia="pl-PL"/>
                <w14:ligatures w14:val="none"/>
              </w:rPr>
              <w:t>providers</w:t>
            </w:r>
          </w:p>
        </w:tc>
        <w:tc>
          <w:tcPr>
            <w:tcW w:w="1622" w:type="dxa"/>
            <w:vMerge w:val="restart"/>
            <w:tcBorders>
              <w:top w:val="single" w:sz="4" w:space="0" w:color="auto"/>
              <w:left w:val="single" w:sz="4" w:space="0" w:color="auto"/>
              <w:bottom w:val="single" w:sz="4" w:space="0" w:color="000000"/>
              <w:right w:val="single" w:sz="4" w:space="0" w:color="auto"/>
            </w:tcBorders>
            <w:shd w:val="clear" w:color="000000" w:fill="E8E8E8"/>
            <w:vAlign w:val="center"/>
            <w:hideMark/>
          </w:tcPr>
          <w:p w14:paraId="71FA11C4" w14:textId="364AADCF"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Subcontracted carriers, freight forwarders, fleet management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 xml:space="preserve">entities, logistics facilities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operators</w:t>
            </w:r>
          </w:p>
        </w:tc>
        <w:tc>
          <w:tcPr>
            <w:tcW w:w="1907" w:type="dxa"/>
            <w:vMerge w:val="restart"/>
            <w:tcBorders>
              <w:top w:val="nil"/>
              <w:left w:val="single" w:sz="4" w:space="0" w:color="auto"/>
              <w:bottom w:val="single" w:sz="4" w:space="0" w:color="000000"/>
              <w:right w:val="single" w:sz="4" w:space="0" w:color="auto"/>
            </w:tcBorders>
            <w:vAlign w:val="center"/>
            <w:hideMark/>
          </w:tcPr>
          <w:p w14:paraId="21888B35"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Reduction of environmental impacts associated with logistics operations</w:t>
            </w:r>
          </w:p>
        </w:tc>
        <w:tc>
          <w:tcPr>
            <w:tcW w:w="2062" w:type="dxa"/>
            <w:vMerge w:val="restart"/>
            <w:tcBorders>
              <w:top w:val="nil"/>
              <w:left w:val="single" w:sz="4" w:space="0" w:color="auto"/>
              <w:bottom w:val="single" w:sz="4" w:space="0" w:color="000000"/>
              <w:right w:val="single" w:sz="4" w:space="0" w:color="auto"/>
            </w:tcBorders>
            <w:vAlign w:val="center"/>
            <w:hideMark/>
          </w:tcPr>
          <w:p w14:paraId="0E51459A" w14:textId="4FEB39FF"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Realistic and predictable operational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requirements affecting workload and occupational safety</w:t>
            </w:r>
          </w:p>
        </w:tc>
        <w:tc>
          <w:tcPr>
            <w:tcW w:w="2971" w:type="dxa"/>
            <w:vMerge w:val="restart"/>
            <w:tcBorders>
              <w:top w:val="nil"/>
              <w:left w:val="single" w:sz="4" w:space="0" w:color="auto"/>
              <w:bottom w:val="single" w:sz="4" w:space="0" w:color="000000"/>
              <w:right w:val="single" w:sz="4" w:space="0" w:color="auto"/>
            </w:tcBorders>
            <w:vAlign w:val="center"/>
            <w:hideMark/>
          </w:tcPr>
          <w:p w14:paraId="5EE7D426" w14:textId="48855F02"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Stability and predictability of cooperation, </w:t>
            </w:r>
            <w:r w:rsidR="00412388" w:rsidRPr="00816C73">
              <w:rPr>
                <w:rFonts w:ascii="Times New Roman" w:eastAsia="Times New Roman" w:hAnsi="Times New Roman" w:cs="Times New Roman"/>
                <w:color w:val="000000"/>
                <w:kern w:val="0"/>
                <w:sz w:val="20"/>
                <w:szCs w:val="20"/>
                <w:lang w:val="en-GB" w:eastAsia="pl-PL"/>
                <w14:ligatures w14:val="none"/>
              </w:rPr>
              <w:t>precise</w:t>
            </w:r>
            <w:r w:rsidRPr="00816C73">
              <w:rPr>
                <w:rFonts w:ascii="Times New Roman" w:eastAsia="Times New Roman" w:hAnsi="Times New Roman" w:cs="Times New Roman"/>
                <w:color w:val="000000"/>
                <w:kern w:val="0"/>
                <w:sz w:val="20"/>
                <w:szCs w:val="20"/>
                <w:lang w:val="en-GB" w:eastAsia="pl-PL"/>
                <w14:ligatures w14:val="none"/>
              </w:rPr>
              <w:t xml:space="preserve"> allocation of responsibilities, transparent contractual and settlement rules</w:t>
            </w:r>
          </w:p>
        </w:tc>
      </w:tr>
      <w:tr w:rsidR="0052150E" w:rsidRPr="00816C73" w14:paraId="5B869A76" w14:textId="77777777" w:rsidTr="00B44C88">
        <w:trPr>
          <w:trHeight w:val="600"/>
        </w:trPr>
        <w:tc>
          <w:tcPr>
            <w:tcW w:w="406" w:type="dxa"/>
            <w:vMerge/>
            <w:tcBorders>
              <w:top w:val="single" w:sz="4" w:space="0" w:color="auto"/>
              <w:left w:val="single" w:sz="4" w:space="0" w:color="auto"/>
              <w:bottom w:val="nil"/>
              <w:right w:val="single" w:sz="4" w:space="0" w:color="auto"/>
            </w:tcBorders>
            <w:vAlign w:val="center"/>
            <w:hideMark/>
          </w:tcPr>
          <w:p w14:paraId="0B8BA1E8"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06CEFA28"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4D5F7ED6"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907" w:type="dxa"/>
            <w:vMerge/>
            <w:tcBorders>
              <w:top w:val="nil"/>
              <w:left w:val="single" w:sz="4" w:space="0" w:color="auto"/>
              <w:bottom w:val="single" w:sz="4" w:space="0" w:color="000000"/>
              <w:right w:val="single" w:sz="4" w:space="0" w:color="auto"/>
            </w:tcBorders>
            <w:vAlign w:val="center"/>
            <w:hideMark/>
          </w:tcPr>
          <w:p w14:paraId="6391BB52"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062" w:type="dxa"/>
            <w:vMerge/>
            <w:tcBorders>
              <w:top w:val="nil"/>
              <w:left w:val="single" w:sz="4" w:space="0" w:color="auto"/>
              <w:bottom w:val="single" w:sz="4" w:space="0" w:color="000000"/>
              <w:right w:val="single" w:sz="4" w:space="0" w:color="auto"/>
            </w:tcBorders>
            <w:vAlign w:val="center"/>
            <w:hideMark/>
          </w:tcPr>
          <w:p w14:paraId="68CC21FC"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971" w:type="dxa"/>
            <w:vMerge/>
            <w:tcBorders>
              <w:top w:val="nil"/>
              <w:left w:val="single" w:sz="4" w:space="0" w:color="auto"/>
              <w:bottom w:val="single" w:sz="4" w:space="0" w:color="000000"/>
              <w:right w:val="single" w:sz="4" w:space="0" w:color="auto"/>
            </w:tcBorders>
            <w:vAlign w:val="center"/>
            <w:hideMark/>
          </w:tcPr>
          <w:p w14:paraId="7A40C1A5"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0" w:type="dxa"/>
            <w:tcBorders>
              <w:top w:val="nil"/>
              <w:left w:val="nil"/>
              <w:bottom w:val="nil"/>
              <w:right w:val="nil"/>
            </w:tcBorders>
            <w:noWrap/>
            <w:vAlign w:val="bottom"/>
            <w:hideMark/>
          </w:tcPr>
          <w:p w14:paraId="2151D5DF"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lang w:val="en-GB" w:eastAsia="pl-PL"/>
                <w14:ligatures w14:val="none"/>
              </w:rPr>
            </w:pPr>
          </w:p>
        </w:tc>
      </w:tr>
      <w:tr w:rsidR="0052150E" w:rsidRPr="00816C73" w14:paraId="314A9142" w14:textId="77777777" w:rsidTr="00B44C88">
        <w:trPr>
          <w:trHeight w:val="132"/>
        </w:trPr>
        <w:tc>
          <w:tcPr>
            <w:tcW w:w="406" w:type="dxa"/>
            <w:vMerge/>
            <w:tcBorders>
              <w:top w:val="single" w:sz="4" w:space="0" w:color="auto"/>
              <w:left w:val="single" w:sz="4" w:space="0" w:color="auto"/>
              <w:bottom w:val="nil"/>
              <w:right w:val="single" w:sz="4" w:space="0" w:color="auto"/>
            </w:tcBorders>
            <w:vAlign w:val="center"/>
            <w:hideMark/>
          </w:tcPr>
          <w:p w14:paraId="55E08186"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20D5D7A9"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46BF2A0A"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907" w:type="dxa"/>
            <w:vMerge/>
            <w:tcBorders>
              <w:top w:val="nil"/>
              <w:left w:val="single" w:sz="4" w:space="0" w:color="auto"/>
              <w:bottom w:val="single" w:sz="4" w:space="0" w:color="000000"/>
              <w:right w:val="single" w:sz="4" w:space="0" w:color="auto"/>
            </w:tcBorders>
            <w:vAlign w:val="center"/>
            <w:hideMark/>
          </w:tcPr>
          <w:p w14:paraId="2EBC8B97"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062" w:type="dxa"/>
            <w:vMerge/>
            <w:tcBorders>
              <w:top w:val="nil"/>
              <w:left w:val="single" w:sz="4" w:space="0" w:color="auto"/>
              <w:bottom w:val="single" w:sz="4" w:space="0" w:color="000000"/>
              <w:right w:val="single" w:sz="4" w:space="0" w:color="auto"/>
            </w:tcBorders>
            <w:vAlign w:val="center"/>
            <w:hideMark/>
          </w:tcPr>
          <w:p w14:paraId="1243DE0D"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971" w:type="dxa"/>
            <w:vMerge/>
            <w:tcBorders>
              <w:top w:val="nil"/>
              <w:left w:val="single" w:sz="4" w:space="0" w:color="auto"/>
              <w:bottom w:val="single" w:sz="4" w:space="0" w:color="000000"/>
              <w:right w:val="single" w:sz="4" w:space="0" w:color="auto"/>
            </w:tcBorders>
            <w:vAlign w:val="center"/>
            <w:hideMark/>
          </w:tcPr>
          <w:p w14:paraId="50AA430E"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0" w:type="dxa"/>
            <w:tcBorders>
              <w:top w:val="nil"/>
              <w:left w:val="nil"/>
              <w:bottom w:val="nil"/>
              <w:right w:val="nil"/>
            </w:tcBorders>
            <w:noWrap/>
            <w:vAlign w:val="bottom"/>
            <w:hideMark/>
          </w:tcPr>
          <w:p w14:paraId="2EDB61FA"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7A2D5DC9" w14:textId="77777777" w:rsidTr="00B44C88">
        <w:trPr>
          <w:trHeight w:val="288"/>
        </w:trPr>
        <w:tc>
          <w:tcPr>
            <w:tcW w:w="406" w:type="dxa"/>
            <w:vMerge/>
            <w:tcBorders>
              <w:top w:val="single" w:sz="4" w:space="0" w:color="auto"/>
              <w:left w:val="single" w:sz="4" w:space="0" w:color="auto"/>
              <w:bottom w:val="nil"/>
              <w:right w:val="single" w:sz="4" w:space="0" w:color="auto"/>
            </w:tcBorders>
            <w:vAlign w:val="center"/>
            <w:hideMark/>
          </w:tcPr>
          <w:p w14:paraId="14B357DD"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3F3E6651"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57E811A2"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907" w:type="dxa"/>
            <w:vMerge/>
            <w:tcBorders>
              <w:top w:val="nil"/>
              <w:left w:val="single" w:sz="4" w:space="0" w:color="auto"/>
              <w:bottom w:val="single" w:sz="4" w:space="0" w:color="000000"/>
              <w:right w:val="single" w:sz="4" w:space="0" w:color="auto"/>
            </w:tcBorders>
            <w:vAlign w:val="center"/>
            <w:hideMark/>
          </w:tcPr>
          <w:p w14:paraId="7CF95661"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062" w:type="dxa"/>
            <w:vMerge/>
            <w:tcBorders>
              <w:top w:val="nil"/>
              <w:left w:val="single" w:sz="4" w:space="0" w:color="auto"/>
              <w:bottom w:val="single" w:sz="4" w:space="0" w:color="000000"/>
              <w:right w:val="single" w:sz="4" w:space="0" w:color="auto"/>
            </w:tcBorders>
            <w:vAlign w:val="center"/>
            <w:hideMark/>
          </w:tcPr>
          <w:p w14:paraId="0473C1FA"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971" w:type="dxa"/>
            <w:vMerge/>
            <w:tcBorders>
              <w:top w:val="nil"/>
              <w:left w:val="single" w:sz="4" w:space="0" w:color="auto"/>
              <w:bottom w:val="single" w:sz="4" w:space="0" w:color="000000"/>
              <w:right w:val="single" w:sz="4" w:space="0" w:color="auto"/>
            </w:tcBorders>
            <w:vAlign w:val="center"/>
            <w:hideMark/>
          </w:tcPr>
          <w:p w14:paraId="67E53550"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0" w:type="dxa"/>
            <w:tcBorders>
              <w:top w:val="nil"/>
              <w:left w:val="nil"/>
              <w:bottom w:val="nil"/>
              <w:right w:val="nil"/>
            </w:tcBorders>
            <w:noWrap/>
            <w:vAlign w:val="bottom"/>
            <w:hideMark/>
          </w:tcPr>
          <w:p w14:paraId="5F3B1F51"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05573B8A" w14:textId="77777777" w:rsidTr="00B44C88">
        <w:trPr>
          <w:trHeight w:val="999"/>
        </w:trPr>
        <w:tc>
          <w:tcPr>
            <w:tcW w:w="406" w:type="dxa"/>
            <w:vMerge/>
            <w:tcBorders>
              <w:top w:val="single" w:sz="4" w:space="0" w:color="auto"/>
              <w:left w:val="single" w:sz="4" w:space="0" w:color="auto"/>
              <w:bottom w:val="nil"/>
              <w:right w:val="single" w:sz="4" w:space="0" w:color="auto"/>
            </w:tcBorders>
            <w:vAlign w:val="center"/>
            <w:hideMark/>
          </w:tcPr>
          <w:p w14:paraId="3973CF6C"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666" w:type="dxa"/>
            <w:vMerge w:val="restart"/>
            <w:tcBorders>
              <w:top w:val="nil"/>
              <w:left w:val="single" w:sz="4" w:space="0" w:color="auto"/>
              <w:bottom w:val="nil"/>
              <w:right w:val="single" w:sz="4" w:space="0" w:color="auto"/>
            </w:tcBorders>
            <w:shd w:val="clear" w:color="000000" w:fill="E8E8E8"/>
            <w:textDirection w:val="btLr"/>
            <w:vAlign w:val="center"/>
            <w:hideMark/>
          </w:tcPr>
          <w:p w14:paraId="2AE92F30"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 xml:space="preserve">Business support </w:t>
            </w:r>
            <w:r w:rsidRPr="006D72EF">
              <w:rPr>
                <w:rFonts w:ascii="Times New Roman" w:eastAsia="Times New Roman" w:hAnsi="Times New Roman" w:cs="Times New Roman"/>
                <w:color w:val="000000"/>
                <w:kern w:val="0"/>
                <w:sz w:val="20"/>
                <w:szCs w:val="20"/>
                <w:lang w:val="en-GB" w:eastAsia="pl-PL"/>
                <w14:ligatures w14:val="none"/>
              </w:rPr>
              <w:br/>
              <w:t>service providers</w:t>
            </w:r>
          </w:p>
        </w:tc>
        <w:tc>
          <w:tcPr>
            <w:tcW w:w="1622" w:type="dxa"/>
            <w:tcBorders>
              <w:top w:val="nil"/>
              <w:left w:val="nil"/>
              <w:bottom w:val="single" w:sz="4" w:space="0" w:color="auto"/>
              <w:right w:val="nil"/>
            </w:tcBorders>
            <w:shd w:val="clear" w:color="000000" w:fill="E8E8E8"/>
            <w:vAlign w:val="center"/>
            <w:hideMark/>
          </w:tcPr>
          <w:p w14:paraId="4EC40CD1" w14:textId="69A22D8B"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Technology, equipment</w:t>
            </w:r>
            <w:r w:rsidR="00412388" w:rsidRPr="00816C73">
              <w:rPr>
                <w:rFonts w:ascii="Times New Roman" w:eastAsia="Times New Roman" w:hAnsi="Times New Roman" w:cs="Times New Roman"/>
                <w:color w:val="000000"/>
                <w:kern w:val="0"/>
                <w:sz w:val="20"/>
                <w:szCs w:val="20"/>
                <w:lang w:val="en-GB" w:eastAsia="pl-PL"/>
                <w14:ligatures w14:val="none"/>
              </w:rPr>
              <w:t>,</w:t>
            </w:r>
            <w:r w:rsidRPr="00816C73">
              <w:rPr>
                <w:rFonts w:ascii="Times New Roman" w:eastAsia="Times New Roman" w:hAnsi="Times New Roman" w:cs="Times New Roman"/>
                <w:color w:val="000000"/>
                <w:kern w:val="0"/>
                <w:sz w:val="20"/>
                <w:szCs w:val="20"/>
                <w:lang w:val="en-GB" w:eastAsia="pl-PL"/>
                <w14:ligatures w14:val="none"/>
              </w:rPr>
              <w:t xml:space="preserve"> and</w:t>
            </w:r>
            <w:r w:rsidR="00ED23A6">
              <w:rPr>
                <w:rFonts w:ascii="Times New Roman" w:eastAsia="Times New Roman" w:hAnsi="Times New Roman" w:cs="Times New Roman"/>
                <w:color w:val="000000"/>
                <w:kern w:val="0"/>
                <w:sz w:val="20"/>
                <w:szCs w:val="20"/>
                <w:lang w:val="en-GB" w:eastAsia="pl-PL"/>
                <w14:ligatures w14:val="none"/>
              </w:rPr>
              <w:t> </w:t>
            </w:r>
            <w:r w:rsidRPr="00816C73">
              <w:rPr>
                <w:rFonts w:ascii="Times New Roman" w:eastAsia="Times New Roman" w:hAnsi="Times New Roman" w:cs="Times New Roman"/>
                <w:color w:val="000000"/>
                <w:kern w:val="0"/>
                <w:sz w:val="20"/>
                <w:szCs w:val="20"/>
                <w:lang w:val="en-GB" w:eastAsia="pl-PL"/>
                <w14:ligatures w14:val="none"/>
              </w:rPr>
              <w:t>digital service providers</w:t>
            </w:r>
          </w:p>
        </w:tc>
        <w:tc>
          <w:tcPr>
            <w:tcW w:w="1907" w:type="dxa"/>
            <w:tcBorders>
              <w:top w:val="nil"/>
              <w:left w:val="single" w:sz="4" w:space="0" w:color="auto"/>
              <w:bottom w:val="single" w:sz="4" w:space="0" w:color="auto"/>
              <w:right w:val="single" w:sz="4" w:space="0" w:color="auto"/>
            </w:tcBorders>
            <w:vAlign w:val="center"/>
            <w:hideMark/>
          </w:tcPr>
          <w:p w14:paraId="522C9999" w14:textId="3A941708"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062" w:type="dxa"/>
            <w:tcBorders>
              <w:top w:val="nil"/>
              <w:left w:val="nil"/>
              <w:bottom w:val="single" w:sz="4" w:space="0" w:color="auto"/>
              <w:right w:val="single" w:sz="4" w:space="0" w:color="auto"/>
            </w:tcBorders>
            <w:vAlign w:val="center"/>
            <w:hideMark/>
          </w:tcPr>
          <w:p w14:paraId="140D5D19" w14:textId="2465D458"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nil"/>
              <w:left w:val="nil"/>
              <w:bottom w:val="nil"/>
              <w:right w:val="single" w:sz="4" w:space="0" w:color="auto"/>
            </w:tcBorders>
            <w:vAlign w:val="center"/>
            <w:hideMark/>
          </w:tcPr>
          <w:p w14:paraId="5FB94BBE" w14:textId="73CDD0C4"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Stability and predictability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of cooperation</w:t>
            </w:r>
          </w:p>
        </w:tc>
        <w:tc>
          <w:tcPr>
            <w:tcW w:w="160" w:type="dxa"/>
            <w:vAlign w:val="center"/>
            <w:hideMark/>
          </w:tcPr>
          <w:p w14:paraId="629B92AF"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64C6D1B9" w14:textId="77777777" w:rsidTr="00B44C88">
        <w:trPr>
          <w:trHeight w:val="999"/>
        </w:trPr>
        <w:tc>
          <w:tcPr>
            <w:tcW w:w="406" w:type="dxa"/>
            <w:vMerge/>
            <w:tcBorders>
              <w:top w:val="single" w:sz="4" w:space="0" w:color="auto"/>
              <w:left w:val="single" w:sz="4" w:space="0" w:color="auto"/>
              <w:bottom w:val="nil"/>
              <w:right w:val="single" w:sz="4" w:space="0" w:color="auto"/>
            </w:tcBorders>
            <w:vAlign w:val="center"/>
            <w:hideMark/>
          </w:tcPr>
          <w:p w14:paraId="7E93C930"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666" w:type="dxa"/>
            <w:vMerge/>
            <w:tcBorders>
              <w:top w:val="nil"/>
              <w:left w:val="single" w:sz="4" w:space="0" w:color="auto"/>
              <w:bottom w:val="nil"/>
              <w:right w:val="single" w:sz="4" w:space="0" w:color="auto"/>
            </w:tcBorders>
            <w:vAlign w:val="center"/>
            <w:hideMark/>
          </w:tcPr>
          <w:p w14:paraId="069A2F27"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640F9041"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Financial institutions and insurance companies</w:t>
            </w:r>
          </w:p>
        </w:tc>
        <w:tc>
          <w:tcPr>
            <w:tcW w:w="1907" w:type="dxa"/>
            <w:tcBorders>
              <w:top w:val="nil"/>
              <w:left w:val="single" w:sz="4" w:space="0" w:color="auto"/>
              <w:bottom w:val="single" w:sz="4" w:space="0" w:color="auto"/>
              <w:right w:val="single" w:sz="4" w:space="0" w:color="auto"/>
            </w:tcBorders>
            <w:vAlign w:val="center"/>
            <w:hideMark/>
          </w:tcPr>
          <w:p w14:paraId="441E0A72" w14:textId="7E4D5E96"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062" w:type="dxa"/>
            <w:tcBorders>
              <w:top w:val="nil"/>
              <w:left w:val="nil"/>
              <w:bottom w:val="single" w:sz="4" w:space="0" w:color="auto"/>
              <w:right w:val="single" w:sz="4" w:space="0" w:color="auto"/>
            </w:tcBorders>
            <w:vAlign w:val="center"/>
            <w:hideMark/>
          </w:tcPr>
          <w:p w14:paraId="4F83826B" w14:textId="3B9A3076"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single" w:sz="4" w:space="0" w:color="auto"/>
              <w:left w:val="nil"/>
              <w:bottom w:val="nil"/>
              <w:right w:val="single" w:sz="4" w:space="0" w:color="auto"/>
            </w:tcBorders>
            <w:vAlign w:val="center"/>
            <w:hideMark/>
          </w:tcPr>
          <w:p w14:paraId="032F15E5" w14:textId="39CEF32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Risk minimization, financial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stability</w:t>
            </w:r>
            <w:r w:rsidR="00412388" w:rsidRPr="00816C73">
              <w:rPr>
                <w:rFonts w:ascii="Times New Roman" w:eastAsia="Times New Roman" w:hAnsi="Times New Roman" w:cs="Times New Roman"/>
                <w:color w:val="000000"/>
                <w:kern w:val="0"/>
                <w:sz w:val="20"/>
                <w:szCs w:val="20"/>
                <w:lang w:val="en-GB" w:eastAsia="pl-PL"/>
                <w14:ligatures w14:val="none"/>
              </w:rPr>
              <w:t>,</w:t>
            </w:r>
            <w:r w:rsidRPr="00816C73">
              <w:rPr>
                <w:rFonts w:ascii="Times New Roman" w:eastAsia="Times New Roman" w:hAnsi="Times New Roman" w:cs="Times New Roman"/>
                <w:color w:val="000000"/>
                <w:kern w:val="0"/>
                <w:sz w:val="20"/>
                <w:szCs w:val="20"/>
                <w:lang w:val="en-GB" w:eastAsia="pl-PL"/>
                <w14:ligatures w14:val="none"/>
              </w:rPr>
              <w:t xml:space="preserve"> and predictability</w:t>
            </w:r>
          </w:p>
        </w:tc>
        <w:tc>
          <w:tcPr>
            <w:tcW w:w="160" w:type="dxa"/>
            <w:vAlign w:val="center"/>
            <w:hideMark/>
          </w:tcPr>
          <w:p w14:paraId="4067AF8F"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5A3E29C6" w14:textId="77777777" w:rsidTr="00B44C88">
        <w:trPr>
          <w:trHeight w:val="622"/>
        </w:trPr>
        <w:tc>
          <w:tcPr>
            <w:tcW w:w="1072" w:type="dxa"/>
            <w:gridSpan w:val="2"/>
            <w:vMerge w:val="restart"/>
            <w:tcBorders>
              <w:top w:val="single" w:sz="4" w:space="0" w:color="auto"/>
              <w:left w:val="single" w:sz="4" w:space="0" w:color="auto"/>
              <w:bottom w:val="single" w:sz="4" w:space="0" w:color="auto"/>
              <w:right w:val="single" w:sz="4" w:space="0" w:color="000000"/>
            </w:tcBorders>
            <w:shd w:val="clear" w:color="000000" w:fill="E8E8E8"/>
            <w:textDirection w:val="btLr"/>
            <w:vAlign w:val="center"/>
            <w:hideMark/>
          </w:tcPr>
          <w:p w14:paraId="3A688FB5"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Market stakeholders</w:t>
            </w:r>
          </w:p>
        </w:tc>
        <w:tc>
          <w:tcPr>
            <w:tcW w:w="1622" w:type="dxa"/>
            <w:tcBorders>
              <w:top w:val="nil"/>
              <w:left w:val="nil"/>
              <w:bottom w:val="single" w:sz="4" w:space="0" w:color="auto"/>
              <w:right w:val="nil"/>
            </w:tcBorders>
            <w:shd w:val="clear" w:color="000000" w:fill="E8E8E8"/>
            <w:vAlign w:val="center"/>
            <w:hideMark/>
          </w:tcPr>
          <w:p w14:paraId="585DE300"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End users / individual consumers</w:t>
            </w:r>
          </w:p>
        </w:tc>
        <w:tc>
          <w:tcPr>
            <w:tcW w:w="1907" w:type="dxa"/>
            <w:vMerge w:val="restart"/>
            <w:tcBorders>
              <w:top w:val="nil"/>
              <w:left w:val="single" w:sz="4" w:space="0" w:color="auto"/>
              <w:bottom w:val="nil"/>
              <w:right w:val="single" w:sz="4" w:space="0" w:color="auto"/>
            </w:tcBorders>
            <w:vAlign w:val="center"/>
            <w:hideMark/>
          </w:tcPr>
          <w:p w14:paraId="24DA6572" w14:textId="54841DD5"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Reduction of environmental impacts related to </w:t>
            </w:r>
            <w:r w:rsidR="00412388" w:rsidRPr="00816C73">
              <w:rPr>
                <w:rFonts w:ascii="Times New Roman" w:eastAsia="Times New Roman" w:hAnsi="Times New Roman" w:cs="Times New Roman"/>
                <w:color w:val="000000"/>
                <w:kern w:val="0"/>
                <w:sz w:val="20"/>
                <w:szCs w:val="20"/>
                <w:lang w:val="en-GB" w:eastAsia="pl-PL"/>
                <w14:ligatures w14:val="none"/>
              </w:rPr>
              <w:t xml:space="preserve">the </w:t>
            </w:r>
            <w:r w:rsidRPr="00816C73">
              <w:rPr>
                <w:rFonts w:ascii="Times New Roman" w:eastAsia="Times New Roman" w:hAnsi="Times New Roman" w:cs="Times New Roman"/>
                <w:color w:val="000000"/>
                <w:kern w:val="0"/>
                <w:sz w:val="20"/>
                <w:szCs w:val="20"/>
                <w:lang w:val="en-GB" w:eastAsia="pl-PL"/>
                <w14:ligatures w14:val="none"/>
              </w:rPr>
              <w:t>provided services</w:t>
            </w:r>
          </w:p>
        </w:tc>
        <w:tc>
          <w:tcPr>
            <w:tcW w:w="2062" w:type="dxa"/>
            <w:tcBorders>
              <w:top w:val="nil"/>
              <w:left w:val="nil"/>
              <w:bottom w:val="single" w:sz="4" w:space="0" w:color="auto"/>
              <w:right w:val="single" w:sz="4" w:space="0" w:color="auto"/>
            </w:tcBorders>
            <w:vAlign w:val="center"/>
            <w:hideMark/>
          </w:tcPr>
          <w:p w14:paraId="69729636" w14:textId="6F4B0549"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single" w:sz="4" w:space="0" w:color="auto"/>
              <w:left w:val="nil"/>
              <w:bottom w:val="single" w:sz="4" w:space="0" w:color="auto"/>
              <w:right w:val="single" w:sz="4" w:space="0" w:color="auto"/>
            </w:tcBorders>
            <w:vAlign w:val="center"/>
            <w:hideMark/>
          </w:tcPr>
          <w:p w14:paraId="6BF9809D" w14:textId="5352F410"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Competitive service costs, transparent offer, </w:t>
            </w:r>
            <w:r w:rsidR="00412388" w:rsidRPr="00816C73">
              <w:rPr>
                <w:rFonts w:ascii="Times New Roman" w:eastAsia="Times New Roman" w:hAnsi="Times New Roman" w:cs="Times New Roman"/>
                <w:color w:val="000000"/>
                <w:kern w:val="0"/>
                <w:sz w:val="20"/>
                <w:szCs w:val="20"/>
                <w:lang w:val="en-GB" w:eastAsia="pl-PL"/>
                <w14:ligatures w14:val="none"/>
              </w:rPr>
              <w:t xml:space="preserve">and </w:t>
            </w:r>
            <w:r w:rsidRPr="00816C73">
              <w:rPr>
                <w:rFonts w:ascii="Times New Roman" w:eastAsia="Times New Roman" w:hAnsi="Times New Roman" w:cs="Times New Roman"/>
                <w:color w:val="000000"/>
                <w:kern w:val="0"/>
                <w:sz w:val="20"/>
                <w:szCs w:val="20"/>
                <w:lang w:val="en-GB" w:eastAsia="pl-PL"/>
                <w14:ligatures w14:val="none"/>
              </w:rPr>
              <w:t xml:space="preserve">reliability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of deliveries</w:t>
            </w:r>
          </w:p>
        </w:tc>
        <w:tc>
          <w:tcPr>
            <w:tcW w:w="160" w:type="dxa"/>
            <w:vAlign w:val="center"/>
            <w:hideMark/>
          </w:tcPr>
          <w:p w14:paraId="5DC7EF8F"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4E8BCE99" w14:textId="77777777" w:rsidTr="00B44C88">
        <w:trPr>
          <w:trHeight w:val="1288"/>
        </w:trPr>
        <w:tc>
          <w:tcPr>
            <w:tcW w:w="1072" w:type="dxa"/>
            <w:gridSpan w:val="2"/>
            <w:vMerge/>
            <w:tcBorders>
              <w:top w:val="single" w:sz="4" w:space="0" w:color="auto"/>
              <w:left w:val="single" w:sz="4" w:space="0" w:color="auto"/>
              <w:bottom w:val="single" w:sz="4" w:space="0" w:color="auto"/>
              <w:right w:val="single" w:sz="4" w:space="0" w:color="000000"/>
            </w:tcBorders>
            <w:vAlign w:val="center"/>
            <w:hideMark/>
          </w:tcPr>
          <w:p w14:paraId="1DD56F31"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2017719C" w14:textId="60437FA1"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Business customers, e-commerce platforms</w:t>
            </w:r>
            <w:r w:rsidR="004919C5">
              <w:rPr>
                <w:rFonts w:ascii="Times New Roman" w:eastAsia="Times New Roman" w:hAnsi="Times New Roman" w:cs="Times New Roman"/>
                <w:color w:val="000000"/>
                <w:kern w:val="0"/>
                <w:sz w:val="20"/>
                <w:szCs w:val="20"/>
                <w:lang w:val="en-GB" w:eastAsia="pl-PL"/>
                <w14:ligatures w14:val="none"/>
              </w:rPr>
              <w:t>,</w:t>
            </w:r>
            <w:r w:rsidRPr="00816C73">
              <w:rPr>
                <w:rFonts w:ascii="Times New Roman" w:eastAsia="Times New Roman" w:hAnsi="Times New Roman" w:cs="Times New Roman"/>
                <w:color w:val="000000"/>
                <w:kern w:val="0"/>
                <w:sz w:val="20"/>
                <w:szCs w:val="20"/>
                <w:lang w:val="en-GB" w:eastAsia="pl-PL"/>
                <w14:ligatures w14:val="none"/>
              </w:rPr>
              <w:t xml:space="preserve"> and marketplaces</w:t>
            </w:r>
          </w:p>
        </w:tc>
        <w:tc>
          <w:tcPr>
            <w:tcW w:w="1907" w:type="dxa"/>
            <w:vMerge/>
            <w:tcBorders>
              <w:top w:val="nil"/>
              <w:left w:val="single" w:sz="4" w:space="0" w:color="auto"/>
              <w:bottom w:val="nil"/>
              <w:right w:val="single" w:sz="4" w:space="0" w:color="auto"/>
            </w:tcBorders>
            <w:vAlign w:val="center"/>
            <w:hideMark/>
          </w:tcPr>
          <w:p w14:paraId="3E6E3A19"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2062" w:type="dxa"/>
            <w:tcBorders>
              <w:top w:val="nil"/>
              <w:left w:val="nil"/>
              <w:bottom w:val="single" w:sz="4" w:space="0" w:color="auto"/>
              <w:right w:val="single" w:sz="4" w:space="0" w:color="auto"/>
            </w:tcBorders>
            <w:vAlign w:val="center"/>
            <w:hideMark/>
          </w:tcPr>
          <w:p w14:paraId="25B7B56A" w14:textId="7D7D85B2"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nil"/>
              <w:left w:val="nil"/>
              <w:bottom w:val="nil"/>
              <w:right w:val="single" w:sz="4" w:space="0" w:color="auto"/>
            </w:tcBorders>
            <w:vAlign w:val="center"/>
            <w:hideMark/>
          </w:tcPr>
          <w:p w14:paraId="13B75F4E" w14:textId="3069DBEF"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Competitive service costs, reliability of deliveries, stability of cooperation, transparent pricing</w:t>
            </w:r>
            <w:r w:rsidR="00412388" w:rsidRPr="00816C73">
              <w:rPr>
                <w:rFonts w:ascii="Times New Roman" w:eastAsia="Times New Roman" w:hAnsi="Times New Roman" w:cs="Times New Roman"/>
                <w:color w:val="000000"/>
                <w:kern w:val="0"/>
                <w:sz w:val="20"/>
                <w:szCs w:val="20"/>
                <w:lang w:val="en-GB" w:eastAsia="pl-PL"/>
                <w14:ligatures w14:val="none"/>
              </w:rPr>
              <w:t>,</w:t>
            </w:r>
            <w:r w:rsidRPr="00816C73">
              <w:rPr>
                <w:rFonts w:ascii="Times New Roman" w:eastAsia="Times New Roman" w:hAnsi="Times New Roman" w:cs="Times New Roman"/>
                <w:color w:val="000000"/>
                <w:kern w:val="0"/>
                <w:sz w:val="20"/>
                <w:szCs w:val="20"/>
                <w:lang w:val="en-GB" w:eastAsia="pl-PL"/>
                <w14:ligatures w14:val="none"/>
              </w:rPr>
              <w:t xml:space="preserve">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and settlement rules</w:t>
            </w:r>
          </w:p>
        </w:tc>
        <w:tc>
          <w:tcPr>
            <w:tcW w:w="160" w:type="dxa"/>
            <w:vAlign w:val="center"/>
            <w:hideMark/>
          </w:tcPr>
          <w:p w14:paraId="7CCFE4DC"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4C6DF670" w14:textId="77777777" w:rsidTr="00B44C88">
        <w:trPr>
          <w:trHeight w:val="1104"/>
        </w:trPr>
        <w:tc>
          <w:tcPr>
            <w:tcW w:w="1072" w:type="dxa"/>
            <w:gridSpan w:val="2"/>
            <w:vMerge w:val="restart"/>
            <w:tcBorders>
              <w:top w:val="single" w:sz="4" w:space="0" w:color="auto"/>
              <w:left w:val="single" w:sz="4" w:space="0" w:color="auto"/>
              <w:bottom w:val="single" w:sz="4" w:space="0" w:color="auto"/>
              <w:right w:val="single" w:sz="4" w:space="0" w:color="000000"/>
            </w:tcBorders>
            <w:shd w:val="clear" w:color="000000" w:fill="E8E8E8"/>
            <w:textDirection w:val="btLr"/>
            <w:vAlign w:val="center"/>
            <w:hideMark/>
          </w:tcPr>
          <w:p w14:paraId="64819507"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Affected stakeholders</w:t>
            </w:r>
          </w:p>
        </w:tc>
        <w:tc>
          <w:tcPr>
            <w:tcW w:w="1622" w:type="dxa"/>
            <w:tcBorders>
              <w:top w:val="nil"/>
              <w:left w:val="nil"/>
              <w:bottom w:val="single" w:sz="4" w:space="0" w:color="auto"/>
              <w:right w:val="nil"/>
            </w:tcBorders>
            <w:shd w:val="clear" w:color="000000" w:fill="E8E8E8"/>
            <w:vAlign w:val="center"/>
            <w:hideMark/>
          </w:tcPr>
          <w:p w14:paraId="5A3F1864" w14:textId="3EF2AEBC"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Local </w:t>
            </w:r>
            <w:r w:rsidR="00B44C88">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communities</w:t>
            </w:r>
          </w:p>
        </w:tc>
        <w:tc>
          <w:tcPr>
            <w:tcW w:w="1907" w:type="dxa"/>
            <w:tcBorders>
              <w:top w:val="single" w:sz="4" w:space="0" w:color="auto"/>
              <w:left w:val="single" w:sz="4" w:space="0" w:color="auto"/>
              <w:bottom w:val="single" w:sz="4" w:space="0" w:color="auto"/>
              <w:right w:val="single" w:sz="4" w:space="0" w:color="auto"/>
            </w:tcBorders>
            <w:vAlign w:val="center"/>
            <w:hideMark/>
          </w:tcPr>
          <w:p w14:paraId="41978EEB" w14:textId="5390B1F0"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Reduction of environmental impacts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at the local level</w:t>
            </w:r>
          </w:p>
        </w:tc>
        <w:tc>
          <w:tcPr>
            <w:tcW w:w="2062" w:type="dxa"/>
            <w:tcBorders>
              <w:top w:val="nil"/>
              <w:left w:val="nil"/>
              <w:bottom w:val="single" w:sz="4" w:space="0" w:color="auto"/>
              <w:right w:val="single" w:sz="4" w:space="0" w:color="auto"/>
            </w:tcBorders>
            <w:vAlign w:val="center"/>
            <w:hideMark/>
          </w:tcPr>
          <w:p w14:paraId="6E5297FF" w14:textId="6A72616C"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Good </w:t>
            </w:r>
            <w:proofErr w:type="spellStart"/>
            <w:r w:rsidRPr="00816C73">
              <w:rPr>
                <w:rFonts w:ascii="Times New Roman" w:eastAsia="Times New Roman" w:hAnsi="Times New Roman" w:cs="Times New Roman"/>
                <w:color w:val="000000"/>
                <w:kern w:val="0"/>
                <w:sz w:val="20"/>
                <w:szCs w:val="20"/>
                <w:lang w:val="en-GB" w:eastAsia="pl-PL"/>
                <w14:ligatures w14:val="none"/>
              </w:rPr>
              <w:t>neighborliness</w:t>
            </w:r>
            <w:proofErr w:type="spellEnd"/>
            <w:r w:rsidRPr="00816C73">
              <w:rPr>
                <w:rFonts w:ascii="Times New Roman" w:eastAsia="Times New Roman" w:hAnsi="Times New Roman" w:cs="Times New Roman"/>
                <w:color w:val="000000"/>
                <w:kern w:val="0"/>
                <w:sz w:val="20"/>
                <w:szCs w:val="20"/>
                <w:lang w:val="en-GB" w:eastAsia="pl-PL"/>
                <w14:ligatures w14:val="none"/>
              </w:rPr>
              <w:t xml:space="preserve">, compliance with spatial planning, </w:t>
            </w:r>
            <w:r w:rsidR="00AA523C" w:rsidRPr="00816C73">
              <w:rPr>
                <w:rFonts w:ascii="Times New Roman" w:eastAsia="Times New Roman" w:hAnsi="Times New Roman" w:cs="Times New Roman"/>
                <w:color w:val="000000"/>
                <w:kern w:val="0"/>
                <w:sz w:val="20"/>
                <w:szCs w:val="20"/>
                <w:lang w:val="en-GB" w:eastAsia="pl-PL"/>
                <w14:ligatures w14:val="none"/>
              </w:rPr>
              <w:t xml:space="preserve">and </w:t>
            </w:r>
            <w:r w:rsidRPr="00816C73">
              <w:rPr>
                <w:rFonts w:ascii="Times New Roman" w:eastAsia="Times New Roman" w:hAnsi="Times New Roman" w:cs="Times New Roman"/>
                <w:color w:val="000000"/>
                <w:kern w:val="0"/>
                <w:sz w:val="20"/>
                <w:szCs w:val="20"/>
                <w:lang w:val="en-GB" w:eastAsia="pl-PL"/>
                <w14:ligatures w14:val="none"/>
              </w:rPr>
              <w:t xml:space="preserve">support for local social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initiatives</w:t>
            </w:r>
          </w:p>
        </w:tc>
        <w:tc>
          <w:tcPr>
            <w:tcW w:w="2971" w:type="dxa"/>
            <w:tcBorders>
              <w:top w:val="single" w:sz="4" w:space="0" w:color="auto"/>
              <w:left w:val="nil"/>
              <w:bottom w:val="single" w:sz="4" w:space="0" w:color="auto"/>
              <w:right w:val="single" w:sz="4" w:space="0" w:color="auto"/>
            </w:tcBorders>
            <w:vAlign w:val="center"/>
            <w:hideMark/>
          </w:tcPr>
          <w:p w14:paraId="719E0E8A"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Social dialogue and transparency of decision-making</w:t>
            </w:r>
          </w:p>
        </w:tc>
        <w:tc>
          <w:tcPr>
            <w:tcW w:w="160" w:type="dxa"/>
            <w:vAlign w:val="center"/>
            <w:hideMark/>
          </w:tcPr>
          <w:p w14:paraId="57A0BC8B"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2F506A39" w14:textId="77777777" w:rsidTr="00B44C88">
        <w:trPr>
          <w:trHeight w:val="1104"/>
        </w:trPr>
        <w:tc>
          <w:tcPr>
            <w:tcW w:w="1072" w:type="dxa"/>
            <w:gridSpan w:val="2"/>
            <w:vMerge/>
            <w:tcBorders>
              <w:top w:val="single" w:sz="4" w:space="0" w:color="auto"/>
              <w:left w:val="single" w:sz="4" w:space="0" w:color="auto"/>
              <w:bottom w:val="single" w:sz="4" w:space="0" w:color="auto"/>
              <w:right w:val="single" w:sz="4" w:space="0" w:color="000000"/>
            </w:tcBorders>
            <w:vAlign w:val="center"/>
            <w:hideMark/>
          </w:tcPr>
          <w:p w14:paraId="31940DA4"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17DC1616"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General public</w:t>
            </w:r>
          </w:p>
        </w:tc>
        <w:tc>
          <w:tcPr>
            <w:tcW w:w="1907" w:type="dxa"/>
            <w:tcBorders>
              <w:top w:val="nil"/>
              <w:left w:val="single" w:sz="4" w:space="0" w:color="auto"/>
              <w:bottom w:val="single" w:sz="4" w:space="0" w:color="auto"/>
              <w:right w:val="single" w:sz="4" w:space="0" w:color="auto"/>
            </w:tcBorders>
            <w:vAlign w:val="center"/>
            <w:hideMark/>
          </w:tcPr>
          <w:p w14:paraId="714804BC" w14:textId="3914E458"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Reduction of environmental impacts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 xml:space="preserve">and improvement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of energy efficiency</w:t>
            </w:r>
          </w:p>
        </w:tc>
        <w:tc>
          <w:tcPr>
            <w:tcW w:w="2062" w:type="dxa"/>
            <w:tcBorders>
              <w:top w:val="nil"/>
              <w:left w:val="nil"/>
              <w:bottom w:val="single" w:sz="4" w:space="0" w:color="auto"/>
              <w:right w:val="single" w:sz="4" w:space="0" w:color="auto"/>
            </w:tcBorders>
            <w:vAlign w:val="center"/>
            <w:hideMark/>
          </w:tcPr>
          <w:p w14:paraId="72EA89B8"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Respect for social interests, gender equality</w:t>
            </w:r>
          </w:p>
        </w:tc>
        <w:tc>
          <w:tcPr>
            <w:tcW w:w="2971" w:type="dxa"/>
            <w:tcBorders>
              <w:top w:val="nil"/>
              <w:left w:val="nil"/>
              <w:bottom w:val="single" w:sz="4" w:space="0" w:color="auto"/>
              <w:right w:val="single" w:sz="4" w:space="0" w:color="auto"/>
            </w:tcBorders>
            <w:vAlign w:val="center"/>
            <w:hideMark/>
          </w:tcPr>
          <w:p w14:paraId="2AB24790"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Ethical conduct and transparency</w:t>
            </w:r>
          </w:p>
        </w:tc>
        <w:tc>
          <w:tcPr>
            <w:tcW w:w="160" w:type="dxa"/>
            <w:vAlign w:val="center"/>
            <w:hideMark/>
          </w:tcPr>
          <w:p w14:paraId="14703290"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30779FBE" w14:textId="77777777" w:rsidTr="00B44C88">
        <w:trPr>
          <w:trHeight w:val="828"/>
        </w:trPr>
        <w:tc>
          <w:tcPr>
            <w:tcW w:w="1072" w:type="dxa"/>
            <w:gridSpan w:val="2"/>
            <w:vMerge/>
            <w:tcBorders>
              <w:top w:val="single" w:sz="4" w:space="0" w:color="auto"/>
              <w:left w:val="single" w:sz="4" w:space="0" w:color="auto"/>
              <w:bottom w:val="single" w:sz="4" w:space="0" w:color="auto"/>
              <w:right w:val="single" w:sz="4" w:space="0" w:color="000000"/>
            </w:tcBorders>
            <w:vAlign w:val="center"/>
            <w:hideMark/>
          </w:tcPr>
          <w:p w14:paraId="3B07D11E"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35EE3F85" w14:textId="00EA7E0F"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Employees </w:t>
            </w:r>
            <w:r w:rsidR="00B44C88">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 xml:space="preserve">in the supply chain </w:t>
            </w:r>
          </w:p>
        </w:tc>
        <w:tc>
          <w:tcPr>
            <w:tcW w:w="1907" w:type="dxa"/>
            <w:tcBorders>
              <w:top w:val="nil"/>
              <w:left w:val="single" w:sz="4" w:space="0" w:color="auto"/>
              <w:bottom w:val="single" w:sz="4" w:space="0" w:color="auto"/>
              <w:right w:val="single" w:sz="4" w:space="0" w:color="auto"/>
            </w:tcBorders>
            <w:vAlign w:val="center"/>
            <w:hideMark/>
          </w:tcPr>
          <w:p w14:paraId="1007A012" w14:textId="4928E778"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062" w:type="dxa"/>
            <w:tcBorders>
              <w:top w:val="nil"/>
              <w:left w:val="nil"/>
              <w:bottom w:val="single" w:sz="4" w:space="0" w:color="auto"/>
              <w:right w:val="single" w:sz="4" w:space="0" w:color="auto"/>
            </w:tcBorders>
            <w:vAlign w:val="center"/>
            <w:hideMark/>
          </w:tcPr>
          <w:p w14:paraId="0F948259" w14:textId="2509E0FB"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Stable employment, safe working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 xml:space="preserve">conditions, decent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remuneration</w:t>
            </w:r>
          </w:p>
        </w:tc>
        <w:tc>
          <w:tcPr>
            <w:tcW w:w="2971" w:type="dxa"/>
            <w:tcBorders>
              <w:top w:val="nil"/>
              <w:left w:val="nil"/>
              <w:bottom w:val="single" w:sz="4" w:space="0" w:color="auto"/>
              <w:right w:val="single" w:sz="4" w:space="0" w:color="auto"/>
            </w:tcBorders>
            <w:vAlign w:val="center"/>
            <w:hideMark/>
          </w:tcPr>
          <w:p w14:paraId="4F593F76" w14:textId="68273CA9"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Ethical conduct and transparency, transparent remuneration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principles</w:t>
            </w:r>
          </w:p>
        </w:tc>
        <w:tc>
          <w:tcPr>
            <w:tcW w:w="160" w:type="dxa"/>
            <w:vAlign w:val="center"/>
            <w:hideMark/>
          </w:tcPr>
          <w:p w14:paraId="2DE47560"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2FF0DC8C" w14:textId="77777777" w:rsidTr="00B44C88">
        <w:trPr>
          <w:trHeight w:val="828"/>
        </w:trPr>
        <w:tc>
          <w:tcPr>
            <w:tcW w:w="1072" w:type="dxa"/>
            <w:gridSpan w:val="2"/>
            <w:vMerge/>
            <w:tcBorders>
              <w:top w:val="single" w:sz="4" w:space="0" w:color="auto"/>
              <w:left w:val="single" w:sz="4" w:space="0" w:color="auto"/>
              <w:bottom w:val="single" w:sz="4" w:space="0" w:color="auto"/>
              <w:right w:val="single" w:sz="4" w:space="0" w:color="000000"/>
            </w:tcBorders>
            <w:vAlign w:val="center"/>
            <w:hideMark/>
          </w:tcPr>
          <w:p w14:paraId="78381AE1"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1B6C284B"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NGOs</w:t>
            </w:r>
          </w:p>
        </w:tc>
        <w:tc>
          <w:tcPr>
            <w:tcW w:w="1907" w:type="dxa"/>
            <w:tcBorders>
              <w:top w:val="nil"/>
              <w:left w:val="single" w:sz="4" w:space="0" w:color="auto"/>
              <w:bottom w:val="single" w:sz="4" w:space="0" w:color="auto"/>
              <w:right w:val="single" w:sz="4" w:space="0" w:color="auto"/>
            </w:tcBorders>
            <w:vAlign w:val="center"/>
            <w:hideMark/>
          </w:tcPr>
          <w:p w14:paraId="1F529725"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Reduction of environmental impacts</w:t>
            </w:r>
          </w:p>
        </w:tc>
        <w:tc>
          <w:tcPr>
            <w:tcW w:w="2062" w:type="dxa"/>
            <w:tcBorders>
              <w:top w:val="nil"/>
              <w:left w:val="nil"/>
              <w:bottom w:val="single" w:sz="4" w:space="0" w:color="auto"/>
              <w:right w:val="single" w:sz="4" w:space="0" w:color="auto"/>
            </w:tcBorders>
            <w:vAlign w:val="center"/>
            <w:hideMark/>
          </w:tcPr>
          <w:p w14:paraId="3E7D2E5F" w14:textId="4144B711"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Willingness to engage in dialogue and cooperation, respect </w:t>
            </w:r>
            <w:r w:rsidR="00561D4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for social interests</w:t>
            </w:r>
          </w:p>
        </w:tc>
        <w:tc>
          <w:tcPr>
            <w:tcW w:w="2971" w:type="dxa"/>
            <w:tcBorders>
              <w:top w:val="nil"/>
              <w:left w:val="nil"/>
              <w:bottom w:val="single" w:sz="4" w:space="0" w:color="auto"/>
              <w:right w:val="single" w:sz="4" w:space="0" w:color="auto"/>
            </w:tcBorders>
            <w:vAlign w:val="center"/>
            <w:hideMark/>
          </w:tcPr>
          <w:p w14:paraId="6368DABC"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Ethical conduct and transparency</w:t>
            </w:r>
          </w:p>
        </w:tc>
        <w:tc>
          <w:tcPr>
            <w:tcW w:w="160" w:type="dxa"/>
            <w:vAlign w:val="center"/>
            <w:hideMark/>
          </w:tcPr>
          <w:p w14:paraId="489C5189"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bl>
    <w:p w14:paraId="5FBAC65B" w14:textId="3891562D" w:rsidR="00B44C88" w:rsidRDefault="00B44C88" w:rsidP="00561D46">
      <w:pPr>
        <w:spacing w:after="0" w:line="240" w:lineRule="auto"/>
        <w:rPr>
          <w:rFonts w:ascii="Times New Roman" w:hAnsi="Times New Roman" w:cs="Times New Roman"/>
        </w:rPr>
      </w:pPr>
    </w:p>
    <w:p w14:paraId="7BEB7E55" w14:textId="77777777" w:rsidR="00561D46" w:rsidRPr="00561D46" w:rsidRDefault="00561D46" w:rsidP="00561D46">
      <w:pPr>
        <w:spacing w:after="0" w:line="240" w:lineRule="auto"/>
        <w:rPr>
          <w:rFonts w:ascii="Times New Roman" w:hAnsi="Times New Roman" w:cs="Times New Roman"/>
        </w:rPr>
      </w:pPr>
    </w:p>
    <w:p w14:paraId="2DDDFF21" w14:textId="0169CBC2" w:rsidR="00B44C88" w:rsidRDefault="00B44C88" w:rsidP="00B44C88">
      <w:pPr>
        <w:pStyle w:val="Rtab"/>
      </w:pPr>
      <w:r w:rsidRPr="00816C73">
        <w:rPr>
          <w:b/>
          <w:bCs/>
          <w:lang w:val="en-GB"/>
        </w:rPr>
        <w:lastRenderedPageBreak/>
        <w:t>Tab</w:t>
      </w:r>
      <w:r>
        <w:rPr>
          <w:b/>
          <w:bCs/>
          <w:lang w:val="en-GB"/>
        </w:rPr>
        <w:t>le</w:t>
      </w:r>
      <w:r w:rsidRPr="00816C73">
        <w:rPr>
          <w:b/>
          <w:bCs/>
          <w:lang w:val="en-GB"/>
        </w:rPr>
        <w:t xml:space="preserve"> 2.</w:t>
      </w:r>
      <w:r w:rsidRPr="00816C73">
        <w:rPr>
          <w:lang w:val="en-GB"/>
        </w:rPr>
        <w:t xml:space="preserve"> </w:t>
      </w:r>
      <w:r>
        <w:rPr>
          <w:lang w:val="en-GB"/>
        </w:rPr>
        <w:t>cont.</w:t>
      </w: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1979"/>
        <w:gridCol w:w="1990"/>
        <w:gridCol w:w="2971"/>
      </w:tblGrid>
      <w:tr w:rsidR="006D72EF" w:rsidRPr="00816C73" w14:paraId="19885D73" w14:textId="77777777" w:rsidTr="00561D46">
        <w:trPr>
          <w:trHeight w:val="389"/>
        </w:trPr>
        <w:tc>
          <w:tcPr>
            <w:tcW w:w="2694" w:type="dxa"/>
            <w:vMerge w:val="restart"/>
            <w:shd w:val="clear" w:color="auto" w:fill="E7E6E6" w:themeFill="background2"/>
            <w:noWrap/>
            <w:vAlign w:val="center"/>
          </w:tcPr>
          <w:p w14:paraId="385DB42E" w14:textId="77777777" w:rsidR="006D72EF" w:rsidRPr="006D72EF" w:rsidRDefault="006D72EF" w:rsidP="00FA6EFD">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Stakeholders</w:t>
            </w:r>
          </w:p>
        </w:tc>
        <w:tc>
          <w:tcPr>
            <w:tcW w:w="6940" w:type="dxa"/>
            <w:gridSpan w:val="3"/>
            <w:shd w:val="clear" w:color="auto" w:fill="E7E6E6" w:themeFill="background2"/>
            <w:vAlign w:val="center"/>
          </w:tcPr>
          <w:p w14:paraId="7DD618F5" w14:textId="77777777" w:rsidR="006D72EF" w:rsidRPr="006D72EF" w:rsidRDefault="006D72EF" w:rsidP="00FA6EFD">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Expectations</w:t>
            </w:r>
          </w:p>
        </w:tc>
      </w:tr>
      <w:tr w:rsidR="006D72EF" w:rsidRPr="00816C73" w14:paraId="43F192FC" w14:textId="77777777" w:rsidTr="00561D46">
        <w:trPr>
          <w:trHeight w:val="600"/>
        </w:trPr>
        <w:tc>
          <w:tcPr>
            <w:tcW w:w="2694" w:type="dxa"/>
            <w:vMerge/>
            <w:tcBorders>
              <w:bottom w:val="nil"/>
            </w:tcBorders>
            <w:shd w:val="clear" w:color="auto" w:fill="E7E6E6" w:themeFill="background2"/>
            <w:noWrap/>
            <w:vAlign w:val="center"/>
            <w:hideMark/>
          </w:tcPr>
          <w:p w14:paraId="1F75D4BA" w14:textId="77777777" w:rsidR="006D72EF" w:rsidRPr="006D72EF" w:rsidRDefault="006D72EF" w:rsidP="00FA6EFD">
            <w:pPr>
              <w:spacing w:after="0" w:line="240" w:lineRule="auto"/>
              <w:jc w:val="center"/>
              <w:rPr>
                <w:rFonts w:ascii="Times New Roman" w:eastAsia="Times New Roman" w:hAnsi="Times New Roman" w:cs="Times New Roman"/>
                <w:kern w:val="0"/>
                <w:sz w:val="20"/>
                <w:szCs w:val="20"/>
                <w:lang w:val="en-GB" w:eastAsia="pl-PL"/>
                <w14:ligatures w14:val="none"/>
              </w:rPr>
            </w:pPr>
          </w:p>
        </w:tc>
        <w:tc>
          <w:tcPr>
            <w:tcW w:w="1979" w:type="dxa"/>
            <w:tcBorders>
              <w:bottom w:val="nil"/>
            </w:tcBorders>
            <w:shd w:val="clear" w:color="auto" w:fill="E7E6E6" w:themeFill="background2"/>
            <w:vAlign w:val="center"/>
            <w:hideMark/>
          </w:tcPr>
          <w:p w14:paraId="066EB625" w14:textId="77777777" w:rsidR="006D72EF" w:rsidRPr="006D72EF" w:rsidRDefault="006D72EF" w:rsidP="00FA6EFD">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proofErr w:type="spellStart"/>
            <w:r w:rsidRPr="006D72EF">
              <w:rPr>
                <w:rFonts w:ascii="Times New Roman" w:eastAsia="Times New Roman" w:hAnsi="Times New Roman" w:cs="Times New Roman"/>
                <w:color w:val="000000"/>
                <w:kern w:val="0"/>
                <w:sz w:val="20"/>
                <w:szCs w:val="20"/>
                <w:lang w:val="en-GB" w:eastAsia="pl-PL"/>
                <w14:ligatures w14:val="none"/>
              </w:rPr>
              <w:t>Enviromental</w:t>
            </w:r>
            <w:proofErr w:type="spellEnd"/>
          </w:p>
        </w:tc>
        <w:tc>
          <w:tcPr>
            <w:tcW w:w="1990" w:type="dxa"/>
            <w:tcBorders>
              <w:bottom w:val="nil"/>
            </w:tcBorders>
            <w:shd w:val="clear" w:color="auto" w:fill="E7E6E6" w:themeFill="background2"/>
            <w:vAlign w:val="center"/>
            <w:hideMark/>
          </w:tcPr>
          <w:p w14:paraId="604E635C" w14:textId="77777777" w:rsidR="006D72EF" w:rsidRPr="006D72EF" w:rsidRDefault="006D72EF" w:rsidP="00FA6EFD">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Social</w:t>
            </w:r>
          </w:p>
        </w:tc>
        <w:tc>
          <w:tcPr>
            <w:tcW w:w="2971" w:type="dxa"/>
            <w:tcBorders>
              <w:bottom w:val="nil"/>
            </w:tcBorders>
            <w:shd w:val="clear" w:color="auto" w:fill="E7E6E6" w:themeFill="background2"/>
            <w:vAlign w:val="center"/>
            <w:hideMark/>
          </w:tcPr>
          <w:p w14:paraId="3A46A9EC" w14:textId="77777777" w:rsidR="006D72EF" w:rsidRPr="006D72EF" w:rsidRDefault="006D72EF" w:rsidP="00FA6EFD">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proofErr w:type="spellStart"/>
            <w:r w:rsidRPr="006D72EF">
              <w:rPr>
                <w:rFonts w:ascii="Times New Roman" w:eastAsia="Times New Roman" w:hAnsi="Times New Roman" w:cs="Times New Roman"/>
                <w:color w:val="000000"/>
                <w:kern w:val="0"/>
                <w:sz w:val="20"/>
                <w:szCs w:val="20"/>
                <w:lang w:val="en-GB" w:eastAsia="pl-PL"/>
                <w14:ligatures w14:val="none"/>
              </w:rPr>
              <w:t>Govermental</w:t>
            </w:r>
            <w:proofErr w:type="spellEnd"/>
          </w:p>
        </w:tc>
      </w:tr>
    </w:tbl>
    <w:tbl>
      <w:tblPr>
        <w:tblW w:w="9794" w:type="dxa"/>
        <w:tblCellMar>
          <w:left w:w="70" w:type="dxa"/>
          <w:right w:w="70" w:type="dxa"/>
        </w:tblCellMar>
        <w:tblLook w:val="04A0" w:firstRow="1" w:lastRow="0" w:firstColumn="1" w:lastColumn="0" w:noHBand="0" w:noVBand="1"/>
      </w:tblPr>
      <w:tblGrid>
        <w:gridCol w:w="1072"/>
        <w:gridCol w:w="1622"/>
        <w:gridCol w:w="1979"/>
        <w:gridCol w:w="1990"/>
        <w:gridCol w:w="2971"/>
        <w:gridCol w:w="160"/>
      </w:tblGrid>
      <w:tr w:rsidR="0052150E" w:rsidRPr="00816C73" w14:paraId="6BD6E7E6" w14:textId="77777777" w:rsidTr="00561D46">
        <w:trPr>
          <w:trHeight w:val="1104"/>
        </w:trPr>
        <w:tc>
          <w:tcPr>
            <w:tcW w:w="1072" w:type="dxa"/>
            <w:vMerge w:val="restart"/>
            <w:tcBorders>
              <w:top w:val="single" w:sz="4" w:space="0" w:color="auto"/>
              <w:left w:val="single" w:sz="4" w:space="0" w:color="auto"/>
              <w:bottom w:val="single" w:sz="4" w:space="0" w:color="auto"/>
              <w:right w:val="single" w:sz="4" w:space="0" w:color="auto"/>
            </w:tcBorders>
            <w:shd w:val="clear" w:color="000000" w:fill="E8E8E8"/>
            <w:textDirection w:val="btLr"/>
            <w:vAlign w:val="center"/>
            <w:hideMark/>
          </w:tcPr>
          <w:p w14:paraId="4649B04A"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Internal stakeholders</w:t>
            </w:r>
          </w:p>
        </w:tc>
        <w:tc>
          <w:tcPr>
            <w:tcW w:w="1622"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3FCE106" w14:textId="18841F5A"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Management </w:t>
            </w:r>
            <w:r w:rsidR="00B44C88">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 xml:space="preserve">and </w:t>
            </w:r>
            <w:r w:rsidR="004919C5">
              <w:rPr>
                <w:rFonts w:ascii="Times New Roman" w:eastAsia="Times New Roman" w:hAnsi="Times New Roman" w:cs="Times New Roman"/>
                <w:color w:val="000000"/>
                <w:kern w:val="0"/>
                <w:sz w:val="20"/>
                <w:szCs w:val="20"/>
                <w:lang w:val="en-GB" w:eastAsia="pl-PL"/>
                <w14:ligatures w14:val="none"/>
              </w:rPr>
              <w:t xml:space="preserve">the </w:t>
            </w:r>
            <w:r w:rsidRPr="00816C73">
              <w:rPr>
                <w:rFonts w:ascii="Times New Roman" w:eastAsia="Times New Roman" w:hAnsi="Times New Roman" w:cs="Times New Roman"/>
                <w:color w:val="000000"/>
                <w:kern w:val="0"/>
                <w:sz w:val="20"/>
                <w:szCs w:val="20"/>
                <w:lang w:val="en-GB" w:eastAsia="pl-PL"/>
                <w14:ligatures w14:val="none"/>
              </w:rPr>
              <w:t>executive board</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67516A5C" w14:textId="52286CAB"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Reduction of environmental impacts and improvement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of energy efficiency</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96A3AB1" w14:textId="3C50E2B2"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B5A6806" w14:textId="1A587E8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Strategic risk management, stability, predictability, continuous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development</w:t>
            </w:r>
            <w:r w:rsidR="00AA523C" w:rsidRPr="00816C73">
              <w:rPr>
                <w:rFonts w:ascii="Times New Roman" w:eastAsia="Times New Roman" w:hAnsi="Times New Roman" w:cs="Times New Roman"/>
                <w:color w:val="000000"/>
                <w:kern w:val="0"/>
                <w:sz w:val="20"/>
                <w:szCs w:val="20"/>
                <w:lang w:val="en-GB" w:eastAsia="pl-PL"/>
                <w14:ligatures w14:val="none"/>
              </w:rPr>
              <w:t>,</w:t>
            </w:r>
            <w:r w:rsidRPr="00816C73">
              <w:rPr>
                <w:rFonts w:ascii="Times New Roman" w:eastAsia="Times New Roman" w:hAnsi="Times New Roman" w:cs="Times New Roman"/>
                <w:color w:val="000000"/>
                <w:kern w:val="0"/>
                <w:sz w:val="20"/>
                <w:szCs w:val="20"/>
                <w:lang w:val="en-GB" w:eastAsia="pl-PL"/>
                <w14:ligatures w14:val="none"/>
              </w:rPr>
              <w:t xml:space="preserve"> and operational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efficiency</w:t>
            </w:r>
          </w:p>
        </w:tc>
        <w:tc>
          <w:tcPr>
            <w:tcW w:w="160" w:type="dxa"/>
            <w:tcBorders>
              <w:left w:val="single" w:sz="4" w:space="0" w:color="auto"/>
            </w:tcBorders>
            <w:vAlign w:val="center"/>
            <w:hideMark/>
          </w:tcPr>
          <w:p w14:paraId="16559236"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431C9EB9" w14:textId="77777777" w:rsidTr="00561D46">
        <w:trPr>
          <w:trHeight w:val="600"/>
        </w:trPr>
        <w:tc>
          <w:tcPr>
            <w:tcW w:w="1072" w:type="dxa"/>
            <w:vMerge/>
            <w:tcBorders>
              <w:top w:val="single" w:sz="4" w:space="0" w:color="auto"/>
              <w:left w:val="single" w:sz="4" w:space="0" w:color="auto"/>
              <w:bottom w:val="single" w:sz="4" w:space="0" w:color="000000"/>
              <w:right w:val="single" w:sz="4" w:space="0" w:color="000000"/>
            </w:tcBorders>
            <w:vAlign w:val="center"/>
            <w:hideMark/>
          </w:tcPr>
          <w:p w14:paraId="2E8B4AEE"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tcBorders>
              <w:top w:val="single" w:sz="4" w:space="0" w:color="auto"/>
              <w:left w:val="nil"/>
              <w:bottom w:val="single" w:sz="4" w:space="0" w:color="auto"/>
              <w:right w:val="nil"/>
            </w:tcBorders>
            <w:shd w:val="clear" w:color="000000" w:fill="E8E8E8"/>
            <w:vAlign w:val="center"/>
            <w:hideMark/>
          </w:tcPr>
          <w:p w14:paraId="30C6675A"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Owners</w:t>
            </w:r>
          </w:p>
        </w:tc>
        <w:tc>
          <w:tcPr>
            <w:tcW w:w="1979" w:type="dxa"/>
            <w:vMerge/>
            <w:tcBorders>
              <w:top w:val="single" w:sz="4" w:space="0" w:color="auto"/>
              <w:left w:val="single" w:sz="4" w:space="0" w:color="auto"/>
              <w:bottom w:val="single" w:sz="4" w:space="0" w:color="000000"/>
              <w:right w:val="single" w:sz="4" w:space="0" w:color="auto"/>
            </w:tcBorders>
            <w:vAlign w:val="center"/>
            <w:hideMark/>
          </w:tcPr>
          <w:p w14:paraId="4677A7D5" w14:textId="77777777" w:rsidR="0052150E" w:rsidRPr="00816C73"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990" w:type="dxa"/>
            <w:tcBorders>
              <w:top w:val="single" w:sz="4" w:space="0" w:color="auto"/>
              <w:left w:val="nil"/>
              <w:bottom w:val="single" w:sz="4" w:space="0" w:color="auto"/>
              <w:right w:val="single" w:sz="4" w:space="0" w:color="auto"/>
            </w:tcBorders>
            <w:vAlign w:val="center"/>
            <w:hideMark/>
          </w:tcPr>
          <w:p w14:paraId="776E82CC" w14:textId="03B8E933"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single" w:sz="4" w:space="0" w:color="auto"/>
              <w:left w:val="nil"/>
              <w:bottom w:val="single" w:sz="4" w:space="0" w:color="auto"/>
              <w:right w:val="single" w:sz="4" w:space="0" w:color="auto"/>
            </w:tcBorders>
            <w:vAlign w:val="center"/>
            <w:hideMark/>
          </w:tcPr>
          <w:p w14:paraId="659CC5F1" w14:textId="4FFAB56B"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Value protection, risk minimization, </w:t>
            </w:r>
            <w:r w:rsidR="00AA523C" w:rsidRPr="00816C73">
              <w:rPr>
                <w:rFonts w:ascii="Times New Roman" w:eastAsia="Times New Roman" w:hAnsi="Times New Roman" w:cs="Times New Roman"/>
                <w:color w:val="000000"/>
                <w:kern w:val="0"/>
                <w:sz w:val="20"/>
                <w:szCs w:val="20"/>
                <w:lang w:val="en-GB" w:eastAsia="pl-PL"/>
                <w14:ligatures w14:val="none"/>
              </w:rPr>
              <w:t xml:space="preserve">and </w:t>
            </w:r>
            <w:r w:rsidRPr="00816C73">
              <w:rPr>
                <w:rFonts w:ascii="Times New Roman" w:eastAsia="Times New Roman" w:hAnsi="Times New Roman" w:cs="Times New Roman"/>
                <w:color w:val="000000"/>
                <w:kern w:val="0"/>
                <w:sz w:val="20"/>
                <w:szCs w:val="20"/>
                <w:lang w:val="en-GB" w:eastAsia="pl-PL"/>
                <w14:ligatures w14:val="none"/>
              </w:rPr>
              <w:t xml:space="preserve">long-term financial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stability</w:t>
            </w:r>
          </w:p>
        </w:tc>
        <w:tc>
          <w:tcPr>
            <w:tcW w:w="160" w:type="dxa"/>
            <w:vAlign w:val="center"/>
            <w:hideMark/>
          </w:tcPr>
          <w:p w14:paraId="4A6295E0"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012C7EEE" w14:textId="77777777" w:rsidTr="004919C5">
        <w:trPr>
          <w:trHeight w:val="996"/>
        </w:trPr>
        <w:tc>
          <w:tcPr>
            <w:tcW w:w="1072" w:type="dxa"/>
            <w:vMerge/>
            <w:tcBorders>
              <w:top w:val="single" w:sz="4" w:space="0" w:color="auto"/>
              <w:left w:val="single" w:sz="4" w:space="0" w:color="auto"/>
              <w:bottom w:val="single" w:sz="4" w:space="0" w:color="000000"/>
              <w:right w:val="single" w:sz="4" w:space="0" w:color="000000"/>
            </w:tcBorders>
            <w:vAlign w:val="center"/>
            <w:hideMark/>
          </w:tcPr>
          <w:p w14:paraId="3C01EBB6"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30BC6A0D"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Employees</w:t>
            </w:r>
          </w:p>
        </w:tc>
        <w:tc>
          <w:tcPr>
            <w:tcW w:w="1979" w:type="dxa"/>
            <w:tcBorders>
              <w:top w:val="nil"/>
              <w:left w:val="single" w:sz="4" w:space="0" w:color="auto"/>
              <w:bottom w:val="single" w:sz="4" w:space="0" w:color="auto"/>
              <w:right w:val="single" w:sz="4" w:space="0" w:color="auto"/>
            </w:tcBorders>
            <w:vAlign w:val="center"/>
            <w:hideMark/>
          </w:tcPr>
          <w:p w14:paraId="473D52C2" w14:textId="3C6D2FC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1990" w:type="dxa"/>
            <w:tcBorders>
              <w:top w:val="nil"/>
              <w:left w:val="nil"/>
              <w:bottom w:val="single" w:sz="4" w:space="0" w:color="auto"/>
              <w:right w:val="single" w:sz="4" w:space="0" w:color="auto"/>
            </w:tcBorders>
            <w:vAlign w:val="center"/>
            <w:hideMark/>
          </w:tcPr>
          <w:p w14:paraId="169CB4BF" w14:textId="47EA99D8"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Stable employment, safe working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 xml:space="preserve">conditions, decent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remuneration</w:t>
            </w:r>
          </w:p>
        </w:tc>
        <w:tc>
          <w:tcPr>
            <w:tcW w:w="2971" w:type="dxa"/>
            <w:tcBorders>
              <w:top w:val="nil"/>
              <w:left w:val="nil"/>
              <w:bottom w:val="single" w:sz="4" w:space="0" w:color="auto"/>
              <w:right w:val="single" w:sz="4" w:space="0" w:color="auto"/>
            </w:tcBorders>
            <w:vAlign w:val="center"/>
            <w:hideMark/>
          </w:tcPr>
          <w:p w14:paraId="14CEB5D1" w14:textId="600EA26F"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Ethical conduct and transparency, transparent remuneration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principles</w:t>
            </w:r>
          </w:p>
        </w:tc>
        <w:tc>
          <w:tcPr>
            <w:tcW w:w="160" w:type="dxa"/>
            <w:vAlign w:val="center"/>
            <w:hideMark/>
          </w:tcPr>
          <w:p w14:paraId="5921CFC4"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0EF1F32D" w14:textId="77777777" w:rsidTr="004919C5">
        <w:trPr>
          <w:trHeight w:val="138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230E1314" w14:textId="77777777" w:rsidR="0052150E" w:rsidRPr="006D72EF" w:rsidRDefault="0052150E" w:rsidP="00626DF0">
            <w:pPr>
              <w:spacing w:after="0" w:line="240" w:lineRule="auto"/>
              <w:rPr>
                <w:rFonts w:ascii="Times New Roman" w:eastAsia="Times New Roman" w:hAnsi="Times New Roman" w:cs="Times New Roman"/>
                <w:color w:val="000000"/>
                <w:kern w:val="0"/>
                <w:sz w:val="20"/>
                <w:szCs w:val="20"/>
                <w:lang w:val="en-GB" w:eastAsia="pl-PL"/>
                <w14:ligatures w14:val="none"/>
              </w:rPr>
            </w:pPr>
          </w:p>
        </w:tc>
        <w:tc>
          <w:tcPr>
            <w:tcW w:w="1622"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6DFEBCF5" w14:textId="704D6CA1"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Employee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representatives</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0A3EE69" w14:textId="6EE03D80"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BFE2DDB"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Willingness to engage in dialogue, stable employment, safe working conditions, decent remuneration,</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131D9C4" w14:textId="2C7A70FD"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Ethical conduct and transparency, transparent remuneration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principles</w:t>
            </w:r>
          </w:p>
        </w:tc>
        <w:tc>
          <w:tcPr>
            <w:tcW w:w="160" w:type="dxa"/>
            <w:tcBorders>
              <w:left w:val="single" w:sz="4" w:space="0" w:color="auto"/>
            </w:tcBorders>
            <w:vAlign w:val="center"/>
            <w:hideMark/>
          </w:tcPr>
          <w:p w14:paraId="607BF850"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760D8EE9" w14:textId="77777777" w:rsidTr="004919C5">
        <w:trPr>
          <w:trHeight w:val="1104"/>
        </w:trPr>
        <w:tc>
          <w:tcPr>
            <w:tcW w:w="1072" w:type="dxa"/>
            <w:vMerge w:val="restart"/>
            <w:tcBorders>
              <w:top w:val="single" w:sz="4" w:space="0" w:color="auto"/>
              <w:left w:val="single" w:sz="4" w:space="0" w:color="auto"/>
              <w:bottom w:val="single" w:sz="4" w:space="0" w:color="000000"/>
              <w:right w:val="single" w:sz="4" w:space="0" w:color="auto"/>
            </w:tcBorders>
            <w:shd w:val="clear" w:color="000000" w:fill="E8E8E8"/>
            <w:textDirection w:val="btLr"/>
            <w:vAlign w:val="center"/>
            <w:hideMark/>
          </w:tcPr>
          <w:p w14:paraId="730ABE37" w14:textId="77777777" w:rsidR="0052150E" w:rsidRPr="006D72EF"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6D72EF">
              <w:rPr>
                <w:rFonts w:ascii="Times New Roman" w:eastAsia="Times New Roman" w:hAnsi="Times New Roman" w:cs="Times New Roman"/>
                <w:color w:val="000000"/>
                <w:kern w:val="0"/>
                <w:sz w:val="20"/>
                <w:szCs w:val="20"/>
                <w:lang w:val="en-GB" w:eastAsia="pl-PL"/>
                <w14:ligatures w14:val="none"/>
              </w:rPr>
              <w:t>Governance stakeholders</w:t>
            </w:r>
          </w:p>
        </w:tc>
        <w:tc>
          <w:tcPr>
            <w:tcW w:w="1622" w:type="dxa"/>
            <w:tcBorders>
              <w:top w:val="single" w:sz="4" w:space="0" w:color="auto"/>
              <w:left w:val="single" w:sz="4" w:space="0" w:color="auto"/>
              <w:bottom w:val="single" w:sz="4" w:space="0" w:color="auto"/>
              <w:right w:val="nil"/>
            </w:tcBorders>
            <w:shd w:val="clear" w:color="000000" w:fill="E8E8E8"/>
            <w:vAlign w:val="center"/>
            <w:hideMark/>
          </w:tcPr>
          <w:p w14:paraId="7E303F02" w14:textId="2F64ACB0"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Government </w:t>
            </w:r>
            <w:r w:rsidR="00B44C88">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administration</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BEE39D2" w14:textId="380F9AF5"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Achievement of climate policy objectives, improvement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of energy efficiency</w:t>
            </w:r>
          </w:p>
        </w:tc>
        <w:tc>
          <w:tcPr>
            <w:tcW w:w="1990" w:type="dxa"/>
            <w:tcBorders>
              <w:top w:val="single" w:sz="4" w:space="0" w:color="auto"/>
              <w:left w:val="nil"/>
              <w:bottom w:val="single" w:sz="4" w:space="0" w:color="auto"/>
              <w:right w:val="single" w:sz="4" w:space="0" w:color="auto"/>
            </w:tcBorders>
            <w:vAlign w:val="center"/>
            <w:hideMark/>
          </w:tcPr>
          <w:p w14:paraId="1D2CFE24" w14:textId="5B551FAB"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single" w:sz="4" w:space="0" w:color="auto"/>
              <w:left w:val="nil"/>
              <w:bottom w:val="single" w:sz="4" w:space="0" w:color="auto"/>
              <w:right w:val="single" w:sz="4" w:space="0" w:color="auto"/>
            </w:tcBorders>
            <w:vAlign w:val="center"/>
            <w:hideMark/>
          </w:tcPr>
          <w:p w14:paraId="621E5E2D"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Regulatory and legal compliance, continuous development </w:t>
            </w:r>
          </w:p>
        </w:tc>
        <w:tc>
          <w:tcPr>
            <w:tcW w:w="160" w:type="dxa"/>
            <w:vAlign w:val="center"/>
            <w:hideMark/>
          </w:tcPr>
          <w:p w14:paraId="420FDFE8"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45680390" w14:textId="77777777" w:rsidTr="004919C5">
        <w:trPr>
          <w:trHeight w:val="1092"/>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0130735D"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single" w:sz="4" w:space="0" w:color="auto"/>
              <w:left w:val="single" w:sz="4" w:space="0" w:color="auto"/>
              <w:bottom w:val="single" w:sz="4" w:space="0" w:color="auto"/>
              <w:right w:val="nil"/>
            </w:tcBorders>
            <w:shd w:val="clear" w:color="000000" w:fill="E8E8E8"/>
            <w:vAlign w:val="center"/>
            <w:hideMark/>
          </w:tcPr>
          <w:p w14:paraId="3AC66DDC"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Local authorities</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97157CE" w14:textId="6137E316"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Reduction of environmental impacts and improvement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of energy efficiency</w:t>
            </w:r>
          </w:p>
        </w:tc>
        <w:tc>
          <w:tcPr>
            <w:tcW w:w="1990" w:type="dxa"/>
            <w:tcBorders>
              <w:top w:val="single" w:sz="4" w:space="0" w:color="auto"/>
              <w:left w:val="nil"/>
              <w:bottom w:val="single" w:sz="4" w:space="0" w:color="auto"/>
              <w:right w:val="single" w:sz="4" w:space="0" w:color="auto"/>
            </w:tcBorders>
            <w:vAlign w:val="center"/>
            <w:hideMark/>
          </w:tcPr>
          <w:p w14:paraId="3C4258B2" w14:textId="7F063849"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Cooperation, compliance with spatial planning, </w:t>
            </w:r>
            <w:r w:rsidR="00AA523C" w:rsidRPr="00816C73">
              <w:rPr>
                <w:rFonts w:ascii="Times New Roman" w:eastAsia="Times New Roman" w:hAnsi="Times New Roman" w:cs="Times New Roman"/>
                <w:color w:val="000000"/>
                <w:kern w:val="0"/>
                <w:sz w:val="20"/>
                <w:szCs w:val="20"/>
                <w:lang w:val="en-GB" w:eastAsia="pl-PL"/>
                <w14:ligatures w14:val="none"/>
              </w:rPr>
              <w:t xml:space="preserve">and </w:t>
            </w:r>
            <w:r w:rsidRPr="00816C73">
              <w:rPr>
                <w:rFonts w:ascii="Times New Roman" w:eastAsia="Times New Roman" w:hAnsi="Times New Roman" w:cs="Times New Roman"/>
                <w:color w:val="000000"/>
                <w:kern w:val="0"/>
                <w:sz w:val="20"/>
                <w:szCs w:val="20"/>
                <w:lang w:val="en-GB" w:eastAsia="pl-PL"/>
                <w14:ligatures w14:val="none"/>
              </w:rPr>
              <w:t>support for local social initiatives</w:t>
            </w:r>
          </w:p>
        </w:tc>
        <w:tc>
          <w:tcPr>
            <w:tcW w:w="2971" w:type="dxa"/>
            <w:tcBorders>
              <w:top w:val="single" w:sz="4" w:space="0" w:color="auto"/>
              <w:left w:val="nil"/>
              <w:bottom w:val="single" w:sz="4" w:space="0" w:color="auto"/>
              <w:right w:val="single" w:sz="4" w:space="0" w:color="auto"/>
            </w:tcBorders>
            <w:vAlign w:val="center"/>
            <w:hideMark/>
          </w:tcPr>
          <w:p w14:paraId="58517CDA"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Regulatory and legal compliance, transparency</w:t>
            </w:r>
          </w:p>
        </w:tc>
        <w:tc>
          <w:tcPr>
            <w:tcW w:w="160" w:type="dxa"/>
            <w:vAlign w:val="center"/>
            <w:hideMark/>
          </w:tcPr>
          <w:p w14:paraId="492FAF61"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13B668F8" w14:textId="77777777" w:rsidTr="004919C5">
        <w:trPr>
          <w:trHeight w:val="60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425D97A9"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single" w:sz="4" w:space="0" w:color="auto"/>
              <w:left w:val="single" w:sz="4" w:space="0" w:color="auto"/>
              <w:bottom w:val="single" w:sz="4" w:space="0" w:color="auto"/>
              <w:right w:val="nil"/>
            </w:tcBorders>
            <w:shd w:val="clear" w:color="000000" w:fill="E8E8E8"/>
            <w:vAlign w:val="center"/>
            <w:hideMark/>
          </w:tcPr>
          <w:p w14:paraId="1B8FFAE6" w14:textId="27C4E685"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Regulatory </w:t>
            </w:r>
            <w:r w:rsidR="00B44C88">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authorities</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D990E7C"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Achievement of climate policy objectives</w:t>
            </w:r>
          </w:p>
        </w:tc>
        <w:tc>
          <w:tcPr>
            <w:tcW w:w="1990" w:type="dxa"/>
            <w:tcBorders>
              <w:top w:val="single" w:sz="4" w:space="0" w:color="auto"/>
              <w:left w:val="nil"/>
              <w:bottom w:val="single" w:sz="4" w:space="0" w:color="auto"/>
              <w:right w:val="single" w:sz="4" w:space="0" w:color="auto"/>
            </w:tcBorders>
            <w:vAlign w:val="center"/>
            <w:hideMark/>
          </w:tcPr>
          <w:p w14:paraId="73CDAF71" w14:textId="6171A625"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single" w:sz="4" w:space="0" w:color="auto"/>
              <w:left w:val="nil"/>
              <w:bottom w:val="single" w:sz="4" w:space="0" w:color="auto"/>
              <w:right w:val="single" w:sz="4" w:space="0" w:color="auto"/>
            </w:tcBorders>
            <w:vAlign w:val="center"/>
            <w:hideMark/>
          </w:tcPr>
          <w:p w14:paraId="34D080C1"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Regulatory and legal compliance</w:t>
            </w:r>
          </w:p>
        </w:tc>
        <w:tc>
          <w:tcPr>
            <w:tcW w:w="160" w:type="dxa"/>
            <w:vAlign w:val="center"/>
            <w:hideMark/>
          </w:tcPr>
          <w:p w14:paraId="3DE84BF2"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530072B4" w14:textId="77777777" w:rsidTr="004919C5">
        <w:trPr>
          <w:trHeight w:val="600"/>
        </w:trPr>
        <w:tc>
          <w:tcPr>
            <w:tcW w:w="1072" w:type="dxa"/>
            <w:vMerge/>
            <w:tcBorders>
              <w:top w:val="single" w:sz="4" w:space="0" w:color="auto"/>
              <w:left w:val="single" w:sz="4" w:space="0" w:color="auto"/>
              <w:bottom w:val="single" w:sz="4" w:space="0" w:color="000000"/>
              <w:right w:val="single" w:sz="4" w:space="0" w:color="000000"/>
            </w:tcBorders>
            <w:vAlign w:val="center"/>
            <w:hideMark/>
          </w:tcPr>
          <w:p w14:paraId="57E5B4B4"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22524997" w14:textId="47CC3A6F"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Supervisory </w:t>
            </w:r>
            <w:r w:rsidR="00B44C88">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bodies</w:t>
            </w:r>
          </w:p>
        </w:tc>
        <w:tc>
          <w:tcPr>
            <w:tcW w:w="1979" w:type="dxa"/>
            <w:tcBorders>
              <w:top w:val="nil"/>
              <w:left w:val="single" w:sz="4" w:space="0" w:color="auto"/>
              <w:bottom w:val="single" w:sz="4" w:space="0" w:color="auto"/>
              <w:right w:val="single" w:sz="4" w:space="0" w:color="auto"/>
            </w:tcBorders>
            <w:vAlign w:val="center"/>
            <w:hideMark/>
          </w:tcPr>
          <w:p w14:paraId="49DDE46C" w14:textId="7AECC1C1"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1990" w:type="dxa"/>
            <w:tcBorders>
              <w:top w:val="nil"/>
              <w:left w:val="nil"/>
              <w:bottom w:val="single" w:sz="4" w:space="0" w:color="auto"/>
              <w:right w:val="single" w:sz="4" w:space="0" w:color="auto"/>
            </w:tcBorders>
            <w:vAlign w:val="center"/>
            <w:hideMark/>
          </w:tcPr>
          <w:p w14:paraId="6090D069" w14:textId="6FDE1F34"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w:t>
            </w:r>
          </w:p>
        </w:tc>
        <w:tc>
          <w:tcPr>
            <w:tcW w:w="2971" w:type="dxa"/>
            <w:tcBorders>
              <w:top w:val="nil"/>
              <w:left w:val="nil"/>
              <w:bottom w:val="single" w:sz="4" w:space="0" w:color="auto"/>
              <w:right w:val="single" w:sz="4" w:space="0" w:color="auto"/>
            </w:tcBorders>
            <w:vAlign w:val="center"/>
            <w:hideMark/>
          </w:tcPr>
          <w:p w14:paraId="2E98296F"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Regulatory and legal compliance, transparency</w:t>
            </w:r>
          </w:p>
        </w:tc>
        <w:tc>
          <w:tcPr>
            <w:tcW w:w="160" w:type="dxa"/>
            <w:vAlign w:val="center"/>
            <w:hideMark/>
          </w:tcPr>
          <w:p w14:paraId="1E7A4046"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r w:rsidR="0052150E" w:rsidRPr="00816C73" w14:paraId="71494A34" w14:textId="77777777" w:rsidTr="004919C5">
        <w:trPr>
          <w:trHeight w:val="828"/>
        </w:trPr>
        <w:tc>
          <w:tcPr>
            <w:tcW w:w="1072" w:type="dxa"/>
            <w:vMerge/>
            <w:tcBorders>
              <w:top w:val="single" w:sz="4" w:space="0" w:color="auto"/>
              <w:left w:val="single" w:sz="4" w:space="0" w:color="auto"/>
              <w:bottom w:val="single" w:sz="4" w:space="0" w:color="000000"/>
              <w:right w:val="single" w:sz="4" w:space="0" w:color="000000"/>
            </w:tcBorders>
            <w:vAlign w:val="center"/>
            <w:hideMark/>
          </w:tcPr>
          <w:p w14:paraId="533D42D9" w14:textId="77777777" w:rsidR="0052150E" w:rsidRPr="00816C73" w:rsidRDefault="0052150E" w:rsidP="00626DF0">
            <w:pPr>
              <w:spacing w:after="0" w:line="240" w:lineRule="auto"/>
              <w:rPr>
                <w:rFonts w:ascii="Times New Roman" w:eastAsia="Times New Roman" w:hAnsi="Times New Roman" w:cs="Times New Roman"/>
                <w:b/>
                <w:bCs/>
                <w:color w:val="000000"/>
                <w:kern w:val="0"/>
                <w:sz w:val="20"/>
                <w:szCs w:val="20"/>
                <w:lang w:val="en-GB" w:eastAsia="pl-PL"/>
                <w14:ligatures w14:val="none"/>
              </w:rPr>
            </w:pPr>
          </w:p>
        </w:tc>
        <w:tc>
          <w:tcPr>
            <w:tcW w:w="1622" w:type="dxa"/>
            <w:tcBorders>
              <w:top w:val="nil"/>
              <w:left w:val="nil"/>
              <w:bottom w:val="single" w:sz="4" w:space="0" w:color="auto"/>
              <w:right w:val="nil"/>
            </w:tcBorders>
            <w:shd w:val="clear" w:color="000000" w:fill="E8E8E8"/>
            <w:vAlign w:val="center"/>
            <w:hideMark/>
          </w:tcPr>
          <w:p w14:paraId="703A6867"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Public infrastructure managers</w:t>
            </w:r>
          </w:p>
        </w:tc>
        <w:tc>
          <w:tcPr>
            <w:tcW w:w="1979" w:type="dxa"/>
            <w:tcBorders>
              <w:top w:val="nil"/>
              <w:left w:val="single" w:sz="4" w:space="0" w:color="auto"/>
              <w:bottom w:val="single" w:sz="4" w:space="0" w:color="auto"/>
              <w:right w:val="single" w:sz="4" w:space="0" w:color="auto"/>
            </w:tcBorders>
            <w:vAlign w:val="center"/>
            <w:hideMark/>
          </w:tcPr>
          <w:p w14:paraId="0BC43500" w14:textId="335452A1"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Reduction of environmental impacts of </w:t>
            </w:r>
            <w:r w:rsidR="00AA523C" w:rsidRPr="00816C73">
              <w:rPr>
                <w:rFonts w:ascii="Times New Roman" w:eastAsia="Times New Roman" w:hAnsi="Times New Roman" w:cs="Times New Roman"/>
                <w:color w:val="000000"/>
                <w:kern w:val="0"/>
                <w:sz w:val="20"/>
                <w:szCs w:val="20"/>
                <w:lang w:val="en-GB" w:eastAsia="pl-PL"/>
                <w14:ligatures w14:val="none"/>
              </w:rPr>
              <w:t xml:space="preserve">the </w:t>
            </w:r>
            <w:r w:rsidRPr="00816C73">
              <w:rPr>
                <w:rFonts w:ascii="Times New Roman" w:eastAsia="Times New Roman" w:hAnsi="Times New Roman" w:cs="Times New Roman"/>
                <w:color w:val="000000"/>
                <w:kern w:val="0"/>
                <w:sz w:val="20"/>
                <w:szCs w:val="20"/>
                <w:lang w:val="en-GB" w:eastAsia="pl-PL"/>
                <w14:ligatures w14:val="none"/>
              </w:rPr>
              <w:t>transport sector</w:t>
            </w:r>
          </w:p>
        </w:tc>
        <w:tc>
          <w:tcPr>
            <w:tcW w:w="1990" w:type="dxa"/>
            <w:tcBorders>
              <w:top w:val="nil"/>
              <w:left w:val="nil"/>
              <w:bottom w:val="single" w:sz="4" w:space="0" w:color="auto"/>
              <w:right w:val="single" w:sz="4" w:space="0" w:color="auto"/>
            </w:tcBorders>
            <w:vAlign w:val="center"/>
            <w:hideMark/>
          </w:tcPr>
          <w:p w14:paraId="013204F7" w14:textId="77777777"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Reduction of traffic congestion</w:t>
            </w:r>
          </w:p>
        </w:tc>
        <w:tc>
          <w:tcPr>
            <w:tcW w:w="2971" w:type="dxa"/>
            <w:tcBorders>
              <w:top w:val="nil"/>
              <w:left w:val="nil"/>
              <w:bottom w:val="single" w:sz="4" w:space="0" w:color="auto"/>
              <w:right w:val="single" w:sz="4" w:space="0" w:color="auto"/>
            </w:tcBorders>
            <w:vAlign w:val="center"/>
            <w:hideMark/>
          </w:tcPr>
          <w:p w14:paraId="76F5218A" w14:textId="654D4AB5" w:rsidR="0052150E" w:rsidRPr="00816C73" w:rsidRDefault="0052150E" w:rsidP="00626DF0">
            <w:pPr>
              <w:spacing w:after="0" w:line="240" w:lineRule="auto"/>
              <w:jc w:val="center"/>
              <w:rPr>
                <w:rFonts w:ascii="Times New Roman" w:eastAsia="Times New Roman" w:hAnsi="Times New Roman" w:cs="Times New Roman"/>
                <w:color w:val="000000"/>
                <w:kern w:val="0"/>
                <w:sz w:val="20"/>
                <w:szCs w:val="20"/>
                <w:lang w:val="en-GB" w:eastAsia="pl-PL"/>
                <w14:ligatures w14:val="none"/>
              </w:rPr>
            </w:pPr>
            <w:r w:rsidRPr="00816C73">
              <w:rPr>
                <w:rFonts w:ascii="Times New Roman" w:eastAsia="Times New Roman" w:hAnsi="Times New Roman" w:cs="Times New Roman"/>
                <w:color w:val="000000"/>
                <w:kern w:val="0"/>
                <w:sz w:val="20"/>
                <w:szCs w:val="20"/>
                <w:lang w:val="en-GB" w:eastAsia="pl-PL"/>
                <w14:ligatures w14:val="none"/>
              </w:rPr>
              <w:t xml:space="preserve">Compliance with infrastructure </w:t>
            </w:r>
            <w:r w:rsidR="00ED23A6">
              <w:rPr>
                <w:rFonts w:ascii="Times New Roman" w:eastAsia="Times New Roman" w:hAnsi="Times New Roman" w:cs="Times New Roman"/>
                <w:color w:val="000000"/>
                <w:kern w:val="0"/>
                <w:sz w:val="20"/>
                <w:szCs w:val="20"/>
                <w:lang w:val="en-GB" w:eastAsia="pl-PL"/>
                <w14:ligatures w14:val="none"/>
              </w:rPr>
              <w:br/>
            </w:r>
            <w:r w:rsidRPr="00816C73">
              <w:rPr>
                <w:rFonts w:ascii="Times New Roman" w:eastAsia="Times New Roman" w:hAnsi="Times New Roman" w:cs="Times New Roman"/>
                <w:color w:val="000000"/>
                <w:kern w:val="0"/>
                <w:sz w:val="20"/>
                <w:szCs w:val="20"/>
                <w:lang w:val="en-GB" w:eastAsia="pl-PL"/>
                <w14:ligatures w14:val="none"/>
              </w:rPr>
              <w:t>usage rules</w:t>
            </w:r>
          </w:p>
        </w:tc>
        <w:tc>
          <w:tcPr>
            <w:tcW w:w="160" w:type="dxa"/>
            <w:vAlign w:val="center"/>
            <w:hideMark/>
          </w:tcPr>
          <w:p w14:paraId="3514929C" w14:textId="77777777" w:rsidR="0052150E" w:rsidRPr="00816C73" w:rsidRDefault="0052150E" w:rsidP="00626DF0">
            <w:pPr>
              <w:spacing w:after="0" w:line="240" w:lineRule="auto"/>
              <w:rPr>
                <w:rFonts w:ascii="Times New Roman" w:eastAsia="Times New Roman" w:hAnsi="Times New Roman" w:cs="Times New Roman"/>
                <w:kern w:val="0"/>
                <w:sz w:val="20"/>
                <w:szCs w:val="20"/>
                <w:lang w:val="en-GB" w:eastAsia="pl-PL"/>
                <w14:ligatures w14:val="none"/>
              </w:rPr>
            </w:pPr>
          </w:p>
        </w:tc>
      </w:tr>
    </w:tbl>
    <w:p w14:paraId="5B5ED268" w14:textId="77777777" w:rsidR="00B44C88" w:rsidRDefault="00B44C88" w:rsidP="00B44C88">
      <w:pPr>
        <w:spacing w:after="0" w:line="240" w:lineRule="auto"/>
        <w:ind w:firstLine="284"/>
        <w:jc w:val="both"/>
        <w:rPr>
          <w:rFonts w:ascii="Times New Roman" w:hAnsi="Times New Roman" w:cs="Times New Roman"/>
          <w:lang w:val="en-GB"/>
        </w:rPr>
      </w:pPr>
    </w:p>
    <w:p w14:paraId="0CEF3874" w14:textId="0C86DFC9" w:rsidR="00B44C88" w:rsidRPr="00816C73" w:rsidRDefault="00B44C88" w:rsidP="00B44C8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For entities classified as logistics service providers, stakeholder expectations encompass all three ESG pillars. In the environmental dimension, particular importance is attached to reducing the negative impacts of transport and warehousing activities on the natural environment. These expectations </w:t>
      </w:r>
      <w:r w:rsidR="004919C5">
        <w:rPr>
          <w:rFonts w:ascii="Times New Roman" w:hAnsi="Times New Roman" w:cs="Times New Roman"/>
          <w:lang w:val="en-GB"/>
        </w:rPr>
        <w:t>primarily relate to reducing</w:t>
      </w:r>
      <w:r w:rsidRPr="00816C73">
        <w:rPr>
          <w:rFonts w:ascii="Times New Roman" w:hAnsi="Times New Roman" w:cs="Times New Roman"/>
          <w:lang w:val="en-GB"/>
        </w:rPr>
        <w:t xml:space="preserve"> greenhouse gas emissions, noise, and vibrations generated by transport operations. Responses to these challenges include investments in low- and zero-emission vehicles, optimis</w:t>
      </w:r>
      <w:r w:rsidR="004919C5">
        <w:rPr>
          <w:rFonts w:ascii="Times New Roman" w:hAnsi="Times New Roman" w:cs="Times New Roman"/>
          <w:lang w:val="en-GB"/>
        </w:rPr>
        <w:t>ing transport routes, and implementing solutions to improve</w:t>
      </w:r>
      <w:r w:rsidRPr="00816C73">
        <w:rPr>
          <w:rFonts w:ascii="Times New Roman" w:hAnsi="Times New Roman" w:cs="Times New Roman"/>
          <w:lang w:val="en-GB"/>
        </w:rPr>
        <w:t xml:space="preserve"> the energy efficiency of logistics processes.</w:t>
      </w:r>
    </w:p>
    <w:p w14:paraId="505574CF" w14:textId="77777777" w:rsidR="00B44C88" w:rsidRPr="00816C73" w:rsidRDefault="00B44C88" w:rsidP="00B44C8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In the social dimension, logistics service providers expect realistic and predictable operational requirements, such as advance notification of order schedules. Placing orders with sufficient lead time enables carriers and logistics operators to plan work effectively, allocate resources appropriately, and ensure safe and legally compliant working conditions. It should be emphasised that excessive time pressure and unrealistic operational demands may directly contribute to the deterioration of working conditions and the safety of employees engaged by these entities.</w:t>
      </w:r>
    </w:p>
    <w:p w14:paraId="067D3B44" w14:textId="1C7F508A" w:rsidR="009A7942" w:rsidRPr="00816C73" w:rsidRDefault="009A7942" w:rsidP="00B44C88">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From a governance perspective, the expectations of logistics service providers focus on the stability and predictability of cooperation, a clear allocation of responsibilities for individual processes, and transparent financial settlement rules, including timely payments. Meeting these expectations requires </w:t>
      </w:r>
      <w:r w:rsidR="004919C5">
        <w:rPr>
          <w:rFonts w:ascii="Times New Roman" w:hAnsi="Times New Roman" w:cs="Times New Roman"/>
          <w:lang w:val="en-GB"/>
        </w:rPr>
        <w:t>applying high management standards, transparent contractual procedures, and consistent adherence to the</w:t>
      </w:r>
      <w:r w:rsidRPr="00816C73">
        <w:rPr>
          <w:rFonts w:ascii="Times New Roman" w:hAnsi="Times New Roman" w:cs="Times New Roman"/>
          <w:lang w:val="en-GB"/>
        </w:rPr>
        <w:t xml:space="preserve"> principles of corporate governance.</w:t>
      </w:r>
    </w:p>
    <w:p w14:paraId="0D5759B3" w14:textId="7CA576F7" w:rsidR="009A7942" w:rsidRPr="00816C73" w:rsidRDefault="00AA523C"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lastRenderedPageBreak/>
        <w:t>Providers of business support services, such as technology suppliers and digital solution providers, financial institutions, and insurance companies, articulate similar expectations</w:t>
      </w:r>
      <w:r w:rsidR="009A7942" w:rsidRPr="00816C73">
        <w:rPr>
          <w:rFonts w:ascii="Times New Roman" w:hAnsi="Times New Roman" w:cs="Times New Roman"/>
          <w:lang w:val="en-GB"/>
        </w:rPr>
        <w:t xml:space="preserve">. For this group, the stability of business relationships and the predictability of corporate actions are </w:t>
      </w:r>
      <w:r w:rsidR="004919C5">
        <w:rPr>
          <w:rFonts w:ascii="Times New Roman" w:hAnsi="Times New Roman" w:cs="Times New Roman"/>
          <w:lang w:val="en-GB"/>
        </w:rPr>
        <w:t>crucial</w:t>
      </w:r>
      <w:r w:rsidR="009A7942" w:rsidRPr="00816C73">
        <w:rPr>
          <w:rFonts w:ascii="Times New Roman" w:hAnsi="Times New Roman" w:cs="Times New Roman"/>
          <w:lang w:val="en-GB"/>
        </w:rPr>
        <w:t>. In the case of financial and insurance institutions, active management of operational, financial, and governance-related risks also plays a crucial role, as it directly influences assessments of corporate credibility and the terms under which financing and insurance coverage are provided.</w:t>
      </w:r>
    </w:p>
    <w:p w14:paraId="3D65FAB3" w14:textId="79063D4B" w:rsidR="00BE6BDC" w:rsidRPr="00816C73" w:rsidRDefault="00BE6BDC"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Another </w:t>
      </w:r>
      <w:r w:rsidR="004919C5">
        <w:rPr>
          <w:rFonts w:ascii="Times New Roman" w:hAnsi="Times New Roman" w:cs="Times New Roman"/>
          <w:lang w:val="en-GB"/>
        </w:rPr>
        <w:t>essential</w:t>
      </w:r>
      <w:r w:rsidRPr="00816C73">
        <w:rPr>
          <w:rFonts w:ascii="Times New Roman" w:hAnsi="Times New Roman" w:cs="Times New Roman"/>
          <w:lang w:val="en-GB"/>
        </w:rPr>
        <w:t xml:space="preserve"> stakeholder group comprises market stakeholders, including both individual and business customers of products and services. From their perspective, the competitiveness of the offer, its transparency, and the clarity of cooperation terms are of primary importance. Delivery reliability and the stability of business relationships are particularly critical for business customers and e-commerce platforms, for whom operational continuity is a prerequisite for conducting business activities. At the same time, environmental expectations are gaining increasing relevance, especially those related to the production and distribution of goods in </w:t>
      </w:r>
      <w:r w:rsidR="004919C5">
        <w:rPr>
          <w:rFonts w:ascii="Times New Roman" w:hAnsi="Times New Roman" w:cs="Times New Roman"/>
          <w:lang w:val="en-GB"/>
        </w:rPr>
        <w:t>ways that limit negative environmental impacts, including reductions in</w:t>
      </w:r>
      <w:r w:rsidRPr="00816C73">
        <w:rPr>
          <w:rFonts w:ascii="Times New Roman" w:hAnsi="Times New Roman" w:cs="Times New Roman"/>
          <w:lang w:val="en-GB"/>
        </w:rPr>
        <w:t xml:space="preserve"> greenhouse gas emissions.</w:t>
      </w:r>
    </w:p>
    <w:p w14:paraId="0C4F762E" w14:textId="513F0365" w:rsidR="00BE6BDC" w:rsidRPr="00816C73" w:rsidRDefault="00BE6BDC"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Affected stakeholders</w:t>
      </w:r>
      <w:r w:rsidR="00AA523C" w:rsidRPr="00816C73">
        <w:rPr>
          <w:rFonts w:ascii="Times New Roman" w:hAnsi="Times New Roman" w:cs="Times New Roman"/>
          <w:lang w:val="en-GB"/>
        </w:rPr>
        <w:t xml:space="preserve">, in particular, include </w:t>
      </w:r>
      <w:r w:rsidRPr="00816C73">
        <w:rPr>
          <w:rFonts w:ascii="Times New Roman" w:hAnsi="Times New Roman" w:cs="Times New Roman"/>
          <w:lang w:val="en-GB"/>
        </w:rPr>
        <w:t>local communities. Their expectations focus on minimising the adverse effects of business activities on residents</w:t>
      </w:r>
      <w:r w:rsidR="004919C5">
        <w:rPr>
          <w:rFonts w:ascii="Times New Roman" w:hAnsi="Times New Roman" w:cs="Times New Roman"/>
          <w:lang w:val="en-GB"/>
        </w:rPr>
        <w:t>'</w:t>
      </w:r>
      <w:r w:rsidRPr="00816C73">
        <w:rPr>
          <w:rFonts w:ascii="Times New Roman" w:hAnsi="Times New Roman" w:cs="Times New Roman"/>
          <w:lang w:val="en-GB"/>
        </w:rPr>
        <w:t xml:space="preserve"> quality of life, including reductions in air and water pollution, noise, vibrations, and transport traffic intensity. A key element of relations with this group is the conduct of social dialogue, which enables communication about planned investments and the consideration of residents</w:t>
      </w:r>
      <w:r w:rsidR="004919C5">
        <w:rPr>
          <w:rFonts w:ascii="Times New Roman" w:hAnsi="Times New Roman" w:cs="Times New Roman"/>
          <w:lang w:val="en-GB"/>
        </w:rPr>
        <w:t>'</w:t>
      </w:r>
      <w:r w:rsidRPr="00816C73">
        <w:rPr>
          <w:rFonts w:ascii="Times New Roman" w:hAnsi="Times New Roman" w:cs="Times New Roman"/>
          <w:lang w:val="en-GB"/>
        </w:rPr>
        <w:t xml:space="preserve"> concerns and needs. These expectations are directly aligned with the concept of CSR.</w:t>
      </w:r>
    </w:p>
    <w:p w14:paraId="5F756B52" w14:textId="30DA90A9" w:rsidR="00BE6BDC" w:rsidRPr="00816C73" w:rsidRDefault="00BE6BDC"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Corporate activities also affect society at large, particularly </w:t>
      </w:r>
      <w:r w:rsidR="004919C5">
        <w:rPr>
          <w:rFonts w:ascii="Times New Roman" w:hAnsi="Times New Roman" w:cs="Times New Roman"/>
          <w:lang w:val="en-GB"/>
        </w:rPr>
        <w:t>for</w:t>
      </w:r>
      <w:r w:rsidRPr="00816C73">
        <w:rPr>
          <w:rFonts w:ascii="Times New Roman" w:hAnsi="Times New Roman" w:cs="Times New Roman"/>
          <w:lang w:val="en-GB"/>
        </w:rPr>
        <w:t xml:space="preserve"> large enterprises with extensive operational reach. The expectations of this group primarily concern environmental protection, improvements in energy efficiency, and respect for social interests, including gender equality. Within the governance dimension, transparency and ethical conduct of business operations are of key importance.</w:t>
      </w:r>
    </w:p>
    <w:p w14:paraId="60378675" w14:textId="6BEFE717" w:rsidR="00854F88" w:rsidRPr="00816C73" w:rsidRDefault="00BE6BDC"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The group of affected stakeholders also includes non-governmental organisations (NGOs), which act as</w:t>
      </w:r>
      <w:r w:rsidR="006D4A1D">
        <w:rPr>
          <w:rFonts w:ascii="Times New Roman" w:hAnsi="Times New Roman" w:cs="Times New Roman"/>
          <w:lang w:val="en-GB"/>
        </w:rPr>
        <w:t> </w:t>
      </w:r>
      <w:r w:rsidRPr="00816C73">
        <w:rPr>
          <w:rFonts w:ascii="Times New Roman" w:hAnsi="Times New Roman" w:cs="Times New Roman"/>
          <w:lang w:val="en-GB"/>
        </w:rPr>
        <w:t>social observers and watchdogs of corporate activities. From their perspective, a company</w:t>
      </w:r>
      <w:r w:rsidR="004919C5">
        <w:rPr>
          <w:rFonts w:ascii="Times New Roman" w:hAnsi="Times New Roman" w:cs="Times New Roman"/>
          <w:lang w:val="en-GB"/>
        </w:rPr>
        <w:t>'</w:t>
      </w:r>
      <w:r w:rsidRPr="00816C73">
        <w:rPr>
          <w:rFonts w:ascii="Times New Roman" w:hAnsi="Times New Roman" w:cs="Times New Roman"/>
          <w:lang w:val="en-GB"/>
        </w:rPr>
        <w:t xml:space="preserve">s willingness to engage in dialogue, cooperate, and conduct business in accordance with social and environmental principles is of particular importance. These expectations largely </w:t>
      </w:r>
      <w:r w:rsidR="004919C5">
        <w:rPr>
          <w:rFonts w:ascii="Times New Roman" w:hAnsi="Times New Roman" w:cs="Times New Roman"/>
          <w:lang w:val="en-GB"/>
        </w:rPr>
        <w:t>align with those of society as a whole, encompassing reducing negative environmental impacts, transparency,</w:t>
      </w:r>
      <w:r w:rsidRPr="00816C73">
        <w:rPr>
          <w:rFonts w:ascii="Times New Roman" w:hAnsi="Times New Roman" w:cs="Times New Roman"/>
          <w:lang w:val="en-GB"/>
        </w:rPr>
        <w:t xml:space="preserve"> and ethical conduct.</w:t>
      </w:r>
    </w:p>
    <w:p w14:paraId="618174EB" w14:textId="16BE5D2F" w:rsidR="00B7100E" w:rsidRPr="00816C73" w:rsidRDefault="00B7100E"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Employees constitute </w:t>
      </w:r>
      <w:r w:rsidR="000F2C3C" w:rsidRPr="00816C73">
        <w:rPr>
          <w:rFonts w:ascii="Times New Roman" w:hAnsi="Times New Roman" w:cs="Times New Roman"/>
          <w:lang w:val="en-GB"/>
        </w:rPr>
        <w:t>a significant</w:t>
      </w:r>
      <w:r w:rsidRPr="00816C73">
        <w:rPr>
          <w:rFonts w:ascii="Times New Roman" w:hAnsi="Times New Roman" w:cs="Times New Roman"/>
          <w:lang w:val="en-GB"/>
        </w:rPr>
        <w:t xml:space="preserve"> stakeholder group. This group includes both individuals directly employed by the company (</w:t>
      </w:r>
      <w:r w:rsidR="004919C5">
        <w:rPr>
          <w:rFonts w:ascii="Times New Roman" w:hAnsi="Times New Roman" w:cs="Times New Roman"/>
          <w:lang w:val="en-GB"/>
        </w:rPr>
        <w:t>internal stakeholders) and those employed by cooperating entities, such as subcontractors or external carriers (</w:t>
      </w:r>
      <w:r w:rsidRPr="00816C73">
        <w:rPr>
          <w:rFonts w:ascii="Times New Roman" w:hAnsi="Times New Roman" w:cs="Times New Roman"/>
          <w:lang w:val="en-GB"/>
        </w:rPr>
        <w:t xml:space="preserve">affected stakeholders). The expectations of these groups largely overlap and relate to employment stability, safe and legally compliant working conditions, and fair remuneration. From a governance perspective, employees also expect transparent remuneration policies and ethical </w:t>
      </w:r>
      <w:proofErr w:type="spellStart"/>
      <w:r w:rsidR="000F2C3C" w:rsidRPr="00816C73">
        <w:rPr>
          <w:rFonts w:ascii="Times New Roman" w:hAnsi="Times New Roman" w:cs="Times New Roman"/>
          <w:lang w:val="en-GB"/>
        </w:rPr>
        <w:t>behavior</w:t>
      </w:r>
      <w:proofErr w:type="spellEnd"/>
      <w:r w:rsidR="000F2C3C" w:rsidRPr="00816C73">
        <w:rPr>
          <w:rFonts w:ascii="Times New Roman" w:hAnsi="Times New Roman" w:cs="Times New Roman"/>
          <w:lang w:val="en-GB"/>
        </w:rPr>
        <w:t xml:space="preserve"> from</w:t>
      </w:r>
      <w:r w:rsidRPr="00816C73">
        <w:rPr>
          <w:rFonts w:ascii="Times New Roman" w:hAnsi="Times New Roman" w:cs="Times New Roman"/>
          <w:lang w:val="en-GB"/>
        </w:rPr>
        <w:t xml:space="preserve"> the employer. Employee organisations and trade unions further emphasise the importance of social dialogue on issues of relevance to the workforce.</w:t>
      </w:r>
    </w:p>
    <w:p w14:paraId="3E6F3D14" w14:textId="2C67D271" w:rsidR="00B7100E" w:rsidRPr="00816C73" w:rsidRDefault="00B7100E"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Within the group of internal stakeholders, </w:t>
      </w:r>
      <w:r w:rsidR="004919C5">
        <w:rPr>
          <w:rFonts w:ascii="Times New Roman" w:hAnsi="Times New Roman" w:cs="Times New Roman"/>
          <w:lang w:val="en-GB"/>
        </w:rPr>
        <w:t>company owners, supervisory boards, and senior managers play particularly significant roles,</w:t>
      </w:r>
      <w:r w:rsidRPr="00816C73">
        <w:rPr>
          <w:rFonts w:ascii="Times New Roman" w:hAnsi="Times New Roman" w:cs="Times New Roman"/>
          <w:lang w:val="en-GB"/>
        </w:rPr>
        <w:t xml:space="preserve"> responsible for defining development directions, making key strategic decisions, and overseeing organisational performance. Their expectations are primarily concentrated on the governance dimension, which constitutes the foundation of effective and responsible corporate management. In this context, long-term financial stability is of critical importance, understood not only as the ability to generate profits but also as the company</w:t>
      </w:r>
      <w:r w:rsidR="004919C5">
        <w:rPr>
          <w:rFonts w:ascii="Times New Roman" w:hAnsi="Times New Roman" w:cs="Times New Roman"/>
          <w:lang w:val="en-GB"/>
        </w:rPr>
        <w:t>'</w:t>
      </w:r>
      <w:r w:rsidRPr="00816C73">
        <w:rPr>
          <w:rFonts w:ascii="Times New Roman" w:hAnsi="Times New Roman" w:cs="Times New Roman"/>
          <w:lang w:val="en-GB"/>
        </w:rPr>
        <w:t>s resilience to market, regulatory, and macroeconomic changes.</w:t>
      </w:r>
    </w:p>
    <w:p w14:paraId="3296D6D8" w14:textId="7AC7CF1A" w:rsidR="007A1270" w:rsidRPr="00816C73" w:rsidRDefault="007A1270"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From the owners</w:t>
      </w:r>
      <w:r w:rsidR="004919C5">
        <w:rPr>
          <w:rFonts w:ascii="Times New Roman" w:hAnsi="Times New Roman" w:cs="Times New Roman"/>
          <w:lang w:val="en-GB"/>
        </w:rPr>
        <w:t>'</w:t>
      </w:r>
      <w:r w:rsidRPr="00816C73">
        <w:rPr>
          <w:rFonts w:ascii="Times New Roman" w:hAnsi="Times New Roman" w:cs="Times New Roman"/>
          <w:lang w:val="en-GB"/>
        </w:rPr>
        <w:t xml:space="preserve"> perspective, </w:t>
      </w:r>
      <w:r w:rsidR="004919C5">
        <w:rPr>
          <w:rFonts w:ascii="Times New Roman" w:hAnsi="Times New Roman" w:cs="Times New Roman"/>
          <w:lang w:val="en-GB"/>
        </w:rPr>
        <w:t>protecting and enhancing corporate value in the long term</w:t>
      </w:r>
      <w:r w:rsidRPr="00816C73">
        <w:rPr>
          <w:rFonts w:ascii="Times New Roman" w:hAnsi="Times New Roman" w:cs="Times New Roman"/>
          <w:lang w:val="en-GB"/>
        </w:rPr>
        <w:t xml:space="preserve"> are of primary importance. Their expectations include effective management of financial, operational, and reputational risks, as well as ensuring transparency of decision-making processes and internal control mechanisms. Owners also expect the company to be managed in compliance with applicable regulations and best practices in corporate governance, </w:t>
      </w:r>
      <w:r w:rsidR="004919C5">
        <w:rPr>
          <w:rFonts w:ascii="Times New Roman" w:hAnsi="Times New Roman" w:cs="Times New Roman"/>
          <w:lang w:val="en-GB"/>
        </w:rPr>
        <w:t>thereby reducing the risk of legal sanctions and reputational losses while strengthening investor and other stakeholder trust</w:t>
      </w:r>
      <w:r w:rsidRPr="00816C73">
        <w:rPr>
          <w:rFonts w:ascii="Times New Roman" w:hAnsi="Times New Roman" w:cs="Times New Roman"/>
          <w:lang w:val="en-GB"/>
        </w:rPr>
        <w:t>.</w:t>
      </w:r>
    </w:p>
    <w:p w14:paraId="5FBCEA35" w14:textId="5BD30627" w:rsidR="007A1270" w:rsidRPr="00816C73" w:rsidRDefault="007A1270"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Senior management, including executive board members and top-level managers, formulates expectations </w:t>
      </w:r>
      <w:r w:rsidR="004919C5">
        <w:rPr>
          <w:rFonts w:ascii="Times New Roman" w:hAnsi="Times New Roman" w:cs="Times New Roman"/>
          <w:lang w:val="en-GB"/>
        </w:rPr>
        <w:t>for operational stability, the</w:t>
      </w:r>
      <w:r w:rsidRPr="00816C73">
        <w:rPr>
          <w:rFonts w:ascii="Times New Roman" w:hAnsi="Times New Roman" w:cs="Times New Roman"/>
          <w:lang w:val="en-GB"/>
        </w:rPr>
        <w:t xml:space="preserve"> predictability of actions, and the continuous development of business activities. This encompasses the development of organisational competencies, the implementation of technological and organisational innovations, and the adaptation of the business model to growing sustainability and ESG requirements. From </w:t>
      </w:r>
      <w:r w:rsidR="004919C5">
        <w:rPr>
          <w:rFonts w:ascii="Times New Roman" w:hAnsi="Times New Roman" w:cs="Times New Roman"/>
          <w:lang w:val="en-GB"/>
        </w:rPr>
        <w:t>a management perspective, access to effective tools for monitoring corporate performance and the risks associated with environmental, social, and regulatory factors is also critical</w:t>
      </w:r>
      <w:r w:rsidRPr="00816C73">
        <w:rPr>
          <w:rFonts w:ascii="Times New Roman" w:hAnsi="Times New Roman" w:cs="Times New Roman"/>
          <w:lang w:val="en-GB"/>
        </w:rPr>
        <w:t>.</w:t>
      </w:r>
    </w:p>
    <w:p w14:paraId="0E0ABE9E" w14:textId="4B67884F" w:rsidR="007A1270" w:rsidRPr="00816C73" w:rsidRDefault="007A1270"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In the context of ESG, the expectations of owners and senior management extend beyond traditionally understood financial objectives. Increasingly, they involve </w:t>
      </w:r>
      <w:r w:rsidR="000F2C3C" w:rsidRPr="00816C73">
        <w:rPr>
          <w:rFonts w:ascii="Times New Roman" w:hAnsi="Times New Roman" w:cs="Times New Roman"/>
          <w:lang w:val="en-GB"/>
        </w:rPr>
        <w:t>integrating</w:t>
      </w:r>
      <w:r w:rsidRPr="00816C73">
        <w:rPr>
          <w:rFonts w:ascii="Times New Roman" w:hAnsi="Times New Roman" w:cs="Times New Roman"/>
          <w:lang w:val="en-GB"/>
        </w:rPr>
        <w:t xml:space="preserve"> ESG criteria into decision-making processes, development strategies, and risk management systems. This approach aims not only to ensure regulatory compliance but also to build long-term competitiveness, enhance corporate reputation, and strengthen </w:t>
      </w:r>
      <w:r w:rsidRPr="00816C73">
        <w:rPr>
          <w:rFonts w:ascii="Times New Roman" w:hAnsi="Times New Roman" w:cs="Times New Roman"/>
          <w:lang w:val="en-GB"/>
        </w:rPr>
        <w:lastRenderedPageBreak/>
        <w:t xml:space="preserve">resilience to </w:t>
      </w:r>
      <w:r w:rsidR="000F2C3C" w:rsidRPr="00816C73">
        <w:rPr>
          <w:rFonts w:ascii="Times New Roman" w:hAnsi="Times New Roman" w:cs="Times New Roman"/>
          <w:lang w:val="en-GB"/>
        </w:rPr>
        <w:t>market disruptions</w:t>
      </w:r>
      <w:r w:rsidRPr="00816C73">
        <w:rPr>
          <w:rFonts w:ascii="Times New Roman" w:hAnsi="Times New Roman" w:cs="Times New Roman"/>
          <w:lang w:val="en-GB"/>
        </w:rPr>
        <w:t>. As a result, owners and senior executives play a key role in shaping an organisational culture grounded in responsibility, transparency, and sustainable development.</w:t>
      </w:r>
    </w:p>
    <w:p w14:paraId="09C65EAA" w14:textId="14EBA3B4" w:rsidR="003753C8" w:rsidRPr="00816C73" w:rsidRDefault="003753C8"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The final group consists of governance stakeholders, that is, entities responsible for shaping the legal and institutional frameworks within which companies operate, and thus for defining the conditions for conducting business activities in the logistics sector. This group includes, in particular, public administration bodies, local authorities, regulatory and supervisory institutions, and managers of public infrastructure. Their expectations </w:t>
      </w:r>
      <w:r w:rsidR="004919C5">
        <w:rPr>
          <w:rFonts w:ascii="Times New Roman" w:hAnsi="Times New Roman" w:cs="Times New Roman"/>
          <w:lang w:val="en-GB"/>
        </w:rPr>
        <w:t>of enterprises are primarily focused on the governance dimension, although they also</w:t>
      </w:r>
      <w:r w:rsidRPr="00816C73">
        <w:rPr>
          <w:rFonts w:ascii="Times New Roman" w:hAnsi="Times New Roman" w:cs="Times New Roman"/>
          <w:lang w:val="en-GB"/>
        </w:rPr>
        <w:t xml:space="preserve"> encompass environmental and social issues.</w:t>
      </w:r>
    </w:p>
    <w:p w14:paraId="1A2A636C" w14:textId="5FBB5353" w:rsidR="003753C8" w:rsidRPr="00816C73" w:rsidRDefault="003753C8" w:rsidP="00AE656A">
      <w:pPr>
        <w:spacing w:after="0" w:line="240" w:lineRule="auto"/>
        <w:ind w:firstLine="284"/>
        <w:jc w:val="both"/>
        <w:rPr>
          <w:rFonts w:ascii="Times New Roman" w:hAnsi="Times New Roman" w:cs="Times New Roman"/>
          <w:lang w:val="en-GB"/>
        </w:rPr>
      </w:pPr>
      <w:r w:rsidRPr="00816C73">
        <w:rPr>
          <w:rFonts w:ascii="Times New Roman" w:eastAsia="Times New Roman" w:hAnsi="Times New Roman" w:cs="Times New Roman"/>
          <w:color w:val="000000"/>
          <w:kern w:val="0"/>
          <w:lang w:val="en-GB" w:eastAsia="pl-PL"/>
          <w14:ligatures w14:val="none"/>
        </w:rPr>
        <w:t xml:space="preserve">Government administration </w:t>
      </w:r>
      <w:r w:rsidRPr="00816C73">
        <w:rPr>
          <w:rFonts w:ascii="Times New Roman" w:hAnsi="Times New Roman" w:cs="Times New Roman"/>
          <w:lang w:val="en-GB"/>
        </w:rPr>
        <w:t xml:space="preserve">and national authorities expect companies to contribute to the implementation of public policy objectives, particularly in </w:t>
      </w:r>
      <w:r w:rsidR="00803B66" w:rsidRPr="00816C73">
        <w:rPr>
          <w:rFonts w:ascii="Times New Roman" w:hAnsi="Times New Roman" w:cs="Times New Roman"/>
          <w:lang w:val="en-GB"/>
        </w:rPr>
        <w:t>areas such as</w:t>
      </w:r>
      <w:r w:rsidRPr="00816C73">
        <w:rPr>
          <w:rFonts w:ascii="Times New Roman" w:hAnsi="Times New Roman" w:cs="Times New Roman"/>
          <w:lang w:val="en-GB"/>
        </w:rPr>
        <w:t xml:space="preserve"> climate and energy policy. This entails </w:t>
      </w:r>
      <w:r w:rsidR="004919C5">
        <w:rPr>
          <w:rFonts w:ascii="Times New Roman" w:hAnsi="Times New Roman" w:cs="Times New Roman"/>
          <w:lang w:val="en-GB"/>
        </w:rPr>
        <w:t>adapting operational activities to requirements for greenhouse gas emission reduction, energy efficiency improvements</w:t>
      </w:r>
      <w:r w:rsidRPr="00816C73">
        <w:rPr>
          <w:rFonts w:ascii="Times New Roman" w:hAnsi="Times New Roman" w:cs="Times New Roman"/>
          <w:lang w:val="en-GB"/>
        </w:rPr>
        <w:t>, and the implementation of solutions supporting the transition toward a low-carbon economy. At the same time, from a governance perspective, key expectations include compliance with applicable legal regulations, timely and accurate fulfilment of tax obligations, and stable corporate development, which translates into job creation and increased public revenues.</w:t>
      </w:r>
    </w:p>
    <w:p w14:paraId="4656E3B7" w14:textId="07AB79BA" w:rsidR="003753C8" w:rsidRPr="00816C73" w:rsidRDefault="003753C8"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Local authorities, as </w:t>
      </w:r>
      <w:r w:rsidR="00803B66" w:rsidRPr="00816C73">
        <w:rPr>
          <w:rFonts w:ascii="Times New Roman" w:hAnsi="Times New Roman" w:cs="Times New Roman"/>
          <w:lang w:val="en-GB"/>
        </w:rPr>
        <w:t>a crucial component of the institutional environment for logistics enterprises, articulate expectations that extend</w:t>
      </w:r>
      <w:r w:rsidRPr="00816C73">
        <w:rPr>
          <w:rFonts w:ascii="Times New Roman" w:hAnsi="Times New Roman" w:cs="Times New Roman"/>
          <w:lang w:val="en-GB"/>
        </w:rPr>
        <w:t xml:space="preserve"> beyond formal legal compliance. On the one hand, they expect a reduction in the negative environmental impacts of business activities, including improvements in the energy efficiency of logistics facilities and transport means. On the other hand, social expectations are of considerable importance, encompassing openness to dialogue and cooperation, </w:t>
      </w:r>
      <w:r w:rsidR="00803B66" w:rsidRPr="00816C73">
        <w:rPr>
          <w:rFonts w:ascii="Times New Roman" w:hAnsi="Times New Roman" w:cs="Times New Roman"/>
          <w:lang w:val="en-GB"/>
        </w:rPr>
        <w:t xml:space="preserve">conducting operations in accordance with </w:t>
      </w:r>
      <w:r w:rsidR="004919C5">
        <w:rPr>
          <w:rFonts w:ascii="Times New Roman" w:hAnsi="Times New Roman" w:cs="Times New Roman"/>
          <w:lang w:val="en-GB"/>
        </w:rPr>
        <w:t>the principles of spatial planning, supporting local social initiatives, and respecting good-neighbour</w:t>
      </w:r>
      <w:r w:rsidRPr="00816C73">
        <w:rPr>
          <w:rFonts w:ascii="Times New Roman" w:hAnsi="Times New Roman" w:cs="Times New Roman"/>
          <w:lang w:val="en-GB"/>
        </w:rPr>
        <w:t xml:space="preserve"> standards. Within the governance dimension, local authorities place particular emphasis on transparency </w:t>
      </w:r>
      <w:r w:rsidR="004919C5">
        <w:rPr>
          <w:rFonts w:ascii="Times New Roman" w:hAnsi="Times New Roman" w:cs="Times New Roman"/>
          <w:lang w:val="en-GB"/>
        </w:rPr>
        <w:t>in corporate actions and on the</w:t>
      </w:r>
      <w:r w:rsidRPr="00816C73">
        <w:rPr>
          <w:rFonts w:ascii="Times New Roman" w:hAnsi="Times New Roman" w:cs="Times New Roman"/>
          <w:lang w:val="en-GB"/>
        </w:rPr>
        <w:t xml:space="preserve"> alignment of business activities with local regulations and development strategies.</w:t>
      </w:r>
    </w:p>
    <w:p w14:paraId="3FB8F48E" w14:textId="63922629" w:rsidR="005436D2" w:rsidRPr="00816C73" w:rsidRDefault="005436D2"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Regulatory authorities and supervisory institutions primarily focus on ensuring that corporate activities comply with sector-specific, environmental, transport, and financial regulations. In the ESG context, their expectations encompass </w:t>
      </w:r>
      <w:r w:rsidR="004919C5">
        <w:rPr>
          <w:rFonts w:ascii="Times New Roman" w:hAnsi="Times New Roman" w:cs="Times New Roman"/>
          <w:lang w:val="en-GB"/>
        </w:rPr>
        <w:t>achieving climate policy objectives, reliable non-financial reporting, and transparency in</w:t>
      </w:r>
      <w:r w:rsidRPr="00816C73">
        <w:rPr>
          <w:rFonts w:ascii="Times New Roman" w:hAnsi="Times New Roman" w:cs="Times New Roman"/>
          <w:lang w:val="en-GB"/>
        </w:rPr>
        <w:t xml:space="preserve"> decision-making and operational processes. For this stakeholder group, the effective functioning of management control mechanisms is </w:t>
      </w:r>
      <w:r w:rsidR="00803B66" w:rsidRPr="00816C73">
        <w:rPr>
          <w:rFonts w:ascii="Times New Roman" w:hAnsi="Times New Roman" w:cs="Times New Roman"/>
          <w:lang w:val="en-GB"/>
        </w:rPr>
        <w:t>crucial</w:t>
      </w:r>
      <w:r w:rsidRPr="00816C73">
        <w:rPr>
          <w:rFonts w:ascii="Times New Roman" w:hAnsi="Times New Roman" w:cs="Times New Roman"/>
          <w:lang w:val="en-GB"/>
        </w:rPr>
        <w:t>, as it reduces the risk of regulatory non-compliance.</w:t>
      </w:r>
    </w:p>
    <w:p w14:paraId="27297F41" w14:textId="72BC5513" w:rsidR="005436D2" w:rsidRPr="00816C73" w:rsidRDefault="00803B66"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 vital</w:t>
      </w:r>
      <w:r w:rsidR="005436D2" w:rsidRPr="00816C73">
        <w:rPr>
          <w:rFonts w:ascii="Times New Roman" w:hAnsi="Times New Roman" w:cs="Times New Roman"/>
          <w:lang w:val="en-GB"/>
        </w:rPr>
        <w:t xml:space="preserve"> role within the group of governance stakeholders is played by managers of public infrastructure, including </w:t>
      </w:r>
      <w:r w:rsidR="004919C5">
        <w:rPr>
          <w:rFonts w:ascii="Times New Roman" w:hAnsi="Times New Roman" w:cs="Times New Roman"/>
          <w:lang w:val="en-GB"/>
        </w:rPr>
        <w:t>the backbone infrastructure that supports</w:t>
      </w:r>
      <w:r w:rsidR="005436D2" w:rsidRPr="00816C73">
        <w:rPr>
          <w:rFonts w:ascii="Times New Roman" w:hAnsi="Times New Roman" w:cs="Times New Roman"/>
          <w:lang w:val="en-GB"/>
        </w:rPr>
        <w:t xml:space="preserve"> logistics systems. Their expectations have both environmental and social dimensions. These include reducing the negative environmental impacts of transport activities, particularly </w:t>
      </w:r>
      <w:r w:rsidRPr="00816C73">
        <w:rPr>
          <w:rFonts w:ascii="Times New Roman" w:hAnsi="Times New Roman" w:cs="Times New Roman"/>
          <w:lang w:val="en-GB"/>
        </w:rPr>
        <w:t>concerning</w:t>
      </w:r>
      <w:r w:rsidR="005436D2" w:rsidRPr="00816C73">
        <w:rPr>
          <w:rFonts w:ascii="Times New Roman" w:hAnsi="Times New Roman" w:cs="Times New Roman"/>
          <w:lang w:val="en-GB"/>
        </w:rPr>
        <w:t xml:space="preserve"> emissions, noise, and infrastructure degradation, as well as minimising traffic intensity and its adverse effects on users of public space. From a governance perspective, strict adherence to the rules governing the use of public infrastructure is </w:t>
      </w:r>
      <w:r w:rsidR="004919C5">
        <w:rPr>
          <w:rFonts w:ascii="Times New Roman" w:hAnsi="Times New Roman" w:cs="Times New Roman"/>
          <w:lang w:val="en-GB"/>
        </w:rPr>
        <w:t>crucial</w:t>
      </w:r>
      <w:r w:rsidR="005436D2" w:rsidRPr="00816C73">
        <w:rPr>
          <w:rFonts w:ascii="Times New Roman" w:hAnsi="Times New Roman" w:cs="Times New Roman"/>
          <w:lang w:val="en-GB"/>
        </w:rPr>
        <w:t>.</w:t>
      </w:r>
    </w:p>
    <w:p w14:paraId="6FC0F9E3" w14:textId="3A4467D8" w:rsidR="005436D2" w:rsidRPr="00816C73" w:rsidRDefault="005436D2"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Consequently, governance stakeholders perceive companies not only as economic entities but also as participants in the implementation of public policies and as components of the state</w:t>
      </w:r>
      <w:r w:rsidR="004919C5">
        <w:rPr>
          <w:rFonts w:ascii="Times New Roman" w:hAnsi="Times New Roman" w:cs="Times New Roman"/>
          <w:lang w:val="en-GB"/>
        </w:rPr>
        <w:t>'</w:t>
      </w:r>
      <w:r w:rsidRPr="00816C73">
        <w:rPr>
          <w:rFonts w:ascii="Times New Roman" w:hAnsi="Times New Roman" w:cs="Times New Roman"/>
          <w:lang w:val="en-GB"/>
        </w:rPr>
        <w:t xml:space="preserve">s institutional system. Their expectations focus on regulatory compliance, transparency, responsible risk management, and </w:t>
      </w:r>
      <w:r w:rsidR="00CD1A39" w:rsidRPr="00816C73">
        <w:rPr>
          <w:rFonts w:ascii="Times New Roman" w:hAnsi="Times New Roman" w:cs="Times New Roman"/>
          <w:lang w:val="en-GB"/>
        </w:rPr>
        <w:t>active contributions to achieving</w:t>
      </w:r>
      <w:r w:rsidRPr="00816C73">
        <w:rPr>
          <w:rFonts w:ascii="Times New Roman" w:hAnsi="Times New Roman" w:cs="Times New Roman"/>
          <w:lang w:val="en-GB"/>
        </w:rPr>
        <w:t xml:space="preserve"> climate and social objectives. In this context, corporate governance plays an integrative role, linking environmental and social requirements into a coherent model of responsible business management.</w:t>
      </w:r>
    </w:p>
    <w:p w14:paraId="640447F0" w14:textId="1D2E2CFD" w:rsidR="007F3083" w:rsidRPr="00816C73" w:rsidRDefault="007F3083"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In summary, the various stakeholder groups in the logistics market are characterised by differentiated, yet in many cases overlapping, expectations across the ESG dimensions. Figure 4 illustrates how the expectations of individual stakeholder groups align with specific ESG dimensions, enabling a synthetic representation of their interrelationships and the identification of both areas of shared interests and potential tensions.</w:t>
      </w:r>
    </w:p>
    <w:p w14:paraId="6579747C" w14:textId="0C8C851D" w:rsidR="007F3083" w:rsidRPr="00816C73" w:rsidRDefault="007F3083"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An analysis of the structure of expectations indicates that not all stakeholder groups attach equal importance to all ESG dimensions. For example, employees of individual entities and their representatives (e.g.</w:t>
      </w:r>
      <w:r w:rsidR="00CD1A39" w:rsidRPr="00816C73">
        <w:rPr>
          <w:rFonts w:ascii="Times New Roman" w:hAnsi="Times New Roman" w:cs="Times New Roman"/>
          <w:lang w:val="en-GB"/>
        </w:rPr>
        <w:t>,</w:t>
      </w:r>
      <w:r w:rsidRPr="00816C73">
        <w:rPr>
          <w:rFonts w:ascii="Times New Roman" w:hAnsi="Times New Roman" w:cs="Times New Roman"/>
          <w:lang w:val="en-GB"/>
        </w:rPr>
        <w:t xml:space="preserve"> trade unions) tend to focus primarily on the social and governance dimensions. From their perspective, key issues include employment stability, occupational safety and working conditions, fair remuneration, equal treatment, and transparent and ethical management practices. Environmental issues are not articulated directly by this group, although they remain indirectly linked to managerial decisions and work organisation.</w:t>
      </w:r>
    </w:p>
    <w:p w14:paraId="7B42AE46" w14:textId="55D0ADBE" w:rsidR="000D3A39" w:rsidRDefault="007F3083"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 similar, </w:t>
      </w:r>
      <w:r w:rsidR="000D3A39" w:rsidRPr="00816C73">
        <w:rPr>
          <w:rFonts w:ascii="Times New Roman" w:hAnsi="Times New Roman" w:cs="Times New Roman"/>
          <w:lang w:val="en-GB"/>
        </w:rPr>
        <w:t>but</w:t>
      </w:r>
      <w:r w:rsidRPr="00816C73">
        <w:rPr>
          <w:rFonts w:ascii="Times New Roman" w:hAnsi="Times New Roman" w:cs="Times New Roman"/>
          <w:lang w:val="en-GB"/>
        </w:rPr>
        <w:t xml:space="preserve"> narrower, expectation profile characterises providers of business support services, such as financial institutions, insurance companies, and suppliers of digital and technological services. Their expectations are </w:t>
      </w:r>
      <w:r w:rsidR="004919C5">
        <w:rPr>
          <w:rFonts w:ascii="Times New Roman" w:hAnsi="Times New Roman" w:cs="Times New Roman"/>
          <w:lang w:val="en-GB"/>
        </w:rPr>
        <w:t>mainly focused on the governance dimension and relate to a company's financial stability, the predictability of cooperation, transparency in</w:t>
      </w:r>
      <w:r w:rsidRPr="00816C73">
        <w:rPr>
          <w:rFonts w:ascii="Times New Roman" w:hAnsi="Times New Roman" w:cs="Times New Roman"/>
          <w:lang w:val="en-GB"/>
        </w:rPr>
        <w:t xml:space="preserve"> decision-making processes, and effective risk management. For this group, environmental and social expectations are of secondary importance and are considered primarily through the lens of their impact on operational and reputational risk.</w:t>
      </w:r>
    </w:p>
    <w:p w14:paraId="3A445B6F" w14:textId="77777777" w:rsidR="006D4A1D" w:rsidRPr="00816C73" w:rsidRDefault="006D4A1D" w:rsidP="00AE656A">
      <w:pPr>
        <w:spacing w:after="0" w:line="240" w:lineRule="auto"/>
        <w:ind w:firstLine="284"/>
        <w:jc w:val="both"/>
        <w:rPr>
          <w:rFonts w:ascii="Times New Roman" w:hAnsi="Times New Roman" w:cs="Times New Roman"/>
          <w:lang w:val="en-GB"/>
        </w:rPr>
      </w:pPr>
    </w:p>
    <w:p w14:paraId="1248B5DC" w14:textId="22C1C2DC" w:rsidR="006E2AE6" w:rsidRPr="00816C73" w:rsidRDefault="006E2AE6"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lastRenderedPageBreak/>
        <w:t>In contrast, stakeholder groups whose expectations span all three ESG dimensions include affected stakeholders (such as local communities and non-governmental organisations), local authorities, logistics service providers, and transport infrastructure managers. This indicates that these actors share a broad space for cooperation</w:t>
      </w:r>
      <w:r w:rsidR="004919C5">
        <w:rPr>
          <w:rFonts w:ascii="Times New Roman" w:hAnsi="Times New Roman" w:cs="Times New Roman"/>
          <w:lang w:val="en-GB"/>
        </w:rPr>
        <w:t xml:space="preserve"> and</w:t>
      </w:r>
      <w:r w:rsidRPr="00816C73">
        <w:rPr>
          <w:rFonts w:ascii="Times New Roman" w:hAnsi="Times New Roman" w:cs="Times New Roman"/>
          <w:lang w:val="en-GB"/>
        </w:rPr>
        <w:t xml:space="preserve"> for articulating </w:t>
      </w:r>
      <w:r w:rsidR="004919C5">
        <w:rPr>
          <w:rFonts w:ascii="Times New Roman" w:hAnsi="Times New Roman" w:cs="Times New Roman"/>
          <w:lang w:val="en-GB"/>
        </w:rPr>
        <w:t>everyday</w:t>
      </w:r>
      <w:r w:rsidRPr="00816C73">
        <w:rPr>
          <w:rFonts w:ascii="Times New Roman" w:hAnsi="Times New Roman" w:cs="Times New Roman"/>
          <w:lang w:val="en-GB"/>
        </w:rPr>
        <w:t xml:space="preserve"> needs and objectives related to sustainable development.</w:t>
      </w:r>
    </w:p>
    <w:p w14:paraId="0A7571A5" w14:textId="587E940F" w:rsidR="006E2AE6" w:rsidRPr="00816C73" w:rsidRDefault="00CD1A39" w:rsidP="00AE656A">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 key conclusion </w:t>
      </w:r>
      <w:r w:rsidR="004919C5">
        <w:rPr>
          <w:rFonts w:ascii="Times New Roman" w:hAnsi="Times New Roman" w:cs="Times New Roman"/>
          <w:lang w:val="en-GB"/>
        </w:rPr>
        <w:t>from the analysis is that the governance dimension serves an integrative function relative</w:t>
      </w:r>
      <w:r w:rsidRPr="00816C73">
        <w:rPr>
          <w:rFonts w:ascii="Times New Roman" w:hAnsi="Times New Roman" w:cs="Times New Roman"/>
          <w:lang w:val="en-GB"/>
        </w:rPr>
        <w:t xml:space="preserve"> to the other</w:t>
      </w:r>
      <w:r w:rsidR="006E2AE6" w:rsidRPr="00816C73">
        <w:rPr>
          <w:rFonts w:ascii="Times New Roman" w:hAnsi="Times New Roman" w:cs="Times New Roman"/>
          <w:lang w:val="en-GB"/>
        </w:rPr>
        <w:t xml:space="preserve"> ESG dimensions. Managerial decisions </w:t>
      </w:r>
      <w:r w:rsidRPr="00816C73">
        <w:rPr>
          <w:rFonts w:ascii="Times New Roman" w:hAnsi="Times New Roman" w:cs="Times New Roman"/>
          <w:lang w:val="en-GB"/>
        </w:rPr>
        <w:t>regarding strategy, resource allocation, stakeholder relations, and systems of control and reporting significantly determine a company</w:t>
      </w:r>
      <w:r w:rsidR="004919C5">
        <w:rPr>
          <w:rFonts w:ascii="Times New Roman" w:hAnsi="Times New Roman" w:cs="Times New Roman"/>
          <w:lang w:val="en-GB"/>
        </w:rPr>
        <w:t>'</w:t>
      </w:r>
      <w:r w:rsidRPr="00816C73">
        <w:rPr>
          <w:rFonts w:ascii="Times New Roman" w:hAnsi="Times New Roman" w:cs="Times New Roman"/>
          <w:lang w:val="en-GB"/>
        </w:rPr>
        <w:t xml:space="preserve">s ability to mitigate </w:t>
      </w:r>
      <w:r w:rsidR="004919C5">
        <w:rPr>
          <w:rFonts w:ascii="Times New Roman" w:hAnsi="Times New Roman" w:cs="Times New Roman"/>
          <w:lang w:val="en-GB"/>
        </w:rPr>
        <w:t>advers</w:t>
      </w:r>
      <w:r w:rsidRPr="00816C73">
        <w:rPr>
          <w:rFonts w:ascii="Times New Roman" w:hAnsi="Times New Roman" w:cs="Times New Roman"/>
          <w:lang w:val="en-GB"/>
        </w:rPr>
        <w:t xml:space="preserve">e environmental impacts and </w:t>
      </w:r>
      <w:r w:rsidR="006E2AE6" w:rsidRPr="00816C73">
        <w:rPr>
          <w:rFonts w:ascii="Times New Roman" w:hAnsi="Times New Roman" w:cs="Times New Roman"/>
          <w:lang w:val="en-GB"/>
        </w:rPr>
        <w:t>achieve social objectives. In this sense, governance does not merely represent one of three equivalent ESG pillars, but rather serves as a mechanism enabling their coherent and effective implementation.</w:t>
      </w:r>
    </w:p>
    <w:p w14:paraId="79C361AC" w14:textId="56C8A084" w:rsidR="00BB22F0" w:rsidRDefault="006E2AE6" w:rsidP="006D72EF">
      <w:pPr>
        <w:spacing w:after="0" w:line="240" w:lineRule="auto"/>
        <w:ind w:firstLine="284"/>
        <w:jc w:val="both"/>
        <w:rPr>
          <w:rFonts w:ascii="Times New Roman" w:hAnsi="Times New Roman" w:cs="Times New Roman"/>
          <w:lang w:val="en-GB"/>
        </w:rPr>
      </w:pPr>
      <w:r w:rsidRPr="00816C73">
        <w:rPr>
          <w:rFonts w:ascii="Times New Roman" w:hAnsi="Times New Roman" w:cs="Times New Roman"/>
          <w:lang w:val="en-GB"/>
        </w:rPr>
        <w:t xml:space="preserve">At the same time, the overlap of stakeholder expectations across individual ESG areas, as illustrated in Figure 4, indicates </w:t>
      </w:r>
      <w:r w:rsidR="004919C5">
        <w:rPr>
          <w:rFonts w:ascii="Times New Roman" w:hAnsi="Times New Roman" w:cs="Times New Roman"/>
          <w:lang w:val="en-GB"/>
        </w:rPr>
        <w:t>significant potential for cooperation among</w:t>
      </w:r>
      <w:r w:rsidRPr="00816C73">
        <w:rPr>
          <w:rFonts w:ascii="Times New Roman" w:hAnsi="Times New Roman" w:cs="Times New Roman"/>
          <w:lang w:val="en-GB"/>
        </w:rPr>
        <w:t xml:space="preserve"> stakeholder groups. Shared expectations regarding transparency, ethical conduct, </w:t>
      </w:r>
      <w:r w:rsidR="004919C5">
        <w:rPr>
          <w:rFonts w:ascii="Times New Roman" w:hAnsi="Times New Roman" w:cs="Times New Roman"/>
          <w:lang w:val="en-GB"/>
        </w:rPr>
        <w:t>reducing negative environmental impacts, and the stability of business relationships may provide a foundation for coordinated initiatives to advance</w:t>
      </w:r>
      <w:r w:rsidRPr="00816C73">
        <w:rPr>
          <w:rFonts w:ascii="Times New Roman" w:hAnsi="Times New Roman" w:cs="Times New Roman"/>
          <w:lang w:val="en-GB"/>
        </w:rPr>
        <w:t xml:space="preserve"> sustainable development.</w:t>
      </w:r>
    </w:p>
    <w:p w14:paraId="704DBD39" w14:textId="77777777" w:rsidR="006D72EF" w:rsidRPr="00816C73" w:rsidRDefault="006D72EF" w:rsidP="006D72EF">
      <w:pPr>
        <w:spacing w:after="0" w:line="240" w:lineRule="auto"/>
        <w:ind w:firstLine="284"/>
        <w:jc w:val="both"/>
        <w:rPr>
          <w:rFonts w:ascii="Times New Roman" w:hAnsi="Times New Roman" w:cs="Times New Roman"/>
          <w:lang w:val="en-GB"/>
        </w:rPr>
      </w:pPr>
    </w:p>
    <w:p w14:paraId="49448282" w14:textId="7FC11AC1" w:rsidR="00746C49" w:rsidRPr="00816C73" w:rsidRDefault="008E6A93" w:rsidP="006D72EF">
      <w:pPr>
        <w:spacing w:after="0" w:line="240" w:lineRule="auto"/>
        <w:jc w:val="center"/>
        <w:rPr>
          <w:lang w:val="en-GB"/>
        </w:rPr>
      </w:pPr>
      <w:r w:rsidRPr="00816C73">
        <w:rPr>
          <w:noProof/>
          <w:lang w:val="en-GB" w:eastAsia="pl-PL"/>
        </w:rPr>
        <w:drawing>
          <wp:inline distT="0" distB="0" distL="0" distR="0" wp14:anchorId="02341112" wp14:editId="13C257C8">
            <wp:extent cx="3361262" cy="3784888"/>
            <wp:effectExtent l="0" t="0" r="0" b="0"/>
            <wp:docPr id="879902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2816" cy="3797898"/>
                    </a:xfrm>
                    <a:prstGeom prst="rect">
                      <a:avLst/>
                    </a:prstGeom>
                    <a:noFill/>
                    <a:ln>
                      <a:noFill/>
                    </a:ln>
                  </pic:spPr>
                </pic:pic>
              </a:graphicData>
            </a:graphic>
          </wp:inline>
        </w:drawing>
      </w:r>
    </w:p>
    <w:p w14:paraId="61C0CD69" w14:textId="0590AF4A" w:rsidR="00B92D58" w:rsidRPr="00816C73" w:rsidRDefault="00AE656A" w:rsidP="00B44C88">
      <w:pPr>
        <w:pStyle w:val="Rrys"/>
        <w:rPr>
          <w:lang w:val="en-GB"/>
        </w:rPr>
      </w:pPr>
      <w:r w:rsidRPr="00816C73">
        <w:rPr>
          <w:b/>
          <w:bCs/>
          <w:lang w:val="en-GB"/>
        </w:rPr>
        <w:t>Fig</w:t>
      </w:r>
      <w:r w:rsidR="00EA0F92" w:rsidRPr="00816C73">
        <w:rPr>
          <w:b/>
          <w:bCs/>
          <w:lang w:val="en-GB"/>
        </w:rPr>
        <w:t>. 4.</w:t>
      </w:r>
      <w:r w:rsidR="00EA0F92" w:rsidRPr="00816C73">
        <w:rPr>
          <w:lang w:val="en-GB"/>
        </w:rPr>
        <w:t xml:space="preserve"> Stakeholder expectations across ESG dimensions</w:t>
      </w:r>
    </w:p>
    <w:p w14:paraId="3F24E4A1" w14:textId="0107E5DB" w:rsidR="00592F3E" w:rsidRPr="00816C73" w:rsidRDefault="00AE656A" w:rsidP="00B44C88">
      <w:pPr>
        <w:pStyle w:val="Rn1"/>
        <w:rPr>
          <w:lang w:val="en-GB"/>
        </w:rPr>
      </w:pPr>
      <w:r w:rsidRPr="00816C73">
        <w:rPr>
          <w:lang w:val="en-GB"/>
        </w:rPr>
        <w:t xml:space="preserve">5. </w:t>
      </w:r>
      <w:r w:rsidR="008C69D4" w:rsidRPr="00816C73">
        <w:rPr>
          <w:lang w:val="en-GB"/>
        </w:rPr>
        <w:t>Conclusions</w:t>
      </w:r>
    </w:p>
    <w:p w14:paraId="0449C636" w14:textId="6FB9989B" w:rsidR="00614358" w:rsidRPr="00816C73" w:rsidRDefault="00614358" w:rsidP="00F11753">
      <w:pPr>
        <w:spacing w:after="0" w:line="240" w:lineRule="auto"/>
        <w:ind w:firstLine="284"/>
        <w:jc w:val="both"/>
        <w:rPr>
          <w:rFonts w:ascii="Times New Roman" w:eastAsia="Times New Roman" w:hAnsi="Times New Roman" w:cs="Times New Roman"/>
          <w:kern w:val="0"/>
          <w:lang w:val="en-GB" w:eastAsia="pl-PL"/>
          <w14:ligatures w14:val="none"/>
        </w:rPr>
      </w:pPr>
      <w:r w:rsidRPr="00816C73">
        <w:rPr>
          <w:rFonts w:ascii="Times New Roman" w:eastAsia="Times New Roman" w:hAnsi="Times New Roman" w:cs="Times New Roman"/>
          <w:kern w:val="0"/>
          <w:lang w:val="en-GB" w:eastAsia="pl-PL"/>
          <w14:ligatures w14:val="none"/>
        </w:rPr>
        <w:t xml:space="preserve">The conducted analysis confirms that ESG criteria currently constitute one of the key reference frameworks for the functioning of enterprises in the logistics market, both in regulatory and operational terms. Dynamic geopolitical developments, growing customer requirements, increasing environmental pressure, and an expanding legal framework mean that </w:t>
      </w:r>
      <w:r w:rsidR="00FE07DD" w:rsidRPr="00816C73">
        <w:rPr>
          <w:rFonts w:ascii="Times New Roman" w:eastAsia="Times New Roman" w:hAnsi="Times New Roman" w:cs="Times New Roman"/>
          <w:kern w:val="0"/>
          <w:lang w:val="en-GB" w:eastAsia="pl-PL"/>
          <w14:ligatures w14:val="none"/>
        </w:rPr>
        <w:t xml:space="preserve">considering environmental, social, and governance </w:t>
      </w:r>
      <w:r w:rsidR="004919C5">
        <w:rPr>
          <w:rFonts w:ascii="Times New Roman" w:eastAsia="Times New Roman" w:hAnsi="Times New Roman" w:cs="Times New Roman"/>
          <w:kern w:val="0"/>
          <w:lang w:val="en-GB" w:eastAsia="pl-PL"/>
          <w14:ligatures w14:val="none"/>
        </w:rPr>
        <w:t>factors is no longer optional but has become an integral part of the</w:t>
      </w:r>
      <w:r w:rsidRPr="00816C73">
        <w:rPr>
          <w:rFonts w:ascii="Times New Roman" w:eastAsia="Times New Roman" w:hAnsi="Times New Roman" w:cs="Times New Roman"/>
          <w:kern w:val="0"/>
          <w:lang w:val="en-GB" w:eastAsia="pl-PL"/>
          <w14:ligatures w14:val="none"/>
        </w:rPr>
        <w:t xml:space="preserve"> development strategies adopted by logistics market participants.</w:t>
      </w:r>
    </w:p>
    <w:p w14:paraId="1D45B37A" w14:textId="0740D849" w:rsidR="00614358" w:rsidRDefault="00614358" w:rsidP="00F11753">
      <w:pPr>
        <w:spacing w:after="0" w:line="240" w:lineRule="auto"/>
        <w:ind w:firstLine="284"/>
        <w:jc w:val="both"/>
        <w:rPr>
          <w:rFonts w:ascii="Times New Roman" w:eastAsia="Times New Roman" w:hAnsi="Times New Roman" w:cs="Times New Roman"/>
          <w:kern w:val="0"/>
          <w:lang w:val="en-GB" w:eastAsia="pl-PL"/>
          <w14:ligatures w14:val="none"/>
        </w:rPr>
      </w:pPr>
      <w:r w:rsidRPr="00816C73">
        <w:rPr>
          <w:rFonts w:ascii="Times New Roman" w:eastAsia="Times New Roman" w:hAnsi="Times New Roman" w:cs="Times New Roman"/>
          <w:kern w:val="0"/>
          <w:lang w:val="en-GB" w:eastAsia="pl-PL"/>
          <w14:ligatures w14:val="none"/>
        </w:rPr>
        <w:t xml:space="preserve">The analysis of the logistics market stakeholder structure demonstrates that logistics systems are characterised by </w:t>
      </w:r>
      <w:r w:rsidR="004919C5">
        <w:rPr>
          <w:rFonts w:ascii="Times New Roman" w:eastAsia="Times New Roman" w:hAnsi="Times New Roman" w:cs="Times New Roman"/>
          <w:kern w:val="0"/>
          <w:lang w:val="en-GB" w:eastAsia="pl-PL"/>
          <w14:ligatures w14:val="none"/>
        </w:rPr>
        <w:t>high</w:t>
      </w:r>
      <w:r w:rsidRPr="00816C73">
        <w:rPr>
          <w:rFonts w:ascii="Times New Roman" w:eastAsia="Times New Roman" w:hAnsi="Times New Roman" w:cs="Times New Roman"/>
          <w:kern w:val="0"/>
          <w:lang w:val="en-GB" w:eastAsia="pl-PL"/>
          <w14:ligatures w14:val="none"/>
        </w:rPr>
        <w:t xml:space="preserve"> complexity and significant diversity among actors influencing corporate activities. The proposed stakeholder classification, incorporating ESG criteria, </w:t>
      </w:r>
      <w:r w:rsidR="004919C5">
        <w:rPr>
          <w:rFonts w:ascii="Times New Roman" w:eastAsia="Times New Roman" w:hAnsi="Times New Roman" w:cs="Times New Roman"/>
          <w:kern w:val="0"/>
          <w:lang w:val="en-GB" w:eastAsia="pl-PL"/>
          <w14:ligatures w14:val="none"/>
        </w:rPr>
        <w:t>provides a structured framework for understanding the relationships between enterprises and their environments, facilitating the identification of stakeholder groups whose expectations are critical to</w:t>
      </w:r>
      <w:r w:rsidR="00FE07DD" w:rsidRPr="00816C73">
        <w:rPr>
          <w:rFonts w:ascii="Times New Roman" w:eastAsia="Times New Roman" w:hAnsi="Times New Roman" w:cs="Times New Roman"/>
          <w:kern w:val="0"/>
          <w:lang w:val="en-GB" w:eastAsia="pl-PL"/>
          <w14:ligatures w14:val="none"/>
        </w:rPr>
        <w:t xml:space="preserve"> achieving</w:t>
      </w:r>
      <w:r w:rsidRPr="00816C73">
        <w:rPr>
          <w:rFonts w:ascii="Times New Roman" w:eastAsia="Times New Roman" w:hAnsi="Times New Roman" w:cs="Times New Roman"/>
          <w:kern w:val="0"/>
          <w:lang w:val="en-GB" w:eastAsia="pl-PL"/>
          <w14:ligatures w14:val="none"/>
        </w:rPr>
        <w:t xml:space="preserve"> sustainable development objectives. In particular, the distinction between internal stakeholders, value chain stakeholders, market stakeholders, affected stakeholders, and governance stakeholders </w:t>
      </w:r>
      <w:r w:rsidR="004919C5">
        <w:rPr>
          <w:rFonts w:ascii="Times New Roman" w:eastAsia="Times New Roman" w:hAnsi="Times New Roman" w:cs="Times New Roman"/>
          <w:kern w:val="0"/>
          <w:lang w:val="en-GB" w:eastAsia="pl-PL"/>
          <w14:ligatures w14:val="none"/>
        </w:rPr>
        <w:t>enables a more precise allocation of expectations across</w:t>
      </w:r>
      <w:r w:rsidRPr="00816C73">
        <w:rPr>
          <w:rFonts w:ascii="Times New Roman" w:eastAsia="Times New Roman" w:hAnsi="Times New Roman" w:cs="Times New Roman"/>
          <w:kern w:val="0"/>
          <w:lang w:val="en-GB" w:eastAsia="pl-PL"/>
          <w14:ligatures w14:val="none"/>
        </w:rPr>
        <w:t xml:space="preserve"> ESG dimensions.</w:t>
      </w:r>
    </w:p>
    <w:p w14:paraId="6ED27589" w14:textId="77777777" w:rsidR="006D4A1D" w:rsidRPr="00816C73" w:rsidRDefault="006D4A1D" w:rsidP="00F11753">
      <w:pPr>
        <w:spacing w:after="0" w:line="240" w:lineRule="auto"/>
        <w:ind w:firstLine="284"/>
        <w:jc w:val="both"/>
        <w:rPr>
          <w:rFonts w:ascii="Times New Roman" w:eastAsia="Times New Roman" w:hAnsi="Times New Roman" w:cs="Times New Roman"/>
          <w:kern w:val="0"/>
          <w:lang w:val="en-GB" w:eastAsia="pl-PL"/>
          <w14:ligatures w14:val="none"/>
        </w:rPr>
      </w:pPr>
    </w:p>
    <w:p w14:paraId="16030918" w14:textId="2F2BCE00" w:rsidR="00614358" w:rsidRPr="00816C73" w:rsidRDefault="00614358" w:rsidP="00F11753">
      <w:pPr>
        <w:spacing w:after="0" w:line="240" w:lineRule="auto"/>
        <w:ind w:firstLine="284"/>
        <w:jc w:val="both"/>
        <w:rPr>
          <w:rFonts w:ascii="Times New Roman" w:eastAsia="Times New Roman" w:hAnsi="Times New Roman" w:cs="Times New Roman"/>
          <w:kern w:val="0"/>
          <w:lang w:val="en-GB" w:eastAsia="pl-PL"/>
          <w14:ligatures w14:val="none"/>
        </w:rPr>
      </w:pPr>
      <w:r w:rsidRPr="00816C73">
        <w:rPr>
          <w:rFonts w:ascii="Times New Roman" w:eastAsia="Times New Roman" w:hAnsi="Times New Roman" w:cs="Times New Roman"/>
          <w:kern w:val="0"/>
          <w:lang w:val="en-GB" w:eastAsia="pl-PL"/>
          <w14:ligatures w14:val="none"/>
        </w:rPr>
        <w:lastRenderedPageBreak/>
        <w:t>The regulatory analysis further confirms that the European legal framework, especially the CSRD and CSDDD directives</w:t>
      </w:r>
      <w:r w:rsidR="00464C3A" w:rsidRPr="00816C73">
        <w:rPr>
          <w:rFonts w:ascii="Times New Roman" w:eastAsia="Times New Roman" w:hAnsi="Times New Roman" w:cs="Times New Roman"/>
          <w:kern w:val="0"/>
          <w:lang w:val="en-GB" w:eastAsia="pl-PL"/>
          <w14:ligatures w14:val="none"/>
        </w:rPr>
        <w:t xml:space="preserve">, </w:t>
      </w:r>
      <w:r w:rsidRPr="00816C73">
        <w:rPr>
          <w:rFonts w:ascii="Times New Roman" w:eastAsia="Times New Roman" w:hAnsi="Times New Roman" w:cs="Times New Roman"/>
          <w:kern w:val="0"/>
          <w:lang w:val="en-GB" w:eastAsia="pl-PL"/>
          <w14:ligatures w14:val="none"/>
        </w:rPr>
        <w:t xml:space="preserve">fundamentally reshapes the approach to ESG by shifting the focus from voluntary reporting to mandatory, standardised, and auditable disclosure, combined with the requirement for effective management of environmental and social risks. </w:t>
      </w:r>
      <w:r w:rsidR="004919C5">
        <w:rPr>
          <w:rFonts w:ascii="Times New Roman" w:eastAsia="Times New Roman" w:hAnsi="Times New Roman" w:cs="Times New Roman"/>
          <w:kern w:val="0"/>
          <w:lang w:val="en-GB" w:eastAsia="pl-PL"/>
          <w14:ligatures w14:val="none"/>
        </w:rPr>
        <w:t>Including both upstream and downstream segments within the scope of corporate responsibility underscores the logistics sector's particularly important role</w:t>
      </w:r>
      <w:r w:rsidRPr="00816C73">
        <w:rPr>
          <w:rFonts w:ascii="Times New Roman" w:eastAsia="Times New Roman" w:hAnsi="Times New Roman" w:cs="Times New Roman"/>
          <w:kern w:val="0"/>
          <w:lang w:val="en-GB" w:eastAsia="pl-PL"/>
          <w14:ligatures w14:val="none"/>
        </w:rPr>
        <w:t xml:space="preserve"> in achieving sustainable development goals.</w:t>
      </w:r>
    </w:p>
    <w:p w14:paraId="0D8092EC" w14:textId="653E8E2E" w:rsidR="00614358" w:rsidRPr="00816C73" w:rsidRDefault="00614358" w:rsidP="00F11753">
      <w:pPr>
        <w:spacing w:after="0" w:line="240" w:lineRule="auto"/>
        <w:ind w:firstLine="284"/>
        <w:jc w:val="both"/>
        <w:rPr>
          <w:rFonts w:ascii="Times New Roman" w:eastAsia="Times New Roman" w:hAnsi="Times New Roman" w:cs="Times New Roman"/>
          <w:kern w:val="0"/>
          <w:lang w:val="en-GB" w:eastAsia="pl-PL"/>
          <w14:ligatures w14:val="none"/>
        </w:rPr>
      </w:pPr>
      <w:r w:rsidRPr="00816C73">
        <w:rPr>
          <w:rFonts w:ascii="Times New Roman" w:eastAsia="Times New Roman" w:hAnsi="Times New Roman" w:cs="Times New Roman"/>
          <w:kern w:val="0"/>
          <w:lang w:val="en-GB" w:eastAsia="pl-PL"/>
          <w14:ligatures w14:val="none"/>
        </w:rPr>
        <w:t xml:space="preserve">The results of the stakeholder expectation analysis indicate that not all stakeholder groups articulate requirements across the three ESG dimensions to the same extent. </w:t>
      </w:r>
      <w:r w:rsidR="00FE07DD" w:rsidRPr="00816C73">
        <w:rPr>
          <w:rFonts w:ascii="Times New Roman" w:eastAsia="Times New Roman" w:hAnsi="Times New Roman" w:cs="Times New Roman"/>
          <w:kern w:val="0"/>
          <w:lang w:val="en-GB" w:eastAsia="pl-PL"/>
          <w14:ligatures w14:val="none"/>
        </w:rPr>
        <w:t>Specific</w:t>
      </w:r>
      <w:r w:rsidRPr="00816C73">
        <w:rPr>
          <w:rFonts w:ascii="Times New Roman" w:eastAsia="Times New Roman" w:hAnsi="Times New Roman" w:cs="Times New Roman"/>
          <w:kern w:val="0"/>
          <w:lang w:val="en-GB" w:eastAsia="pl-PL"/>
          <w14:ligatures w14:val="none"/>
        </w:rPr>
        <w:t xml:space="preserve"> stakeholders, such as employees and providers of business support services, tend to </w:t>
      </w:r>
      <w:r w:rsidR="004919C5">
        <w:rPr>
          <w:rFonts w:ascii="Times New Roman" w:eastAsia="Times New Roman" w:hAnsi="Times New Roman" w:cs="Times New Roman"/>
          <w:kern w:val="0"/>
          <w:lang w:val="en-GB" w:eastAsia="pl-PL"/>
          <w14:ligatures w14:val="none"/>
        </w:rPr>
        <w:t>focus primarily on social and governance issues, while environmental issues are of only</w:t>
      </w:r>
      <w:r w:rsidRPr="00816C73">
        <w:rPr>
          <w:rFonts w:ascii="Times New Roman" w:eastAsia="Times New Roman" w:hAnsi="Times New Roman" w:cs="Times New Roman"/>
          <w:kern w:val="0"/>
          <w:lang w:val="en-GB" w:eastAsia="pl-PL"/>
          <w14:ligatures w14:val="none"/>
        </w:rPr>
        <w:t xml:space="preserve"> indirect relevance to them. In contrast, other groups</w:t>
      </w:r>
      <w:r w:rsidR="00464C3A" w:rsidRPr="00816C73">
        <w:rPr>
          <w:rFonts w:ascii="Times New Roman" w:eastAsia="Times New Roman" w:hAnsi="Times New Roman" w:cs="Times New Roman"/>
          <w:kern w:val="0"/>
          <w:lang w:val="en-GB" w:eastAsia="pl-PL"/>
          <w14:ligatures w14:val="none"/>
        </w:rPr>
        <w:t xml:space="preserve">, </w:t>
      </w:r>
      <w:r w:rsidRPr="00816C73">
        <w:rPr>
          <w:rFonts w:ascii="Times New Roman" w:eastAsia="Times New Roman" w:hAnsi="Times New Roman" w:cs="Times New Roman"/>
          <w:kern w:val="0"/>
          <w:lang w:val="en-GB" w:eastAsia="pl-PL"/>
          <w14:ligatures w14:val="none"/>
        </w:rPr>
        <w:t>most notably logistics service providers, local communities, non-governmental organisations, local authorities, and infrastructure managers</w:t>
      </w:r>
      <w:r w:rsidR="00464C3A" w:rsidRPr="00816C73">
        <w:rPr>
          <w:rFonts w:ascii="Times New Roman" w:eastAsia="Times New Roman" w:hAnsi="Times New Roman" w:cs="Times New Roman"/>
          <w:kern w:val="0"/>
          <w:lang w:val="en-GB" w:eastAsia="pl-PL"/>
          <w14:ligatures w14:val="none"/>
        </w:rPr>
        <w:t xml:space="preserve">, </w:t>
      </w:r>
      <w:r w:rsidRPr="00816C73">
        <w:rPr>
          <w:rFonts w:ascii="Times New Roman" w:eastAsia="Times New Roman" w:hAnsi="Times New Roman" w:cs="Times New Roman"/>
          <w:kern w:val="0"/>
          <w:lang w:val="en-GB" w:eastAsia="pl-PL"/>
          <w14:ligatures w14:val="none"/>
        </w:rPr>
        <w:t xml:space="preserve">formulate expectations that simultaneously encompass environmental, social, and governance aspects. This </w:t>
      </w:r>
      <w:r w:rsidR="00FE07DD" w:rsidRPr="00816C73">
        <w:rPr>
          <w:rFonts w:ascii="Times New Roman" w:eastAsia="Times New Roman" w:hAnsi="Times New Roman" w:cs="Times New Roman"/>
          <w:kern w:val="0"/>
          <w:lang w:val="en-GB" w:eastAsia="pl-PL"/>
          <w14:ligatures w14:val="none"/>
        </w:rPr>
        <w:t>suggests the existence of shared areas of interest that may serve as a basis for cooperation in implementing</w:t>
      </w:r>
      <w:r w:rsidRPr="00816C73">
        <w:rPr>
          <w:rFonts w:ascii="Times New Roman" w:eastAsia="Times New Roman" w:hAnsi="Times New Roman" w:cs="Times New Roman"/>
          <w:kern w:val="0"/>
          <w:lang w:val="en-GB" w:eastAsia="pl-PL"/>
          <w14:ligatures w14:val="none"/>
        </w:rPr>
        <w:t xml:space="preserve"> pro-environmental and pro-social initiatives.</w:t>
      </w:r>
    </w:p>
    <w:p w14:paraId="189119DD" w14:textId="7E97F557" w:rsidR="00614358" w:rsidRPr="00816C73" w:rsidRDefault="00614358" w:rsidP="00F11753">
      <w:pPr>
        <w:spacing w:after="0" w:line="240" w:lineRule="auto"/>
        <w:ind w:firstLine="284"/>
        <w:jc w:val="both"/>
        <w:rPr>
          <w:rFonts w:ascii="Times New Roman" w:eastAsia="Times New Roman" w:hAnsi="Times New Roman" w:cs="Times New Roman"/>
          <w:kern w:val="0"/>
          <w:lang w:val="en-GB" w:eastAsia="pl-PL"/>
          <w14:ligatures w14:val="none"/>
        </w:rPr>
      </w:pPr>
      <w:r w:rsidRPr="00816C73">
        <w:rPr>
          <w:rFonts w:ascii="Times New Roman" w:eastAsia="Times New Roman" w:hAnsi="Times New Roman" w:cs="Times New Roman"/>
          <w:kern w:val="0"/>
          <w:lang w:val="en-GB" w:eastAsia="pl-PL"/>
          <w14:ligatures w14:val="none"/>
        </w:rPr>
        <w:t>A key conclusion emerging from the analysis is the central role of corporate governance within the ESG framework. Governance performs an integrative function by shaping environmental and social actions through strategic decision-making, risk management systems, internal control mechanisms, and t</w:t>
      </w:r>
      <w:r w:rsidR="004919C5">
        <w:rPr>
          <w:rFonts w:ascii="Times New Roman" w:eastAsia="Times New Roman" w:hAnsi="Times New Roman" w:cs="Times New Roman"/>
          <w:kern w:val="0"/>
          <w:lang w:val="en-GB" w:eastAsia="pl-PL"/>
          <w14:ligatures w14:val="none"/>
        </w:rPr>
        <w:t>ransparent</w:t>
      </w:r>
      <w:r w:rsidRPr="00816C73">
        <w:rPr>
          <w:rFonts w:ascii="Times New Roman" w:eastAsia="Times New Roman" w:hAnsi="Times New Roman" w:cs="Times New Roman"/>
          <w:kern w:val="0"/>
          <w:lang w:val="en-GB" w:eastAsia="pl-PL"/>
          <w14:ligatures w14:val="none"/>
        </w:rPr>
        <w:t xml:space="preserve"> decision-making processes. This implies that the effective implementation of ESG criteria in the logistics sector largely depends on the quality of governance and the organisation</w:t>
      </w:r>
      <w:r w:rsidR="004919C5">
        <w:rPr>
          <w:rFonts w:ascii="Times New Roman" w:eastAsia="Times New Roman" w:hAnsi="Times New Roman" w:cs="Times New Roman"/>
          <w:kern w:val="0"/>
          <w:lang w:val="en-GB" w:eastAsia="pl-PL"/>
          <w14:ligatures w14:val="none"/>
        </w:rPr>
        <w:t>'</w:t>
      </w:r>
      <w:r w:rsidRPr="00816C73">
        <w:rPr>
          <w:rFonts w:ascii="Times New Roman" w:eastAsia="Times New Roman" w:hAnsi="Times New Roman" w:cs="Times New Roman"/>
          <w:kern w:val="0"/>
          <w:lang w:val="en-GB" w:eastAsia="pl-PL"/>
          <w14:ligatures w14:val="none"/>
        </w:rPr>
        <w:t>s capacity for long-term planning and coordinated action across the entire value chain.</w:t>
      </w:r>
    </w:p>
    <w:p w14:paraId="3DD42690" w14:textId="1611B2BB" w:rsidR="00B92D58" w:rsidRDefault="00614358" w:rsidP="00CF16F9">
      <w:pPr>
        <w:spacing w:after="0" w:line="240" w:lineRule="auto"/>
        <w:ind w:firstLine="284"/>
        <w:jc w:val="both"/>
        <w:rPr>
          <w:rFonts w:ascii="Times New Roman" w:eastAsia="Times New Roman" w:hAnsi="Times New Roman" w:cs="Times New Roman"/>
          <w:kern w:val="0"/>
          <w:lang w:val="en-GB" w:eastAsia="pl-PL"/>
          <w14:ligatures w14:val="none"/>
        </w:rPr>
      </w:pPr>
      <w:r w:rsidRPr="00816C73">
        <w:rPr>
          <w:rFonts w:ascii="Times New Roman" w:eastAsia="Times New Roman" w:hAnsi="Times New Roman" w:cs="Times New Roman"/>
          <w:kern w:val="0"/>
          <w:lang w:val="en-GB" w:eastAsia="pl-PL"/>
          <w14:ligatures w14:val="none"/>
        </w:rPr>
        <w:t xml:space="preserve">In conclusion, ESG criteria should be regarded not merely as a reporting tool but primarily as a strategic framework for managing </w:t>
      </w:r>
      <w:r w:rsidR="004919C5">
        <w:rPr>
          <w:rFonts w:ascii="Times New Roman" w:eastAsia="Times New Roman" w:hAnsi="Times New Roman" w:cs="Times New Roman"/>
          <w:kern w:val="0"/>
          <w:lang w:val="en-GB" w:eastAsia="pl-PL"/>
          <w14:ligatures w14:val="none"/>
        </w:rPr>
        <w:t>stakeholder relationship</w:t>
      </w:r>
      <w:r w:rsidRPr="00816C73">
        <w:rPr>
          <w:rFonts w:ascii="Times New Roman" w:eastAsia="Times New Roman" w:hAnsi="Times New Roman" w:cs="Times New Roman"/>
          <w:kern w:val="0"/>
          <w:lang w:val="en-GB" w:eastAsia="pl-PL"/>
          <w14:ligatures w14:val="none"/>
        </w:rPr>
        <w:t>s in the logistics market. Their effective integration into a</w:t>
      </w:r>
      <w:r w:rsidR="006D4A1D">
        <w:rPr>
          <w:rFonts w:ascii="Times New Roman" w:eastAsia="Times New Roman" w:hAnsi="Times New Roman" w:cs="Times New Roman"/>
          <w:kern w:val="0"/>
          <w:lang w:val="en-GB" w:eastAsia="pl-PL"/>
          <w14:ligatures w14:val="none"/>
        </w:rPr>
        <w:t> </w:t>
      </w:r>
      <w:r w:rsidRPr="00816C73">
        <w:rPr>
          <w:rFonts w:ascii="Times New Roman" w:eastAsia="Times New Roman" w:hAnsi="Times New Roman" w:cs="Times New Roman"/>
          <w:kern w:val="0"/>
          <w:lang w:val="en-GB" w:eastAsia="pl-PL"/>
          <w14:ligatures w14:val="none"/>
        </w:rPr>
        <w:t>company</w:t>
      </w:r>
      <w:r w:rsidR="004919C5">
        <w:rPr>
          <w:rFonts w:ascii="Times New Roman" w:eastAsia="Times New Roman" w:hAnsi="Times New Roman" w:cs="Times New Roman"/>
          <w:kern w:val="0"/>
          <w:lang w:val="en-GB" w:eastAsia="pl-PL"/>
          <w14:ligatures w14:val="none"/>
        </w:rPr>
        <w:t>'</w:t>
      </w:r>
      <w:r w:rsidRPr="00816C73">
        <w:rPr>
          <w:rFonts w:ascii="Times New Roman" w:eastAsia="Times New Roman" w:hAnsi="Times New Roman" w:cs="Times New Roman"/>
          <w:kern w:val="0"/>
          <w:lang w:val="en-GB" w:eastAsia="pl-PL"/>
          <w14:ligatures w14:val="none"/>
        </w:rPr>
        <w:t xml:space="preserve">s business model may </w:t>
      </w:r>
      <w:r w:rsidR="004919C5">
        <w:rPr>
          <w:rFonts w:ascii="Times New Roman" w:eastAsia="Times New Roman" w:hAnsi="Times New Roman" w:cs="Times New Roman"/>
          <w:kern w:val="0"/>
          <w:lang w:val="en-GB" w:eastAsia="pl-PL"/>
          <w14:ligatures w14:val="none"/>
        </w:rPr>
        <w:t xml:space="preserve">enhance supply chain resilience, reduce regulatory and reputational risks, </w:t>
      </w:r>
      <w:r w:rsidR="004919C5" w:rsidRPr="006D4A1D">
        <w:rPr>
          <w:rFonts w:ascii="Times New Roman" w:eastAsia="Times New Roman" w:hAnsi="Times New Roman" w:cs="Times New Roman"/>
          <w:spacing w:val="-2"/>
          <w:kern w:val="0"/>
          <w:lang w:val="en-GB" w:eastAsia="pl-PL"/>
          <w14:ligatures w14:val="none"/>
        </w:rPr>
        <w:t>and foster</w:t>
      </w:r>
      <w:r w:rsidRPr="006D4A1D">
        <w:rPr>
          <w:rFonts w:ascii="Times New Roman" w:eastAsia="Times New Roman" w:hAnsi="Times New Roman" w:cs="Times New Roman"/>
          <w:spacing w:val="-2"/>
          <w:kern w:val="0"/>
          <w:lang w:val="en-GB" w:eastAsia="pl-PL"/>
          <w14:ligatures w14:val="none"/>
        </w:rPr>
        <w:t xml:space="preserve"> long-term competitiveness. In this sense, ESG emerges as </w:t>
      </w:r>
      <w:r w:rsidR="004919C5" w:rsidRPr="006D4A1D">
        <w:rPr>
          <w:rFonts w:ascii="Times New Roman" w:eastAsia="Times New Roman" w:hAnsi="Times New Roman" w:cs="Times New Roman"/>
          <w:spacing w:val="-2"/>
          <w:kern w:val="0"/>
          <w:lang w:val="en-GB" w:eastAsia="pl-PL"/>
          <w14:ligatures w14:val="none"/>
        </w:rPr>
        <w:t>a key factor</w:t>
      </w:r>
      <w:r w:rsidRPr="006D4A1D">
        <w:rPr>
          <w:rFonts w:ascii="Times New Roman" w:eastAsia="Times New Roman" w:hAnsi="Times New Roman" w:cs="Times New Roman"/>
          <w:spacing w:val="-2"/>
          <w:kern w:val="0"/>
          <w:lang w:val="en-GB" w:eastAsia="pl-PL"/>
          <w14:ligatures w14:val="none"/>
        </w:rPr>
        <w:t xml:space="preserve"> shaping the future of the logistics market and the relationships among its participants.</w:t>
      </w:r>
    </w:p>
    <w:p w14:paraId="2684609D" w14:textId="77777777" w:rsidR="004F3F14" w:rsidRDefault="004F3F14" w:rsidP="00CF16F9">
      <w:pPr>
        <w:spacing w:after="0" w:line="240" w:lineRule="auto"/>
        <w:ind w:firstLine="284"/>
        <w:jc w:val="both"/>
        <w:rPr>
          <w:rFonts w:ascii="Times New Roman" w:eastAsia="Times New Roman" w:hAnsi="Times New Roman" w:cs="Times New Roman"/>
          <w:kern w:val="0"/>
          <w:lang w:val="en-GB" w:eastAsia="pl-PL"/>
          <w14:ligatures w14:val="none"/>
        </w:rPr>
      </w:pPr>
    </w:p>
    <w:p w14:paraId="3BB69F9A" w14:textId="2ED67E6A" w:rsidR="004F3F14" w:rsidRPr="000361EE" w:rsidRDefault="004F3F14" w:rsidP="004F3F14">
      <w:pPr>
        <w:spacing w:after="0" w:line="240" w:lineRule="auto"/>
        <w:jc w:val="center"/>
        <w:rPr>
          <w:rFonts w:ascii="Times New Roman" w:eastAsia="Times New Roman" w:hAnsi="Times New Roman" w:cs="Times New Roman"/>
          <w:i/>
          <w:iCs/>
          <w:kern w:val="0"/>
          <w:lang w:val="en-GB" w:eastAsia="pl-PL"/>
          <w14:ligatures w14:val="none"/>
        </w:rPr>
      </w:pPr>
      <w:r w:rsidRPr="000361EE">
        <w:rPr>
          <w:rFonts w:ascii="Times New Roman" w:eastAsia="Times New Roman" w:hAnsi="Times New Roman" w:cs="Times New Roman"/>
          <w:i/>
          <w:iCs/>
          <w:kern w:val="0"/>
          <w:lang w:val="en-GB" w:eastAsia="pl-PL"/>
          <w14:ligatures w14:val="none"/>
        </w:rPr>
        <w:t xml:space="preserve">This research was funded by the National Science Centre, Poland (project no. 2022/04/Y/ST8/00134). </w:t>
      </w:r>
      <w:r w:rsidRPr="000361EE">
        <w:rPr>
          <w:rFonts w:ascii="Times New Roman" w:eastAsia="Times New Roman" w:hAnsi="Times New Roman" w:cs="Times New Roman"/>
          <w:i/>
          <w:iCs/>
          <w:kern w:val="0"/>
          <w:lang w:val="en-GB" w:eastAsia="pl-PL"/>
          <w14:ligatures w14:val="none"/>
        </w:rPr>
        <w:br/>
        <w:t xml:space="preserve">Project title: Energy optimal urban logistics as a service (E-Laas). Project implemented as part of the call ERA-NET </w:t>
      </w:r>
      <w:proofErr w:type="spellStart"/>
      <w:r w:rsidRPr="000361EE">
        <w:rPr>
          <w:rFonts w:ascii="Times New Roman" w:eastAsia="Times New Roman" w:hAnsi="Times New Roman" w:cs="Times New Roman"/>
          <w:i/>
          <w:iCs/>
          <w:kern w:val="0"/>
          <w:lang w:val="en-GB" w:eastAsia="pl-PL"/>
          <w14:ligatures w14:val="none"/>
        </w:rPr>
        <w:t>Cofund</w:t>
      </w:r>
      <w:proofErr w:type="spellEnd"/>
      <w:r w:rsidRPr="000361EE">
        <w:rPr>
          <w:rFonts w:ascii="Times New Roman" w:eastAsia="Times New Roman" w:hAnsi="Times New Roman" w:cs="Times New Roman"/>
          <w:i/>
          <w:iCs/>
          <w:kern w:val="0"/>
          <w:lang w:val="en-GB" w:eastAsia="pl-PL"/>
          <w14:ligatures w14:val="none"/>
        </w:rPr>
        <w:t xml:space="preserve"> Urban Accessibility and Connectivity (EN-UAC China Call) organized by JPI Urban </w:t>
      </w:r>
      <w:r w:rsidR="000361EE">
        <w:rPr>
          <w:rFonts w:ascii="Times New Roman" w:eastAsia="Times New Roman" w:hAnsi="Times New Roman" w:cs="Times New Roman"/>
          <w:i/>
          <w:iCs/>
          <w:kern w:val="0"/>
          <w:lang w:val="en-GB" w:eastAsia="pl-PL"/>
          <w14:ligatures w14:val="none"/>
        </w:rPr>
        <w:br/>
      </w:r>
      <w:r w:rsidRPr="000361EE">
        <w:rPr>
          <w:rFonts w:ascii="Times New Roman" w:eastAsia="Times New Roman" w:hAnsi="Times New Roman" w:cs="Times New Roman"/>
          <w:i/>
          <w:iCs/>
          <w:kern w:val="0"/>
          <w:lang w:val="en-GB" w:eastAsia="pl-PL"/>
          <w14:ligatures w14:val="none"/>
        </w:rPr>
        <w:t>Europe and the National Natural Science Foundation of China (NSFC) funded from the European Union's Horizon 2020 research and innovation programme under grant agreement No 875022.</w:t>
      </w:r>
    </w:p>
    <w:p w14:paraId="04965A08" w14:textId="0ECC5E7E" w:rsidR="003E35D9" w:rsidRPr="00816C73" w:rsidRDefault="00CF16F9" w:rsidP="00B44C88">
      <w:pPr>
        <w:pStyle w:val="Rn2"/>
        <w:rPr>
          <w:lang w:val="en-GB"/>
        </w:rPr>
      </w:pPr>
      <w:r w:rsidRPr="00816C73">
        <w:rPr>
          <w:lang w:val="en-GB"/>
        </w:rPr>
        <w:t>References</w:t>
      </w:r>
    </w:p>
    <w:p w14:paraId="26F947D0" w14:textId="19E314E3" w:rsidR="00624AC9" w:rsidRPr="00816C73" w:rsidRDefault="00624AC9" w:rsidP="00B44C88">
      <w:pPr>
        <w:pStyle w:val="Rlit"/>
      </w:pPr>
      <w:r w:rsidRPr="00816C73">
        <w:t xml:space="preserve">Abbasi, M., &amp; Nilsson, F. (2016). Developing environmentally sustainable logistics: Exploring themes and challenges from a logistics service </w:t>
      </w:r>
      <w:r w:rsidR="00FE07DD" w:rsidRPr="00816C73">
        <w:t>provider</w:t>
      </w:r>
      <w:r w:rsidR="004919C5">
        <w:t>'</w:t>
      </w:r>
      <w:r w:rsidR="00FE07DD" w:rsidRPr="00816C73">
        <w:t>s</w:t>
      </w:r>
      <w:r w:rsidRPr="00816C73">
        <w:t xml:space="preserve"> perspective. </w:t>
      </w:r>
      <w:r w:rsidRPr="00816C73">
        <w:rPr>
          <w:i/>
          <w:iCs/>
        </w:rPr>
        <w:t>Transportation Research Part D: Transport and Environment</w:t>
      </w:r>
      <w:r w:rsidRPr="00816C73">
        <w:t xml:space="preserve">, </w:t>
      </w:r>
      <w:r w:rsidRPr="00816C73">
        <w:rPr>
          <w:i/>
          <w:iCs/>
        </w:rPr>
        <w:t>46</w:t>
      </w:r>
      <w:r w:rsidRPr="00816C73">
        <w:t>, 273</w:t>
      </w:r>
      <w:r w:rsidR="00E43528">
        <w:t>-</w:t>
      </w:r>
      <w:r w:rsidRPr="00816C73">
        <w:t xml:space="preserve">283. </w:t>
      </w:r>
      <w:hyperlink r:id="rId13" w:history="1">
        <w:r w:rsidRPr="00816C73">
          <w:t>https://doi.org/10.1016/j.trd.2016.04.004</w:t>
        </w:r>
      </w:hyperlink>
    </w:p>
    <w:p w14:paraId="4444B9A0" w14:textId="4F0EC1F9" w:rsidR="00624AC9" w:rsidRPr="00816C73" w:rsidRDefault="00624AC9" w:rsidP="00B44C88">
      <w:pPr>
        <w:pStyle w:val="Rlit"/>
      </w:pPr>
      <w:r w:rsidRPr="00816C73">
        <w:t xml:space="preserve">Aguilera, R. V., Marano, V., &amp; Haxhi, I. (2019). International corporate governance: A review and opportunities for future research. </w:t>
      </w:r>
      <w:r w:rsidRPr="00816C73">
        <w:rPr>
          <w:i/>
          <w:iCs/>
        </w:rPr>
        <w:t>Journal of International Business Studies</w:t>
      </w:r>
      <w:r w:rsidRPr="00816C73">
        <w:t xml:space="preserve">, </w:t>
      </w:r>
      <w:r w:rsidRPr="00816C73">
        <w:rPr>
          <w:i/>
          <w:iCs/>
        </w:rPr>
        <w:t>50</w:t>
      </w:r>
      <w:r w:rsidRPr="00816C73">
        <w:t>(4), 457</w:t>
      </w:r>
      <w:r w:rsidR="00E43528">
        <w:t>-</w:t>
      </w:r>
      <w:r w:rsidRPr="00816C73">
        <w:t xml:space="preserve">498. </w:t>
      </w:r>
      <w:hyperlink r:id="rId14" w:history="1">
        <w:r w:rsidRPr="00816C73">
          <w:t>https://doi.org/10.1057/s41267-019-00232-w</w:t>
        </w:r>
      </w:hyperlink>
    </w:p>
    <w:p w14:paraId="1B91F868" w14:textId="6538596D" w:rsidR="00624AC9" w:rsidRPr="00816C73" w:rsidRDefault="00624AC9" w:rsidP="00B44C88">
      <w:pPr>
        <w:pStyle w:val="Rlit"/>
      </w:pPr>
      <w:r w:rsidRPr="00816C73">
        <w:t xml:space="preserve">Alkhatib, S. F. (2017). Strategic logistics outsourcing: Upstream-downstream supply chain comparison. </w:t>
      </w:r>
      <w:r w:rsidRPr="00816C73">
        <w:rPr>
          <w:i/>
          <w:iCs/>
        </w:rPr>
        <w:t>Journal of Global Operations and Strategic Sourcing</w:t>
      </w:r>
      <w:r w:rsidRPr="00816C73">
        <w:t xml:space="preserve">, </w:t>
      </w:r>
      <w:r w:rsidRPr="00816C73">
        <w:rPr>
          <w:i/>
          <w:iCs/>
        </w:rPr>
        <w:t>10</w:t>
      </w:r>
      <w:r w:rsidRPr="00816C73">
        <w:t>(3), 309</w:t>
      </w:r>
      <w:r w:rsidR="00E43528">
        <w:t>-</w:t>
      </w:r>
      <w:r w:rsidRPr="00816C73">
        <w:t xml:space="preserve">333. </w:t>
      </w:r>
      <w:hyperlink r:id="rId15" w:history="1">
        <w:r w:rsidRPr="00816C73">
          <w:t>https://doi.org/10.1108/JGOSS-08-2016-0024</w:t>
        </w:r>
      </w:hyperlink>
    </w:p>
    <w:p w14:paraId="49F379FC" w14:textId="45569AD5" w:rsidR="00624AC9" w:rsidRPr="00816C73" w:rsidRDefault="00624AC9" w:rsidP="00B44C88">
      <w:pPr>
        <w:pStyle w:val="Rlit"/>
      </w:pPr>
      <w:r w:rsidRPr="00816C73">
        <w:t xml:space="preserve">Berg, F., Kölbel, J. F., &amp; </w:t>
      </w:r>
      <w:proofErr w:type="spellStart"/>
      <w:r w:rsidRPr="00816C73">
        <w:t>Rigobon</w:t>
      </w:r>
      <w:proofErr w:type="spellEnd"/>
      <w:r w:rsidRPr="00816C73">
        <w:t xml:space="preserve">, R. (2022). Aggregate Confusion: The Divergence of ESG Ratings. </w:t>
      </w:r>
      <w:r w:rsidRPr="00816C73">
        <w:rPr>
          <w:i/>
          <w:iCs/>
        </w:rPr>
        <w:t>Review of Finance</w:t>
      </w:r>
      <w:r w:rsidRPr="00816C73">
        <w:t xml:space="preserve">, </w:t>
      </w:r>
      <w:r w:rsidRPr="00816C73">
        <w:rPr>
          <w:i/>
          <w:iCs/>
        </w:rPr>
        <w:t>26</w:t>
      </w:r>
      <w:r w:rsidRPr="00816C73">
        <w:t>(6), 1315</w:t>
      </w:r>
      <w:r w:rsidR="00E43528">
        <w:t>-</w:t>
      </w:r>
      <w:r w:rsidRPr="00816C73">
        <w:t xml:space="preserve">1344. </w:t>
      </w:r>
      <w:hyperlink r:id="rId16" w:history="1">
        <w:r w:rsidRPr="00816C73">
          <w:t>https://doi.org/10.1093/rof/rfac033</w:t>
        </w:r>
      </w:hyperlink>
    </w:p>
    <w:p w14:paraId="1C9B87F9" w14:textId="64F1A067" w:rsidR="00624AC9" w:rsidRPr="00816C73" w:rsidRDefault="00624AC9" w:rsidP="00B44C88">
      <w:pPr>
        <w:pStyle w:val="Rlit"/>
      </w:pPr>
      <w:proofErr w:type="spellStart"/>
      <w:r w:rsidRPr="00816C73">
        <w:t>Bouchery</w:t>
      </w:r>
      <w:proofErr w:type="spellEnd"/>
      <w:r w:rsidRPr="00816C73">
        <w:t xml:space="preserve">, Y., Ghaffari, A., </w:t>
      </w:r>
      <w:proofErr w:type="spellStart"/>
      <w:r w:rsidRPr="00816C73">
        <w:t>Jemai</w:t>
      </w:r>
      <w:proofErr w:type="spellEnd"/>
      <w:r w:rsidRPr="00816C73">
        <w:t xml:space="preserve">, Z., &amp; </w:t>
      </w:r>
      <w:proofErr w:type="spellStart"/>
      <w:r w:rsidRPr="00816C73">
        <w:t>Dallery</w:t>
      </w:r>
      <w:proofErr w:type="spellEnd"/>
      <w:r w:rsidRPr="00816C73">
        <w:t xml:space="preserve">, Y. (2012). Including sustainability criteria into inventory models. </w:t>
      </w:r>
      <w:r w:rsidRPr="00816C73">
        <w:rPr>
          <w:i/>
          <w:iCs/>
        </w:rPr>
        <w:t>European Journal of Operational Research</w:t>
      </w:r>
      <w:r w:rsidRPr="00816C73">
        <w:t xml:space="preserve">, </w:t>
      </w:r>
      <w:r w:rsidRPr="00816C73">
        <w:rPr>
          <w:i/>
          <w:iCs/>
        </w:rPr>
        <w:t>222</w:t>
      </w:r>
      <w:r w:rsidRPr="00816C73">
        <w:t>(2), 229</w:t>
      </w:r>
      <w:r w:rsidR="00E43528">
        <w:t>-</w:t>
      </w:r>
      <w:r w:rsidRPr="00816C73">
        <w:t xml:space="preserve">240. </w:t>
      </w:r>
      <w:hyperlink r:id="rId17" w:history="1">
        <w:r w:rsidRPr="00816C73">
          <w:t>https://doi.org/10.1016/j.ejor.2012.05.004</w:t>
        </w:r>
      </w:hyperlink>
    </w:p>
    <w:p w14:paraId="15BC239E" w14:textId="30794791" w:rsidR="00624AC9" w:rsidRPr="00816C73" w:rsidRDefault="00624AC9" w:rsidP="00E52C61">
      <w:pPr>
        <w:pStyle w:val="Rlit"/>
        <w:jc w:val="left"/>
      </w:pPr>
      <w:r w:rsidRPr="00816C73">
        <w:t>Busse, C., Kach, A. P., &amp; Bode, C. (2016</w:t>
      </w:r>
      <w:r w:rsidR="006757CC" w:rsidRPr="00816C73">
        <w:t>a</w:t>
      </w:r>
      <w:r w:rsidRPr="00816C73">
        <w:t xml:space="preserve">). Sustainability and the False Sense of Legitimacy: How Institutional Distance Augments Risk in Global Supply Chains. </w:t>
      </w:r>
      <w:r w:rsidRPr="00816C73">
        <w:rPr>
          <w:i/>
          <w:iCs/>
        </w:rPr>
        <w:t>Journal of Business Logistics</w:t>
      </w:r>
      <w:r w:rsidRPr="00816C73">
        <w:t xml:space="preserve">, </w:t>
      </w:r>
      <w:r w:rsidRPr="00816C73">
        <w:rPr>
          <w:i/>
          <w:iCs/>
        </w:rPr>
        <w:t>37</w:t>
      </w:r>
      <w:r w:rsidRPr="00816C73">
        <w:t>(4), 312</w:t>
      </w:r>
      <w:r w:rsidR="00E43528">
        <w:t>-</w:t>
      </w:r>
      <w:r w:rsidRPr="00816C73">
        <w:t xml:space="preserve">328. </w:t>
      </w:r>
      <w:hyperlink r:id="rId18" w:history="1">
        <w:r w:rsidRPr="00816C73">
          <w:t>https://doi.org/10.1111/jbl.12143</w:t>
        </w:r>
      </w:hyperlink>
    </w:p>
    <w:p w14:paraId="6DAF14CD" w14:textId="27BF99FC" w:rsidR="00624AC9" w:rsidRPr="00816C73" w:rsidRDefault="00624AC9" w:rsidP="00B44C88">
      <w:pPr>
        <w:pStyle w:val="Rlit"/>
      </w:pPr>
      <w:r w:rsidRPr="00816C73">
        <w:t>Busse, C., Schleper, M. C., Niu, M., &amp; Wagner, S. M. (2016</w:t>
      </w:r>
      <w:r w:rsidR="006757CC" w:rsidRPr="00816C73">
        <w:t>b</w:t>
      </w:r>
      <w:r w:rsidRPr="00816C73">
        <w:t xml:space="preserve">). Supplier development for sustainability: Contextual barriers in global supply chains. </w:t>
      </w:r>
      <w:r w:rsidRPr="00816C73">
        <w:rPr>
          <w:i/>
          <w:iCs/>
        </w:rPr>
        <w:t>International Journal of Physical Distribution &amp; Logistics Management</w:t>
      </w:r>
      <w:r w:rsidRPr="00816C73">
        <w:t xml:space="preserve">, </w:t>
      </w:r>
      <w:r w:rsidRPr="00816C73">
        <w:rPr>
          <w:i/>
          <w:iCs/>
        </w:rPr>
        <w:t>46</w:t>
      </w:r>
      <w:r w:rsidRPr="00816C73">
        <w:t xml:space="preserve">(5), </w:t>
      </w:r>
      <w:r w:rsidR="00E52C61">
        <w:br/>
      </w:r>
      <w:r w:rsidRPr="00816C73">
        <w:t>442</w:t>
      </w:r>
      <w:r w:rsidR="00E43528">
        <w:t>-</w:t>
      </w:r>
      <w:r w:rsidRPr="00816C73">
        <w:t xml:space="preserve">468. </w:t>
      </w:r>
      <w:hyperlink r:id="rId19" w:history="1">
        <w:r w:rsidRPr="00816C73">
          <w:t>https://doi.org/10.1108/IJPDLM-12-2015-0300</w:t>
        </w:r>
      </w:hyperlink>
    </w:p>
    <w:p w14:paraId="7C0F5E75" w14:textId="4C961B26" w:rsidR="00C16A11" w:rsidRPr="00816C73" w:rsidRDefault="00C16A11" w:rsidP="00B44C88">
      <w:pPr>
        <w:pStyle w:val="Rlit"/>
      </w:pPr>
      <w:r w:rsidRPr="00816C73">
        <w:t xml:space="preserve">Chamier-Gliszczyński, N. (2011). Recycling Aspect of End-of Life Vehicles. Recovery of Components and Materials from ELVs. </w:t>
      </w:r>
      <w:r w:rsidRPr="00816C73">
        <w:rPr>
          <w:i/>
        </w:rPr>
        <w:t>Key Engineering Materials, 450</w:t>
      </w:r>
      <w:r w:rsidRPr="00816C73">
        <w:t>, 421</w:t>
      </w:r>
      <w:r w:rsidR="00E43528">
        <w:t>-</w:t>
      </w:r>
      <w:r w:rsidRPr="00816C73">
        <w:t xml:space="preserve">424. </w:t>
      </w:r>
      <w:r w:rsidR="00E52C61" w:rsidRPr="00E52C61">
        <w:t>https://doi.org/</w:t>
      </w:r>
      <w:r w:rsidRPr="00816C73">
        <w:t>10.4028/www.scientific.net/KEM.450.421</w:t>
      </w:r>
    </w:p>
    <w:p w14:paraId="70BDE359" w14:textId="58F83621" w:rsidR="00624AC9" w:rsidRPr="00816C73" w:rsidRDefault="00624AC9" w:rsidP="00B44C88">
      <w:pPr>
        <w:pStyle w:val="Rlit"/>
      </w:pPr>
      <w:r w:rsidRPr="00816C73">
        <w:t xml:space="preserve">Chen, J., Lee, J., &amp; Lee, H. (2025). A Study on the Site Selection of Urban Logistics Centers Utilizing Public Infrastructure. </w:t>
      </w:r>
      <w:r w:rsidRPr="00816C73">
        <w:rPr>
          <w:i/>
          <w:iCs/>
        </w:rPr>
        <w:t>Sustainability</w:t>
      </w:r>
      <w:r w:rsidRPr="00816C73">
        <w:t xml:space="preserve">, </w:t>
      </w:r>
      <w:r w:rsidRPr="00816C73">
        <w:rPr>
          <w:i/>
          <w:iCs/>
        </w:rPr>
        <w:t>17</w:t>
      </w:r>
      <w:r w:rsidRPr="00816C73">
        <w:t xml:space="preserve">(15), 6846. </w:t>
      </w:r>
      <w:hyperlink r:id="rId20" w:history="1">
        <w:r w:rsidRPr="00816C73">
          <w:t>https://doi.org/10.3390/su17156846</w:t>
        </w:r>
      </w:hyperlink>
    </w:p>
    <w:p w14:paraId="3FC7B64F" w14:textId="6E07310C" w:rsidR="00624AC9" w:rsidRPr="00816C73" w:rsidRDefault="00624AC9" w:rsidP="00B44C88">
      <w:pPr>
        <w:pStyle w:val="Rlit"/>
      </w:pPr>
      <w:r w:rsidRPr="00816C73">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w:t>
      </w:r>
      <w:r w:rsidR="006228B1" w:rsidRPr="00816C73">
        <w:t>.</w:t>
      </w:r>
      <w:r w:rsidRPr="00816C73">
        <w:t xml:space="preserve"> Text with EEA Relevance, EP, CONSIL, 182 OJ L (2013). </w:t>
      </w:r>
      <w:hyperlink r:id="rId21" w:history="1">
        <w:r w:rsidRPr="00816C73">
          <w:t>http://data.europa.eu/eli/dir/2013/34/oj</w:t>
        </w:r>
      </w:hyperlink>
    </w:p>
    <w:p w14:paraId="6BA9BA9B" w14:textId="1E8AEE83" w:rsidR="00624AC9" w:rsidRPr="00816C73" w:rsidRDefault="00624AC9" w:rsidP="00D21D53">
      <w:pPr>
        <w:pStyle w:val="Rlit"/>
        <w:jc w:val="left"/>
      </w:pPr>
      <w:r w:rsidRPr="00816C73">
        <w:lastRenderedPageBreak/>
        <w:t xml:space="preserve">Directive (EU) 2022/2464 of the European Parliament and of the Council of 14 December 2022 Amending Regulation (EU) No 537/2014, Directive 2004/109/EC, Directive 2006/43/EC and Directive 2013/34/EU, as Regards Corporate Sustainability Reporting (Text with EEA Relevance), EP, CONSIL, 322 OJ L (2022). </w:t>
      </w:r>
      <w:r w:rsidR="00D21D53">
        <w:br/>
      </w:r>
      <w:hyperlink r:id="rId22" w:history="1">
        <w:r w:rsidRPr="00816C73">
          <w:t>http://data.europa.eu/eli/dir/2022/2464/oj</w:t>
        </w:r>
      </w:hyperlink>
    </w:p>
    <w:p w14:paraId="6968B834" w14:textId="77777777" w:rsidR="00624AC9" w:rsidRPr="00816C73" w:rsidRDefault="00624AC9" w:rsidP="00B44C88">
      <w:pPr>
        <w:pStyle w:val="Rlit"/>
      </w:pPr>
      <w:r w:rsidRPr="00816C73">
        <w:t xml:space="preserve">Directive (EU) 2024/1760 of the European Parliament and of the Council of 13 June 2024 on Corporate Sustainability Due Diligence and Amending Directive (EU) 2019/1937 and Regulation (EU) 2023/2859 (Text with EEA Relevance) (2025). </w:t>
      </w:r>
      <w:hyperlink r:id="rId23" w:history="1">
        <w:r w:rsidRPr="00816C73">
          <w:t>http://data.europa.eu/eli/dir/2024/1760/2025-04-17</w:t>
        </w:r>
      </w:hyperlink>
    </w:p>
    <w:p w14:paraId="716F924E" w14:textId="327FCA59" w:rsidR="00624AC9" w:rsidRPr="00816C73" w:rsidRDefault="00624AC9" w:rsidP="00B44C88">
      <w:pPr>
        <w:pStyle w:val="Rlit"/>
      </w:pPr>
      <w:r w:rsidRPr="00816C73">
        <w:t>Directive 2014/95/EU of the European Parliament and of the Council of 22 October 2014 Amending Directive 2013/34/EU as Regards Disclosure of Non-Financial and Diversity Information by Certain Large Undertakings and Groups</w:t>
      </w:r>
      <w:r w:rsidR="006228B1" w:rsidRPr="00816C73">
        <w:t xml:space="preserve">. </w:t>
      </w:r>
      <w:r w:rsidRPr="00816C73">
        <w:t xml:space="preserve">Text with EEA Relevance, CONSIL, EP, 330 OJ L (2014). </w:t>
      </w:r>
      <w:hyperlink r:id="rId24" w:history="1">
        <w:r w:rsidRPr="00816C73">
          <w:t>http://data.europa.eu/eli/dir/2014/95/oj</w:t>
        </w:r>
      </w:hyperlink>
    </w:p>
    <w:p w14:paraId="604CBE5C" w14:textId="4D05DE51" w:rsidR="00624AC9" w:rsidRPr="00816C73" w:rsidRDefault="00624AC9" w:rsidP="00E52C61">
      <w:pPr>
        <w:pStyle w:val="Rlit"/>
        <w:jc w:val="left"/>
      </w:pPr>
      <w:proofErr w:type="spellStart"/>
      <w:r w:rsidRPr="00816C73">
        <w:t>Dolgui</w:t>
      </w:r>
      <w:proofErr w:type="spellEnd"/>
      <w:r w:rsidRPr="00816C73">
        <w:t xml:space="preserve">, A., &amp; Ivanov, D. (2021). Ripple effect and supply chain disruption management: New trends and research directions. </w:t>
      </w:r>
      <w:r w:rsidRPr="00816C73">
        <w:rPr>
          <w:i/>
          <w:iCs/>
        </w:rPr>
        <w:t>International Journal of Production Research</w:t>
      </w:r>
      <w:r w:rsidRPr="00816C73">
        <w:t xml:space="preserve">, </w:t>
      </w:r>
      <w:r w:rsidRPr="00816C73">
        <w:rPr>
          <w:i/>
          <w:iCs/>
        </w:rPr>
        <w:t>59</w:t>
      </w:r>
      <w:r w:rsidRPr="00816C73">
        <w:t>(1), 102</w:t>
      </w:r>
      <w:r w:rsidR="00E43528">
        <w:t>-</w:t>
      </w:r>
      <w:r w:rsidRPr="00816C73">
        <w:t xml:space="preserve">109. </w:t>
      </w:r>
      <w:hyperlink r:id="rId25" w:history="1">
        <w:r w:rsidRPr="00816C73">
          <w:t>https://doi.org/10.1080/00207543.2021.1840148</w:t>
        </w:r>
      </w:hyperlink>
    </w:p>
    <w:p w14:paraId="7B2FAB5B" w14:textId="192EB9E5" w:rsidR="00624AC9" w:rsidRPr="00816C73" w:rsidRDefault="00624AC9" w:rsidP="00B44C88">
      <w:pPr>
        <w:pStyle w:val="Rlit"/>
      </w:pPr>
      <w:r w:rsidRPr="00816C73">
        <w:t xml:space="preserve">Eccles, R. G., Ioannou, I., &amp; Serafeim, G. (2014). The Impact of Corporate Sustainability on Organizational Processes and Performance. </w:t>
      </w:r>
      <w:r w:rsidRPr="00816C73">
        <w:rPr>
          <w:i/>
          <w:iCs/>
        </w:rPr>
        <w:t>Management Science</w:t>
      </w:r>
      <w:r w:rsidRPr="00816C73">
        <w:t xml:space="preserve">, </w:t>
      </w:r>
      <w:r w:rsidRPr="00816C73">
        <w:rPr>
          <w:i/>
          <w:iCs/>
        </w:rPr>
        <w:t>60</w:t>
      </w:r>
      <w:r w:rsidRPr="00816C73">
        <w:t>(11), 2835</w:t>
      </w:r>
      <w:r w:rsidR="00E43528">
        <w:t>-</w:t>
      </w:r>
      <w:r w:rsidRPr="00816C73">
        <w:t xml:space="preserve">2857. </w:t>
      </w:r>
      <w:hyperlink r:id="rId26" w:history="1">
        <w:r w:rsidRPr="00816C73">
          <w:t>https://doi.org/10.1287/mnsc.2014.1984</w:t>
        </w:r>
      </w:hyperlink>
    </w:p>
    <w:p w14:paraId="6ECDBD63" w14:textId="43840ADC" w:rsidR="00624AC9" w:rsidRPr="00816C73" w:rsidRDefault="00624AC9" w:rsidP="00E52C61">
      <w:pPr>
        <w:pStyle w:val="Rlit"/>
        <w:jc w:val="left"/>
      </w:pPr>
      <w:r w:rsidRPr="00816C73">
        <w:t xml:space="preserve">Friede, G., Busch, T., &amp; Bassen, A. (2015). ESG and financial performance: Aggregated evidence from more than 2000 empirical studies. </w:t>
      </w:r>
      <w:r w:rsidRPr="00816C73">
        <w:rPr>
          <w:i/>
          <w:iCs/>
        </w:rPr>
        <w:t>Journal of Sustainable Finance &amp; Investment</w:t>
      </w:r>
      <w:r w:rsidRPr="00816C73">
        <w:t xml:space="preserve">, </w:t>
      </w:r>
      <w:r w:rsidRPr="00816C73">
        <w:rPr>
          <w:i/>
          <w:iCs/>
        </w:rPr>
        <w:t>5</w:t>
      </w:r>
      <w:r w:rsidRPr="00816C73">
        <w:t>(4), 210</w:t>
      </w:r>
      <w:r w:rsidR="00E43528">
        <w:t>-</w:t>
      </w:r>
      <w:r w:rsidRPr="00816C73">
        <w:t xml:space="preserve">233. </w:t>
      </w:r>
      <w:hyperlink r:id="rId27" w:history="1">
        <w:r w:rsidRPr="00816C73">
          <w:t>https://doi.org/10.1080/20430795.2015.1118917</w:t>
        </w:r>
      </w:hyperlink>
    </w:p>
    <w:p w14:paraId="65E77E91" w14:textId="3AA69FBD" w:rsidR="00624AC9" w:rsidRPr="00816C73" w:rsidRDefault="00624AC9" w:rsidP="00B44C88">
      <w:pPr>
        <w:pStyle w:val="Rlit"/>
      </w:pPr>
      <w:r w:rsidRPr="00816C73">
        <w:t xml:space="preserve">Geissdoerfer, M., </w:t>
      </w:r>
      <w:proofErr w:type="spellStart"/>
      <w:r w:rsidRPr="00816C73">
        <w:t>Savaget</w:t>
      </w:r>
      <w:proofErr w:type="spellEnd"/>
      <w:r w:rsidRPr="00816C73">
        <w:t xml:space="preserve">, P., </w:t>
      </w:r>
      <w:proofErr w:type="spellStart"/>
      <w:r w:rsidRPr="00816C73">
        <w:t>Bocken</w:t>
      </w:r>
      <w:proofErr w:type="spellEnd"/>
      <w:r w:rsidRPr="00816C73">
        <w:t xml:space="preserve">, N. M. P., &amp; </w:t>
      </w:r>
      <w:proofErr w:type="spellStart"/>
      <w:r w:rsidRPr="00816C73">
        <w:t>Hultink</w:t>
      </w:r>
      <w:proofErr w:type="spellEnd"/>
      <w:r w:rsidRPr="00816C73">
        <w:t xml:space="preserve">, E. J. (2017). The Circular Economy – A new sustainability paradigm? </w:t>
      </w:r>
      <w:r w:rsidRPr="00816C73">
        <w:rPr>
          <w:i/>
          <w:iCs/>
        </w:rPr>
        <w:t>Journal of Cleaner Production</w:t>
      </w:r>
      <w:r w:rsidRPr="00816C73">
        <w:t xml:space="preserve">, </w:t>
      </w:r>
      <w:r w:rsidRPr="00816C73">
        <w:rPr>
          <w:i/>
          <w:iCs/>
        </w:rPr>
        <w:t>143</w:t>
      </w:r>
      <w:r w:rsidRPr="00816C73">
        <w:t>, 757</w:t>
      </w:r>
      <w:r w:rsidR="00E43528">
        <w:t>-</w:t>
      </w:r>
      <w:r w:rsidRPr="00816C73">
        <w:t xml:space="preserve">768. </w:t>
      </w:r>
      <w:hyperlink r:id="rId28" w:history="1">
        <w:r w:rsidRPr="00816C73">
          <w:t>https://doi.org/10.1016/j.jclepro.2016.12.048</w:t>
        </w:r>
      </w:hyperlink>
    </w:p>
    <w:p w14:paraId="075EB562" w14:textId="45B3601B" w:rsidR="00624AC9" w:rsidRPr="00816C73" w:rsidRDefault="00624AC9" w:rsidP="00E52C61">
      <w:pPr>
        <w:pStyle w:val="Rlit"/>
        <w:jc w:val="left"/>
      </w:pPr>
      <w:r w:rsidRPr="00114C96">
        <w:rPr>
          <w:spacing w:val="-2"/>
        </w:rPr>
        <w:t xml:space="preserve">Jacyna, M., Wasiak, M., Kłodawski, M., &amp; </w:t>
      </w:r>
      <w:proofErr w:type="spellStart"/>
      <w:r w:rsidRPr="00114C96">
        <w:rPr>
          <w:spacing w:val="-2"/>
        </w:rPr>
        <w:t>Lewczuk</w:t>
      </w:r>
      <w:proofErr w:type="spellEnd"/>
      <w:r w:rsidRPr="00114C96">
        <w:rPr>
          <w:spacing w:val="-2"/>
        </w:rPr>
        <w:t xml:space="preserve">, K. (2014). </w:t>
      </w:r>
      <w:r w:rsidR="003D263D" w:rsidRPr="00114C96">
        <w:rPr>
          <w:spacing w:val="-2"/>
        </w:rPr>
        <w:t xml:space="preserve">Simulation model of transport system of </w:t>
      </w:r>
      <w:r w:rsidR="00E52C61" w:rsidRPr="00114C96">
        <w:rPr>
          <w:spacing w:val="-2"/>
        </w:rPr>
        <w:t>P</w:t>
      </w:r>
      <w:r w:rsidR="003D263D" w:rsidRPr="00114C96">
        <w:rPr>
          <w:spacing w:val="-2"/>
        </w:rPr>
        <w:t>oland as a tool for developing sustainable transport</w:t>
      </w:r>
      <w:r w:rsidRPr="00114C96">
        <w:rPr>
          <w:spacing w:val="-2"/>
        </w:rPr>
        <w:t xml:space="preserve">. </w:t>
      </w:r>
      <w:r w:rsidRPr="00114C96">
        <w:rPr>
          <w:i/>
          <w:iCs/>
          <w:spacing w:val="-2"/>
        </w:rPr>
        <w:t>Archives of Transport</w:t>
      </w:r>
      <w:r w:rsidRPr="00816C73">
        <w:t xml:space="preserve">, </w:t>
      </w:r>
      <w:r w:rsidRPr="00816C73">
        <w:rPr>
          <w:i/>
          <w:iCs/>
        </w:rPr>
        <w:t>31</w:t>
      </w:r>
      <w:r w:rsidRPr="00816C73">
        <w:t>(3), 23</w:t>
      </w:r>
      <w:r w:rsidR="00E43528">
        <w:t>-</w:t>
      </w:r>
      <w:r w:rsidRPr="00816C73">
        <w:t xml:space="preserve">35. </w:t>
      </w:r>
      <w:hyperlink r:id="rId29" w:history="1">
        <w:r w:rsidRPr="00816C73">
          <w:t>https://doi.org/10.5604/08669546.1146982</w:t>
        </w:r>
      </w:hyperlink>
    </w:p>
    <w:p w14:paraId="576137DB" w14:textId="17C02B87" w:rsidR="00624AC9" w:rsidRPr="00816C73" w:rsidRDefault="00624AC9" w:rsidP="00B44C88">
      <w:pPr>
        <w:pStyle w:val="Rlit"/>
      </w:pPr>
      <w:r w:rsidRPr="00816C73">
        <w:t xml:space="preserve">Jacyna, M., </w:t>
      </w:r>
      <w:proofErr w:type="spellStart"/>
      <w:r w:rsidRPr="00816C73">
        <w:t>Żak</w:t>
      </w:r>
      <w:proofErr w:type="spellEnd"/>
      <w:r w:rsidRPr="00816C73">
        <w:t xml:space="preserve">, J., &amp; </w:t>
      </w:r>
      <w:proofErr w:type="spellStart"/>
      <w:r w:rsidRPr="00816C73">
        <w:t>Gołębiowski</w:t>
      </w:r>
      <w:proofErr w:type="spellEnd"/>
      <w:r w:rsidRPr="00816C73">
        <w:t xml:space="preserve">, P. (2019). </w:t>
      </w:r>
      <w:r w:rsidR="003D263D" w:rsidRPr="00816C73">
        <w:t>Use of queueing theory for the analysis of transport processes</w:t>
      </w:r>
      <w:r w:rsidRPr="00816C73">
        <w:t xml:space="preserve">. </w:t>
      </w:r>
      <w:r w:rsidRPr="00816C73">
        <w:rPr>
          <w:i/>
          <w:iCs/>
        </w:rPr>
        <w:t>Logistics and Transport</w:t>
      </w:r>
      <w:r w:rsidRPr="00816C73">
        <w:t xml:space="preserve">, </w:t>
      </w:r>
      <w:r w:rsidRPr="00816C73">
        <w:rPr>
          <w:i/>
          <w:iCs/>
        </w:rPr>
        <w:t>41</w:t>
      </w:r>
      <w:r w:rsidRPr="00816C73">
        <w:t xml:space="preserve">, 101. </w:t>
      </w:r>
      <w:hyperlink r:id="rId30" w:history="1">
        <w:r w:rsidRPr="00816C73">
          <w:t>https://doi.org/10.26411/83-1734-2015-1-41-12-19</w:t>
        </w:r>
      </w:hyperlink>
    </w:p>
    <w:p w14:paraId="47A8C2CC" w14:textId="387094D3" w:rsidR="00624AC9" w:rsidRPr="00816C73" w:rsidRDefault="00624AC9" w:rsidP="00B44C88">
      <w:pPr>
        <w:pStyle w:val="Rlit"/>
      </w:pPr>
      <w:proofErr w:type="spellStart"/>
      <w:r w:rsidRPr="00816C73">
        <w:t>Jacyna-Gołda</w:t>
      </w:r>
      <w:proofErr w:type="spellEnd"/>
      <w:r w:rsidRPr="00816C73">
        <w:t xml:space="preserve">, I., Izdebski, M., Szczepański, E., &amp; </w:t>
      </w:r>
      <w:proofErr w:type="spellStart"/>
      <w:r w:rsidRPr="00816C73">
        <w:t>Gołda</w:t>
      </w:r>
      <w:proofErr w:type="spellEnd"/>
      <w:r w:rsidRPr="00816C73">
        <w:t xml:space="preserve">, P. (2018). The assessment of supply chain effectiveness. </w:t>
      </w:r>
      <w:r w:rsidRPr="00816C73">
        <w:rPr>
          <w:i/>
          <w:iCs/>
        </w:rPr>
        <w:t>Archives of Transport</w:t>
      </w:r>
      <w:r w:rsidRPr="00816C73">
        <w:t xml:space="preserve">, </w:t>
      </w:r>
      <w:r w:rsidRPr="00816C73">
        <w:rPr>
          <w:i/>
          <w:iCs/>
        </w:rPr>
        <w:t>45</w:t>
      </w:r>
      <w:r w:rsidRPr="00816C73">
        <w:t>(1), 43</w:t>
      </w:r>
      <w:r w:rsidR="00E43528">
        <w:t>-</w:t>
      </w:r>
      <w:r w:rsidRPr="00816C73">
        <w:t xml:space="preserve">52. </w:t>
      </w:r>
      <w:hyperlink r:id="rId31" w:history="1">
        <w:r w:rsidRPr="00816C73">
          <w:t>https://doi.org/10.5604/01.3001.0012.0966</w:t>
        </w:r>
      </w:hyperlink>
    </w:p>
    <w:p w14:paraId="3045D7B7" w14:textId="6CAB8BDC" w:rsidR="00624AC9" w:rsidRPr="00816C73" w:rsidRDefault="00624AC9" w:rsidP="00B44C88">
      <w:pPr>
        <w:pStyle w:val="Rlit"/>
      </w:pPr>
      <w:r w:rsidRPr="00816C73">
        <w:t xml:space="preserve">Jamali, D., &amp; Karam, C. (2018). Corporate Social Responsibility in Developing Countries as an Emerging Field of Study. </w:t>
      </w:r>
      <w:r w:rsidRPr="00816C73">
        <w:rPr>
          <w:i/>
          <w:iCs/>
        </w:rPr>
        <w:t>International Journal of Management Reviews</w:t>
      </w:r>
      <w:r w:rsidRPr="00816C73">
        <w:t xml:space="preserve">, </w:t>
      </w:r>
      <w:r w:rsidRPr="00816C73">
        <w:rPr>
          <w:i/>
          <w:iCs/>
        </w:rPr>
        <w:t>20</w:t>
      </w:r>
      <w:r w:rsidRPr="00816C73">
        <w:t>(1), 32</w:t>
      </w:r>
      <w:r w:rsidR="00E43528">
        <w:t>-</w:t>
      </w:r>
      <w:r w:rsidRPr="00816C73">
        <w:t xml:space="preserve">61. </w:t>
      </w:r>
      <w:hyperlink r:id="rId32" w:history="1">
        <w:r w:rsidRPr="00816C73">
          <w:t>https://doi.org/10.1111/ijmr.12112</w:t>
        </w:r>
      </w:hyperlink>
    </w:p>
    <w:p w14:paraId="4E84E871" w14:textId="76DEC6AB" w:rsidR="00624AC9" w:rsidRPr="00816C73" w:rsidRDefault="00624AC9" w:rsidP="00B44C88">
      <w:pPr>
        <w:pStyle w:val="Rlit"/>
      </w:pPr>
      <w:proofErr w:type="spellStart"/>
      <w:r w:rsidRPr="00816C73">
        <w:t>Keiningham</w:t>
      </w:r>
      <w:proofErr w:type="spellEnd"/>
      <w:r w:rsidRPr="00816C73">
        <w:t xml:space="preserve">, T. L., Cooil, B., Andreassen, T. W., &amp; Aksoy, L. (2007). A Longitudinal Examination of Net Promoter and Firm Revenue Growth. </w:t>
      </w:r>
      <w:r w:rsidRPr="00816C73">
        <w:rPr>
          <w:i/>
          <w:iCs/>
        </w:rPr>
        <w:t>Journal of Marketing</w:t>
      </w:r>
      <w:r w:rsidRPr="00816C73">
        <w:t xml:space="preserve">, </w:t>
      </w:r>
      <w:r w:rsidRPr="00816C73">
        <w:rPr>
          <w:i/>
          <w:iCs/>
        </w:rPr>
        <w:t>71</w:t>
      </w:r>
      <w:r w:rsidRPr="00816C73">
        <w:t>(3), 39</w:t>
      </w:r>
      <w:r w:rsidR="00E43528">
        <w:t>-</w:t>
      </w:r>
      <w:r w:rsidRPr="00816C73">
        <w:t xml:space="preserve">51. </w:t>
      </w:r>
      <w:hyperlink r:id="rId33" w:history="1">
        <w:r w:rsidRPr="00816C73">
          <w:t>https://doi.org/10.1509/jmkg.71.3.039</w:t>
        </w:r>
      </w:hyperlink>
    </w:p>
    <w:p w14:paraId="5BD60AD2" w14:textId="38D3D087" w:rsidR="00624AC9" w:rsidRPr="00816C73" w:rsidRDefault="00624AC9" w:rsidP="00B44C88">
      <w:pPr>
        <w:pStyle w:val="Rlit"/>
      </w:pPr>
      <w:r w:rsidRPr="00816C73">
        <w:t xml:space="preserve">Kiciński, M., &amp; Solecka, K. (2018). Application of MCDA/MCDM methods for an integrated urban public transportation system – case study, city of Cracow. </w:t>
      </w:r>
      <w:r w:rsidRPr="00816C73">
        <w:rPr>
          <w:i/>
          <w:iCs/>
        </w:rPr>
        <w:t>Archives of Transport</w:t>
      </w:r>
      <w:r w:rsidRPr="00816C73">
        <w:t xml:space="preserve">, </w:t>
      </w:r>
      <w:r w:rsidRPr="00816C73">
        <w:rPr>
          <w:i/>
          <w:iCs/>
        </w:rPr>
        <w:t>46</w:t>
      </w:r>
      <w:r w:rsidRPr="00816C73">
        <w:t>(2), 71</w:t>
      </w:r>
      <w:r w:rsidR="00E43528">
        <w:t>-</w:t>
      </w:r>
      <w:r w:rsidRPr="00816C73">
        <w:t xml:space="preserve">84. </w:t>
      </w:r>
      <w:hyperlink r:id="rId34" w:history="1">
        <w:r w:rsidRPr="00816C73">
          <w:t>https://doi.org/10.5604/01.3001.0012.2107</w:t>
        </w:r>
      </w:hyperlink>
    </w:p>
    <w:p w14:paraId="3D6A0DFB" w14:textId="0B32047F" w:rsidR="00624AC9" w:rsidRPr="00816C73" w:rsidRDefault="00624AC9" w:rsidP="00B44C88">
      <w:pPr>
        <w:pStyle w:val="Rlit"/>
      </w:pPr>
      <w:r w:rsidRPr="00816C73">
        <w:t xml:space="preserve">Köhler, J., Geels, F. W., Kern, F., </w:t>
      </w:r>
      <w:proofErr w:type="spellStart"/>
      <w:r w:rsidRPr="00816C73">
        <w:t>Markard</w:t>
      </w:r>
      <w:proofErr w:type="spellEnd"/>
      <w:r w:rsidRPr="00816C73">
        <w:t xml:space="preserve">, J., Onsongo, E., Wieczorek, A., Alkemade, F., Avelino, F., </w:t>
      </w:r>
      <w:proofErr w:type="spellStart"/>
      <w:r w:rsidRPr="00816C73">
        <w:t>Bergek</w:t>
      </w:r>
      <w:proofErr w:type="spellEnd"/>
      <w:r w:rsidRPr="00816C73">
        <w:t xml:space="preserve">, A., Boons, F., </w:t>
      </w:r>
      <w:proofErr w:type="spellStart"/>
      <w:r w:rsidRPr="00816C73">
        <w:t>Fünfschilling</w:t>
      </w:r>
      <w:proofErr w:type="spellEnd"/>
      <w:r w:rsidRPr="00816C73">
        <w:t xml:space="preserve">, L., Hess, D., Holtz, G., </w:t>
      </w:r>
      <w:proofErr w:type="spellStart"/>
      <w:r w:rsidRPr="00816C73">
        <w:t>Hyysalo</w:t>
      </w:r>
      <w:proofErr w:type="spellEnd"/>
      <w:r w:rsidRPr="00816C73">
        <w:t xml:space="preserve">, S., Jenkins, K., </w:t>
      </w:r>
      <w:proofErr w:type="spellStart"/>
      <w:r w:rsidRPr="00816C73">
        <w:t>Kivimaa</w:t>
      </w:r>
      <w:proofErr w:type="spellEnd"/>
      <w:r w:rsidRPr="00816C73">
        <w:t xml:space="preserve">, P., </w:t>
      </w:r>
      <w:proofErr w:type="spellStart"/>
      <w:r w:rsidRPr="00816C73">
        <w:t>Martiskainen</w:t>
      </w:r>
      <w:proofErr w:type="spellEnd"/>
      <w:r w:rsidRPr="00816C73">
        <w:t xml:space="preserve">, M., McMeekin, A., </w:t>
      </w:r>
      <w:proofErr w:type="spellStart"/>
      <w:r w:rsidRPr="00816C73">
        <w:t>Mühlemeier</w:t>
      </w:r>
      <w:proofErr w:type="spellEnd"/>
      <w:r w:rsidRPr="00816C73">
        <w:t xml:space="preserve">, M. S., … Wells, P. (2019). An agenda for sustainability transitions research: State of the art and future directions. </w:t>
      </w:r>
      <w:r w:rsidRPr="00816C73">
        <w:rPr>
          <w:i/>
          <w:iCs/>
        </w:rPr>
        <w:t>Environmental Innovation and Societal Transitions</w:t>
      </w:r>
      <w:r w:rsidRPr="00816C73">
        <w:t xml:space="preserve">, </w:t>
      </w:r>
      <w:r w:rsidRPr="00816C73">
        <w:rPr>
          <w:i/>
          <w:iCs/>
        </w:rPr>
        <w:t>31</w:t>
      </w:r>
      <w:r w:rsidRPr="00816C73">
        <w:t>, 1</w:t>
      </w:r>
      <w:r w:rsidR="00E43528">
        <w:t>-</w:t>
      </w:r>
      <w:r w:rsidRPr="00816C73">
        <w:t xml:space="preserve">32. </w:t>
      </w:r>
      <w:hyperlink r:id="rId35" w:history="1">
        <w:r w:rsidRPr="00816C73">
          <w:t>https://doi.org/10.1016/j.eist.2019.01.004</w:t>
        </w:r>
      </w:hyperlink>
    </w:p>
    <w:p w14:paraId="28A71B0B" w14:textId="5F9AC0B6" w:rsidR="00624AC9" w:rsidRPr="00816C73" w:rsidRDefault="00624AC9" w:rsidP="00B44C88">
      <w:pPr>
        <w:pStyle w:val="Rlit"/>
      </w:pPr>
      <w:proofErr w:type="spellStart"/>
      <w:r w:rsidRPr="00816C73">
        <w:t>Kotsantonis</w:t>
      </w:r>
      <w:proofErr w:type="spellEnd"/>
      <w:r w:rsidRPr="00816C73">
        <w:t xml:space="preserve">, S., Pinney, C., &amp; Serafeim, G. (2016). ESG Integration in Investment Management: Myths and Realities. </w:t>
      </w:r>
      <w:r w:rsidRPr="00816C73">
        <w:rPr>
          <w:i/>
          <w:iCs/>
        </w:rPr>
        <w:t>Journal of Applied Corporate Finance</w:t>
      </w:r>
      <w:r w:rsidRPr="00816C73">
        <w:t xml:space="preserve">, </w:t>
      </w:r>
      <w:r w:rsidRPr="00816C73">
        <w:rPr>
          <w:i/>
          <w:iCs/>
        </w:rPr>
        <w:t>28</w:t>
      </w:r>
      <w:r w:rsidRPr="00816C73">
        <w:t>(2), 10</w:t>
      </w:r>
      <w:r w:rsidR="00E43528">
        <w:t>-</w:t>
      </w:r>
      <w:r w:rsidRPr="00816C73">
        <w:t xml:space="preserve">16. </w:t>
      </w:r>
      <w:hyperlink r:id="rId36" w:history="1">
        <w:r w:rsidRPr="00816C73">
          <w:t>https://doi.org/10.1111/jacf.12169</w:t>
        </w:r>
      </w:hyperlink>
    </w:p>
    <w:p w14:paraId="75BD6811" w14:textId="3B85DCC9" w:rsidR="00E72EDD" w:rsidRPr="00816C73" w:rsidRDefault="00E72EDD" w:rsidP="00E52C61">
      <w:pPr>
        <w:pStyle w:val="Rlit"/>
        <w:jc w:val="left"/>
      </w:pPr>
      <w:r w:rsidRPr="00816C73">
        <w:t xml:space="preserve">Kuczynski, W., Kaminski, K., Znaczko, P., Chamier-Gliszczynski, N., </w:t>
      </w:r>
      <w:r w:rsidR="00E52C61">
        <w:t xml:space="preserve">&amp; </w:t>
      </w:r>
      <w:r w:rsidRPr="00816C73">
        <w:t xml:space="preserve">Piatkowski, P. (2021). On the correlation between the geometrical features and thermal efficiency of flat-plate solar collectors. </w:t>
      </w:r>
      <w:r w:rsidRPr="00816C73">
        <w:rPr>
          <w:i/>
        </w:rPr>
        <w:t>Energies</w:t>
      </w:r>
      <w:r w:rsidRPr="00E52C61">
        <w:rPr>
          <w:iCs/>
        </w:rPr>
        <w:t xml:space="preserve">, </w:t>
      </w:r>
      <w:r w:rsidRPr="00E52C61">
        <w:rPr>
          <w:i/>
          <w:iCs/>
        </w:rPr>
        <w:t>14</w:t>
      </w:r>
      <w:r w:rsidRPr="00816C73">
        <w:t xml:space="preserve">(2), 261, </w:t>
      </w:r>
      <w:hyperlink r:id="rId37" w:history="1">
        <w:r w:rsidRPr="00816C73">
          <w:t>https://doi.org/10.3390/en14020261</w:t>
        </w:r>
      </w:hyperlink>
    </w:p>
    <w:p w14:paraId="2DC54C10" w14:textId="1EB3E53F" w:rsidR="00624AC9" w:rsidRPr="00816C73" w:rsidRDefault="00624AC9" w:rsidP="00B44C88">
      <w:pPr>
        <w:pStyle w:val="Rlit"/>
      </w:pPr>
      <w:r w:rsidRPr="00816C73">
        <w:t xml:space="preserve">Kukulski, J., </w:t>
      </w:r>
      <w:proofErr w:type="spellStart"/>
      <w:r w:rsidRPr="00816C73">
        <w:t>Lewczuk</w:t>
      </w:r>
      <w:proofErr w:type="spellEnd"/>
      <w:r w:rsidRPr="00816C73">
        <w:t xml:space="preserve">, K., Góra, I., &amp; Wasiak, M. (2023). Methodological aspects of risk mapping in multimode transport systems. </w:t>
      </w:r>
      <w:proofErr w:type="spellStart"/>
      <w:r w:rsidRPr="00816C73">
        <w:rPr>
          <w:i/>
          <w:iCs/>
        </w:rPr>
        <w:t>Eksploatacja</w:t>
      </w:r>
      <w:proofErr w:type="spellEnd"/>
      <w:r w:rsidRPr="00816C73">
        <w:rPr>
          <w:i/>
          <w:iCs/>
        </w:rPr>
        <w:t xml:space="preserve"> </w:t>
      </w:r>
      <w:proofErr w:type="spellStart"/>
      <w:r w:rsidRPr="00816C73">
        <w:rPr>
          <w:i/>
          <w:iCs/>
        </w:rPr>
        <w:t>i</w:t>
      </w:r>
      <w:proofErr w:type="spellEnd"/>
      <w:r w:rsidRPr="00816C73">
        <w:rPr>
          <w:i/>
          <w:iCs/>
        </w:rPr>
        <w:t xml:space="preserve"> </w:t>
      </w:r>
      <w:proofErr w:type="spellStart"/>
      <w:r w:rsidRPr="00816C73">
        <w:rPr>
          <w:i/>
          <w:iCs/>
        </w:rPr>
        <w:t>Niezawodność</w:t>
      </w:r>
      <w:proofErr w:type="spellEnd"/>
      <w:r w:rsidRPr="00816C73">
        <w:rPr>
          <w:i/>
          <w:iCs/>
        </w:rPr>
        <w:t xml:space="preserve"> – Maintenance and Reliability</w:t>
      </w:r>
      <w:r w:rsidRPr="00816C73">
        <w:t xml:space="preserve">, </w:t>
      </w:r>
      <w:r w:rsidRPr="00816C73">
        <w:rPr>
          <w:i/>
          <w:iCs/>
        </w:rPr>
        <w:t>25</w:t>
      </w:r>
      <w:r w:rsidRPr="00816C73">
        <w:t xml:space="preserve">(1). </w:t>
      </w:r>
      <w:hyperlink r:id="rId38" w:history="1">
        <w:r w:rsidRPr="00816C73">
          <w:t>https://doi.org/10.17531/ein.2023.1.19</w:t>
        </w:r>
      </w:hyperlink>
    </w:p>
    <w:p w14:paraId="0503DE34" w14:textId="378F6225" w:rsidR="00624AC9" w:rsidRPr="00816C73" w:rsidRDefault="00624AC9" w:rsidP="00B44C88">
      <w:pPr>
        <w:pStyle w:val="Rlit"/>
      </w:pPr>
      <w:r w:rsidRPr="00816C73">
        <w:t xml:space="preserve">Kuzmina, J., </w:t>
      </w:r>
      <w:proofErr w:type="spellStart"/>
      <w:r w:rsidRPr="00816C73">
        <w:t>Maditinos</w:t>
      </w:r>
      <w:proofErr w:type="spellEnd"/>
      <w:r w:rsidRPr="00816C73">
        <w:t xml:space="preserve">, D., Norena-Chavez, D., Grima, S., &amp; Kadłubek, M. (2023). ESG Integration as a Risk Management Tool within the Financial Decision-making Process. In S. Grima, E. </w:t>
      </w:r>
      <w:proofErr w:type="spellStart"/>
      <w:r w:rsidRPr="00816C73">
        <w:t>Thalassinos</w:t>
      </w:r>
      <w:proofErr w:type="spellEnd"/>
      <w:r w:rsidRPr="00816C73">
        <w:t>, M. Cristea, M. Kadłubek, D.</w:t>
      </w:r>
      <w:r w:rsidR="00114C96">
        <w:t> </w:t>
      </w:r>
      <w:r w:rsidRPr="00816C73">
        <w:t xml:space="preserve">Maditinos, &amp; L. </w:t>
      </w:r>
      <w:proofErr w:type="spellStart"/>
      <w:r w:rsidRPr="00816C73">
        <w:t>Peiseniece</w:t>
      </w:r>
      <w:proofErr w:type="spellEnd"/>
      <w:r w:rsidRPr="00816C73">
        <w:t xml:space="preserve"> (Eds.), </w:t>
      </w:r>
      <w:r w:rsidRPr="00816C73">
        <w:rPr>
          <w:i/>
          <w:iCs/>
        </w:rPr>
        <w:t>Contemporary Studies in Economic and Financial Analysis</w:t>
      </w:r>
      <w:r w:rsidRPr="00816C73">
        <w:t xml:space="preserve"> (pp. 105</w:t>
      </w:r>
      <w:r w:rsidR="00E43528">
        <w:t>-</w:t>
      </w:r>
      <w:r w:rsidRPr="00816C73">
        <w:t xml:space="preserve">113). Emerald Publishing Limited. </w:t>
      </w:r>
      <w:hyperlink r:id="rId39" w:history="1">
        <w:r w:rsidRPr="00816C73">
          <w:t>https://doi.org/10.1108/S1569-37592023000111A007</w:t>
        </w:r>
      </w:hyperlink>
    </w:p>
    <w:p w14:paraId="5FA674B0" w14:textId="70DC9042" w:rsidR="00C16A11" w:rsidRPr="00816C73" w:rsidRDefault="00C16A11" w:rsidP="00B44C88">
      <w:pPr>
        <w:pStyle w:val="Rlit"/>
      </w:pPr>
      <w:r w:rsidRPr="00816C73">
        <w:t xml:space="preserve">Lenort, R., Baran, J., </w:t>
      </w:r>
      <w:proofErr w:type="spellStart"/>
      <w:r w:rsidRPr="00816C73">
        <w:t>Wysokiński</w:t>
      </w:r>
      <w:proofErr w:type="spellEnd"/>
      <w:r w:rsidRPr="00816C73">
        <w:t xml:space="preserve">, M., </w:t>
      </w:r>
      <w:proofErr w:type="spellStart"/>
      <w:r w:rsidRPr="00816C73">
        <w:t>Gołasa</w:t>
      </w:r>
      <w:proofErr w:type="spellEnd"/>
      <w:r w:rsidRPr="00816C73">
        <w:t xml:space="preserve">, P., </w:t>
      </w:r>
      <w:proofErr w:type="spellStart"/>
      <w:r w:rsidRPr="00816C73">
        <w:t>Bieńkowska-Gołasa</w:t>
      </w:r>
      <w:proofErr w:type="spellEnd"/>
      <w:r w:rsidRPr="00816C73">
        <w:t xml:space="preserve">, W., </w:t>
      </w:r>
      <w:proofErr w:type="spellStart"/>
      <w:r w:rsidRPr="00816C73">
        <w:t>Golonko</w:t>
      </w:r>
      <w:proofErr w:type="spellEnd"/>
      <w:r w:rsidRPr="00816C73">
        <w:t xml:space="preserve">, M., </w:t>
      </w:r>
      <w:r w:rsidR="00E52C61">
        <w:t xml:space="preserve">&amp; </w:t>
      </w:r>
      <w:proofErr w:type="spellStart"/>
      <w:r w:rsidRPr="00816C73">
        <w:t>Chamier-Gliszczyński</w:t>
      </w:r>
      <w:proofErr w:type="spellEnd"/>
      <w:r w:rsidRPr="00816C73">
        <w:t xml:space="preserve">, N. (2019). Economic and environmental efficiency of the chemical industry in Europe in 2010-2016. </w:t>
      </w:r>
      <w:proofErr w:type="spellStart"/>
      <w:r w:rsidRPr="00816C73">
        <w:rPr>
          <w:i/>
        </w:rPr>
        <w:t>Rocznik</w:t>
      </w:r>
      <w:proofErr w:type="spellEnd"/>
      <w:r w:rsidRPr="00816C73">
        <w:rPr>
          <w:i/>
        </w:rPr>
        <w:t xml:space="preserve"> </w:t>
      </w:r>
      <w:proofErr w:type="spellStart"/>
      <w:r w:rsidRPr="00816C73">
        <w:rPr>
          <w:i/>
        </w:rPr>
        <w:t>Ochrona</w:t>
      </w:r>
      <w:proofErr w:type="spellEnd"/>
      <w:r w:rsidRPr="00816C73">
        <w:rPr>
          <w:i/>
        </w:rPr>
        <w:t xml:space="preserve"> </w:t>
      </w:r>
      <w:proofErr w:type="spellStart"/>
      <w:r w:rsidR="00E52C61">
        <w:rPr>
          <w:i/>
        </w:rPr>
        <w:t>Ś</w:t>
      </w:r>
      <w:r w:rsidRPr="00816C73">
        <w:rPr>
          <w:i/>
        </w:rPr>
        <w:t>rodowiska</w:t>
      </w:r>
      <w:proofErr w:type="spellEnd"/>
      <w:r w:rsidRPr="00E52C61">
        <w:rPr>
          <w:iCs/>
        </w:rPr>
        <w:t xml:space="preserve">, </w:t>
      </w:r>
      <w:r w:rsidRPr="00E52C61">
        <w:rPr>
          <w:i/>
          <w:iCs/>
        </w:rPr>
        <w:t>21</w:t>
      </w:r>
      <w:r w:rsidR="00E52C61">
        <w:t>(</w:t>
      </w:r>
      <w:r w:rsidRPr="00816C73">
        <w:t>2</w:t>
      </w:r>
      <w:r w:rsidR="00E52C61">
        <w:t>)</w:t>
      </w:r>
      <w:r w:rsidRPr="00816C73">
        <w:t>, 1398-1404.</w:t>
      </w:r>
    </w:p>
    <w:p w14:paraId="007022F2" w14:textId="0A3343BC" w:rsidR="00624AC9" w:rsidRPr="00816C73" w:rsidRDefault="00624AC9" w:rsidP="00B44C88">
      <w:pPr>
        <w:pStyle w:val="Rlit"/>
      </w:pPr>
      <w:r w:rsidRPr="00816C73">
        <w:t xml:space="preserve">Ma, C., Zhang, L., You, L., &amp; Tian, W. (2025). A Review of Supply Chain Resilience: A Network Modeling Perspective. </w:t>
      </w:r>
      <w:r w:rsidRPr="00816C73">
        <w:rPr>
          <w:i/>
          <w:iCs/>
        </w:rPr>
        <w:t>Applied Sciences</w:t>
      </w:r>
      <w:r w:rsidRPr="00816C73">
        <w:t xml:space="preserve">, </w:t>
      </w:r>
      <w:r w:rsidRPr="00816C73">
        <w:rPr>
          <w:i/>
          <w:iCs/>
        </w:rPr>
        <w:t>15</w:t>
      </w:r>
      <w:r w:rsidRPr="00816C73">
        <w:t xml:space="preserve">(1), 265. </w:t>
      </w:r>
      <w:hyperlink r:id="rId40" w:history="1">
        <w:r w:rsidRPr="00816C73">
          <w:t>https://doi.org/10.3390/app15010265</w:t>
        </w:r>
      </w:hyperlink>
    </w:p>
    <w:p w14:paraId="68F95E46" w14:textId="12B4E49C" w:rsidR="00624AC9" w:rsidRPr="00816C73" w:rsidRDefault="00624AC9" w:rsidP="00B44C88">
      <w:pPr>
        <w:pStyle w:val="Rlit"/>
      </w:pPr>
      <w:r w:rsidRPr="00816C73">
        <w:t xml:space="preserve">Mangiaracina, R., </w:t>
      </w:r>
      <w:proofErr w:type="spellStart"/>
      <w:r w:rsidRPr="00816C73">
        <w:t>Marchet</w:t>
      </w:r>
      <w:proofErr w:type="spellEnd"/>
      <w:r w:rsidRPr="00816C73">
        <w:t xml:space="preserve">, G., Perotti, S., &amp; Tumino, A. (2015). A review of the environmental implications of B2C </w:t>
      </w:r>
      <w:r w:rsidR="00114C96">
        <w:br/>
      </w:r>
      <w:r w:rsidRPr="00816C73">
        <w:t xml:space="preserve">e-commerce: A logistics perspective. </w:t>
      </w:r>
      <w:r w:rsidRPr="00816C73">
        <w:rPr>
          <w:i/>
          <w:iCs/>
        </w:rPr>
        <w:t>International Journal of Physical Distribution &amp; Logistics Management</w:t>
      </w:r>
      <w:r w:rsidRPr="00816C73">
        <w:t xml:space="preserve">, </w:t>
      </w:r>
      <w:r w:rsidRPr="00816C73">
        <w:rPr>
          <w:i/>
          <w:iCs/>
        </w:rPr>
        <w:t>45</w:t>
      </w:r>
      <w:r w:rsidRPr="00816C73">
        <w:t>(6), 565</w:t>
      </w:r>
      <w:r w:rsidR="00E43528">
        <w:t>-</w:t>
      </w:r>
      <w:r w:rsidRPr="00816C73">
        <w:t xml:space="preserve">591. </w:t>
      </w:r>
      <w:hyperlink r:id="rId41" w:history="1">
        <w:r w:rsidRPr="00816C73">
          <w:t>https://doi.org/10.1108/IJPDLM-06-2014-0133</w:t>
        </w:r>
      </w:hyperlink>
    </w:p>
    <w:p w14:paraId="41A2A4C2" w14:textId="77777777" w:rsidR="00624AC9" w:rsidRPr="00816C73" w:rsidRDefault="00624AC9" w:rsidP="00E52C61">
      <w:pPr>
        <w:pStyle w:val="Rlit"/>
        <w:jc w:val="left"/>
      </w:pPr>
      <w:r w:rsidRPr="00816C73">
        <w:t xml:space="preserve">Martiny, A., Taglialatela, J., Testa, F., &amp; </w:t>
      </w:r>
      <w:proofErr w:type="spellStart"/>
      <w:r w:rsidRPr="00816C73">
        <w:t>Iraldo</w:t>
      </w:r>
      <w:proofErr w:type="spellEnd"/>
      <w:r w:rsidRPr="00816C73">
        <w:t xml:space="preserve">, F. (2024). Determinants of environmental social and governance (ESG) performance: A systematic literature review. </w:t>
      </w:r>
      <w:r w:rsidRPr="00816C73">
        <w:rPr>
          <w:i/>
          <w:iCs/>
        </w:rPr>
        <w:t>Journal of Cleaner Production</w:t>
      </w:r>
      <w:r w:rsidRPr="00816C73">
        <w:t xml:space="preserve">, </w:t>
      </w:r>
      <w:r w:rsidRPr="00816C73">
        <w:rPr>
          <w:i/>
          <w:iCs/>
        </w:rPr>
        <w:t>456</w:t>
      </w:r>
      <w:r w:rsidRPr="00816C73">
        <w:t xml:space="preserve">, 142213. </w:t>
      </w:r>
      <w:hyperlink r:id="rId42" w:history="1">
        <w:r w:rsidRPr="00816C73">
          <w:t>https://doi.org/10.1016/j.jclepro.2024.142213</w:t>
        </w:r>
      </w:hyperlink>
    </w:p>
    <w:p w14:paraId="1797790D" w14:textId="77777777" w:rsidR="00624AC9" w:rsidRPr="00816C73" w:rsidRDefault="00624AC9" w:rsidP="00B44C88">
      <w:pPr>
        <w:pStyle w:val="Rlit"/>
      </w:pPr>
      <w:r w:rsidRPr="00816C73">
        <w:t xml:space="preserve">McKinnon, P. A. (2018). </w:t>
      </w:r>
      <w:r w:rsidRPr="00816C73">
        <w:rPr>
          <w:i/>
          <w:iCs/>
        </w:rPr>
        <w:t>Decarbonizing Logistics: Distributing Goods in a Low Carbon World</w:t>
      </w:r>
      <w:r w:rsidRPr="00816C73">
        <w:t>. Kogan Page.</w:t>
      </w:r>
    </w:p>
    <w:p w14:paraId="290BA1A5" w14:textId="636B0F10" w:rsidR="00624AC9" w:rsidRPr="00816C73" w:rsidRDefault="00624AC9" w:rsidP="00B44C88">
      <w:pPr>
        <w:pStyle w:val="Rlit"/>
      </w:pPr>
      <w:proofErr w:type="spellStart"/>
      <w:r w:rsidRPr="00816C73">
        <w:t>Motowidlak</w:t>
      </w:r>
      <w:proofErr w:type="spellEnd"/>
      <w:r w:rsidRPr="00816C73">
        <w:t>, U., &amp; Bukowska-</w:t>
      </w:r>
      <w:proofErr w:type="spellStart"/>
      <w:r w:rsidRPr="00816C73">
        <w:t>Piestrzyńska</w:t>
      </w:r>
      <w:proofErr w:type="spellEnd"/>
      <w:r w:rsidRPr="00816C73">
        <w:t xml:space="preserve">, A. (2024). ESG criteria as determinants of sustainable transformation of supply chains. </w:t>
      </w:r>
      <w:r w:rsidRPr="00816C73">
        <w:rPr>
          <w:i/>
          <w:iCs/>
        </w:rPr>
        <w:t>Scientific Journal of Silesian University of Technology. Series Transport</w:t>
      </w:r>
      <w:r w:rsidRPr="00816C73">
        <w:t xml:space="preserve">, </w:t>
      </w:r>
      <w:r w:rsidRPr="00816C73">
        <w:rPr>
          <w:i/>
          <w:iCs/>
        </w:rPr>
        <w:t>207</w:t>
      </w:r>
      <w:r w:rsidRPr="00816C73">
        <w:t>, 371</w:t>
      </w:r>
      <w:r w:rsidR="00E43528">
        <w:t>-</w:t>
      </w:r>
      <w:r w:rsidRPr="00816C73">
        <w:t>387.</w:t>
      </w:r>
    </w:p>
    <w:p w14:paraId="3E44FA14" w14:textId="77777777" w:rsidR="00624AC9" w:rsidRPr="00816C73" w:rsidRDefault="00624AC9" w:rsidP="00B44C88">
      <w:pPr>
        <w:pStyle w:val="Rlit"/>
      </w:pPr>
      <w:r w:rsidRPr="00816C73">
        <w:t xml:space="preserve">OECD. (2020). </w:t>
      </w:r>
      <w:r w:rsidRPr="00816C73">
        <w:rPr>
          <w:i/>
          <w:iCs/>
        </w:rPr>
        <w:t>ESG Investing: Practices, Progress and Challenges</w:t>
      </w:r>
      <w:r w:rsidRPr="00816C73">
        <w:t xml:space="preserve">. OECD. </w:t>
      </w:r>
      <w:hyperlink r:id="rId43" w:history="1">
        <w:r w:rsidRPr="00816C73">
          <w:t>https://doi.org/10.1787/b4f71091-en</w:t>
        </w:r>
      </w:hyperlink>
    </w:p>
    <w:p w14:paraId="773AA183" w14:textId="7F59293F" w:rsidR="00624AC9" w:rsidRPr="00816C73" w:rsidRDefault="00624AC9" w:rsidP="00B44C88">
      <w:pPr>
        <w:pStyle w:val="Rlit"/>
      </w:pPr>
      <w:r w:rsidRPr="00816C73">
        <w:lastRenderedPageBreak/>
        <w:t xml:space="preserve">Ponomarov, S. Y., &amp; Holcomb, M. C. (2009). Understanding the concept of supply chain resilience. </w:t>
      </w:r>
      <w:r w:rsidRPr="00816C73">
        <w:rPr>
          <w:i/>
          <w:iCs/>
        </w:rPr>
        <w:t>The International Journal of Logistics Management</w:t>
      </w:r>
      <w:r w:rsidRPr="00816C73">
        <w:t xml:space="preserve">, </w:t>
      </w:r>
      <w:r w:rsidRPr="00816C73">
        <w:rPr>
          <w:i/>
          <w:iCs/>
        </w:rPr>
        <w:t>20</w:t>
      </w:r>
      <w:r w:rsidRPr="00816C73">
        <w:t>(1), 124</w:t>
      </w:r>
      <w:r w:rsidR="00E43528">
        <w:t>-</w:t>
      </w:r>
      <w:r w:rsidRPr="00816C73">
        <w:t xml:space="preserve">143. </w:t>
      </w:r>
      <w:hyperlink r:id="rId44" w:history="1">
        <w:r w:rsidRPr="00816C73">
          <w:t>https://doi.org/10.1108/09574090910954873</w:t>
        </w:r>
      </w:hyperlink>
    </w:p>
    <w:p w14:paraId="1F530D09" w14:textId="2B35E355" w:rsidR="00624AC9" w:rsidRPr="00816C73" w:rsidRDefault="00624AC9" w:rsidP="00B44C88">
      <w:pPr>
        <w:pStyle w:val="Rlit"/>
      </w:pPr>
      <w:r w:rsidRPr="00816C73">
        <w:t>Regulation (EU) 2020/852 of the European Parliament and of the Council of 18 June 2020 on the Establishment of a</w:t>
      </w:r>
      <w:r w:rsidR="00114C96">
        <w:t> </w:t>
      </w:r>
      <w:r w:rsidRPr="00816C73">
        <w:t xml:space="preserve">Framework to Facilitate Sustainable Investment, and Amending Regulation (EU) 2019/2088 (Text with EEA Relevance), 198 OJ L (2020). </w:t>
      </w:r>
      <w:hyperlink r:id="rId45" w:history="1">
        <w:r w:rsidRPr="00816C73">
          <w:t>http://data.europa.eu/eli/reg/2020/852/oj</w:t>
        </w:r>
      </w:hyperlink>
    </w:p>
    <w:p w14:paraId="5027E238" w14:textId="50E4FD51" w:rsidR="00624AC9" w:rsidRPr="00816C73" w:rsidRDefault="00624AC9" w:rsidP="00B44C88">
      <w:pPr>
        <w:pStyle w:val="Rlit"/>
      </w:pPr>
      <w:r w:rsidRPr="00816C73">
        <w:t xml:space="preserve">Rinaldi, L., </w:t>
      </w:r>
      <w:proofErr w:type="spellStart"/>
      <w:r w:rsidR="0092550C" w:rsidRPr="00816C73">
        <w:t>Unerman</w:t>
      </w:r>
      <w:proofErr w:type="spellEnd"/>
      <w:r w:rsidR="0092550C" w:rsidRPr="00816C73">
        <w:t xml:space="preserve">, </w:t>
      </w:r>
      <w:r w:rsidRPr="00816C73">
        <w:t xml:space="preserve">J., &amp; </w:t>
      </w:r>
      <w:r w:rsidR="0092550C" w:rsidRPr="00816C73">
        <w:t>Tilt</w:t>
      </w:r>
      <w:r w:rsidRPr="00816C73">
        <w:t xml:space="preserve">, C. (2014). The role of stakeholder engagement and dialogue within the sustainability accounting and reporting process. In </w:t>
      </w:r>
      <w:r w:rsidRPr="00816C73">
        <w:rPr>
          <w:i/>
          <w:iCs/>
        </w:rPr>
        <w:t>Sustainability Accounting and Accountability</w:t>
      </w:r>
      <w:r w:rsidRPr="00816C73">
        <w:t xml:space="preserve"> (2nd ed.). Routledge.</w:t>
      </w:r>
    </w:p>
    <w:p w14:paraId="251E50EB" w14:textId="4E23311E" w:rsidR="00624AC9" w:rsidRPr="00816C73" w:rsidRDefault="00624AC9" w:rsidP="00B44C88">
      <w:pPr>
        <w:pStyle w:val="Rlit"/>
      </w:pPr>
      <w:r w:rsidRPr="00816C73">
        <w:t xml:space="preserve">Rushton, A., Croucher, P., &amp; Baker, P. (2017). </w:t>
      </w:r>
      <w:r w:rsidRPr="00816C73">
        <w:rPr>
          <w:i/>
          <w:iCs/>
        </w:rPr>
        <w:t>Handbook of Logistics and Distribution Management: Understanding the</w:t>
      </w:r>
      <w:r w:rsidR="00114C96">
        <w:rPr>
          <w:i/>
          <w:iCs/>
        </w:rPr>
        <w:t> </w:t>
      </w:r>
      <w:r w:rsidRPr="00816C73">
        <w:rPr>
          <w:i/>
          <w:iCs/>
        </w:rPr>
        <w:t>Supply Chain</w:t>
      </w:r>
      <w:r w:rsidRPr="00816C73">
        <w:t>.</w:t>
      </w:r>
    </w:p>
    <w:p w14:paraId="1713014B" w14:textId="2F1DF846" w:rsidR="00624AC9" w:rsidRPr="00816C73" w:rsidRDefault="00624AC9" w:rsidP="00B44C88">
      <w:pPr>
        <w:pStyle w:val="Rlit"/>
      </w:pPr>
      <w:r w:rsidRPr="00816C73">
        <w:t xml:space="preserve">Seuring, S., &amp; Müller, M. (2008). From a literature review to a conceptual framework for sustainable supply chain management. </w:t>
      </w:r>
      <w:r w:rsidRPr="00816C73">
        <w:rPr>
          <w:i/>
          <w:iCs/>
        </w:rPr>
        <w:t>Journal of Cleaner Production</w:t>
      </w:r>
      <w:r w:rsidRPr="00816C73">
        <w:t xml:space="preserve">, </w:t>
      </w:r>
      <w:r w:rsidRPr="00816C73">
        <w:rPr>
          <w:i/>
          <w:iCs/>
        </w:rPr>
        <w:t>16</w:t>
      </w:r>
      <w:r w:rsidRPr="00816C73">
        <w:t>(15), 1699</w:t>
      </w:r>
      <w:r w:rsidR="00E43528">
        <w:t>-</w:t>
      </w:r>
      <w:r w:rsidRPr="00816C73">
        <w:t xml:space="preserve">1710. </w:t>
      </w:r>
      <w:hyperlink r:id="rId46" w:history="1">
        <w:r w:rsidRPr="00816C73">
          <w:t>https://doi.org/10.1016/j.jclepro.2008.04.020</w:t>
        </w:r>
      </w:hyperlink>
    </w:p>
    <w:p w14:paraId="4F255D62" w14:textId="10241B5A" w:rsidR="00624AC9" w:rsidRPr="00816C73" w:rsidRDefault="00624AC9" w:rsidP="00B44C88">
      <w:pPr>
        <w:pStyle w:val="Rlit"/>
      </w:pPr>
      <w:r w:rsidRPr="00816C73">
        <w:t xml:space="preserve">Shleifer, A., &amp; </w:t>
      </w:r>
      <w:proofErr w:type="spellStart"/>
      <w:r w:rsidRPr="00816C73">
        <w:t>Vishny</w:t>
      </w:r>
      <w:proofErr w:type="spellEnd"/>
      <w:r w:rsidRPr="00816C73">
        <w:t xml:space="preserve">, R. W. (1997). A Survey of Corporate Governance. </w:t>
      </w:r>
      <w:r w:rsidRPr="00816C73">
        <w:rPr>
          <w:i/>
          <w:iCs/>
        </w:rPr>
        <w:t>The Journal of Finance</w:t>
      </w:r>
      <w:r w:rsidRPr="00816C73">
        <w:t xml:space="preserve">, </w:t>
      </w:r>
      <w:r w:rsidRPr="00816C73">
        <w:rPr>
          <w:i/>
          <w:iCs/>
        </w:rPr>
        <w:t>52</w:t>
      </w:r>
      <w:r w:rsidRPr="00816C73">
        <w:t>(2), 737</w:t>
      </w:r>
      <w:r w:rsidR="00E43528">
        <w:t>-</w:t>
      </w:r>
      <w:r w:rsidRPr="00816C73">
        <w:t xml:space="preserve">783. </w:t>
      </w:r>
      <w:hyperlink r:id="rId47" w:history="1">
        <w:r w:rsidRPr="00816C73">
          <w:t>https://doi.org/10.1111/j.1540-6261.1997.tb04820.x</w:t>
        </w:r>
      </w:hyperlink>
    </w:p>
    <w:p w14:paraId="677C48D9" w14:textId="53D3408E" w:rsidR="00624AC9" w:rsidRPr="00816C73" w:rsidRDefault="00624AC9" w:rsidP="00B44C88">
      <w:pPr>
        <w:pStyle w:val="Rlit"/>
      </w:pPr>
      <w:r w:rsidRPr="00816C73">
        <w:t xml:space="preserve">Stank, T., Autry, C., Daugherty, P., &amp; Closs, D. (2015). Reimagining the 10 Megatrends That Will Revolutionize Supply Chain Logistics. </w:t>
      </w:r>
      <w:r w:rsidRPr="00816C73">
        <w:rPr>
          <w:i/>
          <w:iCs/>
        </w:rPr>
        <w:t>Transportation Journal</w:t>
      </w:r>
      <w:r w:rsidRPr="00816C73">
        <w:t xml:space="preserve">, </w:t>
      </w:r>
      <w:r w:rsidRPr="00816C73">
        <w:rPr>
          <w:i/>
          <w:iCs/>
        </w:rPr>
        <w:t>54</w:t>
      </w:r>
      <w:r w:rsidRPr="00816C73">
        <w:t>(1), 7</w:t>
      </w:r>
      <w:r w:rsidR="00E43528">
        <w:t>-</w:t>
      </w:r>
      <w:r w:rsidRPr="00816C73">
        <w:t xml:space="preserve">32. </w:t>
      </w:r>
      <w:hyperlink r:id="rId48" w:history="1">
        <w:r w:rsidRPr="00816C73">
          <w:t>https://doi.org/10.5325/transportationj.54.1.0007</w:t>
        </w:r>
      </w:hyperlink>
    </w:p>
    <w:p w14:paraId="26039B47" w14:textId="77777777" w:rsidR="00624AC9" w:rsidRPr="00816C73" w:rsidRDefault="00624AC9" w:rsidP="005475B7">
      <w:pPr>
        <w:pStyle w:val="Rlit"/>
        <w:jc w:val="left"/>
      </w:pPr>
      <w:r w:rsidRPr="00816C73">
        <w:t xml:space="preserve">Szczepański, E., </w:t>
      </w:r>
      <w:proofErr w:type="spellStart"/>
      <w:r w:rsidRPr="00816C73">
        <w:t>Żochowska</w:t>
      </w:r>
      <w:proofErr w:type="spellEnd"/>
      <w:r w:rsidRPr="00816C73">
        <w:t xml:space="preserve">, R., Izdebski, M., &amp; </w:t>
      </w:r>
      <w:proofErr w:type="spellStart"/>
      <w:r w:rsidRPr="00816C73">
        <w:t>Jacyna</w:t>
      </w:r>
      <w:proofErr w:type="spellEnd"/>
      <w:r w:rsidRPr="00816C73">
        <w:t xml:space="preserve">, M. (2025). Decision-Making Problems in Urban Transport Decarbonization Strategies: Challenges, Tools, and Methods. </w:t>
      </w:r>
      <w:r w:rsidRPr="00816C73">
        <w:rPr>
          <w:i/>
          <w:iCs/>
        </w:rPr>
        <w:t>Energies</w:t>
      </w:r>
      <w:r w:rsidRPr="00816C73">
        <w:t xml:space="preserve">, </w:t>
      </w:r>
      <w:r w:rsidRPr="00816C73">
        <w:rPr>
          <w:i/>
          <w:iCs/>
        </w:rPr>
        <w:t>18</w:t>
      </w:r>
      <w:r w:rsidRPr="00816C73">
        <w:t xml:space="preserve">(15), 3970. </w:t>
      </w:r>
      <w:hyperlink r:id="rId49" w:history="1">
        <w:r w:rsidRPr="00816C73">
          <w:t>https://doi.org/10.3390/en18153970</w:t>
        </w:r>
      </w:hyperlink>
    </w:p>
    <w:p w14:paraId="7368C297" w14:textId="10946C9B" w:rsidR="00624AC9" w:rsidRPr="00816C73" w:rsidRDefault="00624AC9" w:rsidP="00B44C88">
      <w:pPr>
        <w:pStyle w:val="Rlit"/>
      </w:pPr>
      <w:r w:rsidRPr="00816C73">
        <w:t xml:space="preserve">Tatarczak, A., &amp; Gola, A. (2025). An Integrated Fuzzy Multi-Criteria Approach for Partner Selection in Horizontal Cooperation. </w:t>
      </w:r>
      <w:r w:rsidRPr="00816C73">
        <w:rPr>
          <w:i/>
          <w:iCs/>
        </w:rPr>
        <w:t>Archives of Transport</w:t>
      </w:r>
      <w:r w:rsidRPr="00816C73">
        <w:t xml:space="preserve">, </w:t>
      </w:r>
      <w:r w:rsidRPr="00816C73">
        <w:rPr>
          <w:i/>
          <w:iCs/>
        </w:rPr>
        <w:t>74</w:t>
      </w:r>
      <w:r w:rsidRPr="00816C73">
        <w:t>(2), 23</w:t>
      </w:r>
      <w:r w:rsidR="00E43528">
        <w:t>-</w:t>
      </w:r>
      <w:r w:rsidRPr="00816C73">
        <w:t xml:space="preserve">42. </w:t>
      </w:r>
      <w:hyperlink r:id="rId50" w:history="1">
        <w:r w:rsidRPr="00816C73">
          <w:t>https://doi.org/10.61089/aot2025.s00ve156</w:t>
        </w:r>
      </w:hyperlink>
    </w:p>
    <w:p w14:paraId="14FE05DB" w14:textId="7A909FD5" w:rsidR="00624AC9" w:rsidRPr="00816C73" w:rsidRDefault="00624AC9" w:rsidP="00B44C88">
      <w:pPr>
        <w:pStyle w:val="Rlit"/>
      </w:pPr>
      <w:proofErr w:type="spellStart"/>
      <w:r w:rsidRPr="00816C73">
        <w:t>Tukamuhabwa</w:t>
      </w:r>
      <w:proofErr w:type="spellEnd"/>
      <w:r w:rsidRPr="00816C73">
        <w:t xml:space="preserve">, B. R., Stevenson, M., Busby, J., &amp; </w:t>
      </w:r>
      <w:proofErr w:type="spellStart"/>
      <w:r w:rsidRPr="00816C73">
        <w:t>Zorzini</w:t>
      </w:r>
      <w:proofErr w:type="spellEnd"/>
      <w:r w:rsidRPr="00816C73">
        <w:t xml:space="preserve">, M. (2015). Supply chain resilience: Definition, review and theoretical foundations for further study. </w:t>
      </w:r>
      <w:r w:rsidRPr="00816C73">
        <w:rPr>
          <w:i/>
          <w:iCs/>
        </w:rPr>
        <w:t>International Journal of Production Research</w:t>
      </w:r>
      <w:r w:rsidRPr="00816C73">
        <w:t xml:space="preserve">, </w:t>
      </w:r>
      <w:r w:rsidRPr="00816C73">
        <w:rPr>
          <w:i/>
          <w:iCs/>
        </w:rPr>
        <w:t>53</w:t>
      </w:r>
      <w:r w:rsidRPr="00816C73">
        <w:t>(18), 5592</w:t>
      </w:r>
      <w:r w:rsidR="00E43528">
        <w:t>-</w:t>
      </w:r>
      <w:r w:rsidRPr="00816C73">
        <w:t xml:space="preserve">5623. </w:t>
      </w:r>
      <w:hyperlink r:id="rId51" w:history="1">
        <w:r w:rsidRPr="00816C73">
          <w:t>https://doi.org/10.1080/00207543.2015.1037934</w:t>
        </w:r>
      </w:hyperlink>
    </w:p>
    <w:p w14:paraId="703364B8" w14:textId="465206F1" w:rsidR="00624AC9" w:rsidRPr="00816C73" w:rsidRDefault="00624AC9" w:rsidP="005475B7">
      <w:pPr>
        <w:pStyle w:val="Rlit"/>
        <w:jc w:val="left"/>
      </w:pPr>
      <w:r w:rsidRPr="00816C73">
        <w:t xml:space="preserve">Vachon, S., &amp; Klassen, R. D. (2006). Extending green practices across the supply chain: The impact of upstream and downstream integration. </w:t>
      </w:r>
      <w:r w:rsidRPr="00816C73">
        <w:rPr>
          <w:i/>
          <w:iCs/>
        </w:rPr>
        <w:t>International Journal of Operations &amp; Production Management</w:t>
      </w:r>
      <w:r w:rsidRPr="00816C73">
        <w:t xml:space="preserve">, </w:t>
      </w:r>
      <w:r w:rsidRPr="00816C73">
        <w:rPr>
          <w:i/>
          <w:iCs/>
        </w:rPr>
        <w:t>26</w:t>
      </w:r>
      <w:r w:rsidRPr="00816C73">
        <w:t>(7), 795</w:t>
      </w:r>
      <w:r w:rsidR="00E43528">
        <w:t>-</w:t>
      </w:r>
      <w:r w:rsidRPr="00816C73">
        <w:t xml:space="preserve">821. </w:t>
      </w:r>
      <w:hyperlink r:id="rId52" w:history="1">
        <w:r w:rsidRPr="00816C73">
          <w:t>https://doi.org/10.1108/01443570610672248</w:t>
        </w:r>
      </w:hyperlink>
    </w:p>
    <w:p w14:paraId="7EABCF97" w14:textId="022A3F10" w:rsidR="00624AC9" w:rsidRPr="00816C73" w:rsidRDefault="00624AC9" w:rsidP="005475B7">
      <w:pPr>
        <w:pStyle w:val="Rlit"/>
        <w:jc w:val="left"/>
      </w:pPr>
      <w:r w:rsidRPr="00816C73">
        <w:t xml:space="preserve">Vakulenko, Y., Shams, P., Hellström, D., &amp; Hjort, K. (2019). Service innovation in e-commerce last mile delivery: Mapping the e-customer journey. </w:t>
      </w:r>
      <w:r w:rsidRPr="00816C73">
        <w:rPr>
          <w:i/>
          <w:iCs/>
        </w:rPr>
        <w:t>Journal of Business Research</w:t>
      </w:r>
      <w:r w:rsidRPr="00816C73">
        <w:t xml:space="preserve">, </w:t>
      </w:r>
      <w:r w:rsidRPr="00816C73">
        <w:rPr>
          <w:i/>
          <w:iCs/>
        </w:rPr>
        <w:t>101</w:t>
      </w:r>
      <w:r w:rsidRPr="00816C73">
        <w:t>, 461</w:t>
      </w:r>
      <w:r w:rsidR="00E43528">
        <w:t>-</w:t>
      </w:r>
      <w:r w:rsidRPr="00816C73">
        <w:t xml:space="preserve">468. </w:t>
      </w:r>
      <w:hyperlink r:id="rId53" w:history="1">
        <w:r w:rsidRPr="00816C73">
          <w:t>https://doi.org/10.1016/j.jbusres.2019.01.016</w:t>
        </w:r>
      </w:hyperlink>
    </w:p>
    <w:p w14:paraId="2047D1AA" w14:textId="0ED678A4" w:rsidR="00624AC9" w:rsidRPr="00816C73" w:rsidRDefault="00624AC9" w:rsidP="005475B7">
      <w:pPr>
        <w:pStyle w:val="Rlit"/>
        <w:jc w:val="left"/>
      </w:pPr>
      <w:proofErr w:type="spellStart"/>
      <w:r w:rsidRPr="00816C73">
        <w:t>Wachnik</w:t>
      </w:r>
      <w:proofErr w:type="spellEnd"/>
      <w:r w:rsidRPr="00816C73">
        <w:t>, B., Pryciński, P., Murawski, J., &amp; Nader, M. (2021). An analysis of the causes and consequences of the information gap in IT projects. The client</w:t>
      </w:r>
      <w:r w:rsidR="004919C5">
        <w:t>'</w:t>
      </w:r>
      <w:r w:rsidRPr="00816C73">
        <w:t>s and the supplier</w:t>
      </w:r>
      <w:r w:rsidR="004919C5">
        <w:t>'</w:t>
      </w:r>
      <w:r w:rsidRPr="00816C73">
        <w:t xml:space="preserve">s perspective in Poland. </w:t>
      </w:r>
      <w:r w:rsidRPr="00816C73">
        <w:rPr>
          <w:i/>
          <w:iCs/>
        </w:rPr>
        <w:t>Archives of Transport</w:t>
      </w:r>
      <w:r w:rsidRPr="00816C73">
        <w:t xml:space="preserve">, </w:t>
      </w:r>
      <w:r w:rsidRPr="00816C73">
        <w:rPr>
          <w:i/>
          <w:iCs/>
        </w:rPr>
        <w:t>60</w:t>
      </w:r>
      <w:r w:rsidRPr="00816C73">
        <w:t xml:space="preserve">(4), </w:t>
      </w:r>
      <w:r w:rsidR="005475B7">
        <w:br/>
      </w:r>
      <w:r w:rsidRPr="00816C73">
        <w:t>219</w:t>
      </w:r>
      <w:r w:rsidR="00E43528">
        <w:t>-</w:t>
      </w:r>
      <w:r w:rsidRPr="00816C73">
        <w:t xml:space="preserve">244. </w:t>
      </w:r>
      <w:hyperlink r:id="rId54" w:history="1">
        <w:r w:rsidRPr="00816C73">
          <w:t>https://doi.org/10.5604/01.3001.0015.6932</w:t>
        </w:r>
      </w:hyperlink>
    </w:p>
    <w:p w14:paraId="7E431955" w14:textId="085608C6" w:rsidR="00624AC9" w:rsidRPr="005475B7" w:rsidRDefault="00624AC9" w:rsidP="00B44C88">
      <w:pPr>
        <w:pStyle w:val="Rlit"/>
        <w:rPr>
          <w:spacing w:val="-2"/>
        </w:rPr>
      </w:pPr>
      <w:r w:rsidRPr="005475B7">
        <w:rPr>
          <w:spacing w:val="-2"/>
        </w:rPr>
        <w:t>Wasiak, M., Jacyna-</w:t>
      </w:r>
      <w:proofErr w:type="spellStart"/>
      <w:r w:rsidRPr="005475B7">
        <w:rPr>
          <w:spacing w:val="-2"/>
        </w:rPr>
        <w:t>Gołda</w:t>
      </w:r>
      <w:proofErr w:type="spellEnd"/>
      <w:r w:rsidRPr="005475B7">
        <w:rPr>
          <w:spacing w:val="-2"/>
        </w:rPr>
        <w:t xml:space="preserve">, I., Markowska, K., Jachimowski, R., Kłodawski, M., &amp; Izdebski, M. (2019). The use of a supply chain configuration model to assess the reliability of Logistics processes. </w:t>
      </w:r>
      <w:proofErr w:type="spellStart"/>
      <w:r w:rsidRPr="005475B7">
        <w:rPr>
          <w:i/>
          <w:iCs/>
          <w:spacing w:val="-2"/>
        </w:rPr>
        <w:t>Eksploatacja</w:t>
      </w:r>
      <w:proofErr w:type="spellEnd"/>
      <w:r w:rsidRPr="005475B7">
        <w:rPr>
          <w:i/>
          <w:iCs/>
          <w:spacing w:val="-2"/>
        </w:rPr>
        <w:t xml:space="preserve"> </w:t>
      </w:r>
      <w:proofErr w:type="spellStart"/>
      <w:r w:rsidRPr="005475B7">
        <w:rPr>
          <w:i/>
          <w:iCs/>
          <w:spacing w:val="-2"/>
        </w:rPr>
        <w:t>i</w:t>
      </w:r>
      <w:proofErr w:type="spellEnd"/>
      <w:r w:rsidRPr="005475B7">
        <w:rPr>
          <w:i/>
          <w:iCs/>
          <w:spacing w:val="-2"/>
        </w:rPr>
        <w:t xml:space="preserve"> </w:t>
      </w:r>
      <w:proofErr w:type="spellStart"/>
      <w:r w:rsidRPr="005475B7">
        <w:rPr>
          <w:i/>
          <w:iCs/>
          <w:spacing w:val="-2"/>
        </w:rPr>
        <w:t>Niezawodność</w:t>
      </w:r>
      <w:proofErr w:type="spellEnd"/>
      <w:r w:rsidRPr="005475B7">
        <w:rPr>
          <w:i/>
          <w:iCs/>
          <w:spacing w:val="-2"/>
        </w:rPr>
        <w:t xml:space="preserve"> – Maintenance and Reliability</w:t>
      </w:r>
      <w:r w:rsidRPr="005475B7">
        <w:rPr>
          <w:spacing w:val="-2"/>
        </w:rPr>
        <w:t xml:space="preserve">, </w:t>
      </w:r>
      <w:r w:rsidRPr="005475B7">
        <w:rPr>
          <w:i/>
          <w:iCs/>
          <w:spacing w:val="-2"/>
        </w:rPr>
        <w:t>21</w:t>
      </w:r>
      <w:r w:rsidRPr="005475B7">
        <w:rPr>
          <w:spacing w:val="-2"/>
        </w:rPr>
        <w:t>(3), 367</w:t>
      </w:r>
      <w:r w:rsidR="00E43528">
        <w:rPr>
          <w:spacing w:val="-2"/>
        </w:rPr>
        <w:t>-</w:t>
      </w:r>
      <w:r w:rsidRPr="005475B7">
        <w:rPr>
          <w:spacing w:val="-2"/>
        </w:rPr>
        <w:t xml:space="preserve">374. </w:t>
      </w:r>
      <w:hyperlink r:id="rId55" w:history="1">
        <w:r w:rsidRPr="005475B7">
          <w:rPr>
            <w:spacing w:val="-2"/>
          </w:rPr>
          <w:t>https://doi.org/10.17531/ein.2019.3.2</w:t>
        </w:r>
      </w:hyperlink>
    </w:p>
    <w:p w14:paraId="16597B73" w14:textId="4C9620DD" w:rsidR="00624AC9" w:rsidRPr="00816C73" w:rsidRDefault="00624AC9" w:rsidP="005475B7">
      <w:pPr>
        <w:pStyle w:val="Rlit"/>
        <w:jc w:val="left"/>
      </w:pPr>
      <w:r w:rsidRPr="00816C73">
        <w:t xml:space="preserve">Yawar, S. A., &amp; Seuring, S. (2017). Management of Social Issues in Supply Chains: A Literature Review Exploring Social Issues, Actions and Performance Outcomes. </w:t>
      </w:r>
      <w:r w:rsidRPr="00816C73">
        <w:rPr>
          <w:i/>
          <w:iCs/>
        </w:rPr>
        <w:t>Journal of Business Ethics</w:t>
      </w:r>
      <w:r w:rsidRPr="00816C73">
        <w:t xml:space="preserve">, </w:t>
      </w:r>
      <w:r w:rsidRPr="00816C73">
        <w:rPr>
          <w:i/>
          <w:iCs/>
        </w:rPr>
        <w:t>141</w:t>
      </w:r>
      <w:r w:rsidRPr="00816C73">
        <w:t>(3), 621</w:t>
      </w:r>
      <w:r w:rsidR="00E43528">
        <w:t>-</w:t>
      </w:r>
      <w:r w:rsidRPr="00816C73">
        <w:t xml:space="preserve">643. </w:t>
      </w:r>
      <w:hyperlink r:id="rId56" w:history="1">
        <w:r w:rsidRPr="00816C73">
          <w:t>https://doi.org/10.1007/s10551-015-2719-9</w:t>
        </w:r>
      </w:hyperlink>
    </w:p>
    <w:p w14:paraId="01E19C29" w14:textId="7E96CF67" w:rsidR="00624AC9" w:rsidRPr="00816C73" w:rsidRDefault="00624AC9" w:rsidP="00B44C88">
      <w:pPr>
        <w:pStyle w:val="Rlit"/>
      </w:pPr>
      <w:r w:rsidRPr="00816C73">
        <w:t>Zheng, Y., Wang, B., Sun, X., &amp; Li, X. (2022). ESG performance and corporate value: Analysis from the stakeholders</w:t>
      </w:r>
      <w:r w:rsidR="004919C5">
        <w:t>'</w:t>
      </w:r>
      <w:r w:rsidRPr="00816C73">
        <w:t xml:space="preserve"> perspective. </w:t>
      </w:r>
      <w:r w:rsidRPr="00816C73">
        <w:rPr>
          <w:i/>
          <w:iCs/>
        </w:rPr>
        <w:t>Frontiers in Environmental Science</w:t>
      </w:r>
      <w:r w:rsidRPr="00816C73">
        <w:t xml:space="preserve">, </w:t>
      </w:r>
      <w:r w:rsidRPr="00816C73">
        <w:rPr>
          <w:i/>
          <w:iCs/>
        </w:rPr>
        <w:t>10</w:t>
      </w:r>
      <w:r w:rsidRPr="00816C73">
        <w:t xml:space="preserve">, 1084632. </w:t>
      </w:r>
      <w:hyperlink r:id="rId57" w:history="1">
        <w:r w:rsidRPr="00816C73">
          <w:t>https://doi.org/10.3389/fenvs.2022.1084632</w:t>
        </w:r>
      </w:hyperlink>
    </w:p>
    <w:p w14:paraId="5C2FEC34" w14:textId="77777777" w:rsidR="00B44C88" w:rsidRPr="00816C73" w:rsidRDefault="00B44C88">
      <w:pPr>
        <w:pStyle w:val="Rlit"/>
      </w:pPr>
    </w:p>
    <w:sectPr w:rsidR="00B44C88" w:rsidRPr="00816C73" w:rsidSect="0009130A">
      <w:headerReference w:type="even" r:id="rId58"/>
      <w:headerReference w:type="default" r:id="rId59"/>
      <w:footerReference w:type="first" r:id="rId60"/>
      <w:pgSz w:w="11906" w:h="16838" w:code="9"/>
      <w:pgMar w:top="1134" w:right="1134" w:bottom="1134" w:left="1134" w:header="567" w:footer="567" w:gutter="0"/>
      <w:pgNumType w:start="8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1038" w14:textId="77777777" w:rsidR="00A56A2F" w:rsidRDefault="00A56A2F" w:rsidP="00817F40">
      <w:pPr>
        <w:spacing w:after="0" w:line="240" w:lineRule="auto"/>
      </w:pPr>
      <w:r>
        <w:separator/>
      </w:r>
    </w:p>
  </w:endnote>
  <w:endnote w:type="continuationSeparator" w:id="0">
    <w:p w14:paraId="192AD3C9" w14:textId="77777777" w:rsidR="00A56A2F" w:rsidRDefault="00A56A2F" w:rsidP="0081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517535" w:rsidRPr="00517535" w14:paraId="5B74CE73" w14:textId="77777777" w:rsidTr="00FA6EFD">
      <w:trPr>
        <w:trHeight w:val="198"/>
      </w:trPr>
      <w:tc>
        <w:tcPr>
          <w:tcW w:w="1384" w:type="dxa"/>
          <w:vAlign w:val="center"/>
        </w:tcPr>
        <w:p w14:paraId="36835E05" w14:textId="77777777" w:rsidR="00517535" w:rsidRPr="00517535" w:rsidRDefault="00517535" w:rsidP="00517535">
          <w:pPr>
            <w:spacing w:after="0" w:line="240" w:lineRule="auto"/>
            <w:ind w:left="-106"/>
            <w:rPr>
              <w:rFonts w:ascii="Times New Roman" w:hAnsi="Times New Roman" w:cs="Times New Roman"/>
            </w:rPr>
          </w:pPr>
          <w:bookmarkStart w:id="4" w:name="_Hlk104286226"/>
          <w:bookmarkStart w:id="5" w:name="_Hlk104286227"/>
          <w:bookmarkStart w:id="6" w:name="_Hlk154270864"/>
          <w:bookmarkStart w:id="7" w:name="_Hlk154270865"/>
          <w:r w:rsidRPr="00517535">
            <w:rPr>
              <w:rFonts w:ascii="Times New Roman" w:hAnsi="Times New Roman" w:cs="Times New Roman"/>
              <w:noProof/>
              <w:lang w:val="en-GB" w:eastAsia="en-GB"/>
            </w:rPr>
            <w:drawing>
              <wp:inline distT="0" distB="0" distL="0" distR="0" wp14:anchorId="29E1D3BA" wp14:editId="5784492E">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68BAA5BA" w14:textId="77777777" w:rsidR="00517535" w:rsidRPr="00517535" w:rsidRDefault="00517535" w:rsidP="00517535">
          <w:pPr>
            <w:suppressAutoHyphens/>
            <w:spacing w:after="0" w:line="240" w:lineRule="auto"/>
            <w:ind w:left="-75"/>
            <w:rPr>
              <w:rFonts w:ascii="Times New Roman" w:hAnsi="Times New Roman" w:cs="Times New Roman"/>
              <w:sz w:val="18"/>
              <w:lang w:val="en-GB"/>
            </w:rPr>
          </w:pPr>
          <w:r w:rsidRPr="00517535">
            <w:rPr>
              <w:rFonts w:ascii="Times New Roman" w:hAnsi="Times New Roman" w:cs="Times New Roman"/>
              <w:sz w:val="18"/>
              <w:lang w:val="en-GB"/>
            </w:rPr>
            <w:t>© 2025. Author(s). This work is licensed under a Creative Commons Attribution 4.0 International License (CC BY-SA)</w:t>
          </w:r>
        </w:p>
      </w:tc>
    </w:tr>
    <w:bookmarkEnd w:id="4"/>
    <w:bookmarkEnd w:id="5"/>
    <w:bookmarkEnd w:id="6"/>
    <w:bookmarkEnd w:id="7"/>
  </w:tbl>
  <w:p w14:paraId="2B20F19D" w14:textId="77777777" w:rsidR="00517535" w:rsidRPr="00517535" w:rsidRDefault="00517535" w:rsidP="00517535">
    <w:pPr>
      <w:pStyle w:val="Stopka"/>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5D08" w14:textId="77777777" w:rsidR="00A56A2F" w:rsidRDefault="00A56A2F" w:rsidP="00817F40">
      <w:pPr>
        <w:spacing w:after="0" w:line="240" w:lineRule="auto"/>
      </w:pPr>
      <w:r>
        <w:separator/>
      </w:r>
    </w:p>
  </w:footnote>
  <w:footnote w:type="continuationSeparator" w:id="0">
    <w:p w14:paraId="37775F1B" w14:textId="77777777" w:rsidR="00A56A2F" w:rsidRDefault="00A56A2F" w:rsidP="00817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517535" w:rsidRPr="00855C77" w14:paraId="7EF6C240" w14:textId="77777777" w:rsidTr="00FA6EFD">
      <w:trPr>
        <w:trHeight w:hRule="exact" w:val="284"/>
      </w:trPr>
      <w:tc>
        <w:tcPr>
          <w:tcW w:w="397" w:type="dxa"/>
          <w:vAlign w:val="center"/>
        </w:tcPr>
        <w:p w14:paraId="3D0F312A" w14:textId="77777777" w:rsidR="00517535" w:rsidRPr="00855C77" w:rsidRDefault="00517535" w:rsidP="00517535">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0ADDEDC1" w14:textId="7B379753" w:rsidR="00517535" w:rsidRPr="00361064" w:rsidRDefault="00517535" w:rsidP="00517535">
          <w:pPr>
            <w:pStyle w:val="Nagwek"/>
            <w:jc w:val="center"/>
            <w:rPr>
              <w:rFonts w:ascii="Arial" w:hAnsi="Arial" w:cs="Arial"/>
              <w:i/>
              <w:sz w:val="20"/>
            </w:rPr>
          </w:pPr>
          <w:r w:rsidRPr="00517535">
            <w:rPr>
              <w:rFonts w:ascii="Arial" w:hAnsi="Arial" w:cs="Arial"/>
              <w:i/>
              <w:sz w:val="20"/>
            </w:rPr>
            <w:t>Jakub Murawski</w:t>
          </w:r>
        </w:p>
      </w:tc>
    </w:tr>
  </w:tbl>
  <w:p w14:paraId="5B8719D8" w14:textId="77777777" w:rsidR="00517535" w:rsidRPr="00E90ABA" w:rsidRDefault="00517535" w:rsidP="00517535">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517535" w:rsidRPr="00855C77" w14:paraId="5E9AB0A9" w14:textId="77777777" w:rsidTr="00FA6EFD">
      <w:trPr>
        <w:trHeight w:hRule="exact" w:val="284"/>
        <w:jc w:val="right"/>
      </w:trPr>
      <w:tc>
        <w:tcPr>
          <w:tcW w:w="9243" w:type="dxa"/>
          <w:vAlign w:val="center"/>
        </w:tcPr>
        <w:p w14:paraId="389B832E" w14:textId="677CEAF2" w:rsidR="00517535" w:rsidRPr="00855C77" w:rsidRDefault="00A60603" w:rsidP="00517535">
          <w:pPr>
            <w:pStyle w:val="Nagwek"/>
            <w:jc w:val="center"/>
            <w:rPr>
              <w:rFonts w:ascii="Arial" w:hAnsi="Arial" w:cs="Arial"/>
              <w:i/>
              <w:sz w:val="20"/>
              <w:szCs w:val="12"/>
              <w:lang w:val="en-GB"/>
            </w:rPr>
          </w:pPr>
          <w:r w:rsidRPr="00A60603">
            <w:rPr>
              <w:rFonts w:ascii="Arial" w:hAnsi="Arial" w:cs="Arial"/>
              <w:i/>
              <w:sz w:val="20"/>
              <w:szCs w:val="12"/>
              <w:lang w:val="en-GB"/>
            </w:rPr>
            <w:t>Logistics Market Stakeholders in the Context of Sustainable Development and ESG</w:t>
          </w:r>
        </w:p>
      </w:tc>
      <w:tc>
        <w:tcPr>
          <w:tcW w:w="397" w:type="dxa"/>
          <w:vAlign w:val="center"/>
        </w:tcPr>
        <w:p w14:paraId="4104576C" w14:textId="77777777" w:rsidR="00517535" w:rsidRPr="00855C77" w:rsidRDefault="00517535" w:rsidP="00517535">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6F7828D8" w14:textId="77777777" w:rsidR="00517535" w:rsidRPr="00007E12" w:rsidRDefault="00517535" w:rsidP="00517535">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06"/>
    <w:multiLevelType w:val="multilevel"/>
    <w:tmpl w:val="22E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7F24"/>
    <w:multiLevelType w:val="multilevel"/>
    <w:tmpl w:val="C7B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06A4"/>
    <w:multiLevelType w:val="multilevel"/>
    <w:tmpl w:val="F200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677C8"/>
    <w:multiLevelType w:val="multilevel"/>
    <w:tmpl w:val="FD2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E493F"/>
    <w:multiLevelType w:val="multilevel"/>
    <w:tmpl w:val="7C0E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22509"/>
    <w:multiLevelType w:val="multilevel"/>
    <w:tmpl w:val="17102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7B4AD2"/>
    <w:multiLevelType w:val="hybridMultilevel"/>
    <w:tmpl w:val="212E4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8B7E81"/>
    <w:multiLevelType w:val="multilevel"/>
    <w:tmpl w:val="0974E6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5309F7"/>
    <w:multiLevelType w:val="multilevel"/>
    <w:tmpl w:val="D496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F1107"/>
    <w:multiLevelType w:val="multilevel"/>
    <w:tmpl w:val="C2A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B71D4"/>
    <w:multiLevelType w:val="multilevel"/>
    <w:tmpl w:val="4FB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22924"/>
    <w:multiLevelType w:val="hybridMultilevel"/>
    <w:tmpl w:val="0DDC0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A0A00"/>
    <w:multiLevelType w:val="multilevel"/>
    <w:tmpl w:val="8B3C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F713D"/>
    <w:multiLevelType w:val="hybridMultilevel"/>
    <w:tmpl w:val="033A47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5F6FFE"/>
    <w:multiLevelType w:val="multilevel"/>
    <w:tmpl w:val="0974E6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735B81"/>
    <w:multiLevelType w:val="multilevel"/>
    <w:tmpl w:val="7490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11DA7"/>
    <w:multiLevelType w:val="hybridMultilevel"/>
    <w:tmpl w:val="3A2AE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D10CEA"/>
    <w:multiLevelType w:val="multilevel"/>
    <w:tmpl w:val="2FA6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8140F"/>
    <w:multiLevelType w:val="multilevel"/>
    <w:tmpl w:val="81E8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3F5580"/>
    <w:multiLevelType w:val="multilevel"/>
    <w:tmpl w:val="0974E6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4C1F72"/>
    <w:multiLevelType w:val="multilevel"/>
    <w:tmpl w:val="367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85D00"/>
    <w:multiLevelType w:val="multilevel"/>
    <w:tmpl w:val="4C48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F31D3"/>
    <w:multiLevelType w:val="multilevel"/>
    <w:tmpl w:val="66A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06633"/>
    <w:multiLevelType w:val="multilevel"/>
    <w:tmpl w:val="0D62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010FB"/>
    <w:multiLevelType w:val="multilevel"/>
    <w:tmpl w:val="210E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56449"/>
    <w:multiLevelType w:val="multilevel"/>
    <w:tmpl w:val="0974E6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D0F6CB6"/>
    <w:multiLevelType w:val="multilevel"/>
    <w:tmpl w:val="C67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817EBB"/>
    <w:multiLevelType w:val="hybridMultilevel"/>
    <w:tmpl w:val="1DC45A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4101858">
    <w:abstractNumId w:val="12"/>
  </w:num>
  <w:num w:numId="2" w16cid:durableId="370542657">
    <w:abstractNumId w:val="23"/>
  </w:num>
  <w:num w:numId="3" w16cid:durableId="719522541">
    <w:abstractNumId w:val="24"/>
  </w:num>
  <w:num w:numId="4" w16cid:durableId="329598144">
    <w:abstractNumId w:val="4"/>
  </w:num>
  <w:num w:numId="5" w16cid:durableId="820584902">
    <w:abstractNumId w:val="16"/>
  </w:num>
  <w:num w:numId="6" w16cid:durableId="2096125807">
    <w:abstractNumId w:val="1"/>
  </w:num>
  <w:num w:numId="7" w16cid:durableId="115871972">
    <w:abstractNumId w:val="21"/>
  </w:num>
  <w:num w:numId="8" w16cid:durableId="53506323">
    <w:abstractNumId w:val="10"/>
  </w:num>
  <w:num w:numId="9" w16cid:durableId="716200205">
    <w:abstractNumId w:val="15"/>
  </w:num>
  <w:num w:numId="10" w16cid:durableId="1338342528">
    <w:abstractNumId w:val="3"/>
  </w:num>
  <w:num w:numId="11" w16cid:durableId="1610509381">
    <w:abstractNumId w:val="18"/>
  </w:num>
  <w:num w:numId="12" w16cid:durableId="2051952642">
    <w:abstractNumId w:val="8"/>
  </w:num>
  <w:num w:numId="13" w16cid:durableId="1705712002">
    <w:abstractNumId w:val="22"/>
  </w:num>
  <w:num w:numId="14" w16cid:durableId="139469390">
    <w:abstractNumId w:val="26"/>
  </w:num>
  <w:num w:numId="15" w16cid:durableId="977494693">
    <w:abstractNumId w:val="0"/>
  </w:num>
  <w:num w:numId="16" w16cid:durableId="168520835">
    <w:abstractNumId w:val="6"/>
  </w:num>
  <w:num w:numId="17" w16cid:durableId="1685401378">
    <w:abstractNumId w:val="13"/>
  </w:num>
  <w:num w:numId="18" w16cid:durableId="4670547">
    <w:abstractNumId w:val="5"/>
  </w:num>
  <w:num w:numId="19" w16cid:durableId="1248149523">
    <w:abstractNumId w:val="7"/>
  </w:num>
  <w:num w:numId="20" w16cid:durableId="1443719706">
    <w:abstractNumId w:val="19"/>
  </w:num>
  <w:num w:numId="21" w16cid:durableId="1593392093">
    <w:abstractNumId w:val="25"/>
  </w:num>
  <w:num w:numId="22" w16cid:durableId="2088379016">
    <w:abstractNumId w:val="14"/>
  </w:num>
  <w:num w:numId="23" w16cid:durableId="1953585723">
    <w:abstractNumId w:val="11"/>
  </w:num>
  <w:num w:numId="24" w16cid:durableId="1587425195">
    <w:abstractNumId w:val="17"/>
  </w:num>
  <w:num w:numId="25" w16cid:durableId="1169904742">
    <w:abstractNumId w:val="2"/>
  </w:num>
  <w:num w:numId="26" w16cid:durableId="902644322">
    <w:abstractNumId w:val="20"/>
  </w:num>
  <w:num w:numId="27" w16cid:durableId="1089735322">
    <w:abstractNumId w:val="9"/>
  </w:num>
  <w:num w:numId="28" w16cid:durableId="64620696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jczsLQ0MjUxNjZX0lEKTi0uzszPAykwrAUAf27cGiwAAAA="/>
  </w:docVars>
  <w:rsids>
    <w:rsidRoot w:val="006D6CA6"/>
    <w:rsid w:val="0000353E"/>
    <w:rsid w:val="000057C9"/>
    <w:rsid w:val="00005ECD"/>
    <w:rsid w:val="00006256"/>
    <w:rsid w:val="00010C3F"/>
    <w:rsid w:val="000120FE"/>
    <w:rsid w:val="00013F25"/>
    <w:rsid w:val="000144FE"/>
    <w:rsid w:val="00014CCD"/>
    <w:rsid w:val="00014E2A"/>
    <w:rsid w:val="00016C94"/>
    <w:rsid w:val="0002543B"/>
    <w:rsid w:val="000361EE"/>
    <w:rsid w:val="00036219"/>
    <w:rsid w:val="00036D23"/>
    <w:rsid w:val="00037D1D"/>
    <w:rsid w:val="0004041A"/>
    <w:rsid w:val="00040A0C"/>
    <w:rsid w:val="00043761"/>
    <w:rsid w:val="0004477E"/>
    <w:rsid w:val="00045CD2"/>
    <w:rsid w:val="000463A2"/>
    <w:rsid w:val="00050DFD"/>
    <w:rsid w:val="00052C4B"/>
    <w:rsid w:val="00053F43"/>
    <w:rsid w:val="00055F7D"/>
    <w:rsid w:val="00060D6F"/>
    <w:rsid w:val="00061BBE"/>
    <w:rsid w:val="00061FC7"/>
    <w:rsid w:val="00064545"/>
    <w:rsid w:val="0006544B"/>
    <w:rsid w:val="0006597C"/>
    <w:rsid w:val="0006726D"/>
    <w:rsid w:val="000675C4"/>
    <w:rsid w:val="000704B5"/>
    <w:rsid w:val="000728BA"/>
    <w:rsid w:val="00072BD5"/>
    <w:rsid w:val="00074881"/>
    <w:rsid w:val="0007733D"/>
    <w:rsid w:val="00080FC5"/>
    <w:rsid w:val="00081032"/>
    <w:rsid w:val="00081559"/>
    <w:rsid w:val="00081AC9"/>
    <w:rsid w:val="00084D67"/>
    <w:rsid w:val="00086535"/>
    <w:rsid w:val="000906B2"/>
    <w:rsid w:val="00091167"/>
    <w:rsid w:val="0009130A"/>
    <w:rsid w:val="00093871"/>
    <w:rsid w:val="0009591A"/>
    <w:rsid w:val="00096249"/>
    <w:rsid w:val="00096FD9"/>
    <w:rsid w:val="00097FFD"/>
    <w:rsid w:val="000A479C"/>
    <w:rsid w:val="000B1FE0"/>
    <w:rsid w:val="000B2D18"/>
    <w:rsid w:val="000B3705"/>
    <w:rsid w:val="000B6B28"/>
    <w:rsid w:val="000C2DBA"/>
    <w:rsid w:val="000C477F"/>
    <w:rsid w:val="000C48FF"/>
    <w:rsid w:val="000C6427"/>
    <w:rsid w:val="000C7598"/>
    <w:rsid w:val="000D1801"/>
    <w:rsid w:val="000D3A39"/>
    <w:rsid w:val="000D6474"/>
    <w:rsid w:val="000D6766"/>
    <w:rsid w:val="000E096B"/>
    <w:rsid w:val="000E3014"/>
    <w:rsid w:val="000E4F2D"/>
    <w:rsid w:val="000E7B28"/>
    <w:rsid w:val="000E7B64"/>
    <w:rsid w:val="000F2C3C"/>
    <w:rsid w:val="00100AD4"/>
    <w:rsid w:val="00103200"/>
    <w:rsid w:val="0010362F"/>
    <w:rsid w:val="001061CB"/>
    <w:rsid w:val="0010757F"/>
    <w:rsid w:val="0011174D"/>
    <w:rsid w:val="00112CB4"/>
    <w:rsid w:val="00114765"/>
    <w:rsid w:val="00114C96"/>
    <w:rsid w:val="00115DA0"/>
    <w:rsid w:val="00115EEE"/>
    <w:rsid w:val="00116057"/>
    <w:rsid w:val="00121B4F"/>
    <w:rsid w:val="001237D0"/>
    <w:rsid w:val="00131D7E"/>
    <w:rsid w:val="00131FA1"/>
    <w:rsid w:val="00132D7C"/>
    <w:rsid w:val="00134D23"/>
    <w:rsid w:val="0013655B"/>
    <w:rsid w:val="0014454D"/>
    <w:rsid w:val="00144F8D"/>
    <w:rsid w:val="0014772B"/>
    <w:rsid w:val="0015066B"/>
    <w:rsid w:val="00153B5D"/>
    <w:rsid w:val="001569FE"/>
    <w:rsid w:val="00157447"/>
    <w:rsid w:val="001574C2"/>
    <w:rsid w:val="00161C5C"/>
    <w:rsid w:val="00162EFF"/>
    <w:rsid w:val="00163587"/>
    <w:rsid w:val="0016623D"/>
    <w:rsid w:val="0016635D"/>
    <w:rsid w:val="00166C64"/>
    <w:rsid w:val="00171088"/>
    <w:rsid w:val="00175F9E"/>
    <w:rsid w:val="00176CDF"/>
    <w:rsid w:val="00177B1F"/>
    <w:rsid w:val="001821A1"/>
    <w:rsid w:val="001825FD"/>
    <w:rsid w:val="00184B70"/>
    <w:rsid w:val="00191DCE"/>
    <w:rsid w:val="00192496"/>
    <w:rsid w:val="001935C9"/>
    <w:rsid w:val="00195170"/>
    <w:rsid w:val="00195692"/>
    <w:rsid w:val="00196F85"/>
    <w:rsid w:val="001A24BF"/>
    <w:rsid w:val="001A2606"/>
    <w:rsid w:val="001A34F1"/>
    <w:rsid w:val="001B08A3"/>
    <w:rsid w:val="001B29BB"/>
    <w:rsid w:val="001B6F64"/>
    <w:rsid w:val="001C11BE"/>
    <w:rsid w:val="001C18DC"/>
    <w:rsid w:val="001C22AC"/>
    <w:rsid w:val="001C4F8C"/>
    <w:rsid w:val="001D34A4"/>
    <w:rsid w:val="001D3673"/>
    <w:rsid w:val="001D66F4"/>
    <w:rsid w:val="001E03CD"/>
    <w:rsid w:val="001E0EC1"/>
    <w:rsid w:val="001E1E48"/>
    <w:rsid w:val="001E2C19"/>
    <w:rsid w:val="001E53E4"/>
    <w:rsid w:val="001E5A0D"/>
    <w:rsid w:val="001F2344"/>
    <w:rsid w:val="001F54CE"/>
    <w:rsid w:val="001F5B04"/>
    <w:rsid w:val="001F6FB1"/>
    <w:rsid w:val="001F786F"/>
    <w:rsid w:val="001F78CD"/>
    <w:rsid w:val="00200667"/>
    <w:rsid w:val="00200805"/>
    <w:rsid w:val="002009E4"/>
    <w:rsid w:val="00210D5F"/>
    <w:rsid w:val="00211CE3"/>
    <w:rsid w:val="00215021"/>
    <w:rsid w:val="00215570"/>
    <w:rsid w:val="002159A1"/>
    <w:rsid w:val="0021763B"/>
    <w:rsid w:val="00217CFE"/>
    <w:rsid w:val="002205A1"/>
    <w:rsid w:val="00221F4F"/>
    <w:rsid w:val="00223ADB"/>
    <w:rsid w:val="002241A7"/>
    <w:rsid w:val="00224EA9"/>
    <w:rsid w:val="002268F6"/>
    <w:rsid w:val="00227255"/>
    <w:rsid w:val="00233B79"/>
    <w:rsid w:val="002347B5"/>
    <w:rsid w:val="002374B1"/>
    <w:rsid w:val="0024199A"/>
    <w:rsid w:val="00241F09"/>
    <w:rsid w:val="00242D04"/>
    <w:rsid w:val="00243DAB"/>
    <w:rsid w:val="00250433"/>
    <w:rsid w:val="00254303"/>
    <w:rsid w:val="00257F44"/>
    <w:rsid w:val="00262AF7"/>
    <w:rsid w:val="00267F7D"/>
    <w:rsid w:val="00270C0E"/>
    <w:rsid w:val="002727CA"/>
    <w:rsid w:val="0028345C"/>
    <w:rsid w:val="00285832"/>
    <w:rsid w:val="00286736"/>
    <w:rsid w:val="00287F85"/>
    <w:rsid w:val="002901BF"/>
    <w:rsid w:val="00290D53"/>
    <w:rsid w:val="00292C04"/>
    <w:rsid w:val="00293EEA"/>
    <w:rsid w:val="002956B7"/>
    <w:rsid w:val="002A0F78"/>
    <w:rsid w:val="002A5F87"/>
    <w:rsid w:val="002B24D2"/>
    <w:rsid w:val="002B3278"/>
    <w:rsid w:val="002B42CC"/>
    <w:rsid w:val="002B5EF7"/>
    <w:rsid w:val="002B5F0A"/>
    <w:rsid w:val="002B7B84"/>
    <w:rsid w:val="002C1523"/>
    <w:rsid w:val="002C2A15"/>
    <w:rsid w:val="002C2DE4"/>
    <w:rsid w:val="002C43D3"/>
    <w:rsid w:val="002C4D3C"/>
    <w:rsid w:val="002D19BF"/>
    <w:rsid w:val="002D3C0D"/>
    <w:rsid w:val="002D508A"/>
    <w:rsid w:val="002E193B"/>
    <w:rsid w:val="002E4A4C"/>
    <w:rsid w:val="002E6B59"/>
    <w:rsid w:val="002F0390"/>
    <w:rsid w:val="002F17B7"/>
    <w:rsid w:val="002F1AC0"/>
    <w:rsid w:val="002F22CF"/>
    <w:rsid w:val="002F5F44"/>
    <w:rsid w:val="0030110A"/>
    <w:rsid w:val="00301711"/>
    <w:rsid w:val="0030505A"/>
    <w:rsid w:val="003073BE"/>
    <w:rsid w:val="00311146"/>
    <w:rsid w:val="00313735"/>
    <w:rsid w:val="00313EF3"/>
    <w:rsid w:val="0031635C"/>
    <w:rsid w:val="0032044C"/>
    <w:rsid w:val="00323C0A"/>
    <w:rsid w:val="00323D35"/>
    <w:rsid w:val="00324EBF"/>
    <w:rsid w:val="0032603A"/>
    <w:rsid w:val="0032776F"/>
    <w:rsid w:val="003322E8"/>
    <w:rsid w:val="00332BB9"/>
    <w:rsid w:val="0033552D"/>
    <w:rsid w:val="003421AB"/>
    <w:rsid w:val="00345FDF"/>
    <w:rsid w:val="00346509"/>
    <w:rsid w:val="00346F28"/>
    <w:rsid w:val="00350240"/>
    <w:rsid w:val="00361D79"/>
    <w:rsid w:val="003635A9"/>
    <w:rsid w:val="003640F4"/>
    <w:rsid w:val="00364931"/>
    <w:rsid w:val="00372414"/>
    <w:rsid w:val="003753C8"/>
    <w:rsid w:val="00382630"/>
    <w:rsid w:val="00392409"/>
    <w:rsid w:val="0039308A"/>
    <w:rsid w:val="00393D5C"/>
    <w:rsid w:val="003966EA"/>
    <w:rsid w:val="00397148"/>
    <w:rsid w:val="003A1846"/>
    <w:rsid w:val="003A1FE2"/>
    <w:rsid w:val="003A24C8"/>
    <w:rsid w:val="003A35A6"/>
    <w:rsid w:val="003A5BE6"/>
    <w:rsid w:val="003A6570"/>
    <w:rsid w:val="003A6D38"/>
    <w:rsid w:val="003B5178"/>
    <w:rsid w:val="003B6D85"/>
    <w:rsid w:val="003C137A"/>
    <w:rsid w:val="003C19D2"/>
    <w:rsid w:val="003C351A"/>
    <w:rsid w:val="003C574D"/>
    <w:rsid w:val="003C76CD"/>
    <w:rsid w:val="003D013B"/>
    <w:rsid w:val="003D1F4A"/>
    <w:rsid w:val="003D263D"/>
    <w:rsid w:val="003D6616"/>
    <w:rsid w:val="003E35D9"/>
    <w:rsid w:val="003E3C36"/>
    <w:rsid w:val="003E3D3F"/>
    <w:rsid w:val="003E7B07"/>
    <w:rsid w:val="003F1F6D"/>
    <w:rsid w:val="003F27ED"/>
    <w:rsid w:val="003F2FB9"/>
    <w:rsid w:val="003F4567"/>
    <w:rsid w:val="003F4850"/>
    <w:rsid w:val="003F6A4D"/>
    <w:rsid w:val="003F7A4F"/>
    <w:rsid w:val="0040081C"/>
    <w:rsid w:val="00401602"/>
    <w:rsid w:val="0040586E"/>
    <w:rsid w:val="00405C0F"/>
    <w:rsid w:val="00405F3D"/>
    <w:rsid w:val="00406801"/>
    <w:rsid w:val="00411334"/>
    <w:rsid w:val="00412388"/>
    <w:rsid w:val="004139FF"/>
    <w:rsid w:val="00423047"/>
    <w:rsid w:val="0043159B"/>
    <w:rsid w:val="004370D9"/>
    <w:rsid w:val="004405E1"/>
    <w:rsid w:val="00441DC1"/>
    <w:rsid w:val="00444349"/>
    <w:rsid w:val="00444457"/>
    <w:rsid w:val="00444862"/>
    <w:rsid w:val="00456B48"/>
    <w:rsid w:val="00461787"/>
    <w:rsid w:val="004638ED"/>
    <w:rsid w:val="004645AE"/>
    <w:rsid w:val="00464C3A"/>
    <w:rsid w:val="004658E5"/>
    <w:rsid w:val="0046748C"/>
    <w:rsid w:val="00472BEA"/>
    <w:rsid w:val="00475568"/>
    <w:rsid w:val="004757EE"/>
    <w:rsid w:val="004761C8"/>
    <w:rsid w:val="004770E9"/>
    <w:rsid w:val="00477F72"/>
    <w:rsid w:val="004803D2"/>
    <w:rsid w:val="004807EB"/>
    <w:rsid w:val="004808A6"/>
    <w:rsid w:val="00482577"/>
    <w:rsid w:val="004834BE"/>
    <w:rsid w:val="00483BB1"/>
    <w:rsid w:val="00483F68"/>
    <w:rsid w:val="00487CB7"/>
    <w:rsid w:val="00490D0B"/>
    <w:rsid w:val="004919C5"/>
    <w:rsid w:val="00497A5E"/>
    <w:rsid w:val="004A05EE"/>
    <w:rsid w:val="004A162F"/>
    <w:rsid w:val="004A47E7"/>
    <w:rsid w:val="004A6657"/>
    <w:rsid w:val="004A7DDE"/>
    <w:rsid w:val="004A7F49"/>
    <w:rsid w:val="004B422B"/>
    <w:rsid w:val="004B45CD"/>
    <w:rsid w:val="004B6A06"/>
    <w:rsid w:val="004C1001"/>
    <w:rsid w:val="004C2306"/>
    <w:rsid w:val="004C3C61"/>
    <w:rsid w:val="004C4F55"/>
    <w:rsid w:val="004C779B"/>
    <w:rsid w:val="004D7814"/>
    <w:rsid w:val="004D7AFD"/>
    <w:rsid w:val="004E021B"/>
    <w:rsid w:val="004E1DE9"/>
    <w:rsid w:val="004E65E8"/>
    <w:rsid w:val="004F0C30"/>
    <w:rsid w:val="004F1E4D"/>
    <w:rsid w:val="004F3B5D"/>
    <w:rsid w:val="004F3F14"/>
    <w:rsid w:val="004F5394"/>
    <w:rsid w:val="00501B63"/>
    <w:rsid w:val="00501C39"/>
    <w:rsid w:val="00502E27"/>
    <w:rsid w:val="00502F7C"/>
    <w:rsid w:val="00505E1E"/>
    <w:rsid w:val="00510031"/>
    <w:rsid w:val="00510E2A"/>
    <w:rsid w:val="00511E3E"/>
    <w:rsid w:val="00512F6E"/>
    <w:rsid w:val="005142B8"/>
    <w:rsid w:val="005146CF"/>
    <w:rsid w:val="0051502E"/>
    <w:rsid w:val="00516E9A"/>
    <w:rsid w:val="00517535"/>
    <w:rsid w:val="00517F7A"/>
    <w:rsid w:val="0052150E"/>
    <w:rsid w:val="00527687"/>
    <w:rsid w:val="00527691"/>
    <w:rsid w:val="005305EA"/>
    <w:rsid w:val="00531F6A"/>
    <w:rsid w:val="005325CF"/>
    <w:rsid w:val="0053385F"/>
    <w:rsid w:val="00533B26"/>
    <w:rsid w:val="00533E13"/>
    <w:rsid w:val="00536B09"/>
    <w:rsid w:val="0054022F"/>
    <w:rsid w:val="00543143"/>
    <w:rsid w:val="005436D2"/>
    <w:rsid w:val="005475B7"/>
    <w:rsid w:val="00550FAF"/>
    <w:rsid w:val="0055266C"/>
    <w:rsid w:val="00557C45"/>
    <w:rsid w:val="00561D46"/>
    <w:rsid w:val="0056279F"/>
    <w:rsid w:val="0056438F"/>
    <w:rsid w:val="00564BFD"/>
    <w:rsid w:val="00564F89"/>
    <w:rsid w:val="005667C3"/>
    <w:rsid w:val="00566ED0"/>
    <w:rsid w:val="00570626"/>
    <w:rsid w:val="00575BD6"/>
    <w:rsid w:val="005813DE"/>
    <w:rsid w:val="005822AD"/>
    <w:rsid w:val="00592F3E"/>
    <w:rsid w:val="005941B8"/>
    <w:rsid w:val="00596465"/>
    <w:rsid w:val="005A11F7"/>
    <w:rsid w:val="005A2056"/>
    <w:rsid w:val="005A2DE6"/>
    <w:rsid w:val="005B26A1"/>
    <w:rsid w:val="005B45C2"/>
    <w:rsid w:val="005B7B58"/>
    <w:rsid w:val="005C3400"/>
    <w:rsid w:val="005C515D"/>
    <w:rsid w:val="005C5A36"/>
    <w:rsid w:val="005C7220"/>
    <w:rsid w:val="005D2B11"/>
    <w:rsid w:val="005D6957"/>
    <w:rsid w:val="005E05C9"/>
    <w:rsid w:val="005E5EE5"/>
    <w:rsid w:val="005E7B3E"/>
    <w:rsid w:val="005F08A9"/>
    <w:rsid w:val="005F165F"/>
    <w:rsid w:val="005F3813"/>
    <w:rsid w:val="005F4145"/>
    <w:rsid w:val="005F5BB9"/>
    <w:rsid w:val="005F6962"/>
    <w:rsid w:val="006017FC"/>
    <w:rsid w:val="00602839"/>
    <w:rsid w:val="006043BD"/>
    <w:rsid w:val="00604D4E"/>
    <w:rsid w:val="0060688C"/>
    <w:rsid w:val="00613208"/>
    <w:rsid w:val="00613326"/>
    <w:rsid w:val="00614358"/>
    <w:rsid w:val="00614DCC"/>
    <w:rsid w:val="00614DDA"/>
    <w:rsid w:val="00620F99"/>
    <w:rsid w:val="00621D26"/>
    <w:rsid w:val="006228B1"/>
    <w:rsid w:val="00623B59"/>
    <w:rsid w:val="00624AC9"/>
    <w:rsid w:val="00625D3C"/>
    <w:rsid w:val="00637737"/>
    <w:rsid w:val="00642306"/>
    <w:rsid w:val="006423CF"/>
    <w:rsid w:val="00644D95"/>
    <w:rsid w:val="006501C8"/>
    <w:rsid w:val="00650AE8"/>
    <w:rsid w:val="00651026"/>
    <w:rsid w:val="006528D8"/>
    <w:rsid w:val="006566A8"/>
    <w:rsid w:val="006602B6"/>
    <w:rsid w:val="006638DE"/>
    <w:rsid w:val="00663A5B"/>
    <w:rsid w:val="00664A82"/>
    <w:rsid w:val="00665694"/>
    <w:rsid w:val="006727C4"/>
    <w:rsid w:val="006757CC"/>
    <w:rsid w:val="0067661B"/>
    <w:rsid w:val="0067737B"/>
    <w:rsid w:val="00677B72"/>
    <w:rsid w:val="006801A2"/>
    <w:rsid w:val="00681A41"/>
    <w:rsid w:val="00681AC0"/>
    <w:rsid w:val="00686D0A"/>
    <w:rsid w:val="00692932"/>
    <w:rsid w:val="00692EF6"/>
    <w:rsid w:val="00694D03"/>
    <w:rsid w:val="006957EC"/>
    <w:rsid w:val="00696C2A"/>
    <w:rsid w:val="006A1A32"/>
    <w:rsid w:val="006A30D2"/>
    <w:rsid w:val="006A4689"/>
    <w:rsid w:val="006A583C"/>
    <w:rsid w:val="006B1D44"/>
    <w:rsid w:val="006B54F6"/>
    <w:rsid w:val="006B5A11"/>
    <w:rsid w:val="006C1675"/>
    <w:rsid w:val="006C4E5C"/>
    <w:rsid w:val="006C7B1A"/>
    <w:rsid w:val="006D02BD"/>
    <w:rsid w:val="006D1862"/>
    <w:rsid w:val="006D4336"/>
    <w:rsid w:val="006D4A1D"/>
    <w:rsid w:val="006D4E66"/>
    <w:rsid w:val="006D6CA6"/>
    <w:rsid w:val="006D72EF"/>
    <w:rsid w:val="006D7BA6"/>
    <w:rsid w:val="006E0083"/>
    <w:rsid w:val="006E2AE6"/>
    <w:rsid w:val="006E4591"/>
    <w:rsid w:val="006E495F"/>
    <w:rsid w:val="006F0952"/>
    <w:rsid w:val="006F187D"/>
    <w:rsid w:val="006F27AB"/>
    <w:rsid w:val="006F3057"/>
    <w:rsid w:val="006F6D08"/>
    <w:rsid w:val="006F6D57"/>
    <w:rsid w:val="006F7CF4"/>
    <w:rsid w:val="0070269E"/>
    <w:rsid w:val="00703FE6"/>
    <w:rsid w:val="00704B8A"/>
    <w:rsid w:val="00705517"/>
    <w:rsid w:val="0070573D"/>
    <w:rsid w:val="0070626D"/>
    <w:rsid w:val="00706442"/>
    <w:rsid w:val="00706E63"/>
    <w:rsid w:val="00711A5C"/>
    <w:rsid w:val="00711DAC"/>
    <w:rsid w:val="007134D2"/>
    <w:rsid w:val="0071601E"/>
    <w:rsid w:val="007176BB"/>
    <w:rsid w:val="00717BFC"/>
    <w:rsid w:val="00720EEE"/>
    <w:rsid w:val="00721006"/>
    <w:rsid w:val="00722559"/>
    <w:rsid w:val="00722C42"/>
    <w:rsid w:val="00722E9B"/>
    <w:rsid w:val="007239C6"/>
    <w:rsid w:val="00723C4C"/>
    <w:rsid w:val="00725AC0"/>
    <w:rsid w:val="00726340"/>
    <w:rsid w:val="00727056"/>
    <w:rsid w:val="0073095C"/>
    <w:rsid w:val="00730FFF"/>
    <w:rsid w:val="00731E7E"/>
    <w:rsid w:val="00731ECF"/>
    <w:rsid w:val="00733402"/>
    <w:rsid w:val="00733D30"/>
    <w:rsid w:val="007377ED"/>
    <w:rsid w:val="00737ADA"/>
    <w:rsid w:val="0074071B"/>
    <w:rsid w:val="00741144"/>
    <w:rsid w:val="00744981"/>
    <w:rsid w:val="007456F6"/>
    <w:rsid w:val="00746120"/>
    <w:rsid w:val="00746C49"/>
    <w:rsid w:val="00746F21"/>
    <w:rsid w:val="0074786C"/>
    <w:rsid w:val="007530DA"/>
    <w:rsid w:val="00754E82"/>
    <w:rsid w:val="0076210A"/>
    <w:rsid w:val="0076282C"/>
    <w:rsid w:val="00763F86"/>
    <w:rsid w:val="00764BA9"/>
    <w:rsid w:val="007759C9"/>
    <w:rsid w:val="0077750C"/>
    <w:rsid w:val="00786B52"/>
    <w:rsid w:val="00790597"/>
    <w:rsid w:val="00790BD8"/>
    <w:rsid w:val="007915AB"/>
    <w:rsid w:val="00797DF6"/>
    <w:rsid w:val="007A1270"/>
    <w:rsid w:val="007B17D5"/>
    <w:rsid w:val="007B339A"/>
    <w:rsid w:val="007B428A"/>
    <w:rsid w:val="007C022D"/>
    <w:rsid w:val="007C0640"/>
    <w:rsid w:val="007C666E"/>
    <w:rsid w:val="007C6FC1"/>
    <w:rsid w:val="007C7239"/>
    <w:rsid w:val="007D1166"/>
    <w:rsid w:val="007D19A0"/>
    <w:rsid w:val="007D71D6"/>
    <w:rsid w:val="007E1243"/>
    <w:rsid w:val="007F0592"/>
    <w:rsid w:val="007F2AE2"/>
    <w:rsid w:val="007F3083"/>
    <w:rsid w:val="007F40ED"/>
    <w:rsid w:val="007F4167"/>
    <w:rsid w:val="007F601D"/>
    <w:rsid w:val="007F65A3"/>
    <w:rsid w:val="00800887"/>
    <w:rsid w:val="008025DB"/>
    <w:rsid w:val="00803B66"/>
    <w:rsid w:val="00805072"/>
    <w:rsid w:val="00806519"/>
    <w:rsid w:val="00806D00"/>
    <w:rsid w:val="00807807"/>
    <w:rsid w:val="00810A85"/>
    <w:rsid w:val="00811569"/>
    <w:rsid w:val="008139CB"/>
    <w:rsid w:val="008145E6"/>
    <w:rsid w:val="00815ACC"/>
    <w:rsid w:val="00816C73"/>
    <w:rsid w:val="00816D3A"/>
    <w:rsid w:val="00817F40"/>
    <w:rsid w:val="00821093"/>
    <w:rsid w:val="00824D4A"/>
    <w:rsid w:val="008269F7"/>
    <w:rsid w:val="008321E0"/>
    <w:rsid w:val="008322C5"/>
    <w:rsid w:val="00834EA4"/>
    <w:rsid w:val="00836388"/>
    <w:rsid w:val="0083696C"/>
    <w:rsid w:val="00842BE8"/>
    <w:rsid w:val="00843F4A"/>
    <w:rsid w:val="00843FEA"/>
    <w:rsid w:val="00844133"/>
    <w:rsid w:val="00844B90"/>
    <w:rsid w:val="00850862"/>
    <w:rsid w:val="008519E6"/>
    <w:rsid w:val="00854AE5"/>
    <w:rsid w:val="00854F88"/>
    <w:rsid w:val="00856CC8"/>
    <w:rsid w:val="00862426"/>
    <w:rsid w:val="00865FDD"/>
    <w:rsid w:val="00870008"/>
    <w:rsid w:val="00870054"/>
    <w:rsid w:val="008701BA"/>
    <w:rsid w:val="00872375"/>
    <w:rsid w:val="00872433"/>
    <w:rsid w:val="00872D96"/>
    <w:rsid w:val="008741F7"/>
    <w:rsid w:val="00876340"/>
    <w:rsid w:val="00880BA1"/>
    <w:rsid w:val="00881E71"/>
    <w:rsid w:val="00883464"/>
    <w:rsid w:val="008854F3"/>
    <w:rsid w:val="0088562E"/>
    <w:rsid w:val="00885F87"/>
    <w:rsid w:val="00890DA2"/>
    <w:rsid w:val="008912D2"/>
    <w:rsid w:val="008A2406"/>
    <w:rsid w:val="008A2595"/>
    <w:rsid w:val="008A46F4"/>
    <w:rsid w:val="008A5E2E"/>
    <w:rsid w:val="008B00DC"/>
    <w:rsid w:val="008B0F96"/>
    <w:rsid w:val="008B2022"/>
    <w:rsid w:val="008B3708"/>
    <w:rsid w:val="008B407F"/>
    <w:rsid w:val="008B55B7"/>
    <w:rsid w:val="008B73E8"/>
    <w:rsid w:val="008C0CBC"/>
    <w:rsid w:val="008C1EC0"/>
    <w:rsid w:val="008C69D4"/>
    <w:rsid w:val="008D0C22"/>
    <w:rsid w:val="008D12C2"/>
    <w:rsid w:val="008D2661"/>
    <w:rsid w:val="008D2E0F"/>
    <w:rsid w:val="008D52E5"/>
    <w:rsid w:val="008E1769"/>
    <w:rsid w:val="008E6A93"/>
    <w:rsid w:val="008E7937"/>
    <w:rsid w:val="008E7D90"/>
    <w:rsid w:val="008F00D2"/>
    <w:rsid w:val="008F3FED"/>
    <w:rsid w:val="008F790C"/>
    <w:rsid w:val="008F7996"/>
    <w:rsid w:val="009013F0"/>
    <w:rsid w:val="00902287"/>
    <w:rsid w:val="0090465D"/>
    <w:rsid w:val="009077E3"/>
    <w:rsid w:val="0090781C"/>
    <w:rsid w:val="009113E3"/>
    <w:rsid w:val="00911F7A"/>
    <w:rsid w:val="009160B3"/>
    <w:rsid w:val="00920210"/>
    <w:rsid w:val="00920DF4"/>
    <w:rsid w:val="00921EF9"/>
    <w:rsid w:val="00924D1F"/>
    <w:rsid w:val="0092550C"/>
    <w:rsid w:val="00927F47"/>
    <w:rsid w:val="00930DF3"/>
    <w:rsid w:val="00930F68"/>
    <w:rsid w:val="00930FBC"/>
    <w:rsid w:val="00936242"/>
    <w:rsid w:val="00940278"/>
    <w:rsid w:val="009438F3"/>
    <w:rsid w:val="0094448A"/>
    <w:rsid w:val="00944F41"/>
    <w:rsid w:val="00951F40"/>
    <w:rsid w:val="009522C5"/>
    <w:rsid w:val="00953BF6"/>
    <w:rsid w:val="00953E26"/>
    <w:rsid w:val="00954887"/>
    <w:rsid w:val="00957496"/>
    <w:rsid w:val="00961065"/>
    <w:rsid w:val="00964A48"/>
    <w:rsid w:val="00967E5B"/>
    <w:rsid w:val="0097109A"/>
    <w:rsid w:val="00971388"/>
    <w:rsid w:val="00971452"/>
    <w:rsid w:val="0097208A"/>
    <w:rsid w:val="009746CD"/>
    <w:rsid w:val="0097593B"/>
    <w:rsid w:val="009767C7"/>
    <w:rsid w:val="00976C2F"/>
    <w:rsid w:val="00977C5A"/>
    <w:rsid w:val="0098723B"/>
    <w:rsid w:val="00993213"/>
    <w:rsid w:val="009943C3"/>
    <w:rsid w:val="009961FC"/>
    <w:rsid w:val="00996766"/>
    <w:rsid w:val="009A0A5E"/>
    <w:rsid w:val="009A51FA"/>
    <w:rsid w:val="009A7942"/>
    <w:rsid w:val="009B0386"/>
    <w:rsid w:val="009B0798"/>
    <w:rsid w:val="009B172D"/>
    <w:rsid w:val="009B489D"/>
    <w:rsid w:val="009B7037"/>
    <w:rsid w:val="009B796B"/>
    <w:rsid w:val="009C08CE"/>
    <w:rsid w:val="009C373F"/>
    <w:rsid w:val="009C7AE2"/>
    <w:rsid w:val="009D3DC6"/>
    <w:rsid w:val="009D52D4"/>
    <w:rsid w:val="009D69F1"/>
    <w:rsid w:val="009D7F21"/>
    <w:rsid w:val="009F1BF4"/>
    <w:rsid w:val="009F2739"/>
    <w:rsid w:val="009F4FEF"/>
    <w:rsid w:val="009F7EC3"/>
    <w:rsid w:val="00A01386"/>
    <w:rsid w:val="00A022A4"/>
    <w:rsid w:val="00A034BE"/>
    <w:rsid w:val="00A03A2D"/>
    <w:rsid w:val="00A040EA"/>
    <w:rsid w:val="00A04469"/>
    <w:rsid w:val="00A054FE"/>
    <w:rsid w:val="00A06572"/>
    <w:rsid w:val="00A06B27"/>
    <w:rsid w:val="00A074C7"/>
    <w:rsid w:val="00A117F6"/>
    <w:rsid w:val="00A12364"/>
    <w:rsid w:val="00A15FD0"/>
    <w:rsid w:val="00A16D3D"/>
    <w:rsid w:val="00A22739"/>
    <w:rsid w:val="00A25023"/>
    <w:rsid w:val="00A26156"/>
    <w:rsid w:val="00A30889"/>
    <w:rsid w:val="00A32301"/>
    <w:rsid w:val="00A3399C"/>
    <w:rsid w:val="00A363C8"/>
    <w:rsid w:val="00A40A57"/>
    <w:rsid w:val="00A4130C"/>
    <w:rsid w:val="00A42612"/>
    <w:rsid w:val="00A44565"/>
    <w:rsid w:val="00A56A2F"/>
    <w:rsid w:val="00A60603"/>
    <w:rsid w:val="00A65A9A"/>
    <w:rsid w:val="00A67899"/>
    <w:rsid w:val="00A70AB8"/>
    <w:rsid w:val="00A70AD8"/>
    <w:rsid w:val="00A71FE9"/>
    <w:rsid w:val="00A7265E"/>
    <w:rsid w:val="00A73A0A"/>
    <w:rsid w:val="00A7542C"/>
    <w:rsid w:val="00A77363"/>
    <w:rsid w:val="00A80B3C"/>
    <w:rsid w:val="00A84F47"/>
    <w:rsid w:val="00A8522E"/>
    <w:rsid w:val="00A9020E"/>
    <w:rsid w:val="00A909F6"/>
    <w:rsid w:val="00A92AC1"/>
    <w:rsid w:val="00AA36A4"/>
    <w:rsid w:val="00AA523C"/>
    <w:rsid w:val="00AA6883"/>
    <w:rsid w:val="00AB40E7"/>
    <w:rsid w:val="00AB5251"/>
    <w:rsid w:val="00AB6BDA"/>
    <w:rsid w:val="00AB781F"/>
    <w:rsid w:val="00AC1F29"/>
    <w:rsid w:val="00AC2264"/>
    <w:rsid w:val="00AC2C5C"/>
    <w:rsid w:val="00AC4E63"/>
    <w:rsid w:val="00AC53F2"/>
    <w:rsid w:val="00AD00B6"/>
    <w:rsid w:val="00AD00F3"/>
    <w:rsid w:val="00AD368A"/>
    <w:rsid w:val="00AD53CA"/>
    <w:rsid w:val="00AD6D33"/>
    <w:rsid w:val="00AE14D8"/>
    <w:rsid w:val="00AE2BCF"/>
    <w:rsid w:val="00AE48DB"/>
    <w:rsid w:val="00AE5692"/>
    <w:rsid w:val="00AE656A"/>
    <w:rsid w:val="00AE7DA0"/>
    <w:rsid w:val="00AF022A"/>
    <w:rsid w:val="00AF0526"/>
    <w:rsid w:val="00AF19F5"/>
    <w:rsid w:val="00AF4800"/>
    <w:rsid w:val="00AF6954"/>
    <w:rsid w:val="00AF6AA5"/>
    <w:rsid w:val="00B02E2E"/>
    <w:rsid w:val="00B02E88"/>
    <w:rsid w:val="00B07FC0"/>
    <w:rsid w:val="00B1091A"/>
    <w:rsid w:val="00B12CFD"/>
    <w:rsid w:val="00B139E0"/>
    <w:rsid w:val="00B21E76"/>
    <w:rsid w:val="00B244D6"/>
    <w:rsid w:val="00B25E99"/>
    <w:rsid w:val="00B307B2"/>
    <w:rsid w:val="00B42748"/>
    <w:rsid w:val="00B43152"/>
    <w:rsid w:val="00B44C88"/>
    <w:rsid w:val="00B4562D"/>
    <w:rsid w:val="00B50119"/>
    <w:rsid w:val="00B50B5B"/>
    <w:rsid w:val="00B50F54"/>
    <w:rsid w:val="00B53337"/>
    <w:rsid w:val="00B5447A"/>
    <w:rsid w:val="00B549D1"/>
    <w:rsid w:val="00B57301"/>
    <w:rsid w:val="00B613CA"/>
    <w:rsid w:val="00B61DB4"/>
    <w:rsid w:val="00B624D6"/>
    <w:rsid w:val="00B627BC"/>
    <w:rsid w:val="00B63CF0"/>
    <w:rsid w:val="00B63E3C"/>
    <w:rsid w:val="00B63F2D"/>
    <w:rsid w:val="00B640FE"/>
    <w:rsid w:val="00B7100E"/>
    <w:rsid w:val="00B74001"/>
    <w:rsid w:val="00B74F91"/>
    <w:rsid w:val="00B76403"/>
    <w:rsid w:val="00B77896"/>
    <w:rsid w:val="00B8036A"/>
    <w:rsid w:val="00B83EC1"/>
    <w:rsid w:val="00B842D8"/>
    <w:rsid w:val="00B844CE"/>
    <w:rsid w:val="00B85BBB"/>
    <w:rsid w:val="00B8633C"/>
    <w:rsid w:val="00B92D58"/>
    <w:rsid w:val="00BA039E"/>
    <w:rsid w:val="00BA228A"/>
    <w:rsid w:val="00BA704B"/>
    <w:rsid w:val="00BA7340"/>
    <w:rsid w:val="00BB0A68"/>
    <w:rsid w:val="00BB1AC4"/>
    <w:rsid w:val="00BB22F0"/>
    <w:rsid w:val="00BB2B85"/>
    <w:rsid w:val="00BB3CD1"/>
    <w:rsid w:val="00BB3DDF"/>
    <w:rsid w:val="00BB62B7"/>
    <w:rsid w:val="00BB673B"/>
    <w:rsid w:val="00BB7B83"/>
    <w:rsid w:val="00BC04FA"/>
    <w:rsid w:val="00BC42F8"/>
    <w:rsid w:val="00BC45EE"/>
    <w:rsid w:val="00BC514F"/>
    <w:rsid w:val="00BC553E"/>
    <w:rsid w:val="00BE19A1"/>
    <w:rsid w:val="00BE56C7"/>
    <w:rsid w:val="00BE6BDC"/>
    <w:rsid w:val="00BE6C81"/>
    <w:rsid w:val="00BF08C9"/>
    <w:rsid w:val="00BF3FC9"/>
    <w:rsid w:val="00BF6A86"/>
    <w:rsid w:val="00C01CA4"/>
    <w:rsid w:val="00C048B5"/>
    <w:rsid w:val="00C050E1"/>
    <w:rsid w:val="00C051AD"/>
    <w:rsid w:val="00C10077"/>
    <w:rsid w:val="00C1019E"/>
    <w:rsid w:val="00C107F4"/>
    <w:rsid w:val="00C15A90"/>
    <w:rsid w:val="00C15A99"/>
    <w:rsid w:val="00C16A11"/>
    <w:rsid w:val="00C22063"/>
    <w:rsid w:val="00C26539"/>
    <w:rsid w:val="00C26717"/>
    <w:rsid w:val="00C269EE"/>
    <w:rsid w:val="00C31E3D"/>
    <w:rsid w:val="00C3340F"/>
    <w:rsid w:val="00C35C6A"/>
    <w:rsid w:val="00C35DD9"/>
    <w:rsid w:val="00C364B0"/>
    <w:rsid w:val="00C36A0A"/>
    <w:rsid w:val="00C40BDE"/>
    <w:rsid w:val="00C41AAE"/>
    <w:rsid w:val="00C42B4B"/>
    <w:rsid w:val="00C45365"/>
    <w:rsid w:val="00C473BB"/>
    <w:rsid w:val="00C545E6"/>
    <w:rsid w:val="00C65FDA"/>
    <w:rsid w:val="00C70057"/>
    <w:rsid w:val="00C70A62"/>
    <w:rsid w:val="00C717AD"/>
    <w:rsid w:val="00C7292A"/>
    <w:rsid w:val="00C76E30"/>
    <w:rsid w:val="00C81478"/>
    <w:rsid w:val="00C81F27"/>
    <w:rsid w:val="00C826F7"/>
    <w:rsid w:val="00C86516"/>
    <w:rsid w:val="00C9132E"/>
    <w:rsid w:val="00C93BB1"/>
    <w:rsid w:val="00C93F7E"/>
    <w:rsid w:val="00C954E8"/>
    <w:rsid w:val="00C975BF"/>
    <w:rsid w:val="00CA0A62"/>
    <w:rsid w:val="00CA19E9"/>
    <w:rsid w:val="00CA42EF"/>
    <w:rsid w:val="00CA64FA"/>
    <w:rsid w:val="00CA737A"/>
    <w:rsid w:val="00CA740B"/>
    <w:rsid w:val="00CB3030"/>
    <w:rsid w:val="00CB72B4"/>
    <w:rsid w:val="00CC063A"/>
    <w:rsid w:val="00CC1D5C"/>
    <w:rsid w:val="00CC2D3A"/>
    <w:rsid w:val="00CC3D45"/>
    <w:rsid w:val="00CC463D"/>
    <w:rsid w:val="00CC4CB9"/>
    <w:rsid w:val="00CD0257"/>
    <w:rsid w:val="00CD0267"/>
    <w:rsid w:val="00CD0D92"/>
    <w:rsid w:val="00CD12A0"/>
    <w:rsid w:val="00CD1A39"/>
    <w:rsid w:val="00CD2689"/>
    <w:rsid w:val="00CD4CF0"/>
    <w:rsid w:val="00CD6901"/>
    <w:rsid w:val="00CE162F"/>
    <w:rsid w:val="00CE2BDA"/>
    <w:rsid w:val="00CE441D"/>
    <w:rsid w:val="00CE58B7"/>
    <w:rsid w:val="00CE691F"/>
    <w:rsid w:val="00CF031C"/>
    <w:rsid w:val="00CF07D0"/>
    <w:rsid w:val="00CF16F9"/>
    <w:rsid w:val="00CF1707"/>
    <w:rsid w:val="00CF2A17"/>
    <w:rsid w:val="00CF3E71"/>
    <w:rsid w:val="00D01633"/>
    <w:rsid w:val="00D017F3"/>
    <w:rsid w:val="00D02F69"/>
    <w:rsid w:val="00D03641"/>
    <w:rsid w:val="00D04076"/>
    <w:rsid w:val="00D064CA"/>
    <w:rsid w:val="00D06820"/>
    <w:rsid w:val="00D077E7"/>
    <w:rsid w:val="00D12FE2"/>
    <w:rsid w:val="00D13F82"/>
    <w:rsid w:val="00D149B8"/>
    <w:rsid w:val="00D21D53"/>
    <w:rsid w:val="00D22BC4"/>
    <w:rsid w:val="00D26A13"/>
    <w:rsid w:val="00D26FF4"/>
    <w:rsid w:val="00D3132A"/>
    <w:rsid w:val="00D37047"/>
    <w:rsid w:val="00D41A68"/>
    <w:rsid w:val="00D42CC0"/>
    <w:rsid w:val="00D431D4"/>
    <w:rsid w:val="00D44E80"/>
    <w:rsid w:val="00D45643"/>
    <w:rsid w:val="00D45A6C"/>
    <w:rsid w:val="00D47572"/>
    <w:rsid w:val="00D52805"/>
    <w:rsid w:val="00D53626"/>
    <w:rsid w:val="00D5395E"/>
    <w:rsid w:val="00D54F0F"/>
    <w:rsid w:val="00D5641E"/>
    <w:rsid w:val="00D65FF0"/>
    <w:rsid w:val="00D67A9E"/>
    <w:rsid w:val="00D71140"/>
    <w:rsid w:val="00D72047"/>
    <w:rsid w:val="00D734A0"/>
    <w:rsid w:val="00D75184"/>
    <w:rsid w:val="00D7527F"/>
    <w:rsid w:val="00D80554"/>
    <w:rsid w:val="00D80C14"/>
    <w:rsid w:val="00D81D51"/>
    <w:rsid w:val="00D822BB"/>
    <w:rsid w:val="00D834A8"/>
    <w:rsid w:val="00D84684"/>
    <w:rsid w:val="00D84D03"/>
    <w:rsid w:val="00D851FF"/>
    <w:rsid w:val="00D865EC"/>
    <w:rsid w:val="00D87CA4"/>
    <w:rsid w:val="00D90D3B"/>
    <w:rsid w:val="00D917E7"/>
    <w:rsid w:val="00D91D11"/>
    <w:rsid w:val="00D91DF9"/>
    <w:rsid w:val="00D97DE2"/>
    <w:rsid w:val="00DA20DD"/>
    <w:rsid w:val="00DA33BB"/>
    <w:rsid w:val="00DA5D0C"/>
    <w:rsid w:val="00DA5F8F"/>
    <w:rsid w:val="00DB04E3"/>
    <w:rsid w:val="00DB174A"/>
    <w:rsid w:val="00DB2563"/>
    <w:rsid w:val="00DB401B"/>
    <w:rsid w:val="00DB4CB7"/>
    <w:rsid w:val="00DB6D90"/>
    <w:rsid w:val="00DB7C0F"/>
    <w:rsid w:val="00DC085A"/>
    <w:rsid w:val="00DC149A"/>
    <w:rsid w:val="00DC1AB5"/>
    <w:rsid w:val="00DC401D"/>
    <w:rsid w:val="00DC68B5"/>
    <w:rsid w:val="00DC747E"/>
    <w:rsid w:val="00DD1E64"/>
    <w:rsid w:val="00DD27C5"/>
    <w:rsid w:val="00DD30EC"/>
    <w:rsid w:val="00DD5250"/>
    <w:rsid w:val="00DD5E9E"/>
    <w:rsid w:val="00DD5F27"/>
    <w:rsid w:val="00DE0861"/>
    <w:rsid w:val="00DE75FD"/>
    <w:rsid w:val="00DF05EC"/>
    <w:rsid w:val="00DF20E3"/>
    <w:rsid w:val="00DF7004"/>
    <w:rsid w:val="00E00218"/>
    <w:rsid w:val="00E00886"/>
    <w:rsid w:val="00E017D5"/>
    <w:rsid w:val="00E01FD6"/>
    <w:rsid w:val="00E03475"/>
    <w:rsid w:val="00E03562"/>
    <w:rsid w:val="00E1554B"/>
    <w:rsid w:val="00E17A79"/>
    <w:rsid w:val="00E309ED"/>
    <w:rsid w:val="00E351E1"/>
    <w:rsid w:val="00E35369"/>
    <w:rsid w:val="00E42142"/>
    <w:rsid w:val="00E43528"/>
    <w:rsid w:val="00E43F1C"/>
    <w:rsid w:val="00E469BD"/>
    <w:rsid w:val="00E523D0"/>
    <w:rsid w:val="00E52C61"/>
    <w:rsid w:val="00E5313D"/>
    <w:rsid w:val="00E539C3"/>
    <w:rsid w:val="00E61306"/>
    <w:rsid w:val="00E6501F"/>
    <w:rsid w:val="00E65CFA"/>
    <w:rsid w:val="00E679DF"/>
    <w:rsid w:val="00E7036B"/>
    <w:rsid w:val="00E715EC"/>
    <w:rsid w:val="00E72C91"/>
    <w:rsid w:val="00E72EDD"/>
    <w:rsid w:val="00E7499F"/>
    <w:rsid w:val="00E87E3A"/>
    <w:rsid w:val="00E90BFD"/>
    <w:rsid w:val="00E90E36"/>
    <w:rsid w:val="00E90ECB"/>
    <w:rsid w:val="00E94AB9"/>
    <w:rsid w:val="00E973D1"/>
    <w:rsid w:val="00EA0F92"/>
    <w:rsid w:val="00EA17F0"/>
    <w:rsid w:val="00EA28F1"/>
    <w:rsid w:val="00EA2DF4"/>
    <w:rsid w:val="00EA40BC"/>
    <w:rsid w:val="00EA4599"/>
    <w:rsid w:val="00EA6391"/>
    <w:rsid w:val="00EB1A6F"/>
    <w:rsid w:val="00EB234C"/>
    <w:rsid w:val="00EB29A2"/>
    <w:rsid w:val="00EB31AD"/>
    <w:rsid w:val="00EC1DED"/>
    <w:rsid w:val="00EC457D"/>
    <w:rsid w:val="00EC482C"/>
    <w:rsid w:val="00EC7459"/>
    <w:rsid w:val="00ED0D54"/>
    <w:rsid w:val="00ED1B71"/>
    <w:rsid w:val="00ED23A6"/>
    <w:rsid w:val="00EE0E33"/>
    <w:rsid w:val="00EE4AD7"/>
    <w:rsid w:val="00EE6F28"/>
    <w:rsid w:val="00EF4768"/>
    <w:rsid w:val="00F00D0D"/>
    <w:rsid w:val="00F02135"/>
    <w:rsid w:val="00F0276E"/>
    <w:rsid w:val="00F06A65"/>
    <w:rsid w:val="00F0716C"/>
    <w:rsid w:val="00F11753"/>
    <w:rsid w:val="00F13318"/>
    <w:rsid w:val="00F13A5C"/>
    <w:rsid w:val="00F14909"/>
    <w:rsid w:val="00F15CC4"/>
    <w:rsid w:val="00F32BFB"/>
    <w:rsid w:val="00F3453C"/>
    <w:rsid w:val="00F3604F"/>
    <w:rsid w:val="00F36A4D"/>
    <w:rsid w:val="00F4002C"/>
    <w:rsid w:val="00F40704"/>
    <w:rsid w:val="00F414B0"/>
    <w:rsid w:val="00F4183E"/>
    <w:rsid w:val="00F41F17"/>
    <w:rsid w:val="00F45AAC"/>
    <w:rsid w:val="00F50D73"/>
    <w:rsid w:val="00F52D5E"/>
    <w:rsid w:val="00F61EAD"/>
    <w:rsid w:val="00F62E11"/>
    <w:rsid w:val="00F63370"/>
    <w:rsid w:val="00F6486E"/>
    <w:rsid w:val="00F67736"/>
    <w:rsid w:val="00F719F7"/>
    <w:rsid w:val="00F75023"/>
    <w:rsid w:val="00F81DF0"/>
    <w:rsid w:val="00F905B8"/>
    <w:rsid w:val="00F90C71"/>
    <w:rsid w:val="00F913F3"/>
    <w:rsid w:val="00F93428"/>
    <w:rsid w:val="00F96DA5"/>
    <w:rsid w:val="00F9700B"/>
    <w:rsid w:val="00FA1B3B"/>
    <w:rsid w:val="00FA33FF"/>
    <w:rsid w:val="00FA4146"/>
    <w:rsid w:val="00FA48A0"/>
    <w:rsid w:val="00FA4A0E"/>
    <w:rsid w:val="00FA55A8"/>
    <w:rsid w:val="00FA6183"/>
    <w:rsid w:val="00FA61C4"/>
    <w:rsid w:val="00FA681A"/>
    <w:rsid w:val="00FB2510"/>
    <w:rsid w:val="00FB26DA"/>
    <w:rsid w:val="00FB479A"/>
    <w:rsid w:val="00FB50C0"/>
    <w:rsid w:val="00FB54B9"/>
    <w:rsid w:val="00FB5906"/>
    <w:rsid w:val="00FB5E19"/>
    <w:rsid w:val="00FC1E5A"/>
    <w:rsid w:val="00FC3715"/>
    <w:rsid w:val="00FC4886"/>
    <w:rsid w:val="00FC4C29"/>
    <w:rsid w:val="00FC583B"/>
    <w:rsid w:val="00FC6F24"/>
    <w:rsid w:val="00FC7CBE"/>
    <w:rsid w:val="00FD23EA"/>
    <w:rsid w:val="00FD26CB"/>
    <w:rsid w:val="00FD5764"/>
    <w:rsid w:val="00FD590D"/>
    <w:rsid w:val="00FD767C"/>
    <w:rsid w:val="00FD7B3B"/>
    <w:rsid w:val="00FE07DD"/>
    <w:rsid w:val="00FE476D"/>
    <w:rsid w:val="00FF0B82"/>
    <w:rsid w:val="00FF1AFE"/>
    <w:rsid w:val="00FF35DD"/>
    <w:rsid w:val="00FF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7B1"/>
  <w15:chartTrackingRefBased/>
  <w15:docId w15:val="{B3391680-D7C0-4BCC-80E4-6D564559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D6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D6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6C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6C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6C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6C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6C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6C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6C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6C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D6C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6C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6C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6C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6C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6C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6C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6CA6"/>
    <w:rPr>
      <w:rFonts w:eastAsiaTheme="majorEastAsia" w:cstheme="majorBidi"/>
      <w:color w:val="272727" w:themeColor="text1" w:themeTint="D8"/>
    </w:rPr>
  </w:style>
  <w:style w:type="paragraph" w:styleId="Tytu">
    <w:name w:val="Title"/>
    <w:basedOn w:val="Normalny"/>
    <w:next w:val="Normalny"/>
    <w:link w:val="TytuZnak"/>
    <w:uiPriority w:val="10"/>
    <w:qFormat/>
    <w:rsid w:val="006D6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6C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6C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6C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6CA6"/>
    <w:pPr>
      <w:spacing w:before="160"/>
      <w:jc w:val="center"/>
    </w:pPr>
    <w:rPr>
      <w:i/>
      <w:iCs/>
      <w:color w:val="404040" w:themeColor="text1" w:themeTint="BF"/>
    </w:rPr>
  </w:style>
  <w:style w:type="character" w:customStyle="1" w:styleId="CytatZnak">
    <w:name w:val="Cytat Znak"/>
    <w:basedOn w:val="Domylnaczcionkaakapitu"/>
    <w:link w:val="Cytat"/>
    <w:uiPriority w:val="29"/>
    <w:rsid w:val="006D6CA6"/>
    <w:rPr>
      <w:i/>
      <w:iCs/>
      <w:color w:val="404040" w:themeColor="text1" w:themeTint="BF"/>
    </w:rPr>
  </w:style>
  <w:style w:type="paragraph" w:styleId="Akapitzlist">
    <w:name w:val="List Paragraph"/>
    <w:basedOn w:val="Normalny"/>
    <w:uiPriority w:val="34"/>
    <w:qFormat/>
    <w:rsid w:val="006D6CA6"/>
    <w:pPr>
      <w:ind w:left="720"/>
      <w:contextualSpacing/>
    </w:pPr>
  </w:style>
  <w:style w:type="character" w:styleId="Wyrnienieintensywne">
    <w:name w:val="Intense Emphasis"/>
    <w:basedOn w:val="Domylnaczcionkaakapitu"/>
    <w:uiPriority w:val="21"/>
    <w:qFormat/>
    <w:rsid w:val="006D6CA6"/>
    <w:rPr>
      <w:i/>
      <w:iCs/>
      <w:color w:val="2F5496" w:themeColor="accent1" w:themeShade="BF"/>
    </w:rPr>
  </w:style>
  <w:style w:type="paragraph" w:styleId="Cytatintensywny">
    <w:name w:val="Intense Quote"/>
    <w:basedOn w:val="Normalny"/>
    <w:next w:val="Normalny"/>
    <w:link w:val="CytatintensywnyZnak"/>
    <w:uiPriority w:val="30"/>
    <w:qFormat/>
    <w:rsid w:val="006D6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6CA6"/>
    <w:rPr>
      <w:i/>
      <w:iCs/>
      <w:color w:val="2F5496" w:themeColor="accent1" w:themeShade="BF"/>
    </w:rPr>
  </w:style>
  <w:style w:type="character" w:styleId="Odwoanieintensywne">
    <w:name w:val="Intense Reference"/>
    <w:basedOn w:val="Domylnaczcionkaakapitu"/>
    <w:uiPriority w:val="32"/>
    <w:qFormat/>
    <w:rsid w:val="006D6CA6"/>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817F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7F40"/>
    <w:rPr>
      <w:sz w:val="20"/>
      <w:szCs w:val="20"/>
    </w:rPr>
  </w:style>
  <w:style w:type="character" w:styleId="Odwoanieprzypisukocowego">
    <w:name w:val="endnote reference"/>
    <w:basedOn w:val="Domylnaczcionkaakapitu"/>
    <w:uiPriority w:val="99"/>
    <w:semiHidden/>
    <w:unhideWhenUsed/>
    <w:rsid w:val="00817F40"/>
    <w:rPr>
      <w:vertAlign w:val="superscript"/>
    </w:rPr>
  </w:style>
  <w:style w:type="paragraph" w:styleId="Tekstpodstawowy">
    <w:name w:val="Body Text"/>
    <w:basedOn w:val="Normalny"/>
    <w:link w:val="TekstpodstawowyZnak"/>
    <w:uiPriority w:val="1"/>
    <w:qFormat/>
    <w:rsid w:val="00D45A6C"/>
    <w:pPr>
      <w:widowControl w:val="0"/>
      <w:autoSpaceDE w:val="0"/>
      <w:autoSpaceDN w:val="0"/>
      <w:spacing w:after="0" w:line="240" w:lineRule="auto"/>
    </w:pPr>
    <w:rPr>
      <w:rFonts w:ascii="Times New Roman" w:eastAsia="Times New Roman" w:hAnsi="Times New Roman" w:cs="Times New Roman"/>
      <w:kern w:val="0"/>
      <w:sz w:val="24"/>
      <w:szCs w:val="24"/>
      <w:lang w:eastAsia="pl-PL" w:bidi="pl-PL"/>
      <w14:ligatures w14:val="none"/>
    </w:rPr>
  </w:style>
  <w:style w:type="character" w:customStyle="1" w:styleId="TekstpodstawowyZnak">
    <w:name w:val="Tekst podstawowy Znak"/>
    <w:basedOn w:val="Domylnaczcionkaakapitu"/>
    <w:link w:val="Tekstpodstawowy"/>
    <w:uiPriority w:val="1"/>
    <w:rsid w:val="00D45A6C"/>
    <w:rPr>
      <w:rFonts w:ascii="Times New Roman" w:eastAsia="Times New Roman" w:hAnsi="Times New Roman" w:cs="Times New Roman"/>
      <w:kern w:val="0"/>
      <w:sz w:val="24"/>
      <w:szCs w:val="24"/>
      <w:lang w:eastAsia="pl-PL" w:bidi="pl-PL"/>
      <w14:ligatures w14:val="none"/>
    </w:rPr>
  </w:style>
  <w:style w:type="paragraph" w:styleId="Tekstprzypisudolnego">
    <w:name w:val="footnote text"/>
    <w:basedOn w:val="Normalny"/>
    <w:link w:val="TekstprzypisudolnegoZnak"/>
    <w:semiHidden/>
    <w:unhideWhenUsed/>
    <w:rsid w:val="00FC583B"/>
    <w:pPr>
      <w:spacing w:after="0" w:line="240" w:lineRule="auto"/>
    </w:pPr>
    <w:rPr>
      <w:rFonts w:ascii="Calibri" w:eastAsia="Calibri" w:hAnsi="Calibri" w:cs="Times New Roman"/>
      <w:kern w:val="0"/>
      <w:sz w:val="20"/>
      <w:szCs w:val="20"/>
      <w:lang w:val="x-none" w:eastAsia="x-none"/>
      <w14:ligatures w14:val="none"/>
    </w:rPr>
  </w:style>
  <w:style w:type="character" w:customStyle="1" w:styleId="TekstprzypisudolnegoZnak">
    <w:name w:val="Tekst przypisu dolnego Znak"/>
    <w:basedOn w:val="Domylnaczcionkaakapitu"/>
    <w:link w:val="Tekstprzypisudolnego"/>
    <w:semiHidden/>
    <w:rsid w:val="00FC583B"/>
    <w:rPr>
      <w:rFonts w:ascii="Calibri" w:eastAsia="Calibri" w:hAnsi="Calibri" w:cs="Times New Roman"/>
      <w:kern w:val="0"/>
      <w:sz w:val="20"/>
      <w:szCs w:val="20"/>
      <w:lang w:val="x-none" w:eastAsia="x-none"/>
      <w14:ligatures w14:val="none"/>
    </w:rPr>
  </w:style>
  <w:style w:type="character" w:styleId="Odwoanieprzypisudolnego">
    <w:name w:val="footnote reference"/>
    <w:semiHidden/>
    <w:unhideWhenUsed/>
    <w:rsid w:val="00FC583B"/>
    <w:rPr>
      <w:vertAlign w:val="superscript"/>
    </w:rPr>
  </w:style>
  <w:style w:type="paragraph" w:styleId="NormalnyWeb">
    <w:name w:val="Normal (Web)"/>
    <w:basedOn w:val="Normalny"/>
    <w:uiPriority w:val="99"/>
    <w:semiHidden/>
    <w:unhideWhenUsed/>
    <w:rsid w:val="00C545E6"/>
    <w:rPr>
      <w:rFonts w:ascii="Times New Roman" w:hAnsi="Times New Roman" w:cs="Times New Roman"/>
      <w:sz w:val="24"/>
      <w:szCs w:val="24"/>
    </w:rPr>
  </w:style>
  <w:style w:type="table" w:styleId="Tabela-Siatka">
    <w:name w:val="Table Grid"/>
    <w:basedOn w:val="Standardowy"/>
    <w:uiPriority w:val="39"/>
    <w:rsid w:val="00CC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5C2"/>
    <w:rPr>
      <w:color w:val="0563C1" w:themeColor="hyperlink"/>
      <w:u w:val="single"/>
    </w:rPr>
  </w:style>
  <w:style w:type="character" w:customStyle="1" w:styleId="Nierozpoznanawzmianka1">
    <w:name w:val="Nierozpoznana wzmianka1"/>
    <w:basedOn w:val="Domylnaczcionkaakapitu"/>
    <w:uiPriority w:val="99"/>
    <w:semiHidden/>
    <w:unhideWhenUsed/>
    <w:rsid w:val="005B45C2"/>
    <w:rPr>
      <w:color w:val="605E5C"/>
      <w:shd w:val="clear" w:color="auto" w:fill="E1DFDD"/>
    </w:rPr>
  </w:style>
  <w:style w:type="character" w:styleId="Pogrubienie">
    <w:name w:val="Strong"/>
    <w:basedOn w:val="Domylnaczcionkaakapitu"/>
    <w:uiPriority w:val="22"/>
    <w:qFormat/>
    <w:rsid w:val="00A40A57"/>
    <w:rPr>
      <w:b/>
      <w:bCs/>
    </w:rPr>
  </w:style>
  <w:style w:type="paragraph" w:styleId="Nagwek">
    <w:name w:val="header"/>
    <w:basedOn w:val="Normalny"/>
    <w:link w:val="NagwekZnak"/>
    <w:uiPriority w:val="99"/>
    <w:unhideWhenUsed/>
    <w:rsid w:val="004230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3047"/>
  </w:style>
  <w:style w:type="paragraph" w:styleId="Stopka">
    <w:name w:val="footer"/>
    <w:basedOn w:val="Normalny"/>
    <w:link w:val="StopkaZnak"/>
    <w:uiPriority w:val="99"/>
    <w:unhideWhenUsed/>
    <w:rsid w:val="004230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3047"/>
  </w:style>
  <w:style w:type="paragraph" w:customStyle="1" w:styleId="ALiteratura">
    <w:name w:val="A_Literatura"/>
    <w:basedOn w:val="Normalny"/>
    <w:link w:val="ALiteraturaZnak"/>
    <w:rsid w:val="00C16A11"/>
    <w:pPr>
      <w:spacing w:after="0" w:line="240" w:lineRule="auto"/>
      <w:ind w:left="425" w:hanging="425"/>
      <w:jc w:val="both"/>
    </w:pPr>
    <w:rPr>
      <w:rFonts w:ascii="Times New Roman" w:hAnsi="Times New Roman"/>
      <w:color w:val="000000" w:themeColor="text1"/>
      <w:kern w:val="0"/>
      <w:sz w:val="20"/>
      <w:szCs w:val="24"/>
      <w:lang w:val="en-GB"/>
      <w14:ligatures w14:val="none"/>
    </w:rPr>
  </w:style>
  <w:style w:type="character" w:customStyle="1" w:styleId="ALiteraturaZnak">
    <w:name w:val="A_Literatura Znak"/>
    <w:basedOn w:val="Domylnaczcionkaakapitu"/>
    <w:link w:val="ALiteratura"/>
    <w:rsid w:val="00C16A11"/>
    <w:rPr>
      <w:rFonts w:ascii="Times New Roman" w:hAnsi="Times New Roman"/>
      <w:color w:val="000000" w:themeColor="text1"/>
      <w:kern w:val="0"/>
      <w:sz w:val="20"/>
      <w:szCs w:val="24"/>
      <w:lang w:val="en-GB"/>
      <w14:ligatures w14:val="none"/>
    </w:rPr>
  </w:style>
  <w:style w:type="character" w:customStyle="1" w:styleId="highlighthighlightpbr3q">
    <w:name w:val="highlight_highlight__pbr3q"/>
    <w:basedOn w:val="Domylnaczcionkaakapitu"/>
    <w:rsid w:val="00E72EDD"/>
  </w:style>
  <w:style w:type="paragraph" w:customStyle="1" w:styleId="Rab1">
    <w:name w:val="R_ab1"/>
    <w:next w:val="Normalny"/>
    <w:autoRedefine/>
    <w:qFormat/>
    <w:rsid w:val="009C7AE2"/>
    <w:pPr>
      <w:suppressAutoHyphens/>
      <w:spacing w:before="120" w:after="0" w:line="240" w:lineRule="auto"/>
      <w:ind w:left="567" w:right="567"/>
      <w:jc w:val="both"/>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9C7AE2"/>
    <w:pPr>
      <w:spacing w:before="60"/>
    </w:pPr>
  </w:style>
  <w:style w:type="paragraph" w:customStyle="1" w:styleId="Rafiliacja">
    <w:name w:val="R_afiliacja"/>
    <w:basedOn w:val="Normalny"/>
    <w:link w:val="RafiliacjaZnak"/>
    <w:qFormat/>
    <w:rsid w:val="009C7AE2"/>
    <w:pPr>
      <w:suppressAutoHyphens/>
      <w:spacing w:after="0" w:line="240" w:lineRule="auto"/>
      <w:jc w:val="center"/>
    </w:pPr>
    <w:rPr>
      <w:rFonts w:ascii="Times New Roman" w:hAnsi="Times New Roman" w:cs="Times New Roman"/>
      <w:i/>
      <w:sz w:val="20"/>
      <w:szCs w:val="28"/>
    </w:rPr>
  </w:style>
  <w:style w:type="character" w:customStyle="1" w:styleId="RafiliacjaZnak">
    <w:name w:val="R_afiliacja Znak"/>
    <w:basedOn w:val="Domylnaczcionkaakapitu"/>
    <w:link w:val="Rafiliacja"/>
    <w:rsid w:val="009C7AE2"/>
    <w:rPr>
      <w:rFonts w:ascii="Times New Roman" w:hAnsi="Times New Roman" w:cs="Times New Roman"/>
      <w:i/>
      <w:sz w:val="20"/>
      <w:szCs w:val="28"/>
    </w:rPr>
  </w:style>
  <w:style w:type="paragraph" w:customStyle="1" w:styleId="Rauco">
    <w:name w:val="R_au_co"/>
    <w:basedOn w:val="Rafiliacja"/>
    <w:autoRedefine/>
    <w:qFormat/>
    <w:rsid w:val="009C7AE2"/>
    <w:pPr>
      <w:spacing w:before="120"/>
    </w:pPr>
    <w:rPr>
      <w:lang w:val="en-GB"/>
    </w:rPr>
  </w:style>
  <w:style w:type="paragraph" w:customStyle="1" w:styleId="Rn1">
    <w:name w:val="R_n1"/>
    <w:basedOn w:val="Normalny"/>
    <w:link w:val="Rn1Znak"/>
    <w:qFormat/>
    <w:rsid w:val="009C7AE2"/>
    <w:pPr>
      <w:suppressAutoHyphens/>
      <w:spacing w:before="240" w:after="120" w:line="240" w:lineRule="auto"/>
      <w:jc w:val="both"/>
    </w:pPr>
    <w:rPr>
      <w:rFonts w:ascii="Times New Roman" w:hAnsi="Times New Roman"/>
      <w:b/>
      <w:sz w:val="24"/>
    </w:rPr>
  </w:style>
  <w:style w:type="character" w:customStyle="1" w:styleId="Rn1Znak">
    <w:name w:val="R_n1 Znak"/>
    <w:basedOn w:val="Domylnaczcionkaakapitu"/>
    <w:link w:val="Rn1"/>
    <w:rsid w:val="009C7AE2"/>
    <w:rPr>
      <w:rFonts w:ascii="Times New Roman" w:hAnsi="Times New Roman"/>
      <w:b/>
      <w:sz w:val="24"/>
    </w:rPr>
  </w:style>
  <w:style w:type="paragraph" w:customStyle="1" w:styleId="Rn2">
    <w:name w:val="R_n2"/>
    <w:basedOn w:val="Rn1"/>
    <w:link w:val="Rn2Znak"/>
    <w:qFormat/>
    <w:rsid w:val="009C7AE2"/>
    <w:pPr>
      <w:spacing w:before="120"/>
      <w:jc w:val="left"/>
    </w:pPr>
    <w:rPr>
      <w:sz w:val="22"/>
    </w:rPr>
  </w:style>
  <w:style w:type="character" w:customStyle="1" w:styleId="Rn2Znak">
    <w:name w:val="R_n2 Znak"/>
    <w:link w:val="Rn2"/>
    <w:rsid w:val="009C7AE2"/>
    <w:rPr>
      <w:rFonts w:ascii="Times New Roman" w:hAnsi="Times New Roman"/>
      <w:b/>
    </w:rPr>
  </w:style>
  <w:style w:type="paragraph" w:customStyle="1" w:styleId="Rtytu">
    <w:name w:val="R_tytuł"/>
    <w:basedOn w:val="Rn2"/>
    <w:link w:val="RtytuZnak"/>
    <w:autoRedefine/>
    <w:qFormat/>
    <w:rsid w:val="009C7AE2"/>
    <w:pPr>
      <w:spacing w:before="240" w:after="0"/>
      <w:jc w:val="center"/>
    </w:pPr>
    <w:rPr>
      <w:sz w:val="24"/>
      <w:szCs w:val="28"/>
    </w:rPr>
  </w:style>
  <w:style w:type="character" w:customStyle="1" w:styleId="RtytuZnak">
    <w:name w:val="R_tytuł Znak"/>
    <w:basedOn w:val="Rn2Znak"/>
    <w:link w:val="Rtytu"/>
    <w:rsid w:val="009C7AE2"/>
    <w:rPr>
      <w:rFonts w:ascii="Times New Roman" w:hAnsi="Times New Roman"/>
      <w:b/>
      <w:sz w:val="24"/>
      <w:szCs w:val="28"/>
    </w:rPr>
  </w:style>
  <w:style w:type="paragraph" w:customStyle="1" w:styleId="Rautor">
    <w:name w:val="R_autor"/>
    <w:basedOn w:val="Rtytu"/>
    <w:link w:val="RautorZnak"/>
    <w:autoRedefine/>
    <w:qFormat/>
    <w:rsid w:val="009C7AE2"/>
    <w:pPr>
      <w:spacing w:before="120"/>
    </w:pPr>
    <w:rPr>
      <w:rFonts w:eastAsia="Calibri" w:cs="Times New Roman"/>
      <w:b w:val="0"/>
      <w:i/>
    </w:rPr>
  </w:style>
  <w:style w:type="character" w:customStyle="1" w:styleId="RautorZnak">
    <w:name w:val="R_autor Znak"/>
    <w:link w:val="Rautor"/>
    <w:rsid w:val="009C7AE2"/>
    <w:rPr>
      <w:rFonts w:ascii="Times New Roman" w:eastAsia="Calibri" w:hAnsi="Times New Roman" w:cs="Times New Roman"/>
      <w:i/>
      <w:sz w:val="24"/>
      <w:szCs w:val="28"/>
    </w:rPr>
  </w:style>
  <w:style w:type="paragraph" w:customStyle="1" w:styleId="Rlit">
    <w:name w:val="R_lit"/>
    <w:basedOn w:val="Normalny"/>
    <w:link w:val="RlitZnak"/>
    <w:qFormat/>
    <w:rsid w:val="009C7AE2"/>
    <w:pPr>
      <w:spacing w:after="0" w:line="240" w:lineRule="auto"/>
      <w:ind w:left="425" w:hanging="425"/>
      <w:jc w:val="both"/>
    </w:pPr>
    <w:rPr>
      <w:rFonts w:ascii="Times New Roman" w:eastAsia="Times New Roman" w:hAnsi="Times New Roman" w:cs="Times New Roman"/>
      <w:sz w:val="20"/>
      <w:szCs w:val="20"/>
      <w:lang w:val="en-US" w:eastAsia="pl-PL"/>
    </w:rPr>
  </w:style>
  <w:style w:type="character" w:customStyle="1" w:styleId="RlitZnak">
    <w:name w:val="R_lit Znak"/>
    <w:basedOn w:val="Domylnaczcionkaakapitu"/>
    <w:link w:val="Rlit"/>
    <w:rsid w:val="009C7AE2"/>
    <w:rPr>
      <w:rFonts w:ascii="Times New Roman" w:eastAsia="Times New Roman" w:hAnsi="Times New Roman" w:cs="Times New Roman"/>
      <w:sz w:val="20"/>
      <w:szCs w:val="20"/>
      <w:lang w:val="en-US" w:eastAsia="pl-PL"/>
    </w:rPr>
  </w:style>
  <w:style w:type="paragraph" w:customStyle="1" w:styleId="Rtab">
    <w:name w:val="R_tab"/>
    <w:basedOn w:val="Normalny"/>
    <w:link w:val="RtabZnak"/>
    <w:qFormat/>
    <w:rsid w:val="009C7AE2"/>
    <w:pPr>
      <w:suppressAutoHyphens/>
      <w:spacing w:after="120" w:line="240" w:lineRule="auto"/>
    </w:pPr>
    <w:rPr>
      <w:rFonts w:ascii="Times New Roman" w:hAnsi="Times New Roman"/>
      <w:sz w:val="20"/>
    </w:rPr>
  </w:style>
  <w:style w:type="character" w:customStyle="1" w:styleId="RtabZnak">
    <w:name w:val="R_tab Znak"/>
    <w:basedOn w:val="Domylnaczcionkaakapitu"/>
    <w:link w:val="Rtab"/>
    <w:rsid w:val="009C7AE2"/>
    <w:rPr>
      <w:rFonts w:ascii="Times New Roman" w:hAnsi="Times New Roman"/>
      <w:sz w:val="20"/>
    </w:rPr>
  </w:style>
  <w:style w:type="paragraph" w:customStyle="1" w:styleId="Rn3">
    <w:name w:val="R_n3"/>
    <w:basedOn w:val="Rtab"/>
    <w:link w:val="Rn3Znak"/>
    <w:autoRedefine/>
    <w:qFormat/>
    <w:rsid w:val="009C7AE2"/>
    <w:pPr>
      <w:spacing w:before="120"/>
      <w:jc w:val="both"/>
    </w:pPr>
    <w:rPr>
      <w:i/>
    </w:rPr>
  </w:style>
  <w:style w:type="character" w:customStyle="1" w:styleId="Rn3Znak">
    <w:name w:val="R_n3 Znak"/>
    <w:basedOn w:val="RtabZnak"/>
    <w:link w:val="Rn3"/>
    <w:rsid w:val="009C7AE2"/>
    <w:rPr>
      <w:rFonts w:ascii="Times New Roman" w:hAnsi="Times New Roman"/>
      <w:i/>
      <w:sz w:val="20"/>
    </w:rPr>
  </w:style>
  <w:style w:type="paragraph" w:customStyle="1" w:styleId="Rrys">
    <w:name w:val="R_rys"/>
    <w:basedOn w:val="Rafiliacja"/>
    <w:link w:val="RrysZnak"/>
    <w:qFormat/>
    <w:rsid w:val="009C7AE2"/>
    <w:pPr>
      <w:spacing w:before="120"/>
      <w:jc w:val="left"/>
    </w:pPr>
    <w:rPr>
      <w:i w:val="0"/>
    </w:rPr>
  </w:style>
  <w:style w:type="character" w:customStyle="1" w:styleId="RrysZnak">
    <w:name w:val="R_rys Znak"/>
    <w:basedOn w:val="RafiliacjaZnak"/>
    <w:link w:val="Rrys"/>
    <w:rsid w:val="009C7AE2"/>
    <w:rPr>
      <w:rFonts w:ascii="Times New Roman" w:hAnsi="Times New Roman" w:cs="Times New Roman"/>
      <w:i w:val="0"/>
      <w:sz w:val="20"/>
      <w:szCs w:val="28"/>
    </w:rPr>
  </w:style>
  <w:style w:type="character" w:styleId="Nierozpoznanawzmianka">
    <w:name w:val="Unresolved Mention"/>
    <w:basedOn w:val="Domylnaczcionkaakapitu"/>
    <w:uiPriority w:val="99"/>
    <w:semiHidden/>
    <w:unhideWhenUsed/>
    <w:rsid w:val="00D21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rd.2016.04.004" TargetMode="External"/><Relationship Id="rId18" Type="http://schemas.openxmlformats.org/officeDocument/2006/relationships/hyperlink" Target="https://doi.org/10.1111/jbl.12143" TargetMode="External"/><Relationship Id="rId26" Type="http://schemas.openxmlformats.org/officeDocument/2006/relationships/hyperlink" Target="https://doi.org/10.1287/mnsc.2014.1984" TargetMode="External"/><Relationship Id="rId39" Type="http://schemas.openxmlformats.org/officeDocument/2006/relationships/hyperlink" Target="https://doi.org/10.1108/S1569-37592023000111A007" TargetMode="External"/><Relationship Id="rId21" Type="http://schemas.openxmlformats.org/officeDocument/2006/relationships/hyperlink" Target="http://data.europa.eu/eli/dir/2013/34/oj" TargetMode="External"/><Relationship Id="rId34" Type="http://schemas.openxmlformats.org/officeDocument/2006/relationships/hyperlink" Target="https://doi.org/10.5604/01.3001.0012.2107" TargetMode="External"/><Relationship Id="rId42" Type="http://schemas.openxmlformats.org/officeDocument/2006/relationships/hyperlink" Target="https://doi.org/10.1016/j.jclepro.2024.142213" TargetMode="External"/><Relationship Id="rId47" Type="http://schemas.openxmlformats.org/officeDocument/2006/relationships/hyperlink" Target="https://doi.org/10.1111/j.1540-6261.1997.tb04820.x" TargetMode="External"/><Relationship Id="rId50" Type="http://schemas.openxmlformats.org/officeDocument/2006/relationships/hyperlink" Target="https://doi.org/10.61089/aot2025.s00ve156" TargetMode="External"/><Relationship Id="rId55" Type="http://schemas.openxmlformats.org/officeDocument/2006/relationships/hyperlink" Target="https://doi.org/10.17531/ein.2019.3.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rof/rfac033" TargetMode="External"/><Relationship Id="rId20" Type="http://schemas.openxmlformats.org/officeDocument/2006/relationships/hyperlink" Target="https://doi.org/10.3390/su17156846" TargetMode="External"/><Relationship Id="rId29" Type="http://schemas.openxmlformats.org/officeDocument/2006/relationships/hyperlink" Target="https://doi.org/10.5604/08669546.1146982" TargetMode="External"/><Relationship Id="rId41" Type="http://schemas.openxmlformats.org/officeDocument/2006/relationships/hyperlink" Target="https://doi.org/10.1108/IJPDLM-06-2014-0133" TargetMode="External"/><Relationship Id="rId54" Type="http://schemas.openxmlformats.org/officeDocument/2006/relationships/hyperlink" Target="https://doi.org/10.5604/01.3001.0015.693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data.europa.eu/eli/dir/2014/95/oj" TargetMode="External"/><Relationship Id="rId32" Type="http://schemas.openxmlformats.org/officeDocument/2006/relationships/hyperlink" Target="https://doi.org/10.1111/ijmr.12112" TargetMode="External"/><Relationship Id="rId37" Type="http://schemas.openxmlformats.org/officeDocument/2006/relationships/hyperlink" Target="https://doi.org/10.3390/en14020261" TargetMode="External"/><Relationship Id="rId40" Type="http://schemas.openxmlformats.org/officeDocument/2006/relationships/hyperlink" Target="https://doi.org/10.3390/app15010265" TargetMode="External"/><Relationship Id="rId45" Type="http://schemas.openxmlformats.org/officeDocument/2006/relationships/hyperlink" Target="http://data.europa.eu/eli/reg/2020/852/oj" TargetMode="External"/><Relationship Id="rId53" Type="http://schemas.openxmlformats.org/officeDocument/2006/relationships/hyperlink" Target="https://doi.org/10.1016/j.jbusres.2019.01.016"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08/JGOSS-08-2016-0024" TargetMode="External"/><Relationship Id="rId23" Type="http://schemas.openxmlformats.org/officeDocument/2006/relationships/hyperlink" Target="http://data.europa.eu/eli/dir/2024/1760/2025-04-17" TargetMode="External"/><Relationship Id="rId28" Type="http://schemas.openxmlformats.org/officeDocument/2006/relationships/hyperlink" Target="https://doi.org/10.1016/j.jclepro.2016.12.048" TargetMode="External"/><Relationship Id="rId36" Type="http://schemas.openxmlformats.org/officeDocument/2006/relationships/hyperlink" Target="https://doi.org/10.1111/jacf.12169" TargetMode="External"/><Relationship Id="rId49" Type="http://schemas.openxmlformats.org/officeDocument/2006/relationships/hyperlink" Target="https://doi.org/10.3390/en18153970" TargetMode="External"/><Relationship Id="rId57" Type="http://schemas.openxmlformats.org/officeDocument/2006/relationships/hyperlink" Target="https://doi.org/10.3389/fenvs.2022.1084632" TargetMode="Externa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108/IJPDLM-12-2015-0300" TargetMode="External"/><Relationship Id="rId31" Type="http://schemas.openxmlformats.org/officeDocument/2006/relationships/hyperlink" Target="https://doi.org/10.5604/01.3001.0012.0966" TargetMode="External"/><Relationship Id="rId44" Type="http://schemas.openxmlformats.org/officeDocument/2006/relationships/hyperlink" Target="https://doi.org/10.1108/09574090910954873" TargetMode="External"/><Relationship Id="rId52" Type="http://schemas.openxmlformats.org/officeDocument/2006/relationships/hyperlink" Target="https://doi.org/10.1108/01443570610672248"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57/s41267-019-00232-w" TargetMode="External"/><Relationship Id="rId22" Type="http://schemas.openxmlformats.org/officeDocument/2006/relationships/hyperlink" Target="http://data.europa.eu/eli/dir/2022/2464/oj" TargetMode="External"/><Relationship Id="rId27" Type="http://schemas.openxmlformats.org/officeDocument/2006/relationships/hyperlink" Target="https://doi.org/10.1080/20430795.2015.1118917" TargetMode="External"/><Relationship Id="rId30" Type="http://schemas.openxmlformats.org/officeDocument/2006/relationships/hyperlink" Target="https://doi.org/10.26411/83-1734-2015-1-41-12-19" TargetMode="External"/><Relationship Id="rId35" Type="http://schemas.openxmlformats.org/officeDocument/2006/relationships/hyperlink" Target="https://doi.org/10.1016/j.eist.2019.01.004" TargetMode="External"/><Relationship Id="rId43" Type="http://schemas.openxmlformats.org/officeDocument/2006/relationships/hyperlink" Target="https://doi.org/10.1787/b4f71091-en" TargetMode="External"/><Relationship Id="rId48" Type="http://schemas.openxmlformats.org/officeDocument/2006/relationships/hyperlink" Target="https://doi.org/10.5325/transportationj.54.1.0007" TargetMode="External"/><Relationship Id="rId56" Type="http://schemas.openxmlformats.org/officeDocument/2006/relationships/hyperlink" Target="https://doi.org/10.1007/s10551-015-2719-9" TargetMode="External"/><Relationship Id="rId8" Type="http://schemas.openxmlformats.org/officeDocument/2006/relationships/image" Target="media/image1.png"/><Relationship Id="rId51" Type="http://schemas.openxmlformats.org/officeDocument/2006/relationships/hyperlink" Target="https://doi.org/10.1080/00207543.2015.1037934"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16/j.ejor.2012.05.004" TargetMode="External"/><Relationship Id="rId25" Type="http://schemas.openxmlformats.org/officeDocument/2006/relationships/hyperlink" Target="https://doi.org/10.1080/00207543.2021.1840148" TargetMode="External"/><Relationship Id="rId33" Type="http://schemas.openxmlformats.org/officeDocument/2006/relationships/hyperlink" Target="https://doi.org/10.1509/jmkg.71.3.039" TargetMode="External"/><Relationship Id="rId38" Type="http://schemas.openxmlformats.org/officeDocument/2006/relationships/hyperlink" Target="https://doi.org/10.17531/ein.2023.1.19" TargetMode="External"/><Relationship Id="rId46" Type="http://schemas.openxmlformats.org/officeDocument/2006/relationships/hyperlink" Target="https://doi.org/10.1016/j.jclepro.2008.04.020" TargetMode="External"/><Relationship Id="rId5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BB5CD-C386-480C-B1B9-A65FB039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18</Pages>
  <Words>11537</Words>
  <Characters>69228</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Murawski Jakub</dc:creator>
  <cp:keywords/>
  <dc:description/>
  <cp:lastModifiedBy>Janusz Dabrowski NA</cp:lastModifiedBy>
  <cp:revision>24</cp:revision>
  <cp:lastPrinted>2025-12-29T11:28:00Z</cp:lastPrinted>
  <dcterms:created xsi:type="dcterms:W3CDTF">2025-12-17T10:00:00Z</dcterms:created>
  <dcterms:modified xsi:type="dcterms:W3CDTF">2025-12-30T11:21:00Z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c64a448c-a727-495b-9534-3c20460ba63e</vt:lpwstr>
  </property>
</Properties>
</file>