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E816F4" w:rsidRPr="004D2B9A" w14:paraId="4BFB7A6E" w14:textId="77777777" w:rsidTr="007A5584">
        <w:trPr>
          <w:trHeight w:hRule="exact" w:val="142"/>
        </w:trPr>
        <w:tc>
          <w:tcPr>
            <w:tcW w:w="709" w:type="dxa"/>
            <w:vMerge w:val="restart"/>
            <w:vAlign w:val="center"/>
          </w:tcPr>
          <w:p w14:paraId="52D02C12" w14:textId="77777777" w:rsidR="00E816F4" w:rsidRPr="004D2B9A" w:rsidRDefault="00E816F4" w:rsidP="00E816F4">
            <w:pPr>
              <w:ind w:firstLine="0"/>
              <w:rPr>
                <w:rFonts w:cs="Times New Roman"/>
                <w:lang w:val="en-GB"/>
              </w:rPr>
            </w:pPr>
            <w:bookmarkStart w:id="0" w:name="_Hlk184284483"/>
            <w:bookmarkStart w:id="1" w:name="_Hlk145412337"/>
            <w:bookmarkStart w:id="2" w:name="_Hlk103340665"/>
            <w:bookmarkStart w:id="3" w:name="_Hlk24804592"/>
            <w:bookmarkEnd w:id="0"/>
            <w:bookmarkEnd w:id="1"/>
            <w:bookmarkEnd w:id="2"/>
            <w:r w:rsidRPr="004D2B9A">
              <w:rPr>
                <w:rFonts w:cs="Times New Roman"/>
                <w:noProof/>
                <w:lang w:val="en-GB"/>
              </w:rPr>
              <w:drawing>
                <wp:anchor distT="0" distB="0" distL="114300" distR="114300" simplePos="0" relativeHeight="251659264" behindDoc="0" locked="0" layoutInCell="1" allowOverlap="1" wp14:anchorId="79EE4CBC" wp14:editId="4602B5D8">
                  <wp:simplePos x="0" y="0"/>
                  <wp:positionH relativeFrom="column">
                    <wp:posOffset>0</wp:posOffset>
                  </wp:positionH>
                  <wp:positionV relativeFrom="paragraph">
                    <wp:posOffset>335915</wp:posOffset>
                  </wp:positionV>
                  <wp:extent cx="431800" cy="425450"/>
                  <wp:effectExtent l="0" t="0" r="6350" b="0"/>
                  <wp:wrapNone/>
                  <wp:docPr id="144555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800" cy="425450"/>
                          </a:xfrm>
                          <a:prstGeom prst="rect">
                            <a:avLst/>
                          </a:prstGeom>
                          <a:noFill/>
                        </pic:spPr>
                      </pic:pic>
                    </a:graphicData>
                  </a:graphic>
                  <wp14:sizeRelH relativeFrom="page">
                    <wp14:pctWidth>0</wp14:pctWidth>
                  </wp14:sizeRelH>
                  <wp14:sizeRelV relativeFrom="page">
                    <wp14:pctHeight>0</wp14:pctHeight>
                  </wp14:sizeRelV>
                </wp:anchor>
              </w:drawing>
            </w:r>
          </w:p>
        </w:tc>
        <w:tc>
          <w:tcPr>
            <w:tcW w:w="8930" w:type="dxa"/>
            <w:gridSpan w:val="3"/>
            <w:vAlign w:val="center"/>
          </w:tcPr>
          <w:p w14:paraId="17379FD5" w14:textId="77777777" w:rsidR="00E816F4" w:rsidRPr="004D2B9A" w:rsidRDefault="00E816F4" w:rsidP="00E816F4">
            <w:pPr>
              <w:ind w:firstLine="0"/>
              <w:jc w:val="center"/>
              <w:rPr>
                <w:rFonts w:cs="Times New Roman"/>
                <w:lang w:val="en-GB"/>
              </w:rPr>
            </w:pPr>
          </w:p>
        </w:tc>
      </w:tr>
      <w:tr w:rsidR="00E816F4" w:rsidRPr="004D2B9A" w14:paraId="5BD0FF62" w14:textId="77777777" w:rsidTr="007A5584">
        <w:trPr>
          <w:trHeight w:hRule="exact" w:val="283"/>
        </w:trPr>
        <w:tc>
          <w:tcPr>
            <w:tcW w:w="709" w:type="dxa"/>
            <w:vMerge/>
          </w:tcPr>
          <w:p w14:paraId="0994B5D1" w14:textId="77777777" w:rsidR="00E816F4" w:rsidRPr="004D2B9A" w:rsidRDefault="00E816F4" w:rsidP="00E816F4">
            <w:pPr>
              <w:ind w:firstLine="0"/>
              <w:jc w:val="center"/>
              <w:rPr>
                <w:rFonts w:cs="Times New Roman"/>
                <w:lang w:val="en-GB"/>
              </w:rPr>
            </w:pPr>
          </w:p>
        </w:tc>
        <w:tc>
          <w:tcPr>
            <w:tcW w:w="8930" w:type="dxa"/>
            <w:gridSpan w:val="3"/>
            <w:tcBorders>
              <w:bottom w:val="single" w:sz="2" w:space="0" w:color="auto"/>
            </w:tcBorders>
            <w:vAlign w:val="center"/>
          </w:tcPr>
          <w:p w14:paraId="290FBCF6" w14:textId="77777777" w:rsidR="00E816F4" w:rsidRPr="004D2B9A" w:rsidRDefault="00E816F4" w:rsidP="00E816F4">
            <w:pPr>
              <w:ind w:firstLine="0"/>
              <w:jc w:val="center"/>
              <w:rPr>
                <w:rFonts w:cs="Times New Roman"/>
                <w:lang w:val="en-GB"/>
              </w:rPr>
            </w:pPr>
            <w:proofErr w:type="spellStart"/>
            <w:r w:rsidRPr="004D2B9A">
              <w:rPr>
                <w:rFonts w:cs="Times New Roman"/>
                <w:b/>
                <w:sz w:val="20"/>
                <w:lang w:val="en-GB"/>
              </w:rPr>
              <w:t>Rocznik</w:t>
            </w:r>
            <w:proofErr w:type="spellEnd"/>
            <w:r w:rsidRPr="004D2B9A">
              <w:rPr>
                <w:rFonts w:cs="Times New Roman"/>
                <w:b/>
                <w:sz w:val="20"/>
                <w:lang w:val="en-GB"/>
              </w:rPr>
              <w:t xml:space="preserve"> </w:t>
            </w:r>
            <w:proofErr w:type="spellStart"/>
            <w:r w:rsidRPr="004D2B9A">
              <w:rPr>
                <w:rFonts w:cs="Times New Roman"/>
                <w:b/>
                <w:sz w:val="20"/>
                <w:lang w:val="en-GB"/>
              </w:rPr>
              <w:t>Ochrona</w:t>
            </w:r>
            <w:proofErr w:type="spellEnd"/>
            <w:r w:rsidRPr="004D2B9A">
              <w:rPr>
                <w:rFonts w:cs="Times New Roman"/>
                <w:b/>
                <w:sz w:val="20"/>
                <w:lang w:val="en-GB"/>
              </w:rPr>
              <w:t xml:space="preserve"> </w:t>
            </w:r>
            <w:proofErr w:type="spellStart"/>
            <w:r w:rsidRPr="004D2B9A">
              <w:rPr>
                <w:rFonts w:cs="Times New Roman"/>
                <w:b/>
                <w:sz w:val="20"/>
                <w:lang w:val="en-GB"/>
              </w:rPr>
              <w:t>Środowiska</w:t>
            </w:r>
            <w:proofErr w:type="spellEnd"/>
          </w:p>
        </w:tc>
      </w:tr>
      <w:tr w:rsidR="00E816F4" w:rsidRPr="004D2B9A" w14:paraId="6F6A589F" w14:textId="77777777" w:rsidTr="007A5584">
        <w:trPr>
          <w:trHeight w:hRule="exact" w:val="283"/>
        </w:trPr>
        <w:tc>
          <w:tcPr>
            <w:tcW w:w="709" w:type="dxa"/>
            <w:vMerge/>
          </w:tcPr>
          <w:p w14:paraId="7BE24085" w14:textId="77777777" w:rsidR="00E816F4" w:rsidRPr="004D2B9A" w:rsidRDefault="00E816F4" w:rsidP="00E816F4">
            <w:pPr>
              <w:ind w:firstLine="0"/>
              <w:jc w:val="center"/>
              <w:rPr>
                <w:rFonts w:cs="Times New Roman"/>
                <w:lang w:val="en-GB"/>
              </w:rPr>
            </w:pPr>
          </w:p>
        </w:tc>
        <w:tc>
          <w:tcPr>
            <w:tcW w:w="992" w:type="dxa"/>
            <w:tcBorders>
              <w:top w:val="single" w:sz="2" w:space="0" w:color="auto"/>
              <w:bottom w:val="single" w:sz="2" w:space="0" w:color="auto"/>
            </w:tcBorders>
            <w:vAlign w:val="center"/>
          </w:tcPr>
          <w:p w14:paraId="31D21A11" w14:textId="77777777" w:rsidR="00E816F4" w:rsidRPr="004D2B9A" w:rsidRDefault="00E816F4" w:rsidP="00E816F4">
            <w:pPr>
              <w:ind w:firstLine="0"/>
              <w:rPr>
                <w:rFonts w:cs="Times New Roman"/>
                <w:kern w:val="18"/>
                <w:sz w:val="18"/>
                <w:lang w:val="en-GB"/>
              </w:rPr>
            </w:pPr>
            <w:r w:rsidRPr="004D2B9A">
              <w:rPr>
                <w:rFonts w:cs="Times New Roman"/>
                <w:kern w:val="18"/>
                <w:sz w:val="18"/>
                <w:lang w:val="en-GB"/>
              </w:rPr>
              <w:t>Volume 27</w:t>
            </w:r>
          </w:p>
        </w:tc>
        <w:tc>
          <w:tcPr>
            <w:tcW w:w="6304" w:type="dxa"/>
            <w:tcBorders>
              <w:top w:val="single" w:sz="2" w:space="0" w:color="auto"/>
              <w:bottom w:val="single" w:sz="2" w:space="0" w:color="auto"/>
            </w:tcBorders>
            <w:vAlign w:val="center"/>
          </w:tcPr>
          <w:p w14:paraId="643EB971" w14:textId="77777777" w:rsidR="00E816F4" w:rsidRPr="004D2B9A" w:rsidRDefault="00E816F4" w:rsidP="00E816F4">
            <w:pPr>
              <w:tabs>
                <w:tab w:val="left" w:pos="3057"/>
              </w:tabs>
              <w:ind w:left="141" w:firstLine="0"/>
              <w:rPr>
                <w:rFonts w:cs="Times New Roman"/>
                <w:kern w:val="18"/>
                <w:sz w:val="18"/>
                <w:lang w:val="en-GB"/>
              </w:rPr>
            </w:pPr>
            <w:r w:rsidRPr="004D2B9A">
              <w:rPr>
                <w:rFonts w:cs="Times New Roman"/>
                <w:kern w:val="18"/>
                <w:sz w:val="18"/>
                <w:lang w:val="en-GB"/>
              </w:rPr>
              <w:t>Year 2025</w:t>
            </w:r>
            <w:r w:rsidRPr="004D2B9A">
              <w:rPr>
                <w:rFonts w:cs="Times New Roman"/>
                <w:kern w:val="18"/>
                <w:sz w:val="18"/>
                <w:lang w:val="en-GB"/>
              </w:rPr>
              <w:tab/>
              <w:t>ISSN 2720-7501</w:t>
            </w:r>
          </w:p>
        </w:tc>
        <w:tc>
          <w:tcPr>
            <w:tcW w:w="1634" w:type="dxa"/>
            <w:tcBorders>
              <w:top w:val="single" w:sz="2" w:space="0" w:color="auto"/>
              <w:bottom w:val="single" w:sz="2" w:space="0" w:color="auto"/>
            </w:tcBorders>
            <w:vAlign w:val="center"/>
          </w:tcPr>
          <w:p w14:paraId="555D17E4" w14:textId="6D3A7083" w:rsidR="00E816F4" w:rsidRPr="004D2B9A" w:rsidRDefault="00E816F4" w:rsidP="00E816F4">
            <w:pPr>
              <w:ind w:firstLine="0"/>
              <w:jc w:val="right"/>
              <w:rPr>
                <w:rFonts w:cs="Times New Roman"/>
                <w:sz w:val="18"/>
                <w:lang w:val="en-GB"/>
              </w:rPr>
            </w:pPr>
            <w:r w:rsidRPr="004D2B9A">
              <w:rPr>
                <w:rFonts w:cs="Times New Roman"/>
                <w:sz w:val="18"/>
                <w:lang w:val="en-GB"/>
              </w:rPr>
              <w:t xml:space="preserve">pp. </w:t>
            </w:r>
            <w:r w:rsidR="00602613">
              <w:rPr>
                <w:rFonts w:cs="Times New Roman"/>
                <w:sz w:val="18"/>
                <w:lang w:val="en-GB"/>
              </w:rPr>
              <w:t>825</w:t>
            </w:r>
            <w:r w:rsidRPr="004D2B9A">
              <w:rPr>
                <w:rFonts w:cs="Times New Roman"/>
                <w:sz w:val="18"/>
                <w:lang w:val="en-GB"/>
              </w:rPr>
              <w:t>-</w:t>
            </w:r>
            <w:r w:rsidR="00602613">
              <w:rPr>
                <w:rFonts w:cs="Times New Roman"/>
                <w:sz w:val="18"/>
                <w:lang w:val="en-GB"/>
              </w:rPr>
              <w:t>836</w:t>
            </w:r>
            <w:r w:rsidRPr="004D2B9A">
              <w:rPr>
                <w:rFonts w:cs="Times New Roman"/>
                <w:sz w:val="18"/>
                <w:lang w:val="en-GB"/>
              </w:rPr>
              <w:t xml:space="preserve"> </w:t>
            </w:r>
          </w:p>
        </w:tc>
      </w:tr>
      <w:tr w:rsidR="00E816F4" w:rsidRPr="004D2B9A" w14:paraId="45EA3EE1" w14:textId="77777777" w:rsidTr="007A5584">
        <w:trPr>
          <w:trHeight w:hRule="exact" w:val="283"/>
        </w:trPr>
        <w:tc>
          <w:tcPr>
            <w:tcW w:w="709" w:type="dxa"/>
          </w:tcPr>
          <w:p w14:paraId="5DD6C0F3" w14:textId="77777777" w:rsidR="00E816F4" w:rsidRPr="004D2B9A" w:rsidRDefault="00E816F4" w:rsidP="00E816F4">
            <w:pPr>
              <w:ind w:firstLine="0"/>
              <w:jc w:val="center"/>
              <w:rPr>
                <w:rFonts w:cs="Times New Roman"/>
                <w:lang w:val="en-GB"/>
              </w:rPr>
            </w:pPr>
          </w:p>
        </w:tc>
        <w:tc>
          <w:tcPr>
            <w:tcW w:w="8930" w:type="dxa"/>
            <w:gridSpan w:val="3"/>
            <w:tcBorders>
              <w:top w:val="single" w:sz="2" w:space="0" w:color="auto"/>
              <w:bottom w:val="single" w:sz="2" w:space="0" w:color="auto"/>
            </w:tcBorders>
            <w:vAlign w:val="center"/>
          </w:tcPr>
          <w:p w14:paraId="12B5076B" w14:textId="5E2809A6" w:rsidR="00E816F4" w:rsidRPr="004D2B9A" w:rsidRDefault="00E816F4" w:rsidP="00E816F4">
            <w:pPr>
              <w:tabs>
                <w:tab w:val="right" w:pos="8928"/>
              </w:tabs>
              <w:ind w:firstLine="0"/>
              <w:rPr>
                <w:rFonts w:cs="Times New Roman"/>
                <w:sz w:val="18"/>
                <w:lang w:val="en-GB"/>
              </w:rPr>
            </w:pPr>
            <w:r w:rsidRPr="004D2B9A">
              <w:rPr>
                <w:rFonts w:cs="Times New Roman"/>
                <w:sz w:val="18"/>
                <w:lang w:val="en-GB"/>
              </w:rPr>
              <w:t>https://doi.org/10.54740/ros.2025.0</w:t>
            </w:r>
            <w:r w:rsidR="00602613">
              <w:rPr>
                <w:rFonts w:cs="Times New Roman"/>
                <w:sz w:val="18"/>
                <w:lang w:val="en-GB"/>
              </w:rPr>
              <w:t>66</w:t>
            </w:r>
            <w:r w:rsidRPr="004D2B9A">
              <w:rPr>
                <w:rFonts w:cs="Times New Roman"/>
                <w:sz w:val="18"/>
                <w:lang w:val="en-GB"/>
              </w:rPr>
              <w:tab/>
              <w:t>open access</w:t>
            </w:r>
          </w:p>
        </w:tc>
      </w:tr>
      <w:tr w:rsidR="00E816F4" w:rsidRPr="004D2B9A" w14:paraId="4129C16D" w14:textId="77777777" w:rsidTr="007A5584">
        <w:trPr>
          <w:trHeight w:hRule="exact" w:val="283"/>
        </w:trPr>
        <w:tc>
          <w:tcPr>
            <w:tcW w:w="709" w:type="dxa"/>
          </w:tcPr>
          <w:p w14:paraId="467B219E" w14:textId="77777777" w:rsidR="00E816F4" w:rsidRPr="004D2B9A" w:rsidRDefault="00E816F4" w:rsidP="00E816F4">
            <w:pPr>
              <w:ind w:firstLine="0"/>
              <w:jc w:val="center"/>
              <w:rPr>
                <w:rFonts w:cs="Times New Roman"/>
                <w:lang w:val="en-GB"/>
              </w:rPr>
            </w:pPr>
          </w:p>
        </w:tc>
        <w:tc>
          <w:tcPr>
            <w:tcW w:w="8930" w:type="dxa"/>
            <w:gridSpan w:val="3"/>
            <w:tcBorders>
              <w:top w:val="single" w:sz="2" w:space="0" w:color="auto"/>
            </w:tcBorders>
            <w:vAlign w:val="center"/>
          </w:tcPr>
          <w:p w14:paraId="7CC5891B" w14:textId="77777777" w:rsidR="00E816F4" w:rsidRPr="004D2B9A" w:rsidRDefault="00E816F4" w:rsidP="00E816F4">
            <w:pPr>
              <w:tabs>
                <w:tab w:val="left" w:pos="3684"/>
                <w:tab w:val="right" w:pos="8928"/>
              </w:tabs>
              <w:ind w:firstLine="0"/>
              <w:rPr>
                <w:rFonts w:cs="Times New Roman"/>
                <w:sz w:val="18"/>
                <w:lang w:val="en-GB"/>
              </w:rPr>
            </w:pPr>
            <w:r w:rsidRPr="004D2B9A">
              <w:rPr>
                <w:rFonts w:cs="Times New Roman"/>
                <w:sz w:val="18"/>
                <w:lang w:val="en-GB"/>
              </w:rPr>
              <w:t>Received: December 2025</w:t>
            </w:r>
            <w:r w:rsidRPr="004D2B9A">
              <w:rPr>
                <w:rFonts w:cs="Times New Roman"/>
                <w:sz w:val="18"/>
                <w:lang w:val="en-GB"/>
              </w:rPr>
              <w:tab/>
              <w:t>Accepted: December 2025</w:t>
            </w:r>
            <w:r w:rsidRPr="004D2B9A">
              <w:rPr>
                <w:rFonts w:cs="Times New Roman"/>
                <w:sz w:val="18"/>
                <w:lang w:val="en-GB"/>
              </w:rPr>
              <w:tab/>
              <w:t>Published: December 2025</w:t>
            </w:r>
          </w:p>
        </w:tc>
      </w:tr>
    </w:tbl>
    <w:bookmarkEnd w:id="3"/>
    <w:p w14:paraId="3CDC92A1" w14:textId="22D90852" w:rsidR="00301C3B" w:rsidRPr="004D2B9A" w:rsidRDefault="00341984" w:rsidP="002E6DA8">
      <w:pPr>
        <w:pStyle w:val="Rtytu"/>
        <w:rPr>
          <w:rStyle w:val="rynqvb"/>
          <w:lang w:val="en-GB"/>
        </w:rPr>
      </w:pPr>
      <w:r w:rsidRPr="004D2B9A">
        <w:rPr>
          <w:lang w:val="en-GB"/>
        </w:rPr>
        <w:t xml:space="preserve">The </w:t>
      </w:r>
      <w:r w:rsidR="002E6DA8" w:rsidRPr="004D2B9A">
        <w:rPr>
          <w:lang w:val="en-GB"/>
        </w:rPr>
        <w:t xml:space="preserve">Impact of Using a Simplified Method for Determining Hourly Heating Load </w:t>
      </w:r>
      <w:r w:rsidR="00103FFF">
        <w:rPr>
          <w:lang w:val="en-GB"/>
        </w:rPr>
        <w:br/>
      </w:r>
      <w:r w:rsidR="002E6DA8" w:rsidRPr="004D2B9A">
        <w:rPr>
          <w:lang w:val="en-GB"/>
        </w:rPr>
        <w:t xml:space="preserve">on the Electricity Consumption of an Air-to-Water Heat Pump in a Central Heating System </w:t>
      </w:r>
      <w:r w:rsidR="00103FFF">
        <w:rPr>
          <w:lang w:val="en-GB"/>
        </w:rPr>
        <w:br/>
      </w:r>
      <w:r w:rsidR="002E6DA8" w:rsidRPr="004D2B9A">
        <w:rPr>
          <w:lang w:val="en-GB"/>
        </w:rPr>
        <w:t>of a Single-Family Building</w:t>
      </w:r>
    </w:p>
    <w:p w14:paraId="73D238BD" w14:textId="51F66920" w:rsidR="00361F23" w:rsidRPr="004D2B9A" w:rsidRDefault="00361F23" w:rsidP="002E6DA8">
      <w:pPr>
        <w:pStyle w:val="Rautor"/>
        <w:rPr>
          <w:lang w:val="en-GB"/>
        </w:rPr>
      </w:pPr>
      <w:r w:rsidRPr="004D2B9A">
        <w:rPr>
          <w:lang w:val="en-GB"/>
        </w:rPr>
        <w:t>Piotr</w:t>
      </w:r>
      <w:r w:rsidR="00B96CCF" w:rsidRPr="004D2B9A">
        <w:rPr>
          <w:lang w:val="en-GB"/>
        </w:rPr>
        <w:t xml:space="preserve"> </w:t>
      </w:r>
      <w:r w:rsidRPr="004D2B9A">
        <w:rPr>
          <w:lang w:val="en-GB"/>
        </w:rPr>
        <w:t>Kęskiewicz</w:t>
      </w:r>
    </w:p>
    <w:p w14:paraId="57519F65" w14:textId="1E0A40F1" w:rsidR="00DD4E61" w:rsidRPr="004D2B9A" w:rsidRDefault="00BF3635" w:rsidP="00BF3635">
      <w:pPr>
        <w:pStyle w:val="Rafiliacja"/>
        <w:rPr>
          <w:lang w:val="en-GB"/>
        </w:rPr>
      </w:pPr>
      <w:r w:rsidRPr="004D2B9A">
        <w:rPr>
          <w:lang w:val="en-GB"/>
        </w:rPr>
        <w:t xml:space="preserve">Department of Air Conditioning, Heating, Gas Engineering, and Air Protection, </w:t>
      </w:r>
      <w:r w:rsidRPr="004D2B9A">
        <w:rPr>
          <w:lang w:val="en-GB"/>
        </w:rPr>
        <w:br/>
        <w:t>Faculty of Environmental Engineering</w:t>
      </w:r>
      <w:r w:rsidR="00D324EE" w:rsidRPr="004D2B9A">
        <w:rPr>
          <w:lang w:val="en-GB"/>
        </w:rPr>
        <w:t>,</w:t>
      </w:r>
      <w:r w:rsidR="00B96CCF" w:rsidRPr="004D2B9A">
        <w:rPr>
          <w:lang w:val="en-GB"/>
        </w:rPr>
        <w:t xml:space="preserve"> </w:t>
      </w:r>
      <w:proofErr w:type="spellStart"/>
      <w:r w:rsidRPr="004D2B9A">
        <w:rPr>
          <w:lang w:val="en-GB"/>
        </w:rPr>
        <w:t>Wrocław</w:t>
      </w:r>
      <w:proofErr w:type="spellEnd"/>
      <w:r w:rsidRPr="004D2B9A">
        <w:rPr>
          <w:lang w:val="en-GB"/>
        </w:rPr>
        <w:t xml:space="preserve"> University of Science and Technology</w:t>
      </w:r>
      <w:r w:rsidR="00E816F4" w:rsidRPr="004D2B9A">
        <w:rPr>
          <w:lang w:val="en-GB"/>
        </w:rPr>
        <w:t>, Poland</w:t>
      </w:r>
      <w:r w:rsidR="002E6DA8" w:rsidRPr="004D2B9A">
        <w:rPr>
          <w:lang w:val="en-GB"/>
        </w:rPr>
        <w:t xml:space="preserve"> </w:t>
      </w:r>
      <w:r w:rsidRPr="004D2B9A">
        <w:rPr>
          <w:lang w:val="en-GB"/>
        </w:rPr>
        <w:br/>
      </w:r>
      <w:r w:rsidR="00DD4E61" w:rsidRPr="004D2B9A">
        <w:rPr>
          <w:lang w:val="en-GB"/>
        </w:rPr>
        <w:t>https://orcid.org/0000-0002-1580-5632</w:t>
      </w:r>
    </w:p>
    <w:p w14:paraId="6C0CC349" w14:textId="7EDC8B99" w:rsidR="00D324EE" w:rsidRPr="004D2B9A" w:rsidRDefault="00DD4E61" w:rsidP="00BF3635">
      <w:pPr>
        <w:pStyle w:val="Rauco"/>
      </w:pPr>
      <w:r w:rsidRPr="004D2B9A">
        <w:t>corresponding author</w:t>
      </w:r>
      <w:r w:rsidR="008D7F9E">
        <w:t>'</w:t>
      </w:r>
      <w:r w:rsidRPr="004D2B9A">
        <w:t>s e-mail:</w:t>
      </w:r>
      <w:r w:rsidR="00B96CCF" w:rsidRPr="004D2B9A">
        <w:t xml:space="preserve"> </w:t>
      </w:r>
      <w:r w:rsidR="00361F23" w:rsidRPr="004D2B9A">
        <w:t>piotr.keskiewicz@pwr.edu.pl</w:t>
      </w:r>
    </w:p>
    <w:p w14:paraId="34A14933" w14:textId="3D5C0F38" w:rsidR="007F4F6B" w:rsidRPr="004D2B9A" w:rsidRDefault="00DD4E61" w:rsidP="00BF3635">
      <w:pPr>
        <w:pStyle w:val="Rab1"/>
      </w:pPr>
      <w:r w:rsidRPr="004D2B9A">
        <w:rPr>
          <w:b/>
          <w:bCs/>
        </w:rPr>
        <w:t>Abstract:</w:t>
      </w:r>
      <w:r w:rsidRPr="004D2B9A">
        <w:t xml:space="preserve"> </w:t>
      </w:r>
      <w:r w:rsidR="00C6336D" w:rsidRPr="004D2B9A">
        <w:t xml:space="preserve">As energy efficiency requirements for residential buildings continue to tighten, the need for detailed energy analyses of the impact of increasingly advanced energy-saving solutions is also growing. Unfortunately, calculating accurate hourly data typically requires </w:t>
      </w:r>
      <w:r w:rsidR="008D7F9E">
        <w:t>advanced software and</w:t>
      </w:r>
      <w:r w:rsidR="00C6336D" w:rsidRPr="004D2B9A">
        <w:t xml:space="preserve"> significant skill, experience, and time. This article presents an analysis of the effects of using </w:t>
      </w:r>
      <w:r w:rsidR="008D7F9E">
        <w:t>the degree-hours method, one of the methods that allows for the relatively simple generation of estimated hourly data</w:t>
      </w:r>
      <w:r w:rsidR="00C6336D" w:rsidRPr="004D2B9A">
        <w:t>.</w:t>
      </w:r>
      <w:r w:rsidR="179DFBC7" w:rsidRPr="004D2B9A">
        <w:t xml:space="preserve"> The precision of the estimated results obtained using this method was analysed using the example of a typical single-family building located in five characteristic locations in Poland, supplied with heat by an air-to-water heat pump. The resulting estimated heating loads and electricity consumption data were compared with accurate results calculated using the EDSL TAS simulation programme.</w:t>
      </w:r>
      <w:r w:rsidR="00C6336D" w:rsidRPr="004D2B9A">
        <w:t xml:space="preserve"> The accuracy of the method, </w:t>
      </w:r>
      <w:r w:rsidR="008D7F9E">
        <w:t>along with its strengths and weaknesses, was</w:t>
      </w:r>
      <w:r w:rsidR="00C6336D" w:rsidRPr="004D2B9A">
        <w:t xml:space="preserve"> presented based on the obtained data.</w:t>
      </w:r>
    </w:p>
    <w:p w14:paraId="4BB6A26C" w14:textId="118F2699" w:rsidR="00DD4E61" w:rsidRPr="004D2B9A" w:rsidRDefault="00DD4E61" w:rsidP="00BF3635">
      <w:pPr>
        <w:pStyle w:val="Rab2"/>
      </w:pPr>
      <w:r w:rsidRPr="004D2B9A">
        <w:rPr>
          <w:b/>
          <w:bCs/>
        </w:rPr>
        <w:t>Keywords:</w:t>
      </w:r>
      <w:r w:rsidRPr="004D2B9A">
        <w:t xml:space="preserve"> energy consumption, </w:t>
      </w:r>
      <w:proofErr w:type="spellStart"/>
      <w:r w:rsidR="005E1D09" w:rsidRPr="004D2B9A">
        <w:t>degreehours</w:t>
      </w:r>
      <w:proofErr w:type="spellEnd"/>
      <w:r w:rsidRPr="004D2B9A">
        <w:t>, heat pump, accuracy of results</w:t>
      </w:r>
    </w:p>
    <w:p w14:paraId="78D66718" w14:textId="6964D271" w:rsidR="00301C3B" w:rsidRPr="004D2B9A" w:rsidRDefault="002E6DA8" w:rsidP="004D2B9A">
      <w:pPr>
        <w:pStyle w:val="Rn1"/>
        <w:rPr>
          <w:lang w:val="en-GB"/>
        </w:rPr>
      </w:pPr>
      <w:r w:rsidRPr="004D2B9A">
        <w:rPr>
          <w:lang w:val="en-GB"/>
        </w:rPr>
        <w:t>1. Introduction</w:t>
      </w:r>
    </w:p>
    <w:p w14:paraId="45CECB72" w14:textId="33917EBF" w:rsidR="00783F3A" w:rsidRPr="004D2B9A" w:rsidRDefault="0003056A" w:rsidP="0073566D">
      <w:pPr>
        <w:rPr>
          <w:lang w:val="en-GB"/>
        </w:rPr>
      </w:pPr>
      <w:bookmarkStart w:id="4" w:name="_Hlk217256061"/>
      <w:r w:rsidRPr="004D2B9A">
        <w:rPr>
          <w:lang w:val="en-GB"/>
        </w:rPr>
        <w:t>The constantly tightening requirements for reducing the energy consumption of newly constructed buildings, e.g.</w:t>
      </w:r>
      <w:r w:rsidR="008D7F9E">
        <w:rPr>
          <w:lang w:val="en-GB"/>
        </w:rPr>
        <w:t>,</w:t>
      </w:r>
      <w:r w:rsidRPr="004D2B9A">
        <w:rPr>
          <w:lang w:val="en-GB"/>
        </w:rPr>
        <w:t xml:space="preserve"> the requirements contained in </w:t>
      </w:r>
      <w:r w:rsidR="00B817E3" w:rsidRPr="004D2B9A">
        <w:rPr>
          <w:lang w:val="en-GB"/>
        </w:rPr>
        <w:t>(</w:t>
      </w:r>
      <w:proofErr w:type="spellStart"/>
      <w:r w:rsidR="00B817E3" w:rsidRPr="004D2B9A">
        <w:rPr>
          <w:lang w:val="en-GB"/>
        </w:rPr>
        <w:t>Dz.U</w:t>
      </w:r>
      <w:proofErr w:type="spellEnd"/>
      <w:r w:rsidR="00B817E3" w:rsidRPr="004D2B9A">
        <w:rPr>
          <w:lang w:val="en-GB"/>
        </w:rPr>
        <w:t>. 2002)</w:t>
      </w:r>
      <w:r w:rsidRPr="004D2B9A">
        <w:rPr>
          <w:lang w:val="en-GB"/>
        </w:rPr>
        <w:t>, or very detailed sets of parameters necessary to be met in the case of solutions that significantly exceed the current standard, for example</w:t>
      </w:r>
      <w:r w:rsidR="008D7F9E">
        <w:rPr>
          <w:lang w:val="en-GB"/>
        </w:rPr>
        <w:t>,</w:t>
      </w:r>
      <w:r w:rsidRPr="004D2B9A">
        <w:rPr>
          <w:lang w:val="en-GB"/>
        </w:rPr>
        <w:t xml:space="preserve"> passive buildings </w:t>
      </w:r>
      <w:r w:rsidR="00B817E3" w:rsidRPr="004D2B9A">
        <w:rPr>
          <w:lang w:val="en-GB"/>
        </w:rPr>
        <w:t>(</w:t>
      </w:r>
      <w:proofErr w:type="spellStart"/>
      <w:r w:rsidR="00B817E3" w:rsidRPr="004D2B9A">
        <w:rPr>
          <w:lang w:val="en-GB"/>
        </w:rPr>
        <w:t>Schlagowski</w:t>
      </w:r>
      <w:proofErr w:type="spellEnd"/>
      <w:r w:rsidR="00B817E3" w:rsidRPr="004D2B9A">
        <w:rPr>
          <w:lang w:val="en-GB"/>
        </w:rPr>
        <w:t xml:space="preserve"> 2015)</w:t>
      </w:r>
      <w:r w:rsidRPr="004D2B9A">
        <w:rPr>
          <w:lang w:val="en-GB"/>
        </w:rPr>
        <w:t>, force the use of more and more accurate calculation methods. Methods that enable precise determination of the impact of applied changes, including: on the selection of devices, operation of systems, or the effects of introduced innovations on energy savings.</w:t>
      </w:r>
      <w:r w:rsidR="179DFBC7" w:rsidRPr="004D2B9A">
        <w:rPr>
          <w:lang w:val="en-GB"/>
        </w:rPr>
        <w:t xml:space="preserve"> Methods </w:t>
      </w:r>
      <w:r w:rsidR="008D7F9E">
        <w:rPr>
          <w:lang w:val="en-GB"/>
        </w:rPr>
        <w:t>based solely on calculating the building's design heating load</w:t>
      </w:r>
      <w:r w:rsidR="179DFBC7" w:rsidRPr="004D2B9A">
        <w:rPr>
          <w:lang w:val="en-GB"/>
        </w:rPr>
        <w:t xml:space="preserve"> are, in practice, a thing of the past.</w:t>
      </w:r>
      <w:r w:rsidRPr="004D2B9A">
        <w:rPr>
          <w:lang w:val="en-GB"/>
        </w:rPr>
        <w:t xml:space="preserve"> Currently used methods that </w:t>
      </w:r>
      <w:r w:rsidR="008D7F9E">
        <w:rPr>
          <w:lang w:val="en-GB"/>
        </w:rPr>
        <w:t>rely on less accurate monthly data are increasingly</w:t>
      </w:r>
      <w:r w:rsidRPr="004D2B9A">
        <w:rPr>
          <w:lang w:val="en-GB"/>
        </w:rPr>
        <w:t xml:space="preserve"> insufficient. In turn, very accurate calculation of detailed hourly data requires the designer to have access to advanced simulation software (e.g.</w:t>
      </w:r>
      <w:r w:rsidR="008D7F9E">
        <w:rPr>
          <w:lang w:val="en-GB"/>
        </w:rPr>
        <w:t>,</w:t>
      </w:r>
      <w:r w:rsidRPr="004D2B9A">
        <w:rPr>
          <w:lang w:val="en-GB"/>
        </w:rPr>
        <w:t xml:space="preserve"> EDSL TAS) and the ability to use it when developing often very complex simulation models of buildings. This approach also takes a lot of time and generates </w:t>
      </w:r>
      <w:r w:rsidR="008D7F9E">
        <w:rPr>
          <w:lang w:val="en-GB"/>
        </w:rPr>
        <w:t>high</w:t>
      </w:r>
      <w:r w:rsidRPr="004D2B9A">
        <w:rPr>
          <w:lang w:val="en-GB"/>
        </w:rPr>
        <w:t xml:space="preserve"> costs, which in some projects or research may turn out to be unjustified, e.g.</w:t>
      </w:r>
      <w:r w:rsidR="008D7F9E">
        <w:rPr>
          <w:lang w:val="en-GB"/>
        </w:rPr>
        <w:t>,</w:t>
      </w:r>
      <w:r w:rsidRPr="004D2B9A">
        <w:rPr>
          <w:lang w:val="en-GB"/>
        </w:rPr>
        <w:t xml:space="preserve"> for economic reasons, work schedule limitations, etc.</w:t>
      </w:r>
    </w:p>
    <w:p w14:paraId="1EDC4D70" w14:textId="2BCF67F7" w:rsidR="00E40997" w:rsidRPr="004D2B9A" w:rsidRDefault="0003056A" w:rsidP="00E40997">
      <w:pPr>
        <w:rPr>
          <w:lang w:val="en-GB"/>
        </w:rPr>
      </w:pPr>
      <w:r w:rsidRPr="004D2B9A">
        <w:rPr>
          <w:lang w:val="en-GB"/>
        </w:rPr>
        <w:t>Detailed hourly data on the heating load of a single-family building are used in an increasingly wide range of applications.</w:t>
      </w:r>
      <w:r w:rsidR="0676FE68" w:rsidRPr="004D2B9A">
        <w:rPr>
          <w:lang w:val="en-GB"/>
        </w:rPr>
        <w:t xml:space="preserve"> They can be used to estimate </w:t>
      </w:r>
      <w:r w:rsidR="008D7F9E">
        <w:rPr>
          <w:lang w:val="en-GB"/>
        </w:rPr>
        <w:t>heating costs for a building more accurately using the electricity available under a two-zone tariff</w:t>
      </w:r>
      <w:r w:rsidR="0676FE68" w:rsidRPr="004D2B9A">
        <w:rPr>
          <w:lang w:val="en-GB"/>
        </w:rPr>
        <w:t xml:space="preserve">. Access to precise heating load data for specific hours of the day allows assigning the appropriate tariff rate to all hours of the cold season and accurately calculating the operating costs of the building's central heating system. Accurate hourly data can also be used to analyse the operation of a short-term heat buffer supporting the operation of solar collector installations, heat pumps, etc. Knowledge of hourly demand fluctuations allows, for example, </w:t>
      </w:r>
      <w:r w:rsidR="008D7F9E">
        <w:rPr>
          <w:lang w:val="en-GB"/>
        </w:rPr>
        <w:t>a more precise selection of a tank or a more detailed determination of changes in the amount of stored energy across</w:t>
      </w:r>
      <w:r w:rsidR="0676FE68" w:rsidRPr="004D2B9A">
        <w:rPr>
          <w:lang w:val="en-GB"/>
        </w:rPr>
        <w:t xml:space="preserve"> various parts of the cold season.</w:t>
      </w:r>
      <w:r w:rsidRPr="004D2B9A">
        <w:rPr>
          <w:lang w:val="en-GB"/>
        </w:rPr>
        <w:t xml:space="preserve"> Such data can also be used, for example, to precisely determine the size of biofuel storage facilities, </w:t>
      </w:r>
      <w:r w:rsidR="008D7F9E">
        <w:rPr>
          <w:lang w:val="en-GB"/>
        </w:rPr>
        <w:t>to perform detailed seasonal calculations of the efficiency of ecological heat source solutions, to conduct precise analys</w:t>
      </w:r>
      <w:r w:rsidRPr="004D2B9A">
        <w:rPr>
          <w:lang w:val="en-GB"/>
        </w:rPr>
        <w:t>es of changes in heating load resulting from subsequent stages of thermal modernization of the building, etc. Calculations carried out with hourly accuracy are becoming a standard in computational analy</w:t>
      </w:r>
      <w:r w:rsidR="008D7F9E">
        <w:rPr>
          <w:lang w:val="en-GB"/>
        </w:rPr>
        <w:t>s</w:t>
      </w:r>
      <w:r w:rsidRPr="004D2B9A">
        <w:rPr>
          <w:lang w:val="en-GB"/>
        </w:rPr>
        <w:t xml:space="preserve">es of commercial projects, in scientific works, and are even carried out more and more often at the level of diploma theses of students of technical universities </w:t>
      </w:r>
      <w:r w:rsidR="00B817E3" w:rsidRPr="004D2B9A">
        <w:rPr>
          <w:lang w:val="en-GB"/>
        </w:rPr>
        <w:t>(Grudzińska 2022)</w:t>
      </w:r>
      <w:r w:rsidR="00D8558E" w:rsidRPr="004D2B9A">
        <w:rPr>
          <w:lang w:val="en-GB"/>
        </w:rPr>
        <w:t xml:space="preserve"> or </w:t>
      </w:r>
      <w:r w:rsidR="00B817E3" w:rsidRPr="004D2B9A">
        <w:rPr>
          <w:lang w:val="en-GB"/>
        </w:rPr>
        <w:t>(</w:t>
      </w:r>
      <w:proofErr w:type="spellStart"/>
      <w:r w:rsidR="00B817E3" w:rsidRPr="004D2B9A">
        <w:rPr>
          <w:lang w:val="en-GB"/>
        </w:rPr>
        <w:t>Kwestarz</w:t>
      </w:r>
      <w:proofErr w:type="spellEnd"/>
      <w:r w:rsidR="00B817E3" w:rsidRPr="004D2B9A">
        <w:rPr>
          <w:lang w:val="en-GB"/>
        </w:rPr>
        <w:t xml:space="preserve"> et al. 2023)</w:t>
      </w:r>
      <w:r w:rsidRPr="004D2B9A">
        <w:rPr>
          <w:lang w:val="en-GB"/>
        </w:rPr>
        <w:t>.</w:t>
      </w:r>
    </w:p>
    <w:p w14:paraId="1940A928" w14:textId="77777777" w:rsidR="00885EB5" w:rsidRDefault="00885EB5">
      <w:pPr>
        <w:spacing w:after="160" w:line="259" w:lineRule="auto"/>
        <w:ind w:firstLine="0"/>
        <w:jc w:val="left"/>
        <w:rPr>
          <w:lang w:val="en-GB"/>
        </w:rPr>
      </w:pPr>
      <w:r>
        <w:rPr>
          <w:lang w:val="en-GB"/>
        </w:rPr>
        <w:br w:type="page"/>
      </w:r>
    </w:p>
    <w:p w14:paraId="35740008" w14:textId="7CAF8432" w:rsidR="0053341F" w:rsidRPr="004D2B9A" w:rsidRDefault="005E1D09" w:rsidP="0073566D">
      <w:pPr>
        <w:rPr>
          <w:lang w:val="en-GB"/>
        </w:rPr>
      </w:pPr>
      <w:r w:rsidRPr="004D2B9A">
        <w:rPr>
          <w:lang w:val="en-GB"/>
        </w:rPr>
        <w:lastRenderedPageBreak/>
        <w:t xml:space="preserve">The positive effects of combining the trend </w:t>
      </w:r>
      <w:r w:rsidR="008D7F9E">
        <w:rPr>
          <w:lang w:val="en-GB"/>
        </w:rPr>
        <w:t>toward increasingly energy-efficient solutions with hourly data to improve the quality of the results are particularly evident in the detailed selection and analysis of operating parameters for</w:t>
      </w:r>
      <w:r w:rsidRPr="004D2B9A">
        <w:rPr>
          <w:lang w:val="en-GB"/>
        </w:rPr>
        <w:t xml:space="preserve"> building heat sources using air-water heat pumps.</w:t>
      </w:r>
      <w:r w:rsidR="5B01E89D" w:rsidRPr="004D2B9A">
        <w:rPr>
          <w:lang w:val="en-GB"/>
        </w:rPr>
        <w:t xml:space="preserve"> These </w:t>
      </w:r>
      <w:r w:rsidR="008D7F9E">
        <w:rPr>
          <w:lang w:val="en-GB"/>
        </w:rPr>
        <w:t>devices have instantaneous power and efficiency that are closely related to current and variable outdoor</w:t>
      </w:r>
      <w:r w:rsidR="5B01E89D" w:rsidRPr="004D2B9A">
        <w:rPr>
          <w:lang w:val="en-GB"/>
        </w:rPr>
        <w:t xml:space="preserve"> air temperature.</w:t>
      </w:r>
      <w:r w:rsidRPr="004D2B9A">
        <w:rPr>
          <w:lang w:val="en-GB"/>
        </w:rPr>
        <w:t xml:space="preserve"> Using only seasonal data, or even more accurate monthly data on </w:t>
      </w:r>
      <w:r w:rsidR="008D7F9E">
        <w:rPr>
          <w:lang w:val="en-GB"/>
        </w:rPr>
        <w:t>heating energy consumption, may lead to significant errors in the final calculations, e.g., when calculating electricity consumption to drive the heat pump using constant, less accurate values of the device's COP coefficient</w:t>
      </w:r>
      <w:r w:rsidRPr="004D2B9A">
        <w:rPr>
          <w:lang w:val="en-GB"/>
        </w:rPr>
        <w:t>. Additionally, the variability of meteorological data officially assigned by the legislator to specific cities, which is important for the operation of air-to-water heat pumps, i</w:t>
      </w:r>
      <w:r w:rsidR="008D7F9E">
        <w:rPr>
          <w:lang w:val="en-GB"/>
        </w:rPr>
        <w:t>s taken into account to a minimum extent in monthly and seasonal methods</w:t>
      </w:r>
      <w:r w:rsidRPr="004D2B9A">
        <w:rPr>
          <w:lang w:val="en-GB"/>
        </w:rPr>
        <w:t xml:space="preserve">. This </w:t>
      </w:r>
      <w:r w:rsidR="008D7F9E">
        <w:rPr>
          <w:lang w:val="en-GB"/>
        </w:rPr>
        <w:t>is another limitation of using</w:t>
      </w:r>
      <w:r w:rsidRPr="004D2B9A">
        <w:rPr>
          <w:lang w:val="en-GB"/>
        </w:rPr>
        <w:t xml:space="preserve"> these basic computational methods.</w:t>
      </w:r>
    </w:p>
    <w:bookmarkEnd w:id="4"/>
    <w:p w14:paraId="1F5F613C" w14:textId="0E2FD022" w:rsidR="0053341F" w:rsidRPr="004D2B9A" w:rsidRDefault="005E1D09" w:rsidP="0073566D">
      <w:pPr>
        <w:rPr>
          <w:lang w:val="en-GB"/>
        </w:rPr>
      </w:pPr>
      <w:r w:rsidRPr="004D2B9A">
        <w:rPr>
          <w:lang w:val="en-GB"/>
        </w:rPr>
        <w:t xml:space="preserve">Taking the above into account, it can be concluded that detailed hourly data will be increasingly used in engineering calculations. The main problem </w:t>
      </w:r>
      <w:r w:rsidR="008D7F9E">
        <w:rPr>
          <w:lang w:val="en-GB"/>
        </w:rPr>
        <w:t>with</w:t>
      </w:r>
      <w:r w:rsidRPr="004D2B9A">
        <w:rPr>
          <w:lang w:val="en-GB"/>
        </w:rPr>
        <w:t xml:space="preserve"> this precise calculation method is the limited availability of such detailed data.</w:t>
      </w:r>
      <w:r w:rsidR="5B01E89D" w:rsidRPr="004D2B9A">
        <w:rPr>
          <w:lang w:val="en-GB"/>
        </w:rPr>
        <w:t xml:space="preserve"> The solution to this problem may be the use of simplified methods for estimating hourly data, which </w:t>
      </w:r>
      <w:r w:rsidR="008D7F9E">
        <w:rPr>
          <w:lang w:val="en-GB"/>
        </w:rPr>
        <w:t>require less user input than</w:t>
      </w:r>
      <w:r w:rsidR="5B01E89D" w:rsidRPr="004D2B9A">
        <w:rPr>
          <w:lang w:val="en-GB"/>
        </w:rPr>
        <w:t xml:space="preserve"> advanced simulation software.</w:t>
      </w:r>
      <w:r w:rsidRPr="004D2B9A">
        <w:rPr>
          <w:lang w:val="en-GB"/>
        </w:rPr>
        <w:t xml:space="preserve"> One </w:t>
      </w:r>
      <w:r w:rsidR="008D7F9E">
        <w:rPr>
          <w:lang w:val="en-GB"/>
        </w:rPr>
        <w:t xml:space="preserve">such method is the use of the </w:t>
      </w:r>
      <w:proofErr w:type="spellStart"/>
      <w:r w:rsidR="008D7F9E">
        <w:rPr>
          <w:lang w:val="en-GB"/>
        </w:rPr>
        <w:t>degreehours</w:t>
      </w:r>
      <w:proofErr w:type="spellEnd"/>
      <w:r w:rsidR="008D7F9E">
        <w:rPr>
          <w:lang w:val="en-GB"/>
        </w:rPr>
        <w:t xml:space="preserve"> parameter (calculated from official meteorological data for the considered location) in combination with relatively simple-to-</w:t>
      </w:r>
      <w:r w:rsidRPr="004D2B9A">
        <w:rPr>
          <w:lang w:val="en-GB"/>
        </w:rPr>
        <w:t xml:space="preserve">calculate monthly data on energy consumption for heating the building. For simplicity, this method is </w:t>
      </w:r>
      <w:r w:rsidR="008D7F9E">
        <w:rPr>
          <w:lang w:val="en-GB"/>
        </w:rPr>
        <w:t>referred to as</w:t>
      </w:r>
      <w:r w:rsidRPr="004D2B9A">
        <w:rPr>
          <w:lang w:val="en-GB"/>
        </w:rPr>
        <w:t xml:space="preserve"> the "FI method" later in the article.</w:t>
      </w:r>
      <w:r w:rsidR="5B01E89D" w:rsidRPr="004D2B9A">
        <w:rPr>
          <w:lang w:val="en-GB"/>
        </w:rPr>
        <w:t xml:space="preserve"> This method is used in engineering practice</w:t>
      </w:r>
      <w:r w:rsidR="008D7F9E">
        <w:rPr>
          <w:lang w:val="en-GB"/>
        </w:rPr>
        <w:t xml:space="preserve"> and</w:t>
      </w:r>
      <w:r w:rsidR="5B01E89D" w:rsidRPr="004D2B9A">
        <w:rPr>
          <w:lang w:val="en-GB"/>
        </w:rPr>
        <w:t xml:space="preserve"> in less complex scientific research. It can also be used in situations where there is a need to depart from official data, e.g.</w:t>
      </w:r>
      <w:r w:rsidR="008D7F9E">
        <w:rPr>
          <w:lang w:val="en-GB"/>
        </w:rPr>
        <w:t>, (GOV 2025), and to use own data</w:t>
      </w:r>
      <w:r w:rsidR="5B01E89D" w:rsidRPr="004D2B9A">
        <w:rPr>
          <w:lang w:val="en-GB"/>
        </w:rPr>
        <w:t>sets, as analysed in (</w:t>
      </w:r>
      <w:proofErr w:type="spellStart"/>
      <w:r w:rsidR="5B01E89D" w:rsidRPr="004D2B9A">
        <w:rPr>
          <w:lang w:val="en-GB"/>
        </w:rPr>
        <w:t>Stokowiec</w:t>
      </w:r>
      <w:proofErr w:type="spellEnd"/>
      <w:r w:rsidR="5B01E89D" w:rsidRPr="004D2B9A">
        <w:rPr>
          <w:lang w:val="en-GB"/>
        </w:rPr>
        <w:t xml:space="preserve"> et al. 2024). However, the literature lacks analyses that allow </w:t>
      </w:r>
      <w:r w:rsidR="008D7F9E">
        <w:rPr>
          <w:lang w:val="en-GB"/>
        </w:rPr>
        <w:t>for the assessment of the precision of the results obtained and the identification of their</w:t>
      </w:r>
      <w:r w:rsidR="5B01E89D" w:rsidRPr="004D2B9A">
        <w:rPr>
          <w:lang w:val="en-GB"/>
        </w:rPr>
        <w:t xml:space="preserve"> strengths and weaknesses.</w:t>
      </w:r>
      <w:r w:rsidRPr="004D2B9A">
        <w:rPr>
          <w:lang w:val="en-GB"/>
        </w:rPr>
        <w:t xml:space="preserve"> The article attempts to fill these gaps, at least partially, using the example of a typical </w:t>
      </w:r>
      <w:r w:rsidR="008D7F9E">
        <w:rPr>
          <w:lang w:val="en-GB"/>
        </w:rPr>
        <w:t>single-family building in Polish conditions, heated by</w:t>
      </w:r>
      <w:r w:rsidRPr="004D2B9A">
        <w:rPr>
          <w:lang w:val="en-GB"/>
        </w:rPr>
        <w:t xml:space="preserve"> an air-to-water heat pump. It was assumed that it was necessary to take into account assumptions related to the operation of the heat pump as close as possible to actual conditions: the possibility of alternating preparation of DHW and operation for the needs of central heating, the need to protect the system against complete shutdown of the heat pump at extremely low outdoor air temperatures, the need to defrost the evaporator exchanger, the cooling function of the heat pump used.</w:t>
      </w:r>
    </w:p>
    <w:p w14:paraId="58C86908" w14:textId="2364EC24" w:rsidR="00301C3B" w:rsidRPr="004D2B9A" w:rsidRDefault="002E6DA8" w:rsidP="004D2B9A">
      <w:pPr>
        <w:pStyle w:val="Rn1"/>
        <w:rPr>
          <w:lang w:val="en-GB"/>
        </w:rPr>
      </w:pPr>
      <w:r w:rsidRPr="004D2B9A">
        <w:rPr>
          <w:rStyle w:val="rynqvb"/>
          <w:lang w:val="en-GB"/>
        </w:rPr>
        <w:t xml:space="preserve">2. </w:t>
      </w:r>
      <w:r w:rsidR="00444470" w:rsidRPr="004D2B9A">
        <w:rPr>
          <w:rStyle w:val="rynqvb"/>
          <w:lang w:val="en-GB"/>
        </w:rPr>
        <w:t xml:space="preserve">Description of the </w:t>
      </w:r>
      <w:r w:rsidR="004D2B9A">
        <w:rPr>
          <w:rStyle w:val="rynqvb"/>
          <w:lang w:val="en-GB"/>
        </w:rPr>
        <w:t>R</w:t>
      </w:r>
      <w:r w:rsidR="00444470" w:rsidRPr="004D2B9A">
        <w:rPr>
          <w:rStyle w:val="rynqvb"/>
          <w:lang w:val="en-GB"/>
        </w:rPr>
        <w:t>esearch</w:t>
      </w:r>
    </w:p>
    <w:p w14:paraId="579C88BC" w14:textId="1A66EF47" w:rsidR="00037687" w:rsidRPr="004D2B9A" w:rsidRDefault="00B96CCF" w:rsidP="00B96CCF">
      <w:pPr>
        <w:rPr>
          <w:lang w:val="en-GB"/>
        </w:rPr>
      </w:pPr>
      <w:r w:rsidRPr="004D2B9A">
        <w:rPr>
          <w:lang w:val="en-GB"/>
        </w:rPr>
        <w:t>The necessary calculations of the design heating load and useful energy demand for building heating (later EU</w:t>
      </w:r>
      <w:r w:rsidR="008D7F9E">
        <w:rPr>
          <w:lang w:val="en-GB"/>
        </w:rPr>
        <w:t>'</w:t>
      </w:r>
      <w:r w:rsidRPr="004D2B9A">
        <w:rPr>
          <w:lang w:val="en-GB"/>
        </w:rPr>
        <w:t xml:space="preserve">) in selected locations were performed using EDSL TAS version 9.5.6, a graphical interface for the widely used and validated </w:t>
      </w:r>
      <w:proofErr w:type="spellStart"/>
      <w:r w:rsidRPr="004D2B9A">
        <w:rPr>
          <w:lang w:val="en-GB"/>
        </w:rPr>
        <w:t>EnergyPlus</w:t>
      </w:r>
      <w:proofErr w:type="spellEnd"/>
      <w:r w:rsidRPr="004D2B9A">
        <w:rPr>
          <w:lang w:val="en-GB"/>
        </w:rPr>
        <w:t xml:space="preserve"> advanced building energy calculation engine.</w:t>
      </w:r>
      <w:r w:rsidR="5B01E89D" w:rsidRPr="004D2B9A">
        <w:rPr>
          <w:lang w:val="en-GB"/>
        </w:rPr>
        <w:t xml:space="preserve"> Unlike standard OZC programmes, EDSL TAS enabled detailed calculations to be performed at the required hourly interval. Due to the programme's incompatibility with Polish standards, the obtained design heating load values were treated as estimates.</w:t>
      </w:r>
    </w:p>
    <w:p w14:paraId="7D7041AA" w14:textId="12AD3A08" w:rsidR="00A1480B" w:rsidRPr="004D2B9A" w:rsidRDefault="5B01E89D" w:rsidP="002328EC">
      <w:pPr>
        <w:rPr>
          <w:lang w:val="en-GB"/>
        </w:rPr>
      </w:pPr>
      <w:r w:rsidRPr="004D2B9A">
        <w:rPr>
          <w:lang w:val="en-GB"/>
        </w:rPr>
        <w:t xml:space="preserve">At each stage of </w:t>
      </w:r>
      <w:r w:rsidR="008D7F9E">
        <w:rPr>
          <w:lang w:val="en-GB"/>
        </w:rPr>
        <w:t>creating computational models and generating final results, the built-in data validation tools of the EDSL TAS programme were used precisely as described in the</w:t>
      </w:r>
      <w:r w:rsidRPr="004D2B9A">
        <w:rPr>
          <w:lang w:val="en-GB"/>
        </w:rPr>
        <w:t xml:space="preserve"> guidelines (EDSL 2025).</w:t>
      </w:r>
      <w:r w:rsidR="00340401" w:rsidRPr="004D2B9A">
        <w:rPr>
          <w:lang w:val="en-GB"/>
        </w:rPr>
        <w:t xml:space="preserve"> No errors or warnings were detected.</w:t>
      </w:r>
    </w:p>
    <w:p w14:paraId="007B1B5E" w14:textId="2FE54AD2" w:rsidR="00671719" w:rsidRPr="004D2B9A" w:rsidRDefault="002E6DA8" w:rsidP="004D2B9A">
      <w:pPr>
        <w:pStyle w:val="Rn2"/>
        <w:rPr>
          <w:lang w:val="en-GB"/>
        </w:rPr>
      </w:pPr>
      <w:r w:rsidRPr="004D2B9A">
        <w:rPr>
          <w:rStyle w:val="rynqvb"/>
          <w:lang w:val="en-GB"/>
        </w:rPr>
        <w:t xml:space="preserve">2.1. </w:t>
      </w:r>
      <w:r w:rsidR="00DD4E61" w:rsidRPr="004D2B9A">
        <w:rPr>
          <w:rStyle w:val="rynqvb"/>
          <w:lang w:val="en-GB"/>
        </w:rPr>
        <w:t>The building under examination</w:t>
      </w:r>
    </w:p>
    <w:p w14:paraId="1160AAE3" w14:textId="44806BB8" w:rsidR="002B62C7" w:rsidRPr="004D2B9A" w:rsidRDefault="5B01E89D" w:rsidP="002B62C7">
      <w:pPr>
        <w:rPr>
          <w:lang w:val="en-GB"/>
        </w:rPr>
      </w:pPr>
      <w:r w:rsidRPr="004D2B9A">
        <w:rPr>
          <w:lang w:val="en-GB"/>
        </w:rPr>
        <w:t>A typical single-family building (GUS 2025), consisting of two above-ground floors, with a compact, cube-like structure and a flat roof.</w:t>
      </w:r>
      <w:r w:rsidR="00831885" w:rsidRPr="004D2B9A">
        <w:rPr>
          <w:lang w:val="en-GB"/>
        </w:rPr>
        <w:t xml:space="preserve"> It is assumed that the building is inhabited by a family of four, representatives of the Polish middle class.</w:t>
      </w:r>
    </w:p>
    <w:p w14:paraId="5EF42F32" w14:textId="399A2B09" w:rsidR="00671719" w:rsidRPr="004D2B9A" w:rsidRDefault="5B01E89D" w:rsidP="00602613">
      <w:pPr>
        <w:pStyle w:val="Akapitzlist"/>
        <w:ind w:left="567"/>
        <w:rPr>
          <w:lang w:val="en-GB"/>
        </w:rPr>
      </w:pPr>
      <w:r w:rsidRPr="004D2B9A">
        <w:rPr>
          <w:lang w:val="en-GB"/>
        </w:rPr>
        <w:t xml:space="preserve">the heat transfer coefficients of all constructions used meet the requirements of WT 2021 (e.g., flat roof </w:t>
      </w:r>
      <w:proofErr w:type="spellStart"/>
      <w:r w:rsidRPr="004D2B9A">
        <w:rPr>
          <w:lang w:val="en-GB"/>
        </w:rPr>
        <w:t>Uroof</w:t>
      </w:r>
      <w:proofErr w:type="spellEnd"/>
      <w:r w:rsidRPr="004D2B9A">
        <w:rPr>
          <w:lang w:val="en-GB"/>
        </w:rPr>
        <w:t xml:space="preserve"> = 0</w:t>
      </w:r>
      <w:r w:rsidR="00602613">
        <w:rPr>
          <w:lang w:val="en-GB"/>
        </w:rPr>
        <w:t>.</w:t>
      </w:r>
      <w:r w:rsidRPr="004D2B9A">
        <w:rPr>
          <w:lang w:val="en-GB"/>
        </w:rPr>
        <w:t>15 W/(m</w:t>
      </w:r>
      <w:r w:rsidRPr="007773B8">
        <w:rPr>
          <w:vertAlign w:val="superscript"/>
          <w:lang w:val="en-GB"/>
        </w:rPr>
        <w:t>2</w:t>
      </w:r>
      <w:r w:rsidRPr="004D2B9A">
        <w:rPr>
          <w:lang w:val="en-GB"/>
        </w:rPr>
        <w:t>K)) (</w:t>
      </w:r>
      <w:proofErr w:type="spellStart"/>
      <w:r w:rsidRPr="004D2B9A">
        <w:rPr>
          <w:lang w:val="en-GB"/>
        </w:rPr>
        <w:t>Dz.U</w:t>
      </w:r>
      <w:proofErr w:type="spellEnd"/>
      <w:r w:rsidRPr="004D2B9A">
        <w:rPr>
          <w:lang w:val="en-GB"/>
        </w:rPr>
        <w:t>. 2002)</w:t>
      </w:r>
      <w:r w:rsidR="008C1AA3">
        <w:rPr>
          <w:lang w:val="en-GB"/>
        </w:rPr>
        <w:t>,</w:t>
      </w:r>
    </w:p>
    <w:p w14:paraId="22DF3F04" w14:textId="2BB8CC4B" w:rsidR="002B62C7" w:rsidRPr="004D2B9A" w:rsidRDefault="00831885" w:rsidP="00602613">
      <w:pPr>
        <w:pStyle w:val="Akapitzlist"/>
        <w:ind w:left="567"/>
        <w:rPr>
          <w:lang w:val="en-GB"/>
        </w:rPr>
      </w:pPr>
      <w:r w:rsidRPr="004D2B9A">
        <w:rPr>
          <w:lang w:val="en-GB"/>
        </w:rPr>
        <w:t>total heat transfer coefficient of windows and doors</w:t>
      </w:r>
      <w:r w:rsidR="00B96CCF" w:rsidRPr="004D2B9A">
        <w:rPr>
          <w:lang w:val="en-GB"/>
        </w:rPr>
        <w:t xml:space="preserve"> </w:t>
      </w:r>
      <w:proofErr w:type="spellStart"/>
      <w:r w:rsidR="002B62C7" w:rsidRPr="004D2B9A">
        <w:rPr>
          <w:lang w:val="en-GB"/>
        </w:rPr>
        <w:t>U</w:t>
      </w:r>
      <w:r w:rsidR="009C2A3A" w:rsidRPr="004D2B9A">
        <w:rPr>
          <w:vertAlign w:val="subscript"/>
          <w:lang w:val="en-GB"/>
        </w:rPr>
        <w:t>wd</w:t>
      </w:r>
      <w:proofErr w:type="spellEnd"/>
      <w:r w:rsidR="00B96CCF" w:rsidRPr="004D2B9A">
        <w:rPr>
          <w:lang w:val="en-GB"/>
        </w:rPr>
        <w:t xml:space="preserve"> </w:t>
      </w:r>
      <w:r w:rsidR="002B62C7" w:rsidRPr="004D2B9A">
        <w:rPr>
          <w:lang w:val="en-GB"/>
        </w:rPr>
        <w:t>=</w:t>
      </w:r>
      <w:r w:rsidR="00B96CCF" w:rsidRPr="004D2B9A">
        <w:rPr>
          <w:lang w:val="en-GB"/>
        </w:rPr>
        <w:t xml:space="preserve"> </w:t>
      </w:r>
      <w:r w:rsidR="002B62C7" w:rsidRPr="004D2B9A">
        <w:rPr>
          <w:lang w:val="en-GB"/>
        </w:rPr>
        <w:t>0</w:t>
      </w:r>
      <w:r w:rsidR="00602613">
        <w:rPr>
          <w:lang w:val="en-GB"/>
        </w:rPr>
        <w:t>.</w:t>
      </w:r>
      <w:r w:rsidR="002B62C7" w:rsidRPr="004D2B9A">
        <w:rPr>
          <w:lang w:val="en-GB"/>
        </w:rPr>
        <w:t>900</w:t>
      </w:r>
      <w:r w:rsidR="00B96CCF" w:rsidRPr="004D2B9A">
        <w:rPr>
          <w:lang w:val="en-GB"/>
        </w:rPr>
        <w:t xml:space="preserve"> </w:t>
      </w:r>
      <w:r w:rsidR="002B62C7" w:rsidRPr="004D2B9A">
        <w:rPr>
          <w:lang w:val="en-GB"/>
        </w:rPr>
        <w:t>W/(m</w:t>
      </w:r>
      <w:r w:rsidR="002B62C7" w:rsidRPr="004D2B9A">
        <w:rPr>
          <w:vertAlign w:val="superscript"/>
          <w:lang w:val="en-GB"/>
        </w:rPr>
        <w:t>2</w:t>
      </w:r>
      <w:r w:rsidR="002B62C7" w:rsidRPr="004D2B9A">
        <w:rPr>
          <w:lang w:val="en-GB"/>
        </w:rPr>
        <w:t>K),</w:t>
      </w:r>
      <w:r w:rsidR="00B96CCF" w:rsidRPr="004D2B9A">
        <w:rPr>
          <w:lang w:val="en-GB"/>
        </w:rPr>
        <w:t xml:space="preserve"> </w:t>
      </w:r>
      <w:r w:rsidRPr="004D2B9A">
        <w:rPr>
          <w:lang w:val="en-GB"/>
        </w:rPr>
        <w:t xml:space="preserve">according to </w:t>
      </w:r>
      <w:r w:rsidR="002B62C7" w:rsidRPr="004D2B9A">
        <w:rPr>
          <w:lang w:val="en-GB"/>
        </w:rPr>
        <w:t>WT</w:t>
      </w:r>
      <w:r w:rsidR="00B96CCF" w:rsidRPr="004D2B9A">
        <w:rPr>
          <w:lang w:val="en-GB"/>
        </w:rPr>
        <w:t xml:space="preserve"> </w:t>
      </w:r>
      <w:r w:rsidR="002B62C7" w:rsidRPr="004D2B9A">
        <w:rPr>
          <w:lang w:val="en-GB"/>
        </w:rPr>
        <w:t>2021</w:t>
      </w:r>
      <w:r w:rsidR="00B96CCF" w:rsidRPr="004D2B9A">
        <w:rPr>
          <w:lang w:val="en-GB"/>
        </w:rPr>
        <w:t xml:space="preserve"> </w:t>
      </w:r>
      <w:r w:rsidR="00885EB5">
        <w:rPr>
          <w:lang w:val="en-GB"/>
        </w:rPr>
        <w:br/>
      </w:r>
      <w:r w:rsidR="00B817E3" w:rsidRPr="004D2B9A">
        <w:rPr>
          <w:lang w:val="en-GB"/>
        </w:rPr>
        <w:t>(</w:t>
      </w:r>
      <w:proofErr w:type="spellStart"/>
      <w:r w:rsidR="00B817E3" w:rsidRPr="004D2B9A">
        <w:rPr>
          <w:lang w:val="en-GB"/>
        </w:rPr>
        <w:t>Dz.U</w:t>
      </w:r>
      <w:proofErr w:type="spellEnd"/>
      <w:r w:rsidR="00B817E3" w:rsidRPr="004D2B9A">
        <w:rPr>
          <w:lang w:val="en-GB"/>
        </w:rPr>
        <w:t>. 2002)</w:t>
      </w:r>
      <w:r w:rsidR="008C1AA3">
        <w:rPr>
          <w:lang w:val="en-GB"/>
        </w:rPr>
        <w:t>,</w:t>
      </w:r>
    </w:p>
    <w:p w14:paraId="58C37EB5" w14:textId="7B33F894" w:rsidR="00671719" w:rsidRPr="004D2B9A" w:rsidRDefault="00831885" w:rsidP="00602613">
      <w:pPr>
        <w:pStyle w:val="Akapitzlist"/>
        <w:ind w:left="567"/>
        <w:rPr>
          <w:lang w:val="en-GB"/>
        </w:rPr>
      </w:pPr>
      <w:r w:rsidRPr="004D2B9A">
        <w:rPr>
          <w:rStyle w:val="rynqvb"/>
          <w:lang w:val="en-GB"/>
        </w:rPr>
        <w:t>total heated area of the building</w:t>
      </w:r>
      <w:r w:rsidR="00716A91" w:rsidRPr="004D2B9A">
        <w:rPr>
          <w:lang w:val="en-GB"/>
        </w:rPr>
        <w:t>:</w:t>
      </w:r>
      <w:r w:rsidR="00B96CCF" w:rsidRPr="004D2B9A">
        <w:rPr>
          <w:lang w:val="en-GB"/>
        </w:rPr>
        <w:t xml:space="preserve"> </w:t>
      </w:r>
      <w:r w:rsidR="00671719" w:rsidRPr="004D2B9A">
        <w:rPr>
          <w:lang w:val="en-GB"/>
        </w:rPr>
        <w:t>138</w:t>
      </w:r>
      <w:r w:rsidR="00602613">
        <w:rPr>
          <w:lang w:val="en-GB"/>
        </w:rPr>
        <w:t>.</w:t>
      </w:r>
      <w:r w:rsidR="00671719" w:rsidRPr="004D2B9A">
        <w:rPr>
          <w:lang w:val="en-GB"/>
        </w:rPr>
        <w:t>98</w:t>
      </w:r>
      <w:r w:rsidR="00B96CCF" w:rsidRPr="004D2B9A">
        <w:rPr>
          <w:lang w:val="en-GB"/>
        </w:rPr>
        <w:t xml:space="preserve"> </w:t>
      </w:r>
      <w:r w:rsidR="00671719" w:rsidRPr="004D2B9A">
        <w:rPr>
          <w:lang w:val="en-GB"/>
        </w:rPr>
        <w:t>m</w:t>
      </w:r>
      <w:r w:rsidR="00671719" w:rsidRPr="004D2B9A">
        <w:rPr>
          <w:vertAlign w:val="superscript"/>
          <w:lang w:val="en-GB"/>
        </w:rPr>
        <w:t>2</w:t>
      </w:r>
      <w:r w:rsidR="008C1AA3">
        <w:rPr>
          <w:lang w:val="en-GB"/>
        </w:rPr>
        <w:t>,</w:t>
      </w:r>
    </w:p>
    <w:p w14:paraId="5EE0D505" w14:textId="4EDB2BE1" w:rsidR="00671719" w:rsidRPr="004D2B9A" w:rsidRDefault="00831885" w:rsidP="00602613">
      <w:pPr>
        <w:pStyle w:val="Akapitzlist"/>
        <w:ind w:left="567"/>
        <w:rPr>
          <w:lang w:val="en-GB"/>
        </w:rPr>
      </w:pPr>
      <w:r w:rsidRPr="004D2B9A">
        <w:rPr>
          <w:rStyle w:val="rynqvb"/>
          <w:lang w:val="en-GB"/>
        </w:rPr>
        <w:t>clear height of the ground floor and first floor</w:t>
      </w:r>
      <w:r w:rsidR="00716A91" w:rsidRPr="004D2B9A">
        <w:rPr>
          <w:lang w:val="en-GB"/>
        </w:rPr>
        <w:t>:</w:t>
      </w:r>
      <w:r w:rsidR="00B96CCF" w:rsidRPr="004D2B9A">
        <w:rPr>
          <w:lang w:val="en-GB"/>
        </w:rPr>
        <w:t xml:space="preserve"> </w:t>
      </w:r>
      <w:r w:rsidR="00671719" w:rsidRPr="004D2B9A">
        <w:rPr>
          <w:lang w:val="en-GB"/>
        </w:rPr>
        <w:t>2</w:t>
      </w:r>
      <w:r w:rsidR="00602613">
        <w:rPr>
          <w:lang w:val="en-GB"/>
        </w:rPr>
        <w:t>.</w:t>
      </w:r>
      <w:r w:rsidR="00671719" w:rsidRPr="004D2B9A">
        <w:rPr>
          <w:lang w:val="en-GB"/>
        </w:rPr>
        <w:t>80</w:t>
      </w:r>
      <w:r w:rsidR="00B96CCF" w:rsidRPr="004D2B9A">
        <w:rPr>
          <w:lang w:val="en-GB"/>
        </w:rPr>
        <w:t xml:space="preserve"> </w:t>
      </w:r>
      <w:r w:rsidR="00671719" w:rsidRPr="004D2B9A">
        <w:rPr>
          <w:lang w:val="en-GB"/>
        </w:rPr>
        <w:t>m</w:t>
      </w:r>
      <w:r w:rsidR="008C1AA3">
        <w:rPr>
          <w:lang w:val="en-GB"/>
        </w:rPr>
        <w:t>,</w:t>
      </w:r>
    </w:p>
    <w:p w14:paraId="725916E7" w14:textId="403E6EE6" w:rsidR="00671719" w:rsidRPr="00602613" w:rsidRDefault="5B01E89D" w:rsidP="00602613">
      <w:pPr>
        <w:pStyle w:val="Akapitzlist"/>
        <w:ind w:left="567"/>
        <w:rPr>
          <w:spacing w:val="-2"/>
          <w:lang w:val="en-GB"/>
        </w:rPr>
      </w:pPr>
      <w:r w:rsidRPr="00602613">
        <w:rPr>
          <w:spacing w:val="-2"/>
          <w:lang w:val="en-GB"/>
        </w:rPr>
        <w:t>the building includes: a living room, a kitchen, three bedrooms, two bathrooms, two corridors, and a technical room</w:t>
      </w:r>
      <w:r w:rsidR="008C1AA3" w:rsidRPr="00602613">
        <w:rPr>
          <w:spacing w:val="-2"/>
          <w:lang w:val="en-GB"/>
        </w:rPr>
        <w:t>,</w:t>
      </w:r>
    </w:p>
    <w:p w14:paraId="5ED07FF2" w14:textId="55E0D996" w:rsidR="00671719" w:rsidRPr="004D2B9A" w:rsidRDefault="00831885" w:rsidP="00602613">
      <w:pPr>
        <w:pStyle w:val="Akapitzlist"/>
        <w:ind w:left="567"/>
        <w:rPr>
          <w:lang w:val="en-GB"/>
        </w:rPr>
      </w:pPr>
      <w:r w:rsidRPr="004D2B9A">
        <w:rPr>
          <w:lang w:val="en-GB"/>
        </w:rPr>
        <w:t xml:space="preserve">floor heating maintains a minimum internal </w:t>
      </w:r>
      <w:r w:rsidR="008D7F9E">
        <w:rPr>
          <w:lang w:val="en-GB"/>
        </w:rPr>
        <w:t xml:space="preserve">air </w:t>
      </w:r>
      <w:r w:rsidRPr="004D2B9A">
        <w:rPr>
          <w:lang w:val="en-GB"/>
        </w:rPr>
        <w:t>temperature: 24°C in bathrooms and 20°C in all other rooms</w:t>
      </w:r>
      <w:r w:rsidR="00B96CCF" w:rsidRPr="004D2B9A">
        <w:rPr>
          <w:lang w:val="en-GB"/>
        </w:rPr>
        <w:t xml:space="preserve"> </w:t>
      </w:r>
      <w:r w:rsidR="00B817E3" w:rsidRPr="004D2B9A">
        <w:rPr>
          <w:lang w:val="en-GB"/>
        </w:rPr>
        <w:t>(</w:t>
      </w:r>
      <w:proofErr w:type="spellStart"/>
      <w:r w:rsidR="00B817E3" w:rsidRPr="004D2B9A">
        <w:rPr>
          <w:lang w:val="en-GB"/>
        </w:rPr>
        <w:t>Dz.U</w:t>
      </w:r>
      <w:proofErr w:type="spellEnd"/>
      <w:r w:rsidR="00B817E3" w:rsidRPr="004D2B9A">
        <w:rPr>
          <w:lang w:val="en-GB"/>
        </w:rPr>
        <w:t>. 2002)</w:t>
      </w:r>
      <w:r w:rsidR="008C1AA3">
        <w:rPr>
          <w:lang w:val="en-GB"/>
        </w:rPr>
        <w:t>,</w:t>
      </w:r>
    </w:p>
    <w:p w14:paraId="01DBBD18" w14:textId="77777777" w:rsidR="00885EB5" w:rsidRDefault="00885EB5">
      <w:pPr>
        <w:spacing w:after="160" w:line="259" w:lineRule="auto"/>
        <w:ind w:firstLine="0"/>
        <w:jc w:val="left"/>
        <w:rPr>
          <w:lang w:val="en-GB"/>
        </w:rPr>
      </w:pPr>
      <w:r>
        <w:rPr>
          <w:lang w:val="en-GB"/>
        </w:rPr>
        <w:br w:type="page"/>
      </w:r>
    </w:p>
    <w:p w14:paraId="7FC953A2" w14:textId="386E7DC5" w:rsidR="00671719" w:rsidRPr="004D2B9A" w:rsidRDefault="00831885" w:rsidP="00671719">
      <w:pPr>
        <w:pStyle w:val="Akapitzlist"/>
        <w:rPr>
          <w:lang w:val="en-GB"/>
        </w:rPr>
      </w:pPr>
      <w:r w:rsidRPr="004D2B9A">
        <w:rPr>
          <w:lang w:val="en-GB"/>
        </w:rPr>
        <w:lastRenderedPageBreak/>
        <w:t>during the warm season, the cooling system prevents the internal air temperature from exceeding 24°C in the living room and bedrooms</w:t>
      </w:r>
      <w:r w:rsidR="008C1AA3">
        <w:rPr>
          <w:lang w:val="en-GB"/>
        </w:rPr>
        <w:t>,</w:t>
      </w:r>
    </w:p>
    <w:p w14:paraId="5DD691CE" w14:textId="1B995162" w:rsidR="002B62C7" w:rsidRPr="004D2B9A" w:rsidRDefault="00831885" w:rsidP="00106CBA">
      <w:pPr>
        <w:pStyle w:val="Akapitzlist"/>
        <w:rPr>
          <w:lang w:val="en-GB"/>
        </w:rPr>
      </w:pPr>
      <w:r w:rsidRPr="004D2B9A">
        <w:rPr>
          <w:rStyle w:val="rynqvb"/>
          <w:lang w:val="en-GB"/>
        </w:rPr>
        <w:t>gravity ventilation, with an assumed air exchange rate of 0</w:t>
      </w:r>
      <w:r w:rsidR="00602613">
        <w:rPr>
          <w:rStyle w:val="rynqvb"/>
          <w:lang w:val="en-GB"/>
        </w:rPr>
        <w:t>.</w:t>
      </w:r>
      <w:r w:rsidRPr="004D2B9A">
        <w:rPr>
          <w:rStyle w:val="rynqvb"/>
          <w:lang w:val="en-GB"/>
        </w:rPr>
        <w:t>5 ach</w:t>
      </w:r>
      <w:r w:rsidR="00B96CCF" w:rsidRPr="004D2B9A">
        <w:rPr>
          <w:lang w:val="en-GB"/>
        </w:rPr>
        <w:t xml:space="preserve"> </w:t>
      </w:r>
      <w:r w:rsidR="00B817E3" w:rsidRPr="004D2B9A">
        <w:rPr>
          <w:lang w:val="en-GB"/>
        </w:rPr>
        <w:t>(PN EN 12831 2006)</w:t>
      </w:r>
      <w:r w:rsidR="008C1AA3">
        <w:rPr>
          <w:lang w:val="en-GB"/>
        </w:rPr>
        <w:t>,</w:t>
      </w:r>
    </w:p>
    <w:p w14:paraId="3C86D6FD" w14:textId="4F4A07CB" w:rsidR="00671719" w:rsidRPr="004D2B9A" w:rsidRDefault="008D7F9E" w:rsidP="00106CBA">
      <w:pPr>
        <w:pStyle w:val="Akapitzlist"/>
        <w:rPr>
          <w:lang w:val="en-GB"/>
        </w:rPr>
      </w:pPr>
      <w:r>
        <w:rPr>
          <w:rStyle w:val="rynqvb"/>
          <w:lang w:val="en-GB"/>
        </w:rPr>
        <w:t>internal heat gains were assumed to be a constant averag</w:t>
      </w:r>
      <w:r w:rsidR="00901AE0" w:rsidRPr="004D2B9A">
        <w:rPr>
          <w:rStyle w:val="rynqvb"/>
          <w:lang w:val="en-GB"/>
        </w:rPr>
        <w:t>e of 6</w:t>
      </w:r>
      <w:r w:rsidR="00602613">
        <w:rPr>
          <w:rStyle w:val="rynqvb"/>
          <w:lang w:val="en-GB"/>
        </w:rPr>
        <w:t>.</w:t>
      </w:r>
      <w:r w:rsidR="00901AE0" w:rsidRPr="004D2B9A">
        <w:rPr>
          <w:rStyle w:val="rynqvb"/>
          <w:lang w:val="en-GB"/>
        </w:rPr>
        <w:t>8 W/m</w:t>
      </w:r>
      <w:r w:rsidR="00901AE0" w:rsidRPr="004D2B9A">
        <w:rPr>
          <w:rStyle w:val="rynqvb"/>
          <w:vertAlign w:val="superscript"/>
          <w:lang w:val="en-GB"/>
        </w:rPr>
        <w:t>2</w:t>
      </w:r>
      <w:r w:rsidR="00901AE0" w:rsidRPr="004D2B9A">
        <w:rPr>
          <w:rStyle w:val="rynqvb"/>
          <w:lang w:val="en-GB"/>
        </w:rPr>
        <w:t xml:space="preserve"> in the living room and bedrooms</w:t>
      </w:r>
      <w:r w:rsidR="00901AE0" w:rsidRPr="004D2B9A">
        <w:rPr>
          <w:lang w:val="en-GB"/>
        </w:rPr>
        <w:t xml:space="preserve"> </w:t>
      </w:r>
      <w:r w:rsidR="00B817E3" w:rsidRPr="004D2B9A">
        <w:rPr>
          <w:lang w:val="en-GB"/>
        </w:rPr>
        <w:t>(</w:t>
      </w:r>
      <w:proofErr w:type="spellStart"/>
      <w:r w:rsidR="00B817E3" w:rsidRPr="004D2B9A">
        <w:rPr>
          <w:lang w:val="en-GB"/>
        </w:rPr>
        <w:t>Dz.U</w:t>
      </w:r>
      <w:proofErr w:type="spellEnd"/>
      <w:r w:rsidR="00B817E3" w:rsidRPr="004D2B9A">
        <w:rPr>
          <w:lang w:val="en-GB"/>
        </w:rPr>
        <w:t>. 2015)</w:t>
      </w:r>
      <w:r w:rsidR="00671719" w:rsidRPr="004D2B9A">
        <w:rPr>
          <w:lang w:val="en-GB"/>
        </w:rPr>
        <w:t>.</w:t>
      </w:r>
    </w:p>
    <w:p w14:paraId="025735B7" w14:textId="60A62E15" w:rsidR="004D2B9A" w:rsidRDefault="004D2B9A" w:rsidP="00885EB5">
      <w:pPr>
        <w:ind w:firstLine="0"/>
        <w:jc w:val="left"/>
        <w:rPr>
          <w:lang w:val="en-GB"/>
        </w:rPr>
      </w:pPr>
    </w:p>
    <w:p w14:paraId="6F437E3B" w14:textId="270E499B" w:rsidR="002B62C7" w:rsidRPr="004D2B9A" w:rsidRDefault="00901AE0" w:rsidP="002B62C7">
      <w:pPr>
        <w:rPr>
          <w:lang w:val="en-GB"/>
        </w:rPr>
      </w:pPr>
      <w:r w:rsidRPr="004D2B9A">
        <w:rPr>
          <w:lang w:val="en-GB"/>
        </w:rPr>
        <w:t xml:space="preserve">The building has two bathrooms. One has a medium-sized bathtub, the other has a standard shower cabin. The </w:t>
      </w:r>
      <w:r w:rsidR="004436D3" w:rsidRPr="004D2B9A">
        <w:rPr>
          <w:lang w:val="en-GB"/>
        </w:rPr>
        <w:t xml:space="preserve">domestic hot water (DHW) </w:t>
      </w:r>
      <w:r w:rsidRPr="004D2B9A">
        <w:rPr>
          <w:lang w:val="en-GB"/>
        </w:rPr>
        <w:t>system is equipped with a DHW heater with an active capacity of 500 dm</w:t>
      </w:r>
      <w:r w:rsidRPr="004D2B9A">
        <w:rPr>
          <w:vertAlign w:val="superscript"/>
          <w:lang w:val="en-GB"/>
        </w:rPr>
        <w:t>3</w:t>
      </w:r>
      <w:r w:rsidRPr="004D2B9A">
        <w:rPr>
          <w:lang w:val="en-GB"/>
        </w:rPr>
        <w:t>.</w:t>
      </w:r>
      <w:r w:rsidR="5B01E89D" w:rsidRPr="004D2B9A">
        <w:rPr>
          <w:lang w:val="en-GB"/>
        </w:rPr>
        <w:t xml:space="preserve"> Residents have expressed a desire to maintain a maximum DHW temperature of 45°C and </w:t>
      </w:r>
      <w:r w:rsidR="008D7F9E">
        <w:rPr>
          <w:lang w:val="en-GB"/>
        </w:rPr>
        <w:t>to limit storage tank filling time to no more than 2</w:t>
      </w:r>
      <w:r w:rsidR="5B01E89D" w:rsidRPr="004D2B9A">
        <w:rPr>
          <w:lang w:val="en-GB"/>
        </w:rPr>
        <w:t xml:space="preserve"> hours.</w:t>
      </w:r>
    </w:p>
    <w:p w14:paraId="72B4B6BE" w14:textId="2D7C5085" w:rsidR="00671719" w:rsidRPr="004D2B9A" w:rsidRDefault="002E6DA8" w:rsidP="004D2B9A">
      <w:pPr>
        <w:pStyle w:val="Rn2"/>
        <w:rPr>
          <w:lang w:val="en-GB"/>
        </w:rPr>
      </w:pPr>
      <w:r w:rsidRPr="004D2B9A">
        <w:rPr>
          <w:lang w:val="en-GB"/>
        </w:rPr>
        <w:t xml:space="preserve">2.2. </w:t>
      </w:r>
      <w:r w:rsidR="00DD4E61" w:rsidRPr="004D2B9A">
        <w:rPr>
          <w:lang w:val="en-GB"/>
        </w:rPr>
        <w:t>Selected locations</w:t>
      </w:r>
    </w:p>
    <w:p w14:paraId="36B20159" w14:textId="5CD67360" w:rsidR="008E1CE5" w:rsidRDefault="5B01E89D" w:rsidP="008E1CE5">
      <w:pPr>
        <w:rPr>
          <w:lang w:val="en-GB"/>
        </w:rPr>
      </w:pPr>
      <w:r w:rsidRPr="004D2B9A">
        <w:rPr>
          <w:lang w:val="en-GB"/>
        </w:rPr>
        <w:t>For the study, it was decided to select one city from each of Poland's five climate zones for which official data for a typical meteorological year are available (GOV 2025).</w:t>
      </w:r>
      <w:r w:rsidR="00D37008" w:rsidRPr="004D2B9A">
        <w:rPr>
          <w:lang w:val="en-GB"/>
        </w:rPr>
        <w:t xml:space="preserve"> The selection of these specific cities was also linked to the description contained in the article </w:t>
      </w:r>
      <w:r w:rsidR="00B817E3" w:rsidRPr="004D2B9A">
        <w:rPr>
          <w:lang w:val="en-GB"/>
        </w:rPr>
        <w:t>(Kowalski et al. 2023)</w:t>
      </w:r>
      <w:r w:rsidR="00D37008" w:rsidRPr="004D2B9A">
        <w:rPr>
          <w:lang w:val="en-GB"/>
        </w:rPr>
        <w:t>.</w:t>
      </w:r>
      <w:r w:rsidRPr="004D2B9A">
        <w:rPr>
          <w:lang w:val="en-GB"/>
        </w:rPr>
        <w:t xml:space="preserve"> Basic information about the selected cities is summarised in Table 1.</w:t>
      </w:r>
    </w:p>
    <w:p w14:paraId="44D42A27" w14:textId="77777777" w:rsidR="004D2B9A" w:rsidRPr="004D2B9A" w:rsidRDefault="004D2B9A" w:rsidP="008E1CE5">
      <w:pPr>
        <w:rPr>
          <w:lang w:val="en-GB"/>
        </w:rPr>
      </w:pPr>
    </w:p>
    <w:p w14:paraId="1CAF62B7" w14:textId="3BD98C96" w:rsidR="00671719" w:rsidRPr="004D2B9A" w:rsidRDefault="00D37008" w:rsidP="004D2B9A">
      <w:pPr>
        <w:pStyle w:val="Rtab"/>
        <w:rPr>
          <w:lang w:val="en-GB"/>
        </w:rPr>
      </w:pPr>
      <w:r w:rsidRPr="004D2B9A">
        <w:rPr>
          <w:b/>
          <w:bCs/>
          <w:lang w:val="en-GB"/>
        </w:rPr>
        <w:t>Table</w:t>
      </w:r>
      <w:r w:rsidR="00B96CCF" w:rsidRPr="004D2B9A">
        <w:rPr>
          <w:b/>
          <w:bCs/>
          <w:lang w:val="en-GB"/>
        </w:rPr>
        <w:t xml:space="preserve"> </w:t>
      </w:r>
      <w:r w:rsidR="008E1CE5" w:rsidRPr="004D2B9A">
        <w:rPr>
          <w:b/>
          <w:bCs/>
          <w:lang w:val="en-GB"/>
        </w:rPr>
        <w:t>1.</w:t>
      </w:r>
      <w:r w:rsidR="00B96CCF" w:rsidRPr="004D2B9A">
        <w:rPr>
          <w:lang w:val="en-GB"/>
        </w:rPr>
        <w:t xml:space="preserve"> </w:t>
      </w:r>
      <w:r w:rsidRPr="004D2B9A">
        <w:rPr>
          <w:rStyle w:val="rynqvb"/>
          <w:lang w:val="en-GB"/>
        </w:rPr>
        <w:t>Basic information about selected locations and their meteorological data</w:t>
      </w:r>
    </w:p>
    <w:tbl>
      <w:tblPr>
        <w:tblW w:w="8313" w:type="dxa"/>
        <w:jc w:val="center"/>
        <w:tblCellMar>
          <w:left w:w="70" w:type="dxa"/>
          <w:right w:w="70" w:type="dxa"/>
        </w:tblCellMar>
        <w:tblLook w:val="04A0" w:firstRow="1" w:lastRow="0" w:firstColumn="1" w:lastColumn="0" w:noHBand="0" w:noVBand="1"/>
      </w:tblPr>
      <w:tblGrid>
        <w:gridCol w:w="1056"/>
        <w:gridCol w:w="1361"/>
        <w:gridCol w:w="1247"/>
        <w:gridCol w:w="1247"/>
        <w:gridCol w:w="1417"/>
        <w:gridCol w:w="1985"/>
      </w:tblGrid>
      <w:tr w:rsidR="008B2ECD" w:rsidRPr="004D2B9A" w14:paraId="7FE9429B" w14:textId="77777777" w:rsidTr="00FC1BBF">
        <w:trPr>
          <w:trHeight w:val="454"/>
          <w:jc w:val="center"/>
        </w:trPr>
        <w:tc>
          <w:tcPr>
            <w:tcW w:w="1056" w:type="dxa"/>
            <w:tcBorders>
              <w:top w:val="single" w:sz="4" w:space="0" w:color="auto"/>
              <w:left w:val="single" w:sz="4" w:space="0" w:color="auto"/>
              <w:bottom w:val="single" w:sz="4" w:space="0" w:color="auto"/>
              <w:right w:val="single" w:sz="4" w:space="0" w:color="auto"/>
            </w:tcBorders>
            <w:noWrap/>
            <w:vAlign w:val="center"/>
            <w:hideMark/>
          </w:tcPr>
          <w:p w14:paraId="50B5EA8E" w14:textId="1AD0443E" w:rsidR="008B2ECD" w:rsidRPr="004D2B9A" w:rsidRDefault="000848F1" w:rsidP="00075B2F">
            <w:pPr>
              <w:pStyle w:val="tabele"/>
              <w:rPr>
                <w:b w:val="0"/>
                <w:bCs w:val="0"/>
                <w:lang w:val="en-GB"/>
              </w:rPr>
            </w:pPr>
            <w:r w:rsidRPr="004D2B9A">
              <w:rPr>
                <w:b w:val="0"/>
                <w:bCs w:val="0"/>
                <w:lang w:val="en-GB"/>
              </w:rPr>
              <w:t>Location</w:t>
            </w:r>
          </w:p>
        </w:tc>
        <w:tc>
          <w:tcPr>
            <w:tcW w:w="1361" w:type="dxa"/>
            <w:tcBorders>
              <w:top w:val="single" w:sz="4" w:space="0" w:color="auto"/>
              <w:left w:val="nil"/>
              <w:bottom w:val="single" w:sz="4" w:space="0" w:color="auto"/>
              <w:right w:val="single" w:sz="4" w:space="0" w:color="auto"/>
            </w:tcBorders>
            <w:vAlign w:val="center"/>
            <w:hideMark/>
          </w:tcPr>
          <w:p w14:paraId="6DF42CA3" w14:textId="5E21E363" w:rsidR="008B2ECD" w:rsidRPr="004D2B9A" w:rsidRDefault="000848F1" w:rsidP="00075B2F">
            <w:pPr>
              <w:pStyle w:val="tabele"/>
              <w:rPr>
                <w:b w:val="0"/>
                <w:bCs w:val="0"/>
                <w:lang w:val="en-GB"/>
              </w:rPr>
            </w:pPr>
            <w:r w:rsidRPr="004D2B9A">
              <w:rPr>
                <w:b w:val="0"/>
                <w:bCs w:val="0"/>
                <w:lang w:val="en-GB"/>
              </w:rPr>
              <w:t>Sta</w:t>
            </w:r>
            <w:r w:rsidR="000623AC" w:rsidRPr="004D2B9A">
              <w:rPr>
                <w:b w:val="0"/>
                <w:bCs w:val="0"/>
                <w:lang w:val="en-GB"/>
              </w:rPr>
              <w:t>tion</w:t>
            </w:r>
            <w:r w:rsidR="00B96CCF" w:rsidRPr="004D2B9A">
              <w:rPr>
                <w:b w:val="0"/>
                <w:bCs w:val="0"/>
                <w:lang w:val="en-GB"/>
              </w:rPr>
              <w:t xml:space="preserve"> </w:t>
            </w:r>
            <w:r w:rsidR="000623AC" w:rsidRPr="004D2B9A">
              <w:rPr>
                <w:b w:val="0"/>
                <w:bCs w:val="0"/>
                <w:lang w:val="en-GB"/>
              </w:rPr>
              <w:t>no.</w:t>
            </w:r>
          </w:p>
        </w:tc>
        <w:tc>
          <w:tcPr>
            <w:tcW w:w="1247" w:type="dxa"/>
            <w:tcBorders>
              <w:top w:val="single" w:sz="4" w:space="0" w:color="auto"/>
              <w:left w:val="nil"/>
              <w:bottom w:val="single" w:sz="4" w:space="0" w:color="auto"/>
              <w:right w:val="single" w:sz="4" w:space="0" w:color="auto"/>
            </w:tcBorders>
            <w:vAlign w:val="center"/>
            <w:hideMark/>
          </w:tcPr>
          <w:p w14:paraId="4B616E5D" w14:textId="2633C060" w:rsidR="008B2ECD" w:rsidRPr="004D2B9A" w:rsidRDefault="000623AC" w:rsidP="00075B2F">
            <w:pPr>
              <w:pStyle w:val="tabele"/>
              <w:rPr>
                <w:b w:val="0"/>
                <w:bCs w:val="0"/>
                <w:lang w:val="en-GB"/>
              </w:rPr>
            </w:pPr>
            <w:r w:rsidRPr="004D2B9A">
              <w:rPr>
                <w:b w:val="0"/>
                <w:bCs w:val="0"/>
                <w:lang w:val="en-GB"/>
              </w:rPr>
              <w:t>Latitude</w:t>
            </w:r>
          </w:p>
        </w:tc>
        <w:tc>
          <w:tcPr>
            <w:tcW w:w="1247" w:type="dxa"/>
            <w:tcBorders>
              <w:top w:val="single" w:sz="4" w:space="0" w:color="auto"/>
              <w:left w:val="nil"/>
              <w:bottom w:val="single" w:sz="4" w:space="0" w:color="auto"/>
              <w:right w:val="single" w:sz="4" w:space="0" w:color="auto"/>
            </w:tcBorders>
            <w:vAlign w:val="center"/>
            <w:hideMark/>
          </w:tcPr>
          <w:p w14:paraId="73D3B714" w14:textId="38EE071B" w:rsidR="008B2ECD" w:rsidRPr="004D2B9A" w:rsidRDefault="000623AC" w:rsidP="00075B2F">
            <w:pPr>
              <w:pStyle w:val="tabele"/>
              <w:rPr>
                <w:b w:val="0"/>
                <w:bCs w:val="0"/>
                <w:lang w:val="en-GB"/>
              </w:rPr>
            </w:pPr>
            <w:r w:rsidRPr="004D2B9A">
              <w:rPr>
                <w:b w:val="0"/>
                <w:bCs w:val="0"/>
                <w:lang w:val="en-GB"/>
              </w:rPr>
              <w:t>Longitude</w:t>
            </w:r>
          </w:p>
        </w:tc>
        <w:tc>
          <w:tcPr>
            <w:tcW w:w="1417" w:type="dxa"/>
            <w:tcBorders>
              <w:top w:val="single" w:sz="4" w:space="0" w:color="auto"/>
              <w:left w:val="nil"/>
              <w:bottom w:val="single" w:sz="4" w:space="0" w:color="auto"/>
              <w:right w:val="single" w:sz="4" w:space="0" w:color="auto"/>
            </w:tcBorders>
            <w:vAlign w:val="center"/>
            <w:hideMark/>
          </w:tcPr>
          <w:p w14:paraId="1C237D8B" w14:textId="5F1248B5" w:rsidR="008B2ECD" w:rsidRPr="004D2B9A" w:rsidRDefault="000623AC" w:rsidP="00075B2F">
            <w:pPr>
              <w:pStyle w:val="tabele"/>
              <w:rPr>
                <w:b w:val="0"/>
                <w:bCs w:val="0"/>
                <w:lang w:val="en-GB"/>
              </w:rPr>
            </w:pPr>
            <w:r w:rsidRPr="004D2B9A">
              <w:rPr>
                <w:b w:val="0"/>
                <w:bCs w:val="0"/>
                <w:lang w:val="en-GB"/>
              </w:rPr>
              <w:t>Climate</w:t>
            </w:r>
            <w:r w:rsidR="00B96CCF" w:rsidRPr="004D2B9A">
              <w:rPr>
                <w:b w:val="0"/>
                <w:bCs w:val="0"/>
                <w:lang w:val="en-GB"/>
              </w:rPr>
              <w:t xml:space="preserve"> </w:t>
            </w:r>
            <w:r w:rsidRPr="004D2B9A">
              <w:rPr>
                <w:b w:val="0"/>
                <w:bCs w:val="0"/>
                <w:lang w:val="en-GB"/>
              </w:rPr>
              <w:t>zone</w:t>
            </w:r>
          </w:p>
        </w:tc>
        <w:tc>
          <w:tcPr>
            <w:tcW w:w="1985" w:type="dxa"/>
            <w:tcBorders>
              <w:top w:val="single" w:sz="4" w:space="0" w:color="auto"/>
              <w:left w:val="nil"/>
              <w:bottom w:val="single" w:sz="4" w:space="0" w:color="auto"/>
              <w:right w:val="single" w:sz="4" w:space="0" w:color="auto"/>
            </w:tcBorders>
            <w:vAlign w:val="center"/>
            <w:hideMark/>
          </w:tcPr>
          <w:p w14:paraId="1893F9F7" w14:textId="78E424B0" w:rsidR="008B2ECD" w:rsidRPr="004D2B9A" w:rsidRDefault="000623AC" w:rsidP="00075B2F">
            <w:pPr>
              <w:pStyle w:val="tabele"/>
              <w:rPr>
                <w:b w:val="0"/>
                <w:bCs w:val="0"/>
                <w:lang w:val="en-GB"/>
              </w:rPr>
            </w:pPr>
            <w:r w:rsidRPr="004D2B9A">
              <w:rPr>
                <w:b w:val="0"/>
                <w:bCs w:val="0"/>
                <w:lang w:val="en-GB"/>
              </w:rPr>
              <w:t>Design</w:t>
            </w:r>
            <w:r w:rsidR="00B96CCF" w:rsidRPr="004D2B9A">
              <w:rPr>
                <w:b w:val="0"/>
                <w:bCs w:val="0"/>
                <w:lang w:val="en-GB"/>
              </w:rPr>
              <w:t xml:space="preserve"> </w:t>
            </w:r>
            <w:r w:rsidRPr="004D2B9A">
              <w:rPr>
                <w:b w:val="0"/>
                <w:bCs w:val="0"/>
                <w:lang w:val="en-GB"/>
              </w:rPr>
              <w:t>temperature</w:t>
            </w:r>
          </w:p>
        </w:tc>
      </w:tr>
      <w:tr w:rsidR="008B2ECD" w:rsidRPr="004D2B9A" w14:paraId="57EA63AB" w14:textId="77777777" w:rsidTr="00FC1BBF">
        <w:trPr>
          <w:trHeight w:val="283"/>
          <w:jc w:val="center"/>
        </w:trPr>
        <w:tc>
          <w:tcPr>
            <w:tcW w:w="1056" w:type="dxa"/>
            <w:tcBorders>
              <w:top w:val="nil"/>
              <w:left w:val="single" w:sz="4" w:space="0" w:color="auto"/>
              <w:bottom w:val="single" w:sz="4" w:space="0" w:color="auto"/>
              <w:right w:val="single" w:sz="4" w:space="0" w:color="auto"/>
            </w:tcBorders>
            <w:noWrap/>
            <w:vAlign w:val="center"/>
            <w:hideMark/>
          </w:tcPr>
          <w:p w14:paraId="32AD3842" w14:textId="77777777" w:rsidR="008B2ECD" w:rsidRPr="004D2B9A" w:rsidRDefault="008B2ECD" w:rsidP="00075B2F">
            <w:pPr>
              <w:pStyle w:val="tabele"/>
              <w:rPr>
                <w:b w:val="0"/>
                <w:bCs w:val="0"/>
                <w:lang w:val="en-GB"/>
              </w:rPr>
            </w:pPr>
            <w:proofErr w:type="spellStart"/>
            <w:r w:rsidRPr="004D2B9A">
              <w:rPr>
                <w:b w:val="0"/>
                <w:bCs w:val="0"/>
                <w:lang w:val="en-GB"/>
              </w:rPr>
              <w:t>Koszalin</w:t>
            </w:r>
            <w:proofErr w:type="spellEnd"/>
          </w:p>
        </w:tc>
        <w:tc>
          <w:tcPr>
            <w:tcW w:w="1361" w:type="dxa"/>
            <w:tcBorders>
              <w:top w:val="nil"/>
              <w:left w:val="nil"/>
              <w:bottom w:val="single" w:sz="4" w:space="0" w:color="auto"/>
              <w:right w:val="single" w:sz="4" w:space="0" w:color="auto"/>
            </w:tcBorders>
            <w:noWrap/>
            <w:vAlign w:val="center"/>
            <w:hideMark/>
          </w:tcPr>
          <w:p w14:paraId="3A5410DF" w14:textId="74EADD08" w:rsidR="008B2ECD" w:rsidRPr="004D2B9A" w:rsidRDefault="008B2ECD" w:rsidP="00075B2F">
            <w:pPr>
              <w:pStyle w:val="tabele"/>
              <w:rPr>
                <w:b w:val="0"/>
                <w:bCs w:val="0"/>
                <w:lang w:val="en-GB"/>
              </w:rPr>
            </w:pPr>
            <w:r w:rsidRPr="004D2B9A">
              <w:rPr>
                <w:b w:val="0"/>
                <w:bCs w:val="0"/>
                <w:lang w:val="en-GB"/>
              </w:rPr>
              <w:t>12</w:t>
            </w:r>
            <w:r w:rsidR="00B96CCF" w:rsidRPr="004D2B9A">
              <w:rPr>
                <w:b w:val="0"/>
                <w:bCs w:val="0"/>
                <w:lang w:val="en-GB"/>
              </w:rPr>
              <w:t xml:space="preserve"> </w:t>
            </w:r>
            <w:r w:rsidRPr="004D2B9A">
              <w:rPr>
                <w:b w:val="0"/>
                <w:bCs w:val="0"/>
                <w:lang w:val="en-GB"/>
              </w:rPr>
              <w:t>105</w:t>
            </w:r>
            <w:r w:rsidR="00B96CCF" w:rsidRPr="004D2B9A">
              <w:rPr>
                <w:b w:val="0"/>
                <w:bCs w:val="0"/>
                <w:lang w:val="en-GB"/>
              </w:rPr>
              <w:t xml:space="preserve"> </w:t>
            </w:r>
            <w:r w:rsidRPr="004D2B9A">
              <w:rPr>
                <w:b w:val="0"/>
                <w:bCs w:val="0"/>
                <w:lang w:val="en-GB"/>
              </w:rPr>
              <w:t>0</w:t>
            </w:r>
          </w:p>
        </w:tc>
        <w:tc>
          <w:tcPr>
            <w:tcW w:w="1247" w:type="dxa"/>
            <w:tcBorders>
              <w:top w:val="nil"/>
              <w:left w:val="nil"/>
              <w:bottom w:val="single" w:sz="4" w:space="0" w:color="auto"/>
              <w:right w:val="single" w:sz="4" w:space="0" w:color="auto"/>
            </w:tcBorders>
            <w:noWrap/>
            <w:vAlign w:val="center"/>
            <w:hideMark/>
          </w:tcPr>
          <w:p w14:paraId="46180D22" w14:textId="64132AF0" w:rsidR="008B2ECD" w:rsidRPr="004D2B9A" w:rsidRDefault="008B2ECD" w:rsidP="00075B2F">
            <w:pPr>
              <w:pStyle w:val="tabele"/>
              <w:rPr>
                <w:b w:val="0"/>
                <w:bCs w:val="0"/>
                <w:lang w:val="en-GB"/>
              </w:rPr>
            </w:pPr>
            <w:r w:rsidRPr="004D2B9A">
              <w:rPr>
                <w:b w:val="0"/>
                <w:bCs w:val="0"/>
                <w:lang w:val="en-GB"/>
              </w:rPr>
              <w:t>54°</w:t>
            </w:r>
            <w:r w:rsidR="00B96CCF" w:rsidRPr="004D2B9A">
              <w:rPr>
                <w:b w:val="0"/>
                <w:bCs w:val="0"/>
                <w:lang w:val="en-GB"/>
              </w:rPr>
              <w:t xml:space="preserve"> </w:t>
            </w:r>
            <w:r w:rsidRPr="004D2B9A">
              <w:rPr>
                <w:b w:val="0"/>
                <w:bCs w:val="0"/>
                <w:lang w:val="en-GB"/>
              </w:rPr>
              <w:t>12’</w:t>
            </w:r>
            <w:r w:rsidR="00B96CCF" w:rsidRPr="004D2B9A">
              <w:rPr>
                <w:b w:val="0"/>
                <w:bCs w:val="0"/>
                <w:lang w:val="en-GB"/>
              </w:rPr>
              <w:t xml:space="preserve"> </w:t>
            </w:r>
            <w:r w:rsidRPr="004D2B9A">
              <w:rPr>
                <w:b w:val="0"/>
                <w:bCs w:val="0"/>
                <w:lang w:val="en-GB"/>
              </w:rPr>
              <w:t>N</w:t>
            </w:r>
          </w:p>
        </w:tc>
        <w:tc>
          <w:tcPr>
            <w:tcW w:w="1247" w:type="dxa"/>
            <w:tcBorders>
              <w:top w:val="nil"/>
              <w:left w:val="nil"/>
              <w:bottom w:val="single" w:sz="4" w:space="0" w:color="auto"/>
              <w:right w:val="single" w:sz="4" w:space="0" w:color="auto"/>
            </w:tcBorders>
            <w:noWrap/>
            <w:vAlign w:val="center"/>
            <w:hideMark/>
          </w:tcPr>
          <w:p w14:paraId="23BCAE31" w14:textId="291997AE" w:rsidR="008B2ECD" w:rsidRPr="004D2B9A" w:rsidRDefault="008B2ECD" w:rsidP="00075B2F">
            <w:pPr>
              <w:pStyle w:val="tabele"/>
              <w:rPr>
                <w:b w:val="0"/>
                <w:bCs w:val="0"/>
                <w:lang w:val="en-GB"/>
              </w:rPr>
            </w:pPr>
            <w:r w:rsidRPr="004D2B9A">
              <w:rPr>
                <w:b w:val="0"/>
                <w:bCs w:val="0"/>
                <w:lang w:val="en-GB"/>
              </w:rPr>
              <w:t>16°</w:t>
            </w:r>
            <w:r w:rsidR="00B96CCF" w:rsidRPr="004D2B9A">
              <w:rPr>
                <w:b w:val="0"/>
                <w:bCs w:val="0"/>
                <w:lang w:val="en-GB"/>
              </w:rPr>
              <w:t xml:space="preserve"> </w:t>
            </w:r>
            <w:r w:rsidRPr="004D2B9A">
              <w:rPr>
                <w:b w:val="0"/>
                <w:bCs w:val="0"/>
                <w:lang w:val="en-GB"/>
              </w:rPr>
              <w:t>09’</w:t>
            </w:r>
            <w:r w:rsidR="00B96CCF" w:rsidRPr="004D2B9A">
              <w:rPr>
                <w:b w:val="0"/>
                <w:bCs w:val="0"/>
                <w:lang w:val="en-GB"/>
              </w:rPr>
              <w:t xml:space="preserve"> </w:t>
            </w:r>
            <w:r w:rsidRPr="004D2B9A">
              <w:rPr>
                <w:b w:val="0"/>
                <w:bCs w:val="0"/>
                <w:lang w:val="en-GB"/>
              </w:rPr>
              <w:t>E</w:t>
            </w:r>
          </w:p>
        </w:tc>
        <w:tc>
          <w:tcPr>
            <w:tcW w:w="1417" w:type="dxa"/>
            <w:tcBorders>
              <w:top w:val="nil"/>
              <w:left w:val="nil"/>
              <w:bottom w:val="single" w:sz="4" w:space="0" w:color="auto"/>
              <w:right w:val="single" w:sz="4" w:space="0" w:color="auto"/>
            </w:tcBorders>
            <w:noWrap/>
            <w:vAlign w:val="center"/>
            <w:hideMark/>
          </w:tcPr>
          <w:p w14:paraId="1873434D" w14:textId="77777777" w:rsidR="008B2ECD" w:rsidRPr="004D2B9A" w:rsidRDefault="008B2ECD" w:rsidP="00075B2F">
            <w:pPr>
              <w:pStyle w:val="tabele"/>
              <w:rPr>
                <w:b w:val="0"/>
                <w:bCs w:val="0"/>
                <w:lang w:val="en-GB"/>
              </w:rPr>
            </w:pPr>
            <w:r w:rsidRPr="004D2B9A">
              <w:rPr>
                <w:b w:val="0"/>
                <w:bCs w:val="0"/>
                <w:lang w:val="en-GB"/>
              </w:rPr>
              <w:t>I</w:t>
            </w:r>
          </w:p>
        </w:tc>
        <w:tc>
          <w:tcPr>
            <w:tcW w:w="1985" w:type="dxa"/>
            <w:tcBorders>
              <w:top w:val="nil"/>
              <w:left w:val="nil"/>
              <w:bottom w:val="single" w:sz="4" w:space="0" w:color="auto"/>
              <w:right w:val="single" w:sz="4" w:space="0" w:color="auto"/>
            </w:tcBorders>
            <w:noWrap/>
            <w:vAlign w:val="center"/>
            <w:hideMark/>
          </w:tcPr>
          <w:p w14:paraId="18E9AEFA" w14:textId="77777777" w:rsidR="008B2ECD" w:rsidRPr="004D2B9A" w:rsidRDefault="008B2ECD" w:rsidP="00075B2F">
            <w:pPr>
              <w:pStyle w:val="tabele"/>
              <w:rPr>
                <w:b w:val="0"/>
                <w:bCs w:val="0"/>
                <w:lang w:val="en-GB"/>
              </w:rPr>
            </w:pPr>
            <w:r w:rsidRPr="004D2B9A">
              <w:rPr>
                <w:b w:val="0"/>
                <w:bCs w:val="0"/>
                <w:lang w:val="en-GB"/>
              </w:rPr>
              <w:t>-16°C</w:t>
            </w:r>
          </w:p>
        </w:tc>
      </w:tr>
      <w:tr w:rsidR="008B2ECD" w:rsidRPr="004D2B9A" w14:paraId="67A2ED2E" w14:textId="77777777" w:rsidTr="00FC1BBF">
        <w:trPr>
          <w:trHeight w:val="283"/>
          <w:jc w:val="center"/>
        </w:trPr>
        <w:tc>
          <w:tcPr>
            <w:tcW w:w="1056" w:type="dxa"/>
            <w:tcBorders>
              <w:top w:val="nil"/>
              <w:left w:val="single" w:sz="4" w:space="0" w:color="auto"/>
              <w:bottom w:val="single" w:sz="4" w:space="0" w:color="auto"/>
              <w:right w:val="single" w:sz="4" w:space="0" w:color="auto"/>
            </w:tcBorders>
            <w:noWrap/>
            <w:vAlign w:val="center"/>
            <w:hideMark/>
          </w:tcPr>
          <w:p w14:paraId="55FE6F76" w14:textId="77777777" w:rsidR="008B2ECD" w:rsidRPr="004D2B9A" w:rsidRDefault="008B2ECD" w:rsidP="00075B2F">
            <w:pPr>
              <w:pStyle w:val="tabele"/>
              <w:rPr>
                <w:b w:val="0"/>
                <w:bCs w:val="0"/>
                <w:lang w:val="en-GB"/>
              </w:rPr>
            </w:pPr>
            <w:proofErr w:type="spellStart"/>
            <w:r w:rsidRPr="004D2B9A">
              <w:rPr>
                <w:b w:val="0"/>
                <w:bCs w:val="0"/>
                <w:lang w:val="en-GB"/>
              </w:rPr>
              <w:t>Wrocław</w:t>
            </w:r>
            <w:proofErr w:type="spellEnd"/>
          </w:p>
        </w:tc>
        <w:tc>
          <w:tcPr>
            <w:tcW w:w="1361" w:type="dxa"/>
            <w:tcBorders>
              <w:top w:val="nil"/>
              <w:left w:val="nil"/>
              <w:bottom w:val="single" w:sz="4" w:space="0" w:color="auto"/>
              <w:right w:val="single" w:sz="4" w:space="0" w:color="auto"/>
            </w:tcBorders>
            <w:noWrap/>
            <w:vAlign w:val="center"/>
            <w:hideMark/>
          </w:tcPr>
          <w:p w14:paraId="1D06E1A1" w14:textId="2E418FD6" w:rsidR="008B2ECD" w:rsidRPr="004D2B9A" w:rsidRDefault="008B2ECD" w:rsidP="00075B2F">
            <w:pPr>
              <w:pStyle w:val="tabele"/>
              <w:rPr>
                <w:b w:val="0"/>
                <w:bCs w:val="0"/>
                <w:lang w:val="en-GB"/>
              </w:rPr>
            </w:pPr>
            <w:r w:rsidRPr="004D2B9A">
              <w:rPr>
                <w:b w:val="0"/>
                <w:bCs w:val="0"/>
                <w:lang w:val="en-GB"/>
              </w:rPr>
              <w:t>12</w:t>
            </w:r>
            <w:r w:rsidR="00B96CCF" w:rsidRPr="004D2B9A">
              <w:rPr>
                <w:b w:val="0"/>
                <w:bCs w:val="0"/>
                <w:lang w:val="en-GB"/>
              </w:rPr>
              <w:t xml:space="preserve"> </w:t>
            </w:r>
            <w:r w:rsidRPr="004D2B9A">
              <w:rPr>
                <w:b w:val="0"/>
                <w:bCs w:val="0"/>
                <w:lang w:val="en-GB"/>
              </w:rPr>
              <w:t>424</w:t>
            </w:r>
            <w:r w:rsidR="00B96CCF" w:rsidRPr="004D2B9A">
              <w:rPr>
                <w:b w:val="0"/>
                <w:bCs w:val="0"/>
                <w:lang w:val="en-GB"/>
              </w:rPr>
              <w:t xml:space="preserve"> </w:t>
            </w:r>
            <w:r w:rsidRPr="004D2B9A">
              <w:rPr>
                <w:b w:val="0"/>
                <w:bCs w:val="0"/>
                <w:lang w:val="en-GB"/>
              </w:rPr>
              <w:t>0</w:t>
            </w:r>
          </w:p>
        </w:tc>
        <w:tc>
          <w:tcPr>
            <w:tcW w:w="1247" w:type="dxa"/>
            <w:tcBorders>
              <w:top w:val="nil"/>
              <w:left w:val="nil"/>
              <w:bottom w:val="single" w:sz="4" w:space="0" w:color="auto"/>
              <w:right w:val="single" w:sz="4" w:space="0" w:color="auto"/>
            </w:tcBorders>
            <w:noWrap/>
            <w:vAlign w:val="center"/>
            <w:hideMark/>
          </w:tcPr>
          <w:p w14:paraId="2C0A9636" w14:textId="5828A83C" w:rsidR="008B2ECD" w:rsidRPr="004D2B9A" w:rsidRDefault="008B2ECD" w:rsidP="00075B2F">
            <w:pPr>
              <w:pStyle w:val="tabele"/>
              <w:rPr>
                <w:b w:val="0"/>
                <w:bCs w:val="0"/>
                <w:lang w:val="en-GB"/>
              </w:rPr>
            </w:pPr>
            <w:r w:rsidRPr="004D2B9A">
              <w:rPr>
                <w:b w:val="0"/>
                <w:bCs w:val="0"/>
                <w:lang w:val="en-GB"/>
              </w:rPr>
              <w:t>51°</w:t>
            </w:r>
            <w:r w:rsidR="00B96CCF" w:rsidRPr="004D2B9A">
              <w:rPr>
                <w:b w:val="0"/>
                <w:bCs w:val="0"/>
                <w:lang w:val="en-GB"/>
              </w:rPr>
              <w:t xml:space="preserve"> </w:t>
            </w:r>
            <w:r w:rsidRPr="004D2B9A">
              <w:rPr>
                <w:b w:val="0"/>
                <w:bCs w:val="0"/>
                <w:lang w:val="en-GB"/>
              </w:rPr>
              <w:t>06’</w:t>
            </w:r>
            <w:r w:rsidR="00B96CCF" w:rsidRPr="004D2B9A">
              <w:rPr>
                <w:b w:val="0"/>
                <w:bCs w:val="0"/>
                <w:lang w:val="en-GB"/>
              </w:rPr>
              <w:t xml:space="preserve"> </w:t>
            </w:r>
            <w:r w:rsidRPr="004D2B9A">
              <w:rPr>
                <w:b w:val="0"/>
                <w:bCs w:val="0"/>
                <w:lang w:val="en-GB"/>
              </w:rPr>
              <w:t>N</w:t>
            </w:r>
          </w:p>
        </w:tc>
        <w:tc>
          <w:tcPr>
            <w:tcW w:w="1247" w:type="dxa"/>
            <w:tcBorders>
              <w:top w:val="nil"/>
              <w:left w:val="nil"/>
              <w:bottom w:val="single" w:sz="4" w:space="0" w:color="auto"/>
              <w:right w:val="single" w:sz="4" w:space="0" w:color="auto"/>
            </w:tcBorders>
            <w:noWrap/>
            <w:vAlign w:val="center"/>
            <w:hideMark/>
          </w:tcPr>
          <w:p w14:paraId="2D315C5A" w14:textId="6595DE51" w:rsidR="008B2ECD" w:rsidRPr="004D2B9A" w:rsidRDefault="008B2ECD" w:rsidP="00075B2F">
            <w:pPr>
              <w:pStyle w:val="tabele"/>
              <w:rPr>
                <w:b w:val="0"/>
                <w:bCs w:val="0"/>
                <w:lang w:val="en-GB"/>
              </w:rPr>
            </w:pPr>
            <w:r w:rsidRPr="004D2B9A">
              <w:rPr>
                <w:b w:val="0"/>
                <w:bCs w:val="0"/>
                <w:lang w:val="en-GB"/>
              </w:rPr>
              <w:t>16°</w:t>
            </w:r>
            <w:r w:rsidR="00B96CCF" w:rsidRPr="004D2B9A">
              <w:rPr>
                <w:b w:val="0"/>
                <w:bCs w:val="0"/>
                <w:lang w:val="en-GB"/>
              </w:rPr>
              <w:t xml:space="preserve"> </w:t>
            </w:r>
            <w:r w:rsidRPr="004D2B9A">
              <w:rPr>
                <w:b w:val="0"/>
                <w:bCs w:val="0"/>
                <w:lang w:val="en-GB"/>
              </w:rPr>
              <w:t>53’</w:t>
            </w:r>
            <w:r w:rsidR="00B96CCF" w:rsidRPr="004D2B9A">
              <w:rPr>
                <w:b w:val="0"/>
                <w:bCs w:val="0"/>
                <w:lang w:val="en-GB"/>
              </w:rPr>
              <w:t xml:space="preserve"> </w:t>
            </w:r>
            <w:r w:rsidRPr="004D2B9A">
              <w:rPr>
                <w:b w:val="0"/>
                <w:bCs w:val="0"/>
                <w:lang w:val="en-GB"/>
              </w:rPr>
              <w:t>E</w:t>
            </w:r>
          </w:p>
        </w:tc>
        <w:tc>
          <w:tcPr>
            <w:tcW w:w="1417" w:type="dxa"/>
            <w:tcBorders>
              <w:top w:val="nil"/>
              <w:left w:val="nil"/>
              <w:bottom w:val="single" w:sz="4" w:space="0" w:color="auto"/>
              <w:right w:val="single" w:sz="4" w:space="0" w:color="auto"/>
            </w:tcBorders>
            <w:noWrap/>
            <w:vAlign w:val="center"/>
            <w:hideMark/>
          </w:tcPr>
          <w:p w14:paraId="59B0AE27" w14:textId="77777777" w:rsidR="008B2ECD" w:rsidRPr="004D2B9A" w:rsidRDefault="008B2ECD" w:rsidP="00075B2F">
            <w:pPr>
              <w:pStyle w:val="tabele"/>
              <w:rPr>
                <w:b w:val="0"/>
                <w:bCs w:val="0"/>
                <w:lang w:val="en-GB"/>
              </w:rPr>
            </w:pPr>
            <w:r w:rsidRPr="004D2B9A">
              <w:rPr>
                <w:b w:val="0"/>
                <w:bCs w:val="0"/>
                <w:lang w:val="en-GB"/>
              </w:rPr>
              <w:t>II</w:t>
            </w:r>
          </w:p>
        </w:tc>
        <w:tc>
          <w:tcPr>
            <w:tcW w:w="1985" w:type="dxa"/>
            <w:tcBorders>
              <w:top w:val="nil"/>
              <w:left w:val="nil"/>
              <w:bottom w:val="single" w:sz="4" w:space="0" w:color="auto"/>
              <w:right w:val="single" w:sz="4" w:space="0" w:color="auto"/>
            </w:tcBorders>
            <w:noWrap/>
            <w:vAlign w:val="center"/>
            <w:hideMark/>
          </w:tcPr>
          <w:p w14:paraId="6A15F69E" w14:textId="77777777" w:rsidR="008B2ECD" w:rsidRPr="004D2B9A" w:rsidRDefault="008B2ECD" w:rsidP="00075B2F">
            <w:pPr>
              <w:pStyle w:val="tabele"/>
              <w:rPr>
                <w:b w:val="0"/>
                <w:bCs w:val="0"/>
                <w:lang w:val="en-GB"/>
              </w:rPr>
            </w:pPr>
            <w:r w:rsidRPr="004D2B9A">
              <w:rPr>
                <w:b w:val="0"/>
                <w:bCs w:val="0"/>
                <w:lang w:val="en-GB"/>
              </w:rPr>
              <w:t>-18°C</w:t>
            </w:r>
          </w:p>
        </w:tc>
      </w:tr>
      <w:tr w:rsidR="008B2ECD" w:rsidRPr="004D2B9A" w14:paraId="1DA956A2" w14:textId="77777777" w:rsidTr="00FC1BBF">
        <w:trPr>
          <w:trHeight w:val="283"/>
          <w:jc w:val="center"/>
        </w:trPr>
        <w:tc>
          <w:tcPr>
            <w:tcW w:w="1056" w:type="dxa"/>
            <w:tcBorders>
              <w:top w:val="nil"/>
              <w:left w:val="single" w:sz="4" w:space="0" w:color="auto"/>
              <w:bottom w:val="single" w:sz="4" w:space="0" w:color="auto"/>
              <w:right w:val="single" w:sz="4" w:space="0" w:color="auto"/>
            </w:tcBorders>
            <w:noWrap/>
            <w:vAlign w:val="center"/>
            <w:hideMark/>
          </w:tcPr>
          <w:p w14:paraId="7071D91F" w14:textId="77777777" w:rsidR="008B2ECD" w:rsidRPr="004D2B9A" w:rsidRDefault="008B2ECD" w:rsidP="00075B2F">
            <w:pPr>
              <w:pStyle w:val="tabele"/>
              <w:rPr>
                <w:b w:val="0"/>
                <w:bCs w:val="0"/>
                <w:lang w:val="en-GB"/>
              </w:rPr>
            </w:pPr>
            <w:r w:rsidRPr="004D2B9A">
              <w:rPr>
                <w:b w:val="0"/>
                <w:bCs w:val="0"/>
                <w:lang w:val="en-GB"/>
              </w:rPr>
              <w:t>Warszawa</w:t>
            </w:r>
          </w:p>
        </w:tc>
        <w:tc>
          <w:tcPr>
            <w:tcW w:w="1361" w:type="dxa"/>
            <w:tcBorders>
              <w:top w:val="nil"/>
              <w:left w:val="nil"/>
              <w:bottom w:val="single" w:sz="4" w:space="0" w:color="auto"/>
              <w:right w:val="single" w:sz="4" w:space="0" w:color="auto"/>
            </w:tcBorders>
            <w:noWrap/>
            <w:vAlign w:val="center"/>
            <w:hideMark/>
          </w:tcPr>
          <w:p w14:paraId="5AA36B2D" w14:textId="3E36FA29" w:rsidR="008B2ECD" w:rsidRPr="004D2B9A" w:rsidRDefault="008B2ECD" w:rsidP="00075B2F">
            <w:pPr>
              <w:pStyle w:val="tabele"/>
              <w:rPr>
                <w:b w:val="0"/>
                <w:bCs w:val="0"/>
                <w:lang w:val="en-GB"/>
              </w:rPr>
            </w:pPr>
            <w:r w:rsidRPr="004D2B9A">
              <w:rPr>
                <w:b w:val="0"/>
                <w:bCs w:val="0"/>
                <w:lang w:val="en-GB"/>
              </w:rPr>
              <w:t>12</w:t>
            </w:r>
            <w:r w:rsidR="00B96CCF" w:rsidRPr="004D2B9A">
              <w:rPr>
                <w:b w:val="0"/>
                <w:bCs w:val="0"/>
                <w:lang w:val="en-GB"/>
              </w:rPr>
              <w:t xml:space="preserve"> </w:t>
            </w:r>
            <w:r w:rsidRPr="004D2B9A">
              <w:rPr>
                <w:b w:val="0"/>
                <w:bCs w:val="0"/>
                <w:lang w:val="en-GB"/>
              </w:rPr>
              <w:t>375</w:t>
            </w:r>
            <w:r w:rsidR="00B96CCF" w:rsidRPr="004D2B9A">
              <w:rPr>
                <w:b w:val="0"/>
                <w:bCs w:val="0"/>
                <w:lang w:val="en-GB"/>
              </w:rPr>
              <w:t xml:space="preserve"> </w:t>
            </w:r>
            <w:r w:rsidRPr="004D2B9A">
              <w:rPr>
                <w:b w:val="0"/>
                <w:bCs w:val="0"/>
                <w:lang w:val="en-GB"/>
              </w:rPr>
              <w:t>0</w:t>
            </w:r>
          </w:p>
        </w:tc>
        <w:tc>
          <w:tcPr>
            <w:tcW w:w="1247" w:type="dxa"/>
            <w:tcBorders>
              <w:top w:val="nil"/>
              <w:left w:val="nil"/>
              <w:bottom w:val="single" w:sz="4" w:space="0" w:color="auto"/>
              <w:right w:val="single" w:sz="4" w:space="0" w:color="auto"/>
            </w:tcBorders>
            <w:noWrap/>
            <w:vAlign w:val="center"/>
            <w:hideMark/>
          </w:tcPr>
          <w:p w14:paraId="4A53935C" w14:textId="2DAB9074" w:rsidR="008B2ECD" w:rsidRPr="004D2B9A" w:rsidRDefault="008B2ECD" w:rsidP="00075B2F">
            <w:pPr>
              <w:pStyle w:val="tabele"/>
              <w:rPr>
                <w:b w:val="0"/>
                <w:bCs w:val="0"/>
                <w:lang w:val="en-GB"/>
              </w:rPr>
            </w:pPr>
            <w:r w:rsidRPr="004D2B9A">
              <w:rPr>
                <w:b w:val="0"/>
                <w:bCs w:val="0"/>
                <w:lang w:val="en-GB"/>
              </w:rPr>
              <w:t>52°</w:t>
            </w:r>
            <w:r w:rsidR="00B96CCF" w:rsidRPr="004D2B9A">
              <w:rPr>
                <w:b w:val="0"/>
                <w:bCs w:val="0"/>
                <w:lang w:val="en-GB"/>
              </w:rPr>
              <w:t xml:space="preserve"> </w:t>
            </w:r>
            <w:r w:rsidRPr="004D2B9A">
              <w:rPr>
                <w:b w:val="0"/>
                <w:bCs w:val="0"/>
                <w:lang w:val="en-GB"/>
              </w:rPr>
              <w:t>10’</w:t>
            </w:r>
            <w:r w:rsidR="00B96CCF" w:rsidRPr="004D2B9A">
              <w:rPr>
                <w:b w:val="0"/>
                <w:bCs w:val="0"/>
                <w:lang w:val="en-GB"/>
              </w:rPr>
              <w:t xml:space="preserve"> </w:t>
            </w:r>
            <w:r w:rsidRPr="004D2B9A">
              <w:rPr>
                <w:b w:val="0"/>
                <w:bCs w:val="0"/>
                <w:lang w:val="en-GB"/>
              </w:rPr>
              <w:t>N</w:t>
            </w:r>
          </w:p>
        </w:tc>
        <w:tc>
          <w:tcPr>
            <w:tcW w:w="1247" w:type="dxa"/>
            <w:tcBorders>
              <w:top w:val="nil"/>
              <w:left w:val="nil"/>
              <w:bottom w:val="single" w:sz="4" w:space="0" w:color="auto"/>
              <w:right w:val="single" w:sz="4" w:space="0" w:color="auto"/>
            </w:tcBorders>
            <w:noWrap/>
            <w:vAlign w:val="center"/>
            <w:hideMark/>
          </w:tcPr>
          <w:p w14:paraId="03490D7D" w14:textId="454FA484" w:rsidR="008B2ECD" w:rsidRPr="004D2B9A" w:rsidRDefault="008B2ECD" w:rsidP="00075B2F">
            <w:pPr>
              <w:pStyle w:val="tabele"/>
              <w:rPr>
                <w:b w:val="0"/>
                <w:bCs w:val="0"/>
                <w:lang w:val="en-GB"/>
              </w:rPr>
            </w:pPr>
            <w:r w:rsidRPr="004D2B9A">
              <w:rPr>
                <w:b w:val="0"/>
                <w:bCs w:val="0"/>
                <w:lang w:val="en-GB"/>
              </w:rPr>
              <w:t>20°</w:t>
            </w:r>
            <w:r w:rsidR="00B96CCF" w:rsidRPr="004D2B9A">
              <w:rPr>
                <w:b w:val="0"/>
                <w:bCs w:val="0"/>
                <w:lang w:val="en-GB"/>
              </w:rPr>
              <w:t xml:space="preserve"> </w:t>
            </w:r>
            <w:r w:rsidRPr="004D2B9A">
              <w:rPr>
                <w:b w:val="0"/>
                <w:bCs w:val="0"/>
                <w:lang w:val="en-GB"/>
              </w:rPr>
              <w:t>58’</w:t>
            </w:r>
            <w:r w:rsidR="00B96CCF" w:rsidRPr="004D2B9A">
              <w:rPr>
                <w:b w:val="0"/>
                <w:bCs w:val="0"/>
                <w:lang w:val="en-GB"/>
              </w:rPr>
              <w:t xml:space="preserve"> </w:t>
            </w:r>
            <w:r w:rsidRPr="004D2B9A">
              <w:rPr>
                <w:b w:val="0"/>
                <w:bCs w:val="0"/>
                <w:lang w:val="en-GB"/>
              </w:rPr>
              <w:t>E</w:t>
            </w:r>
          </w:p>
        </w:tc>
        <w:tc>
          <w:tcPr>
            <w:tcW w:w="1417" w:type="dxa"/>
            <w:tcBorders>
              <w:top w:val="nil"/>
              <w:left w:val="nil"/>
              <w:bottom w:val="single" w:sz="4" w:space="0" w:color="auto"/>
              <w:right w:val="single" w:sz="4" w:space="0" w:color="auto"/>
            </w:tcBorders>
            <w:noWrap/>
            <w:vAlign w:val="center"/>
            <w:hideMark/>
          </w:tcPr>
          <w:p w14:paraId="24971874" w14:textId="77777777" w:rsidR="008B2ECD" w:rsidRPr="004D2B9A" w:rsidRDefault="008B2ECD" w:rsidP="00075B2F">
            <w:pPr>
              <w:pStyle w:val="tabele"/>
              <w:rPr>
                <w:b w:val="0"/>
                <w:bCs w:val="0"/>
                <w:lang w:val="en-GB"/>
              </w:rPr>
            </w:pPr>
            <w:r w:rsidRPr="004D2B9A">
              <w:rPr>
                <w:b w:val="0"/>
                <w:bCs w:val="0"/>
                <w:lang w:val="en-GB"/>
              </w:rPr>
              <w:t>III</w:t>
            </w:r>
          </w:p>
        </w:tc>
        <w:tc>
          <w:tcPr>
            <w:tcW w:w="1985" w:type="dxa"/>
            <w:tcBorders>
              <w:top w:val="nil"/>
              <w:left w:val="nil"/>
              <w:bottom w:val="single" w:sz="4" w:space="0" w:color="auto"/>
              <w:right w:val="single" w:sz="4" w:space="0" w:color="auto"/>
            </w:tcBorders>
            <w:noWrap/>
            <w:vAlign w:val="center"/>
            <w:hideMark/>
          </w:tcPr>
          <w:p w14:paraId="5391DBC7" w14:textId="77777777" w:rsidR="008B2ECD" w:rsidRPr="004D2B9A" w:rsidRDefault="008B2ECD" w:rsidP="00075B2F">
            <w:pPr>
              <w:pStyle w:val="tabele"/>
              <w:rPr>
                <w:b w:val="0"/>
                <w:bCs w:val="0"/>
                <w:lang w:val="en-GB"/>
              </w:rPr>
            </w:pPr>
            <w:r w:rsidRPr="004D2B9A">
              <w:rPr>
                <w:b w:val="0"/>
                <w:bCs w:val="0"/>
                <w:lang w:val="en-GB"/>
              </w:rPr>
              <w:t>-20°C</w:t>
            </w:r>
          </w:p>
        </w:tc>
      </w:tr>
      <w:tr w:rsidR="008B2ECD" w:rsidRPr="004D2B9A" w14:paraId="23D6BC2E" w14:textId="77777777" w:rsidTr="00FC1BBF">
        <w:trPr>
          <w:trHeight w:val="283"/>
          <w:jc w:val="center"/>
        </w:trPr>
        <w:tc>
          <w:tcPr>
            <w:tcW w:w="1056" w:type="dxa"/>
            <w:tcBorders>
              <w:top w:val="nil"/>
              <w:left w:val="single" w:sz="4" w:space="0" w:color="auto"/>
              <w:bottom w:val="single" w:sz="4" w:space="0" w:color="auto"/>
              <w:right w:val="single" w:sz="4" w:space="0" w:color="auto"/>
            </w:tcBorders>
            <w:noWrap/>
            <w:vAlign w:val="center"/>
            <w:hideMark/>
          </w:tcPr>
          <w:p w14:paraId="046D4991" w14:textId="77777777" w:rsidR="008B2ECD" w:rsidRPr="004D2B9A" w:rsidRDefault="008B2ECD" w:rsidP="00075B2F">
            <w:pPr>
              <w:pStyle w:val="tabele"/>
              <w:rPr>
                <w:b w:val="0"/>
                <w:bCs w:val="0"/>
                <w:lang w:val="en-GB"/>
              </w:rPr>
            </w:pPr>
            <w:proofErr w:type="spellStart"/>
            <w:r w:rsidRPr="004D2B9A">
              <w:rPr>
                <w:b w:val="0"/>
                <w:bCs w:val="0"/>
                <w:lang w:val="en-GB"/>
              </w:rPr>
              <w:t>Białystok</w:t>
            </w:r>
            <w:proofErr w:type="spellEnd"/>
          </w:p>
        </w:tc>
        <w:tc>
          <w:tcPr>
            <w:tcW w:w="1361" w:type="dxa"/>
            <w:tcBorders>
              <w:top w:val="nil"/>
              <w:left w:val="nil"/>
              <w:bottom w:val="single" w:sz="4" w:space="0" w:color="auto"/>
              <w:right w:val="single" w:sz="4" w:space="0" w:color="auto"/>
            </w:tcBorders>
            <w:noWrap/>
            <w:vAlign w:val="center"/>
            <w:hideMark/>
          </w:tcPr>
          <w:p w14:paraId="6FABE271" w14:textId="79D7EA4B" w:rsidR="008B2ECD" w:rsidRPr="004D2B9A" w:rsidRDefault="008B2ECD" w:rsidP="00075B2F">
            <w:pPr>
              <w:pStyle w:val="tabele"/>
              <w:rPr>
                <w:b w:val="0"/>
                <w:bCs w:val="0"/>
                <w:lang w:val="en-GB"/>
              </w:rPr>
            </w:pPr>
            <w:r w:rsidRPr="004D2B9A">
              <w:rPr>
                <w:b w:val="0"/>
                <w:bCs w:val="0"/>
                <w:lang w:val="en-GB"/>
              </w:rPr>
              <w:t>12</w:t>
            </w:r>
            <w:r w:rsidR="00B96CCF" w:rsidRPr="004D2B9A">
              <w:rPr>
                <w:b w:val="0"/>
                <w:bCs w:val="0"/>
                <w:lang w:val="en-GB"/>
              </w:rPr>
              <w:t xml:space="preserve"> </w:t>
            </w:r>
            <w:r w:rsidRPr="004D2B9A">
              <w:rPr>
                <w:b w:val="0"/>
                <w:bCs w:val="0"/>
                <w:lang w:val="en-GB"/>
              </w:rPr>
              <w:t>295</w:t>
            </w:r>
            <w:r w:rsidR="00B96CCF" w:rsidRPr="004D2B9A">
              <w:rPr>
                <w:b w:val="0"/>
                <w:bCs w:val="0"/>
                <w:lang w:val="en-GB"/>
              </w:rPr>
              <w:t xml:space="preserve"> </w:t>
            </w:r>
            <w:r w:rsidRPr="004D2B9A">
              <w:rPr>
                <w:b w:val="0"/>
                <w:bCs w:val="0"/>
                <w:lang w:val="en-GB"/>
              </w:rPr>
              <w:t>0</w:t>
            </w:r>
          </w:p>
        </w:tc>
        <w:tc>
          <w:tcPr>
            <w:tcW w:w="1247" w:type="dxa"/>
            <w:tcBorders>
              <w:top w:val="nil"/>
              <w:left w:val="nil"/>
              <w:bottom w:val="single" w:sz="4" w:space="0" w:color="auto"/>
              <w:right w:val="single" w:sz="4" w:space="0" w:color="auto"/>
            </w:tcBorders>
            <w:noWrap/>
            <w:vAlign w:val="center"/>
            <w:hideMark/>
          </w:tcPr>
          <w:p w14:paraId="301AEDAE" w14:textId="5CBAF221" w:rsidR="008B2ECD" w:rsidRPr="004D2B9A" w:rsidRDefault="008B2ECD" w:rsidP="00075B2F">
            <w:pPr>
              <w:pStyle w:val="tabele"/>
              <w:rPr>
                <w:b w:val="0"/>
                <w:bCs w:val="0"/>
                <w:lang w:val="en-GB"/>
              </w:rPr>
            </w:pPr>
            <w:r w:rsidRPr="004D2B9A">
              <w:rPr>
                <w:b w:val="0"/>
                <w:bCs w:val="0"/>
                <w:lang w:val="en-GB"/>
              </w:rPr>
              <w:t>53°</w:t>
            </w:r>
            <w:r w:rsidR="00B96CCF" w:rsidRPr="004D2B9A">
              <w:rPr>
                <w:b w:val="0"/>
                <w:bCs w:val="0"/>
                <w:lang w:val="en-GB"/>
              </w:rPr>
              <w:t xml:space="preserve"> </w:t>
            </w:r>
            <w:r w:rsidRPr="004D2B9A">
              <w:rPr>
                <w:b w:val="0"/>
                <w:bCs w:val="0"/>
                <w:lang w:val="en-GB"/>
              </w:rPr>
              <w:t>06’</w:t>
            </w:r>
            <w:r w:rsidR="00B96CCF" w:rsidRPr="004D2B9A">
              <w:rPr>
                <w:b w:val="0"/>
                <w:bCs w:val="0"/>
                <w:lang w:val="en-GB"/>
              </w:rPr>
              <w:t xml:space="preserve"> </w:t>
            </w:r>
            <w:r w:rsidRPr="004D2B9A">
              <w:rPr>
                <w:b w:val="0"/>
                <w:bCs w:val="0"/>
                <w:lang w:val="en-GB"/>
              </w:rPr>
              <w:t>N</w:t>
            </w:r>
          </w:p>
        </w:tc>
        <w:tc>
          <w:tcPr>
            <w:tcW w:w="1247" w:type="dxa"/>
            <w:tcBorders>
              <w:top w:val="nil"/>
              <w:left w:val="nil"/>
              <w:bottom w:val="single" w:sz="4" w:space="0" w:color="auto"/>
              <w:right w:val="single" w:sz="4" w:space="0" w:color="auto"/>
            </w:tcBorders>
            <w:noWrap/>
            <w:vAlign w:val="center"/>
            <w:hideMark/>
          </w:tcPr>
          <w:p w14:paraId="141D03F4" w14:textId="27CBDD76" w:rsidR="008B2ECD" w:rsidRPr="004D2B9A" w:rsidRDefault="008B2ECD" w:rsidP="00075B2F">
            <w:pPr>
              <w:pStyle w:val="tabele"/>
              <w:rPr>
                <w:b w:val="0"/>
                <w:bCs w:val="0"/>
                <w:lang w:val="en-GB"/>
              </w:rPr>
            </w:pPr>
            <w:r w:rsidRPr="004D2B9A">
              <w:rPr>
                <w:b w:val="0"/>
                <w:bCs w:val="0"/>
                <w:lang w:val="en-GB"/>
              </w:rPr>
              <w:t>23°</w:t>
            </w:r>
            <w:r w:rsidR="00B96CCF" w:rsidRPr="004D2B9A">
              <w:rPr>
                <w:b w:val="0"/>
                <w:bCs w:val="0"/>
                <w:lang w:val="en-GB"/>
              </w:rPr>
              <w:t xml:space="preserve"> </w:t>
            </w:r>
            <w:r w:rsidRPr="004D2B9A">
              <w:rPr>
                <w:b w:val="0"/>
                <w:bCs w:val="0"/>
                <w:lang w:val="en-GB"/>
              </w:rPr>
              <w:t>10’</w:t>
            </w:r>
            <w:r w:rsidR="00B96CCF" w:rsidRPr="004D2B9A">
              <w:rPr>
                <w:b w:val="0"/>
                <w:bCs w:val="0"/>
                <w:lang w:val="en-GB"/>
              </w:rPr>
              <w:t xml:space="preserve"> </w:t>
            </w:r>
            <w:r w:rsidRPr="004D2B9A">
              <w:rPr>
                <w:b w:val="0"/>
                <w:bCs w:val="0"/>
                <w:lang w:val="en-GB"/>
              </w:rPr>
              <w:t>E</w:t>
            </w:r>
          </w:p>
        </w:tc>
        <w:tc>
          <w:tcPr>
            <w:tcW w:w="1417" w:type="dxa"/>
            <w:tcBorders>
              <w:top w:val="nil"/>
              <w:left w:val="nil"/>
              <w:bottom w:val="single" w:sz="4" w:space="0" w:color="auto"/>
              <w:right w:val="single" w:sz="4" w:space="0" w:color="auto"/>
            </w:tcBorders>
            <w:noWrap/>
            <w:vAlign w:val="center"/>
            <w:hideMark/>
          </w:tcPr>
          <w:p w14:paraId="382D7604" w14:textId="77777777" w:rsidR="008B2ECD" w:rsidRPr="004D2B9A" w:rsidRDefault="008B2ECD" w:rsidP="00075B2F">
            <w:pPr>
              <w:pStyle w:val="tabele"/>
              <w:rPr>
                <w:b w:val="0"/>
                <w:bCs w:val="0"/>
                <w:lang w:val="en-GB"/>
              </w:rPr>
            </w:pPr>
            <w:r w:rsidRPr="004D2B9A">
              <w:rPr>
                <w:b w:val="0"/>
                <w:bCs w:val="0"/>
                <w:lang w:val="en-GB"/>
              </w:rPr>
              <w:t>IV</w:t>
            </w:r>
          </w:p>
        </w:tc>
        <w:tc>
          <w:tcPr>
            <w:tcW w:w="1985" w:type="dxa"/>
            <w:tcBorders>
              <w:top w:val="nil"/>
              <w:left w:val="nil"/>
              <w:bottom w:val="single" w:sz="4" w:space="0" w:color="auto"/>
              <w:right w:val="single" w:sz="4" w:space="0" w:color="auto"/>
            </w:tcBorders>
            <w:noWrap/>
            <w:vAlign w:val="center"/>
            <w:hideMark/>
          </w:tcPr>
          <w:p w14:paraId="43155124" w14:textId="77777777" w:rsidR="008B2ECD" w:rsidRPr="004D2B9A" w:rsidRDefault="008B2ECD" w:rsidP="00075B2F">
            <w:pPr>
              <w:pStyle w:val="tabele"/>
              <w:rPr>
                <w:b w:val="0"/>
                <w:bCs w:val="0"/>
                <w:lang w:val="en-GB"/>
              </w:rPr>
            </w:pPr>
            <w:r w:rsidRPr="004D2B9A">
              <w:rPr>
                <w:b w:val="0"/>
                <w:bCs w:val="0"/>
                <w:lang w:val="en-GB"/>
              </w:rPr>
              <w:t>-22°C</w:t>
            </w:r>
          </w:p>
        </w:tc>
      </w:tr>
      <w:tr w:rsidR="008B2ECD" w:rsidRPr="004D2B9A" w14:paraId="4FA50FBC" w14:textId="77777777" w:rsidTr="00FC1BBF">
        <w:trPr>
          <w:trHeight w:val="283"/>
          <w:jc w:val="center"/>
        </w:trPr>
        <w:tc>
          <w:tcPr>
            <w:tcW w:w="1056" w:type="dxa"/>
            <w:tcBorders>
              <w:top w:val="nil"/>
              <w:left w:val="single" w:sz="4" w:space="0" w:color="auto"/>
              <w:bottom w:val="single" w:sz="4" w:space="0" w:color="auto"/>
              <w:right w:val="single" w:sz="4" w:space="0" w:color="auto"/>
            </w:tcBorders>
            <w:noWrap/>
            <w:vAlign w:val="center"/>
            <w:hideMark/>
          </w:tcPr>
          <w:p w14:paraId="7FFDEBFA" w14:textId="77777777" w:rsidR="008B2ECD" w:rsidRPr="004D2B9A" w:rsidRDefault="008B2ECD" w:rsidP="00075B2F">
            <w:pPr>
              <w:pStyle w:val="tabele"/>
              <w:rPr>
                <w:b w:val="0"/>
                <w:bCs w:val="0"/>
                <w:lang w:val="en-GB"/>
              </w:rPr>
            </w:pPr>
            <w:proofErr w:type="spellStart"/>
            <w:r w:rsidRPr="004D2B9A">
              <w:rPr>
                <w:b w:val="0"/>
                <w:bCs w:val="0"/>
                <w:lang w:val="en-GB"/>
              </w:rPr>
              <w:t>Suwałki</w:t>
            </w:r>
            <w:proofErr w:type="spellEnd"/>
          </w:p>
        </w:tc>
        <w:tc>
          <w:tcPr>
            <w:tcW w:w="1361" w:type="dxa"/>
            <w:tcBorders>
              <w:top w:val="nil"/>
              <w:left w:val="nil"/>
              <w:bottom w:val="single" w:sz="4" w:space="0" w:color="auto"/>
              <w:right w:val="single" w:sz="4" w:space="0" w:color="auto"/>
            </w:tcBorders>
            <w:noWrap/>
            <w:vAlign w:val="center"/>
            <w:hideMark/>
          </w:tcPr>
          <w:p w14:paraId="4B52C9A9" w14:textId="39418779" w:rsidR="008B2ECD" w:rsidRPr="004D2B9A" w:rsidRDefault="008B2ECD" w:rsidP="00075B2F">
            <w:pPr>
              <w:pStyle w:val="tabele"/>
              <w:rPr>
                <w:b w:val="0"/>
                <w:bCs w:val="0"/>
                <w:lang w:val="en-GB"/>
              </w:rPr>
            </w:pPr>
            <w:r w:rsidRPr="004D2B9A">
              <w:rPr>
                <w:b w:val="0"/>
                <w:bCs w:val="0"/>
                <w:lang w:val="en-GB"/>
              </w:rPr>
              <w:t>12</w:t>
            </w:r>
            <w:r w:rsidR="00B96CCF" w:rsidRPr="004D2B9A">
              <w:rPr>
                <w:b w:val="0"/>
                <w:bCs w:val="0"/>
                <w:lang w:val="en-GB"/>
              </w:rPr>
              <w:t xml:space="preserve"> </w:t>
            </w:r>
            <w:r w:rsidRPr="004D2B9A">
              <w:rPr>
                <w:b w:val="0"/>
                <w:bCs w:val="0"/>
                <w:lang w:val="en-GB"/>
              </w:rPr>
              <w:t>195</w:t>
            </w:r>
            <w:r w:rsidR="00B96CCF" w:rsidRPr="004D2B9A">
              <w:rPr>
                <w:b w:val="0"/>
                <w:bCs w:val="0"/>
                <w:lang w:val="en-GB"/>
              </w:rPr>
              <w:t xml:space="preserve"> </w:t>
            </w:r>
            <w:r w:rsidRPr="004D2B9A">
              <w:rPr>
                <w:b w:val="0"/>
                <w:bCs w:val="0"/>
                <w:lang w:val="en-GB"/>
              </w:rPr>
              <w:t>0</w:t>
            </w:r>
          </w:p>
        </w:tc>
        <w:tc>
          <w:tcPr>
            <w:tcW w:w="1247" w:type="dxa"/>
            <w:tcBorders>
              <w:top w:val="nil"/>
              <w:left w:val="nil"/>
              <w:bottom w:val="single" w:sz="4" w:space="0" w:color="auto"/>
              <w:right w:val="single" w:sz="4" w:space="0" w:color="auto"/>
            </w:tcBorders>
            <w:noWrap/>
            <w:vAlign w:val="center"/>
            <w:hideMark/>
          </w:tcPr>
          <w:p w14:paraId="420F2B57" w14:textId="7141F4C3" w:rsidR="008B2ECD" w:rsidRPr="004D2B9A" w:rsidRDefault="008B2ECD" w:rsidP="00075B2F">
            <w:pPr>
              <w:pStyle w:val="tabele"/>
              <w:rPr>
                <w:b w:val="0"/>
                <w:bCs w:val="0"/>
                <w:lang w:val="en-GB"/>
              </w:rPr>
            </w:pPr>
            <w:r w:rsidRPr="004D2B9A">
              <w:rPr>
                <w:b w:val="0"/>
                <w:bCs w:val="0"/>
                <w:lang w:val="en-GB"/>
              </w:rPr>
              <w:t>54°</w:t>
            </w:r>
            <w:r w:rsidR="00B96CCF" w:rsidRPr="004D2B9A">
              <w:rPr>
                <w:b w:val="0"/>
                <w:bCs w:val="0"/>
                <w:lang w:val="en-GB"/>
              </w:rPr>
              <w:t xml:space="preserve"> </w:t>
            </w:r>
            <w:r w:rsidRPr="004D2B9A">
              <w:rPr>
                <w:b w:val="0"/>
                <w:bCs w:val="0"/>
                <w:lang w:val="en-GB"/>
              </w:rPr>
              <w:t>08</w:t>
            </w:r>
            <w:r w:rsidR="008D7F9E">
              <w:rPr>
                <w:b w:val="0"/>
                <w:bCs w:val="0"/>
                <w:lang w:val="en-GB"/>
              </w:rPr>
              <w:t>'</w:t>
            </w:r>
            <w:r w:rsidR="00B96CCF" w:rsidRPr="004D2B9A">
              <w:rPr>
                <w:b w:val="0"/>
                <w:bCs w:val="0"/>
                <w:lang w:val="en-GB"/>
              </w:rPr>
              <w:t xml:space="preserve"> </w:t>
            </w:r>
            <w:r w:rsidRPr="004D2B9A">
              <w:rPr>
                <w:b w:val="0"/>
                <w:bCs w:val="0"/>
                <w:lang w:val="en-GB"/>
              </w:rPr>
              <w:t>N</w:t>
            </w:r>
          </w:p>
        </w:tc>
        <w:tc>
          <w:tcPr>
            <w:tcW w:w="1247" w:type="dxa"/>
            <w:tcBorders>
              <w:top w:val="nil"/>
              <w:left w:val="nil"/>
              <w:bottom w:val="single" w:sz="4" w:space="0" w:color="auto"/>
              <w:right w:val="single" w:sz="4" w:space="0" w:color="auto"/>
            </w:tcBorders>
            <w:noWrap/>
            <w:vAlign w:val="center"/>
            <w:hideMark/>
          </w:tcPr>
          <w:p w14:paraId="5AFE855E" w14:textId="687438FB" w:rsidR="008B2ECD" w:rsidRPr="004D2B9A" w:rsidRDefault="008B2ECD" w:rsidP="00075B2F">
            <w:pPr>
              <w:pStyle w:val="tabele"/>
              <w:rPr>
                <w:b w:val="0"/>
                <w:bCs w:val="0"/>
                <w:lang w:val="en-GB"/>
              </w:rPr>
            </w:pPr>
            <w:r w:rsidRPr="004D2B9A">
              <w:rPr>
                <w:b w:val="0"/>
                <w:bCs w:val="0"/>
                <w:lang w:val="en-GB"/>
              </w:rPr>
              <w:t>22°</w:t>
            </w:r>
            <w:r w:rsidR="00B96CCF" w:rsidRPr="004D2B9A">
              <w:rPr>
                <w:b w:val="0"/>
                <w:bCs w:val="0"/>
                <w:lang w:val="en-GB"/>
              </w:rPr>
              <w:t xml:space="preserve"> </w:t>
            </w:r>
            <w:r w:rsidRPr="004D2B9A">
              <w:rPr>
                <w:b w:val="0"/>
                <w:bCs w:val="0"/>
                <w:lang w:val="en-GB"/>
              </w:rPr>
              <w:t>57</w:t>
            </w:r>
            <w:r w:rsidR="008D7F9E">
              <w:rPr>
                <w:b w:val="0"/>
                <w:bCs w:val="0"/>
                <w:lang w:val="en-GB"/>
              </w:rPr>
              <w:t>'</w:t>
            </w:r>
            <w:r w:rsidR="00B96CCF" w:rsidRPr="004D2B9A">
              <w:rPr>
                <w:b w:val="0"/>
                <w:bCs w:val="0"/>
                <w:lang w:val="en-GB"/>
              </w:rPr>
              <w:t xml:space="preserve"> </w:t>
            </w:r>
            <w:r w:rsidRPr="004D2B9A">
              <w:rPr>
                <w:b w:val="0"/>
                <w:bCs w:val="0"/>
                <w:lang w:val="en-GB"/>
              </w:rPr>
              <w:t>E</w:t>
            </w:r>
          </w:p>
        </w:tc>
        <w:tc>
          <w:tcPr>
            <w:tcW w:w="1417" w:type="dxa"/>
            <w:tcBorders>
              <w:top w:val="nil"/>
              <w:left w:val="nil"/>
              <w:bottom w:val="single" w:sz="4" w:space="0" w:color="auto"/>
              <w:right w:val="single" w:sz="4" w:space="0" w:color="auto"/>
            </w:tcBorders>
            <w:noWrap/>
            <w:vAlign w:val="center"/>
            <w:hideMark/>
          </w:tcPr>
          <w:p w14:paraId="714F3C0A" w14:textId="77777777" w:rsidR="008B2ECD" w:rsidRPr="004D2B9A" w:rsidRDefault="008B2ECD" w:rsidP="00075B2F">
            <w:pPr>
              <w:pStyle w:val="tabele"/>
              <w:rPr>
                <w:b w:val="0"/>
                <w:bCs w:val="0"/>
                <w:lang w:val="en-GB"/>
              </w:rPr>
            </w:pPr>
            <w:r w:rsidRPr="004D2B9A">
              <w:rPr>
                <w:b w:val="0"/>
                <w:bCs w:val="0"/>
                <w:lang w:val="en-GB"/>
              </w:rPr>
              <w:t>V</w:t>
            </w:r>
          </w:p>
        </w:tc>
        <w:tc>
          <w:tcPr>
            <w:tcW w:w="1985" w:type="dxa"/>
            <w:tcBorders>
              <w:top w:val="nil"/>
              <w:left w:val="nil"/>
              <w:bottom w:val="single" w:sz="4" w:space="0" w:color="auto"/>
              <w:right w:val="single" w:sz="4" w:space="0" w:color="auto"/>
            </w:tcBorders>
            <w:noWrap/>
            <w:vAlign w:val="center"/>
            <w:hideMark/>
          </w:tcPr>
          <w:p w14:paraId="07BF441F" w14:textId="77777777" w:rsidR="008B2ECD" w:rsidRPr="004D2B9A" w:rsidRDefault="008B2ECD" w:rsidP="00075B2F">
            <w:pPr>
              <w:pStyle w:val="tabele"/>
              <w:rPr>
                <w:b w:val="0"/>
                <w:bCs w:val="0"/>
                <w:lang w:val="en-GB"/>
              </w:rPr>
            </w:pPr>
            <w:r w:rsidRPr="004D2B9A">
              <w:rPr>
                <w:b w:val="0"/>
                <w:bCs w:val="0"/>
                <w:lang w:val="en-GB"/>
              </w:rPr>
              <w:t>-24°C</w:t>
            </w:r>
          </w:p>
        </w:tc>
      </w:tr>
    </w:tbl>
    <w:p w14:paraId="24200E17" w14:textId="30887CEE" w:rsidR="00671719" w:rsidRPr="004D2B9A" w:rsidRDefault="002E6DA8" w:rsidP="004D2B9A">
      <w:pPr>
        <w:pStyle w:val="Rn2"/>
        <w:rPr>
          <w:lang w:val="en-GB"/>
        </w:rPr>
      </w:pPr>
      <w:r w:rsidRPr="004D2B9A">
        <w:rPr>
          <w:rStyle w:val="rynqvb"/>
          <w:lang w:val="en-GB"/>
        </w:rPr>
        <w:t xml:space="preserve">2.3. </w:t>
      </w:r>
      <w:r w:rsidR="00DD4E61" w:rsidRPr="004D2B9A">
        <w:rPr>
          <w:rStyle w:val="rynqvb"/>
          <w:lang w:val="en-GB"/>
        </w:rPr>
        <w:t>The solution used</w:t>
      </w:r>
    </w:p>
    <w:p w14:paraId="3304C281" w14:textId="31EB37F5" w:rsidR="003829F9" w:rsidRPr="004D2B9A" w:rsidRDefault="00D37008" w:rsidP="002328EC">
      <w:pPr>
        <w:rPr>
          <w:lang w:val="en-GB"/>
        </w:rPr>
      </w:pPr>
      <w:r w:rsidRPr="004D2B9A">
        <w:rPr>
          <w:lang w:val="en-GB"/>
        </w:rPr>
        <w:t>To reduce the number of variables, it was decided to select the same heat pump for all five building locations.</w:t>
      </w:r>
      <w:r w:rsidR="5B01E89D" w:rsidRPr="004D2B9A">
        <w:rPr>
          <w:lang w:val="en-GB"/>
        </w:rPr>
        <w:t xml:space="preserve"> Detailed device selection was based on guidelines </w:t>
      </w:r>
      <w:r w:rsidR="008D7F9E">
        <w:rPr>
          <w:lang w:val="en-GB"/>
        </w:rPr>
        <w:t>from</w:t>
      </w:r>
      <w:r w:rsidR="5B01E89D" w:rsidRPr="004D2B9A">
        <w:rPr>
          <w:lang w:val="en-GB"/>
        </w:rPr>
        <w:t xml:space="preserve"> the literature, including (Lachman et al. 2020). To make this selection possible, it was necessary to use a device capable of operating at very low design out</w:t>
      </w:r>
      <w:r w:rsidR="008D7F9E">
        <w:rPr>
          <w:lang w:val="en-GB"/>
        </w:rPr>
        <w:t>door air temperatures in climate zones IV and V. It was also assumed that the heat pump would need</w:t>
      </w:r>
      <w:r w:rsidRPr="004D2B9A">
        <w:rPr>
          <w:lang w:val="en-GB"/>
        </w:rPr>
        <w:t xml:space="preserve"> to provide domestic hot water independently for most of the warmer months.</w:t>
      </w:r>
      <w:r w:rsidR="00783F3A" w:rsidRPr="004D2B9A">
        <w:rPr>
          <w:lang w:val="en-GB"/>
        </w:rPr>
        <w:t xml:space="preserve"> </w:t>
      </w:r>
      <w:r w:rsidRPr="004D2B9A">
        <w:rPr>
          <w:lang w:val="en-GB"/>
        </w:rPr>
        <w:t xml:space="preserve">These conditions were met by the air-to-water heat pump, type SHW080VAA-YAA, from Mitsubishi Electric </w:t>
      </w:r>
      <w:r w:rsidR="00B817E3" w:rsidRPr="004D2B9A">
        <w:rPr>
          <w:lang w:val="en-GB"/>
        </w:rPr>
        <w:t>(Mitsubishi Electric, 2025)</w:t>
      </w:r>
      <w:r w:rsidRPr="004D2B9A">
        <w:rPr>
          <w:lang w:val="en-GB"/>
        </w:rPr>
        <w:t>, used for this article.</w:t>
      </w:r>
    </w:p>
    <w:p w14:paraId="28520A4D" w14:textId="058F513F" w:rsidR="00ED5E11" w:rsidRPr="004D2B9A" w:rsidRDefault="00D37008" w:rsidP="00ED5E11">
      <w:pPr>
        <w:rPr>
          <w:lang w:val="en-GB"/>
        </w:rPr>
      </w:pPr>
      <w:r w:rsidRPr="004D2B9A">
        <w:rPr>
          <w:lang w:val="en-GB"/>
        </w:rPr>
        <w:t xml:space="preserve">The selected heat pump ensures the ability to operate in heating or cooling mode, operation at outside air temperatures down to -28°C, smooth adjustment of the required power within the range from minimum to maximum values specified in the technical documentation of the device </w:t>
      </w:r>
      <w:r w:rsidR="00B817E3" w:rsidRPr="004D2B9A">
        <w:rPr>
          <w:lang w:val="en-GB"/>
        </w:rPr>
        <w:t>(Mitsubishi Electric, 2025)</w:t>
      </w:r>
      <w:r w:rsidRPr="004D2B9A">
        <w:rPr>
          <w:lang w:val="en-GB"/>
        </w:rPr>
        <w:t xml:space="preserve"> and COP values related to the device load shown in Fig. 1.</w:t>
      </w:r>
      <w:r w:rsidR="5B01E89D" w:rsidRPr="004D2B9A">
        <w:rPr>
          <w:lang w:val="en-GB"/>
        </w:rPr>
        <w:t xml:space="preserve"> The selected heat pump can independently heat the DHW at</w:t>
      </w:r>
      <w:r w:rsidR="00602613">
        <w:rPr>
          <w:lang w:val="en-GB"/>
        </w:rPr>
        <w:t> </w:t>
      </w:r>
      <w:r w:rsidR="5B01E89D" w:rsidRPr="004D2B9A">
        <w:rPr>
          <w:lang w:val="en-GB"/>
        </w:rPr>
        <w:t>outside air temperatures greater than 15°C; at lower temperatures, it is necessary to support it with a 6 kW electric heater included with the device.</w:t>
      </w:r>
    </w:p>
    <w:p w14:paraId="423754F6" w14:textId="5EA7FB03" w:rsidR="00D04D7D" w:rsidRPr="004D2B9A" w:rsidRDefault="00D04D7D" w:rsidP="002328EC">
      <w:pPr>
        <w:rPr>
          <w:lang w:val="en-GB"/>
        </w:rPr>
      </w:pPr>
    </w:p>
    <w:p w14:paraId="26232123" w14:textId="303341C5" w:rsidR="00D04D7D" w:rsidRPr="004D2B9A" w:rsidRDefault="000623AC" w:rsidP="000623AC">
      <w:pPr>
        <w:pStyle w:val="podpis"/>
        <w:jc w:val="center"/>
        <w:rPr>
          <w:lang w:val="en-GB"/>
        </w:rPr>
      </w:pPr>
      <w:r w:rsidRPr="004D2B9A">
        <w:rPr>
          <w:noProof/>
          <w:lang w:val="en-GB"/>
        </w:rPr>
        <w:lastRenderedPageBreak/>
        <w:drawing>
          <wp:inline distT="0" distB="0" distL="0" distR="0" wp14:anchorId="396EE208" wp14:editId="5CAF8B31">
            <wp:extent cx="5064237" cy="3637129"/>
            <wp:effectExtent l="0" t="0" r="889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64237" cy="3637129"/>
                    </a:xfrm>
                    <a:prstGeom prst="rect">
                      <a:avLst/>
                    </a:prstGeom>
                  </pic:spPr>
                </pic:pic>
              </a:graphicData>
            </a:graphic>
          </wp:inline>
        </w:drawing>
      </w:r>
    </w:p>
    <w:p w14:paraId="3DF3AEF4" w14:textId="5526FC0A" w:rsidR="009855C2" w:rsidRPr="004D2B9A" w:rsidRDefault="00D37008" w:rsidP="004D2B9A">
      <w:pPr>
        <w:pStyle w:val="Rrys"/>
        <w:rPr>
          <w:lang w:val="en-GB"/>
        </w:rPr>
      </w:pPr>
      <w:r w:rsidRPr="004D2B9A">
        <w:rPr>
          <w:b/>
          <w:bCs/>
          <w:lang w:val="en-GB"/>
        </w:rPr>
        <w:t>Fig.</w:t>
      </w:r>
      <w:r w:rsidR="00B96CCF" w:rsidRPr="004D2B9A">
        <w:rPr>
          <w:b/>
          <w:bCs/>
          <w:lang w:val="en-GB"/>
        </w:rPr>
        <w:t xml:space="preserve"> </w:t>
      </w:r>
      <w:r w:rsidR="009855C2" w:rsidRPr="004D2B9A">
        <w:rPr>
          <w:b/>
          <w:bCs/>
          <w:lang w:val="en-GB"/>
        </w:rPr>
        <w:t>1.</w:t>
      </w:r>
      <w:r w:rsidR="00B96CCF" w:rsidRPr="004D2B9A">
        <w:rPr>
          <w:lang w:val="en-GB"/>
        </w:rPr>
        <w:t xml:space="preserve"> </w:t>
      </w:r>
      <w:r w:rsidR="00283C16" w:rsidRPr="004D2B9A">
        <w:rPr>
          <w:rStyle w:val="rynqvb"/>
          <w:lang w:val="en-GB"/>
        </w:rPr>
        <w:t xml:space="preserve">COP values of the selected heat pump based on </w:t>
      </w:r>
      <w:r w:rsidR="00B817E3" w:rsidRPr="004D2B9A">
        <w:rPr>
          <w:rStyle w:val="rynqvb"/>
          <w:lang w:val="en-GB"/>
        </w:rPr>
        <w:t>(Mitsubishi Electric, 2025)</w:t>
      </w:r>
      <w:r w:rsidR="00B817E3" w:rsidRPr="004D2B9A">
        <w:rPr>
          <w:sz w:val="22"/>
          <w:lang w:val="en-GB"/>
        </w:rPr>
        <w:t xml:space="preserve"> </w:t>
      </w:r>
      <w:r w:rsidR="00283C16" w:rsidRPr="004D2B9A">
        <w:rPr>
          <w:rStyle w:val="rynqvb"/>
          <w:lang w:val="en-GB"/>
        </w:rPr>
        <w:t>(subsequent legend markings refer to COP values appropriate for the heat pump load level in the following order: minimum, average, nominal, maximum)</w:t>
      </w:r>
    </w:p>
    <w:p w14:paraId="31CCF166" w14:textId="77777777" w:rsidR="004D2B9A" w:rsidRDefault="004D2B9A" w:rsidP="002328EC">
      <w:pPr>
        <w:rPr>
          <w:rStyle w:val="rynqvb"/>
          <w:lang w:val="en-GB"/>
        </w:rPr>
      </w:pPr>
    </w:p>
    <w:p w14:paraId="3EFC3CC1" w14:textId="2373F00D" w:rsidR="001126EF" w:rsidRPr="004D2B9A" w:rsidRDefault="00283C16" w:rsidP="002328EC">
      <w:pPr>
        <w:rPr>
          <w:lang w:val="en-GB"/>
        </w:rPr>
      </w:pPr>
      <w:r w:rsidRPr="004D2B9A">
        <w:rPr>
          <w:rStyle w:val="rynqvb"/>
          <w:lang w:val="en-GB"/>
        </w:rPr>
        <w:t>Adopted details of the solution used</w:t>
      </w:r>
      <w:r w:rsidR="00ED5E11" w:rsidRPr="004D2B9A">
        <w:rPr>
          <w:lang w:val="en-GB"/>
        </w:rPr>
        <w:t>:</w:t>
      </w:r>
    </w:p>
    <w:p w14:paraId="5E1A7EB1" w14:textId="772A082C" w:rsidR="00ED5E11" w:rsidRPr="004D2B9A" w:rsidRDefault="00283C16" w:rsidP="00E0594B">
      <w:pPr>
        <w:pStyle w:val="Akapitzlist"/>
        <w:rPr>
          <w:lang w:val="en-GB"/>
        </w:rPr>
      </w:pPr>
      <w:r w:rsidRPr="004D2B9A">
        <w:rPr>
          <w:rStyle w:val="rynqvb"/>
          <w:lang w:val="en-GB"/>
        </w:rPr>
        <w:t>during the cold season, the heat pump operates only in heating mode, switching between the central heating system and the DHW heater</w:t>
      </w:r>
      <w:r w:rsidR="00885EB5">
        <w:rPr>
          <w:lang w:val="en-GB"/>
        </w:rPr>
        <w:t>,</w:t>
      </w:r>
    </w:p>
    <w:p w14:paraId="52AC6ABB" w14:textId="686E5168" w:rsidR="00ED5E11" w:rsidRPr="004D2B9A" w:rsidRDefault="00283C16" w:rsidP="00E0594B">
      <w:pPr>
        <w:pStyle w:val="Akapitzlist"/>
        <w:rPr>
          <w:lang w:val="en-GB"/>
        </w:rPr>
      </w:pPr>
      <w:r w:rsidRPr="004D2B9A">
        <w:rPr>
          <w:rStyle w:val="rynqvb"/>
          <w:lang w:val="en-GB"/>
        </w:rPr>
        <w:t>during the warm period, the heat pump switches between cooling mode and heating mode for DHW purposes</w:t>
      </w:r>
      <w:r w:rsidR="00885EB5">
        <w:rPr>
          <w:lang w:val="en-GB"/>
        </w:rPr>
        <w:t>,</w:t>
      </w:r>
    </w:p>
    <w:p w14:paraId="2F593EFC" w14:textId="12093021" w:rsidR="00ED5E11" w:rsidRPr="004D2B9A" w:rsidRDefault="5B01E89D" w:rsidP="00E0594B">
      <w:pPr>
        <w:pStyle w:val="Akapitzlist"/>
        <w:rPr>
          <w:lang w:val="en-GB"/>
        </w:rPr>
      </w:pPr>
      <w:r w:rsidRPr="004D2B9A">
        <w:rPr>
          <w:lang w:val="en-GB"/>
        </w:rPr>
        <w:t>the building has a floor heating system with a maximum supply temperature of 35°C, a supply temperature control solution using a mixing valve</w:t>
      </w:r>
      <w:r w:rsidR="00885EB5">
        <w:rPr>
          <w:lang w:val="en-GB"/>
        </w:rPr>
        <w:t>,</w:t>
      </w:r>
    </w:p>
    <w:p w14:paraId="4D52BB6C" w14:textId="4F30D8F9" w:rsidR="00ED5E11" w:rsidRPr="004D2B9A" w:rsidRDefault="5B01E89D" w:rsidP="00E0594B">
      <w:pPr>
        <w:pStyle w:val="Akapitzlist"/>
        <w:rPr>
          <w:lang w:val="en-GB"/>
        </w:rPr>
      </w:pPr>
      <w:r w:rsidRPr="004D2B9A">
        <w:rPr>
          <w:lang w:val="en-GB"/>
        </w:rPr>
        <w:t>due to longer interruptions in the heat supply (DHW heating), the use of a central heating buffer is planned, with a constant supply temperature of 35°C, charging only during the cold season</w:t>
      </w:r>
      <w:r w:rsidR="00885EB5">
        <w:rPr>
          <w:lang w:val="en-GB"/>
        </w:rPr>
        <w:t>,</w:t>
      </w:r>
    </w:p>
    <w:p w14:paraId="7D0F55DB" w14:textId="54564429" w:rsidR="00E0594B" w:rsidRPr="004D2B9A" w:rsidRDefault="00283C16" w:rsidP="00E0594B">
      <w:pPr>
        <w:pStyle w:val="Akapitzlist"/>
        <w:rPr>
          <w:lang w:val="en-GB"/>
        </w:rPr>
      </w:pPr>
      <w:r w:rsidRPr="004D2B9A">
        <w:rPr>
          <w:lang w:val="en-GB"/>
        </w:rPr>
        <w:t>the current power of the heat pump is adjusted to the actual needs of the central heating installation, taking into account the need to obtain the highest possible value of the COP coefficient</w:t>
      </w:r>
      <w:r w:rsidR="00885EB5">
        <w:rPr>
          <w:lang w:val="en-GB"/>
        </w:rPr>
        <w:t>,</w:t>
      </w:r>
    </w:p>
    <w:p w14:paraId="6695B13B" w14:textId="2A255C0E" w:rsidR="008D0B1F" w:rsidRPr="004D2B9A" w:rsidRDefault="008D7F9E" w:rsidP="00E0594B">
      <w:pPr>
        <w:pStyle w:val="Akapitzlist"/>
        <w:rPr>
          <w:lang w:val="en-GB"/>
        </w:rPr>
      </w:pPr>
      <w:r>
        <w:rPr>
          <w:rStyle w:val="rynqvb"/>
          <w:lang w:val="en-GB"/>
        </w:rPr>
        <w:t>the additional electric heater is only for preparing</w:t>
      </w:r>
      <w:r w:rsidR="001F06DA" w:rsidRPr="004D2B9A">
        <w:rPr>
          <w:rStyle w:val="rynqvb"/>
          <w:lang w:val="en-GB"/>
        </w:rPr>
        <w:t xml:space="preserve"> DHW</w:t>
      </w:r>
      <w:r w:rsidR="00593B1A" w:rsidRPr="004D2B9A">
        <w:rPr>
          <w:lang w:val="en-GB"/>
        </w:rPr>
        <w:t>.</w:t>
      </w:r>
    </w:p>
    <w:p w14:paraId="1D3F4A78" w14:textId="53000DA5" w:rsidR="00671719" w:rsidRPr="004D2B9A" w:rsidRDefault="002E6DA8" w:rsidP="004D2B9A">
      <w:pPr>
        <w:pStyle w:val="Rn2"/>
        <w:rPr>
          <w:lang w:val="en-GB"/>
        </w:rPr>
      </w:pPr>
      <w:r w:rsidRPr="004D2B9A">
        <w:rPr>
          <w:lang w:val="en-GB"/>
        </w:rPr>
        <w:t xml:space="preserve">2.4. </w:t>
      </w:r>
      <w:r w:rsidR="001F06DA" w:rsidRPr="004D2B9A">
        <w:rPr>
          <w:lang w:val="en-GB"/>
        </w:rPr>
        <w:t>Assumed cold season duration</w:t>
      </w:r>
    </w:p>
    <w:p w14:paraId="6D84AF63" w14:textId="1B479E20" w:rsidR="00D01806" w:rsidRPr="004D2B9A" w:rsidRDefault="00301EFC" w:rsidP="002328EC">
      <w:pPr>
        <w:rPr>
          <w:rFonts w:cstheme="minorHAnsi"/>
          <w:szCs w:val="20"/>
          <w:lang w:val="en-GB"/>
        </w:rPr>
      </w:pPr>
      <w:r w:rsidRPr="004D2B9A">
        <w:rPr>
          <w:lang w:val="en-GB"/>
        </w:rPr>
        <w:t>The current regulations define the cold season as "the period during which weather conditions require a</w:t>
      </w:r>
      <w:r w:rsidR="00602613">
        <w:rPr>
          <w:lang w:val="en-GB"/>
        </w:rPr>
        <w:t> </w:t>
      </w:r>
      <w:r w:rsidRPr="004D2B9A">
        <w:rPr>
          <w:lang w:val="en-GB"/>
        </w:rPr>
        <w:t xml:space="preserve">continuous supply of heat to heat buildings" </w:t>
      </w:r>
      <w:r w:rsidR="00B817E3" w:rsidRPr="004D2B9A">
        <w:rPr>
          <w:lang w:val="en-GB"/>
        </w:rPr>
        <w:t>(</w:t>
      </w:r>
      <w:proofErr w:type="spellStart"/>
      <w:r w:rsidR="00B817E3" w:rsidRPr="004D2B9A">
        <w:rPr>
          <w:lang w:val="en-GB"/>
        </w:rPr>
        <w:t>Dz.U</w:t>
      </w:r>
      <w:proofErr w:type="spellEnd"/>
      <w:r w:rsidR="00B817E3" w:rsidRPr="004D2B9A">
        <w:rPr>
          <w:lang w:val="en-GB"/>
        </w:rPr>
        <w:t>. 2007)</w:t>
      </w:r>
      <w:r w:rsidRPr="004D2B9A">
        <w:rPr>
          <w:lang w:val="en-GB"/>
        </w:rPr>
        <w:t xml:space="preserve">. However, there are no guidelines for precisely determining its length. The earlier, no longer applicable version of the Regulation </w:t>
      </w:r>
      <w:r w:rsidR="00B817E3" w:rsidRPr="004D2B9A">
        <w:rPr>
          <w:lang w:val="en-GB"/>
        </w:rPr>
        <w:t>(</w:t>
      </w:r>
      <w:proofErr w:type="spellStart"/>
      <w:r w:rsidR="00B817E3" w:rsidRPr="004D2B9A">
        <w:rPr>
          <w:lang w:val="en-GB"/>
        </w:rPr>
        <w:t>Dz.U</w:t>
      </w:r>
      <w:proofErr w:type="spellEnd"/>
      <w:r w:rsidR="00B817E3" w:rsidRPr="004D2B9A">
        <w:rPr>
          <w:lang w:val="en-GB"/>
        </w:rPr>
        <w:t xml:space="preserve">. 2008) </w:t>
      </w:r>
      <w:r w:rsidRPr="004D2B9A">
        <w:rPr>
          <w:lang w:val="en-GB"/>
        </w:rPr>
        <w:t>introduced a</w:t>
      </w:r>
      <w:r w:rsidR="00602613">
        <w:rPr>
          <w:lang w:val="en-GB"/>
        </w:rPr>
        <w:t> </w:t>
      </w:r>
      <w:r w:rsidRPr="004D2B9A">
        <w:rPr>
          <w:lang w:val="en-GB"/>
        </w:rPr>
        <w:t xml:space="preserve">general method for calculating the duration of the cold season; its accuracy was assessed, for example, </w:t>
      </w:r>
      <w:r w:rsidR="008D7F9E">
        <w:rPr>
          <w:lang w:val="en-GB"/>
        </w:rPr>
        <w:t xml:space="preserve">by </w:t>
      </w:r>
      <w:proofErr w:type="spellStart"/>
      <w:r w:rsidR="008D7F9E">
        <w:rPr>
          <w:lang w:val="en-GB"/>
        </w:rPr>
        <w:t>Maludziński</w:t>
      </w:r>
      <w:proofErr w:type="spellEnd"/>
      <w:r w:rsidR="008D7F9E">
        <w:rPr>
          <w:lang w:val="en-GB"/>
        </w:rPr>
        <w:t xml:space="preserve"> (</w:t>
      </w:r>
      <w:r w:rsidR="00B817E3" w:rsidRPr="004D2B9A">
        <w:rPr>
          <w:lang w:val="en-GB"/>
        </w:rPr>
        <w:t>2009)</w:t>
      </w:r>
      <w:r w:rsidRPr="004D2B9A">
        <w:rPr>
          <w:lang w:val="en-GB"/>
        </w:rPr>
        <w:t xml:space="preserve">. </w:t>
      </w:r>
      <w:r w:rsidR="007A5F57" w:rsidRPr="004D2B9A">
        <w:rPr>
          <w:rStyle w:val="rynqvb"/>
          <w:lang w:val="en-GB"/>
        </w:rPr>
        <w:t>In countries other than Poland, the problem of determining the duration of the cold season is similar</w:t>
      </w:r>
      <w:r w:rsidR="008D7F9E">
        <w:rPr>
          <w:rStyle w:val="rynqvb"/>
          <w:lang w:val="en-GB"/>
        </w:rPr>
        <w:t xml:space="preserve">; it is, for example, discussed in the article by </w:t>
      </w:r>
      <w:proofErr w:type="spellStart"/>
      <w:r w:rsidR="008D7F9E">
        <w:rPr>
          <w:rStyle w:val="rynqvb"/>
          <w:lang w:val="en-GB"/>
        </w:rPr>
        <w:t>Nosyreva</w:t>
      </w:r>
      <w:proofErr w:type="spellEnd"/>
      <w:r w:rsidR="008D7F9E">
        <w:rPr>
          <w:rStyle w:val="rynqvb"/>
          <w:lang w:val="en-GB"/>
        </w:rPr>
        <w:t xml:space="preserve"> et al. (</w:t>
      </w:r>
      <w:r w:rsidR="00B817E3" w:rsidRPr="004D2B9A">
        <w:rPr>
          <w:lang w:val="en-GB"/>
        </w:rPr>
        <w:t xml:space="preserve">2018). </w:t>
      </w:r>
      <w:r w:rsidRPr="004D2B9A">
        <w:rPr>
          <w:rStyle w:val="rynqvb"/>
          <w:lang w:val="en-GB"/>
        </w:rPr>
        <w:t>At the same</w:t>
      </w:r>
      <w:r w:rsidRPr="004D2B9A">
        <w:rPr>
          <w:lang w:val="en-GB"/>
        </w:rPr>
        <w:t xml:space="preserve"> time, the duration of the cold season is also indirectly incorporated into electricity and gas sales and supply tariffs and is linked to changes in fee rates. This period is most often assigned to a specific city and does not take into account the heating needs of a specific building (e.g., the type of central heating system used, the building's insulation level and thermal storage capacity, etc.).</w:t>
      </w:r>
    </w:p>
    <w:p w14:paraId="6CA647F2" w14:textId="2FAB28DA" w:rsidR="001928EB" w:rsidRPr="004D2B9A" w:rsidRDefault="008D7F9E" w:rsidP="002328EC">
      <w:pPr>
        <w:rPr>
          <w:lang w:val="en-GB"/>
        </w:rPr>
      </w:pPr>
      <w:r>
        <w:rPr>
          <w:lang w:val="en-GB"/>
        </w:rPr>
        <w:t>Based on the above and calculations</w:t>
      </w:r>
      <w:r w:rsidR="5B01E89D" w:rsidRPr="004D2B9A">
        <w:rPr>
          <w:lang w:val="en-GB"/>
        </w:rPr>
        <w:t xml:space="preserve"> for five very different locations, a decision was made to adopt a unique definition of the cold season. It was assumed that from the beginning of May to the end of August</w:t>
      </w:r>
      <w:r>
        <w:rPr>
          <w:lang w:val="en-GB"/>
        </w:rPr>
        <w:t>,</w:t>
      </w:r>
      <w:r w:rsidR="5B01E89D" w:rsidRPr="004D2B9A">
        <w:rPr>
          <w:lang w:val="en-GB"/>
        </w:rPr>
        <w:t xml:space="preserve"> the heat pump would operate in either building cooling or DHW mode; this would be the warm period.</w:t>
      </w:r>
      <w:r w:rsidR="00534376" w:rsidRPr="004D2B9A">
        <w:rPr>
          <w:lang w:val="en-GB"/>
        </w:rPr>
        <w:t xml:space="preserve"> During the remaining time, from the beginning of September to the end of April, the heat pump could operate for DHW or floor heating system needs.</w:t>
      </w:r>
      <w:r w:rsidR="5B01E89D" w:rsidRPr="004D2B9A">
        <w:rPr>
          <w:lang w:val="en-GB"/>
        </w:rPr>
        <w:t xml:space="preserve"> Due to </w:t>
      </w:r>
      <w:r>
        <w:rPr>
          <w:lang w:val="en-GB"/>
        </w:rPr>
        <w:t>significant variation in data for a typical meteorological year across</w:t>
      </w:r>
      <w:r w:rsidR="5B01E89D" w:rsidRPr="004D2B9A">
        <w:rPr>
          <w:lang w:val="en-GB"/>
        </w:rPr>
        <w:t xml:space="preserve"> selected locations, an additional requirement was introduced to assign a given hour to the cold season: the average outside air temperature over the previous 12 hours had to be below 12°C.</w:t>
      </w:r>
      <w:r w:rsidR="00534376" w:rsidRPr="004D2B9A">
        <w:rPr>
          <w:lang w:val="en-GB"/>
        </w:rPr>
        <w:t xml:space="preserve"> Only during </w:t>
      </w:r>
      <w:r>
        <w:rPr>
          <w:lang w:val="en-GB"/>
        </w:rPr>
        <w:t xml:space="preserve">hours when this </w:t>
      </w:r>
      <w:r>
        <w:rPr>
          <w:lang w:val="en-GB"/>
        </w:rPr>
        <w:lastRenderedPageBreak/>
        <w:t>requirement was me</w:t>
      </w:r>
      <w:r w:rsidR="00534376" w:rsidRPr="004D2B9A">
        <w:rPr>
          <w:lang w:val="en-GB"/>
        </w:rPr>
        <w:t>t could the heat pump supply heat to the building's floor heating system. The durations resulting from this definition of the cold season are presented in Table 2 (annual summary values) and Table 3 (monthly summary values).</w:t>
      </w:r>
    </w:p>
    <w:p w14:paraId="3B37049A" w14:textId="16CF5AE0" w:rsidR="006531C6" w:rsidRPr="004D2B9A" w:rsidRDefault="002E6DA8" w:rsidP="004D2B9A">
      <w:pPr>
        <w:pStyle w:val="Rn2"/>
        <w:rPr>
          <w:lang w:val="en-GB"/>
        </w:rPr>
      </w:pPr>
      <w:r w:rsidRPr="004D2B9A">
        <w:rPr>
          <w:rStyle w:val="rynqvb"/>
          <w:lang w:val="en-GB"/>
        </w:rPr>
        <w:t xml:space="preserve">2.5. </w:t>
      </w:r>
      <w:r w:rsidR="00B13108" w:rsidRPr="004D2B9A">
        <w:rPr>
          <w:rStyle w:val="rynqvb"/>
          <w:lang w:val="en-GB"/>
        </w:rPr>
        <w:t>Design heating loads and EU</w:t>
      </w:r>
      <w:r w:rsidR="008D7F9E">
        <w:rPr>
          <w:rStyle w:val="rynqvb"/>
          <w:lang w:val="en-GB"/>
        </w:rPr>
        <w:t>'</w:t>
      </w:r>
    </w:p>
    <w:p w14:paraId="2378F9F1" w14:textId="51C88715" w:rsidR="00407589" w:rsidRPr="004D2B9A" w:rsidRDefault="5B01E89D" w:rsidP="00B32D8C">
      <w:pPr>
        <w:rPr>
          <w:lang w:val="en-GB"/>
        </w:rPr>
      </w:pPr>
      <w:r w:rsidRPr="004D2B9A">
        <w:rPr>
          <w:lang w:val="en-GB"/>
        </w:rPr>
        <w:t xml:space="preserve">The estimated </w:t>
      </w:r>
      <w:r w:rsidR="008D7F9E">
        <w:rPr>
          <w:lang w:val="en-GB"/>
        </w:rPr>
        <w:t>heating loads for the building's design</w:t>
      </w:r>
      <w:r w:rsidRPr="004D2B9A">
        <w:rPr>
          <w:lang w:val="en-GB"/>
        </w:rPr>
        <w:t xml:space="preserve"> in the analysed locations were calculated using a</w:t>
      </w:r>
      <w:r w:rsidR="00F91300">
        <w:rPr>
          <w:lang w:val="en-GB"/>
        </w:rPr>
        <w:t> </w:t>
      </w:r>
      <w:r w:rsidRPr="004D2B9A">
        <w:rPr>
          <w:lang w:val="en-GB"/>
        </w:rPr>
        <w:t>modified EDSL TAS model.</w:t>
      </w:r>
      <w:r w:rsidR="004E2F0D" w:rsidRPr="004D2B9A">
        <w:rPr>
          <w:lang w:val="en-GB"/>
        </w:rPr>
        <w:t xml:space="preserve"> Climate data with constant parameters throughout the entire period were used, e.g., a</w:t>
      </w:r>
      <w:r w:rsidR="00F91300">
        <w:rPr>
          <w:lang w:val="en-GB"/>
        </w:rPr>
        <w:t> </w:t>
      </w:r>
      <w:r w:rsidR="004E2F0D" w:rsidRPr="004D2B9A">
        <w:rPr>
          <w:lang w:val="en-GB"/>
        </w:rPr>
        <w:t>constant outdoor air temperature equal to the design temperature of the given climate zone</w:t>
      </w:r>
      <w:r w:rsidR="008D7F9E">
        <w:rPr>
          <w:lang w:val="en-GB"/>
        </w:rPr>
        <w:t xml:space="preserve"> and zero values for</w:t>
      </w:r>
      <w:r w:rsidR="004E2F0D" w:rsidRPr="004D2B9A">
        <w:rPr>
          <w:lang w:val="en-GB"/>
        </w:rPr>
        <w:t xml:space="preserve"> global and diffuse solar radiation. Internal heat gains in the </w:t>
      </w:r>
      <w:r w:rsidR="008D7F9E">
        <w:rPr>
          <w:lang w:val="en-GB"/>
        </w:rPr>
        <w:t>living room and all three bedrooms were also set to zero</w:t>
      </w:r>
      <w:r w:rsidR="004E2F0D" w:rsidRPr="004D2B9A">
        <w:rPr>
          <w:lang w:val="en-GB"/>
        </w:rPr>
        <w:t>.</w:t>
      </w:r>
      <w:r w:rsidRPr="004D2B9A">
        <w:rPr>
          <w:lang w:val="en-GB"/>
        </w:rPr>
        <w:t xml:space="preserve"> The </w:t>
      </w:r>
      <w:r w:rsidR="008D7F9E">
        <w:rPr>
          <w:lang w:val="en-GB"/>
        </w:rPr>
        <w:t>total heating load for all rooms in the last hour of the 30th day of the simulation period (stabilisation of all results was achieved) was assumed as the design heating load</w:t>
      </w:r>
      <w:r w:rsidRPr="004D2B9A">
        <w:rPr>
          <w:lang w:val="en-GB"/>
        </w:rPr>
        <w:t>.</w:t>
      </w:r>
    </w:p>
    <w:p w14:paraId="51088408" w14:textId="73A3B4DE" w:rsidR="00037687" w:rsidRPr="004D2B9A" w:rsidRDefault="00971EAC" w:rsidP="00B32D8C">
      <w:pPr>
        <w:rPr>
          <w:lang w:val="en-GB"/>
        </w:rPr>
      </w:pPr>
      <w:r w:rsidRPr="004D2B9A">
        <w:rPr>
          <w:lang w:val="en-GB"/>
        </w:rPr>
        <w:t>Seasonal/monthly EU' values for individual locations were determined as the sum of hourly heat loads for individual rooms that occurred during the hours assigned to the entire season or a given month of the cold season.</w:t>
      </w:r>
      <w:r w:rsidR="5B01E89D" w:rsidRPr="004D2B9A">
        <w:rPr>
          <w:lang w:val="en-GB"/>
        </w:rPr>
        <w:t xml:space="preserve"> Seasonal and monthly EU' values can be calculated using standard OZC software commonly used in design offices (hourly results cannot be obtained)</w:t>
      </w:r>
      <w:r w:rsidR="008D7F9E">
        <w:rPr>
          <w:lang w:val="en-GB"/>
        </w:rPr>
        <w:t>;</w:t>
      </w:r>
      <w:r w:rsidR="5B01E89D" w:rsidRPr="004D2B9A">
        <w:rPr>
          <w:lang w:val="en-GB"/>
        </w:rPr>
        <w:t xml:space="preserve"> therefore, they should be considered relatively easy to obtain.</w:t>
      </w:r>
    </w:p>
    <w:p w14:paraId="0910B8F0" w14:textId="36039A60" w:rsidR="00575D0F" w:rsidRPr="004D2B9A" w:rsidRDefault="00971EAC" w:rsidP="00B32D8C">
      <w:pPr>
        <w:rPr>
          <w:lang w:val="en-GB"/>
        </w:rPr>
      </w:pPr>
      <w:r w:rsidRPr="004D2B9A">
        <w:rPr>
          <w:lang w:val="en-GB"/>
        </w:rPr>
        <w:t xml:space="preserve">Hourly EU' values for individual locations were determined in two different ways. In the first method, the hourly heat loads of individual rooms, obtained directly from the EDSL TAS, were summed to determine building </w:t>
      </w:r>
      <w:proofErr w:type="spellStart"/>
      <w:r w:rsidRPr="004D2B9A">
        <w:rPr>
          <w:lang w:val="en-GB"/>
        </w:rPr>
        <w:t>EU'm</w:t>
      </w:r>
      <w:proofErr w:type="spellEnd"/>
      <w:r w:rsidRPr="004D2B9A">
        <w:rPr>
          <w:lang w:val="en-GB"/>
        </w:rPr>
        <w:t xml:space="preserve">. It should be assumed that the results obtained in this way </w:t>
      </w:r>
      <w:r w:rsidR="008D7F9E">
        <w:rPr>
          <w:lang w:val="en-GB"/>
        </w:rPr>
        <w:t>achieve the highest possible accuracy, at the expense of the significant workload required to prepare them</w:t>
      </w:r>
      <w:r w:rsidRPr="004D2B9A">
        <w:rPr>
          <w:lang w:val="en-GB"/>
        </w:rPr>
        <w:t xml:space="preserve">. In the second method, the monthly </w:t>
      </w:r>
      <w:proofErr w:type="spellStart"/>
      <w:r w:rsidRPr="004D2B9A">
        <w:rPr>
          <w:lang w:val="en-GB"/>
        </w:rPr>
        <w:t>EU'm</w:t>
      </w:r>
      <w:proofErr w:type="spellEnd"/>
      <w:r w:rsidRPr="004D2B9A">
        <w:rPr>
          <w:lang w:val="en-GB"/>
        </w:rPr>
        <w:t xml:space="preserve"> values and the sum of the Stg values for a given month (formula 1) were used to determine the monthly Wm index (formula 2), </w:t>
      </w:r>
      <w:r w:rsidR="008D7F9E">
        <w:rPr>
          <w:lang w:val="en-GB"/>
        </w:rPr>
        <w:t>which, in turn, was used to calculate the estimated hourly EU'FI values</w:t>
      </w:r>
      <w:r w:rsidRPr="004D2B9A">
        <w:rPr>
          <w:lang w:val="en-GB"/>
        </w:rPr>
        <w:t xml:space="preserve"> (formula 3).</w:t>
      </w:r>
    </w:p>
    <w:p w14:paraId="72536D93" w14:textId="7CB4ADD3" w:rsidR="00575D0F" w:rsidRPr="004D2B9A" w:rsidRDefault="00EC3B2F" w:rsidP="004D2B9A">
      <w:pPr>
        <w:tabs>
          <w:tab w:val="right" w:pos="9638"/>
        </w:tabs>
        <w:spacing w:before="120" w:after="120"/>
        <w:ind w:firstLine="4253"/>
        <w:jc w:val="center"/>
        <w:rPr>
          <w:rFonts w:eastAsiaTheme="minorEastAsia"/>
          <w:lang w:val="en-GB"/>
        </w:rPr>
      </w:pPr>
      <m:oMath>
        <m:r>
          <m:rPr>
            <m:sty m:val="p"/>
          </m:rPr>
          <w:rPr>
            <w:rFonts w:ascii="Cambria Math" w:hAnsi="Cambria Math" w:cs="Times New Roman"/>
            <w:lang w:val="en-GB"/>
          </w:rPr>
          <m:t>Stg=</m:t>
        </m:r>
        <m:sSub>
          <m:sSubPr>
            <m:ctrlPr>
              <w:rPr>
                <w:rFonts w:ascii="Cambria Math" w:hAnsi="Cambria Math" w:cs="Times New Roman"/>
                <w:lang w:val="en-GB"/>
              </w:rPr>
            </m:ctrlPr>
          </m:sSubPr>
          <m:e>
            <m:r>
              <m:rPr>
                <m:sty m:val="p"/>
              </m:rPr>
              <w:rPr>
                <w:rFonts w:ascii="Cambria Math" w:hAnsi="Cambria Math" w:cs="Times New Roman"/>
                <w:lang w:val="en-GB"/>
              </w:rPr>
              <m:t>t</m:t>
            </m:r>
          </m:e>
          <m:sub>
            <m:r>
              <m:rPr>
                <m:sty m:val="p"/>
              </m:rPr>
              <w:rPr>
                <w:rFonts w:ascii="Cambria Math" w:hAnsi="Cambria Math" w:cs="Times New Roman"/>
                <w:lang w:val="en-GB"/>
              </w:rPr>
              <m:t>i</m:t>
            </m:r>
          </m:sub>
        </m:sSub>
        <m:r>
          <m:rPr>
            <m:sty m:val="p"/>
          </m:rPr>
          <w:rPr>
            <w:rFonts w:ascii="Cambria Math" w:hAnsi="Cambria Math" w:cs="Times New Roman"/>
            <w:lang w:val="en-GB"/>
          </w:rPr>
          <m:t>-</m:t>
        </m:r>
        <m:sSub>
          <m:sSubPr>
            <m:ctrlPr>
              <w:rPr>
                <w:rFonts w:ascii="Cambria Math" w:hAnsi="Cambria Math" w:cs="Times New Roman"/>
                <w:lang w:val="en-GB"/>
              </w:rPr>
            </m:ctrlPr>
          </m:sSubPr>
          <m:e>
            <m:r>
              <m:rPr>
                <m:sty m:val="p"/>
              </m:rPr>
              <w:rPr>
                <w:rFonts w:ascii="Cambria Math" w:hAnsi="Cambria Math" w:cs="Times New Roman"/>
                <w:lang w:val="en-GB"/>
              </w:rPr>
              <m:t>t</m:t>
            </m:r>
          </m:e>
          <m:sub>
            <m:r>
              <m:rPr>
                <m:sty m:val="p"/>
              </m:rPr>
              <w:rPr>
                <w:rFonts w:ascii="Cambria Math" w:hAnsi="Cambria Math" w:cs="Times New Roman"/>
                <w:lang w:val="en-GB"/>
              </w:rPr>
              <m:t>e</m:t>
            </m:r>
          </m:sub>
        </m:sSub>
      </m:oMath>
      <w:r w:rsidR="00F97FE3" w:rsidRPr="004D2B9A">
        <w:rPr>
          <w:rFonts w:eastAsiaTheme="minorEastAsia"/>
          <w:lang w:val="en-GB"/>
        </w:rPr>
        <w:tab/>
        <w:t>(1)</w:t>
      </w:r>
    </w:p>
    <w:p w14:paraId="611AC99A" w14:textId="3DF6C3AA" w:rsidR="00F97FE3" w:rsidRPr="004D2B9A" w:rsidRDefault="00FA1215" w:rsidP="004D2B9A">
      <w:pPr>
        <w:ind w:firstLine="0"/>
        <w:rPr>
          <w:lang w:val="en-GB"/>
        </w:rPr>
      </w:pPr>
      <w:r w:rsidRPr="004D2B9A">
        <w:rPr>
          <w:lang w:val="en-GB"/>
        </w:rPr>
        <w:t>where</w:t>
      </w:r>
      <w:r w:rsidR="00F97FE3" w:rsidRPr="004D2B9A">
        <w:rPr>
          <w:lang w:val="en-GB"/>
        </w:rPr>
        <w:t>:</w:t>
      </w:r>
    </w:p>
    <w:p w14:paraId="6B2D5B4D" w14:textId="616DD809" w:rsidR="00F97FE3" w:rsidRPr="004D2B9A" w:rsidRDefault="00F97FE3" w:rsidP="00F214DE">
      <w:pPr>
        <w:pStyle w:val="Akapitzlist"/>
        <w:rPr>
          <w:lang w:val="en-GB"/>
        </w:rPr>
      </w:pPr>
      <w:r w:rsidRPr="004D2B9A">
        <w:rPr>
          <w:lang w:val="en-GB"/>
        </w:rPr>
        <w:t>Stg</w:t>
      </w:r>
      <w:r w:rsidR="00B96CCF" w:rsidRPr="004D2B9A">
        <w:rPr>
          <w:lang w:val="en-GB"/>
        </w:rPr>
        <w:t xml:space="preserve"> </w:t>
      </w:r>
      <w:r w:rsidRPr="004D2B9A">
        <w:rPr>
          <w:lang w:val="en-GB"/>
        </w:rPr>
        <w:t>–</w:t>
      </w:r>
      <w:r w:rsidR="00B96CCF" w:rsidRPr="004D2B9A">
        <w:rPr>
          <w:lang w:val="en-GB"/>
        </w:rPr>
        <w:t xml:space="preserve"> </w:t>
      </w:r>
      <w:proofErr w:type="spellStart"/>
      <w:r w:rsidR="00FA1215" w:rsidRPr="004D2B9A">
        <w:rPr>
          <w:lang w:val="en-GB"/>
        </w:rPr>
        <w:t>degreehours</w:t>
      </w:r>
      <w:proofErr w:type="spellEnd"/>
      <w:r w:rsidR="00F214DE" w:rsidRPr="004D2B9A">
        <w:rPr>
          <w:lang w:val="en-GB"/>
        </w:rPr>
        <w:t>,</w:t>
      </w:r>
      <w:r w:rsidR="00B96CCF" w:rsidRPr="004D2B9A">
        <w:rPr>
          <w:lang w:val="en-GB"/>
        </w:rPr>
        <w:t xml:space="preserve"> </w:t>
      </w:r>
      <w:r w:rsidRPr="004D2B9A">
        <w:rPr>
          <w:lang w:val="en-GB"/>
        </w:rPr>
        <w:t>[</w:t>
      </w:r>
      <w:r w:rsidR="00F214DE" w:rsidRPr="004D2B9A">
        <w:rPr>
          <w:lang w:val="en-GB"/>
        </w:rPr>
        <w:t>°C</w:t>
      </w:r>
      <w:r w:rsidRPr="004D2B9A">
        <w:rPr>
          <w:lang w:val="en-GB"/>
        </w:rPr>
        <w:t>]</w:t>
      </w:r>
    </w:p>
    <w:p w14:paraId="5C49CAB0" w14:textId="0F355F52" w:rsidR="00F97FE3" w:rsidRPr="004D2B9A" w:rsidRDefault="00F97FE3" w:rsidP="00F214DE">
      <w:pPr>
        <w:pStyle w:val="Akapitzlist"/>
        <w:rPr>
          <w:lang w:val="en-GB"/>
        </w:rPr>
      </w:pPr>
      <w:proofErr w:type="spellStart"/>
      <w:r w:rsidRPr="004D2B9A">
        <w:rPr>
          <w:lang w:val="en-GB"/>
        </w:rPr>
        <w:t>t</w:t>
      </w:r>
      <w:r w:rsidRPr="004D2B9A">
        <w:rPr>
          <w:vertAlign w:val="subscript"/>
          <w:lang w:val="en-GB"/>
        </w:rPr>
        <w:t>i</w:t>
      </w:r>
      <w:proofErr w:type="spellEnd"/>
      <w:r w:rsidR="00B96CCF" w:rsidRPr="004D2B9A">
        <w:rPr>
          <w:lang w:val="en-GB"/>
        </w:rPr>
        <w:t xml:space="preserve"> </w:t>
      </w:r>
      <w:r w:rsidRPr="004D2B9A">
        <w:rPr>
          <w:lang w:val="en-GB"/>
        </w:rPr>
        <w:t>–</w:t>
      </w:r>
      <w:r w:rsidR="00FA1215" w:rsidRPr="004D2B9A">
        <w:rPr>
          <w:rStyle w:val="rynqvb"/>
          <w:lang w:val="en-GB"/>
        </w:rPr>
        <w:t xml:space="preserve"> constant, average internal air temperature in the building (assumed 20°C, simplification)</w:t>
      </w:r>
      <w:r w:rsidR="00F214DE" w:rsidRPr="004D2B9A">
        <w:rPr>
          <w:lang w:val="en-GB"/>
        </w:rPr>
        <w:t>,</w:t>
      </w:r>
      <w:r w:rsidR="00B96CCF" w:rsidRPr="004D2B9A">
        <w:rPr>
          <w:lang w:val="en-GB"/>
        </w:rPr>
        <w:t xml:space="preserve"> </w:t>
      </w:r>
      <w:r w:rsidR="00F214DE" w:rsidRPr="004D2B9A">
        <w:rPr>
          <w:lang w:val="en-GB"/>
        </w:rPr>
        <w:t>[°C]</w:t>
      </w:r>
    </w:p>
    <w:p w14:paraId="3389DF79" w14:textId="042F8AE6" w:rsidR="00F214DE" w:rsidRPr="004D2B9A" w:rsidRDefault="00F214DE" w:rsidP="00F214DE">
      <w:pPr>
        <w:pStyle w:val="Akapitzlist"/>
        <w:rPr>
          <w:lang w:val="en-GB"/>
        </w:rPr>
      </w:pPr>
      <w:proofErr w:type="spellStart"/>
      <w:r w:rsidRPr="004D2B9A">
        <w:rPr>
          <w:lang w:val="en-GB"/>
        </w:rPr>
        <w:t>t</w:t>
      </w:r>
      <w:r w:rsidRPr="004D2B9A">
        <w:rPr>
          <w:vertAlign w:val="subscript"/>
          <w:lang w:val="en-GB"/>
        </w:rPr>
        <w:t>e</w:t>
      </w:r>
      <w:proofErr w:type="spellEnd"/>
      <w:r w:rsidR="00B96CCF" w:rsidRPr="004D2B9A">
        <w:rPr>
          <w:lang w:val="en-GB"/>
        </w:rPr>
        <w:t xml:space="preserve"> </w:t>
      </w:r>
      <w:r w:rsidRPr="004D2B9A">
        <w:rPr>
          <w:lang w:val="en-GB"/>
        </w:rPr>
        <w:t>–</w:t>
      </w:r>
      <w:r w:rsidR="00FA1215" w:rsidRPr="004D2B9A">
        <w:rPr>
          <w:lang w:val="en-GB"/>
        </w:rPr>
        <w:t xml:space="preserve"> </w:t>
      </w:r>
      <w:r w:rsidR="00FA1215" w:rsidRPr="004D2B9A">
        <w:rPr>
          <w:rStyle w:val="rynqvb"/>
          <w:lang w:val="en-GB"/>
        </w:rPr>
        <w:t>outside air temperature at a given hour of the month during the cold season</w:t>
      </w:r>
      <w:r w:rsidRPr="004D2B9A">
        <w:rPr>
          <w:lang w:val="en-GB"/>
        </w:rPr>
        <w:t>,</w:t>
      </w:r>
      <w:r w:rsidR="00B96CCF" w:rsidRPr="004D2B9A">
        <w:rPr>
          <w:lang w:val="en-GB"/>
        </w:rPr>
        <w:t xml:space="preserve"> </w:t>
      </w:r>
      <w:r w:rsidRPr="004D2B9A">
        <w:rPr>
          <w:lang w:val="en-GB"/>
        </w:rPr>
        <w:t>[°C]</w:t>
      </w:r>
    </w:p>
    <w:p w14:paraId="68B6BADC" w14:textId="2AD07856" w:rsidR="00706138" w:rsidRPr="004D2B9A" w:rsidRDefault="00000000" w:rsidP="004D2B9A">
      <w:pPr>
        <w:tabs>
          <w:tab w:val="right" w:pos="9638"/>
        </w:tabs>
        <w:spacing w:before="120" w:after="120"/>
        <w:ind w:firstLine="4253"/>
        <w:jc w:val="center"/>
        <w:rPr>
          <w:rFonts w:eastAsiaTheme="minorEastAsia"/>
          <w:lang w:val="en-GB"/>
        </w:rPr>
      </w:pPr>
      <m:oMath>
        <m:sSub>
          <m:sSubPr>
            <m:ctrlPr>
              <w:rPr>
                <w:rFonts w:ascii="Cambria Math" w:hAnsi="Cambria Math" w:cs="Times New Roman"/>
                <w:lang w:val="en-GB"/>
              </w:rPr>
            </m:ctrlPr>
          </m:sSubPr>
          <m:e>
            <m:r>
              <m:rPr>
                <m:sty m:val="p"/>
              </m:rPr>
              <w:rPr>
                <w:rFonts w:ascii="Cambria Math" w:hAnsi="Cambria Math" w:cs="Times New Roman"/>
                <w:lang w:val="en-GB"/>
              </w:rPr>
              <m:t>W</m:t>
            </m:r>
          </m:e>
          <m:sub>
            <m:r>
              <m:rPr>
                <m:sty m:val="p"/>
              </m:rPr>
              <w:rPr>
                <w:rFonts w:ascii="Cambria Math" w:hAnsi="Cambria Math" w:cs="Times New Roman"/>
                <w:lang w:val="en-GB"/>
              </w:rPr>
              <m:t>m</m:t>
            </m:r>
          </m:sub>
        </m:sSub>
        <m:r>
          <m:rPr>
            <m:sty m:val="p"/>
          </m:rPr>
          <w:rPr>
            <w:rFonts w:ascii="Cambria Math" w:hAnsi="Cambria Math" w:cs="Times New Roman"/>
            <w:lang w:val="en-GB"/>
          </w:rPr>
          <m:t>=</m:t>
        </m:r>
        <m:f>
          <m:fPr>
            <m:ctrlPr>
              <w:rPr>
                <w:rFonts w:ascii="Cambria Math" w:hAnsi="Cambria Math" w:cs="Times New Roman"/>
                <w:lang w:val="en-GB"/>
              </w:rPr>
            </m:ctrlPr>
          </m:fPr>
          <m:num>
            <m:r>
              <m:rPr>
                <m:sty m:val="p"/>
              </m:rPr>
              <w:rPr>
                <w:rFonts w:ascii="Cambria Math" w:hAnsi="Cambria Math" w:cs="Times New Roman"/>
                <w:lang w:val="en-GB"/>
              </w:rPr>
              <m:t>EU'm</m:t>
            </m:r>
          </m:num>
          <m:den>
            <m:nary>
              <m:naryPr>
                <m:chr m:val="∑"/>
                <m:limLoc m:val="undOvr"/>
                <m:subHide m:val="1"/>
                <m:supHide m:val="1"/>
                <m:ctrlPr>
                  <w:rPr>
                    <w:rFonts w:ascii="Cambria Math" w:hAnsi="Cambria Math" w:cs="Times New Roman"/>
                    <w:lang w:val="en-GB"/>
                  </w:rPr>
                </m:ctrlPr>
              </m:naryPr>
              <m:sub/>
              <m:sup/>
              <m:e>
                <m:r>
                  <m:rPr>
                    <m:sty m:val="p"/>
                  </m:rPr>
                  <w:rPr>
                    <w:rFonts w:ascii="Cambria Math" w:hAnsi="Cambria Math" w:cs="Times New Roman"/>
                    <w:lang w:val="en-GB"/>
                  </w:rPr>
                  <m:t>Stg</m:t>
                </m:r>
              </m:e>
            </m:nary>
          </m:den>
        </m:f>
      </m:oMath>
      <w:r w:rsidR="00706138" w:rsidRPr="004D2B9A">
        <w:rPr>
          <w:rFonts w:eastAsiaTheme="minorEastAsia"/>
          <w:lang w:val="en-GB"/>
        </w:rPr>
        <w:tab/>
        <w:t>(2)</w:t>
      </w:r>
    </w:p>
    <w:p w14:paraId="452B84F4" w14:textId="33F642BB" w:rsidR="00706138" w:rsidRPr="004D2B9A" w:rsidRDefault="00FA1215" w:rsidP="004D2B9A">
      <w:pPr>
        <w:ind w:firstLine="0"/>
        <w:rPr>
          <w:lang w:val="en-GB"/>
        </w:rPr>
      </w:pPr>
      <w:r w:rsidRPr="004D2B9A">
        <w:rPr>
          <w:lang w:val="en-GB"/>
        </w:rPr>
        <w:t>where</w:t>
      </w:r>
      <w:r w:rsidR="00706138" w:rsidRPr="004D2B9A">
        <w:rPr>
          <w:lang w:val="en-GB"/>
        </w:rPr>
        <w:t>:</w:t>
      </w:r>
    </w:p>
    <w:p w14:paraId="31986839" w14:textId="5D8F8545" w:rsidR="00706138" w:rsidRPr="004D2B9A" w:rsidRDefault="00706138" w:rsidP="00706138">
      <w:pPr>
        <w:pStyle w:val="Akapitzlist"/>
        <w:rPr>
          <w:lang w:val="en-GB"/>
        </w:rPr>
      </w:pPr>
      <w:r w:rsidRPr="004D2B9A">
        <w:rPr>
          <w:lang w:val="en-GB"/>
        </w:rPr>
        <w:t>W</w:t>
      </w:r>
      <w:r w:rsidRPr="004D2B9A">
        <w:rPr>
          <w:vertAlign w:val="subscript"/>
          <w:lang w:val="en-GB"/>
        </w:rPr>
        <w:t>m</w:t>
      </w:r>
      <w:r w:rsidR="00B96CCF" w:rsidRPr="004D2B9A">
        <w:rPr>
          <w:lang w:val="en-GB"/>
        </w:rPr>
        <w:t xml:space="preserve"> </w:t>
      </w:r>
      <w:r w:rsidR="00FA6C53" w:rsidRPr="004D2B9A">
        <w:rPr>
          <w:rFonts w:ascii="TimesNewRoman" w:hAnsi="TimesNewRoman" w:cs="TimesNewRoman"/>
          <w:lang w:val="en-GB"/>
        </w:rPr>
        <w:t>–</w:t>
      </w:r>
      <w:r w:rsidR="00B96CCF" w:rsidRPr="004D2B9A">
        <w:rPr>
          <w:lang w:val="en-GB"/>
        </w:rPr>
        <w:t xml:space="preserve"> </w:t>
      </w:r>
      <w:r w:rsidR="00FA1215" w:rsidRPr="004D2B9A">
        <w:rPr>
          <w:rStyle w:val="rynqvb"/>
          <w:lang w:val="en-GB"/>
        </w:rPr>
        <w:t>monthly indicator</w:t>
      </w:r>
      <w:r w:rsidRPr="004D2B9A">
        <w:rPr>
          <w:lang w:val="en-GB"/>
        </w:rPr>
        <w:t>,</w:t>
      </w:r>
      <w:r w:rsidR="00B96CCF" w:rsidRPr="004D2B9A">
        <w:rPr>
          <w:lang w:val="en-GB"/>
        </w:rPr>
        <w:t xml:space="preserve"> </w:t>
      </w:r>
      <w:r w:rsidRPr="004D2B9A">
        <w:rPr>
          <w:lang w:val="en-GB"/>
        </w:rPr>
        <w:t>[kWh/°C]</w:t>
      </w:r>
    </w:p>
    <w:p w14:paraId="3EE3158B" w14:textId="7E1A31F1" w:rsidR="00706138" w:rsidRPr="004D2B9A" w:rsidRDefault="00706138" w:rsidP="00706138">
      <w:pPr>
        <w:pStyle w:val="Akapitzlist"/>
        <w:rPr>
          <w:lang w:val="en-GB"/>
        </w:rPr>
      </w:pPr>
      <w:proofErr w:type="spellStart"/>
      <w:r w:rsidRPr="004D2B9A">
        <w:rPr>
          <w:lang w:val="en-GB"/>
        </w:rPr>
        <w:t>EU</w:t>
      </w:r>
      <w:r w:rsidR="008D7F9E">
        <w:rPr>
          <w:lang w:val="en-GB"/>
        </w:rPr>
        <w:t>'</w:t>
      </w:r>
      <w:r w:rsidRPr="004D2B9A">
        <w:rPr>
          <w:lang w:val="en-GB"/>
        </w:rPr>
        <w:t>m</w:t>
      </w:r>
      <w:proofErr w:type="spellEnd"/>
      <w:r w:rsidR="00B96CCF" w:rsidRPr="004D2B9A">
        <w:rPr>
          <w:lang w:val="en-GB"/>
        </w:rPr>
        <w:t xml:space="preserve"> </w:t>
      </w:r>
      <w:r w:rsidRPr="004D2B9A">
        <w:rPr>
          <w:lang w:val="en-GB"/>
        </w:rPr>
        <w:t>–</w:t>
      </w:r>
      <w:r w:rsidR="00B96CCF" w:rsidRPr="004D2B9A">
        <w:rPr>
          <w:lang w:val="en-GB"/>
        </w:rPr>
        <w:t xml:space="preserve"> </w:t>
      </w:r>
      <w:r w:rsidR="00FA1215" w:rsidRPr="004D2B9A">
        <w:rPr>
          <w:rStyle w:val="rynqvb"/>
          <w:lang w:val="en-GB"/>
        </w:rPr>
        <w:t>EU' value for a given month</w:t>
      </w:r>
      <w:r w:rsidR="00EC3B2F" w:rsidRPr="004D2B9A">
        <w:rPr>
          <w:lang w:val="en-GB"/>
        </w:rPr>
        <w:t>,</w:t>
      </w:r>
      <w:r w:rsidR="00B96CCF" w:rsidRPr="004D2B9A">
        <w:rPr>
          <w:lang w:val="en-GB"/>
        </w:rPr>
        <w:t xml:space="preserve"> </w:t>
      </w:r>
      <w:r w:rsidRPr="004D2B9A">
        <w:rPr>
          <w:lang w:val="en-GB"/>
        </w:rPr>
        <w:t>[</w:t>
      </w:r>
      <w:r w:rsidR="00EC3B2F" w:rsidRPr="004D2B9A">
        <w:rPr>
          <w:lang w:val="en-GB"/>
        </w:rPr>
        <w:t>kWh</w:t>
      </w:r>
      <w:r w:rsidRPr="004D2B9A">
        <w:rPr>
          <w:lang w:val="en-GB"/>
        </w:rPr>
        <w:t>]</w:t>
      </w:r>
    </w:p>
    <w:p w14:paraId="53681D2D" w14:textId="13FCE3BD" w:rsidR="00EC3B2F" w:rsidRPr="004D2B9A" w:rsidRDefault="00000000" w:rsidP="00706138">
      <w:pPr>
        <w:pStyle w:val="Akapitzlist"/>
        <w:rPr>
          <w:lang w:val="en-GB"/>
        </w:rPr>
      </w:pPr>
      <m:oMath>
        <m:nary>
          <m:naryPr>
            <m:chr m:val="∑"/>
            <m:limLoc m:val="undOvr"/>
            <m:subHide m:val="1"/>
            <m:supHide m:val="1"/>
            <m:ctrlPr>
              <w:rPr>
                <w:rFonts w:ascii="Cambria Math" w:hAnsi="Cambria Math"/>
                <w:i/>
                <w:lang w:val="en-GB"/>
              </w:rPr>
            </m:ctrlPr>
          </m:naryPr>
          <m:sub/>
          <m:sup/>
          <m:e>
            <m:r>
              <w:rPr>
                <w:rFonts w:ascii="Cambria Math" w:hAnsi="Cambria Math"/>
                <w:lang w:val="en-GB"/>
              </w:rPr>
              <m:t>Stg</m:t>
            </m:r>
          </m:e>
        </m:nary>
      </m:oMath>
      <w:r w:rsidR="5B01E89D" w:rsidRPr="004D2B9A">
        <w:rPr>
          <w:lang w:val="en-GB"/>
        </w:rPr>
        <w:t xml:space="preserve"> – sum of the hourly Stg values of a given month, [kWh/°C]</w:t>
      </w:r>
    </w:p>
    <w:p w14:paraId="0B59CAC3" w14:textId="08C51FE2" w:rsidR="00EC3B2F" w:rsidRPr="004D2B9A" w:rsidRDefault="005D4A63" w:rsidP="004D2B9A">
      <w:pPr>
        <w:tabs>
          <w:tab w:val="right" w:pos="9638"/>
        </w:tabs>
        <w:spacing w:before="120" w:after="120"/>
        <w:ind w:firstLine="4111"/>
        <w:jc w:val="center"/>
        <w:rPr>
          <w:rFonts w:eastAsiaTheme="minorEastAsia"/>
          <w:lang w:val="en-GB"/>
        </w:rPr>
      </w:pPr>
      <m:oMath>
        <m:r>
          <m:rPr>
            <m:sty m:val="p"/>
          </m:rPr>
          <w:rPr>
            <w:rFonts w:ascii="Cambria Math" w:eastAsiaTheme="minorEastAsia" w:hAnsi="Cambria Math"/>
            <w:lang w:val="en-GB"/>
          </w:rPr>
          <m:t>EU’FI</m:t>
        </m:r>
        <m:r>
          <m:rPr>
            <m:sty m:val="p"/>
          </m:rPr>
          <w:rPr>
            <w:rFonts w:ascii="Cambria Math" w:hAnsi="Cambria Math"/>
            <w:lang w:val="en-GB"/>
          </w:rPr>
          <m:t>=Stg∙</m:t>
        </m:r>
        <m:sSub>
          <m:sSubPr>
            <m:ctrlPr>
              <w:rPr>
                <w:rFonts w:ascii="Cambria Math" w:hAnsi="Cambria Math"/>
                <w:lang w:val="en-GB"/>
              </w:rPr>
            </m:ctrlPr>
          </m:sSubPr>
          <m:e>
            <m:r>
              <m:rPr>
                <m:sty m:val="p"/>
              </m:rPr>
              <w:rPr>
                <w:rFonts w:ascii="Cambria Math" w:hAnsi="Cambria Math"/>
                <w:lang w:val="en-GB"/>
              </w:rPr>
              <m:t>W</m:t>
            </m:r>
          </m:e>
          <m:sub>
            <m:r>
              <m:rPr>
                <m:sty m:val="p"/>
              </m:rPr>
              <w:rPr>
                <w:rFonts w:ascii="Cambria Math" w:hAnsi="Cambria Math"/>
                <w:lang w:val="en-GB"/>
              </w:rPr>
              <m:t>m</m:t>
            </m:r>
          </m:sub>
        </m:sSub>
      </m:oMath>
      <w:r w:rsidR="00EC3B2F" w:rsidRPr="004D2B9A">
        <w:rPr>
          <w:rFonts w:eastAsiaTheme="minorEastAsia"/>
          <w:lang w:val="en-GB"/>
        </w:rPr>
        <w:tab/>
        <w:t>(3)</w:t>
      </w:r>
    </w:p>
    <w:p w14:paraId="0EC45A75" w14:textId="5ECA854C" w:rsidR="00EC3B2F" w:rsidRPr="004D2B9A" w:rsidRDefault="00FA1215" w:rsidP="004D2B9A">
      <w:pPr>
        <w:ind w:firstLine="0"/>
        <w:rPr>
          <w:lang w:val="en-GB"/>
        </w:rPr>
      </w:pPr>
      <w:r w:rsidRPr="004D2B9A">
        <w:rPr>
          <w:lang w:val="en-GB"/>
        </w:rPr>
        <w:t>where</w:t>
      </w:r>
      <w:r w:rsidR="00EC3B2F" w:rsidRPr="004D2B9A">
        <w:rPr>
          <w:lang w:val="en-GB"/>
        </w:rPr>
        <w:t>:</w:t>
      </w:r>
    </w:p>
    <w:p w14:paraId="1DCEF626" w14:textId="7D6A7126" w:rsidR="00EC3B2F" w:rsidRPr="004D2B9A" w:rsidRDefault="00EC3B2F" w:rsidP="00EC3B2F">
      <w:pPr>
        <w:pStyle w:val="Akapitzlist"/>
        <w:rPr>
          <w:lang w:val="en-GB"/>
        </w:rPr>
      </w:pPr>
      <m:oMath>
        <m:r>
          <m:rPr>
            <m:sty m:val="p"/>
          </m:rPr>
          <w:rPr>
            <w:rFonts w:ascii="Cambria Math" w:eastAsiaTheme="minorEastAsia" w:hAnsi="Cambria Math"/>
            <w:lang w:val="en-GB"/>
          </w:rPr>
          <m:t>EU'FI</m:t>
        </m:r>
      </m:oMath>
      <w:r w:rsidR="00B96CCF" w:rsidRPr="004D2B9A">
        <w:rPr>
          <w:lang w:val="en-GB"/>
        </w:rPr>
        <w:t xml:space="preserve"> </w:t>
      </w:r>
      <w:r w:rsidRPr="004D2B9A">
        <w:rPr>
          <w:lang w:val="en-GB"/>
        </w:rPr>
        <w:t>–</w:t>
      </w:r>
      <w:r w:rsidR="00B96CCF" w:rsidRPr="004D2B9A">
        <w:rPr>
          <w:lang w:val="en-GB"/>
        </w:rPr>
        <w:t xml:space="preserve"> </w:t>
      </w:r>
      <w:r w:rsidR="00FA1215" w:rsidRPr="004D2B9A">
        <w:rPr>
          <w:rStyle w:val="rynqvb"/>
          <w:lang w:val="en-GB"/>
        </w:rPr>
        <w:t>EU</w:t>
      </w:r>
      <w:r w:rsidR="008D7F9E">
        <w:rPr>
          <w:rStyle w:val="rynqvb"/>
          <w:lang w:val="en-GB"/>
        </w:rPr>
        <w:t>'</w:t>
      </w:r>
      <w:r w:rsidR="00FA1215" w:rsidRPr="004D2B9A">
        <w:rPr>
          <w:rStyle w:val="rynqvb"/>
          <w:lang w:val="en-GB"/>
        </w:rPr>
        <w:t xml:space="preserve"> value estimated for a given hour using the Stg value</w:t>
      </w:r>
      <w:r w:rsidRPr="004D2B9A">
        <w:rPr>
          <w:lang w:val="en-GB"/>
        </w:rPr>
        <w:t>,</w:t>
      </w:r>
      <w:r w:rsidR="00B96CCF" w:rsidRPr="004D2B9A">
        <w:rPr>
          <w:lang w:val="en-GB"/>
        </w:rPr>
        <w:t xml:space="preserve"> </w:t>
      </w:r>
      <w:r w:rsidRPr="004D2B9A">
        <w:rPr>
          <w:lang w:val="en-GB"/>
        </w:rPr>
        <w:t>[kWh]</w:t>
      </w:r>
    </w:p>
    <w:p w14:paraId="3D01AC66" w14:textId="77777777" w:rsidR="00882305" w:rsidRPr="004D2B9A" w:rsidRDefault="00882305" w:rsidP="00706138">
      <w:pPr>
        <w:rPr>
          <w:lang w:val="en-GB"/>
        </w:rPr>
      </w:pPr>
    </w:p>
    <w:p w14:paraId="1FA00130" w14:textId="59F57918" w:rsidR="00EC3B2F" w:rsidRPr="004D2B9A" w:rsidRDefault="00882305" w:rsidP="00706138">
      <w:pPr>
        <w:rPr>
          <w:lang w:val="en-GB"/>
        </w:rPr>
      </w:pPr>
      <w:r w:rsidRPr="004D2B9A">
        <w:rPr>
          <w:lang w:val="en-GB"/>
        </w:rPr>
        <w:t xml:space="preserve">The method for estimating hourly EU'FI values assumes variability in a building's static and ventilation heat losses, </w:t>
      </w:r>
      <w:r w:rsidR="008D7F9E">
        <w:rPr>
          <w:lang w:val="en-GB"/>
        </w:rPr>
        <w:t>which are solely related</w:t>
      </w:r>
      <w:r w:rsidRPr="004D2B9A">
        <w:rPr>
          <w:lang w:val="en-GB"/>
        </w:rPr>
        <w:t xml:space="preserve"> to the temperature difference between the building's internal and external air at a given location. This method does not </w:t>
      </w:r>
      <w:r w:rsidR="008D7F9E">
        <w:rPr>
          <w:lang w:val="en-GB"/>
        </w:rPr>
        <w:t>account for other factors that may influence the results, such as</w:t>
      </w:r>
      <w:r w:rsidRPr="004D2B9A">
        <w:rPr>
          <w:lang w:val="en-GB"/>
        </w:rPr>
        <w:t xml:space="preserve"> changes in heat gain from solar radiation.</w:t>
      </w:r>
      <w:r w:rsidR="5B01E89D" w:rsidRPr="004D2B9A">
        <w:rPr>
          <w:lang w:val="en-GB"/>
        </w:rPr>
        <w:t xml:space="preserve"> However, it is used in practice when it is impossible or unjustified to use advanced calculation programmes that would allow for more accurate determination of hourly EU' values. The precision of the results obtained from this method was analysed based on the analyses conducted.</w:t>
      </w:r>
    </w:p>
    <w:p w14:paraId="43C19B9D" w14:textId="0E46395E" w:rsidR="00407589" w:rsidRPr="004D2B9A" w:rsidRDefault="002E6DA8" w:rsidP="004D2B9A">
      <w:pPr>
        <w:pStyle w:val="Rn1"/>
        <w:rPr>
          <w:lang w:val="en-GB"/>
        </w:rPr>
      </w:pPr>
      <w:r w:rsidRPr="004D2B9A">
        <w:rPr>
          <w:lang w:val="en-GB"/>
        </w:rPr>
        <w:t xml:space="preserve">3. </w:t>
      </w:r>
      <w:r w:rsidR="00882305" w:rsidRPr="004D2B9A">
        <w:rPr>
          <w:lang w:val="en-GB"/>
        </w:rPr>
        <w:t>Research</w:t>
      </w:r>
      <w:r w:rsidR="00882305" w:rsidRPr="004D2B9A">
        <w:rPr>
          <w:rStyle w:val="rynqvb"/>
          <w:lang w:val="en-GB"/>
        </w:rPr>
        <w:t xml:space="preserve"> </w:t>
      </w:r>
      <w:r w:rsidR="004D2B9A" w:rsidRPr="004D2B9A">
        <w:rPr>
          <w:rStyle w:val="rynqvb"/>
          <w:lang w:val="en-GB"/>
        </w:rPr>
        <w:t>R</w:t>
      </w:r>
      <w:r w:rsidR="00882305" w:rsidRPr="004D2B9A">
        <w:rPr>
          <w:lang w:val="en-GB"/>
        </w:rPr>
        <w:t xml:space="preserve">esults and </w:t>
      </w:r>
      <w:r w:rsidR="004D2B9A" w:rsidRPr="004D2B9A">
        <w:rPr>
          <w:lang w:val="en-GB"/>
        </w:rPr>
        <w:t>D</w:t>
      </w:r>
      <w:r w:rsidR="00882305" w:rsidRPr="004D2B9A">
        <w:rPr>
          <w:lang w:val="en-GB"/>
        </w:rPr>
        <w:t>iscussion</w:t>
      </w:r>
    </w:p>
    <w:p w14:paraId="299A9979" w14:textId="6BE6D1A0" w:rsidR="006531C6" w:rsidRPr="004D2B9A" w:rsidRDefault="002E6DA8" w:rsidP="004D2B9A">
      <w:pPr>
        <w:pStyle w:val="Rn2"/>
        <w:rPr>
          <w:lang w:val="en-GB"/>
        </w:rPr>
      </w:pPr>
      <w:r w:rsidRPr="004D2B9A">
        <w:rPr>
          <w:rStyle w:val="rynqvb"/>
          <w:lang w:val="en-GB"/>
        </w:rPr>
        <w:t xml:space="preserve">3.1. </w:t>
      </w:r>
      <w:r w:rsidR="00882305" w:rsidRPr="004D2B9A">
        <w:rPr>
          <w:rStyle w:val="rynqvb"/>
          <w:lang w:val="en-GB"/>
        </w:rPr>
        <w:t>Location</w:t>
      </w:r>
    </w:p>
    <w:p w14:paraId="3C0EB83C" w14:textId="4D59CA1B" w:rsidR="00A4251D" w:rsidRPr="004D2B9A" w:rsidRDefault="5B01E89D" w:rsidP="00A4251D">
      <w:pPr>
        <w:rPr>
          <w:lang w:val="en-GB"/>
        </w:rPr>
      </w:pPr>
      <w:r w:rsidRPr="004D2B9A">
        <w:rPr>
          <w:lang w:val="en-GB"/>
        </w:rPr>
        <w:t>The change in location of the building had an impact on both the obtained values of the building</w:t>
      </w:r>
      <w:r w:rsidR="008D7F9E">
        <w:rPr>
          <w:lang w:val="en-GB"/>
        </w:rPr>
        <w:t>'</w:t>
      </w:r>
      <w:r w:rsidRPr="004D2B9A">
        <w:rPr>
          <w:lang w:val="en-GB"/>
        </w:rPr>
        <w:t xml:space="preserve">s design heating load (related to the change in the design outside air temperature of the climate zone) and the hourly </w:t>
      </w:r>
      <w:proofErr w:type="spellStart"/>
      <w:r w:rsidRPr="004D2B9A">
        <w:rPr>
          <w:lang w:val="en-GB"/>
        </w:rPr>
        <w:t>EU</w:t>
      </w:r>
      <w:r w:rsidR="008D7F9E">
        <w:rPr>
          <w:lang w:val="en-GB"/>
        </w:rPr>
        <w:t>'</w:t>
      </w:r>
      <w:r w:rsidRPr="004D2B9A">
        <w:rPr>
          <w:lang w:val="en-GB"/>
        </w:rPr>
        <w:t>m</w:t>
      </w:r>
      <w:proofErr w:type="spellEnd"/>
      <w:r w:rsidRPr="004D2B9A">
        <w:rPr>
          <w:lang w:val="en-GB"/>
        </w:rPr>
        <w:t xml:space="preserve"> values (related to hourly changes in the data of a typical meteorological year of the climate zone), the results are presented in Table 2.</w:t>
      </w:r>
    </w:p>
    <w:p w14:paraId="30A07985" w14:textId="3933610A" w:rsidR="004D2B9A" w:rsidRDefault="004D2B9A" w:rsidP="00A4251D">
      <w:pPr>
        <w:rPr>
          <w:lang w:val="en-GB"/>
        </w:rPr>
      </w:pPr>
    </w:p>
    <w:p w14:paraId="031E95E0" w14:textId="476872AA" w:rsidR="008D7F9E" w:rsidRDefault="008D7F9E" w:rsidP="00A4251D">
      <w:pPr>
        <w:rPr>
          <w:lang w:val="en-GB"/>
        </w:rPr>
      </w:pPr>
    </w:p>
    <w:p w14:paraId="0D03B7C2" w14:textId="77777777" w:rsidR="008D7F9E" w:rsidRPr="004D2B9A" w:rsidRDefault="008D7F9E" w:rsidP="00A4251D">
      <w:pPr>
        <w:rPr>
          <w:lang w:val="en-GB"/>
        </w:rPr>
      </w:pPr>
    </w:p>
    <w:p w14:paraId="5C992635" w14:textId="2B1162FB" w:rsidR="00F63DA1" w:rsidRPr="004D2B9A" w:rsidRDefault="00882305" w:rsidP="004D2B9A">
      <w:pPr>
        <w:pStyle w:val="Rtab"/>
        <w:rPr>
          <w:lang w:val="en-GB"/>
        </w:rPr>
      </w:pPr>
      <w:r w:rsidRPr="004D2B9A">
        <w:rPr>
          <w:b/>
          <w:bCs/>
          <w:lang w:val="en-GB"/>
        </w:rPr>
        <w:lastRenderedPageBreak/>
        <w:t xml:space="preserve">Table </w:t>
      </w:r>
      <w:r w:rsidR="00F63DA1" w:rsidRPr="004D2B9A">
        <w:rPr>
          <w:b/>
          <w:bCs/>
          <w:lang w:val="en-GB"/>
        </w:rPr>
        <w:t>2.</w:t>
      </w:r>
      <w:r w:rsidR="00B96CCF" w:rsidRPr="004D2B9A">
        <w:rPr>
          <w:lang w:val="en-GB"/>
        </w:rPr>
        <w:t xml:space="preserve"> </w:t>
      </w:r>
      <w:r w:rsidRPr="004D2B9A">
        <w:rPr>
          <w:rStyle w:val="rynqvb"/>
          <w:lang w:val="en-GB"/>
        </w:rPr>
        <w:t>Summary of results for selected building locations</w:t>
      </w:r>
    </w:p>
    <w:tbl>
      <w:tblPr>
        <w:tblW w:w="7650" w:type="dxa"/>
        <w:jc w:val="center"/>
        <w:tblCellMar>
          <w:left w:w="70" w:type="dxa"/>
          <w:right w:w="70" w:type="dxa"/>
        </w:tblCellMar>
        <w:tblLook w:val="04A0" w:firstRow="1" w:lastRow="0" w:firstColumn="1" w:lastColumn="0" w:noHBand="0" w:noVBand="1"/>
      </w:tblPr>
      <w:tblGrid>
        <w:gridCol w:w="1056"/>
        <w:gridCol w:w="2245"/>
        <w:gridCol w:w="1939"/>
        <w:gridCol w:w="2410"/>
      </w:tblGrid>
      <w:tr w:rsidR="00583BDE" w:rsidRPr="004D2B9A" w14:paraId="6C898EA5" w14:textId="77777777" w:rsidTr="004D2B9A">
        <w:trPr>
          <w:trHeight w:val="454"/>
          <w:jc w:val="center"/>
        </w:trPr>
        <w:tc>
          <w:tcPr>
            <w:tcW w:w="1056" w:type="dxa"/>
            <w:tcBorders>
              <w:top w:val="single" w:sz="4" w:space="0" w:color="auto"/>
              <w:left w:val="single" w:sz="4" w:space="0" w:color="auto"/>
              <w:bottom w:val="single" w:sz="4" w:space="0" w:color="auto"/>
              <w:right w:val="single" w:sz="4" w:space="0" w:color="auto"/>
            </w:tcBorders>
            <w:noWrap/>
            <w:vAlign w:val="center"/>
            <w:hideMark/>
          </w:tcPr>
          <w:p w14:paraId="09ACCF10" w14:textId="391D77E7" w:rsidR="00583BDE" w:rsidRPr="004D2B9A" w:rsidRDefault="000623AC" w:rsidP="00075B2F">
            <w:pPr>
              <w:pStyle w:val="tabele"/>
              <w:rPr>
                <w:b w:val="0"/>
                <w:bCs w:val="0"/>
                <w:lang w:val="en-GB"/>
              </w:rPr>
            </w:pPr>
            <w:r w:rsidRPr="004D2B9A">
              <w:rPr>
                <w:b w:val="0"/>
                <w:bCs w:val="0"/>
                <w:lang w:val="en-GB"/>
              </w:rPr>
              <w:t>Location</w:t>
            </w:r>
          </w:p>
        </w:tc>
        <w:tc>
          <w:tcPr>
            <w:tcW w:w="2245" w:type="dxa"/>
            <w:tcBorders>
              <w:top w:val="single" w:sz="4" w:space="0" w:color="auto"/>
              <w:left w:val="nil"/>
              <w:bottom w:val="single" w:sz="4" w:space="0" w:color="auto"/>
              <w:right w:val="single" w:sz="4" w:space="0" w:color="auto"/>
            </w:tcBorders>
            <w:vAlign w:val="center"/>
            <w:hideMark/>
          </w:tcPr>
          <w:p w14:paraId="459045FF" w14:textId="6343B7E0" w:rsidR="00583BDE" w:rsidRPr="004D2B9A" w:rsidRDefault="000623AC" w:rsidP="00075B2F">
            <w:pPr>
              <w:pStyle w:val="tabele"/>
              <w:rPr>
                <w:b w:val="0"/>
                <w:bCs w:val="0"/>
                <w:lang w:val="en-GB"/>
              </w:rPr>
            </w:pPr>
            <w:r w:rsidRPr="004D2B9A">
              <w:rPr>
                <w:b w:val="0"/>
                <w:bCs w:val="0"/>
                <w:lang w:val="en-GB"/>
              </w:rPr>
              <w:t>Heating</w:t>
            </w:r>
            <w:r w:rsidR="00B96CCF" w:rsidRPr="004D2B9A">
              <w:rPr>
                <w:b w:val="0"/>
                <w:bCs w:val="0"/>
                <w:lang w:val="en-GB"/>
              </w:rPr>
              <w:t xml:space="preserve"> </w:t>
            </w:r>
            <w:r w:rsidRPr="004D2B9A">
              <w:rPr>
                <w:b w:val="0"/>
                <w:bCs w:val="0"/>
                <w:lang w:val="en-GB"/>
              </w:rPr>
              <w:t>season</w:t>
            </w:r>
            <w:r w:rsidR="00B96CCF" w:rsidRPr="004D2B9A">
              <w:rPr>
                <w:b w:val="0"/>
                <w:bCs w:val="0"/>
                <w:lang w:val="en-GB"/>
              </w:rPr>
              <w:t xml:space="preserve"> </w:t>
            </w:r>
            <w:r w:rsidRPr="004D2B9A">
              <w:rPr>
                <w:b w:val="0"/>
                <w:bCs w:val="0"/>
                <w:lang w:val="en-GB"/>
              </w:rPr>
              <w:t>hours</w:t>
            </w:r>
          </w:p>
        </w:tc>
        <w:tc>
          <w:tcPr>
            <w:tcW w:w="1939" w:type="dxa"/>
            <w:tcBorders>
              <w:top w:val="single" w:sz="4" w:space="0" w:color="auto"/>
              <w:left w:val="nil"/>
              <w:bottom w:val="single" w:sz="4" w:space="0" w:color="auto"/>
              <w:right w:val="single" w:sz="4" w:space="0" w:color="auto"/>
            </w:tcBorders>
            <w:vAlign w:val="center"/>
            <w:hideMark/>
          </w:tcPr>
          <w:p w14:paraId="4ADA0F6B" w14:textId="0AD28F11" w:rsidR="00583BDE" w:rsidRPr="004D2B9A" w:rsidRDefault="000623AC" w:rsidP="00075B2F">
            <w:pPr>
              <w:pStyle w:val="tabele"/>
              <w:rPr>
                <w:b w:val="0"/>
                <w:bCs w:val="0"/>
                <w:lang w:val="en-GB"/>
              </w:rPr>
            </w:pPr>
            <w:r w:rsidRPr="004D2B9A">
              <w:rPr>
                <w:b w:val="0"/>
                <w:bCs w:val="0"/>
                <w:lang w:val="en-GB"/>
              </w:rPr>
              <w:t>Design</w:t>
            </w:r>
            <w:r w:rsidR="00B96CCF" w:rsidRPr="004D2B9A">
              <w:rPr>
                <w:b w:val="0"/>
                <w:bCs w:val="0"/>
                <w:lang w:val="en-GB"/>
              </w:rPr>
              <w:t xml:space="preserve"> </w:t>
            </w:r>
            <w:r w:rsidRPr="004D2B9A">
              <w:rPr>
                <w:b w:val="0"/>
                <w:bCs w:val="0"/>
                <w:lang w:val="en-GB"/>
              </w:rPr>
              <w:t>heating</w:t>
            </w:r>
            <w:r w:rsidR="00B96CCF" w:rsidRPr="004D2B9A">
              <w:rPr>
                <w:b w:val="0"/>
                <w:bCs w:val="0"/>
                <w:lang w:val="en-GB"/>
              </w:rPr>
              <w:t xml:space="preserve"> </w:t>
            </w:r>
            <w:r w:rsidRPr="004D2B9A">
              <w:rPr>
                <w:b w:val="0"/>
                <w:bCs w:val="0"/>
                <w:lang w:val="en-GB"/>
              </w:rPr>
              <w:t>load</w:t>
            </w:r>
          </w:p>
        </w:tc>
        <w:tc>
          <w:tcPr>
            <w:tcW w:w="2410" w:type="dxa"/>
            <w:tcBorders>
              <w:top w:val="single" w:sz="4" w:space="0" w:color="auto"/>
              <w:left w:val="nil"/>
              <w:bottom w:val="single" w:sz="4" w:space="0" w:color="auto"/>
              <w:right w:val="single" w:sz="4" w:space="0" w:color="auto"/>
            </w:tcBorders>
            <w:vAlign w:val="center"/>
            <w:hideMark/>
          </w:tcPr>
          <w:p w14:paraId="2A8E5629" w14:textId="0DE59A28" w:rsidR="00583BDE" w:rsidRPr="004D2B9A" w:rsidRDefault="000623AC" w:rsidP="00075B2F">
            <w:pPr>
              <w:pStyle w:val="tabele"/>
              <w:rPr>
                <w:b w:val="0"/>
                <w:bCs w:val="0"/>
                <w:lang w:val="en-GB"/>
              </w:rPr>
            </w:pPr>
            <w:r w:rsidRPr="004D2B9A">
              <w:rPr>
                <w:b w:val="0"/>
                <w:bCs w:val="0"/>
                <w:lang w:val="en-GB"/>
              </w:rPr>
              <w:t>Usable</w:t>
            </w:r>
            <w:r w:rsidR="00B96CCF" w:rsidRPr="004D2B9A">
              <w:rPr>
                <w:b w:val="0"/>
                <w:bCs w:val="0"/>
                <w:lang w:val="en-GB"/>
              </w:rPr>
              <w:t xml:space="preserve"> </w:t>
            </w:r>
            <w:r w:rsidRPr="004D2B9A">
              <w:rPr>
                <w:b w:val="0"/>
                <w:bCs w:val="0"/>
                <w:lang w:val="en-GB"/>
              </w:rPr>
              <w:t>energy</w:t>
            </w:r>
            <w:r w:rsidR="00B96CCF" w:rsidRPr="004D2B9A">
              <w:rPr>
                <w:b w:val="0"/>
                <w:bCs w:val="0"/>
                <w:lang w:val="en-GB"/>
              </w:rPr>
              <w:t xml:space="preserve"> </w:t>
            </w:r>
            <w:r w:rsidRPr="004D2B9A">
              <w:rPr>
                <w:b w:val="0"/>
                <w:bCs w:val="0"/>
                <w:lang w:val="en-GB"/>
              </w:rPr>
              <w:t>season</w:t>
            </w:r>
          </w:p>
        </w:tc>
      </w:tr>
      <w:tr w:rsidR="00583BDE" w:rsidRPr="004D2B9A" w14:paraId="04F09A59" w14:textId="77777777" w:rsidTr="004D2B9A">
        <w:trPr>
          <w:trHeight w:val="283"/>
          <w:jc w:val="center"/>
        </w:trPr>
        <w:tc>
          <w:tcPr>
            <w:tcW w:w="1056" w:type="dxa"/>
            <w:tcBorders>
              <w:top w:val="nil"/>
              <w:left w:val="single" w:sz="4" w:space="0" w:color="auto"/>
              <w:bottom w:val="single" w:sz="4" w:space="0" w:color="auto"/>
              <w:right w:val="single" w:sz="4" w:space="0" w:color="auto"/>
            </w:tcBorders>
            <w:noWrap/>
            <w:vAlign w:val="center"/>
            <w:hideMark/>
          </w:tcPr>
          <w:p w14:paraId="743247AD" w14:textId="77777777" w:rsidR="00583BDE" w:rsidRPr="004D2B9A" w:rsidRDefault="00583BDE" w:rsidP="00075B2F">
            <w:pPr>
              <w:pStyle w:val="tabele"/>
              <w:rPr>
                <w:b w:val="0"/>
                <w:bCs w:val="0"/>
                <w:lang w:val="en-GB"/>
              </w:rPr>
            </w:pPr>
            <w:r w:rsidRPr="004D2B9A">
              <w:rPr>
                <w:b w:val="0"/>
                <w:bCs w:val="0"/>
                <w:lang w:val="en-GB"/>
              </w:rPr>
              <w:t>-</w:t>
            </w:r>
          </w:p>
        </w:tc>
        <w:tc>
          <w:tcPr>
            <w:tcW w:w="2245" w:type="dxa"/>
            <w:tcBorders>
              <w:top w:val="nil"/>
              <w:left w:val="nil"/>
              <w:bottom w:val="single" w:sz="4" w:space="0" w:color="auto"/>
              <w:right w:val="single" w:sz="4" w:space="0" w:color="auto"/>
            </w:tcBorders>
            <w:noWrap/>
            <w:vAlign w:val="center"/>
            <w:hideMark/>
          </w:tcPr>
          <w:p w14:paraId="47F49BE0" w14:textId="77777777" w:rsidR="00583BDE" w:rsidRPr="004D2B9A" w:rsidRDefault="00583BDE" w:rsidP="00075B2F">
            <w:pPr>
              <w:pStyle w:val="tabele"/>
              <w:rPr>
                <w:b w:val="0"/>
                <w:bCs w:val="0"/>
                <w:lang w:val="en-GB"/>
              </w:rPr>
            </w:pPr>
            <w:r w:rsidRPr="004D2B9A">
              <w:rPr>
                <w:b w:val="0"/>
                <w:bCs w:val="0"/>
                <w:lang w:val="en-GB"/>
              </w:rPr>
              <w:t>h</w:t>
            </w:r>
          </w:p>
        </w:tc>
        <w:tc>
          <w:tcPr>
            <w:tcW w:w="1939" w:type="dxa"/>
            <w:tcBorders>
              <w:top w:val="nil"/>
              <w:left w:val="nil"/>
              <w:bottom w:val="single" w:sz="4" w:space="0" w:color="auto"/>
              <w:right w:val="single" w:sz="4" w:space="0" w:color="auto"/>
            </w:tcBorders>
            <w:noWrap/>
            <w:vAlign w:val="center"/>
            <w:hideMark/>
          </w:tcPr>
          <w:p w14:paraId="0E0CCD19" w14:textId="77777777" w:rsidR="00583BDE" w:rsidRPr="004D2B9A" w:rsidRDefault="00583BDE" w:rsidP="00075B2F">
            <w:pPr>
              <w:pStyle w:val="tabele"/>
              <w:rPr>
                <w:b w:val="0"/>
                <w:bCs w:val="0"/>
                <w:lang w:val="en-GB"/>
              </w:rPr>
            </w:pPr>
            <w:r w:rsidRPr="004D2B9A">
              <w:rPr>
                <w:b w:val="0"/>
                <w:bCs w:val="0"/>
                <w:lang w:val="en-GB"/>
              </w:rPr>
              <w:t>W</w:t>
            </w:r>
          </w:p>
        </w:tc>
        <w:tc>
          <w:tcPr>
            <w:tcW w:w="2410" w:type="dxa"/>
            <w:tcBorders>
              <w:top w:val="nil"/>
              <w:left w:val="nil"/>
              <w:bottom w:val="single" w:sz="4" w:space="0" w:color="auto"/>
              <w:right w:val="single" w:sz="4" w:space="0" w:color="auto"/>
            </w:tcBorders>
            <w:noWrap/>
            <w:vAlign w:val="center"/>
            <w:hideMark/>
          </w:tcPr>
          <w:p w14:paraId="1C250111" w14:textId="77777777" w:rsidR="00583BDE" w:rsidRPr="004D2B9A" w:rsidRDefault="00583BDE" w:rsidP="00075B2F">
            <w:pPr>
              <w:pStyle w:val="tabele"/>
              <w:rPr>
                <w:b w:val="0"/>
                <w:bCs w:val="0"/>
                <w:lang w:val="en-GB"/>
              </w:rPr>
            </w:pPr>
            <w:r w:rsidRPr="004D2B9A">
              <w:rPr>
                <w:b w:val="0"/>
                <w:bCs w:val="0"/>
                <w:lang w:val="en-GB"/>
              </w:rPr>
              <w:t>kWh</w:t>
            </w:r>
          </w:p>
        </w:tc>
      </w:tr>
      <w:tr w:rsidR="00583BDE" w:rsidRPr="004D2B9A" w14:paraId="1F29953D" w14:textId="77777777" w:rsidTr="004D2B9A">
        <w:trPr>
          <w:trHeight w:val="283"/>
          <w:jc w:val="center"/>
        </w:trPr>
        <w:tc>
          <w:tcPr>
            <w:tcW w:w="1056" w:type="dxa"/>
            <w:tcBorders>
              <w:top w:val="nil"/>
              <w:left w:val="single" w:sz="4" w:space="0" w:color="auto"/>
              <w:bottom w:val="single" w:sz="4" w:space="0" w:color="auto"/>
              <w:right w:val="single" w:sz="4" w:space="0" w:color="auto"/>
            </w:tcBorders>
            <w:noWrap/>
            <w:vAlign w:val="center"/>
            <w:hideMark/>
          </w:tcPr>
          <w:p w14:paraId="1D5E0E8B" w14:textId="77777777" w:rsidR="00583BDE" w:rsidRPr="004D2B9A" w:rsidRDefault="00583BDE" w:rsidP="00075B2F">
            <w:pPr>
              <w:pStyle w:val="tabele"/>
              <w:rPr>
                <w:b w:val="0"/>
                <w:bCs w:val="0"/>
                <w:lang w:val="en-GB"/>
              </w:rPr>
            </w:pPr>
            <w:proofErr w:type="spellStart"/>
            <w:r w:rsidRPr="004D2B9A">
              <w:rPr>
                <w:b w:val="0"/>
                <w:bCs w:val="0"/>
                <w:lang w:val="en-GB"/>
              </w:rPr>
              <w:t>Koszalin</w:t>
            </w:r>
            <w:proofErr w:type="spellEnd"/>
          </w:p>
        </w:tc>
        <w:tc>
          <w:tcPr>
            <w:tcW w:w="2245" w:type="dxa"/>
            <w:tcBorders>
              <w:top w:val="nil"/>
              <w:left w:val="nil"/>
              <w:bottom w:val="single" w:sz="4" w:space="0" w:color="auto"/>
              <w:right w:val="single" w:sz="4" w:space="0" w:color="auto"/>
            </w:tcBorders>
            <w:noWrap/>
            <w:vAlign w:val="center"/>
            <w:hideMark/>
          </w:tcPr>
          <w:p w14:paraId="3C60A58A" w14:textId="08BD3818" w:rsidR="00583BDE" w:rsidRPr="004D2B9A" w:rsidRDefault="00583BDE" w:rsidP="00075B2F">
            <w:pPr>
              <w:pStyle w:val="tabele"/>
              <w:rPr>
                <w:b w:val="0"/>
                <w:bCs w:val="0"/>
                <w:lang w:val="en-GB"/>
              </w:rPr>
            </w:pPr>
            <w:r w:rsidRPr="004D2B9A">
              <w:rPr>
                <w:b w:val="0"/>
                <w:bCs w:val="0"/>
                <w:lang w:val="en-GB"/>
              </w:rPr>
              <w:t>5</w:t>
            </w:r>
            <w:r w:rsidR="00B96CCF" w:rsidRPr="004D2B9A">
              <w:rPr>
                <w:b w:val="0"/>
                <w:bCs w:val="0"/>
                <w:lang w:val="en-GB"/>
              </w:rPr>
              <w:t xml:space="preserve"> </w:t>
            </w:r>
            <w:r w:rsidRPr="004D2B9A">
              <w:rPr>
                <w:b w:val="0"/>
                <w:bCs w:val="0"/>
                <w:lang w:val="en-GB"/>
              </w:rPr>
              <w:t>140</w:t>
            </w:r>
          </w:p>
        </w:tc>
        <w:tc>
          <w:tcPr>
            <w:tcW w:w="1939" w:type="dxa"/>
            <w:tcBorders>
              <w:top w:val="nil"/>
              <w:left w:val="nil"/>
              <w:bottom w:val="single" w:sz="4" w:space="0" w:color="auto"/>
              <w:right w:val="single" w:sz="4" w:space="0" w:color="auto"/>
            </w:tcBorders>
            <w:noWrap/>
            <w:vAlign w:val="center"/>
            <w:hideMark/>
          </w:tcPr>
          <w:p w14:paraId="62BB7E11" w14:textId="308D36B8" w:rsidR="00583BDE" w:rsidRPr="004D2B9A" w:rsidRDefault="00583BDE" w:rsidP="00075B2F">
            <w:pPr>
              <w:pStyle w:val="tabele"/>
              <w:rPr>
                <w:b w:val="0"/>
                <w:bCs w:val="0"/>
                <w:lang w:val="en-GB"/>
              </w:rPr>
            </w:pPr>
            <w:r w:rsidRPr="004D2B9A">
              <w:rPr>
                <w:b w:val="0"/>
                <w:bCs w:val="0"/>
                <w:lang w:val="en-GB"/>
              </w:rPr>
              <w:t>5</w:t>
            </w:r>
            <w:r w:rsidR="00B96CCF" w:rsidRPr="004D2B9A">
              <w:rPr>
                <w:b w:val="0"/>
                <w:bCs w:val="0"/>
                <w:lang w:val="en-GB"/>
              </w:rPr>
              <w:t xml:space="preserve"> </w:t>
            </w:r>
            <w:r w:rsidRPr="004D2B9A">
              <w:rPr>
                <w:b w:val="0"/>
                <w:bCs w:val="0"/>
                <w:lang w:val="en-GB"/>
              </w:rPr>
              <w:t>670</w:t>
            </w:r>
          </w:p>
        </w:tc>
        <w:tc>
          <w:tcPr>
            <w:tcW w:w="2410" w:type="dxa"/>
            <w:tcBorders>
              <w:top w:val="nil"/>
              <w:left w:val="nil"/>
              <w:bottom w:val="single" w:sz="4" w:space="0" w:color="auto"/>
              <w:right w:val="single" w:sz="4" w:space="0" w:color="auto"/>
            </w:tcBorders>
            <w:noWrap/>
            <w:vAlign w:val="center"/>
            <w:hideMark/>
          </w:tcPr>
          <w:p w14:paraId="4DE03156" w14:textId="20B8C2FA" w:rsidR="00583BDE" w:rsidRPr="004D2B9A" w:rsidRDefault="00583BDE" w:rsidP="00075B2F">
            <w:pPr>
              <w:pStyle w:val="tabele"/>
              <w:rPr>
                <w:b w:val="0"/>
                <w:bCs w:val="0"/>
                <w:lang w:val="en-GB"/>
              </w:rPr>
            </w:pPr>
            <w:r w:rsidRPr="004D2B9A">
              <w:rPr>
                <w:b w:val="0"/>
                <w:bCs w:val="0"/>
                <w:lang w:val="en-GB"/>
              </w:rPr>
              <w:t>9</w:t>
            </w:r>
            <w:r w:rsidR="00B96CCF" w:rsidRPr="004D2B9A">
              <w:rPr>
                <w:b w:val="0"/>
                <w:bCs w:val="0"/>
                <w:lang w:val="en-GB"/>
              </w:rPr>
              <w:t xml:space="preserve"> </w:t>
            </w:r>
            <w:r w:rsidRPr="004D2B9A">
              <w:rPr>
                <w:b w:val="0"/>
                <w:bCs w:val="0"/>
                <w:lang w:val="en-GB"/>
              </w:rPr>
              <w:t>620</w:t>
            </w:r>
          </w:p>
        </w:tc>
      </w:tr>
      <w:tr w:rsidR="00583BDE" w:rsidRPr="004D2B9A" w14:paraId="2322F7CA" w14:textId="77777777" w:rsidTr="004D2B9A">
        <w:trPr>
          <w:trHeight w:val="283"/>
          <w:jc w:val="center"/>
        </w:trPr>
        <w:tc>
          <w:tcPr>
            <w:tcW w:w="1056" w:type="dxa"/>
            <w:tcBorders>
              <w:top w:val="nil"/>
              <w:left w:val="single" w:sz="4" w:space="0" w:color="auto"/>
              <w:bottom w:val="single" w:sz="4" w:space="0" w:color="auto"/>
              <w:right w:val="single" w:sz="4" w:space="0" w:color="auto"/>
            </w:tcBorders>
            <w:noWrap/>
            <w:vAlign w:val="center"/>
            <w:hideMark/>
          </w:tcPr>
          <w:p w14:paraId="194F12F0" w14:textId="77777777" w:rsidR="00583BDE" w:rsidRPr="004D2B9A" w:rsidRDefault="00583BDE" w:rsidP="00075B2F">
            <w:pPr>
              <w:pStyle w:val="tabele"/>
              <w:rPr>
                <w:b w:val="0"/>
                <w:bCs w:val="0"/>
                <w:lang w:val="en-GB"/>
              </w:rPr>
            </w:pPr>
            <w:proofErr w:type="spellStart"/>
            <w:r w:rsidRPr="004D2B9A">
              <w:rPr>
                <w:b w:val="0"/>
                <w:bCs w:val="0"/>
                <w:lang w:val="en-GB"/>
              </w:rPr>
              <w:t>Wrocław</w:t>
            </w:r>
            <w:proofErr w:type="spellEnd"/>
          </w:p>
        </w:tc>
        <w:tc>
          <w:tcPr>
            <w:tcW w:w="2245" w:type="dxa"/>
            <w:tcBorders>
              <w:top w:val="nil"/>
              <w:left w:val="nil"/>
              <w:bottom w:val="single" w:sz="4" w:space="0" w:color="auto"/>
              <w:right w:val="single" w:sz="4" w:space="0" w:color="auto"/>
            </w:tcBorders>
            <w:noWrap/>
            <w:vAlign w:val="center"/>
            <w:hideMark/>
          </w:tcPr>
          <w:p w14:paraId="0996497F" w14:textId="450B86F4" w:rsidR="00583BDE" w:rsidRPr="004D2B9A" w:rsidRDefault="00583BDE" w:rsidP="00075B2F">
            <w:pPr>
              <w:pStyle w:val="tabele"/>
              <w:rPr>
                <w:b w:val="0"/>
                <w:bCs w:val="0"/>
                <w:lang w:val="en-GB"/>
              </w:rPr>
            </w:pPr>
            <w:r w:rsidRPr="004D2B9A">
              <w:rPr>
                <w:b w:val="0"/>
                <w:bCs w:val="0"/>
                <w:lang w:val="en-GB"/>
              </w:rPr>
              <w:t>5</w:t>
            </w:r>
            <w:r w:rsidR="00B96CCF" w:rsidRPr="004D2B9A">
              <w:rPr>
                <w:b w:val="0"/>
                <w:bCs w:val="0"/>
                <w:lang w:val="en-GB"/>
              </w:rPr>
              <w:t xml:space="preserve"> </w:t>
            </w:r>
            <w:r w:rsidRPr="004D2B9A">
              <w:rPr>
                <w:b w:val="0"/>
                <w:bCs w:val="0"/>
                <w:lang w:val="en-GB"/>
              </w:rPr>
              <w:t>014</w:t>
            </w:r>
          </w:p>
        </w:tc>
        <w:tc>
          <w:tcPr>
            <w:tcW w:w="1939" w:type="dxa"/>
            <w:tcBorders>
              <w:top w:val="nil"/>
              <w:left w:val="nil"/>
              <w:bottom w:val="single" w:sz="4" w:space="0" w:color="auto"/>
              <w:right w:val="single" w:sz="4" w:space="0" w:color="auto"/>
            </w:tcBorders>
            <w:noWrap/>
            <w:vAlign w:val="center"/>
            <w:hideMark/>
          </w:tcPr>
          <w:p w14:paraId="658E4B7A" w14:textId="041974BD" w:rsidR="00583BDE" w:rsidRPr="004D2B9A" w:rsidRDefault="00583BDE" w:rsidP="00075B2F">
            <w:pPr>
              <w:pStyle w:val="tabele"/>
              <w:rPr>
                <w:b w:val="0"/>
                <w:bCs w:val="0"/>
                <w:lang w:val="en-GB"/>
              </w:rPr>
            </w:pPr>
            <w:r w:rsidRPr="004D2B9A">
              <w:rPr>
                <w:b w:val="0"/>
                <w:bCs w:val="0"/>
                <w:lang w:val="en-GB"/>
              </w:rPr>
              <w:t>5</w:t>
            </w:r>
            <w:r w:rsidR="00B96CCF" w:rsidRPr="004D2B9A">
              <w:rPr>
                <w:b w:val="0"/>
                <w:bCs w:val="0"/>
                <w:lang w:val="en-GB"/>
              </w:rPr>
              <w:t xml:space="preserve"> </w:t>
            </w:r>
            <w:r w:rsidRPr="004D2B9A">
              <w:rPr>
                <w:b w:val="0"/>
                <w:bCs w:val="0"/>
                <w:lang w:val="en-GB"/>
              </w:rPr>
              <w:t>950</w:t>
            </w:r>
          </w:p>
        </w:tc>
        <w:tc>
          <w:tcPr>
            <w:tcW w:w="2410" w:type="dxa"/>
            <w:tcBorders>
              <w:top w:val="nil"/>
              <w:left w:val="nil"/>
              <w:bottom w:val="single" w:sz="4" w:space="0" w:color="auto"/>
              <w:right w:val="single" w:sz="4" w:space="0" w:color="auto"/>
            </w:tcBorders>
            <w:noWrap/>
            <w:vAlign w:val="center"/>
            <w:hideMark/>
          </w:tcPr>
          <w:p w14:paraId="1EF265F5" w14:textId="1E6093AF" w:rsidR="00583BDE" w:rsidRPr="004D2B9A" w:rsidRDefault="00583BDE" w:rsidP="00075B2F">
            <w:pPr>
              <w:pStyle w:val="tabele"/>
              <w:rPr>
                <w:b w:val="0"/>
                <w:bCs w:val="0"/>
                <w:lang w:val="en-GB"/>
              </w:rPr>
            </w:pPr>
            <w:r w:rsidRPr="004D2B9A">
              <w:rPr>
                <w:b w:val="0"/>
                <w:bCs w:val="0"/>
                <w:lang w:val="en-GB"/>
              </w:rPr>
              <w:t>9</w:t>
            </w:r>
            <w:r w:rsidR="00B96CCF" w:rsidRPr="004D2B9A">
              <w:rPr>
                <w:b w:val="0"/>
                <w:bCs w:val="0"/>
                <w:lang w:val="en-GB"/>
              </w:rPr>
              <w:t xml:space="preserve"> </w:t>
            </w:r>
            <w:r w:rsidRPr="004D2B9A">
              <w:rPr>
                <w:b w:val="0"/>
                <w:bCs w:val="0"/>
                <w:lang w:val="en-GB"/>
              </w:rPr>
              <w:t>447</w:t>
            </w:r>
          </w:p>
        </w:tc>
      </w:tr>
      <w:tr w:rsidR="00583BDE" w:rsidRPr="004D2B9A" w14:paraId="0EEC0313" w14:textId="77777777" w:rsidTr="004D2B9A">
        <w:trPr>
          <w:trHeight w:val="283"/>
          <w:jc w:val="center"/>
        </w:trPr>
        <w:tc>
          <w:tcPr>
            <w:tcW w:w="1056" w:type="dxa"/>
            <w:tcBorders>
              <w:top w:val="nil"/>
              <w:left w:val="single" w:sz="4" w:space="0" w:color="auto"/>
              <w:bottom w:val="single" w:sz="4" w:space="0" w:color="auto"/>
              <w:right w:val="single" w:sz="4" w:space="0" w:color="auto"/>
            </w:tcBorders>
            <w:noWrap/>
            <w:vAlign w:val="center"/>
            <w:hideMark/>
          </w:tcPr>
          <w:p w14:paraId="0F88BDFA" w14:textId="77777777" w:rsidR="00583BDE" w:rsidRPr="004D2B9A" w:rsidRDefault="00583BDE" w:rsidP="00075B2F">
            <w:pPr>
              <w:pStyle w:val="tabele"/>
              <w:rPr>
                <w:b w:val="0"/>
                <w:bCs w:val="0"/>
                <w:lang w:val="en-GB"/>
              </w:rPr>
            </w:pPr>
            <w:r w:rsidRPr="004D2B9A">
              <w:rPr>
                <w:b w:val="0"/>
                <w:bCs w:val="0"/>
                <w:lang w:val="en-GB"/>
              </w:rPr>
              <w:t>Warszawa</w:t>
            </w:r>
          </w:p>
        </w:tc>
        <w:tc>
          <w:tcPr>
            <w:tcW w:w="2245" w:type="dxa"/>
            <w:tcBorders>
              <w:top w:val="nil"/>
              <w:left w:val="nil"/>
              <w:bottom w:val="single" w:sz="4" w:space="0" w:color="auto"/>
              <w:right w:val="single" w:sz="4" w:space="0" w:color="auto"/>
            </w:tcBorders>
            <w:noWrap/>
            <w:vAlign w:val="center"/>
            <w:hideMark/>
          </w:tcPr>
          <w:p w14:paraId="0BECDF23" w14:textId="13174442" w:rsidR="00583BDE" w:rsidRPr="004D2B9A" w:rsidRDefault="00583BDE" w:rsidP="00075B2F">
            <w:pPr>
              <w:pStyle w:val="tabele"/>
              <w:rPr>
                <w:b w:val="0"/>
                <w:bCs w:val="0"/>
                <w:lang w:val="en-GB"/>
              </w:rPr>
            </w:pPr>
            <w:r w:rsidRPr="004D2B9A">
              <w:rPr>
                <w:b w:val="0"/>
                <w:bCs w:val="0"/>
                <w:lang w:val="en-GB"/>
              </w:rPr>
              <w:t>5</w:t>
            </w:r>
            <w:r w:rsidR="00B96CCF" w:rsidRPr="004D2B9A">
              <w:rPr>
                <w:b w:val="0"/>
                <w:bCs w:val="0"/>
                <w:lang w:val="en-GB"/>
              </w:rPr>
              <w:t xml:space="preserve"> </w:t>
            </w:r>
            <w:r w:rsidRPr="004D2B9A">
              <w:rPr>
                <w:b w:val="0"/>
                <w:bCs w:val="0"/>
                <w:lang w:val="en-GB"/>
              </w:rPr>
              <w:t>200</w:t>
            </w:r>
          </w:p>
        </w:tc>
        <w:tc>
          <w:tcPr>
            <w:tcW w:w="1939" w:type="dxa"/>
            <w:tcBorders>
              <w:top w:val="nil"/>
              <w:left w:val="nil"/>
              <w:bottom w:val="single" w:sz="4" w:space="0" w:color="auto"/>
              <w:right w:val="single" w:sz="4" w:space="0" w:color="auto"/>
            </w:tcBorders>
            <w:noWrap/>
            <w:vAlign w:val="center"/>
            <w:hideMark/>
          </w:tcPr>
          <w:p w14:paraId="193907DA" w14:textId="3665CE16" w:rsidR="00583BDE" w:rsidRPr="004D2B9A" w:rsidRDefault="00583BDE" w:rsidP="00075B2F">
            <w:pPr>
              <w:pStyle w:val="tabele"/>
              <w:rPr>
                <w:b w:val="0"/>
                <w:bCs w:val="0"/>
                <w:lang w:val="en-GB"/>
              </w:rPr>
            </w:pPr>
            <w:r w:rsidRPr="004D2B9A">
              <w:rPr>
                <w:b w:val="0"/>
                <w:bCs w:val="0"/>
                <w:lang w:val="en-GB"/>
              </w:rPr>
              <w:t>6</w:t>
            </w:r>
            <w:r w:rsidR="00B96CCF" w:rsidRPr="004D2B9A">
              <w:rPr>
                <w:b w:val="0"/>
                <w:bCs w:val="0"/>
                <w:lang w:val="en-GB"/>
              </w:rPr>
              <w:t xml:space="preserve"> </w:t>
            </w:r>
            <w:r w:rsidRPr="004D2B9A">
              <w:rPr>
                <w:b w:val="0"/>
                <w:bCs w:val="0"/>
                <w:lang w:val="en-GB"/>
              </w:rPr>
              <w:t>232</w:t>
            </w:r>
          </w:p>
        </w:tc>
        <w:tc>
          <w:tcPr>
            <w:tcW w:w="2410" w:type="dxa"/>
            <w:tcBorders>
              <w:top w:val="nil"/>
              <w:left w:val="nil"/>
              <w:bottom w:val="single" w:sz="4" w:space="0" w:color="auto"/>
              <w:right w:val="single" w:sz="4" w:space="0" w:color="auto"/>
            </w:tcBorders>
            <w:noWrap/>
            <w:vAlign w:val="center"/>
            <w:hideMark/>
          </w:tcPr>
          <w:p w14:paraId="3BEEEA45" w14:textId="63960E31" w:rsidR="00583BDE" w:rsidRPr="004D2B9A" w:rsidRDefault="00583BDE" w:rsidP="00075B2F">
            <w:pPr>
              <w:pStyle w:val="tabele"/>
              <w:rPr>
                <w:b w:val="0"/>
                <w:bCs w:val="0"/>
                <w:lang w:val="en-GB"/>
              </w:rPr>
            </w:pPr>
            <w:r w:rsidRPr="004D2B9A">
              <w:rPr>
                <w:b w:val="0"/>
                <w:bCs w:val="0"/>
                <w:lang w:val="en-GB"/>
              </w:rPr>
              <w:t>9</w:t>
            </w:r>
            <w:r w:rsidR="00B96CCF" w:rsidRPr="004D2B9A">
              <w:rPr>
                <w:b w:val="0"/>
                <w:bCs w:val="0"/>
                <w:lang w:val="en-GB"/>
              </w:rPr>
              <w:t xml:space="preserve"> </w:t>
            </w:r>
            <w:r w:rsidRPr="004D2B9A">
              <w:rPr>
                <w:b w:val="0"/>
                <w:bCs w:val="0"/>
                <w:lang w:val="en-GB"/>
              </w:rPr>
              <w:t>738</w:t>
            </w:r>
          </w:p>
        </w:tc>
      </w:tr>
      <w:tr w:rsidR="00583BDE" w:rsidRPr="004D2B9A" w14:paraId="49663D33" w14:textId="77777777" w:rsidTr="004D2B9A">
        <w:trPr>
          <w:trHeight w:val="283"/>
          <w:jc w:val="center"/>
        </w:trPr>
        <w:tc>
          <w:tcPr>
            <w:tcW w:w="1056" w:type="dxa"/>
            <w:tcBorders>
              <w:top w:val="nil"/>
              <w:left w:val="single" w:sz="4" w:space="0" w:color="auto"/>
              <w:bottom w:val="single" w:sz="4" w:space="0" w:color="auto"/>
              <w:right w:val="single" w:sz="4" w:space="0" w:color="auto"/>
            </w:tcBorders>
            <w:noWrap/>
            <w:vAlign w:val="center"/>
            <w:hideMark/>
          </w:tcPr>
          <w:p w14:paraId="0F3EB092" w14:textId="77777777" w:rsidR="00583BDE" w:rsidRPr="004D2B9A" w:rsidRDefault="00583BDE" w:rsidP="00075B2F">
            <w:pPr>
              <w:pStyle w:val="tabele"/>
              <w:rPr>
                <w:b w:val="0"/>
                <w:bCs w:val="0"/>
                <w:lang w:val="en-GB"/>
              </w:rPr>
            </w:pPr>
            <w:proofErr w:type="spellStart"/>
            <w:r w:rsidRPr="004D2B9A">
              <w:rPr>
                <w:b w:val="0"/>
                <w:bCs w:val="0"/>
                <w:lang w:val="en-GB"/>
              </w:rPr>
              <w:t>Białystok</w:t>
            </w:r>
            <w:proofErr w:type="spellEnd"/>
          </w:p>
        </w:tc>
        <w:tc>
          <w:tcPr>
            <w:tcW w:w="2245" w:type="dxa"/>
            <w:tcBorders>
              <w:top w:val="nil"/>
              <w:left w:val="nil"/>
              <w:bottom w:val="single" w:sz="4" w:space="0" w:color="auto"/>
              <w:right w:val="single" w:sz="4" w:space="0" w:color="auto"/>
            </w:tcBorders>
            <w:noWrap/>
            <w:vAlign w:val="center"/>
            <w:hideMark/>
          </w:tcPr>
          <w:p w14:paraId="73087B25" w14:textId="5DED98F8" w:rsidR="00583BDE" w:rsidRPr="004D2B9A" w:rsidRDefault="00583BDE" w:rsidP="00075B2F">
            <w:pPr>
              <w:pStyle w:val="tabele"/>
              <w:rPr>
                <w:b w:val="0"/>
                <w:bCs w:val="0"/>
                <w:lang w:val="en-GB"/>
              </w:rPr>
            </w:pPr>
            <w:r w:rsidRPr="004D2B9A">
              <w:rPr>
                <w:b w:val="0"/>
                <w:bCs w:val="0"/>
                <w:lang w:val="en-GB"/>
              </w:rPr>
              <w:t>5</w:t>
            </w:r>
            <w:r w:rsidR="00B96CCF" w:rsidRPr="004D2B9A">
              <w:rPr>
                <w:b w:val="0"/>
                <w:bCs w:val="0"/>
                <w:lang w:val="en-GB"/>
              </w:rPr>
              <w:t xml:space="preserve"> </w:t>
            </w:r>
            <w:r w:rsidRPr="004D2B9A">
              <w:rPr>
                <w:b w:val="0"/>
                <w:bCs w:val="0"/>
                <w:lang w:val="en-GB"/>
              </w:rPr>
              <w:t>226</w:t>
            </w:r>
          </w:p>
        </w:tc>
        <w:tc>
          <w:tcPr>
            <w:tcW w:w="1939" w:type="dxa"/>
            <w:tcBorders>
              <w:top w:val="nil"/>
              <w:left w:val="nil"/>
              <w:bottom w:val="single" w:sz="4" w:space="0" w:color="auto"/>
              <w:right w:val="single" w:sz="4" w:space="0" w:color="auto"/>
            </w:tcBorders>
            <w:noWrap/>
            <w:vAlign w:val="center"/>
            <w:hideMark/>
          </w:tcPr>
          <w:p w14:paraId="27693DCB" w14:textId="7D52264C" w:rsidR="00583BDE" w:rsidRPr="004D2B9A" w:rsidRDefault="00583BDE" w:rsidP="00075B2F">
            <w:pPr>
              <w:pStyle w:val="tabele"/>
              <w:rPr>
                <w:b w:val="0"/>
                <w:bCs w:val="0"/>
                <w:lang w:val="en-GB"/>
              </w:rPr>
            </w:pPr>
            <w:r w:rsidRPr="004D2B9A">
              <w:rPr>
                <w:b w:val="0"/>
                <w:bCs w:val="0"/>
                <w:lang w:val="en-GB"/>
              </w:rPr>
              <w:t>6</w:t>
            </w:r>
            <w:r w:rsidR="00B96CCF" w:rsidRPr="004D2B9A">
              <w:rPr>
                <w:b w:val="0"/>
                <w:bCs w:val="0"/>
                <w:lang w:val="en-GB"/>
              </w:rPr>
              <w:t xml:space="preserve"> </w:t>
            </w:r>
            <w:r w:rsidRPr="004D2B9A">
              <w:rPr>
                <w:b w:val="0"/>
                <w:bCs w:val="0"/>
                <w:lang w:val="en-GB"/>
              </w:rPr>
              <w:t>541</w:t>
            </w:r>
          </w:p>
        </w:tc>
        <w:tc>
          <w:tcPr>
            <w:tcW w:w="2410" w:type="dxa"/>
            <w:tcBorders>
              <w:top w:val="nil"/>
              <w:left w:val="nil"/>
              <w:bottom w:val="single" w:sz="4" w:space="0" w:color="auto"/>
              <w:right w:val="single" w:sz="4" w:space="0" w:color="auto"/>
            </w:tcBorders>
            <w:noWrap/>
            <w:vAlign w:val="center"/>
            <w:hideMark/>
          </w:tcPr>
          <w:p w14:paraId="0B745843" w14:textId="77E8C310" w:rsidR="00583BDE" w:rsidRPr="004D2B9A" w:rsidRDefault="00583BDE" w:rsidP="00075B2F">
            <w:pPr>
              <w:pStyle w:val="tabele"/>
              <w:rPr>
                <w:b w:val="0"/>
                <w:bCs w:val="0"/>
                <w:lang w:val="en-GB"/>
              </w:rPr>
            </w:pPr>
            <w:r w:rsidRPr="004D2B9A">
              <w:rPr>
                <w:b w:val="0"/>
                <w:bCs w:val="0"/>
                <w:lang w:val="en-GB"/>
              </w:rPr>
              <w:t>11</w:t>
            </w:r>
            <w:r w:rsidR="00B96CCF" w:rsidRPr="004D2B9A">
              <w:rPr>
                <w:b w:val="0"/>
                <w:bCs w:val="0"/>
                <w:lang w:val="en-GB"/>
              </w:rPr>
              <w:t xml:space="preserve"> </w:t>
            </w:r>
            <w:r w:rsidRPr="004D2B9A">
              <w:rPr>
                <w:b w:val="0"/>
                <w:bCs w:val="0"/>
                <w:lang w:val="en-GB"/>
              </w:rPr>
              <w:t>334</w:t>
            </w:r>
          </w:p>
        </w:tc>
      </w:tr>
      <w:tr w:rsidR="00583BDE" w:rsidRPr="004D2B9A" w14:paraId="1A4A79F2" w14:textId="77777777" w:rsidTr="004D2B9A">
        <w:trPr>
          <w:trHeight w:val="283"/>
          <w:jc w:val="center"/>
        </w:trPr>
        <w:tc>
          <w:tcPr>
            <w:tcW w:w="1056" w:type="dxa"/>
            <w:tcBorders>
              <w:top w:val="nil"/>
              <w:left w:val="single" w:sz="4" w:space="0" w:color="auto"/>
              <w:bottom w:val="single" w:sz="4" w:space="0" w:color="auto"/>
              <w:right w:val="single" w:sz="4" w:space="0" w:color="auto"/>
            </w:tcBorders>
            <w:noWrap/>
            <w:vAlign w:val="center"/>
            <w:hideMark/>
          </w:tcPr>
          <w:p w14:paraId="72469BC0" w14:textId="77777777" w:rsidR="00583BDE" w:rsidRPr="004D2B9A" w:rsidRDefault="00583BDE" w:rsidP="00075B2F">
            <w:pPr>
              <w:pStyle w:val="tabele"/>
              <w:rPr>
                <w:b w:val="0"/>
                <w:bCs w:val="0"/>
                <w:lang w:val="en-GB"/>
              </w:rPr>
            </w:pPr>
            <w:proofErr w:type="spellStart"/>
            <w:r w:rsidRPr="004D2B9A">
              <w:rPr>
                <w:b w:val="0"/>
                <w:bCs w:val="0"/>
                <w:lang w:val="en-GB"/>
              </w:rPr>
              <w:t>Suwałki</w:t>
            </w:r>
            <w:proofErr w:type="spellEnd"/>
          </w:p>
        </w:tc>
        <w:tc>
          <w:tcPr>
            <w:tcW w:w="2245" w:type="dxa"/>
            <w:tcBorders>
              <w:top w:val="nil"/>
              <w:left w:val="nil"/>
              <w:bottom w:val="single" w:sz="4" w:space="0" w:color="auto"/>
              <w:right w:val="single" w:sz="4" w:space="0" w:color="auto"/>
            </w:tcBorders>
            <w:noWrap/>
            <w:vAlign w:val="center"/>
            <w:hideMark/>
          </w:tcPr>
          <w:p w14:paraId="19D206DE" w14:textId="3464AA0F" w:rsidR="00583BDE" w:rsidRPr="004D2B9A" w:rsidRDefault="00583BDE" w:rsidP="00075B2F">
            <w:pPr>
              <w:pStyle w:val="tabele"/>
              <w:rPr>
                <w:b w:val="0"/>
                <w:bCs w:val="0"/>
                <w:lang w:val="en-GB"/>
              </w:rPr>
            </w:pPr>
            <w:r w:rsidRPr="004D2B9A">
              <w:rPr>
                <w:b w:val="0"/>
                <w:bCs w:val="0"/>
                <w:lang w:val="en-GB"/>
              </w:rPr>
              <w:t>5</w:t>
            </w:r>
            <w:r w:rsidR="00B96CCF" w:rsidRPr="004D2B9A">
              <w:rPr>
                <w:b w:val="0"/>
                <w:bCs w:val="0"/>
                <w:lang w:val="en-GB"/>
              </w:rPr>
              <w:t xml:space="preserve"> </w:t>
            </w:r>
            <w:r w:rsidRPr="004D2B9A">
              <w:rPr>
                <w:b w:val="0"/>
                <w:bCs w:val="0"/>
                <w:lang w:val="en-GB"/>
              </w:rPr>
              <w:t>205</w:t>
            </w:r>
          </w:p>
        </w:tc>
        <w:tc>
          <w:tcPr>
            <w:tcW w:w="1939" w:type="dxa"/>
            <w:tcBorders>
              <w:top w:val="nil"/>
              <w:left w:val="nil"/>
              <w:bottom w:val="single" w:sz="4" w:space="0" w:color="auto"/>
              <w:right w:val="single" w:sz="4" w:space="0" w:color="auto"/>
            </w:tcBorders>
            <w:noWrap/>
            <w:vAlign w:val="center"/>
            <w:hideMark/>
          </w:tcPr>
          <w:p w14:paraId="295E3EB4" w14:textId="770F207A" w:rsidR="00583BDE" w:rsidRPr="004D2B9A" w:rsidRDefault="00583BDE" w:rsidP="00075B2F">
            <w:pPr>
              <w:pStyle w:val="tabele"/>
              <w:rPr>
                <w:b w:val="0"/>
                <w:bCs w:val="0"/>
                <w:lang w:val="en-GB"/>
              </w:rPr>
            </w:pPr>
            <w:r w:rsidRPr="004D2B9A">
              <w:rPr>
                <w:b w:val="0"/>
                <w:bCs w:val="0"/>
                <w:lang w:val="en-GB"/>
              </w:rPr>
              <w:t>6</w:t>
            </w:r>
            <w:r w:rsidR="00B96CCF" w:rsidRPr="004D2B9A">
              <w:rPr>
                <w:b w:val="0"/>
                <w:bCs w:val="0"/>
                <w:lang w:val="en-GB"/>
              </w:rPr>
              <w:t xml:space="preserve"> </w:t>
            </w:r>
            <w:r w:rsidRPr="004D2B9A">
              <w:rPr>
                <w:b w:val="0"/>
                <w:bCs w:val="0"/>
                <w:lang w:val="en-GB"/>
              </w:rPr>
              <w:t>834</w:t>
            </w:r>
          </w:p>
        </w:tc>
        <w:tc>
          <w:tcPr>
            <w:tcW w:w="2410" w:type="dxa"/>
            <w:tcBorders>
              <w:top w:val="nil"/>
              <w:left w:val="nil"/>
              <w:bottom w:val="single" w:sz="4" w:space="0" w:color="auto"/>
              <w:right w:val="single" w:sz="4" w:space="0" w:color="auto"/>
            </w:tcBorders>
            <w:noWrap/>
            <w:vAlign w:val="center"/>
            <w:hideMark/>
          </w:tcPr>
          <w:p w14:paraId="1F9840E1" w14:textId="1C3BB60F" w:rsidR="00583BDE" w:rsidRPr="004D2B9A" w:rsidRDefault="00583BDE" w:rsidP="00075B2F">
            <w:pPr>
              <w:pStyle w:val="tabele"/>
              <w:rPr>
                <w:b w:val="0"/>
                <w:bCs w:val="0"/>
                <w:lang w:val="en-GB"/>
              </w:rPr>
            </w:pPr>
            <w:r w:rsidRPr="004D2B9A">
              <w:rPr>
                <w:b w:val="0"/>
                <w:bCs w:val="0"/>
                <w:lang w:val="en-GB"/>
              </w:rPr>
              <w:t>12</w:t>
            </w:r>
            <w:r w:rsidR="00B96CCF" w:rsidRPr="004D2B9A">
              <w:rPr>
                <w:b w:val="0"/>
                <w:bCs w:val="0"/>
                <w:lang w:val="en-GB"/>
              </w:rPr>
              <w:t xml:space="preserve"> </w:t>
            </w:r>
            <w:r w:rsidRPr="004D2B9A">
              <w:rPr>
                <w:b w:val="0"/>
                <w:bCs w:val="0"/>
                <w:lang w:val="en-GB"/>
              </w:rPr>
              <w:t>245</w:t>
            </w:r>
          </w:p>
        </w:tc>
      </w:tr>
    </w:tbl>
    <w:p w14:paraId="6C057A18" w14:textId="77777777" w:rsidR="00310903" w:rsidRPr="004D2B9A" w:rsidRDefault="00310903" w:rsidP="00A4251D">
      <w:pPr>
        <w:rPr>
          <w:lang w:val="en-GB"/>
        </w:rPr>
      </w:pPr>
    </w:p>
    <w:p w14:paraId="28019F37" w14:textId="31AB0435" w:rsidR="00F63DA1" w:rsidRPr="004D2B9A" w:rsidRDefault="008B09AE" w:rsidP="00A4251D">
      <w:pPr>
        <w:rPr>
          <w:lang w:val="en-GB"/>
        </w:rPr>
      </w:pPr>
      <w:r w:rsidRPr="004D2B9A">
        <w:rPr>
          <w:lang w:val="en-GB"/>
        </w:rPr>
        <w:t xml:space="preserve">As expected, the design heating load values for buildings located in cities in successive climate zones increased by approximately constant values, on average by 5.2%, as the design outside air temperature decreased. The energy required to heat buildings </w:t>
      </w:r>
      <w:r w:rsidR="008D7F9E">
        <w:rPr>
          <w:lang w:val="en-GB"/>
        </w:rPr>
        <w:t xml:space="preserve">in </w:t>
      </w:r>
      <w:proofErr w:type="spellStart"/>
      <w:r w:rsidR="008D7F9E">
        <w:rPr>
          <w:lang w:val="en-GB"/>
        </w:rPr>
        <w:t>Koszalin</w:t>
      </w:r>
      <w:proofErr w:type="spellEnd"/>
      <w:r w:rsidR="008D7F9E">
        <w:rPr>
          <w:lang w:val="en-GB"/>
        </w:rPr>
        <w:t xml:space="preserve">, </w:t>
      </w:r>
      <w:proofErr w:type="spellStart"/>
      <w:r w:rsidR="008D7F9E">
        <w:rPr>
          <w:lang w:val="en-GB"/>
        </w:rPr>
        <w:t>Wrocław</w:t>
      </w:r>
      <w:proofErr w:type="spellEnd"/>
      <w:r w:rsidR="008D7F9E">
        <w:rPr>
          <w:lang w:val="en-GB"/>
        </w:rPr>
        <w:t xml:space="preserve">, and Warsaw was significantly lower than for the building in </w:t>
      </w:r>
      <w:proofErr w:type="spellStart"/>
      <w:r w:rsidR="008D7F9E">
        <w:rPr>
          <w:lang w:val="en-GB"/>
        </w:rPr>
        <w:t>Białystok</w:t>
      </w:r>
      <w:proofErr w:type="spellEnd"/>
      <w:r w:rsidR="008D7F9E">
        <w:rPr>
          <w:lang w:val="en-GB"/>
        </w:rPr>
        <w:t>, especially for</w:t>
      </w:r>
      <w:r w:rsidRPr="004D2B9A">
        <w:rPr>
          <w:lang w:val="en-GB"/>
        </w:rPr>
        <w:t xml:space="preserve"> the building in </w:t>
      </w:r>
      <w:proofErr w:type="spellStart"/>
      <w:r w:rsidRPr="004D2B9A">
        <w:rPr>
          <w:lang w:val="en-GB"/>
        </w:rPr>
        <w:t>Suwałki</w:t>
      </w:r>
      <w:proofErr w:type="spellEnd"/>
      <w:r w:rsidRPr="004D2B9A">
        <w:rPr>
          <w:lang w:val="en-GB"/>
        </w:rPr>
        <w:t>. The difference between the cities with extreme results (</w:t>
      </w:r>
      <w:proofErr w:type="spellStart"/>
      <w:r w:rsidRPr="004D2B9A">
        <w:rPr>
          <w:lang w:val="en-GB"/>
        </w:rPr>
        <w:t>Wrocław</w:t>
      </w:r>
      <w:proofErr w:type="spellEnd"/>
      <w:r w:rsidRPr="004D2B9A">
        <w:rPr>
          <w:lang w:val="en-GB"/>
        </w:rPr>
        <w:t xml:space="preserve"> and </w:t>
      </w:r>
      <w:proofErr w:type="spellStart"/>
      <w:r w:rsidRPr="004D2B9A">
        <w:rPr>
          <w:lang w:val="en-GB"/>
        </w:rPr>
        <w:t>Suwałki</w:t>
      </w:r>
      <w:proofErr w:type="spellEnd"/>
      <w:r w:rsidRPr="004D2B9A">
        <w:rPr>
          <w:lang w:val="en-GB"/>
        </w:rPr>
        <w:t xml:space="preserve">) was 29.6%. This is due, among other things, to the lower average outside air temperature during the cold season in </w:t>
      </w:r>
      <w:proofErr w:type="spellStart"/>
      <w:r w:rsidRPr="004D2B9A">
        <w:rPr>
          <w:lang w:val="en-GB"/>
        </w:rPr>
        <w:t>Suwałki</w:t>
      </w:r>
      <w:proofErr w:type="spellEnd"/>
      <w:r w:rsidRPr="004D2B9A">
        <w:rPr>
          <w:lang w:val="en-GB"/>
        </w:rPr>
        <w:t xml:space="preserve"> (1.2°C) than in </w:t>
      </w:r>
      <w:proofErr w:type="spellStart"/>
      <w:r w:rsidRPr="004D2B9A">
        <w:rPr>
          <w:lang w:val="en-GB"/>
        </w:rPr>
        <w:t>Wrocław</w:t>
      </w:r>
      <w:proofErr w:type="spellEnd"/>
      <w:r w:rsidRPr="004D2B9A">
        <w:rPr>
          <w:lang w:val="en-GB"/>
        </w:rPr>
        <w:t xml:space="preserve"> (3.5°C). Further analysis of the phenomenon was possible only after obtaining monthly and hourly results.</w:t>
      </w:r>
    </w:p>
    <w:p w14:paraId="5BCF47AA" w14:textId="6EB69309" w:rsidR="006A2E81" w:rsidRPr="004D2B9A" w:rsidRDefault="5B01E89D" w:rsidP="00A4251D">
      <w:pPr>
        <w:rPr>
          <w:lang w:val="en-GB"/>
        </w:rPr>
      </w:pPr>
      <w:r w:rsidRPr="004D2B9A">
        <w:rPr>
          <w:lang w:val="en-GB"/>
        </w:rPr>
        <w:t xml:space="preserve">When analysing the impact of data from a typical meteorological year for each location, attention was paid to hourly outdoor air temperature values (the lowest average daily value occurred in </w:t>
      </w:r>
      <w:proofErr w:type="spellStart"/>
      <w:r w:rsidRPr="004D2B9A">
        <w:rPr>
          <w:lang w:val="en-GB"/>
        </w:rPr>
        <w:t>Suwałki</w:t>
      </w:r>
      <w:proofErr w:type="spellEnd"/>
      <w:r w:rsidRPr="004D2B9A">
        <w:rPr>
          <w:lang w:val="en-GB"/>
        </w:rPr>
        <w:t xml:space="preserve"> in January) and global solar radiation (the highest average daily value occurred in </w:t>
      </w:r>
      <w:proofErr w:type="spellStart"/>
      <w:r w:rsidRPr="004D2B9A">
        <w:rPr>
          <w:lang w:val="en-GB"/>
        </w:rPr>
        <w:t>Wrocław</w:t>
      </w:r>
      <w:proofErr w:type="spellEnd"/>
      <w:r w:rsidRPr="004D2B9A">
        <w:rPr>
          <w:lang w:val="en-GB"/>
        </w:rPr>
        <w:t xml:space="preserve"> in April) for each city separately.</w:t>
      </w:r>
      <w:r w:rsidR="00703718" w:rsidRPr="004D2B9A">
        <w:rPr>
          <w:lang w:val="en-GB"/>
        </w:rPr>
        <w:t xml:space="preserve"> A summary of these parameters is presented in Table 3.</w:t>
      </w:r>
    </w:p>
    <w:p w14:paraId="4EC84B4A" w14:textId="77777777" w:rsidR="004D2B9A" w:rsidRPr="004D2B9A" w:rsidRDefault="004D2B9A" w:rsidP="00A4251D">
      <w:pPr>
        <w:rPr>
          <w:lang w:val="en-GB"/>
        </w:rPr>
      </w:pPr>
    </w:p>
    <w:p w14:paraId="46091833" w14:textId="444D2CF7" w:rsidR="00FD41CA" w:rsidRPr="004D2B9A" w:rsidRDefault="00703718" w:rsidP="004D2B9A">
      <w:pPr>
        <w:pStyle w:val="Rtab"/>
        <w:rPr>
          <w:lang w:val="en-GB"/>
        </w:rPr>
      </w:pPr>
      <w:r w:rsidRPr="004D2B9A">
        <w:rPr>
          <w:b/>
          <w:bCs/>
          <w:lang w:val="en-GB"/>
        </w:rPr>
        <w:t xml:space="preserve">Table </w:t>
      </w:r>
      <w:r w:rsidR="00F63DA1" w:rsidRPr="004D2B9A">
        <w:rPr>
          <w:b/>
          <w:bCs/>
          <w:lang w:val="en-GB"/>
        </w:rPr>
        <w:t>3</w:t>
      </w:r>
      <w:r w:rsidR="00A4251D" w:rsidRPr="004D2B9A">
        <w:rPr>
          <w:b/>
          <w:bCs/>
          <w:lang w:val="en-GB"/>
        </w:rPr>
        <w:t>.</w:t>
      </w:r>
      <w:r w:rsidR="5B01E89D" w:rsidRPr="004D2B9A">
        <w:rPr>
          <w:lang w:val="en-GB"/>
        </w:rPr>
        <w:t xml:space="preserve"> Monthly summary of results for the analysed locations</w:t>
      </w:r>
    </w:p>
    <w:tbl>
      <w:tblPr>
        <w:tblW w:w="9800" w:type="dxa"/>
        <w:jc w:val="center"/>
        <w:tblCellMar>
          <w:left w:w="70" w:type="dxa"/>
          <w:right w:w="70" w:type="dxa"/>
        </w:tblCellMar>
        <w:tblLook w:val="04A0" w:firstRow="1" w:lastRow="0" w:firstColumn="1" w:lastColumn="0" w:noHBand="0" w:noVBand="1"/>
      </w:tblPr>
      <w:tblGrid>
        <w:gridCol w:w="727"/>
        <w:gridCol w:w="709"/>
        <w:gridCol w:w="850"/>
        <w:gridCol w:w="851"/>
        <w:gridCol w:w="708"/>
        <w:gridCol w:w="567"/>
        <w:gridCol w:w="887"/>
        <w:gridCol w:w="794"/>
        <w:gridCol w:w="645"/>
        <w:gridCol w:w="628"/>
        <w:gridCol w:w="9"/>
        <w:gridCol w:w="847"/>
        <w:gridCol w:w="776"/>
        <w:gridCol w:w="74"/>
        <w:gridCol w:w="728"/>
      </w:tblGrid>
      <w:tr w:rsidR="00AC7CB0" w:rsidRPr="004D2B9A" w14:paraId="2FEEDAE7" w14:textId="77777777" w:rsidTr="00FC1BBF">
        <w:trPr>
          <w:trHeight w:val="315"/>
          <w:jc w:val="center"/>
        </w:trPr>
        <w:tc>
          <w:tcPr>
            <w:tcW w:w="727" w:type="dxa"/>
            <w:tcBorders>
              <w:top w:val="nil"/>
              <w:left w:val="nil"/>
              <w:bottom w:val="nil"/>
              <w:right w:val="nil"/>
            </w:tcBorders>
            <w:noWrap/>
            <w:vAlign w:val="center"/>
            <w:hideMark/>
          </w:tcPr>
          <w:p w14:paraId="5830BF7F" w14:textId="77777777" w:rsidR="00AC7CB0" w:rsidRPr="004D2B9A" w:rsidRDefault="00AC7CB0" w:rsidP="00075B2F">
            <w:pPr>
              <w:pStyle w:val="tabele"/>
              <w:rPr>
                <w:b w:val="0"/>
                <w:bCs w:val="0"/>
                <w:lang w:val="en-GB"/>
              </w:rPr>
            </w:pPr>
          </w:p>
        </w:tc>
        <w:tc>
          <w:tcPr>
            <w:tcW w:w="3118" w:type="dxa"/>
            <w:gridSpan w:val="4"/>
            <w:tcBorders>
              <w:top w:val="single" w:sz="8" w:space="0" w:color="auto"/>
              <w:left w:val="single" w:sz="8" w:space="0" w:color="auto"/>
              <w:bottom w:val="single" w:sz="4" w:space="0" w:color="auto"/>
              <w:right w:val="single" w:sz="8" w:space="0" w:color="000000"/>
            </w:tcBorders>
            <w:noWrap/>
            <w:vAlign w:val="center"/>
            <w:hideMark/>
          </w:tcPr>
          <w:p w14:paraId="612F590E" w14:textId="27B9F669" w:rsidR="00AC7CB0" w:rsidRPr="004D2B9A" w:rsidRDefault="00AC7CB0" w:rsidP="00075B2F">
            <w:pPr>
              <w:pStyle w:val="tabele"/>
              <w:rPr>
                <w:b w:val="0"/>
                <w:bCs w:val="0"/>
                <w:lang w:val="en-GB"/>
              </w:rPr>
            </w:pPr>
            <w:proofErr w:type="spellStart"/>
            <w:r w:rsidRPr="004D2B9A">
              <w:rPr>
                <w:b w:val="0"/>
                <w:bCs w:val="0"/>
                <w:lang w:val="en-GB"/>
              </w:rPr>
              <w:t>Koszalin</w:t>
            </w:r>
            <w:proofErr w:type="spellEnd"/>
            <w:r w:rsidR="00B96CCF" w:rsidRPr="004D2B9A">
              <w:rPr>
                <w:b w:val="0"/>
                <w:bCs w:val="0"/>
                <w:lang w:val="en-GB"/>
              </w:rPr>
              <w:t xml:space="preserve"> </w:t>
            </w:r>
            <w:r w:rsidR="00FC1BBF">
              <w:rPr>
                <w:b w:val="0"/>
                <w:bCs w:val="0"/>
                <w:lang w:val="en-GB"/>
              </w:rPr>
              <w:t>–</w:t>
            </w:r>
            <w:r w:rsidR="00B96CCF" w:rsidRPr="004D2B9A">
              <w:rPr>
                <w:b w:val="0"/>
                <w:bCs w:val="0"/>
                <w:lang w:val="en-GB"/>
              </w:rPr>
              <w:t xml:space="preserve"> </w:t>
            </w:r>
            <w:r w:rsidR="00703718" w:rsidRPr="004D2B9A">
              <w:rPr>
                <w:b w:val="0"/>
                <w:bCs w:val="0"/>
                <w:lang w:val="en-GB"/>
              </w:rPr>
              <w:t>Z</w:t>
            </w:r>
            <w:r w:rsidR="00075B2F" w:rsidRPr="004D2B9A">
              <w:rPr>
                <w:b w:val="0"/>
                <w:bCs w:val="0"/>
                <w:lang w:val="en-GB"/>
              </w:rPr>
              <w:t>one</w:t>
            </w:r>
            <w:r w:rsidR="00B96CCF" w:rsidRPr="004D2B9A">
              <w:rPr>
                <w:b w:val="0"/>
                <w:bCs w:val="0"/>
                <w:lang w:val="en-GB"/>
              </w:rPr>
              <w:t xml:space="preserve"> </w:t>
            </w:r>
            <w:r w:rsidRPr="004D2B9A">
              <w:rPr>
                <w:b w:val="0"/>
                <w:bCs w:val="0"/>
                <w:lang w:val="en-GB"/>
              </w:rPr>
              <w:t>I</w:t>
            </w:r>
            <w:r w:rsidR="00B96CCF" w:rsidRPr="004D2B9A">
              <w:rPr>
                <w:b w:val="0"/>
                <w:bCs w:val="0"/>
                <w:lang w:val="en-GB"/>
              </w:rPr>
              <w:t xml:space="preserve"> </w:t>
            </w:r>
            <w:r w:rsidRPr="004D2B9A">
              <w:rPr>
                <w:b w:val="0"/>
                <w:bCs w:val="0"/>
                <w:lang w:val="en-GB"/>
              </w:rPr>
              <w:t>(-16°C)</w:t>
            </w:r>
          </w:p>
        </w:tc>
        <w:tc>
          <w:tcPr>
            <w:tcW w:w="2893" w:type="dxa"/>
            <w:gridSpan w:val="4"/>
            <w:tcBorders>
              <w:top w:val="single" w:sz="8" w:space="0" w:color="auto"/>
              <w:left w:val="nil"/>
              <w:bottom w:val="single" w:sz="4" w:space="0" w:color="auto"/>
              <w:right w:val="single" w:sz="8" w:space="0" w:color="000000"/>
            </w:tcBorders>
            <w:noWrap/>
            <w:vAlign w:val="center"/>
            <w:hideMark/>
          </w:tcPr>
          <w:p w14:paraId="707859D5" w14:textId="3727E9AB" w:rsidR="00AC7CB0" w:rsidRPr="004D2B9A" w:rsidRDefault="00AC7CB0" w:rsidP="00075B2F">
            <w:pPr>
              <w:pStyle w:val="tabele"/>
              <w:rPr>
                <w:b w:val="0"/>
                <w:bCs w:val="0"/>
                <w:lang w:val="en-GB"/>
              </w:rPr>
            </w:pPr>
            <w:proofErr w:type="spellStart"/>
            <w:r w:rsidRPr="004D2B9A">
              <w:rPr>
                <w:b w:val="0"/>
                <w:bCs w:val="0"/>
                <w:lang w:val="en-GB"/>
              </w:rPr>
              <w:t>Wrocław</w:t>
            </w:r>
            <w:proofErr w:type="spellEnd"/>
            <w:r w:rsidR="00B96CCF" w:rsidRPr="004D2B9A">
              <w:rPr>
                <w:b w:val="0"/>
                <w:bCs w:val="0"/>
                <w:lang w:val="en-GB"/>
              </w:rPr>
              <w:t xml:space="preserve"> </w:t>
            </w:r>
            <w:r w:rsidR="00FC1BBF">
              <w:rPr>
                <w:b w:val="0"/>
                <w:bCs w:val="0"/>
                <w:lang w:val="en-GB"/>
              </w:rPr>
              <w:t>–</w:t>
            </w:r>
            <w:r w:rsidR="00B96CCF" w:rsidRPr="004D2B9A">
              <w:rPr>
                <w:b w:val="0"/>
                <w:bCs w:val="0"/>
                <w:lang w:val="en-GB"/>
              </w:rPr>
              <w:t xml:space="preserve"> </w:t>
            </w:r>
            <w:r w:rsidR="00703718" w:rsidRPr="004D2B9A">
              <w:rPr>
                <w:b w:val="0"/>
                <w:bCs w:val="0"/>
                <w:lang w:val="en-GB"/>
              </w:rPr>
              <w:t>Z</w:t>
            </w:r>
            <w:r w:rsidR="00075B2F" w:rsidRPr="004D2B9A">
              <w:rPr>
                <w:b w:val="0"/>
                <w:bCs w:val="0"/>
                <w:lang w:val="en-GB"/>
              </w:rPr>
              <w:t>one</w:t>
            </w:r>
            <w:r w:rsidR="00B96CCF" w:rsidRPr="004D2B9A">
              <w:rPr>
                <w:b w:val="0"/>
                <w:bCs w:val="0"/>
                <w:lang w:val="en-GB"/>
              </w:rPr>
              <w:t xml:space="preserve"> </w:t>
            </w:r>
            <w:r w:rsidRPr="004D2B9A">
              <w:rPr>
                <w:b w:val="0"/>
                <w:bCs w:val="0"/>
                <w:lang w:val="en-GB"/>
              </w:rPr>
              <w:t>II</w:t>
            </w:r>
            <w:r w:rsidR="00B96CCF" w:rsidRPr="004D2B9A">
              <w:rPr>
                <w:b w:val="0"/>
                <w:bCs w:val="0"/>
                <w:lang w:val="en-GB"/>
              </w:rPr>
              <w:t xml:space="preserve"> </w:t>
            </w:r>
            <w:r w:rsidRPr="004D2B9A">
              <w:rPr>
                <w:b w:val="0"/>
                <w:bCs w:val="0"/>
                <w:lang w:val="en-GB"/>
              </w:rPr>
              <w:t>(-18°C)</w:t>
            </w:r>
          </w:p>
        </w:tc>
        <w:tc>
          <w:tcPr>
            <w:tcW w:w="3062" w:type="dxa"/>
            <w:gridSpan w:val="6"/>
            <w:tcBorders>
              <w:top w:val="single" w:sz="8" w:space="0" w:color="auto"/>
              <w:left w:val="nil"/>
              <w:bottom w:val="single" w:sz="4" w:space="0" w:color="auto"/>
              <w:right w:val="single" w:sz="8" w:space="0" w:color="000000"/>
            </w:tcBorders>
            <w:noWrap/>
            <w:vAlign w:val="center"/>
            <w:hideMark/>
          </w:tcPr>
          <w:p w14:paraId="541B21DC" w14:textId="4B684A6F" w:rsidR="00AC7CB0" w:rsidRPr="004D2B9A" w:rsidRDefault="00AC7CB0" w:rsidP="00075B2F">
            <w:pPr>
              <w:pStyle w:val="tabele"/>
              <w:rPr>
                <w:b w:val="0"/>
                <w:bCs w:val="0"/>
                <w:lang w:val="en-GB"/>
              </w:rPr>
            </w:pPr>
            <w:r w:rsidRPr="004D2B9A">
              <w:rPr>
                <w:b w:val="0"/>
                <w:bCs w:val="0"/>
                <w:lang w:val="en-GB"/>
              </w:rPr>
              <w:t>Warszawa</w:t>
            </w:r>
            <w:r w:rsidR="00B96CCF" w:rsidRPr="004D2B9A">
              <w:rPr>
                <w:b w:val="0"/>
                <w:bCs w:val="0"/>
                <w:lang w:val="en-GB"/>
              </w:rPr>
              <w:t xml:space="preserve"> </w:t>
            </w:r>
            <w:r w:rsidR="00FC1BBF">
              <w:rPr>
                <w:b w:val="0"/>
                <w:bCs w:val="0"/>
                <w:lang w:val="en-GB"/>
              </w:rPr>
              <w:t>–</w:t>
            </w:r>
            <w:r w:rsidR="00B96CCF" w:rsidRPr="004D2B9A">
              <w:rPr>
                <w:b w:val="0"/>
                <w:bCs w:val="0"/>
                <w:lang w:val="en-GB"/>
              </w:rPr>
              <w:t xml:space="preserve"> </w:t>
            </w:r>
            <w:r w:rsidR="00703718" w:rsidRPr="004D2B9A">
              <w:rPr>
                <w:b w:val="0"/>
                <w:bCs w:val="0"/>
                <w:lang w:val="en-GB"/>
              </w:rPr>
              <w:t>Z</w:t>
            </w:r>
            <w:r w:rsidR="00075B2F" w:rsidRPr="004D2B9A">
              <w:rPr>
                <w:b w:val="0"/>
                <w:bCs w:val="0"/>
                <w:lang w:val="en-GB"/>
              </w:rPr>
              <w:t>one</w:t>
            </w:r>
            <w:r w:rsidR="00B96CCF" w:rsidRPr="004D2B9A">
              <w:rPr>
                <w:b w:val="0"/>
                <w:bCs w:val="0"/>
                <w:lang w:val="en-GB"/>
              </w:rPr>
              <w:t xml:space="preserve"> </w:t>
            </w:r>
            <w:r w:rsidRPr="004D2B9A">
              <w:rPr>
                <w:b w:val="0"/>
                <w:bCs w:val="0"/>
                <w:lang w:val="en-GB"/>
              </w:rPr>
              <w:t>III</w:t>
            </w:r>
            <w:r w:rsidR="00B96CCF" w:rsidRPr="004D2B9A">
              <w:rPr>
                <w:b w:val="0"/>
                <w:bCs w:val="0"/>
                <w:lang w:val="en-GB"/>
              </w:rPr>
              <w:t xml:space="preserve"> </w:t>
            </w:r>
            <w:r w:rsidRPr="004D2B9A">
              <w:rPr>
                <w:b w:val="0"/>
                <w:bCs w:val="0"/>
                <w:lang w:val="en-GB"/>
              </w:rPr>
              <w:t>(-20°C)</w:t>
            </w:r>
          </w:p>
        </w:tc>
      </w:tr>
      <w:tr w:rsidR="00785518" w:rsidRPr="004D2B9A" w14:paraId="2768957D" w14:textId="77777777" w:rsidTr="00FC1BBF">
        <w:trPr>
          <w:trHeight w:val="511"/>
          <w:jc w:val="center"/>
        </w:trPr>
        <w:tc>
          <w:tcPr>
            <w:tcW w:w="727" w:type="dxa"/>
            <w:tcBorders>
              <w:top w:val="single" w:sz="8" w:space="0" w:color="auto"/>
              <w:left w:val="single" w:sz="8" w:space="0" w:color="auto"/>
              <w:bottom w:val="single" w:sz="4" w:space="0" w:color="auto"/>
              <w:right w:val="single" w:sz="8" w:space="0" w:color="auto"/>
            </w:tcBorders>
            <w:noWrap/>
            <w:vAlign w:val="center"/>
            <w:hideMark/>
          </w:tcPr>
          <w:p w14:paraId="79508B8F" w14:textId="481C18FC" w:rsidR="00785518" w:rsidRPr="004D2B9A" w:rsidRDefault="00785518" w:rsidP="00785518">
            <w:pPr>
              <w:pStyle w:val="tabele"/>
              <w:rPr>
                <w:b w:val="0"/>
                <w:bCs w:val="0"/>
                <w:lang w:val="en-GB"/>
              </w:rPr>
            </w:pPr>
            <w:r w:rsidRPr="004D2B9A">
              <w:rPr>
                <w:b w:val="0"/>
                <w:bCs w:val="0"/>
                <w:lang w:val="en-GB"/>
              </w:rPr>
              <w:t>Month</w:t>
            </w:r>
          </w:p>
        </w:tc>
        <w:tc>
          <w:tcPr>
            <w:tcW w:w="709" w:type="dxa"/>
            <w:tcBorders>
              <w:top w:val="nil"/>
              <w:left w:val="nil"/>
              <w:bottom w:val="single" w:sz="4" w:space="0" w:color="auto"/>
              <w:right w:val="single" w:sz="4" w:space="0" w:color="auto"/>
            </w:tcBorders>
            <w:vAlign w:val="center"/>
            <w:hideMark/>
          </w:tcPr>
          <w:p w14:paraId="2206DD45" w14:textId="4EC6A789" w:rsidR="00785518" w:rsidRPr="004D2B9A" w:rsidRDefault="00785518" w:rsidP="00785518">
            <w:pPr>
              <w:pStyle w:val="tabele"/>
              <w:rPr>
                <w:b w:val="0"/>
                <w:bCs w:val="0"/>
                <w:lang w:val="en-GB"/>
              </w:rPr>
            </w:pPr>
            <w:r w:rsidRPr="004D2B9A">
              <w:rPr>
                <w:b w:val="0"/>
                <w:bCs w:val="0"/>
                <w:lang w:val="en-GB"/>
              </w:rPr>
              <w:t>time</w:t>
            </w:r>
            <w:r w:rsidR="00B96CCF" w:rsidRPr="004D2B9A">
              <w:rPr>
                <w:b w:val="0"/>
                <w:bCs w:val="0"/>
                <w:lang w:val="en-GB"/>
              </w:rPr>
              <w:t xml:space="preserve"> </w:t>
            </w:r>
            <w:r w:rsidR="00703718" w:rsidRPr="004D2B9A">
              <w:rPr>
                <w:b w:val="0"/>
                <w:bCs w:val="0"/>
                <w:lang w:val="en-GB"/>
              </w:rPr>
              <w:t>CS</w:t>
            </w:r>
          </w:p>
        </w:tc>
        <w:tc>
          <w:tcPr>
            <w:tcW w:w="850" w:type="dxa"/>
            <w:tcBorders>
              <w:top w:val="nil"/>
              <w:left w:val="nil"/>
              <w:bottom w:val="single" w:sz="4" w:space="0" w:color="auto"/>
              <w:right w:val="single" w:sz="4" w:space="0" w:color="auto"/>
            </w:tcBorders>
            <w:vAlign w:val="center"/>
            <w:hideMark/>
          </w:tcPr>
          <w:p w14:paraId="7C635E54" w14:textId="7F85C97A" w:rsidR="00785518" w:rsidRPr="004D2B9A" w:rsidRDefault="00785518" w:rsidP="00785518">
            <w:pPr>
              <w:pStyle w:val="tabele"/>
              <w:rPr>
                <w:b w:val="0"/>
                <w:bCs w:val="0"/>
                <w:lang w:val="en-GB"/>
              </w:rPr>
            </w:pPr>
            <w:r w:rsidRPr="004D2B9A">
              <w:rPr>
                <w:b w:val="0"/>
                <w:bCs w:val="0"/>
                <w:lang w:val="en-GB"/>
              </w:rPr>
              <w:t>avg.</w:t>
            </w:r>
            <w:r w:rsidR="00B96CCF" w:rsidRPr="004D2B9A">
              <w:rPr>
                <w:b w:val="0"/>
                <w:bCs w:val="0"/>
                <w:lang w:val="en-GB"/>
              </w:rPr>
              <w:t xml:space="preserve"> </w:t>
            </w:r>
            <w:r w:rsidRPr="004D2B9A">
              <w:rPr>
                <w:b w:val="0"/>
                <w:bCs w:val="0"/>
                <w:lang w:val="en-GB"/>
              </w:rPr>
              <w:t>air</w:t>
            </w:r>
            <w:r w:rsidR="00B96CCF" w:rsidRPr="004D2B9A">
              <w:rPr>
                <w:b w:val="0"/>
                <w:bCs w:val="0"/>
                <w:lang w:val="en-GB"/>
              </w:rPr>
              <w:t xml:space="preserve"> </w:t>
            </w:r>
            <w:r w:rsidRPr="004D2B9A">
              <w:rPr>
                <w:b w:val="0"/>
                <w:bCs w:val="0"/>
                <w:lang w:val="en-GB"/>
              </w:rPr>
              <w:t>temp.</w:t>
            </w:r>
          </w:p>
        </w:tc>
        <w:tc>
          <w:tcPr>
            <w:tcW w:w="851" w:type="dxa"/>
            <w:tcBorders>
              <w:top w:val="nil"/>
              <w:left w:val="nil"/>
              <w:bottom w:val="single" w:sz="4" w:space="0" w:color="auto"/>
              <w:right w:val="single" w:sz="4" w:space="0" w:color="auto"/>
            </w:tcBorders>
            <w:vAlign w:val="center"/>
            <w:hideMark/>
          </w:tcPr>
          <w:p w14:paraId="0B26BA8C" w14:textId="30682464" w:rsidR="00785518" w:rsidRPr="00FC1BBF" w:rsidRDefault="00785518" w:rsidP="00FC1BBF">
            <w:pPr>
              <w:pStyle w:val="tabele"/>
              <w:ind w:left="-84" w:right="-56"/>
              <w:rPr>
                <w:b w:val="0"/>
                <w:bCs w:val="0"/>
                <w:spacing w:val="-4"/>
                <w:lang w:val="en-GB"/>
              </w:rPr>
            </w:pPr>
            <w:r w:rsidRPr="00FC1BBF">
              <w:rPr>
                <w:b w:val="0"/>
                <w:bCs w:val="0"/>
                <w:spacing w:val="-4"/>
                <w:lang w:val="en-GB"/>
              </w:rPr>
              <w:t>avg.</w:t>
            </w:r>
            <w:r w:rsidR="00B96CCF" w:rsidRPr="00FC1BBF">
              <w:rPr>
                <w:b w:val="0"/>
                <w:bCs w:val="0"/>
                <w:spacing w:val="-4"/>
                <w:lang w:val="en-GB"/>
              </w:rPr>
              <w:t xml:space="preserve"> </w:t>
            </w:r>
            <w:r w:rsidR="00FC1BBF">
              <w:rPr>
                <w:b w:val="0"/>
                <w:bCs w:val="0"/>
                <w:spacing w:val="-4"/>
                <w:lang w:val="en-GB"/>
              </w:rPr>
              <w:br/>
            </w:r>
            <w:r w:rsidRPr="00FC1BBF">
              <w:rPr>
                <w:b w:val="0"/>
                <w:bCs w:val="0"/>
                <w:spacing w:val="-4"/>
                <w:lang w:val="en-GB"/>
              </w:rPr>
              <w:t>solar</w:t>
            </w:r>
            <w:r w:rsidR="00B96CCF" w:rsidRPr="00FC1BBF">
              <w:rPr>
                <w:b w:val="0"/>
                <w:bCs w:val="0"/>
                <w:spacing w:val="-4"/>
                <w:lang w:val="en-GB"/>
              </w:rPr>
              <w:t xml:space="preserve"> </w:t>
            </w:r>
            <w:r w:rsidRPr="00FC1BBF">
              <w:rPr>
                <w:b w:val="0"/>
                <w:bCs w:val="0"/>
                <w:spacing w:val="-4"/>
                <w:lang w:val="en-GB"/>
              </w:rPr>
              <w:t>rad.</w:t>
            </w:r>
          </w:p>
        </w:tc>
        <w:tc>
          <w:tcPr>
            <w:tcW w:w="708" w:type="dxa"/>
            <w:tcBorders>
              <w:top w:val="nil"/>
              <w:left w:val="nil"/>
              <w:bottom w:val="single" w:sz="4" w:space="0" w:color="auto"/>
              <w:right w:val="single" w:sz="8" w:space="0" w:color="auto"/>
            </w:tcBorders>
            <w:noWrap/>
            <w:vAlign w:val="center"/>
            <w:hideMark/>
          </w:tcPr>
          <w:p w14:paraId="67CF546A" w14:textId="77777777" w:rsidR="00785518" w:rsidRPr="004D2B9A" w:rsidRDefault="00785518" w:rsidP="00785518">
            <w:pPr>
              <w:pStyle w:val="tabele"/>
              <w:rPr>
                <w:b w:val="0"/>
                <w:bCs w:val="0"/>
                <w:lang w:val="en-GB"/>
              </w:rPr>
            </w:pPr>
            <w:proofErr w:type="spellStart"/>
            <w:r w:rsidRPr="004D2B9A">
              <w:rPr>
                <w:b w:val="0"/>
                <w:bCs w:val="0"/>
                <w:lang w:val="en-GB"/>
              </w:rPr>
              <w:t>EU'm</w:t>
            </w:r>
            <w:proofErr w:type="spellEnd"/>
          </w:p>
        </w:tc>
        <w:tc>
          <w:tcPr>
            <w:tcW w:w="567" w:type="dxa"/>
            <w:tcBorders>
              <w:top w:val="nil"/>
              <w:left w:val="nil"/>
              <w:bottom w:val="single" w:sz="4" w:space="0" w:color="auto"/>
              <w:right w:val="single" w:sz="4" w:space="0" w:color="auto"/>
            </w:tcBorders>
            <w:vAlign w:val="center"/>
            <w:hideMark/>
          </w:tcPr>
          <w:p w14:paraId="17E65242" w14:textId="06E02EFF" w:rsidR="00785518" w:rsidRPr="004D2B9A" w:rsidRDefault="00785518" w:rsidP="00785518">
            <w:pPr>
              <w:pStyle w:val="tabele"/>
              <w:rPr>
                <w:b w:val="0"/>
                <w:bCs w:val="0"/>
                <w:lang w:val="en-GB"/>
              </w:rPr>
            </w:pPr>
            <w:r w:rsidRPr="004D2B9A">
              <w:rPr>
                <w:b w:val="0"/>
                <w:bCs w:val="0"/>
                <w:lang w:val="en-GB"/>
              </w:rPr>
              <w:t>time</w:t>
            </w:r>
            <w:r w:rsidR="00B96CCF" w:rsidRPr="004D2B9A">
              <w:rPr>
                <w:b w:val="0"/>
                <w:bCs w:val="0"/>
                <w:lang w:val="en-GB"/>
              </w:rPr>
              <w:t xml:space="preserve"> </w:t>
            </w:r>
            <w:r w:rsidR="00703718" w:rsidRPr="004D2B9A">
              <w:rPr>
                <w:b w:val="0"/>
                <w:bCs w:val="0"/>
                <w:lang w:val="en-GB"/>
              </w:rPr>
              <w:t>C</w:t>
            </w:r>
            <w:r w:rsidRPr="004D2B9A">
              <w:rPr>
                <w:b w:val="0"/>
                <w:bCs w:val="0"/>
                <w:lang w:val="en-GB"/>
              </w:rPr>
              <w:t>S</w:t>
            </w:r>
          </w:p>
        </w:tc>
        <w:tc>
          <w:tcPr>
            <w:tcW w:w="887" w:type="dxa"/>
            <w:tcBorders>
              <w:top w:val="nil"/>
              <w:left w:val="nil"/>
              <w:bottom w:val="single" w:sz="4" w:space="0" w:color="auto"/>
              <w:right w:val="single" w:sz="4" w:space="0" w:color="auto"/>
            </w:tcBorders>
            <w:vAlign w:val="center"/>
            <w:hideMark/>
          </w:tcPr>
          <w:p w14:paraId="79EE6917" w14:textId="5E9CDD2E" w:rsidR="00785518" w:rsidRPr="004D2B9A" w:rsidRDefault="00785518" w:rsidP="00785518">
            <w:pPr>
              <w:pStyle w:val="tabele"/>
              <w:rPr>
                <w:b w:val="0"/>
                <w:bCs w:val="0"/>
                <w:lang w:val="en-GB"/>
              </w:rPr>
            </w:pPr>
            <w:r w:rsidRPr="004D2B9A">
              <w:rPr>
                <w:b w:val="0"/>
                <w:bCs w:val="0"/>
                <w:lang w:val="en-GB"/>
              </w:rPr>
              <w:t>avg.</w:t>
            </w:r>
            <w:r w:rsidR="00B96CCF" w:rsidRPr="004D2B9A">
              <w:rPr>
                <w:b w:val="0"/>
                <w:bCs w:val="0"/>
                <w:lang w:val="en-GB"/>
              </w:rPr>
              <w:t xml:space="preserve"> </w:t>
            </w:r>
            <w:r w:rsidRPr="004D2B9A">
              <w:rPr>
                <w:b w:val="0"/>
                <w:bCs w:val="0"/>
                <w:lang w:val="en-GB"/>
              </w:rPr>
              <w:t>air</w:t>
            </w:r>
            <w:r w:rsidR="00B96CCF" w:rsidRPr="004D2B9A">
              <w:rPr>
                <w:b w:val="0"/>
                <w:bCs w:val="0"/>
                <w:lang w:val="en-GB"/>
              </w:rPr>
              <w:t xml:space="preserve"> </w:t>
            </w:r>
            <w:r w:rsidRPr="004D2B9A">
              <w:rPr>
                <w:b w:val="0"/>
                <w:bCs w:val="0"/>
                <w:lang w:val="en-GB"/>
              </w:rPr>
              <w:t>temp.</w:t>
            </w:r>
          </w:p>
        </w:tc>
        <w:tc>
          <w:tcPr>
            <w:tcW w:w="794" w:type="dxa"/>
            <w:tcBorders>
              <w:top w:val="nil"/>
              <w:left w:val="nil"/>
              <w:bottom w:val="single" w:sz="4" w:space="0" w:color="auto"/>
              <w:right w:val="single" w:sz="4" w:space="0" w:color="auto"/>
            </w:tcBorders>
            <w:vAlign w:val="center"/>
            <w:hideMark/>
          </w:tcPr>
          <w:p w14:paraId="4A42A39F" w14:textId="2648DE1B" w:rsidR="00785518" w:rsidRPr="00FC1BBF" w:rsidRDefault="00785518" w:rsidP="00FC1BBF">
            <w:pPr>
              <w:pStyle w:val="tabele"/>
              <w:ind w:left="-127" w:right="-153"/>
              <w:rPr>
                <w:b w:val="0"/>
                <w:bCs w:val="0"/>
                <w:spacing w:val="-4"/>
                <w:lang w:val="en-GB"/>
              </w:rPr>
            </w:pPr>
            <w:r w:rsidRPr="00FC1BBF">
              <w:rPr>
                <w:b w:val="0"/>
                <w:bCs w:val="0"/>
                <w:spacing w:val="-4"/>
                <w:lang w:val="en-GB"/>
              </w:rPr>
              <w:t>avg.</w:t>
            </w:r>
            <w:r w:rsidR="00B96CCF" w:rsidRPr="00FC1BBF">
              <w:rPr>
                <w:b w:val="0"/>
                <w:bCs w:val="0"/>
                <w:spacing w:val="-4"/>
                <w:lang w:val="en-GB"/>
              </w:rPr>
              <w:t xml:space="preserve"> </w:t>
            </w:r>
            <w:r w:rsidR="00FC1BBF">
              <w:rPr>
                <w:b w:val="0"/>
                <w:bCs w:val="0"/>
                <w:spacing w:val="-4"/>
                <w:lang w:val="en-GB"/>
              </w:rPr>
              <w:br/>
            </w:r>
            <w:r w:rsidRPr="00FC1BBF">
              <w:rPr>
                <w:b w:val="0"/>
                <w:bCs w:val="0"/>
                <w:spacing w:val="-4"/>
                <w:lang w:val="en-GB"/>
              </w:rPr>
              <w:t>solar</w:t>
            </w:r>
            <w:r w:rsidR="00B96CCF" w:rsidRPr="00FC1BBF">
              <w:rPr>
                <w:b w:val="0"/>
                <w:bCs w:val="0"/>
                <w:spacing w:val="-4"/>
                <w:lang w:val="en-GB"/>
              </w:rPr>
              <w:t xml:space="preserve"> </w:t>
            </w:r>
            <w:r w:rsidRPr="00FC1BBF">
              <w:rPr>
                <w:b w:val="0"/>
                <w:bCs w:val="0"/>
                <w:spacing w:val="-4"/>
                <w:lang w:val="en-GB"/>
              </w:rPr>
              <w:t>rad.</w:t>
            </w:r>
          </w:p>
        </w:tc>
        <w:tc>
          <w:tcPr>
            <w:tcW w:w="645" w:type="dxa"/>
            <w:tcBorders>
              <w:top w:val="nil"/>
              <w:left w:val="nil"/>
              <w:bottom w:val="single" w:sz="4" w:space="0" w:color="auto"/>
              <w:right w:val="single" w:sz="8" w:space="0" w:color="auto"/>
            </w:tcBorders>
            <w:noWrap/>
            <w:vAlign w:val="center"/>
            <w:hideMark/>
          </w:tcPr>
          <w:p w14:paraId="798BE5CC" w14:textId="77777777" w:rsidR="00785518" w:rsidRPr="004D2B9A" w:rsidRDefault="00785518" w:rsidP="00785518">
            <w:pPr>
              <w:pStyle w:val="tabele"/>
              <w:rPr>
                <w:b w:val="0"/>
                <w:bCs w:val="0"/>
                <w:lang w:val="en-GB"/>
              </w:rPr>
            </w:pPr>
            <w:proofErr w:type="spellStart"/>
            <w:r w:rsidRPr="004D2B9A">
              <w:rPr>
                <w:b w:val="0"/>
                <w:bCs w:val="0"/>
                <w:lang w:val="en-GB"/>
              </w:rPr>
              <w:t>EU'm</w:t>
            </w:r>
            <w:proofErr w:type="spellEnd"/>
          </w:p>
        </w:tc>
        <w:tc>
          <w:tcPr>
            <w:tcW w:w="637" w:type="dxa"/>
            <w:gridSpan w:val="2"/>
            <w:tcBorders>
              <w:top w:val="nil"/>
              <w:left w:val="nil"/>
              <w:bottom w:val="single" w:sz="4" w:space="0" w:color="auto"/>
              <w:right w:val="single" w:sz="4" w:space="0" w:color="auto"/>
            </w:tcBorders>
            <w:vAlign w:val="center"/>
            <w:hideMark/>
          </w:tcPr>
          <w:p w14:paraId="06FBB78D" w14:textId="428BC9A2" w:rsidR="00785518" w:rsidRPr="004D2B9A" w:rsidRDefault="00785518" w:rsidP="00785518">
            <w:pPr>
              <w:pStyle w:val="tabele"/>
              <w:rPr>
                <w:b w:val="0"/>
                <w:bCs w:val="0"/>
                <w:lang w:val="en-GB"/>
              </w:rPr>
            </w:pPr>
            <w:r w:rsidRPr="004D2B9A">
              <w:rPr>
                <w:b w:val="0"/>
                <w:bCs w:val="0"/>
                <w:lang w:val="en-GB"/>
              </w:rPr>
              <w:t>time</w:t>
            </w:r>
            <w:r w:rsidR="00B96CCF" w:rsidRPr="004D2B9A">
              <w:rPr>
                <w:b w:val="0"/>
                <w:bCs w:val="0"/>
                <w:lang w:val="en-GB"/>
              </w:rPr>
              <w:t xml:space="preserve"> </w:t>
            </w:r>
            <w:r w:rsidR="00703718" w:rsidRPr="004D2B9A">
              <w:rPr>
                <w:b w:val="0"/>
                <w:bCs w:val="0"/>
                <w:lang w:val="en-GB"/>
              </w:rPr>
              <w:t>C</w:t>
            </w:r>
            <w:r w:rsidRPr="004D2B9A">
              <w:rPr>
                <w:b w:val="0"/>
                <w:bCs w:val="0"/>
                <w:lang w:val="en-GB"/>
              </w:rPr>
              <w:t>S</w:t>
            </w:r>
          </w:p>
        </w:tc>
        <w:tc>
          <w:tcPr>
            <w:tcW w:w="847" w:type="dxa"/>
            <w:tcBorders>
              <w:top w:val="nil"/>
              <w:left w:val="nil"/>
              <w:bottom w:val="single" w:sz="4" w:space="0" w:color="auto"/>
              <w:right w:val="single" w:sz="4" w:space="0" w:color="auto"/>
            </w:tcBorders>
            <w:vAlign w:val="center"/>
            <w:hideMark/>
          </w:tcPr>
          <w:p w14:paraId="01BD5A31" w14:textId="39B6882E" w:rsidR="00785518" w:rsidRPr="004D2B9A" w:rsidRDefault="00785518" w:rsidP="00785518">
            <w:pPr>
              <w:pStyle w:val="tabele"/>
              <w:rPr>
                <w:b w:val="0"/>
                <w:bCs w:val="0"/>
                <w:lang w:val="en-GB"/>
              </w:rPr>
            </w:pPr>
            <w:r w:rsidRPr="004D2B9A">
              <w:rPr>
                <w:b w:val="0"/>
                <w:bCs w:val="0"/>
                <w:lang w:val="en-GB"/>
              </w:rPr>
              <w:t>avg.</w:t>
            </w:r>
            <w:r w:rsidR="00B96CCF" w:rsidRPr="004D2B9A">
              <w:rPr>
                <w:b w:val="0"/>
                <w:bCs w:val="0"/>
                <w:lang w:val="en-GB"/>
              </w:rPr>
              <w:t xml:space="preserve"> </w:t>
            </w:r>
            <w:r w:rsidRPr="004D2B9A">
              <w:rPr>
                <w:b w:val="0"/>
                <w:bCs w:val="0"/>
                <w:lang w:val="en-GB"/>
              </w:rPr>
              <w:t>air</w:t>
            </w:r>
            <w:r w:rsidR="00B96CCF" w:rsidRPr="004D2B9A">
              <w:rPr>
                <w:b w:val="0"/>
                <w:bCs w:val="0"/>
                <w:lang w:val="en-GB"/>
              </w:rPr>
              <w:t xml:space="preserve"> </w:t>
            </w:r>
            <w:r w:rsidRPr="004D2B9A">
              <w:rPr>
                <w:b w:val="0"/>
                <w:bCs w:val="0"/>
                <w:lang w:val="en-GB"/>
              </w:rPr>
              <w:t>temp.</w:t>
            </w:r>
          </w:p>
        </w:tc>
        <w:tc>
          <w:tcPr>
            <w:tcW w:w="850" w:type="dxa"/>
            <w:gridSpan w:val="2"/>
            <w:tcBorders>
              <w:top w:val="nil"/>
              <w:left w:val="nil"/>
              <w:bottom w:val="single" w:sz="4" w:space="0" w:color="auto"/>
              <w:right w:val="single" w:sz="4" w:space="0" w:color="auto"/>
            </w:tcBorders>
            <w:vAlign w:val="center"/>
            <w:hideMark/>
          </w:tcPr>
          <w:p w14:paraId="5839C598" w14:textId="38F45AD6" w:rsidR="00785518" w:rsidRPr="00FC1BBF" w:rsidRDefault="00785518" w:rsidP="00FC1BBF">
            <w:pPr>
              <w:pStyle w:val="tabele"/>
              <w:ind w:left="-73" w:right="-131"/>
              <w:rPr>
                <w:b w:val="0"/>
                <w:bCs w:val="0"/>
                <w:spacing w:val="-4"/>
                <w:lang w:val="en-GB"/>
              </w:rPr>
            </w:pPr>
            <w:r w:rsidRPr="00FC1BBF">
              <w:rPr>
                <w:b w:val="0"/>
                <w:bCs w:val="0"/>
                <w:spacing w:val="-4"/>
                <w:lang w:val="en-GB"/>
              </w:rPr>
              <w:t>avg.</w:t>
            </w:r>
            <w:r w:rsidR="00B96CCF" w:rsidRPr="00FC1BBF">
              <w:rPr>
                <w:b w:val="0"/>
                <w:bCs w:val="0"/>
                <w:spacing w:val="-4"/>
                <w:lang w:val="en-GB"/>
              </w:rPr>
              <w:t xml:space="preserve"> </w:t>
            </w:r>
            <w:r w:rsidR="00FC1BBF">
              <w:rPr>
                <w:b w:val="0"/>
                <w:bCs w:val="0"/>
                <w:spacing w:val="-4"/>
                <w:lang w:val="en-GB"/>
              </w:rPr>
              <w:br/>
            </w:r>
            <w:r w:rsidRPr="00FC1BBF">
              <w:rPr>
                <w:b w:val="0"/>
                <w:bCs w:val="0"/>
                <w:spacing w:val="-4"/>
                <w:lang w:val="en-GB"/>
              </w:rPr>
              <w:t>solar</w:t>
            </w:r>
            <w:r w:rsidR="00B96CCF" w:rsidRPr="00FC1BBF">
              <w:rPr>
                <w:b w:val="0"/>
                <w:bCs w:val="0"/>
                <w:spacing w:val="-4"/>
                <w:lang w:val="en-GB"/>
              </w:rPr>
              <w:t xml:space="preserve"> </w:t>
            </w:r>
            <w:r w:rsidRPr="00FC1BBF">
              <w:rPr>
                <w:b w:val="0"/>
                <w:bCs w:val="0"/>
                <w:spacing w:val="-4"/>
                <w:lang w:val="en-GB"/>
              </w:rPr>
              <w:t>rad.</w:t>
            </w:r>
          </w:p>
        </w:tc>
        <w:tc>
          <w:tcPr>
            <w:tcW w:w="728" w:type="dxa"/>
            <w:tcBorders>
              <w:top w:val="nil"/>
              <w:left w:val="nil"/>
              <w:bottom w:val="single" w:sz="4" w:space="0" w:color="auto"/>
              <w:right w:val="single" w:sz="8" w:space="0" w:color="auto"/>
            </w:tcBorders>
            <w:noWrap/>
            <w:vAlign w:val="center"/>
            <w:hideMark/>
          </w:tcPr>
          <w:p w14:paraId="3B5E301D" w14:textId="77777777" w:rsidR="00785518" w:rsidRPr="004D2B9A" w:rsidRDefault="00785518" w:rsidP="00785518">
            <w:pPr>
              <w:pStyle w:val="tabele"/>
              <w:rPr>
                <w:b w:val="0"/>
                <w:bCs w:val="0"/>
                <w:lang w:val="en-GB"/>
              </w:rPr>
            </w:pPr>
            <w:proofErr w:type="spellStart"/>
            <w:r w:rsidRPr="004D2B9A">
              <w:rPr>
                <w:b w:val="0"/>
                <w:bCs w:val="0"/>
                <w:lang w:val="en-GB"/>
              </w:rPr>
              <w:t>EU'm</w:t>
            </w:r>
            <w:proofErr w:type="spellEnd"/>
          </w:p>
        </w:tc>
      </w:tr>
      <w:tr w:rsidR="00AC7CB0" w:rsidRPr="004D2B9A" w14:paraId="193F7E56" w14:textId="77777777" w:rsidTr="00FC1BBF">
        <w:trPr>
          <w:trHeight w:val="360"/>
          <w:jc w:val="center"/>
        </w:trPr>
        <w:tc>
          <w:tcPr>
            <w:tcW w:w="727" w:type="dxa"/>
            <w:tcBorders>
              <w:top w:val="nil"/>
              <w:left w:val="single" w:sz="8" w:space="0" w:color="auto"/>
              <w:bottom w:val="single" w:sz="8" w:space="0" w:color="auto"/>
              <w:right w:val="single" w:sz="8" w:space="0" w:color="auto"/>
            </w:tcBorders>
            <w:noWrap/>
            <w:vAlign w:val="center"/>
            <w:hideMark/>
          </w:tcPr>
          <w:p w14:paraId="723BA4CA" w14:textId="77777777" w:rsidR="00AC7CB0" w:rsidRPr="004D2B9A" w:rsidRDefault="00AC7CB0" w:rsidP="00075B2F">
            <w:pPr>
              <w:pStyle w:val="tabele"/>
              <w:rPr>
                <w:b w:val="0"/>
                <w:bCs w:val="0"/>
                <w:lang w:val="en-GB"/>
              </w:rPr>
            </w:pPr>
            <w:r w:rsidRPr="004D2B9A">
              <w:rPr>
                <w:b w:val="0"/>
                <w:bCs w:val="0"/>
                <w:lang w:val="en-GB"/>
              </w:rPr>
              <w:t>-</w:t>
            </w:r>
          </w:p>
        </w:tc>
        <w:tc>
          <w:tcPr>
            <w:tcW w:w="709" w:type="dxa"/>
            <w:tcBorders>
              <w:top w:val="nil"/>
              <w:left w:val="nil"/>
              <w:bottom w:val="single" w:sz="8" w:space="0" w:color="auto"/>
              <w:right w:val="single" w:sz="4" w:space="0" w:color="auto"/>
            </w:tcBorders>
            <w:noWrap/>
            <w:vAlign w:val="center"/>
            <w:hideMark/>
          </w:tcPr>
          <w:p w14:paraId="752DC50D" w14:textId="77777777" w:rsidR="00AC7CB0" w:rsidRPr="004D2B9A" w:rsidRDefault="00AC7CB0" w:rsidP="00075B2F">
            <w:pPr>
              <w:pStyle w:val="tabele"/>
              <w:rPr>
                <w:b w:val="0"/>
                <w:bCs w:val="0"/>
                <w:lang w:val="en-GB"/>
              </w:rPr>
            </w:pPr>
            <w:r w:rsidRPr="004D2B9A">
              <w:rPr>
                <w:b w:val="0"/>
                <w:bCs w:val="0"/>
                <w:lang w:val="en-GB"/>
              </w:rPr>
              <w:t>h</w:t>
            </w:r>
          </w:p>
        </w:tc>
        <w:tc>
          <w:tcPr>
            <w:tcW w:w="850" w:type="dxa"/>
            <w:tcBorders>
              <w:top w:val="nil"/>
              <w:left w:val="nil"/>
              <w:bottom w:val="single" w:sz="8" w:space="0" w:color="auto"/>
              <w:right w:val="single" w:sz="4" w:space="0" w:color="auto"/>
            </w:tcBorders>
            <w:noWrap/>
            <w:vAlign w:val="center"/>
            <w:hideMark/>
          </w:tcPr>
          <w:p w14:paraId="77ED84AC" w14:textId="77777777" w:rsidR="00AC7CB0" w:rsidRPr="004D2B9A" w:rsidRDefault="00AC7CB0" w:rsidP="00075B2F">
            <w:pPr>
              <w:pStyle w:val="tabele"/>
              <w:rPr>
                <w:b w:val="0"/>
                <w:bCs w:val="0"/>
                <w:lang w:val="en-GB"/>
              </w:rPr>
            </w:pPr>
            <w:r w:rsidRPr="004D2B9A">
              <w:rPr>
                <w:b w:val="0"/>
                <w:bCs w:val="0"/>
                <w:lang w:val="en-GB"/>
              </w:rPr>
              <w:t>°C</w:t>
            </w:r>
          </w:p>
        </w:tc>
        <w:tc>
          <w:tcPr>
            <w:tcW w:w="851" w:type="dxa"/>
            <w:tcBorders>
              <w:top w:val="nil"/>
              <w:left w:val="nil"/>
              <w:bottom w:val="single" w:sz="8" w:space="0" w:color="auto"/>
              <w:right w:val="single" w:sz="4" w:space="0" w:color="auto"/>
            </w:tcBorders>
            <w:noWrap/>
            <w:vAlign w:val="center"/>
            <w:hideMark/>
          </w:tcPr>
          <w:p w14:paraId="6E07AB8C" w14:textId="77777777" w:rsidR="00AC7CB0" w:rsidRPr="004D2B9A" w:rsidRDefault="00AC7CB0" w:rsidP="00075B2F">
            <w:pPr>
              <w:pStyle w:val="tabele"/>
              <w:rPr>
                <w:b w:val="0"/>
                <w:bCs w:val="0"/>
                <w:lang w:val="en-GB"/>
              </w:rPr>
            </w:pPr>
            <w:r w:rsidRPr="004D2B9A">
              <w:rPr>
                <w:b w:val="0"/>
                <w:bCs w:val="0"/>
                <w:lang w:val="en-GB"/>
              </w:rPr>
              <w:t>W/m</w:t>
            </w:r>
            <w:r w:rsidRPr="004D2B9A">
              <w:rPr>
                <w:b w:val="0"/>
                <w:bCs w:val="0"/>
                <w:vertAlign w:val="superscript"/>
                <w:lang w:val="en-GB"/>
              </w:rPr>
              <w:t>2</w:t>
            </w:r>
          </w:p>
        </w:tc>
        <w:tc>
          <w:tcPr>
            <w:tcW w:w="708" w:type="dxa"/>
            <w:tcBorders>
              <w:top w:val="nil"/>
              <w:left w:val="nil"/>
              <w:bottom w:val="single" w:sz="8" w:space="0" w:color="auto"/>
              <w:right w:val="single" w:sz="8" w:space="0" w:color="auto"/>
            </w:tcBorders>
            <w:noWrap/>
            <w:vAlign w:val="center"/>
            <w:hideMark/>
          </w:tcPr>
          <w:p w14:paraId="374D1DCF" w14:textId="77777777" w:rsidR="00AC7CB0" w:rsidRPr="004D2B9A" w:rsidRDefault="00AC7CB0" w:rsidP="00075B2F">
            <w:pPr>
              <w:pStyle w:val="tabele"/>
              <w:rPr>
                <w:b w:val="0"/>
                <w:bCs w:val="0"/>
                <w:lang w:val="en-GB"/>
              </w:rPr>
            </w:pPr>
            <w:r w:rsidRPr="004D2B9A">
              <w:rPr>
                <w:b w:val="0"/>
                <w:bCs w:val="0"/>
                <w:lang w:val="en-GB"/>
              </w:rPr>
              <w:t>kWh</w:t>
            </w:r>
          </w:p>
        </w:tc>
        <w:tc>
          <w:tcPr>
            <w:tcW w:w="567" w:type="dxa"/>
            <w:tcBorders>
              <w:top w:val="nil"/>
              <w:left w:val="nil"/>
              <w:bottom w:val="single" w:sz="8" w:space="0" w:color="auto"/>
              <w:right w:val="single" w:sz="4" w:space="0" w:color="auto"/>
            </w:tcBorders>
            <w:noWrap/>
            <w:vAlign w:val="center"/>
            <w:hideMark/>
          </w:tcPr>
          <w:p w14:paraId="247D6318" w14:textId="77777777" w:rsidR="00AC7CB0" w:rsidRPr="004D2B9A" w:rsidRDefault="00AC7CB0" w:rsidP="00075B2F">
            <w:pPr>
              <w:pStyle w:val="tabele"/>
              <w:rPr>
                <w:b w:val="0"/>
                <w:bCs w:val="0"/>
                <w:lang w:val="en-GB"/>
              </w:rPr>
            </w:pPr>
            <w:r w:rsidRPr="004D2B9A">
              <w:rPr>
                <w:b w:val="0"/>
                <w:bCs w:val="0"/>
                <w:lang w:val="en-GB"/>
              </w:rPr>
              <w:t>h</w:t>
            </w:r>
          </w:p>
        </w:tc>
        <w:tc>
          <w:tcPr>
            <w:tcW w:w="887" w:type="dxa"/>
            <w:tcBorders>
              <w:top w:val="nil"/>
              <w:left w:val="nil"/>
              <w:bottom w:val="single" w:sz="8" w:space="0" w:color="auto"/>
              <w:right w:val="single" w:sz="4" w:space="0" w:color="auto"/>
            </w:tcBorders>
            <w:noWrap/>
            <w:vAlign w:val="center"/>
            <w:hideMark/>
          </w:tcPr>
          <w:p w14:paraId="794F61D6" w14:textId="77777777" w:rsidR="00AC7CB0" w:rsidRPr="004D2B9A" w:rsidRDefault="00AC7CB0" w:rsidP="00075B2F">
            <w:pPr>
              <w:pStyle w:val="tabele"/>
              <w:rPr>
                <w:b w:val="0"/>
                <w:bCs w:val="0"/>
                <w:lang w:val="en-GB"/>
              </w:rPr>
            </w:pPr>
            <w:r w:rsidRPr="004D2B9A">
              <w:rPr>
                <w:b w:val="0"/>
                <w:bCs w:val="0"/>
                <w:lang w:val="en-GB"/>
              </w:rPr>
              <w:t>°C</w:t>
            </w:r>
          </w:p>
        </w:tc>
        <w:tc>
          <w:tcPr>
            <w:tcW w:w="794" w:type="dxa"/>
            <w:tcBorders>
              <w:top w:val="nil"/>
              <w:left w:val="nil"/>
              <w:bottom w:val="single" w:sz="8" w:space="0" w:color="auto"/>
              <w:right w:val="single" w:sz="4" w:space="0" w:color="auto"/>
            </w:tcBorders>
            <w:noWrap/>
            <w:vAlign w:val="center"/>
            <w:hideMark/>
          </w:tcPr>
          <w:p w14:paraId="756951F0" w14:textId="77777777" w:rsidR="00AC7CB0" w:rsidRPr="004D2B9A" w:rsidRDefault="00AC7CB0" w:rsidP="00075B2F">
            <w:pPr>
              <w:pStyle w:val="tabele"/>
              <w:rPr>
                <w:b w:val="0"/>
                <w:bCs w:val="0"/>
                <w:lang w:val="en-GB"/>
              </w:rPr>
            </w:pPr>
            <w:r w:rsidRPr="004D2B9A">
              <w:rPr>
                <w:b w:val="0"/>
                <w:bCs w:val="0"/>
                <w:lang w:val="en-GB"/>
              </w:rPr>
              <w:t>W/m</w:t>
            </w:r>
            <w:r w:rsidRPr="004D2B9A">
              <w:rPr>
                <w:b w:val="0"/>
                <w:bCs w:val="0"/>
                <w:vertAlign w:val="superscript"/>
                <w:lang w:val="en-GB"/>
              </w:rPr>
              <w:t>2</w:t>
            </w:r>
          </w:p>
        </w:tc>
        <w:tc>
          <w:tcPr>
            <w:tcW w:w="645" w:type="dxa"/>
            <w:tcBorders>
              <w:top w:val="nil"/>
              <w:left w:val="nil"/>
              <w:bottom w:val="single" w:sz="8" w:space="0" w:color="auto"/>
              <w:right w:val="single" w:sz="8" w:space="0" w:color="auto"/>
            </w:tcBorders>
            <w:noWrap/>
            <w:vAlign w:val="center"/>
            <w:hideMark/>
          </w:tcPr>
          <w:p w14:paraId="6479667C" w14:textId="77777777" w:rsidR="00AC7CB0" w:rsidRPr="004D2B9A" w:rsidRDefault="00AC7CB0" w:rsidP="00075B2F">
            <w:pPr>
              <w:pStyle w:val="tabele"/>
              <w:rPr>
                <w:b w:val="0"/>
                <w:bCs w:val="0"/>
                <w:lang w:val="en-GB"/>
              </w:rPr>
            </w:pPr>
            <w:r w:rsidRPr="004D2B9A">
              <w:rPr>
                <w:b w:val="0"/>
                <w:bCs w:val="0"/>
                <w:lang w:val="en-GB"/>
              </w:rPr>
              <w:t>kWh</w:t>
            </w:r>
          </w:p>
        </w:tc>
        <w:tc>
          <w:tcPr>
            <w:tcW w:w="637" w:type="dxa"/>
            <w:gridSpan w:val="2"/>
            <w:tcBorders>
              <w:top w:val="nil"/>
              <w:left w:val="nil"/>
              <w:bottom w:val="single" w:sz="8" w:space="0" w:color="auto"/>
              <w:right w:val="single" w:sz="4" w:space="0" w:color="auto"/>
            </w:tcBorders>
            <w:noWrap/>
            <w:vAlign w:val="center"/>
            <w:hideMark/>
          </w:tcPr>
          <w:p w14:paraId="205D9E75" w14:textId="77777777" w:rsidR="00AC7CB0" w:rsidRPr="004D2B9A" w:rsidRDefault="00AC7CB0" w:rsidP="00075B2F">
            <w:pPr>
              <w:pStyle w:val="tabele"/>
              <w:rPr>
                <w:b w:val="0"/>
                <w:bCs w:val="0"/>
                <w:lang w:val="en-GB"/>
              </w:rPr>
            </w:pPr>
            <w:r w:rsidRPr="004D2B9A">
              <w:rPr>
                <w:b w:val="0"/>
                <w:bCs w:val="0"/>
                <w:lang w:val="en-GB"/>
              </w:rPr>
              <w:t>h</w:t>
            </w:r>
          </w:p>
        </w:tc>
        <w:tc>
          <w:tcPr>
            <w:tcW w:w="847" w:type="dxa"/>
            <w:tcBorders>
              <w:top w:val="nil"/>
              <w:left w:val="nil"/>
              <w:bottom w:val="single" w:sz="8" w:space="0" w:color="auto"/>
              <w:right w:val="single" w:sz="4" w:space="0" w:color="auto"/>
            </w:tcBorders>
            <w:noWrap/>
            <w:vAlign w:val="center"/>
            <w:hideMark/>
          </w:tcPr>
          <w:p w14:paraId="4294A833" w14:textId="77777777" w:rsidR="00AC7CB0" w:rsidRPr="004D2B9A" w:rsidRDefault="00AC7CB0" w:rsidP="00075B2F">
            <w:pPr>
              <w:pStyle w:val="tabele"/>
              <w:rPr>
                <w:b w:val="0"/>
                <w:bCs w:val="0"/>
                <w:lang w:val="en-GB"/>
              </w:rPr>
            </w:pPr>
            <w:r w:rsidRPr="004D2B9A">
              <w:rPr>
                <w:b w:val="0"/>
                <w:bCs w:val="0"/>
                <w:lang w:val="en-GB"/>
              </w:rPr>
              <w:t>°C</w:t>
            </w:r>
          </w:p>
        </w:tc>
        <w:tc>
          <w:tcPr>
            <w:tcW w:w="850" w:type="dxa"/>
            <w:gridSpan w:val="2"/>
            <w:tcBorders>
              <w:top w:val="nil"/>
              <w:left w:val="nil"/>
              <w:bottom w:val="single" w:sz="8" w:space="0" w:color="auto"/>
              <w:right w:val="single" w:sz="4" w:space="0" w:color="auto"/>
            </w:tcBorders>
            <w:noWrap/>
            <w:vAlign w:val="center"/>
            <w:hideMark/>
          </w:tcPr>
          <w:p w14:paraId="5C05811F" w14:textId="77777777" w:rsidR="00AC7CB0" w:rsidRPr="004D2B9A" w:rsidRDefault="00AC7CB0" w:rsidP="00075B2F">
            <w:pPr>
              <w:pStyle w:val="tabele"/>
              <w:rPr>
                <w:b w:val="0"/>
                <w:bCs w:val="0"/>
                <w:lang w:val="en-GB"/>
              </w:rPr>
            </w:pPr>
            <w:r w:rsidRPr="004D2B9A">
              <w:rPr>
                <w:b w:val="0"/>
                <w:bCs w:val="0"/>
                <w:lang w:val="en-GB"/>
              </w:rPr>
              <w:t>W/m</w:t>
            </w:r>
            <w:r w:rsidRPr="004D2B9A">
              <w:rPr>
                <w:b w:val="0"/>
                <w:bCs w:val="0"/>
                <w:vertAlign w:val="superscript"/>
                <w:lang w:val="en-GB"/>
              </w:rPr>
              <w:t>2</w:t>
            </w:r>
          </w:p>
        </w:tc>
        <w:tc>
          <w:tcPr>
            <w:tcW w:w="728" w:type="dxa"/>
            <w:tcBorders>
              <w:top w:val="nil"/>
              <w:left w:val="nil"/>
              <w:bottom w:val="single" w:sz="8" w:space="0" w:color="auto"/>
              <w:right w:val="single" w:sz="8" w:space="0" w:color="auto"/>
            </w:tcBorders>
            <w:noWrap/>
            <w:vAlign w:val="center"/>
            <w:hideMark/>
          </w:tcPr>
          <w:p w14:paraId="5A375EDF" w14:textId="77777777" w:rsidR="00AC7CB0" w:rsidRPr="004D2B9A" w:rsidRDefault="00AC7CB0" w:rsidP="00075B2F">
            <w:pPr>
              <w:pStyle w:val="tabele"/>
              <w:rPr>
                <w:b w:val="0"/>
                <w:bCs w:val="0"/>
                <w:lang w:val="en-GB"/>
              </w:rPr>
            </w:pPr>
            <w:r w:rsidRPr="004D2B9A">
              <w:rPr>
                <w:b w:val="0"/>
                <w:bCs w:val="0"/>
                <w:lang w:val="en-GB"/>
              </w:rPr>
              <w:t>kWh</w:t>
            </w:r>
          </w:p>
        </w:tc>
      </w:tr>
      <w:tr w:rsidR="00AC7CB0" w:rsidRPr="004D2B9A" w14:paraId="4F06FD7F" w14:textId="77777777" w:rsidTr="00FC1BBF">
        <w:trPr>
          <w:trHeight w:val="300"/>
          <w:jc w:val="center"/>
        </w:trPr>
        <w:tc>
          <w:tcPr>
            <w:tcW w:w="727" w:type="dxa"/>
            <w:tcBorders>
              <w:top w:val="nil"/>
              <w:left w:val="single" w:sz="8" w:space="0" w:color="auto"/>
              <w:bottom w:val="single" w:sz="4" w:space="0" w:color="auto"/>
              <w:right w:val="single" w:sz="8" w:space="0" w:color="auto"/>
            </w:tcBorders>
            <w:noWrap/>
            <w:vAlign w:val="center"/>
            <w:hideMark/>
          </w:tcPr>
          <w:p w14:paraId="33DE5D3E" w14:textId="77777777" w:rsidR="00AC7CB0" w:rsidRPr="004D2B9A" w:rsidRDefault="00AC7CB0" w:rsidP="00075B2F">
            <w:pPr>
              <w:pStyle w:val="tabele"/>
              <w:rPr>
                <w:b w:val="0"/>
                <w:bCs w:val="0"/>
                <w:lang w:val="en-GB"/>
              </w:rPr>
            </w:pPr>
            <w:r w:rsidRPr="004D2B9A">
              <w:rPr>
                <w:b w:val="0"/>
                <w:bCs w:val="0"/>
                <w:lang w:val="en-GB"/>
              </w:rPr>
              <w:t>I</w:t>
            </w:r>
          </w:p>
        </w:tc>
        <w:tc>
          <w:tcPr>
            <w:tcW w:w="709" w:type="dxa"/>
            <w:tcBorders>
              <w:top w:val="nil"/>
              <w:left w:val="nil"/>
              <w:bottom w:val="single" w:sz="4" w:space="0" w:color="auto"/>
              <w:right w:val="single" w:sz="4" w:space="0" w:color="auto"/>
            </w:tcBorders>
            <w:noWrap/>
            <w:vAlign w:val="center"/>
            <w:hideMark/>
          </w:tcPr>
          <w:p w14:paraId="74ABEF9B" w14:textId="77777777" w:rsidR="00AC7CB0" w:rsidRPr="004D2B9A" w:rsidRDefault="00AC7CB0" w:rsidP="00075B2F">
            <w:pPr>
              <w:pStyle w:val="tabele"/>
              <w:rPr>
                <w:b w:val="0"/>
                <w:bCs w:val="0"/>
                <w:lang w:val="en-GB"/>
              </w:rPr>
            </w:pPr>
            <w:r w:rsidRPr="004D2B9A">
              <w:rPr>
                <w:b w:val="0"/>
                <w:bCs w:val="0"/>
                <w:lang w:val="en-GB"/>
              </w:rPr>
              <w:t>744</w:t>
            </w:r>
          </w:p>
        </w:tc>
        <w:tc>
          <w:tcPr>
            <w:tcW w:w="850" w:type="dxa"/>
            <w:tcBorders>
              <w:top w:val="nil"/>
              <w:left w:val="nil"/>
              <w:bottom w:val="single" w:sz="4" w:space="0" w:color="auto"/>
              <w:right w:val="single" w:sz="4" w:space="0" w:color="auto"/>
            </w:tcBorders>
            <w:noWrap/>
            <w:vAlign w:val="center"/>
            <w:hideMark/>
          </w:tcPr>
          <w:p w14:paraId="03141695" w14:textId="04F40269" w:rsidR="00AC7CB0" w:rsidRPr="004D2B9A" w:rsidRDefault="00AC7CB0" w:rsidP="00075B2F">
            <w:pPr>
              <w:pStyle w:val="tabele"/>
              <w:rPr>
                <w:b w:val="0"/>
                <w:bCs w:val="0"/>
                <w:lang w:val="en-GB"/>
              </w:rPr>
            </w:pPr>
            <w:r w:rsidRPr="004D2B9A">
              <w:rPr>
                <w:b w:val="0"/>
                <w:bCs w:val="0"/>
                <w:lang w:val="en-GB"/>
              </w:rPr>
              <w:t>-0</w:t>
            </w:r>
            <w:r w:rsidR="00602613">
              <w:rPr>
                <w:b w:val="0"/>
                <w:bCs w:val="0"/>
                <w:lang w:val="en-GB"/>
              </w:rPr>
              <w:t>.</w:t>
            </w:r>
            <w:r w:rsidRPr="004D2B9A">
              <w:rPr>
                <w:b w:val="0"/>
                <w:bCs w:val="0"/>
                <w:lang w:val="en-GB"/>
              </w:rPr>
              <w:t>8</w:t>
            </w:r>
          </w:p>
        </w:tc>
        <w:tc>
          <w:tcPr>
            <w:tcW w:w="851" w:type="dxa"/>
            <w:tcBorders>
              <w:top w:val="nil"/>
              <w:left w:val="nil"/>
              <w:bottom w:val="single" w:sz="4" w:space="0" w:color="auto"/>
              <w:right w:val="single" w:sz="4" w:space="0" w:color="auto"/>
            </w:tcBorders>
            <w:noWrap/>
            <w:vAlign w:val="center"/>
            <w:hideMark/>
          </w:tcPr>
          <w:p w14:paraId="34B2FC9D" w14:textId="77777777" w:rsidR="00AC7CB0" w:rsidRPr="004D2B9A" w:rsidRDefault="00AC7CB0" w:rsidP="00075B2F">
            <w:pPr>
              <w:pStyle w:val="tabele"/>
              <w:rPr>
                <w:b w:val="0"/>
                <w:bCs w:val="0"/>
                <w:lang w:val="en-GB"/>
              </w:rPr>
            </w:pPr>
            <w:r w:rsidRPr="004D2B9A">
              <w:rPr>
                <w:b w:val="0"/>
                <w:bCs w:val="0"/>
                <w:lang w:val="en-GB"/>
              </w:rPr>
              <w:t>29</w:t>
            </w:r>
          </w:p>
        </w:tc>
        <w:tc>
          <w:tcPr>
            <w:tcW w:w="708" w:type="dxa"/>
            <w:tcBorders>
              <w:top w:val="nil"/>
              <w:left w:val="nil"/>
              <w:bottom w:val="single" w:sz="4" w:space="0" w:color="auto"/>
              <w:right w:val="single" w:sz="8" w:space="0" w:color="auto"/>
            </w:tcBorders>
            <w:noWrap/>
            <w:vAlign w:val="center"/>
            <w:hideMark/>
          </w:tcPr>
          <w:p w14:paraId="5191EC80" w14:textId="51280031"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948</w:t>
            </w:r>
          </w:p>
        </w:tc>
        <w:tc>
          <w:tcPr>
            <w:tcW w:w="567" w:type="dxa"/>
            <w:tcBorders>
              <w:top w:val="nil"/>
              <w:left w:val="nil"/>
              <w:bottom w:val="single" w:sz="4" w:space="0" w:color="auto"/>
              <w:right w:val="single" w:sz="4" w:space="0" w:color="auto"/>
            </w:tcBorders>
            <w:noWrap/>
            <w:vAlign w:val="center"/>
            <w:hideMark/>
          </w:tcPr>
          <w:p w14:paraId="662AD6B2" w14:textId="77777777" w:rsidR="00AC7CB0" w:rsidRPr="004D2B9A" w:rsidRDefault="00AC7CB0" w:rsidP="00075B2F">
            <w:pPr>
              <w:pStyle w:val="tabele"/>
              <w:rPr>
                <w:b w:val="0"/>
                <w:bCs w:val="0"/>
                <w:lang w:val="en-GB"/>
              </w:rPr>
            </w:pPr>
            <w:r w:rsidRPr="004D2B9A">
              <w:rPr>
                <w:b w:val="0"/>
                <w:bCs w:val="0"/>
                <w:lang w:val="en-GB"/>
              </w:rPr>
              <w:t>744</w:t>
            </w:r>
          </w:p>
        </w:tc>
        <w:tc>
          <w:tcPr>
            <w:tcW w:w="887" w:type="dxa"/>
            <w:tcBorders>
              <w:top w:val="nil"/>
              <w:left w:val="nil"/>
              <w:bottom w:val="single" w:sz="4" w:space="0" w:color="auto"/>
              <w:right w:val="single" w:sz="4" w:space="0" w:color="auto"/>
            </w:tcBorders>
            <w:noWrap/>
            <w:vAlign w:val="center"/>
            <w:hideMark/>
          </w:tcPr>
          <w:p w14:paraId="147B4F98" w14:textId="7F6E9D51" w:rsidR="00AC7CB0" w:rsidRPr="004D2B9A" w:rsidRDefault="00AC7CB0" w:rsidP="00075B2F">
            <w:pPr>
              <w:pStyle w:val="tabele"/>
              <w:rPr>
                <w:b w:val="0"/>
                <w:bCs w:val="0"/>
                <w:lang w:val="en-GB"/>
              </w:rPr>
            </w:pPr>
            <w:r w:rsidRPr="004D2B9A">
              <w:rPr>
                <w:b w:val="0"/>
                <w:bCs w:val="0"/>
                <w:lang w:val="en-GB"/>
              </w:rPr>
              <w:t>-0</w:t>
            </w:r>
            <w:r w:rsidR="00602613">
              <w:rPr>
                <w:b w:val="0"/>
                <w:bCs w:val="0"/>
                <w:lang w:val="en-GB"/>
              </w:rPr>
              <w:t>.</w:t>
            </w:r>
            <w:r w:rsidRPr="004D2B9A">
              <w:rPr>
                <w:b w:val="0"/>
                <w:bCs w:val="0"/>
                <w:lang w:val="en-GB"/>
              </w:rPr>
              <w:t>4</w:t>
            </w:r>
          </w:p>
        </w:tc>
        <w:tc>
          <w:tcPr>
            <w:tcW w:w="794" w:type="dxa"/>
            <w:tcBorders>
              <w:top w:val="nil"/>
              <w:left w:val="nil"/>
              <w:bottom w:val="single" w:sz="4" w:space="0" w:color="auto"/>
              <w:right w:val="single" w:sz="4" w:space="0" w:color="auto"/>
            </w:tcBorders>
            <w:noWrap/>
            <w:vAlign w:val="center"/>
            <w:hideMark/>
          </w:tcPr>
          <w:p w14:paraId="59A94765" w14:textId="77777777" w:rsidR="00AC7CB0" w:rsidRPr="004D2B9A" w:rsidRDefault="00AC7CB0" w:rsidP="00075B2F">
            <w:pPr>
              <w:pStyle w:val="tabele"/>
              <w:rPr>
                <w:b w:val="0"/>
                <w:bCs w:val="0"/>
                <w:lang w:val="en-GB"/>
              </w:rPr>
            </w:pPr>
            <w:r w:rsidRPr="004D2B9A">
              <w:rPr>
                <w:b w:val="0"/>
                <w:bCs w:val="0"/>
                <w:lang w:val="en-GB"/>
              </w:rPr>
              <w:t>33</w:t>
            </w:r>
          </w:p>
        </w:tc>
        <w:tc>
          <w:tcPr>
            <w:tcW w:w="645" w:type="dxa"/>
            <w:tcBorders>
              <w:top w:val="nil"/>
              <w:left w:val="nil"/>
              <w:bottom w:val="single" w:sz="4" w:space="0" w:color="auto"/>
              <w:right w:val="single" w:sz="8" w:space="0" w:color="auto"/>
            </w:tcBorders>
            <w:noWrap/>
            <w:vAlign w:val="center"/>
            <w:hideMark/>
          </w:tcPr>
          <w:p w14:paraId="4E24CAFA" w14:textId="3076FA45"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871</w:t>
            </w:r>
          </w:p>
        </w:tc>
        <w:tc>
          <w:tcPr>
            <w:tcW w:w="637" w:type="dxa"/>
            <w:gridSpan w:val="2"/>
            <w:tcBorders>
              <w:top w:val="nil"/>
              <w:left w:val="nil"/>
              <w:bottom w:val="single" w:sz="4" w:space="0" w:color="auto"/>
              <w:right w:val="single" w:sz="4" w:space="0" w:color="auto"/>
            </w:tcBorders>
            <w:noWrap/>
            <w:vAlign w:val="center"/>
            <w:hideMark/>
          </w:tcPr>
          <w:p w14:paraId="748BB820" w14:textId="77777777" w:rsidR="00AC7CB0" w:rsidRPr="004D2B9A" w:rsidRDefault="00AC7CB0" w:rsidP="00075B2F">
            <w:pPr>
              <w:pStyle w:val="tabele"/>
              <w:rPr>
                <w:b w:val="0"/>
                <w:bCs w:val="0"/>
                <w:lang w:val="en-GB"/>
              </w:rPr>
            </w:pPr>
            <w:r w:rsidRPr="004D2B9A">
              <w:rPr>
                <w:b w:val="0"/>
                <w:bCs w:val="0"/>
                <w:lang w:val="en-GB"/>
              </w:rPr>
              <w:t>744</w:t>
            </w:r>
          </w:p>
        </w:tc>
        <w:tc>
          <w:tcPr>
            <w:tcW w:w="847" w:type="dxa"/>
            <w:tcBorders>
              <w:top w:val="nil"/>
              <w:left w:val="nil"/>
              <w:bottom w:val="single" w:sz="4" w:space="0" w:color="auto"/>
              <w:right w:val="single" w:sz="4" w:space="0" w:color="auto"/>
            </w:tcBorders>
            <w:noWrap/>
            <w:vAlign w:val="center"/>
            <w:hideMark/>
          </w:tcPr>
          <w:p w14:paraId="2F23A5A0" w14:textId="77914618" w:rsidR="00AC7CB0" w:rsidRPr="004D2B9A" w:rsidRDefault="00AC7CB0" w:rsidP="00075B2F">
            <w:pPr>
              <w:pStyle w:val="tabele"/>
              <w:rPr>
                <w:b w:val="0"/>
                <w:bCs w:val="0"/>
                <w:lang w:val="en-GB"/>
              </w:rPr>
            </w:pPr>
            <w:r w:rsidRPr="004D2B9A">
              <w:rPr>
                <w:b w:val="0"/>
                <w:bCs w:val="0"/>
                <w:lang w:val="en-GB"/>
              </w:rPr>
              <w:t>-1</w:t>
            </w:r>
            <w:r w:rsidR="00602613">
              <w:rPr>
                <w:b w:val="0"/>
                <w:bCs w:val="0"/>
                <w:lang w:val="en-GB"/>
              </w:rPr>
              <w:t>.</w:t>
            </w:r>
            <w:r w:rsidRPr="004D2B9A">
              <w:rPr>
                <w:b w:val="0"/>
                <w:bCs w:val="0"/>
                <w:lang w:val="en-GB"/>
              </w:rPr>
              <w:t>2</w:t>
            </w:r>
          </w:p>
        </w:tc>
        <w:tc>
          <w:tcPr>
            <w:tcW w:w="850" w:type="dxa"/>
            <w:gridSpan w:val="2"/>
            <w:tcBorders>
              <w:top w:val="nil"/>
              <w:left w:val="nil"/>
              <w:bottom w:val="single" w:sz="4" w:space="0" w:color="auto"/>
              <w:right w:val="single" w:sz="4" w:space="0" w:color="auto"/>
            </w:tcBorders>
            <w:noWrap/>
            <w:vAlign w:val="center"/>
            <w:hideMark/>
          </w:tcPr>
          <w:p w14:paraId="0595CAAA" w14:textId="77777777" w:rsidR="00AC7CB0" w:rsidRPr="004D2B9A" w:rsidRDefault="00AC7CB0" w:rsidP="00075B2F">
            <w:pPr>
              <w:pStyle w:val="tabele"/>
              <w:rPr>
                <w:b w:val="0"/>
                <w:bCs w:val="0"/>
                <w:lang w:val="en-GB"/>
              </w:rPr>
            </w:pPr>
            <w:r w:rsidRPr="004D2B9A">
              <w:rPr>
                <w:b w:val="0"/>
                <w:bCs w:val="0"/>
                <w:lang w:val="en-GB"/>
              </w:rPr>
              <w:t>37</w:t>
            </w:r>
          </w:p>
        </w:tc>
        <w:tc>
          <w:tcPr>
            <w:tcW w:w="728" w:type="dxa"/>
            <w:tcBorders>
              <w:top w:val="nil"/>
              <w:left w:val="nil"/>
              <w:bottom w:val="single" w:sz="4" w:space="0" w:color="auto"/>
              <w:right w:val="single" w:sz="8" w:space="0" w:color="auto"/>
            </w:tcBorders>
            <w:noWrap/>
            <w:vAlign w:val="center"/>
            <w:hideMark/>
          </w:tcPr>
          <w:p w14:paraId="5E8C7F92" w14:textId="4BB2E73B"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921</w:t>
            </w:r>
          </w:p>
        </w:tc>
      </w:tr>
      <w:tr w:rsidR="00AC7CB0" w:rsidRPr="004D2B9A" w14:paraId="0958BCD4" w14:textId="77777777" w:rsidTr="00FC1BBF">
        <w:trPr>
          <w:trHeight w:val="300"/>
          <w:jc w:val="center"/>
        </w:trPr>
        <w:tc>
          <w:tcPr>
            <w:tcW w:w="727" w:type="dxa"/>
            <w:tcBorders>
              <w:top w:val="nil"/>
              <w:left w:val="single" w:sz="8" w:space="0" w:color="auto"/>
              <w:bottom w:val="single" w:sz="4" w:space="0" w:color="auto"/>
              <w:right w:val="single" w:sz="8" w:space="0" w:color="auto"/>
            </w:tcBorders>
            <w:noWrap/>
            <w:vAlign w:val="center"/>
            <w:hideMark/>
          </w:tcPr>
          <w:p w14:paraId="5A37DBD5" w14:textId="77777777" w:rsidR="00AC7CB0" w:rsidRPr="004D2B9A" w:rsidRDefault="00AC7CB0" w:rsidP="00075B2F">
            <w:pPr>
              <w:pStyle w:val="tabele"/>
              <w:rPr>
                <w:b w:val="0"/>
                <w:bCs w:val="0"/>
                <w:lang w:val="en-GB"/>
              </w:rPr>
            </w:pPr>
            <w:r w:rsidRPr="004D2B9A">
              <w:rPr>
                <w:b w:val="0"/>
                <w:bCs w:val="0"/>
                <w:lang w:val="en-GB"/>
              </w:rPr>
              <w:t>II</w:t>
            </w:r>
          </w:p>
        </w:tc>
        <w:tc>
          <w:tcPr>
            <w:tcW w:w="709" w:type="dxa"/>
            <w:tcBorders>
              <w:top w:val="nil"/>
              <w:left w:val="nil"/>
              <w:bottom w:val="single" w:sz="4" w:space="0" w:color="auto"/>
              <w:right w:val="single" w:sz="4" w:space="0" w:color="auto"/>
            </w:tcBorders>
            <w:noWrap/>
            <w:vAlign w:val="center"/>
            <w:hideMark/>
          </w:tcPr>
          <w:p w14:paraId="2BF96D65" w14:textId="77777777" w:rsidR="00AC7CB0" w:rsidRPr="004D2B9A" w:rsidRDefault="00AC7CB0" w:rsidP="00075B2F">
            <w:pPr>
              <w:pStyle w:val="tabele"/>
              <w:rPr>
                <w:b w:val="0"/>
                <w:bCs w:val="0"/>
                <w:lang w:val="en-GB"/>
              </w:rPr>
            </w:pPr>
            <w:r w:rsidRPr="004D2B9A">
              <w:rPr>
                <w:b w:val="0"/>
                <w:bCs w:val="0"/>
                <w:lang w:val="en-GB"/>
              </w:rPr>
              <w:t>672</w:t>
            </w:r>
          </w:p>
        </w:tc>
        <w:tc>
          <w:tcPr>
            <w:tcW w:w="850" w:type="dxa"/>
            <w:tcBorders>
              <w:top w:val="nil"/>
              <w:left w:val="nil"/>
              <w:bottom w:val="single" w:sz="4" w:space="0" w:color="auto"/>
              <w:right w:val="single" w:sz="4" w:space="0" w:color="auto"/>
            </w:tcBorders>
            <w:noWrap/>
            <w:vAlign w:val="center"/>
            <w:hideMark/>
          </w:tcPr>
          <w:p w14:paraId="1AE68E91" w14:textId="31C6842C" w:rsidR="00AC7CB0" w:rsidRPr="004D2B9A" w:rsidRDefault="00AC7CB0" w:rsidP="00075B2F">
            <w:pPr>
              <w:pStyle w:val="tabele"/>
              <w:rPr>
                <w:b w:val="0"/>
                <w:bCs w:val="0"/>
                <w:lang w:val="en-GB"/>
              </w:rPr>
            </w:pPr>
            <w:r w:rsidRPr="004D2B9A">
              <w:rPr>
                <w:b w:val="0"/>
                <w:bCs w:val="0"/>
                <w:lang w:val="en-GB"/>
              </w:rPr>
              <w:t>-0</w:t>
            </w:r>
            <w:r w:rsidR="00602613">
              <w:rPr>
                <w:b w:val="0"/>
                <w:bCs w:val="0"/>
                <w:lang w:val="en-GB"/>
              </w:rPr>
              <w:t>.</w:t>
            </w:r>
            <w:r w:rsidRPr="004D2B9A">
              <w:rPr>
                <w:b w:val="0"/>
                <w:bCs w:val="0"/>
                <w:lang w:val="en-GB"/>
              </w:rPr>
              <w:t>8</w:t>
            </w:r>
          </w:p>
        </w:tc>
        <w:tc>
          <w:tcPr>
            <w:tcW w:w="851" w:type="dxa"/>
            <w:tcBorders>
              <w:top w:val="nil"/>
              <w:left w:val="nil"/>
              <w:bottom w:val="single" w:sz="4" w:space="0" w:color="auto"/>
              <w:right w:val="single" w:sz="4" w:space="0" w:color="auto"/>
            </w:tcBorders>
            <w:noWrap/>
            <w:vAlign w:val="center"/>
            <w:hideMark/>
          </w:tcPr>
          <w:p w14:paraId="19F8001C" w14:textId="77777777" w:rsidR="00AC7CB0" w:rsidRPr="004D2B9A" w:rsidRDefault="00AC7CB0" w:rsidP="00075B2F">
            <w:pPr>
              <w:pStyle w:val="tabele"/>
              <w:rPr>
                <w:b w:val="0"/>
                <w:bCs w:val="0"/>
                <w:lang w:val="en-GB"/>
              </w:rPr>
            </w:pPr>
            <w:r w:rsidRPr="004D2B9A">
              <w:rPr>
                <w:b w:val="0"/>
                <w:bCs w:val="0"/>
                <w:lang w:val="en-GB"/>
              </w:rPr>
              <w:t>40</w:t>
            </w:r>
          </w:p>
        </w:tc>
        <w:tc>
          <w:tcPr>
            <w:tcW w:w="708" w:type="dxa"/>
            <w:tcBorders>
              <w:top w:val="nil"/>
              <w:left w:val="nil"/>
              <w:bottom w:val="single" w:sz="4" w:space="0" w:color="auto"/>
              <w:right w:val="single" w:sz="8" w:space="0" w:color="auto"/>
            </w:tcBorders>
            <w:noWrap/>
            <w:vAlign w:val="center"/>
            <w:hideMark/>
          </w:tcPr>
          <w:p w14:paraId="5A28E4D2" w14:textId="091E25A3"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719</w:t>
            </w:r>
          </w:p>
        </w:tc>
        <w:tc>
          <w:tcPr>
            <w:tcW w:w="567" w:type="dxa"/>
            <w:tcBorders>
              <w:top w:val="nil"/>
              <w:left w:val="nil"/>
              <w:bottom w:val="single" w:sz="4" w:space="0" w:color="auto"/>
              <w:right w:val="single" w:sz="4" w:space="0" w:color="auto"/>
            </w:tcBorders>
            <w:noWrap/>
            <w:vAlign w:val="center"/>
            <w:hideMark/>
          </w:tcPr>
          <w:p w14:paraId="6DDF4466" w14:textId="77777777" w:rsidR="00AC7CB0" w:rsidRPr="004D2B9A" w:rsidRDefault="00AC7CB0" w:rsidP="00075B2F">
            <w:pPr>
              <w:pStyle w:val="tabele"/>
              <w:rPr>
                <w:b w:val="0"/>
                <w:bCs w:val="0"/>
                <w:lang w:val="en-GB"/>
              </w:rPr>
            </w:pPr>
            <w:r w:rsidRPr="004D2B9A">
              <w:rPr>
                <w:b w:val="0"/>
                <w:bCs w:val="0"/>
                <w:lang w:val="en-GB"/>
              </w:rPr>
              <w:t>672</w:t>
            </w:r>
          </w:p>
        </w:tc>
        <w:tc>
          <w:tcPr>
            <w:tcW w:w="887" w:type="dxa"/>
            <w:tcBorders>
              <w:top w:val="nil"/>
              <w:left w:val="nil"/>
              <w:bottom w:val="single" w:sz="4" w:space="0" w:color="auto"/>
              <w:right w:val="single" w:sz="4" w:space="0" w:color="auto"/>
            </w:tcBorders>
            <w:noWrap/>
            <w:vAlign w:val="center"/>
            <w:hideMark/>
          </w:tcPr>
          <w:p w14:paraId="294FDD6A" w14:textId="06BCCAF3" w:rsidR="00AC7CB0" w:rsidRPr="004D2B9A" w:rsidRDefault="00AC7CB0" w:rsidP="00075B2F">
            <w:pPr>
              <w:pStyle w:val="tabele"/>
              <w:rPr>
                <w:b w:val="0"/>
                <w:bCs w:val="0"/>
                <w:lang w:val="en-GB"/>
              </w:rPr>
            </w:pPr>
            <w:r w:rsidRPr="004D2B9A">
              <w:rPr>
                <w:b w:val="0"/>
                <w:bCs w:val="0"/>
                <w:lang w:val="en-GB"/>
              </w:rPr>
              <w:t>-0</w:t>
            </w:r>
            <w:r w:rsidR="00602613">
              <w:rPr>
                <w:b w:val="0"/>
                <w:bCs w:val="0"/>
                <w:lang w:val="en-GB"/>
              </w:rPr>
              <w:t>.</w:t>
            </w:r>
            <w:r w:rsidRPr="004D2B9A">
              <w:rPr>
                <w:b w:val="0"/>
                <w:bCs w:val="0"/>
                <w:lang w:val="en-GB"/>
              </w:rPr>
              <w:t>7</w:t>
            </w:r>
          </w:p>
        </w:tc>
        <w:tc>
          <w:tcPr>
            <w:tcW w:w="794" w:type="dxa"/>
            <w:tcBorders>
              <w:top w:val="nil"/>
              <w:left w:val="nil"/>
              <w:bottom w:val="single" w:sz="4" w:space="0" w:color="auto"/>
              <w:right w:val="single" w:sz="4" w:space="0" w:color="auto"/>
            </w:tcBorders>
            <w:noWrap/>
            <w:vAlign w:val="center"/>
            <w:hideMark/>
          </w:tcPr>
          <w:p w14:paraId="77EDF5C2" w14:textId="77777777" w:rsidR="00AC7CB0" w:rsidRPr="004D2B9A" w:rsidRDefault="00AC7CB0" w:rsidP="00075B2F">
            <w:pPr>
              <w:pStyle w:val="tabele"/>
              <w:rPr>
                <w:b w:val="0"/>
                <w:bCs w:val="0"/>
                <w:lang w:val="en-GB"/>
              </w:rPr>
            </w:pPr>
            <w:r w:rsidRPr="004D2B9A">
              <w:rPr>
                <w:b w:val="0"/>
                <w:bCs w:val="0"/>
                <w:lang w:val="en-GB"/>
              </w:rPr>
              <w:t>55</w:t>
            </w:r>
          </w:p>
        </w:tc>
        <w:tc>
          <w:tcPr>
            <w:tcW w:w="645" w:type="dxa"/>
            <w:tcBorders>
              <w:top w:val="nil"/>
              <w:left w:val="nil"/>
              <w:bottom w:val="single" w:sz="4" w:space="0" w:color="auto"/>
              <w:right w:val="single" w:sz="8" w:space="0" w:color="auto"/>
            </w:tcBorders>
            <w:noWrap/>
            <w:vAlign w:val="center"/>
            <w:hideMark/>
          </w:tcPr>
          <w:p w14:paraId="7EFA13E6" w14:textId="0045FAA1"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619</w:t>
            </w:r>
          </w:p>
        </w:tc>
        <w:tc>
          <w:tcPr>
            <w:tcW w:w="637" w:type="dxa"/>
            <w:gridSpan w:val="2"/>
            <w:tcBorders>
              <w:top w:val="nil"/>
              <w:left w:val="nil"/>
              <w:bottom w:val="single" w:sz="4" w:space="0" w:color="auto"/>
              <w:right w:val="single" w:sz="4" w:space="0" w:color="auto"/>
            </w:tcBorders>
            <w:noWrap/>
            <w:vAlign w:val="center"/>
            <w:hideMark/>
          </w:tcPr>
          <w:p w14:paraId="5ADA6BA5" w14:textId="77777777" w:rsidR="00AC7CB0" w:rsidRPr="004D2B9A" w:rsidRDefault="00AC7CB0" w:rsidP="00075B2F">
            <w:pPr>
              <w:pStyle w:val="tabele"/>
              <w:rPr>
                <w:b w:val="0"/>
                <w:bCs w:val="0"/>
                <w:lang w:val="en-GB"/>
              </w:rPr>
            </w:pPr>
            <w:r w:rsidRPr="004D2B9A">
              <w:rPr>
                <w:b w:val="0"/>
                <w:bCs w:val="0"/>
                <w:lang w:val="en-GB"/>
              </w:rPr>
              <w:t>672</w:t>
            </w:r>
          </w:p>
        </w:tc>
        <w:tc>
          <w:tcPr>
            <w:tcW w:w="847" w:type="dxa"/>
            <w:tcBorders>
              <w:top w:val="nil"/>
              <w:left w:val="nil"/>
              <w:bottom w:val="single" w:sz="4" w:space="0" w:color="auto"/>
              <w:right w:val="single" w:sz="4" w:space="0" w:color="auto"/>
            </w:tcBorders>
            <w:noWrap/>
            <w:vAlign w:val="center"/>
            <w:hideMark/>
          </w:tcPr>
          <w:p w14:paraId="086073FC" w14:textId="43AD703C" w:rsidR="00AC7CB0" w:rsidRPr="004D2B9A" w:rsidRDefault="00AC7CB0" w:rsidP="00075B2F">
            <w:pPr>
              <w:pStyle w:val="tabele"/>
              <w:rPr>
                <w:b w:val="0"/>
                <w:bCs w:val="0"/>
                <w:lang w:val="en-GB"/>
              </w:rPr>
            </w:pPr>
            <w:r w:rsidRPr="004D2B9A">
              <w:rPr>
                <w:b w:val="0"/>
                <w:bCs w:val="0"/>
                <w:lang w:val="en-GB"/>
              </w:rPr>
              <w:t>-0</w:t>
            </w:r>
            <w:r w:rsidR="00602613">
              <w:rPr>
                <w:b w:val="0"/>
                <w:bCs w:val="0"/>
                <w:lang w:val="en-GB"/>
              </w:rPr>
              <w:t>.</w:t>
            </w:r>
            <w:r w:rsidRPr="004D2B9A">
              <w:rPr>
                <w:b w:val="0"/>
                <w:bCs w:val="0"/>
                <w:lang w:val="en-GB"/>
              </w:rPr>
              <w:t>9</w:t>
            </w:r>
          </w:p>
        </w:tc>
        <w:tc>
          <w:tcPr>
            <w:tcW w:w="850" w:type="dxa"/>
            <w:gridSpan w:val="2"/>
            <w:tcBorders>
              <w:top w:val="nil"/>
              <w:left w:val="nil"/>
              <w:bottom w:val="single" w:sz="4" w:space="0" w:color="auto"/>
              <w:right w:val="single" w:sz="4" w:space="0" w:color="auto"/>
            </w:tcBorders>
            <w:noWrap/>
            <w:vAlign w:val="center"/>
            <w:hideMark/>
          </w:tcPr>
          <w:p w14:paraId="774E3241" w14:textId="77777777" w:rsidR="00AC7CB0" w:rsidRPr="004D2B9A" w:rsidRDefault="00AC7CB0" w:rsidP="00075B2F">
            <w:pPr>
              <w:pStyle w:val="tabele"/>
              <w:rPr>
                <w:b w:val="0"/>
                <w:bCs w:val="0"/>
                <w:lang w:val="en-GB"/>
              </w:rPr>
            </w:pPr>
            <w:r w:rsidRPr="004D2B9A">
              <w:rPr>
                <w:b w:val="0"/>
                <w:bCs w:val="0"/>
                <w:lang w:val="en-GB"/>
              </w:rPr>
              <w:t>52</w:t>
            </w:r>
          </w:p>
        </w:tc>
        <w:tc>
          <w:tcPr>
            <w:tcW w:w="728" w:type="dxa"/>
            <w:tcBorders>
              <w:top w:val="nil"/>
              <w:left w:val="nil"/>
              <w:bottom w:val="single" w:sz="4" w:space="0" w:color="auto"/>
              <w:right w:val="single" w:sz="8" w:space="0" w:color="auto"/>
            </w:tcBorders>
            <w:noWrap/>
            <w:vAlign w:val="center"/>
            <w:hideMark/>
          </w:tcPr>
          <w:p w14:paraId="0DEAF229" w14:textId="57AC6C47"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681</w:t>
            </w:r>
          </w:p>
        </w:tc>
      </w:tr>
      <w:tr w:rsidR="00AC7CB0" w:rsidRPr="004D2B9A" w14:paraId="5BC7159C" w14:textId="77777777" w:rsidTr="00FC1BBF">
        <w:trPr>
          <w:trHeight w:val="300"/>
          <w:jc w:val="center"/>
        </w:trPr>
        <w:tc>
          <w:tcPr>
            <w:tcW w:w="727" w:type="dxa"/>
            <w:tcBorders>
              <w:top w:val="nil"/>
              <w:left w:val="single" w:sz="8" w:space="0" w:color="auto"/>
              <w:bottom w:val="single" w:sz="4" w:space="0" w:color="auto"/>
              <w:right w:val="single" w:sz="8" w:space="0" w:color="auto"/>
            </w:tcBorders>
            <w:noWrap/>
            <w:vAlign w:val="center"/>
            <w:hideMark/>
          </w:tcPr>
          <w:p w14:paraId="2C50D1C1" w14:textId="77777777" w:rsidR="00AC7CB0" w:rsidRPr="004D2B9A" w:rsidRDefault="00AC7CB0" w:rsidP="00075B2F">
            <w:pPr>
              <w:pStyle w:val="tabele"/>
              <w:rPr>
                <w:b w:val="0"/>
                <w:bCs w:val="0"/>
                <w:lang w:val="en-GB"/>
              </w:rPr>
            </w:pPr>
            <w:r w:rsidRPr="004D2B9A">
              <w:rPr>
                <w:b w:val="0"/>
                <w:bCs w:val="0"/>
                <w:lang w:val="en-GB"/>
              </w:rPr>
              <w:t>III</w:t>
            </w:r>
          </w:p>
        </w:tc>
        <w:tc>
          <w:tcPr>
            <w:tcW w:w="709" w:type="dxa"/>
            <w:tcBorders>
              <w:top w:val="nil"/>
              <w:left w:val="nil"/>
              <w:bottom w:val="single" w:sz="4" w:space="0" w:color="auto"/>
              <w:right w:val="single" w:sz="4" w:space="0" w:color="auto"/>
            </w:tcBorders>
            <w:noWrap/>
            <w:vAlign w:val="center"/>
            <w:hideMark/>
          </w:tcPr>
          <w:p w14:paraId="338BB08E" w14:textId="77777777" w:rsidR="00AC7CB0" w:rsidRPr="004D2B9A" w:rsidRDefault="00AC7CB0" w:rsidP="00075B2F">
            <w:pPr>
              <w:pStyle w:val="tabele"/>
              <w:rPr>
                <w:b w:val="0"/>
                <w:bCs w:val="0"/>
                <w:lang w:val="en-GB"/>
              </w:rPr>
            </w:pPr>
            <w:r w:rsidRPr="004D2B9A">
              <w:rPr>
                <w:b w:val="0"/>
                <w:bCs w:val="0"/>
                <w:lang w:val="en-GB"/>
              </w:rPr>
              <w:t>744</w:t>
            </w:r>
          </w:p>
        </w:tc>
        <w:tc>
          <w:tcPr>
            <w:tcW w:w="850" w:type="dxa"/>
            <w:tcBorders>
              <w:top w:val="nil"/>
              <w:left w:val="nil"/>
              <w:bottom w:val="single" w:sz="4" w:space="0" w:color="auto"/>
              <w:right w:val="single" w:sz="4" w:space="0" w:color="auto"/>
            </w:tcBorders>
            <w:noWrap/>
            <w:vAlign w:val="center"/>
            <w:hideMark/>
          </w:tcPr>
          <w:p w14:paraId="11011074" w14:textId="70ADEB5A" w:rsidR="00AC7CB0" w:rsidRPr="004D2B9A" w:rsidRDefault="00AC7CB0" w:rsidP="00075B2F">
            <w:pPr>
              <w:pStyle w:val="tabele"/>
              <w:rPr>
                <w:b w:val="0"/>
                <w:bCs w:val="0"/>
                <w:lang w:val="en-GB"/>
              </w:rPr>
            </w:pPr>
            <w:r w:rsidRPr="004D2B9A">
              <w:rPr>
                <w:b w:val="0"/>
                <w:bCs w:val="0"/>
                <w:lang w:val="en-GB"/>
              </w:rPr>
              <w:t>4</w:t>
            </w:r>
            <w:r w:rsidR="00602613">
              <w:rPr>
                <w:b w:val="0"/>
                <w:bCs w:val="0"/>
                <w:lang w:val="en-GB"/>
              </w:rPr>
              <w:t>.</w:t>
            </w:r>
            <w:r w:rsidRPr="004D2B9A">
              <w:rPr>
                <w:b w:val="0"/>
                <w:bCs w:val="0"/>
                <w:lang w:val="en-GB"/>
              </w:rPr>
              <w:t>3</w:t>
            </w:r>
          </w:p>
        </w:tc>
        <w:tc>
          <w:tcPr>
            <w:tcW w:w="851" w:type="dxa"/>
            <w:tcBorders>
              <w:top w:val="nil"/>
              <w:left w:val="nil"/>
              <w:bottom w:val="single" w:sz="4" w:space="0" w:color="auto"/>
              <w:right w:val="single" w:sz="4" w:space="0" w:color="auto"/>
            </w:tcBorders>
            <w:noWrap/>
            <w:vAlign w:val="center"/>
            <w:hideMark/>
          </w:tcPr>
          <w:p w14:paraId="70E0F5F3" w14:textId="77777777" w:rsidR="00AC7CB0" w:rsidRPr="004D2B9A" w:rsidRDefault="00AC7CB0" w:rsidP="00075B2F">
            <w:pPr>
              <w:pStyle w:val="tabele"/>
              <w:rPr>
                <w:b w:val="0"/>
                <w:bCs w:val="0"/>
                <w:lang w:val="en-GB"/>
              </w:rPr>
            </w:pPr>
            <w:r w:rsidRPr="004D2B9A">
              <w:rPr>
                <w:b w:val="0"/>
                <w:bCs w:val="0"/>
                <w:lang w:val="en-GB"/>
              </w:rPr>
              <w:t>75</w:t>
            </w:r>
          </w:p>
        </w:tc>
        <w:tc>
          <w:tcPr>
            <w:tcW w:w="708" w:type="dxa"/>
            <w:tcBorders>
              <w:top w:val="nil"/>
              <w:left w:val="nil"/>
              <w:bottom w:val="single" w:sz="4" w:space="0" w:color="auto"/>
              <w:right w:val="single" w:sz="8" w:space="0" w:color="auto"/>
            </w:tcBorders>
            <w:noWrap/>
            <w:vAlign w:val="center"/>
            <w:hideMark/>
          </w:tcPr>
          <w:p w14:paraId="014853E2" w14:textId="2928E99B"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239</w:t>
            </w:r>
          </w:p>
        </w:tc>
        <w:tc>
          <w:tcPr>
            <w:tcW w:w="567" w:type="dxa"/>
            <w:tcBorders>
              <w:top w:val="nil"/>
              <w:left w:val="nil"/>
              <w:bottom w:val="single" w:sz="4" w:space="0" w:color="auto"/>
              <w:right w:val="single" w:sz="4" w:space="0" w:color="auto"/>
            </w:tcBorders>
            <w:noWrap/>
            <w:vAlign w:val="center"/>
            <w:hideMark/>
          </w:tcPr>
          <w:p w14:paraId="4EC6A818" w14:textId="77777777" w:rsidR="00AC7CB0" w:rsidRPr="004D2B9A" w:rsidRDefault="00AC7CB0" w:rsidP="00075B2F">
            <w:pPr>
              <w:pStyle w:val="tabele"/>
              <w:rPr>
                <w:b w:val="0"/>
                <w:bCs w:val="0"/>
                <w:lang w:val="en-GB"/>
              </w:rPr>
            </w:pPr>
            <w:r w:rsidRPr="004D2B9A">
              <w:rPr>
                <w:b w:val="0"/>
                <w:bCs w:val="0"/>
                <w:lang w:val="en-GB"/>
              </w:rPr>
              <w:t>703</w:t>
            </w:r>
          </w:p>
        </w:tc>
        <w:tc>
          <w:tcPr>
            <w:tcW w:w="887" w:type="dxa"/>
            <w:tcBorders>
              <w:top w:val="nil"/>
              <w:left w:val="nil"/>
              <w:bottom w:val="single" w:sz="4" w:space="0" w:color="auto"/>
              <w:right w:val="single" w:sz="4" w:space="0" w:color="auto"/>
            </w:tcBorders>
            <w:noWrap/>
            <w:vAlign w:val="center"/>
            <w:hideMark/>
          </w:tcPr>
          <w:p w14:paraId="362B73E4" w14:textId="27C5BF9F" w:rsidR="00AC7CB0" w:rsidRPr="004D2B9A" w:rsidRDefault="00AC7CB0" w:rsidP="00075B2F">
            <w:pPr>
              <w:pStyle w:val="tabele"/>
              <w:rPr>
                <w:b w:val="0"/>
                <w:bCs w:val="0"/>
                <w:lang w:val="en-GB"/>
              </w:rPr>
            </w:pPr>
            <w:r w:rsidRPr="004D2B9A">
              <w:rPr>
                <w:b w:val="0"/>
                <w:bCs w:val="0"/>
                <w:lang w:val="en-GB"/>
              </w:rPr>
              <w:t>2</w:t>
            </w:r>
            <w:r w:rsidR="00602613">
              <w:rPr>
                <w:b w:val="0"/>
                <w:bCs w:val="0"/>
                <w:lang w:val="en-GB"/>
              </w:rPr>
              <w:t>.</w:t>
            </w:r>
            <w:r w:rsidRPr="004D2B9A">
              <w:rPr>
                <w:b w:val="0"/>
                <w:bCs w:val="0"/>
                <w:lang w:val="en-GB"/>
              </w:rPr>
              <w:t>2</w:t>
            </w:r>
          </w:p>
        </w:tc>
        <w:tc>
          <w:tcPr>
            <w:tcW w:w="794" w:type="dxa"/>
            <w:tcBorders>
              <w:top w:val="nil"/>
              <w:left w:val="nil"/>
              <w:bottom w:val="single" w:sz="4" w:space="0" w:color="auto"/>
              <w:right w:val="single" w:sz="4" w:space="0" w:color="auto"/>
            </w:tcBorders>
            <w:noWrap/>
            <w:vAlign w:val="center"/>
            <w:hideMark/>
          </w:tcPr>
          <w:p w14:paraId="3C09C898" w14:textId="77777777" w:rsidR="00AC7CB0" w:rsidRPr="004D2B9A" w:rsidRDefault="00AC7CB0" w:rsidP="00075B2F">
            <w:pPr>
              <w:pStyle w:val="tabele"/>
              <w:rPr>
                <w:b w:val="0"/>
                <w:bCs w:val="0"/>
                <w:lang w:val="en-GB"/>
              </w:rPr>
            </w:pPr>
            <w:r w:rsidRPr="004D2B9A">
              <w:rPr>
                <w:b w:val="0"/>
                <w:bCs w:val="0"/>
                <w:lang w:val="en-GB"/>
              </w:rPr>
              <w:t>96</w:t>
            </w:r>
          </w:p>
        </w:tc>
        <w:tc>
          <w:tcPr>
            <w:tcW w:w="645" w:type="dxa"/>
            <w:tcBorders>
              <w:top w:val="nil"/>
              <w:left w:val="nil"/>
              <w:bottom w:val="single" w:sz="4" w:space="0" w:color="auto"/>
              <w:right w:val="single" w:sz="8" w:space="0" w:color="auto"/>
            </w:tcBorders>
            <w:noWrap/>
            <w:vAlign w:val="center"/>
            <w:hideMark/>
          </w:tcPr>
          <w:p w14:paraId="5E615618" w14:textId="2BA07721"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255</w:t>
            </w:r>
          </w:p>
        </w:tc>
        <w:tc>
          <w:tcPr>
            <w:tcW w:w="637" w:type="dxa"/>
            <w:gridSpan w:val="2"/>
            <w:tcBorders>
              <w:top w:val="nil"/>
              <w:left w:val="nil"/>
              <w:bottom w:val="single" w:sz="4" w:space="0" w:color="auto"/>
              <w:right w:val="single" w:sz="4" w:space="0" w:color="auto"/>
            </w:tcBorders>
            <w:noWrap/>
            <w:vAlign w:val="center"/>
            <w:hideMark/>
          </w:tcPr>
          <w:p w14:paraId="5730BF9E" w14:textId="77777777" w:rsidR="00AC7CB0" w:rsidRPr="004D2B9A" w:rsidRDefault="00AC7CB0" w:rsidP="00075B2F">
            <w:pPr>
              <w:pStyle w:val="tabele"/>
              <w:rPr>
                <w:b w:val="0"/>
                <w:bCs w:val="0"/>
                <w:lang w:val="en-GB"/>
              </w:rPr>
            </w:pPr>
            <w:r w:rsidRPr="004D2B9A">
              <w:rPr>
                <w:b w:val="0"/>
                <w:bCs w:val="0"/>
                <w:lang w:val="en-GB"/>
              </w:rPr>
              <w:t>727</w:t>
            </w:r>
          </w:p>
        </w:tc>
        <w:tc>
          <w:tcPr>
            <w:tcW w:w="847" w:type="dxa"/>
            <w:tcBorders>
              <w:top w:val="nil"/>
              <w:left w:val="nil"/>
              <w:bottom w:val="single" w:sz="4" w:space="0" w:color="auto"/>
              <w:right w:val="single" w:sz="4" w:space="0" w:color="auto"/>
            </w:tcBorders>
            <w:noWrap/>
            <w:vAlign w:val="center"/>
            <w:hideMark/>
          </w:tcPr>
          <w:p w14:paraId="0433F5A1" w14:textId="7081D6E0" w:rsidR="00AC7CB0" w:rsidRPr="004D2B9A" w:rsidRDefault="00AC7CB0" w:rsidP="00075B2F">
            <w:pPr>
              <w:pStyle w:val="tabele"/>
              <w:rPr>
                <w:b w:val="0"/>
                <w:bCs w:val="0"/>
                <w:lang w:val="en-GB"/>
              </w:rPr>
            </w:pPr>
            <w:r w:rsidRPr="004D2B9A">
              <w:rPr>
                <w:b w:val="0"/>
                <w:bCs w:val="0"/>
                <w:lang w:val="en-GB"/>
              </w:rPr>
              <w:t>4</w:t>
            </w:r>
            <w:r w:rsidR="00602613">
              <w:rPr>
                <w:b w:val="0"/>
                <w:bCs w:val="0"/>
                <w:lang w:val="en-GB"/>
              </w:rPr>
              <w:t>.</w:t>
            </w:r>
            <w:r w:rsidRPr="004D2B9A">
              <w:rPr>
                <w:b w:val="0"/>
                <w:bCs w:val="0"/>
                <w:lang w:val="en-GB"/>
              </w:rPr>
              <w:t>3</w:t>
            </w:r>
          </w:p>
        </w:tc>
        <w:tc>
          <w:tcPr>
            <w:tcW w:w="850" w:type="dxa"/>
            <w:gridSpan w:val="2"/>
            <w:tcBorders>
              <w:top w:val="nil"/>
              <w:left w:val="nil"/>
              <w:bottom w:val="single" w:sz="4" w:space="0" w:color="auto"/>
              <w:right w:val="single" w:sz="4" w:space="0" w:color="auto"/>
            </w:tcBorders>
            <w:noWrap/>
            <w:vAlign w:val="center"/>
            <w:hideMark/>
          </w:tcPr>
          <w:p w14:paraId="5862E42C" w14:textId="77777777" w:rsidR="00AC7CB0" w:rsidRPr="004D2B9A" w:rsidRDefault="00AC7CB0" w:rsidP="00075B2F">
            <w:pPr>
              <w:pStyle w:val="tabele"/>
              <w:rPr>
                <w:b w:val="0"/>
                <w:bCs w:val="0"/>
                <w:lang w:val="en-GB"/>
              </w:rPr>
            </w:pPr>
            <w:r w:rsidRPr="004D2B9A">
              <w:rPr>
                <w:b w:val="0"/>
                <w:bCs w:val="0"/>
                <w:lang w:val="en-GB"/>
              </w:rPr>
              <w:t>91</w:t>
            </w:r>
          </w:p>
        </w:tc>
        <w:tc>
          <w:tcPr>
            <w:tcW w:w="728" w:type="dxa"/>
            <w:tcBorders>
              <w:top w:val="nil"/>
              <w:left w:val="nil"/>
              <w:bottom w:val="single" w:sz="4" w:space="0" w:color="auto"/>
              <w:right w:val="single" w:sz="8" w:space="0" w:color="auto"/>
            </w:tcBorders>
            <w:noWrap/>
            <w:vAlign w:val="center"/>
            <w:hideMark/>
          </w:tcPr>
          <w:p w14:paraId="64D85F26" w14:textId="1370494A"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125</w:t>
            </w:r>
          </w:p>
        </w:tc>
      </w:tr>
      <w:tr w:rsidR="00AC7CB0" w:rsidRPr="004D2B9A" w14:paraId="222CFCDE" w14:textId="77777777" w:rsidTr="00FC1BBF">
        <w:trPr>
          <w:trHeight w:val="300"/>
          <w:jc w:val="center"/>
        </w:trPr>
        <w:tc>
          <w:tcPr>
            <w:tcW w:w="727" w:type="dxa"/>
            <w:tcBorders>
              <w:top w:val="nil"/>
              <w:left w:val="single" w:sz="8" w:space="0" w:color="auto"/>
              <w:bottom w:val="single" w:sz="4" w:space="0" w:color="auto"/>
              <w:right w:val="single" w:sz="8" w:space="0" w:color="auto"/>
            </w:tcBorders>
            <w:noWrap/>
            <w:vAlign w:val="center"/>
            <w:hideMark/>
          </w:tcPr>
          <w:p w14:paraId="7F94F595" w14:textId="77777777" w:rsidR="00AC7CB0" w:rsidRPr="004D2B9A" w:rsidRDefault="00AC7CB0" w:rsidP="00075B2F">
            <w:pPr>
              <w:pStyle w:val="tabele"/>
              <w:rPr>
                <w:b w:val="0"/>
                <w:bCs w:val="0"/>
                <w:lang w:val="en-GB"/>
              </w:rPr>
            </w:pPr>
            <w:r w:rsidRPr="004D2B9A">
              <w:rPr>
                <w:b w:val="0"/>
                <w:bCs w:val="0"/>
                <w:lang w:val="en-GB"/>
              </w:rPr>
              <w:t>IV</w:t>
            </w:r>
          </w:p>
        </w:tc>
        <w:tc>
          <w:tcPr>
            <w:tcW w:w="709" w:type="dxa"/>
            <w:tcBorders>
              <w:top w:val="nil"/>
              <w:left w:val="nil"/>
              <w:bottom w:val="single" w:sz="4" w:space="0" w:color="auto"/>
              <w:right w:val="single" w:sz="4" w:space="0" w:color="auto"/>
            </w:tcBorders>
            <w:noWrap/>
            <w:vAlign w:val="center"/>
            <w:hideMark/>
          </w:tcPr>
          <w:p w14:paraId="109E5542" w14:textId="77777777" w:rsidR="00AC7CB0" w:rsidRPr="004D2B9A" w:rsidRDefault="00AC7CB0" w:rsidP="00075B2F">
            <w:pPr>
              <w:pStyle w:val="tabele"/>
              <w:rPr>
                <w:b w:val="0"/>
                <w:bCs w:val="0"/>
                <w:lang w:val="en-GB"/>
              </w:rPr>
            </w:pPr>
            <w:r w:rsidRPr="004D2B9A">
              <w:rPr>
                <w:b w:val="0"/>
                <w:bCs w:val="0"/>
                <w:lang w:val="en-GB"/>
              </w:rPr>
              <w:t>690</w:t>
            </w:r>
          </w:p>
        </w:tc>
        <w:tc>
          <w:tcPr>
            <w:tcW w:w="850" w:type="dxa"/>
            <w:tcBorders>
              <w:top w:val="nil"/>
              <w:left w:val="nil"/>
              <w:bottom w:val="single" w:sz="4" w:space="0" w:color="auto"/>
              <w:right w:val="single" w:sz="4" w:space="0" w:color="auto"/>
            </w:tcBorders>
            <w:noWrap/>
            <w:vAlign w:val="center"/>
            <w:hideMark/>
          </w:tcPr>
          <w:p w14:paraId="25398FD5" w14:textId="15B03ED3" w:rsidR="00AC7CB0" w:rsidRPr="004D2B9A" w:rsidRDefault="00AC7CB0" w:rsidP="00075B2F">
            <w:pPr>
              <w:pStyle w:val="tabele"/>
              <w:rPr>
                <w:b w:val="0"/>
                <w:bCs w:val="0"/>
                <w:lang w:val="en-GB"/>
              </w:rPr>
            </w:pPr>
            <w:r w:rsidRPr="004D2B9A">
              <w:rPr>
                <w:b w:val="0"/>
                <w:bCs w:val="0"/>
                <w:lang w:val="en-GB"/>
              </w:rPr>
              <w:t>6</w:t>
            </w:r>
            <w:r w:rsidR="00602613">
              <w:rPr>
                <w:b w:val="0"/>
                <w:bCs w:val="0"/>
                <w:lang w:val="en-GB"/>
              </w:rPr>
              <w:t>.</w:t>
            </w:r>
            <w:r w:rsidRPr="004D2B9A">
              <w:rPr>
                <w:b w:val="0"/>
                <w:bCs w:val="0"/>
                <w:lang w:val="en-GB"/>
              </w:rPr>
              <w:t>0</w:t>
            </w:r>
          </w:p>
        </w:tc>
        <w:tc>
          <w:tcPr>
            <w:tcW w:w="851" w:type="dxa"/>
            <w:tcBorders>
              <w:top w:val="nil"/>
              <w:left w:val="nil"/>
              <w:bottom w:val="single" w:sz="4" w:space="0" w:color="auto"/>
              <w:right w:val="single" w:sz="4" w:space="0" w:color="auto"/>
            </w:tcBorders>
            <w:noWrap/>
            <w:vAlign w:val="center"/>
            <w:hideMark/>
          </w:tcPr>
          <w:p w14:paraId="2C4FA377" w14:textId="77777777" w:rsidR="00AC7CB0" w:rsidRPr="004D2B9A" w:rsidRDefault="00AC7CB0" w:rsidP="00075B2F">
            <w:pPr>
              <w:pStyle w:val="tabele"/>
              <w:rPr>
                <w:b w:val="0"/>
                <w:bCs w:val="0"/>
                <w:lang w:val="en-GB"/>
              </w:rPr>
            </w:pPr>
            <w:r w:rsidRPr="004D2B9A">
              <w:rPr>
                <w:b w:val="0"/>
                <w:bCs w:val="0"/>
                <w:lang w:val="en-GB"/>
              </w:rPr>
              <w:t>111</w:t>
            </w:r>
          </w:p>
        </w:tc>
        <w:tc>
          <w:tcPr>
            <w:tcW w:w="708" w:type="dxa"/>
            <w:tcBorders>
              <w:top w:val="nil"/>
              <w:left w:val="nil"/>
              <w:bottom w:val="single" w:sz="4" w:space="0" w:color="auto"/>
              <w:right w:val="single" w:sz="8" w:space="0" w:color="auto"/>
            </w:tcBorders>
            <w:noWrap/>
            <w:vAlign w:val="center"/>
            <w:hideMark/>
          </w:tcPr>
          <w:p w14:paraId="063ED1D8" w14:textId="77777777" w:rsidR="00AC7CB0" w:rsidRPr="004D2B9A" w:rsidRDefault="00AC7CB0" w:rsidP="00075B2F">
            <w:pPr>
              <w:pStyle w:val="tabele"/>
              <w:rPr>
                <w:b w:val="0"/>
                <w:bCs w:val="0"/>
                <w:lang w:val="en-GB"/>
              </w:rPr>
            </w:pPr>
            <w:r w:rsidRPr="004D2B9A">
              <w:rPr>
                <w:b w:val="0"/>
                <w:bCs w:val="0"/>
                <w:lang w:val="en-GB"/>
              </w:rPr>
              <w:t>886</w:t>
            </w:r>
          </w:p>
        </w:tc>
        <w:tc>
          <w:tcPr>
            <w:tcW w:w="567" w:type="dxa"/>
            <w:tcBorders>
              <w:top w:val="nil"/>
              <w:left w:val="nil"/>
              <w:bottom w:val="single" w:sz="4" w:space="0" w:color="auto"/>
              <w:right w:val="single" w:sz="4" w:space="0" w:color="auto"/>
            </w:tcBorders>
            <w:noWrap/>
            <w:vAlign w:val="center"/>
            <w:hideMark/>
          </w:tcPr>
          <w:p w14:paraId="3304F521" w14:textId="77777777" w:rsidR="00AC7CB0" w:rsidRPr="004D2B9A" w:rsidRDefault="00AC7CB0" w:rsidP="00075B2F">
            <w:pPr>
              <w:pStyle w:val="tabele"/>
              <w:rPr>
                <w:b w:val="0"/>
                <w:bCs w:val="0"/>
                <w:lang w:val="en-GB"/>
              </w:rPr>
            </w:pPr>
            <w:r w:rsidRPr="004D2B9A">
              <w:rPr>
                <w:b w:val="0"/>
                <w:bCs w:val="0"/>
                <w:lang w:val="en-GB"/>
              </w:rPr>
              <w:t>607</w:t>
            </w:r>
          </w:p>
        </w:tc>
        <w:tc>
          <w:tcPr>
            <w:tcW w:w="887" w:type="dxa"/>
            <w:tcBorders>
              <w:top w:val="nil"/>
              <w:left w:val="nil"/>
              <w:bottom w:val="single" w:sz="4" w:space="0" w:color="auto"/>
              <w:right w:val="single" w:sz="4" w:space="0" w:color="auto"/>
            </w:tcBorders>
            <w:noWrap/>
            <w:vAlign w:val="center"/>
            <w:hideMark/>
          </w:tcPr>
          <w:p w14:paraId="603CCC87" w14:textId="228A5432" w:rsidR="00AC7CB0" w:rsidRPr="00FC1BBF" w:rsidRDefault="00AC7CB0" w:rsidP="00075B2F">
            <w:pPr>
              <w:pStyle w:val="tabele"/>
              <w:rPr>
                <w:b w:val="0"/>
                <w:bCs w:val="0"/>
                <w:lang w:val="en-GB"/>
              </w:rPr>
            </w:pPr>
            <w:r w:rsidRPr="00FC1BBF">
              <w:rPr>
                <w:b w:val="0"/>
                <w:bCs w:val="0"/>
                <w:lang w:val="en-GB"/>
              </w:rPr>
              <w:t>6</w:t>
            </w:r>
            <w:r w:rsidR="00602613">
              <w:rPr>
                <w:b w:val="0"/>
                <w:bCs w:val="0"/>
                <w:lang w:val="en-GB"/>
              </w:rPr>
              <w:t>.</w:t>
            </w:r>
            <w:r w:rsidRPr="00FC1BBF">
              <w:rPr>
                <w:b w:val="0"/>
                <w:bCs w:val="0"/>
                <w:lang w:val="en-GB"/>
              </w:rPr>
              <w:t>4</w:t>
            </w:r>
          </w:p>
        </w:tc>
        <w:tc>
          <w:tcPr>
            <w:tcW w:w="794" w:type="dxa"/>
            <w:tcBorders>
              <w:top w:val="nil"/>
              <w:left w:val="nil"/>
              <w:bottom w:val="single" w:sz="4" w:space="0" w:color="auto"/>
              <w:right w:val="single" w:sz="4" w:space="0" w:color="auto"/>
            </w:tcBorders>
            <w:noWrap/>
            <w:vAlign w:val="center"/>
            <w:hideMark/>
          </w:tcPr>
          <w:p w14:paraId="177F3335" w14:textId="77777777" w:rsidR="00AC7CB0" w:rsidRPr="00FC1BBF" w:rsidRDefault="00AC7CB0" w:rsidP="00075B2F">
            <w:pPr>
              <w:pStyle w:val="tabele"/>
              <w:rPr>
                <w:b w:val="0"/>
                <w:bCs w:val="0"/>
                <w:lang w:val="en-GB"/>
              </w:rPr>
            </w:pPr>
            <w:r w:rsidRPr="00FC1BBF">
              <w:rPr>
                <w:b w:val="0"/>
                <w:bCs w:val="0"/>
                <w:lang w:val="en-GB"/>
              </w:rPr>
              <w:t>143</w:t>
            </w:r>
          </w:p>
        </w:tc>
        <w:tc>
          <w:tcPr>
            <w:tcW w:w="645" w:type="dxa"/>
            <w:tcBorders>
              <w:top w:val="nil"/>
              <w:left w:val="nil"/>
              <w:bottom w:val="single" w:sz="4" w:space="0" w:color="auto"/>
              <w:right w:val="single" w:sz="8" w:space="0" w:color="auto"/>
            </w:tcBorders>
            <w:noWrap/>
            <w:vAlign w:val="center"/>
            <w:hideMark/>
          </w:tcPr>
          <w:p w14:paraId="05DC3BC5" w14:textId="77777777" w:rsidR="00AC7CB0" w:rsidRPr="004D2B9A" w:rsidRDefault="00AC7CB0" w:rsidP="00075B2F">
            <w:pPr>
              <w:pStyle w:val="tabele"/>
              <w:rPr>
                <w:b w:val="0"/>
                <w:bCs w:val="0"/>
                <w:lang w:val="en-GB"/>
              </w:rPr>
            </w:pPr>
            <w:r w:rsidRPr="004D2B9A">
              <w:rPr>
                <w:b w:val="0"/>
                <w:bCs w:val="0"/>
                <w:lang w:val="en-GB"/>
              </w:rPr>
              <w:t>643</w:t>
            </w:r>
          </w:p>
        </w:tc>
        <w:tc>
          <w:tcPr>
            <w:tcW w:w="637" w:type="dxa"/>
            <w:gridSpan w:val="2"/>
            <w:tcBorders>
              <w:top w:val="nil"/>
              <w:left w:val="nil"/>
              <w:bottom w:val="single" w:sz="4" w:space="0" w:color="auto"/>
              <w:right w:val="single" w:sz="4" w:space="0" w:color="auto"/>
            </w:tcBorders>
            <w:noWrap/>
            <w:vAlign w:val="center"/>
            <w:hideMark/>
          </w:tcPr>
          <w:p w14:paraId="6CED9AED" w14:textId="77777777" w:rsidR="00AC7CB0" w:rsidRPr="004D2B9A" w:rsidRDefault="00AC7CB0" w:rsidP="00075B2F">
            <w:pPr>
              <w:pStyle w:val="tabele"/>
              <w:rPr>
                <w:b w:val="0"/>
                <w:bCs w:val="0"/>
                <w:lang w:val="en-GB"/>
              </w:rPr>
            </w:pPr>
            <w:r w:rsidRPr="004D2B9A">
              <w:rPr>
                <w:b w:val="0"/>
                <w:bCs w:val="0"/>
                <w:lang w:val="en-GB"/>
              </w:rPr>
              <w:t>663</w:t>
            </w:r>
          </w:p>
        </w:tc>
        <w:tc>
          <w:tcPr>
            <w:tcW w:w="847" w:type="dxa"/>
            <w:tcBorders>
              <w:top w:val="nil"/>
              <w:left w:val="nil"/>
              <w:bottom w:val="single" w:sz="4" w:space="0" w:color="auto"/>
              <w:right w:val="single" w:sz="4" w:space="0" w:color="auto"/>
            </w:tcBorders>
            <w:noWrap/>
            <w:vAlign w:val="center"/>
            <w:hideMark/>
          </w:tcPr>
          <w:p w14:paraId="725D764C" w14:textId="3AE82789" w:rsidR="00AC7CB0" w:rsidRPr="004D2B9A" w:rsidRDefault="00AC7CB0" w:rsidP="00075B2F">
            <w:pPr>
              <w:pStyle w:val="tabele"/>
              <w:rPr>
                <w:b w:val="0"/>
                <w:bCs w:val="0"/>
                <w:lang w:val="en-GB"/>
              </w:rPr>
            </w:pPr>
            <w:r w:rsidRPr="004D2B9A">
              <w:rPr>
                <w:b w:val="0"/>
                <w:bCs w:val="0"/>
                <w:lang w:val="en-GB"/>
              </w:rPr>
              <w:t>6</w:t>
            </w:r>
            <w:r w:rsidR="00602613">
              <w:rPr>
                <w:b w:val="0"/>
                <w:bCs w:val="0"/>
                <w:lang w:val="en-GB"/>
              </w:rPr>
              <w:t>.</w:t>
            </w:r>
            <w:r w:rsidRPr="004D2B9A">
              <w:rPr>
                <w:b w:val="0"/>
                <w:bCs w:val="0"/>
                <w:lang w:val="en-GB"/>
              </w:rPr>
              <w:t>0</w:t>
            </w:r>
          </w:p>
        </w:tc>
        <w:tc>
          <w:tcPr>
            <w:tcW w:w="850" w:type="dxa"/>
            <w:gridSpan w:val="2"/>
            <w:tcBorders>
              <w:top w:val="nil"/>
              <w:left w:val="nil"/>
              <w:bottom w:val="single" w:sz="4" w:space="0" w:color="auto"/>
              <w:right w:val="single" w:sz="4" w:space="0" w:color="auto"/>
            </w:tcBorders>
            <w:noWrap/>
            <w:vAlign w:val="center"/>
            <w:hideMark/>
          </w:tcPr>
          <w:p w14:paraId="069039B9" w14:textId="77777777" w:rsidR="00AC7CB0" w:rsidRPr="004D2B9A" w:rsidRDefault="00AC7CB0" w:rsidP="00075B2F">
            <w:pPr>
              <w:pStyle w:val="tabele"/>
              <w:rPr>
                <w:b w:val="0"/>
                <w:bCs w:val="0"/>
                <w:lang w:val="en-GB"/>
              </w:rPr>
            </w:pPr>
            <w:r w:rsidRPr="004D2B9A">
              <w:rPr>
                <w:b w:val="0"/>
                <w:bCs w:val="0"/>
                <w:lang w:val="en-GB"/>
              </w:rPr>
              <w:t>133</w:t>
            </w:r>
          </w:p>
        </w:tc>
        <w:tc>
          <w:tcPr>
            <w:tcW w:w="728" w:type="dxa"/>
            <w:tcBorders>
              <w:top w:val="nil"/>
              <w:left w:val="nil"/>
              <w:bottom w:val="single" w:sz="4" w:space="0" w:color="auto"/>
              <w:right w:val="single" w:sz="8" w:space="0" w:color="auto"/>
            </w:tcBorders>
            <w:noWrap/>
            <w:vAlign w:val="center"/>
            <w:hideMark/>
          </w:tcPr>
          <w:p w14:paraId="66032846" w14:textId="77777777" w:rsidR="00AC7CB0" w:rsidRPr="004D2B9A" w:rsidRDefault="00AC7CB0" w:rsidP="00075B2F">
            <w:pPr>
              <w:pStyle w:val="tabele"/>
              <w:rPr>
                <w:b w:val="0"/>
                <w:bCs w:val="0"/>
                <w:lang w:val="en-GB"/>
              </w:rPr>
            </w:pPr>
            <w:r w:rsidRPr="004D2B9A">
              <w:rPr>
                <w:b w:val="0"/>
                <w:bCs w:val="0"/>
                <w:lang w:val="en-GB"/>
              </w:rPr>
              <w:t>804</w:t>
            </w:r>
          </w:p>
        </w:tc>
      </w:tr>
      <w:tr w:rsidR="00AC7CB0" w:rsidRPr="004D2B9A" w14:paraId="434A17F7" w14:textId="77777777" w:rsidTr="00FC1BBF">
        <w:trPr>
          <w:trHeight w:val="300"/>
          <w:jc w:val="center"/>
        </w:trPr>
        <w:tc>
          <w:tcPr>
            <w:tcW w:w="727" w:type="dxa"/>
            <w:tcBorders>
              <w:top w:val="nil"/>
              <w:left w:val="single" w:sz="8" w:space="0" w:color="auto"/>
              <w:bottom w:val="single" w:sz="4" w:space="0" w:color="auto"/>
              <w:right w:val="single" w:sz="8" w:space="0" w:color="auto"/>
            </w:tcBorders>
            <w:noWrap/>
            <w:vAlign w:val="center"/>
            <w:hideMark/>
          </w:tcPr>
          <w:p w14:paraId="32ED98A8" w14:textId="77777777" w:rsidR="00AC7CB0" w:rsidRPr="004D2B9A" w:rsidRDefault="00AC7CB0" w:rsidP="00075B2F">
            <w:pPr>
              <w:pStyle w:val="tabele"/>
              <w:rPr>
                <w:b w:val="0"/>
                <w:bCs w:val="0"/>
                <w:lang w:val="en-GB"/>
              </w:rPr>
            </w:pPr>
            <w:r w:rsidRPr="004D2B9A">
              <w:rPr>
                <w:b w:val="0"/>
                <w:bCs w:val="0"/>
                <w:lang w:val="en-GB"/>
              </w:rPr>
              <w:t>IX</w:t>
            </w:r>
          </w:p>
        </w:tc>
        <w:tc>
          <w:tcPr>
            <w:tcW w:w="709" w:type="dxa"/>
            <w:tcBorders>
              <w:top w:val="nil"/>
              <w:left w:val="nil"/>
              <w:bottom w:val="single" w:sz="4" w:space="0" w:color="auto"/>
              <w:right w:val="single" w:sz="4" w:space="0" w:color="auto"/>
            </w:tcBorders>
            <w:noWrap/>
            <w:vAlign w:val="center"/>
            <w:hideMark/>
          </w:tcPr>
          <w:p w14:paraId="60062DDC" w14:textId="77777777" w:rsidR="00AC7CB0" w:rsidRPr="004D2B9A" w:rsidRDefault="00AC7CB0" w:rsidP="00075B2F">
            <w:pPr>
              <w:pStyle w:val="tabele"/>
              <w:rPr>
                <w:b w:val="0"/>
                <w:bCs w:val="0"/>
                <w:lang w:val="en-GB"/>
              </w:rPr>
            </w:pPr>
            <w:r w:rsidRPr="004D2B9A">
              <w:rPr>
                <w:b w:val="0"/>
                <w:bCs w:val="0"/>
                <w:lang w:val="en-GB"/>
              </w:rPr>
              <w:t>193</w:t>
            </w:r>
          </w:p>
        </w:tc>
        <w:tc>
          <w:tcPr>
            <w:tcW w:w="850" w:type="dxa"/>
            <w:tcBorders>
              <w:top w:val="nil"/>
              <w:left w:val="nil"/>
              <w:bottom w:val="single" w:sz="4" w:space="0" w:color="auto"/>
              <w:right w:val="single" w:sz="4" w:space="0" w:color="auto"/>
            </w:tcBorders>
            <w:noWrap/>
            <w:vAlign w:val="center"/>
            <w:hideMark/>
          </w:tcPr>
          <w:p w14:paraId="681A400A" w14:textId="782D3CC0" w:rsidR="00AC7CB0" w:rsidRPr="004D2B9A" w:rsidRDefault="00AC7CB0" w:rsidP="00075B2F">
            <w:pPr>
              <w:pStyle w:val="tabele"/>
              <w:rPr>
                <w:b w:val="0"/>
                <w:bCs w:val="0"/>
                <w:lang w:val="en-GB"/>
              </w:rPr>
            </w:pPr>
            <w:r w:rsidRPr="004D2B9A">
              <w:rPr>
                <w:b w:val="0"/>
                <w:bCs w:val="0"/>
                <w:lang w:val="en-GB"/>
              </w:rPr>
              <w:t>11</w:t>
            </w:r>
            <w:r w:rsidR="00602613">
              <w:rPr>
                <w:b w:val="0"/>
                <w:bCs w:val="0"/>
                <w:lang w:val="en-GB"/>
              </w:rPr>
              <w:t>.</w:t>
            </w:r>
            <w:r w:rsidRPr="004D2B9A">
              <w:rPr>
                <w:b w:val="0"/>
                <w:bCs w:val="0"/>
                <w:lang w:val="en-GB"/>
              </w:rPr>
              <w:t>6</w:t>
            </w:r>
          </w:p>
        </w:tc>
        <w:tc>
          <w:tcPr>
            <w:tcW w:w="851" w:type="dxa"/>
            <w:tcBorders>
              <w:top w:val="nil"/>
              <w:left w:val="nil"/>
              <w:bottom w:val="single" w:sz="4" w:space="0" w:color="auto"/>
              <w:right w:val="single" w:sz="4" w:space="0" w:color="auto"/>
            </w:tcBorders>
            <w:noWrap/>
            <w:vAlign w:val="center"/>
            <w:hideMark/>
          </w:tcPr>
          <w:p w14:paraId="5217A7C8" w14:textId="77777777" w:rsidR="00AC7CB0" w:rsidRPr="004D2B9A" w:rsidRDefault="00AC7CB0" w:rsidP="00075B2F">
            <w:pPr>
              <w:pStyle w:val="tabele"/>
              <w:rPr>
                <w:b w:val="0"/>
                <w:bCs w:val="0"/>
                <w:lang w:val="en-GB"/>
              </w:rPr>
            </w:pPr>
            <w:r w:rsidRPr="004D2B9A">
              <w:rPr>
                <w:b w:val="0"/>
                <w:bCs w:val="0"/>
                <w:lang w:val="en-GB"/>
              </w:rPr>
              <w:t>101</w:t>
            </w:r>
          </w:p>
        </w:tc>
        <w:tc>
          <w:tcPr>
            <w:tcW w:w="708" w:type="dxa"/>
            <w:tcBorders>
              <w:top w:val="nil"/>
              <w:left w:val="nil"/>
              <w:bottom w:val="single" w:sz="4" w:space="0" w:color="auto"/>
              <w:right w:val="single" w:sz="8" w:space="0" w:color="auto"/>
            </w:tcBorders>
            <w:noWrap/>
            <w:vAlign w:val="center"/>
            <w:hideMark/>
          </w:tcPr>
          <w:p w14:paraId="708C8FED" w14:textId="77777777" w:rsidR="00AC7CB0" w:rsidRPr="004D2B9A" w:rsidRDefault="00AC7CB0" w:rsidP="00075B2F">
            <w:pPr>
              <w:pStyle w:val="tabele"/>
              <w:rPr>
                <w:b w:val="0"/>
                <w:bCs w:val="0"/>
                <w:lang w:val="en-GB"/>
              </w:rPr>
            </w:pPr>
            <w:r w:rsidRPr="004D2B9A">
              <w:rPr>
                <w:b w:val="0"/>
                <w:bCs w:val="0"/>
                <w:lang w:val="en-GB"/>
              </w:rPr>
              <w:t>83</w:t>
            </w:r>
          </w:p>
        </w:tc>
        <w:tc>
          <w:tcPr>
            <w:tcW w:w="567" w:type="dxa"/>
            <w:tcBorders>
              <w:top w:val="nil"/>
              <w:left w:val="nil"/>
              <w:bottom w:val="single" w:sz="4" w:space="0" w:color="auto"/>
              <w:right w:val="single" w:sz="4" w:space="0" w:color="auto"/>
            </w:tcBorders>
            <w:noWrap/>
            <w:vAlign w:val="center"/>
            <w:hideMark/>
          </w:tcPr>
          <w:p w14:paraId="5B7A62FE" w14:textId="77777777" w:rsidR="00AC7CB0" w:rsidRPr="004D2B9A" w:rsidRDefault="00AC7CB0" w:rsidP="00075B2F">
            <w:pPr>
              <w:pStyle w:val="tabele"/>
              <w:rPr>
                <w:b w:val="0"/>
                <w:bCs w:val="0"/>
                <w:lang w:val="en-GB"/>
              </w:rPr>
            </w:pPr>
            <w:r w:rsidRPr="004D2B9A">
              <w:rPr>
                <w:b w:val="0"/>
                <w:bCs w:val="0"/>
                <w:lang w:val="en-GB"/>
              </w:rPr>
              <w:t>272</w:t>
            </w:r>
          </w:p>
        </w:tc>
        <w:tc>
          <w:tcPr>
            <w:tcW w:w="887" w:type="dxa"/>
            <w:tcBorders>
              <w:top w:val="nil"/>
              <w:left w:val="nil"/>
              <w:bottom w:val="single" w:sz="4" w:space="0" w:color="auto"/>
              <w:right w:val="single" w:sz="4" w:space="0" w:color="auto"/>
            </w:tcBorders>
            <w:noWrap/>
            <w:vAlign w:val="center"/>
            <w:hideMark/>
          </w:tcPr>
          <w:p w14:paraId="013499B2" w14:textId="600450D6" w:rsidR="00AC7CB0" w:rsidRPr="00FC1BBF" w:rsidRDefault="00AC7CB0" w:rsidP="00075B2F">
            <w:pPr>
              <w:pStyle w:val="tabele"/>
              <w:rPr>
                <w:b w:val="0"/>
                <w:bCs w:val="0"/>
                <w:lang w:val="en-GB"/>
              </w:rPr>
            </w:pPr>
            <w:r w:rsidRPr="00FC1BBF">
              <w:rPr>
                <w:b w:val="0"/>
                <w:bCs w:val="0"/>
                <w:lang w:val="en-GB"/>
              </w:rPr>
              <w:t>10</w:t>
            </w:r>
            <w:r w:rsidR="00602613">
              <w:rPr>
                <w:b w:val="0"/>
                <w:bCs w:val="0"/>
                <w:lang w:val="en-GB"/>
              </w:rPr>
              <w:t>.</w:t>
            </w:r>
            <w:r w:rsidRPr="00FC1BBF">
              <w:rPr>
                <w:b w:val="0"/>
                <w:bCs w:val="0"/>
                <w:lang w:val="en-GB"/>
              </w:rPr>
              <w:t>7</w:t>
            </w:r>
          </w:p>
        </w:tc>
        <w:tc>
          <w:tcPr>
            <w:tcW w:w="794" w:type="dxa"/>
            <w:tcBorders>
              <w:top w:val="nil"/>
              <w:left w:val="nil"/>
              <w:bottom w:val="single" w:sz="4" w:space="0" w:color="auto"/>
              <w:right w:val="single" w:sz="4" w:space="0" w:color="auto"/>
            </w:tcBorders>
            <w:noWrap/>
            <w:vAlign w:val="center"/>
            <w:hideMark/>
          </w:tcPr>
          <w:p w14:paraId="59F8F8F6" w14:textId="77777777" w:rsidR="00AC7CB0" w:rsidRPr="00FC1BBF" w:rsidRDefault="00AC7CB0" w:rsidP="00075B2F">
            <w:pPr>
              <w:pStyle w:val="tabele"/>
              <w:rPr>
                <w:b w:val="0"/>
                <w:bCs w:val="0"/>
                <w:lang w:val="en-GB"/>
              </w:rPr>
            </w:pPr>
            <w:r w:rsidRPr="00FC1BBF">
              <w:rPr>
                <w:b w:val="0"/>
                <w:bCs w:val="0"/>
                <w:lang w:val="en-GB"/>
              </w:rPr>
              <w:t>114</w:t>
            </w:r>
          </w:p>
        </w:tc>
        <w:tc>
          <w:tcPr>
            <w:tcW w:w="645" w:type="dxa"/>
            <w:tcBorders>
              <w:top w:val="nil"/>
              <w:left w:val="nil"/>
              <w:bottom w:val="single" w:sz="4" w:space="0" w:color="auto"/>
              <w:right w:val="single" w:sz="8" w:space="0" w:color="auto"/>
            </w:tcBorders>
            <w:noWrap/>
            <w:vAlign w:val="center"/>
            <w:hideMark/>
          </w:tcPr>
          <w:p w14:paraId="3F73D128" w14:textId="77777777" w:rsidR="00AC7CB0" w:rsidRPr="004D2B9A" w:rsidRDefault="00AC7CB0" w:rsidP="00075B2F">
            <w:pPr>
              <w:pStyle w:val="tabele"/>
              <w:rPr>
                <w:b w:val="0"/>
                <w:bCs w:val="0"/>
                <w:lang w:val="en-GB"/>
              </w:rPr>
            </w:pPr>
            <w:r w:rsidRPr="004D2B9A">
              <w:rPr>
                <w:b w:val="0"/>
                <w:bCs w:val="0"/>
                <w:lang w:val="en-GB"/>
              </w:rPr>
              <w:t>137</w:t>
            </w:r>
          </w:p>
        </w:tc>
        <w:tc>
          <w:tcPr>
            <w:tcW w:w="637" w:type="dxa"/>
            <w:gridSpan w:val="2"/>
            <w:tcBorders>
              <w:top w:val="nil"/>
              <w:left w:val="nil"/>
              <w:bottom w:val="single" w:sz="4" w:space="0" w:color="auto"/>
              <w:right w:val="single" w:sz="4" w:space="0" w:color="auto"/>
            </w:tcBorders>
            <w:noWrap/>
            <w:vAlign w:val="center"/>
            <w:hideMark/>
          </w:tcPr>
          <w:p w14:paraId="592BBE07" w14:textId="77777777" w:rsidR="00AC7CB0" w:rsidRPr="004D2B9A" w:rsidRDefault="00AC7CB0" w:rsidP="00075B2F">
            <w:pPr>
              <w:pStyle w:val="tabele"/>
              <w:rPr>
                <w:b w:val="0"/>
                <w:bCs w:val="0"/>
                <w:lang w:val="en-GB"/>
              </w:rPr>
            </w:pPr>
            <w:r w:rsidRPr="004D2B9A">
              <w:rPr>
                <w:b w:val="0"/>
                <w:bCs w:val="0"/>
                <w:lang w:val="en-GB"/>
              </w:rPr>
              <w:t>297</w:t>
            </w:r>
          </w:p>
        </w:tc>
        <w:tc>
          <w:tcPr>
            <w:tcW w:w="847" w:type="dxa"/>
            <w:tcBorders>
              <w:top w:val="nil"/>
              <w:left w:val="nil"/>
              <w:bottom w:val="single" w:sz="4" w:space="0" w:color="auto"/>
              <w:right w:val="single" w:sz="4" w:space="0" w:color="auto"/>
            </w:tcBorders>
            <w:noWrap/>
            <w:vAlign w:val="center"/>
            <w:hideMark/>
          </w:tcPr>
          <w:p w14:paraId="7E25EBDB" w14:textId="29F56040" w:rsidR="00AC7CB0" w:rsidRPr="004D2B9A" w:rsidRDefault="00AC7CB0" w:rsidP="00075B2F">
            <w:pPr>
              <w:pStyle w:val="tabele"/>
              <w:rPr>
                <w:b w:val="0"/>
                <w:bCs w:val="0"/>
                <w:lang w:val="en-GB"/>
              </w:rPr>
            </w:pPr>
            <w:r w:rsidRPr="004D2B9A">
              <w:rPr>
                <w:b w:val="0"/>
                <w:bCs w:val="0"/>
                <w:lang w:val="en-GB"/>
              </w:rPr>
              <w:t>10</w:t>
            </w:r>
            <w:r w:rsidR="00602613">
              <w:rPr>
                <w:b w:val="0"/>
                <w:bCs w:val="0"/>
                <w:lang w:val="en-GB"/>
              </w:rPr>
              <w:t>.</w:t>
            </w:r>
            <w:r w:rsidRPr="004D2B9A">
              <w:rPr>
                <w:b w:val="0"/>
                <w:bCs w:val="0"/>
                <w:lang w:val="en-GB"/>
              </w:rPr>
              <w:t>3</w:t>
            </w:r>
          </w:p>
        </w:tc>
        <w:tc>
          <w:tcPr>
            <w:tcW w:w="850" w:type="dxa"/>
            <w:gridSpan w:val="2"/>
            <w:tcBorders>
              <w:top w:val="nil"/>
              <w:left w:val="nil"/>
              <w:bottom w:val="single" w:sz="4" w:space="0" w:color="auto"/>
              <w:right w:val="single" w:sz="4" w:space="0" w:color="auto"/>
            </w:tcBorders>
            <w:noWrap/>
            <w:vAlign w:val="center"/>
            <w:hideMark/>
          </w:tcPr>
          <w:p w14:paraId="0FD61E2F" w14:textId="77777777" w:rsidR="00AC7CB0" w:rsidRPr="004D2B9A" w:rsidRDefault="00AC7CB0" w:rsidP="00075B2F">
            <w:pPr>
              <w:pStyle w:val="tabele"/>
              <w:rPr>
                <w:b w:val="0"/>
                <w:bCs w:val="0"/>
                <w:lang w:val="en-GB"/>
              </w:rPr>
            </w:pPr>
            <w:r w:rsidRPr="004D2B9A">
              <w:rPr>
                <w:b w:val="0"/>
                <w:bCs w:val="0"/>
                <w:lang w:val="en-GB"/>
              </w:rPr>
              <w:t>114</w:t>
            </w:r>
          </w:p>
        </w:tc>
        <w:tc>
          <w:tcPr>
            <w:tcW w:w="728" w:type="dxa"/>
            <w:tcBorders>
              <w:top w:val="nil"/>
              <w:left w:val="nil"/>
              <w:bottom w:val="single" w:sz="4" w:space="0" w:color="auto"/>
              <w:right w:val="single" w:sz="8" w:space="0" w:color="auto"/>
            </w:tcBorders>
            <w:noWrap/>
            <w:vAlign w:val="center"/>
            <w:hideMark/>
          </w:tcPr>
          <w:p w14:paraId="24509AA9" w14:textId="77777777" w:rsidR="00AC7CB0" w:rsidRPr="004D2B9A" w:rsidRDefault="00AC7CB0" w:rsidP="00075B2F">
            <w:pPr>
              <w:pStyle w:val="tabele"/>
              <w:rPr>
                <w:b w:val="0"/>
                <w:bCs w:val="0"/>
                <w:lang w:val="en-GB"/>
              </w:rPr>
            </w:pPr>
            <w:r w:rsidRPr="004D2B9A">
              <w:rPr>
                <w:b w:val="0"/>
                <w:bCs w:val="0"/>
                <w:lang w:val="en-GB"/>
              </w:rPr>
              <w:t>161</w:t>
            </w:r>
          </w:p>
        </w:tc>
      </w:tr>
      <w:tr w:rsidR="00AC7CB0" w:rsidRPr="004D2B9A" w14:paraId="596CCB77" w14:textId="77777777" w:rsidTr="00FC1BBF">
        <w:trPr>
          <w:trHeight w:val="300"/>
          <w:jc w:val="center"/>
        </w:trPr>
        <w:tc>
          <w:tcPr>
            <w:tcW w:w="727" w:type="dxa"/>
            <w:tcBorders>
              <w:top w:val="nil"/>
              <w:left w:val="single" w:sz="8" w:space="0" w:color="auto"/>
              <w:bottom w:val="single" w:sz="4" w:space="0" w:color="auto"/>
              <w:right w:val="single" w:sz="8" w:space="0" w:color="auto"/>
            </w:tcBorders>
            <w:noWrap/>
            <w:vAlign w:val="center"/>
            <w:hideMark/>
          </w:tcPr>
          <w:p w14:paraId="0C863F04" w14:textId="77777777" w:rsidR="00AC7CB0" w:rsidRPr="004D2B9A" w:rsidRDefault="00AC7CB0" w:rsidP="00075B2F">
            <w:pPr>
              <w:pStyle w:val="tabele"/>
              <w:rPr>
                <w:b w:val="0"/>
                <w:bCs w:val="0"/>
                <w:lang w:val="en-GB"/>
              </w:rPr>
            </w:pPr>
            <w:r w:rsidRPr="004D2B9A">
              <w:rPr>
                <w:b w:val="0"/>
                <w:bCs w:val="0"/>
                <w:lang w:val="en-GB"/>
              </w:rPr>
              <w:t>X</w:t>
            </w:r>
          </w:p>
        </w:tc>
        <w:tc>
          <w:tcPr>
            <w:tcW w:w="709" w:type="dxa"/>
            <w:tcBorders>
              <w:top w:val="nil"/>
              <w:left w:val="nil"/>
              <w:bottom w:val="single" w:sz="4" w:space="0" w:color="auto"/>
              <w:right w:val="single" w:sz="4" w:space="0" w:color="auto"/>
            </w:tcBorders>
            <w:noWrap/>
            <w:vAlign w:val="center"/>
            <w:hideMark/>
          </w:tcPr>
          <w:p w14:paraId="152C3F98" w14:textId="77777777" w:rsidR="00AC7CB0" w:rsidRPr="004D2B9A" w:rsidRDefault="00AC7CB0" w:rsidP="00075B2F">
            <w:pPr>
              <w:pStyle w:val="tabele"/>
              <w:rPr>
                <w:b w:val="0"/>
                <w:bCs w:val="0"/>
                <w:lang w:val="en-GB"/>
              </w:rPr>
            </w:pPr>
            <w:r w:rsidRPr="004D2B9A">
              <w:rPr>
                <w:b w:val="0"/>
                <w:bCs w:val="0"/>
                <w:lang w:val="en-GB"/>
              </w:rPr>
              <w:t>633</w:t>
            </w:r>
          </w:p>
        </w:tc>
        <w:tc>
          <w:tcPr>
            <w:tcW w:w="850" w:type="dxa"/>
            <w:tcBorders>
              <w:top w:val="nil"/>
              <w:left w:val="nil"/>
              <w:bottom w:val="single" w:sz="4" w:space="0" w:color="auto"/>
              <w:right w:val="single" w:sz="4" w:space="0" w:color="auto"/>
            </w:tcBorders>
            <w:noWrap/>
            <w:vAlign w:val="center"/>
            <w:hideMark/>
          </w:tcPr>
          <w:p w14:paraId="5D90541A" w14:textId="2D7B1CB5" w:rsidR="00AC7CB0" w:rsidRPr="004D2B9A" w:rsidRDefault="00AC7CB0" w:rsidP="00075B2F">
            <w:pPr>
              <w:pStyle w:val="tabele"/>
              <w:rPr>
                <w:b w:val="0"/>
                <w:bCs w:val="0"/>
                <w:lang w:val="en-GB"/>
              </w:rPr>
            </w:pPr>
            <w:r w:rsidRPr="004D2B9A">
              <w:rPr>
                <w:b w:val="0"/>
                <w:bCs w:val="0"/>
                <w:lang w:val="en-GB"/>
              </w:rPr>
              <w:t>8</w:t>
            </w:r>
            <w:r w:rsidR="00602613">
              <w:rPr>
                <w:b w:val="0"/>
                <w:bCs w:val="0"/>
                <w:lang w:val="en-GB"/>
              </w:rPr>
              <w:t>.</w:t>
            </w:r>
            <w:r w:rsidRPr="004D2B9A">
              <w:rPr>
                <w:b w:val="0"/>
                <w:bCs w:val="0"/>
                <w:lang w:val="en-GB"/>
              </w:rPr>
              <w:t>5</w:t>
            </w:r>
          </w:p>
        </w:tc>
        <w:tc>
          <w:tcPr>
            <w:tcW w:w="851" w:type="dxa"/>
            <w:tcBorders>
              <w:top w:val="nil"/>
              <w:left w:val="nil"/>
              <w:bottom w:val="single" w:sz="4" w:space="0" w:color="auto"/>
              <w:right w:val="single" w:sz="4" w:space="0" w:color="auto"/>
            </w:tcBorders>
            <w:noWrap/>
            <w:vAlign w:val="center"/>
            <w:hideMark/>
          </w:tcPr>
          <w:p w14:paraId="04F757E5" w14:textId="77777777" w:rsidR="00AC7CB0" w:rsidRPr="004D2B9A" w:rsidRDefault="00AC7CB0" w:rsidP="00075B2F">
            <w:pPr>
              <w:pStyle w:val="tabele"/>
              <w:rPr>
                <w:b w:val="0"/>
                <w:bCs w:val="0"/>
                <w:lang w:val="en-GB"/>
              </w:rPr>
            </w:pPr>
            <w:r w:rsidRPr="004D2B9A">
              <w:rPr>
                <w:b w:val="0"/>
                <w:bCs w:val="0"/>
                <w:lang w:val="en-GB"/>
              </w:rPr>
              <w:t>55</w:t>
            </w:r>
          </w:p>
        </w:tc>
        <w:tc>
          <w:tcPr>
            <w:tcW w:w="708" w:type="dxa"/>
            <w:tcBorders>
              <w:top w:val="nil"/>
              <w:left w:val="nil"/>
              <w:bottom w:val="single" w:sz="4" w:space="0" w:color="auto"/>
              <w:right w:val="single" w:sz="8" w:space="0" w:color="auto"/>
            </w:tcBorders>
            <w:noWrap/>
            <w:vAlign w:val="center"/>
            <w:hideMark/>
          </w:tcPr>
          <w:p w14:paraId="1FF395A1" w14:textId="77777777" w:rsidR="00AC7CB0" w:rsidRPr="004D2B9A" w:rsidRDefault="00AC7CB0" w:rsidP="00075B2F">
            <w:pPr>
              <w:pStyle w:val="tabele"/>
              <w:rPr>
                <w:b w:val="0"/>
                <w:bCs w:val="0"/>
                <w:lang w:val="en-GB"/>
              </w:rPr>
            </w:pPr>
            <w:r w:rsidRPr="004D2B9A">
              <w:rPr>
                <w:b w:val="0"/>
                <w:bCs w:val="0"/>
                <w:lang w:val="en-GB"/>
              </w:rPr>
              <w:t>663</w:t>
            </w:r>
          </w:p>
        </w:tc>
        <w:tc>
          <w:tcPr>
            <w:tcW w:w="567" w:type="dxa"/>
            <w:tcBorders>
              <w:top w:val="nil"/>
              <w:left w:val="nil"/>
              <w:bottom w:val="single" w:sz="4" w:space="0" w:color="auto"/>
              <w:right w:val="single" w:sz="4" w:space="0" w:color="auto"/>
            </w:tcBorders>
            <w:noWrap/>
            <w:vAlign w:val="center"/>
            <w:hideMark/>
          </w:tcPr>
          <w:p w14:paraId="5EC0061F" w14:textId="77777777" w:rsidR="00AC7CB0" w:rsidRPr="004D2B9A" w:rsidRDefault="00AC7CB0" w:rsidP="00075B2F">
            <w:pPr>
              <w:pStyle w:val="tabele"/>
              <w:rPr>
                <w:b w:val="0"/>
                <w:bCs w:val="0"/>
                <w:lang w:val="en-GB"/>
              </w:rPr>
            </w:pPr>
            <w:r w:rsidRPr="004D2B9A">
              <w:rPr>
                <w:b w:val="0"/>
                <w:bCs w:val="0"/>
                <w:lang w:val="en-GB"/>
              </w:rPr>
              <w:t>552</w:t>
            </w:r>
          </w:p>
        </w:tc>
        <w:tc>
          <w:tcPr>
            <w:tcW w:w="887" w:type="dxa"/>
            <w:tcBorders>
              <w:top w:val="nil"/>
              <w:left w:val="nil"/>
              <w:bottom w:val="single" w:sz="4" w:space="0" w:color="auto"/>
              <w:right w:val="single" w:sz="4" w:space="0" w:color="auto"/>
            </w:tcBorders>
            <w:noWrap/>
            <w:vAlign w:val="center"/>
            <w:hideMark/>
          </w:tcPr>
          <w:p w14:paraId="07B7BBCA" w14:textId="6B5E4B8B" w:rsidR="00AC7CB0" w:rsidRPr="00FC1BBF" w:rsidRDefault="00AC7CB0" w:rsidP="00075B2F">
            <w:pPr>
              <w:pStyle w:val="tabele"/>
              <w:rPr>
                <w:b w:val="0"/>
                <w:bCs w:val="0"/>
                <w:lang w:val="en-GB"/>
              </w:rPr>
            </w:pPr>
            <w:r w:rsidRPr="00FC1BBF">
              <w:rPr>
                <w:b w:val="0"/>
                <w:bCs w:val="0"/>
                <w:lang w:val="en-GB"/>
              </w:rPr>
              <w:t>7</w:t>
            </w:r>
            <w:r w:rsidR="00602613">
              <w:rPr>
                <w:b w:val="0"/>
                <w:bCs w:val="0"/>
                <w:lang w:val="en-GB"/>
              </w:rPr>
              <w:t>.</w:t>
            </w:r>
            <w:r w:rsidRPr="00FC1BBF">
              <w:rPr>
                <w:b w:val="0"/>
                <w:bCs w:val="0"/>
                <w:lang w:val="en-GB"/>
              </w:rPr>
              <w:t>2</w:t>
            </w:r>
          </w:p>
        </w:tc>
        <w:tc>
          <w:tcPr>
            <w:tcW w:w="794" w:type="dxa"/>
            <w:tcBorders>
              <w:top w:val="nil"/>
              <w:left w:val="nil"/>
              <w:bottom w:val="single" w:sz="4" w:space="0" w:color="auto"/>
              <w:right w:val="single" w:sz="4" w:space="0" w:color="auto"/>
            </w:tcBorders>
            <w:noWrap/>
            <w:vAlign w:val="center"/>
            <w:hideMark/>
          </w:tcPr>
          <w:p w14:paraId="2EABF6C5" w14:textId="77777777" w:rsidR="00AC7CB0" w:rsidRPr="00FC1BBF" w:rsidRDefault="00AC7CB0" w:rsidP="00075B2F">
            <w:pPr>
              <w:pStyle w:val="tabele"/>
              <w:rPr>
                <w:b w:val="0"/>
                <w:bCs w:val="0"/>
                <w:lang w:val="en-GB"/>
              </w:rPr>
            </w:pPr>
            <w:r w:rsidRPr="00FC1BBF">
              <w:rPr>
                <w:b w:val="0"/>
                <w:bCs w:val="0"/>
                <w:lang w:val="en-GB"/>
              </w:rPr>
              <w:t>67</w:t>
            </w:r>
          </w:p>
        </w:tc>
        <w:tc>
          <w:tcPr>
            <w:tcW w:w="645" w:type="dxa"/>
            <w:tcBorders>
              <w:top w:val="nil"/>
              <w:left w:val="nil"/>
              <w:bottom w:val="single" w:sz="4" w:space="0" w:color="auto"/>
              <w:right w:val="single" w:sz="8" w:space="0" w:color="auto"/>
            </w:tcBorders>
            <w:noWrap/>
            <w:vAlign w:val="center"/>
            <w:hideMark/>
          </w:tcPr>
          <w:p w14:paraId="1626BADC" w14:textId="77777777" w:rsidR="00AC7CB0" w:rsidRPr="004D2B9A" w:rsidRDefault="00AC7CB0" w:rsidP="00075B2F">
            <w:pPr>
              <w:pStyle w:val="tabele"/>
              <w:rPr>
                <w:b w:val="0"/>
                <w:bCs w:val="0"/>
                <w:lang w:val="en-GB"/>
              </w:rPr>
            </w:pPr>
            <w:r w:rsidRPr="004D2B9A">
              <w:rPr>
                <w:b w:val="0"/>
                <w:bCs w:val="0"/>
                <w:lang w:val="en-GB"/>
              </w:rPr>
              <w:t>643</w:t>
            </w:r>
          </w:p>
        </w:tc>
        <w:tc>
          <w:tcPr>
            <w:tcW w:w="637" w:type="dxa"/>
            <w:gridSpan w:val="2"/>
            <w:tcBorders>
              <w:top w:val="nil"/>
              <w:left w:val="nil"/>
              <w:bottom w:val="single" w:sz="4" w:space="0" w:color="auto"/>
              <w:right w:val="single" w:sz="4" w:space="0" w:color="auto"/>
            </w:tcBorders>
            <w:noWrap/>
            <w:vAlign w:val="center"/>
            <w:hideMark/>
          </w:tcPr>
          <w:p w14:paraId="66DB54D9" w14:textId="77777777" w:rsidR="00AC7CB0" w:rsidRPr="004D2B9A" w:rsidRDefault="00AC7CB0" w:rsidP="00075B2F">
            <w:pPr>
              <w:pStyle w:val="tabele"/>
              <w:rPr>
                <w:b w:val="0"/>
                <w:bCs w:val="0"/>
                <w:lang w:val="en-GB"/>
              </w:rPr>
            </w:pPr>
            <w:r w:rsidRPr="004D2B9A">
              <w:rPr>
                <w:b w:val="0"/>
                <w:bCs w:val="0"/>
                <w:lang w:val="en-GB"/>
              </w:rPr>
              <w:t>633</w:t>
            </w:r>
          </w:p>
        </w:tc>
        <w:tc>
          <w:tcPr>
            <w:tcW w:w="847" w:type="dxa"/>
            <w:tcBorders>
              <w:top w:val="nil"/>
              <w:left w:val="nil"/>
              <w:bottom w:val="single" w:sz="4" w:space="0" w:color="auto"/>
              <w:right w:val="single" w:sz="4" w:space="0" w:color="auto"/>
            </w:tcBorders>
            <w:noWrap/>
            <w:vAlign w:val="center"/>
            <w:hideMark/>
          </w:tcPr>
          <w:p w14:paraId="0752FB40" w14:textId="7C63E09E" w:rsidR="00AC7CB0" w:rsidRPr="004D2B9A" w:rsidRDefault="00AC7CB0" w:rsidP="00075B2F">
            <w:pPr>
              <w:pStyle w:val="tabele"/>
              <w:rPr>
                <w:b w:val="0"/>
                <w:bCs w:val="0"/>
                <w:lang w:val="en-GB"/>
              </w:rPr>
            </w:pPr>
            <w:r w:rsidRPr="004D2B9A">
              <w:rPr>
                <w:b w:val="0"/>
                <w:bCs w:val="0"/>
                <w:lang w:val="en-GB"/>
              </w:rPr>
              <w:t>7</w:t>
            </w:r>
            <w:r w:rsidR="00602613">
              <w:rPr>
                <w:b w:val="0"/>
                <w:bCs w:val="0"/>
                <w:lang w:val="en-GB"/>
              </w:rPr>
              <w:t>.</w:t>
            </w:r>
            <w:r w:rsidRPr="004D2B9A">
              <w:rPr>
                <w:b w:val="0"/>
                <w:bCs w:val="0"/>
                <w:lang w:val="en-GB"/>
              </w:rPr>
              <w:t>1</w:t>
            </w:r>
          </w:p>
        </w:tc>
        <w:tc>
          <w:tcPr>
            <w:tcW w:w="850" w:type="dxa"/>
            <w:gridSpan w:val="2"/>
            <w:tcBorders>
              <w:top w:val="nil"/>
              <w:left w:val="nil"/>
              <w:bottom w:val="single" w:sz="4" w:space="0" w:color="auto"/>
              <w:right w:val="single" w:sz="4" w:space="0" w:color="auto"/>
            </w:tcBorders>
            <w:noWrap/>
            <w:vAlign w:val="center"/>
            <w:hideMark/>
          </w:tcPr>
          <w:p w14:paraId="157D87BE" w14:textId="77777777" w:rsidR="00AC7CB0" w:rsidRPr="004D2B9A" w:rsidRDefault="00AC7CB0" w:rsidP="00075B2F">
            <w:pPr>
              <w:pStyle w:val="tabele"/>
              <w:rPr>
                <w:b w:val="0"/>
                <w:bCs w:val="0"/>
                <w:lang w:val="en-GB"/>
              </w:rPr>
            </w:pPr>
            <w:r w:rsidRPr="004D2B9A">
              <w:rPr>
                <w:b w:val="0"/>
                <w:bCs w:val="0"/>
                <w:lang w:val="en-GB"/>
              </w:rPr>
              <w:t>63</w:t>
            </w:r>
          </w:p>
        </w:tc>
        <w:tc>
          <w:tcPr>
            <w:tcW w:w="728" w:type="dxa"/>
            <w:tcBorders>
              <w:top w:val="nil"/>
              <w:left w:val="nil"/>
              <w:bottom w:val="single" w:sz="4" w:space="0" w:color="auto"/>
              <w:right w:val="single" w:sz="8" w:space="0" w:color="auto"/>
            </w:tcBorders>
            <w:noWrap/>
            <w:vAlign w:val="center"/>
            <w:hideMark/>
          </w:tcPr>
          <w:p w14:paraId="0BCD2E10" w14:textId="77777777" w:rsidR="00AC7CB0" w:rsidRPr="004D2B9A" w:rsidRDefault="00AC7CB0" w:rsidP="00075B2F">
            <w:pPr>
              <w:pStyle w:val="tabele"/>
              <w:rPr>
                <w:b w:val="0"/>
                <w:bCs w:val="0"/>
                <w:lang w:val="en-GB"/>
              </w:rPr>
            </w:pPr>
            <w:r w:rsidRPr="004D2B9A">
              <w:rPr>
                <w:b w:val="0"/>
                <w:bCs w:val="0"/>
                <w:lang w:val="en-GB"/>
              </w:rPr>
              <w:t>782</w:t>
            </w:r>
          </w:p>
        </w:tc>
      </w:tr>
      <w:tr w:rsidR="00AC7CB0" w:rsidRPr="004D2B9A" w14:paraId="1016ADF7" w14:textId="77777777" w:rsidTr="00FC1BBF">
        <w:trPr>
          <w:trHeight w:val="300"/>
          <w:jc w:val="center"/>
        </w:trPr>
        <w:tc>
          <w:tcPr>
            <w:tcW w:w="727" w:type="dxa"/>
            <w:tcBorders>
              <w:top w:val="nil"/>
              <w:left w:val="single" w:sz="8" w:space="0" w:color="auto"/>
              <w:bottom w:val="single" w:sz="4" w:space="0" w:color="auto"/>
              <w:right w:val="single" w:sz="8" w:space="0" w:color="auto"/>
            </w:tcBorders>
            <w:noWrap/>
            <w:vAlign w:val="center"/>
            <w:hideMark/>
          </w:tcPr>
          <w:p w14:paraId="3DC68227" w14:textId="77777777" w:rsidR="00AC7CB0" w:rsidRPr="004D2B9A" w:rsidRDefault="00AC7CB0" w:rsidP="00075B2F">
            <w:pPr>
              <w:pStyle w:val="tabele"/>
              <w:rPr>
                <w:b w:val="0"/>
                <w:bCs w:val="0"/>
                <w:lang w:val="en-GB"/>
              </w:rPr>
            </w:pPr>
            <w:r w:rsidRPr="004D2B9A">
              <w:rPr>
                <w:b w:val="0"/>
                <w:bCs w:val="0"/>
                <w:lang w:val="en-GB"/>
              </w:rPr>
              <w:t>XI</w:t>
            </w:r>
          </w:p>
        </w:tc>
        <w:tc>
          <w:tcPr>
            <w:tcW w:w="709" w:type="dxa"/>
            <w:tcBorders>
              <w:top w:val="nil"/>
              <w:left w:val="nil"/>
              <w:bottom w:val="single" w:sz="4" w:space="0" w:color="auto"/>
              <w:right w:val="single" w:sz="4" w:space="0" w:color="auto"/>
            </w:tcBorders>
            <w:noWrap/>
            <w:vAlign w:val="center"/>
            <w:hideMark/>
          </w:tcPr>
          <w:p w14:paraId="037BD78E" w14:textId="77777777" w:rsidR="00AC7CB0" w:rsidRPr="004D2B9A" w:rsidRDefault="00AC7CB0" w:rsidP="00075B2F">
            <w:pPr>
              <w:pStyle w:val="tabele"/>
              <w:rPr>
                <w:b w:val="0"/>
                <w:bCs w:val="0"/>
                <w:lang w:val="en-GB"/>
              </w:rPr>
            </w:pPr>
            <w:r w:rsidRPr="004D2B9A">
              <w:rPr>
                <w:b w:val="0"/>
                <w:bCs w:val="0"/>
                <w:lang w:val="en-GB"/>
              </w:rPr>
              <w:t>720</w:t>
            </w:r>
          </w:p>
        </w:tc>
        <w:tc>
          <w:tcPr>
            <w:tcW w:w="850" w:type="dxa"/>
            <w:tcBorders>
              <w:top w:val="nil"/>
              <w:left w:val="nil"/>
              <w:bottom w:val="single" w:sz="4" w:space="0" w:color="auto"/>
              <w:right w:val="single" w:sz="4" w:space="0" w:color="auto"/>
            </w:tcBorders>
            <w:noWrap/>
            <w:vAlign w:val="center"/>
            <w:hideMark/>
          </w:tcPr>
          <w:p w14:paraId="41091DB4" w14:textId="63339E10" w:rsidR="00AC7CB0" w:rsidRPr="004D2B9A" w:rsidRDefault="00AC7CB0" w:rsidP="00075B2F">
            <w:pPr>
              <w:pStyle w:val="tabele"/>
              <w:rPr>
                <w:b w:val="0"/>
                <w:bCs w:val="0"/>
                <w:lang w:val="en-GB"/>
              </w:rPr>
            </w:pPr>
            <w:r w:rsidRPr="004D2B9A">
              <w:rPr>
                <w:b w:val="0"/>
                <w:bCs w:val="0"/>
                <w:lang w:val="en-GB"/>
              </w:rPr>
              <w:t>3</w:t>
            </w:r>
            <w:r w:rsidR="00602613">
              <w:rPr>
                <w:b w:val="0"/>
                <w:bCs w:val="0"/>
                <w:lang w:val="en-GB"/>
              </w:rPr>
              <w:t>.</w:t>
            </w:r>
            <w:r w:rsidRPr="004D2B9A">
              <w:rPr>
                <w:b w:val="0"/>
                <w:bCs w:val="0"/>
                <w:lang w:val="en-GB"/>
              </w:rPr>
              <w:t>6</w:t>
            </w:r>
          </w:p>
        </w:tc>
        <w:tc>
          <w:tcPr>
            <w:tcW w:w="851" w:type="dxa"/>
            <w:tcBorders>
              <w:top w:val="nil"/>
              <w:left w:val="nil"/>
              <w:bottom w:val="single" w:sz="4" w:space="0" w:color="auto"/>
              <w:right w:val="single" w:sz="4" w:space="0" w:color="auto"/>
            </w:tcBorders>
            <w:noWrap/>
            <w:vAlign w:val="center"/>
            <w:hideMark/>
          </w:tcPr>
          <w:p w14:paraId="15C5684C" w14:textId="77777777" w:rsidR="00AC7CB0" w:rsidRPr="004D2B9A" w:rsidRDefault="00AC7CB0" w:rsidP="00075B2F">
            <w:pPr>
              <w:pStyle w:val="tabele"/>
              <w:rPr>
                <w:b w:val="0"/>
                <w:bCs w:val="0"/>
                <w:lang w:val="en-GB"/>
              </w:rPr>
            </w:pPr>
            <w:r w:rsidRPr="004D2B9A">
              <w:rPr>
                <w:b w:val="0"/>
                <w:bCs w:val="0"/>
                <w:lang w:val="en-GB"/>
              </w:rPr>
              <w:t>31</w:t>
            </w:r>
          </w:p>
        </w:tc>
        <w:tc>
          <w:tcPr>
            <w:tcW w:w="708" w:type="dxa"/>
            <w:tcBorders>
              <w:top w:val="nil"/>
              <w:left w:val="nil"/>
              <w:bottom w:val="single" w:sz="4" w:space="0" w:color="auto"/>
              <w:right w:val="single" w:sz="8" w:space="0" w:color="auto"/>
            </w:tcBorders>
            <w:noWrap/>
            <w:vAlign w:val="center"/>
            <w:hideMark/>
          </w:tcPr>
          <w:p w14:paraId="513EE049" w14:textId="1D05545C"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388</w:t>
            </w:r>
          </w:p>
        </w:tc>
        <w:tc>
          <w:tcPr>
            <w:tcW w:w="567" w:type="dxa"/>
            <w:tcBorders>
              <w:top w:val="nil"/>
              <w:left w:val="nil"/>
              <w:bottom w:val="single" w:sz="4" w:space="0" w:color="auto"/>
              <w:right w:val="single" w:sz="4" w:space="0" w:color="auto"/>
            </w:tcBorders>
            <w:noWrap/>
            <w:vAlign w:val="center"/>
            <w:hideMark/>
          </w:tcPr>
          <w:p w14:paraId="742F1E98" w14:textId="77777777" w:rsidR="00AC7CB0" w:rsidRPr="004D2B9A" w:rsidRDefault="00AC7CB0" w:rsidP="00075B2F">
            <w:pPr>
              <w:pStyle w:val="tabele"/>
              <w:rPr>
                <w:b w:val="0"/>
                <w:bCs w:val="0"/>
                <w:lang w:val="en-GB"/>
              </w:rPr>
            </w:pPr>
            <w:r w:rsidRPr="004D2B9A">
              <w:rPr>
                <w:b w:val="0"/>
                <w:bCs w:val="0"/>
                <w:lang w:val="en-GB"/>
              </w:rPr>
              <w:t>720</w:t>
            </w:r>
          </w:p>
        </w:tc>
        <w:tc>
          <w:tcPr>
            <w:tcW w:w="887" w:type="dxa"/>
            <w:tcBorders>
              <w:top w:val="nil"/>
              <w:left w:val="nil"/>
              <w:bottom w:val="single" w:sz="4" w:space="0" w:color="auto"/>
              <w:right w:val="single" w:sz="4" w:space="0" w:color="auto"/>
            </w:tcBorders>
            <w:noWrap/>
            <w:vAlign w:val="center"/>
            <w:hideMark/>
          </w:tcPr>
          <w:p w14:paraId="4EB59166" w14:textId="59B67E31" w:rsidR="00AC7CB0" w:rsidRPr="00FC1BBF" w:rsidRDefault="00AC7CB0" w:rsidP="00075B2F">
            <w:pPr>
              <w:pStyle w:val="tabele"/>
              <w:rPr>
                <w:b w:val="0"/>
                <w:bCs w:val="0"/>
                <w:lang w:val="en-GB"/>
              </w:rPr>
            </w:pPr>
            <w:r w:rsidRPr="00FC1BBF">
              <w:rPr>
                <w:b w:val="0"/>
                <w:bCs w:val="0"/>
                <w:lang w:val="en-GB"/>
              </w:rPr>
              <w:t>3</w:t>
            </w:r>
            <w:r w:rsidR="00602613">
              <w:rPr>
                <w:b w:val="0"/>
                <w:bCs w:val="0"/>
                <w:lang w:val="en-GB"/>
              </w:rPr>
              <w:t>.</w:t>
            </w:r>
            <w:r w:rsidRPr="00FC1BBF">
              <w:rPr>
                <w:b w:val="0"/>
                <w:bCs w:val="0"/>
                <w:lang w:val="en-GB"/>
              </w:rPr>
              <w:t>8</w:t>
            </w:r>
          </w:p>
        </w:tc>
        <w:tc>
          <w:tcPr>
            <w:tcW w:w="794" w:type="dxa"/>
            <w:tcBorders>
              <w:top w:val="nil"/>
              <w:left w:val="nil"/>
              <w:bottom w:val="single" w:sz="4" w:space="0" w:color="auto"/>
              <w:right w:val="single" w:sz="4" w:space="0" w:color="auto"/>
            </w:tcBorders>
            <w:noWrap/>
            <w:vAlign w:val="center"/>
            <w:hideMark/>
          </w:tcPr>
          <w:p w14:paraId="2697CA5A" w14:textId="77777777" w:rsidR="00AC7CB0" w:rsidRPr="00FC1BBF" w:rsidRDefault="00AC7CB0" w:rsidP="00075B2F">
            <w:pPr>
              <w:pStyle w:val="tabele"/>
              <w:rPr>
                <w:b w:val="0"/>
                <w:bCs w:val="0"/>
                <w:lang w:val="en-GB"/>
              </w:rPr>
            </w:pPr>
            <w:r w:rsidRPr="00FC1BBF">
              <w:rPr>
                <w:b w:val="0"/>
                <w:bCs w:val="0"/>
                <w:lang w:val="en-GB"/>
              </w:rPr>
              <w:t>38</w:t>
            </w:r>
          </w:p>
        </w:tc>
        <w:tc>
          <w:tcPr>
            <w:tcW w:w="645" w:type="dxa"/>
            <w:tcBorders>
              <w:top w:val="nil"/>
              <w:left w:val="nil"/>
              <w:bottom w:val="single" w:sz="4" w:space="0" w:color="auto"/>
              <w:right w:val="single" w:sz="8" w:space="0" w:color="auto"/>
            </w:tcBorders>
            <w:noWrap/>
            <w:vAlign w:val="center"/>
            <w:hideMark/>
          </w:tcPr>
          <w:p w14:paraId="283A9F6F" w14:textId="49ED00BF"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349</w:t>
            </w:r>
          </w:p>
        </w:tc>
        <w:tc>
          <w:tcPr>
            <w:tcW w:w="637" w:type="dxa"/>
            <w:gridSpan w:val="2"/>
            <w:tcBorders>
              <w:top w:val="nil"/>
              <w:left w:val="nil"/>
              <w:bottom w:val="single" w:sz="4" w:space="0" w:color="auto"/>
              <w:right w:val="single" w:sz="4" w:space="0" w:color="auto"/>
            </w:tcBorders>
            <w:noWrap/>
            <w:vAlign w:val="center"/>
            <w:hideMark/>
          </w:tcPr>
          <w:p w14:paraId="6C033CC3" w14:textId="77777777" w:rsidR="00AC7CB0" w:rsidRPr="004D2B9A" w:rsidRDefault="00AC7CB0" w:rsidP="00075B2F">
            <w:pPr>
              <w:pStyle w:val="tabele"/>
              <w:rPr>
                <w:b w:val="0"/>
                <w:bCs w:val="0"/>
                <w:lang w:val="en-GB"/>
              </w:rPr>
            </w:pPr>
            <w:r w:rsidRPr="004D2B9A">
              <w:rPr>
                <w:b w:val="0"/>
                <w:bCs w:val="0"/>
                <w:lang w:val="en-GB"/>
              </w:rPr>
              <w:t>720</w:t>
            </w:r>
          </w:p>
        </w:tc>
        <w:tc>
          <w:tcPr>
            <w:tcW w:w="847" w:type="dxa"/>
            <w:tcBorders>
              <w:top w:val="nil"/>
              <w:left w:val="nil"/>
              <w:bottom w:val="single" w:sz="4" w:space="0" w:color="auto"/>
              <w:right w:val="single" w:sz="4" w:space="0" w:color="auto"/>
            </w:tcBorders>
            <w:noWrap/>
            <w:vAlign w:val="center"/>
            <w:hideMark/>
          </w:tcPr>
          <w:p w14:paraId="533F0411" w14:textId="6D2C7E81" w:rsidR="00AC7CB0" w:rsidRPr="004D2B9A" w:rsidRDefault="00AC7CB0" w:rsidP="00075B2F">
            <w:pPr>
              <w:pStyle w:val="tabele"/>
              <w:rPr>
                <w:b w:val="0"/>
                <w:bCs w:val="0"/>
                <w:lang w:val="en-GB"/>
              </w:rPr>
            </w:pPr>
            <w:r w:rsidRPr="004D2B9A">
              <w:rPr>
                <w:b w:val="0"/>
                <w:bCs w:val="0"/>
                <w:lang w:val="en-GB"/>
              </w:rPr>
              <w:t>2</w:t>
            </w:r>
            <w:r w:rsidR="00602613">
              <w:rPr>
                <w:b w:val="0"/>
                <w:bCs w:val="0"/>
                <w:lang w:val="en-GB"/>
              </w:rPr>
              <w:t>.</w:t>
            </w:r>
            <w:r w:rsidRPr="004D2B9A">
              <w:rPr>
                <w:b w:val="0"/>
                <w:bCs w:val="0"/>
                <w:lang w:val="en-GB"/>
              </w:rPr>
              <w:t>9</w:t>
            </w:r>
          </w:p>
        </w:tc>
        <w:tc>
          <w:tcPr>
            <w:tcW w:w="850" w:type="dxa"/>
            <w:gridSpan w:val="2"/>
            <w:tcBorders>
              <w:top w:val="nil"/>
              <w:left w:val="nil"/>
              <w:bottom w:val="single" w:sz="4" w:space="0" w:color="auto"/>
              <w:right w:val="single" w:sz="4" w:space="0" w:color="auto"/>
            </w:tcBorders>
            <w:noWrap/>
            <w:vAlign w:val="center"/>
            <w:hideMark/>
          </w:tcPr>
          <w:p w14:paraId="338BEA80" w14:textId="77777777" w:rsidR="00AC7CB0" w:rsidRPr="004D2B9A" w:rsidRDefault="00AC7CB0" w:rsidP="00075B2F">
            <w:pPr>
              <w:pStyle w:val="tabele"/>
              <w:rPr>
                <w:b w:val="0"/>
                <w:bCs w:val="0"/>
                <w:lang w:val="en-GB"/>
              </w:rPr>
            </w:pPr>
            <w:r w:rsidRPr="004D2B9A">
              <w:rPr>
                <w:b w:val="0"/>
                <w:bCs w:val="0"/>
                <w:lang w:val="en-GB"/>
              </w:rPr>
              <w:t>30</w:t>
            </w:r>
          </w:p>
        </w:tc>
        <w:tc>
          <w:tcPr>
            <w:tcW w:w="728" w:type="dxa"/>
            <w:tcBorders>
              <w:top w:val="nil"/>
              <w:left w:val="nil"/>
              <w:bottom w:val="single" w:sz="4" w:space="0" w:color="auto"/>
              <w:right w:val="single" w:sz="8" w:space="0" w:color="auto"/>
            </w:tcBorders>
            <w:noWrap/>
            <w:vAlign w:val="center"/>
            <w:hideMark/>
          </w:tcPr>
          <w:p w14:paraId="19B000AD" w14:textId="274DDF6E"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471</w:t>
            </w:r>
          </w:p>
        </w:tc>
      </w:tr>
      <w:tr w:rsidR="00AC7CB0" w:rsidRPr="004D2B9A" w14:paraId="04E28C52" w14:textId="77777777" w:rsidTr="00FC1BBF">
        <w:trPr>
          <w:trHeight w:val="315"/>
          <w:jc w:val="center"/>
        </w:trPr>
        <w:tc>
          <w:tcPr>
            <w:tcW w:w="727" w:type="dxa"/>
            <w:tcBorders>
              <w:top w:val="nil"/>
              <w:left w:val="single" w:sz="8" w:space="0" w:color="auto"/>
              <w:bottom w:val="single" w:sz="8" w:space="0" w:color="auto"/>
              <w:right w:val="single" w:sz="8" w:space="0" w:color="auto"/>
            </w:tcBorders>
            <w:noWrap/>
            <w:vAlign w:val="center"/>
            <w:hideMark/>
          </w:tcPr>
          <w:p w14:paraId="511C8A49" w14:textId="77777777" w:rsidR="00AC7CB0" w:rsidRPr="004D2B9A" w:rsidRDefault="00AC7CB0" w:rsidP="00075B2F">
            <w:pPr>
              <w:pStyle w:val="tabele"/>
              <w:rPr>
                <w:b w:val="0"/>
                <w:bCs w:val="0"/>
                <w:lang w:val="en-GB"/>
              </w:rPr>
            </w:pPr>
            <w:r w:rsidRPr="004D2B9A">
              <w:rPr>
                <w:b w:val="0"/>
                <w:bCs w:val="0"/>
                <w:lang w:val="en-GB"/>
              </w:rPr>
              <w:t>XII</w:t>
            </w:r>
          </w:p>
        </w:tc>
        <w:tc>
          <w:tcPr>
            <w:tcW w:w="709" w:type="dxa"/>
            <w:tcBorders>
              <w:top w:val="nil"/>
              <w:left w:val="nil"/>
              <w:bottom w:val="single" w:sz="8" w:space="0" w:color="auto"/>
              <w:right w:val="single" w:sz="4" w:space="0" w:color="auto"/>
            </w:tcBorders>
            <w:noWrap/>
            <w:vAlign w:val="center"/>
            <w:hideMark/>
          </w:tcPr>
          <w:p w14:paraId="4EF1FD24" w14:textId="77777777" w:rsidR="00AC7CB0" w:rsidRPr="004D2B9A" w:rsidRDefault="00AC7CB0" w:rsidP="00075B2F">
            <w:pPr>
              <w:pStyle w:val="tabele"/>
              <w:rPr>
                <w:b w:val="0"/>
                <w:bCs w:val="0"/>
                <w:lang w:val="en-GB"/>
              </w:rPr>
            </w:pPr>
            <w:r w:rsidRPr="004D2B9A">
              <w:rPr>
                <w:b w:val="0"/>
                <w:bCs w:val="0"/>
                <w:lang w:val="en-GB"/>
              </w:rPr>
              <w:t>744</w:t>
            </w:r>
          </w:p>
        </w:tc>
        <w:tc>
          <w:tcPr>
            <w:tcW w:w="850" w:type="dxa"/>
            <w:tcBorders>
              <w:top w:val="nil"/>
              <w:left w:val="nil"/>
              <w:bottom w:val="single" w:sz="8" w:space="0" w:color="auto"/>
              <w:right w:val="single" w:sz="4" w:space="0" w:color="auto"/>
            </w:tcBorders>
            <w:noWrap/>
            <w:vAlign w:val="center"/>
            <w:hideMark/>
          </w:tcPr>
          <w:p w14:paraId="34893A20" w14:textId="1880D7F1" w:rsidR="00AC7CB0" w:rsidRPr="004D2B9A" w:rsidRDefault="00AC7CB0" w:rsidP="00075B2F">
            <w:pPr>
              <w:pStyle w:val="tabele"/>
              <w:rPr>
                <w:b w:val="0"/>
                <w:bCs w:val="0"/>
                <w:lang w:val="en-GB"/>
              </w:rPr>
            </w:pPr>
            <w:r w:rsidRPr="004D2B9A">
              <w:rPr>
                <w:b w:val="0"/>
                <w:bCs w:val="0"/>
                <w:lang w:val="en-GB"/>
              </w:rPr>
              <w:t>2</w:t>
            </w:r>
            <w:r w:rsidR="00602613">
              <w:rPr>
                <w:b w:val="0"/>
                <w:bCs w:val="0"/>
                <w:lang w:val="en-GB"/>
              </w:rPr>
              <w:t>.</w:t>
            </w:r>
            <w:r w:rsidRPr="004D2B9A">
              <w:rPr>
                <w:b w:val="0"/>
                <w:bCs w:val="0"/>
                <w:lang w:val="en-GB"/>
              </w:rPr>
              <w:t>0</w:t>
            </w:r>
          </w:p>
        </w:tc>
        <w:tc>
          <w:tcPr>
            <w:tcW w:w="851" w:type="dxa"/>
            <w:tcBorders>
              <w:top w:val="nil"/>
              <w:left w:val="nil"/>
              <w:bottom w:val="single" w:sz="8" w:space="0" w:color="auto"/>
              <w:right w:val="single" w:sz="4" w:space="0" w:color="auto"/>
            </w:tcBorders>
            <w:noWrap/>
            <w:vAlign w:val="center"/>
            <w:hideMark/>
          </w:tcPr>
          <w:p w14:paraId="0F87B49F" w14:textId="77777777" w:rsidR="00AC7CB0" w:rsidRPr="004D2B9A" w:rsidRDefault="00AC7CB0" w:rsidP="00075B2F">
            <w:pPr>
              <w:pStyle w:val="tabele"/>
              <w:rPr>
                <w:b w:val="0"/>
                <w:bCs w:val="0"/>
                <w:lang w:val="en-GB"/>
              </w:rPr>
            </w:pPr>
            <w:r w:rsidRPr="004D2B9A">
              <w:rPr>
                <w:b w:val="0"/>
                <w:bCs w:val="0"/>
                <w:lang w:val="en-GB"/>
              </w:rPr>
              <w:t>22</w:t>
            </w:r>
          </w:p>
        </w:tc>
        <w:tc>
          <w:tcPr>
            <w:tcW w:w="708" w:type="dxa"/>
            <w:tcBorders>
              <w:top w:val="nil"/>
              <w:left w:val="nil"/>
              <w:bottom w:val="single" w:sz="8" w:space="0" w:color="auto"/>
              <w:right w:val="single" w:sz="8" w:space="0" w:color="auto"/>
            </w:tcBorders>
            <w:noWrap/>
            <w:vAlign w:val="center"/>
            <w:hideMark/>
          </w:tcPr>
          <w:p w14:paraId="6428E6D1" w14:textId="0907CFDB"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693</w:t>
            </w:r>
          </w:p>
        </w:tc>
        <w:tc>
          <w:tcPr>
            <w:tcW w:w="567" w:type="dxa"/>
            <w:tcBorders>
              <w:top w:val="nil"/>
              <w:left w:val="nil"/>
              <w:bottom w:val="nil"/>
              <w:right w:val="single" w:sz="4" w:space="0" w:color="auto"/>
            </w:tcBorders>
            <w:noWrap/>
            <w:vAlign w:val="center"/>
            <w:hideMark/>
          </w:tcPr>
          <w:p w14:paraId="102BBC77" w14:textId="77777777" w:rsidR="00AC7CB0" w:rsidRPr="004D2B9A" w:rsidRDefault="00AC7CB0" w:rsidP="00075B2F">
            <w:pPr>
              <w:pStyle w:val="tabele"/>
              <w:rPr>
                <w:b w:val="0"/>
                <w:bCs w:val="0"/>
                <w:lang w:val="en-GB"/>
              </w:rPr>
            </w:pPr>
            <w:r w:rsidRPr="004D2B9A">
              <w:rPr>
                <w:b w:val="0"/>
                <w:bCs w:val="0"/>
                <w:lang w:val="en-GB"/>
              </w:rPr>
              <w:t>744</w:t>
            </w:r>
          </w:p>
        </w:tc>
        <w:tc>
          <w:tcPr>
            <w:tcW w:w="887" w:type="dxa"/>
            <w:tcBorders>
              <w:top w:val="nil"/>
              <w:left w:val="nil"/>
              <w:bottom w:val="nil"/>
              <w:right w:val="single" w:sz="4" w:space="0" w:color="auto"/>
            </w:tcBorders>
            <w:noWrap/>
            <w:vAlign w:val="center"/>
            <w:hideMark/>
          </w:tcPr>
          <w:p w14:paraId="78E9E137" w14:textId="2012A91A" w:rsidR="00AC7CB0" w:rsidRPr="00FC1BBF" w:rsidRDefault="00AC7CB0" w:rsidP="00075B2F">
            <w:pPr>
              <w:pStyle w:val="tabele"/>
              <w:rPr>
                <w:b w:val="0"/>
                <w:bCs w:val="0"/>
                <w:lang w:val="en-GB"/>
              </w:rPr>
            </w:pPr>
            <w:r w:rsidRPr="00FC1BBF">
              <w:rPr>
                <w:b w:val="0"/>
                <w:bCs w:val="0"/>
                <w:lang w:val="en-GB"/>
              </w:rPr>
              <w:t>-1</w:t>
            </w:r>
            <w:r w:rsidR="00602613">
              <w:rPr>
                <w:b w:val="0"/>
                <w:bCs w:val="0"/>
                <w:lang w:val="en-GB"/>
              </w:rPr>
              <w:t>.</w:t>
            </w:r>
            <w:r w:rsidRPr="00FC1BBF">
              <w:rPr>
                <w:b w:val="0"/>
                <w:bCs w:val="0"/>
                <w:lang w:val="en-GB"/>
              </w:rPr>
              <w:t>1</w:t>
            </w:r>
          </w:p>
        </w:tc>
        <w:tc>
          <w:tcPr>
            <w:tcW w:w="794" w:type="dxa"/>
            <w:tcBorders>
              <w:top w:val="nil"/>
              <w:left w:val="nil"/>
              <w:bottom w:val="nil"/>
              <w:right w:val="single" w:sz="4" w:space="0" w:color="auto"/>
            </w:tcBorders>
            <w:noWrap/>
            <w:vAlign w:val="center"/>
            <w:hideMark/>
          </w:tcPr>
          <w:p w14:paraId="3F71FFD4" w14:textId="77777777" w:rsidR="00AC7CB0" w:rsidRPr="00FC1BBF" w:rsidRDefault="00AC7CB0" w:rsidP="00075B2F">
            <w:pPr>
              <w:pStyle w:val="tabele"/>
              <w:rPr>
                <w:b w:val="0"/>
                <w:bCs w:val="0"/>
                <w:lang w:val="en-GB"/>
              </w:rPr>
            </w:pPr>
            <w:r w:rsidRPr="00FC1BBF">
              <w:rPr>
                <w:b w:val="0"/>
                <w:bCs w:val="0"/>
                <w:lang w:val="en-GB"/>
              </w:rPr>
              <w:t>31</w:t>
            </w:r>
          </w:p>
        </w:tc>
        <w:tc>
          <w:tcPr>
            <w:tcW w:w="645" w:type="dxa"/>
            <w:tcBorders>
              <w:top w:val="nil"/>
              <w:left w:val="nil"/>
              <w:bottom w:val="nil"/>
              <w:right w:val="single" w:sz="8" w:space="0" w:color="auto"/>
            </w:tcBorders>
            <w:noWrap/>
            <w:vAlign w:val="center"/>
            <w:hideMark/>
          </w:tcPr>
          <w:p w14:paraId="137043CE" w14:textId="0A71EA1D"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930</w:t>
            </w:r>
          </w:p>
        </w:tc>
        <w:tc>
          <w:tcPr>
            <w:tcW w:w="637" w:type="dxa"/>
            <w:gridSpan w:val="2"/>
            <w:tcBorders>
              <w:top w:val="nil"/>
              <w:left w:val="nil"/>
              <w:bottom w:val="single" w:sz="8" w:space="0" w:color="auto"/>
              <w:right w:val="single" w:sz="4" w:space="0" w:color="auto"/>
            </w:tcBorders>
            <w:noWrap/>
            <w:vAlign w:val="center"/>
            <w:hideMark/>
          </w:tcPr>
          <w:p w14:paraId="54E5FCDE" w14:textId="77777777" w:rsidR="00AC7CB0" w:rsidRPr="004D2B9A" w:rsidRDefault="00AC7CB0" w:rsidP="00075B2F">
            <w:pPr>
              <w:pStyle w:val="tabele"/>
              <w:rPr>
                <w:b w:val="0"/>
                <w:bCs w:val="0"/>
                <w:lang w:val="en-GB"/>
              </w:rPr>
            </w:pPr>
            <w:r w:rsidRPr="004D2B9A">
              <w:rPr>
                <w:b w:val="0"/>
                <w:bCs w:val="0"/>
                <w:lang w:val="en-GB"/>
              </w:rPr>
              <w:t>744</w:t>
            </w:r>
          </w:p>
        </w:tc>
        <w:tc>
          <w:tcPr>
            <w:tcW w:w="847" w:type="dxa"/>
            <w:tcBorders>
              <w:top w:val="nil"/>
              <w:left w:val="nil"/>
              <w:bottom w:val="single" w:sz="8" w:space="0" w:color="auto"/>
              <w:right w:val="single" w:sz="4" w:space="0" w:color="auto"/>
            </w:tcBorders>
            <w:noWrap/>
            <w:vAlign w:val="center"/>
            <w:hideMark/>
          </w:tcPr>
          <w:p w14:paraId="1622B1FC" w14:textId="530E279E" w:rsidR="00AC7CB0" w:rsidRPr="004D2B9A" w:rsidRDefault="00AC7CB0" w:rsidP="00075B2F">
            <w:pPr>
              <w:pStyle w:val="tabele"/>
              <w:rPr>
                <w:b w:val="0"/>
                <w:bCs w:val="0"/>
                <w:lang w:val="en-GB"/>
              </w:rPr>
            </w:pPr>
            <w:r w:rsidRPr="004D2B9A">
              <w:rPr>
                <w:b w:val="0"/>
                <w:bCs w:val="0"/>
                <w:lang w:val="en-GB"/>
              </w:rPr>
              <w:t>0</w:t>
            </w:r>
            <w:r w:rsidR="00602613">
              <w:rPr>
                <w:b w:val="0"/>
                <w:bCs w:val="0"/>
                <w:lang w:val="en-GB"/>
              </w:rPr>
              <w:t>.</w:t>
            </w:r>
            <w:r w:rsidRPr="004D2B9A">
              <w:rPr>
                <w:b w:val="0"/>
                <w:bCs w:val="0"/>
                <w:lang w:val="en-GB"/>
              </w:rPr>
              <w:t>8</w:t>
            </w:r>
          </w:p>
        </w:tc>
        <w:tc>
          <w:tcPr>
            <w:tcW w:w="850" w:type="dxa"/>
            <w:gridSpan w:val="2"/>
            <w:tcBorders>
              <w:top w:val="nil"/>
              <w:left w:val="nil"/>
              <w:bottom w:val="single" w:sz="8" w:space="0" w:color="auto"/>
              <w:right w:val="single" w:sz="4" w:space="0" w:color="auto"/>
            </w:tcBorders>
            <w:noWrap/>
            <w:vAlign w:val="center"/>
            <w:hideMark/>
          </w:tcPr>
          <w:p w14:paraId="4C12C226" w14:textId="77777777" w:rsidR="00AC7CB0" w:rsidRPr="004D2B9A" w:rsidRDefault="00AC7CB0" w:rsidP="00075B2F">
            <w:pPr>
              <w:pStyle w:val="tabele"/>
              <w:rPr>
                <w:b w:val="0"/>
                <w:bCs w:val="0"/>
                <w:lang w:val="en-GB"/>
              </w:rPr>
            </w:pPr>
            <w:r w:rsidRPr="004D2B9A">
              <w:rPr>
                <w:b w:val="0"/>
                <w:bCs w:val="0"/>
                <w:lang w:val="en-GB"/>
              </w:rPr>
              <w:t>24</w:t>
            </w:r>
          </w:p>
        </w:tc>
        <w:tc>
          <w:tcPr>
            <w:tcW w:w="728" w:type="dxa"/>
            <w:tcBorders>
              <w:top w:val="nil"/>
              <w:left w:val="nil"/>
              <w:bottom w:val="single" w:sz="8" w:space="0" w:color="auto"/>
              <w:right w:val="single" w:sz="8" w:space="0" w:color="auto"/>
            </w:tcBorders>
            <w:noWrap/>
            <w:vAlign w:val="center"/>
            <w:hideMark/>
          </w:tcPr>
          <w:p w14:paraId="06AF0F17" w14:textId="5D5002B5"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793</w:t>
            </w:r>
          </w:p>
        </w:tc>
      </w:tr>
      <w:tr w:rsidR="00AC7CB0" w:rsidRPr="004D2B9A" w14:paraId="0962CC36" w14:textId="77777777" w:rsidTr="00FC1BBF">
        <w:trPr>
          <w:trHeight w:val="315"/>
          <w:jc w:val="center"/>
        </w:trPr>
        <w:tc>
          <w:tcPr>
            <w:tcW w:w="727" w:type="dxa"/>
            <w:tcBorders>
              <w:top w:val="nil"/>
              <w:left w:val="nil"/>
              <w:bottom w:val="nil"/>
              <w:right w:val="nil"/>
            </w:tcBorders>
            <w:noWrap/>
            <w:vAlign w:val="center"/>
            <w:hideMark/>
          </w:tcPr>
          <w:p w14:paraId="022DEAA7" w14:textId="77777777" w:rsidR="00AC7CB0" w:rsidRPr="004D2B9A" w:rsidRDefault="00AC7CB0" w:rsidP="00075B2F">
            <w:pPr>
              <w:pStyle w:val="tabele"/>
              <w:rPr>
                <w:b w:val="0"/>
                <w:bCs w:val="0"/>
                <w:lang w:val="en-GB"/>
              </w:rPr>
            </w:pPr>
          </w:p>
        </w:tc>
        <w:tc>
          <w:tcPr>
            <w:tcW w:w="3118" w:type="dxa"/>
            <w:gridSpan w:val="4"/>
            <w:tcBorders>
              <w:top w:val="single" w:sz="8" w:space="0" w:color="auto"/>
              <w:left w:val="single" w:sz="8" w:space="0" w:color="auto"/>
              <w:bottom w:val="nil"/>
              <w:right w:val="single" w:sz="8" w:space="0" w:color="000000"/>
            </w:tcBorders>
            <w:noWrap/>
            <w:vAlign w:val="center"/>
            <w:hideMark/>
          </w:tcPr>
          <w:p w14:paraId="368FB95F" w14:textId="3FBDB708" w:rsidR="00AC7CB0" w:rsidRPr="004D2B9A" w:rsidRDefault="00AC7CB0" w:rsidP="00075B2F">
            <w:pPr>
              <w:pStyle w:val="tabele"/>
              <w:rPr>
                <w:b w:val="0"/>
                <w:bCs w:val="0"/>
                <w:lang w:val="en-GB"/>
              </w:rPr>
            </w:pPr>
            <w:proofErr w:type="spellStart"/>
            <w:r w:rsidRPr="004D2B9A">
              <w:rPr>
                <w:b w:val="0"/>
                <w:bCs w:val="0"/>
                <w:lang w:val="en-GB"/>
              </w:rPr>
              <w:t>Białystok</w:t>
            </w:r>
            <w:proofErr w:type="spellEnd"/>
            <w:r w:rsidR="00B96CCF" w:rsidRPr="004D2B9A">
              <w:rPr>
                <w:b w:val="0"/>
                <w:bCs w:val="0"/>
                <w:lang w:val="en-GB"/>
              </w:rPr>
              <w:t xml:space="preserve"> </w:t>
            </w:r>
            <w:r w:rsidR="00FC1BBF">
              <w:rPr>
                <w:b w:val="0"/>
                <w:bCs w:val="0"/>
                <w:lang w:val="en-GB"/>
              </w:rPr>
              <w:t>–</w:t>
            </w:r>
            <w:r w:rsidR="00B96CCF" w:rsidRPr="004D2B9A">
              <w:rPr>
                <w:b w:val="0"/>
                <w:bCs w:val="0"/>
                <w:lang w:val="en-GB"/>
              </w:rPr>
              <w:t xml:space="preserve"> </w:t>
            </w:r>
            <w:r w:rsidR="00703718" w:rsidRPr="004D2B9A">
              <w:rPr>
                <w:b w:val="0"/>
                <w:bCs w:val="0"/>
                <w:lang w:val="en-GB"/>
              </w:rPr>
              <w:t>Z</w:t>
            </w:r>
            <w:r w:rsidR="00075B2F" w:rsidRPr="004D2B9A">
              <w:rPr>
                <w:b w:val="0"/>
                <w:bCs w:val="0"/>
                <w:lang w:val="en-GB"/>
              </w:rPr>
              <w:t>one</w:t>
            </w:r>
            <w:r w:rsidR="00B96CCF" w:rsidRPr="004D2B9A">
              <w:rPr>
                <w:b w:val="0"/>
                <w:bCs w:val="0"/>
                <w:lang w:val="en-GB"/>
              </w:rPr>
              <w:t xml:space="preserve"> </w:t>
            </w:r>
            <w:r w:rsidRPr="004D2B9A">
              <w:rPr>
                <w:b w:val="0"/>
                <w:bCs w:val="0"/>
                <w:lang w:val="en-GB"/>
              </w:rPr>
              <w:t>IV</w:t>
            </w:r>
            <w:r w:rsidR="00B96CCF" w:rsidRPr="004D2B9A">
              <w:rPr>
                <w:b w:val="0"/>
                <w:bCs w:val="0"/>
                <w:lang w:val="en-GB"/>
              </w:rPr>
              <w:t xml:space="preserve"> </w:t>
            </w:r>
            <w:r w:rsidRPr="004D2B9A">
              <w:rPr>
                <w:b w:val="0"/>
                <w:bCs w:val="0"/>
                <w:lang w:val="en-GB"/>
              </w:rPr>
              <w:t>(-22°C)</w:t>
            </w:r>
          </w:p>
        </w:tc>
        <w:tc>
          <w:tcPr>
            <w:tcW w:w="2893" w:type="dxa"/>
            <w:gridSpan w:val="4"/>
            <w:tcBorders>
              <w:top w:val="single" w:sz="8" w:space="0" w:color="auto"/>
              <w:left w:val="nil"/>
              <w:bottom w:val="single" w:sz="8" w:space="0" w:color="auto"/>
              <w:right w:val="single" w:sz="8" w:space="0" w:color="000000"/>
            </w:tcBorders>
            <w:noWrap/>
            <w:vAlign w:val="center"/>
            <w:hideMark/>
          </w:tcPr>
          <w:p w14:paraId="42C74DE7" w14:textId="2ABC74D1" w:rsidR="00AC7CB0" w:rsidRPr="00FC1BBF" w:rsidRDefault="00AC7CB0" w:rsidP="00075B2F">
            <w:pPr>
              <w:pStyle w:val="tabele"/>
              <w:rPr>
                <w:b w:val="0"/>
                <w:bCs w:val="0"/>
                <w:lang w:val="en-GB"/>
              </w:rPr>
            </w:pPr>
            <w:proofErr w:type="spellStart"/>
            <w:r w:rsidRPr="00FC1BBF">
              <w:rPr>
                <w:b w:val="0"/>
                <w:bCs w:val="0"/>
                <w:lang w:val="en-GB"/>
              </w:rPr>
              <w:t>Suwałki</w:t>
            </w:r>
            <w:proofErr w:type="spellEnd"/>
            <w:r w:rsidR="00B96CCF" w:rsidRPr="00FC1BBF">
              <w:rPr>
                <w:b w:val="0"/>
                <w:bCs w:val="0"/>
                <w:lang w:val="en-GB"/>
              </w:rPr>
              <w:t xml:space="preserve"> </w:t>
            </w:r>
            <w:r w:rsidR="00FC1BBF">
              <w:rPr>
                <w:b w:val="0"/>
                <w:bCs w:val="0"/>
                <w:lang w:val="en-GB"/>
              </w:rPr>
              <w:t>–</w:t>
            </w:r>
            <w:r w:rsidR="00B96CCF" w:rsidRPr="00FC1BBF">
              <w:rPr>
                <w:b w:val="0"/>
                <w:bCs w:val="0"/>
                <w:lang w:val="en-GB"/>
              </w:rPr>
              <w:t xml:space="preserve"> </w:t>
            </w:r>
            <w:r w:rsidR="00703718" w:rsidRPr="00FC1BBF">
              <w:rPr>
                <w:b w:val="0"/>
                <w:bCs w:val="0"/>
                <w:lang w:val="en-GB"/>
              </w:rPr>
              <w:t>Z</w:t>
            </w:r>
            <w:r w:rsidR="00075B2F" w:rsidRPr="00FC1BBF">
              <w:rPr>
                <w:b w:val="0"/>
                <w:bCs w:val="0"/>
                <w:lang w:val="en-GB"/>
              </w:rPr>
              <w:t>one</w:t>
            </w:r>
            <w:r w:rsidR="00B96CCF" w:rsidRPr="00FC1BBF">
              <w:rPr>
                <w:b w:val="0"/>
                <w:bCs w:val="0"/>
                <w:lang w:val="en-GB"/>
              </w:rPr>
              <w:t xml:space="preserve"> </w:t>
            </w:r>
            <w:r w:rsidRPr="00FC1BBF">
              <w:rPr>
                <w:b w:val="0"/>
                <w:bCs w:val="0"/>
                <w:lang w:val="en-GB"/>
              </w:rPr>
              <w:t>V</w:t>
            </w:r>
            <w:r w:rsidR="00B96CCF" w:rsidRPr="00FC1BBF">
              <w:rPr>
                <w:b w:val="0"/>
                <w:bCs w:val="0"/>
                <w:lang w:val="en-GB"/>
              </w:rPr>
              <w:t xml:space="preserve"> </w:t>
            </w:r>
            <w:r w:rsidRPr="00FC1BBF">
              <w:rPr>
                <w:b w:val="0"/>
                <w:bCs w:val="0"/>
                <w:lang w:val="en-GB"/>
              </w:rPr>
              <w:t>(-24°C)</w:t>
            </w:r>
          </w:p>
        </w:tc>
        <w:tc>
          <w:tcPr>
            <w:tcW w:w="628" w:type="dxa"/>
            <w:tcBorders>
              <w:top w:val="nil"/>
              <w:left w:val="nil"/>
              <w:bottom w:val="nil"/>
              <w:right w:val="nil"/>
            </w:tcBorders>
            <w:noWrap/>
            <w:vAlign w:val="center"/>
            <w:hideMark/>
          </w:tcPr>
          <w:p w14:paraId="73045FF8" w14:textId="77777777" w:rsidR="00AC7CB0" w:rsidRPr="004D2B9A" w:rsidRDefault="00AC7CB0" w:rsidP="00075B2F">
            <w:pPr>
              <w:pStyle w:val="tabele"/>
              <w:rPr>
                <w:b w:val="0"/>
                <w:bCs w:val="0"/>
                <w:lang w:val="en-GB"/>
              </w:rPr>
            </w:pPr>
          </w:p>
        </w:tc>
        <w:tc>
          <w:tcPr>
            <w:tcW w:w="856" w:type="dxa"/>
            <w:gridSpan w:val="2"/>
            <w:tcBorders>
              <w:top w:val="nil"/>
              <w:left w:val="nil"/>
              <w:bottom w:val="nil"/>
              <w:right w:val="nil"/>
            </w:tcBorders>
            <w:noWrap/>
            <w:vAlign w:val="center"/>
            <w:hideMark/>
          </w:tcPr>
          <w:p w14:paraId="09E2B11F" w14:textId="77777777" w:rsidR="00AC7CB0" w:rsidRPr="004D2B9A" w:rsidRDefault="00AC7CB0" w:rsidP="00075B2F">
            <w:pPr>
              <w:pStyle w:val="tabele"/>
              <w:rPr>
                <w:b w:val="0"/>
                <w:bCs w:val="0"/>
                <w:szCs w:val="20"/>
                <w:lang w:val="en-GB"/>
              </w:rPr>
            </w:pPr>
          </w:p>
        </w:tc>
        <w:tc>
          <w:tcPr>
            <w:tcW w:w="776" w:type="dxa"/>
            <w:tcBorders>
              <w:top w:val="nil"/>
              <w:left w:val="nil"/>
              <w:bottom w:val="nil"/>
              <w:right w:val="nil"/>
            </w:tcBorders>
            <w:noWrap/>
            <w:vAlign w:val="center"/>
            <w:hideMark/>
          </w:tcPr>
          <w:p w14:paraId="58B1A7D6" w14:textId="77777777" w:rsidR="00AC7CB0" w:rsidRPr="004D2B9A" w:rsidRDefault="00AC7CB0" w:rsidP="00075B2F">
            <w:pPr>
              <w:pStyle w:val="tabele"/>
              <w:rPr>
                <w:b w:val="0"/>
                <w:bCs w:val="0"/>
                <w:szCs w:val="20"/>
                <w:lang w:val="en-GB"/>
              </w:rPr>
            </w:pPr>
          </w:p>
        </w:tc>
        <w:tc>
          <w:tcPr>
            <w:tcW w:w="802" w:type="dxa"/>
            <w:gridSpan w:val="2"/>
            <w:tcBorders>
              <w:top w:val="nil"/>
              <w:left w:val="nil"/>
              <w:bottom w:val="nil"/>
              <w:right w:val="nil"/>
            </w:tcBorders>
            <w:noWrap/>
            <w:vAlign w:val="center"/>
            <w:hideMark/>
          </w:tcPr>
          <w:p w14:paraId="328091B6" w14:textId="77777777" w:rsidR="00AC7CB0" w:rsidRPr="004D2B9A" w:rsidRDefault="00AC7CB0" w:rsidP="00075B2F">
            <w:pPr>
              <w:pStyle w:val="tabele"/>
              <w:rPr>
                <w:b w:val="0"/>
                <w:bCs w:val="0"/>
                <w:szCs w:val="20"/>
                <w:lang w:val="en-GB"/>
              </w:rPr>
            </w:pPr>
          </w:p>
        </w:tc>
      </w:tr>
      <w:tr w:rsidR="00785518" w:rsidRPr="004D2B9A" w14:paraId="304F391F" w14:textId="77777777" w:rsidTr="00363DBD">
        <w:trPr>
          <w:trHeight w:val="510"/>
          <w:jc w:val="center"/>
        </w:trPr>
        <w:tc>
          <w:tcPr>
            <w:tcW w:w="727" w:type="dxa"/>
            <w:tcBorders>
              <w:top w:val="single" w:sz="8" w:space="0" w:color="auto"/>
              <w:left w:val="single" w:sz="8" w:space="0" w:color="auto"/>
              <w:bottom w:val="single" w:sz="4" w:space="0" w:color="auto"/>
              <w:right w:val="nil"/>
            </w:tcBorders>
            <w:noWrap/>
            <w:vAlign w:val="center"/>
            <w:hideMark/>
          </w:tcPr>
          <w:p w14:paraId="2E40E5F8" w14:textId="691BF15D" w:rsidR="00785518" w:rsidRPr="004D2B9A" w:rsidRDefault="00785518" w:rsidP="00785518">
            <w:pPr>
              <w:pStyle w:val="tabele"/>
              <w:rPr>
                <w:b w:val="0"/>
                <w:bCs w:val="0"/>
                <w:lang w:val="en-GB"/>
              </w:rPr>
            </w:pPr>
            <w:r w:rsidRPr="004D2B9A">
              <w:rPr>
                <w:b w:val="0"/>
                <w:bCs w:val="0"/>
                <w:lang w:val="en-GB"/>
              </w:rPr>
              <w:t>Month</w:t>
            </w:r>
          </w:p>
        </w:tc>
        <w:tc>
          <w:tcPr>
            <w:tcW w:w="709" w:type="dxa"/>
            <w:tcBorders>
              <w:top w:val="single" w:sz="8" w:space="0" w:color="auto"/>
              <w:left w:val="single" w:sz="8" w:space="0" w:color="auto"/>
              <w:bottom w:val="single" w:sz="4" w:space="0" w:color="auto"/>
              <w:right w:val="single" w:sz="4" w:space="0" w:color="auto"/>
            </w:tcBorders>
            <w:vAlign w:val="center"/>
            <w:hideMark/>
          </w:tcPr>
          <w:p w14:paraId="0AC33756" w14:textId="6510E2E4" w:rsidR="00785518" w:rsidRPr="004D2B9A" w:rsidRDefault="00785518" w:rsidP="00785518">
            <w:pPr>
              <w:pStyle w:val="tabele"/>
              <w:rPr>
                <w:b w:val="0"/>
                <w:bCs w:val="0"/>
                <w:lang w:val="en-GB"/>
              </w:rPr>
            </w:pPr>
            <w:r w:rsidRPr="004D2B9A">
              <w:rPr>
                <w:b w:val="0"/>
                <w:bCs w:val="0"/>
                <w:lang w:val="en-GB"/>
              </w:rPr>
              <w:t>time</w:t>
            </w:r>
            <w:r w:rsidR="00B96CCF" w:rsidRPr="004D2B9A">
              <w:rPr>
                <w:b w:val="0"/>
                <w:bCs w:val="0"/>
                <w:lang w:val="en-GB"/>
              </w:rPr>
              <w:t xml:space="preserve"> </w:t>
            </w:r>
            <w:r w:rsidR="00703718" w:rsidRPr="004D2B9A">
              <w:rPr>
                <w:b w:val="0"/>
                <w:bCs w:val="0"/>
                <w:lang w:val="en-GB"/>
              </w:rPr>
              <w:t>C</w:t>
            </w:r>
            <w:r w:rsidRPr="004D2B9A">
              <w:rPr>
                <w:b w:val="0"/>
                <w:bCs w:val="0"/>
                <w:lang w:val="en-GB"/>
              </w:rPr>
              <w:t>S</w:t>
            </w:r>
          </w:p>
        </w:tc>
        <w:tc>
          <w:tcPr>
            <w:tcW w:w="850" w:type="dxa"/>
            <w:tcBorders>
              <w:top w:val="single" w:sz="8" w:space="0" w:color="auto"/>
              <w:left w:val="nil"/>
              <w:bottom w:val="single" w:sz="4" w:space="0" w:color="auto"/>
              <w:right w:val="single" w:sz="4" w:space="0" w:color="auto"/>
            </w:tcBorders>
            <w:vAlign w:val="center"/>
            <w:hideMark/>
          </w:tcPr>
          <w:p w14:paraId="7E2E825B" w14:textId="6395F39D" w:rsidR="00785518" w:rsidRPr="004D2B9A" w:rsidRDefault="00785518" w:rsidP="00785518">
            <w:pPr>
              <w:pStyle w:val="tabele"/>
              <w:rPr>
                <w:b w:val="0"/>
                <w:bCs w:val="0"/>
                <w:lang w:val="en-GB"/>
              </w:rPr>
            </w:pPr>
            <w:r w:rsidRPr="004D2B9A">
              <w:rPr>
                <w:b w:val="0"/>
                <w:bCs w:val="0"/>
                <w:lang w:val="en-GB"/>
              </w:rPr>
              <w:t>avg.</w:t>
            </w:r>
            <w:r w:rsidR="00B96CCF" w:rsidRPr="004D2B9A">
              <w:rPr>
                <w:b w:val="0"/>
                <w:bCs w:val="0"/>
                <w:lang w:val="en-GB"/>
              </w:rPr>
              <w:t xml:space="preserve"> </w:t>
            </w:r>
            <w:r w:rsidRPr="004D2B9A">
              <w:rPr>
                <w:b w:val="0"/>
                <w:bCs w:val="0"/>
                <w:lang w:val="en-GB"/>
              </w:rPr>
              <w:t>air</w:t>
            </w:r>
            <w:r w:rsidR="00B96CCF" w:rsidRPr="004D2B9A">
              <w:rPr>
                <w:b w:val="0"/>
                <w:bCs w:val="0"/>
                <w:lang w:val="en-GB"/>
              </w:rPr>
              <w:t xml:space="preserve"> </w:t>
            </w:r>
            <w:r w:rsidRPr="004D2B9A">
              <w:rPr>
                <w:b w:val="0"/>
                <w:bCs w:val="0"/>
                <w:lang w:val="en-GB"/>
              </w:rPr>
              <w:t>temp.</w:t>
            </w:r>
          </w:p>
        </w:tc>
        <w:tc>
          <w:tcPr>
            <w:tcW w:w="851" w:type="dxa"/>
            <w:tcBorders>
              <w:top w:val="single" w:sz="8" w:space="0" w:color="auto"/>
              <w:left w:val="nil"/>
              <w:bottom w:val="single" w:sz="4" w:space="0" w:color="auto"/>
              <w:right w:val="single" w:sz="4" w:space="0" w:color="auto"/>
            </w:tcBorders>
            <w:vAlign w:val="center"/>
            <w:hideMark/>
          </w:tcPr>
          <w:p w14:paraId="594BCC07" w14:textId="35A30BCD" w:rsidR="00785518" w:rsidRPr="00FC1BBF" w:rsidRDefault="00785518" w:rsidP="00FC1BBF">
            <w:pPr>
              <w:pStyle w:val="tabele"/>
              <w:ind w:left="-84" w:right="-56"/>
              <w:rPr>
                <w:b w:val="0"/>
                <w:bCs w:val="0"/>
                <w:spacing w:val="-4"/>
                <w:lang w:val="en-GB"/>
              </w:rPr>
            </w:pPr>
            <w:r w:rsidRPr="00FC1BBF">
              <w:rPr>
                <w:b w:val="0"/>
                <w:bCs w:val="0"/>
                <w:spacing w:val="-4"/>
                <w:lang w:val="en-GB"/>
              </w:rPr>
              <w:t>avg.</w:t>
            </w:r>
            <w:r w:rsidR="00B96CCF" w:rsidRPr="00FC1BBF">
              <w:rPr>
                <w:b w:val="0"/>
                <w:bCs w:val="0"/>
                <w:spacing w:val="-4"/>
                <w:lang w:val="en-GB"/>
              </w:rPr>
              <w:t xml:space="preserve"> </w:t>
            </w:r>
            <w:r w:rsidR="00FC1BBF">
              <w:rPr>
                <w:b w:val="0"/>
                <w:bCs w:val="0"/>
                <w:spacing w:val="-4"/>
                <w:lang w:val="en-GB"/>
              </w:rPr>
              <w:br/>
            </w:r>
            <w:r w:rsidRPr="00FC1BBF">
              <w:rPr>
                <w:b w:val="0"/>
                <w:bCs w:val="0"/>
                <w:spacing w:val="-4"/>
                <w:lang w:val="en-GB"/>
              </w:rPr>
              <w:t>solar</w:t>
            </w:r>
            <w:r w:rsidR="00B96CCF" w:rsidRPr="00FC1BBF">
              <w:rPr>
                <w:b w:val="0"/>
                <w:bCs w:val="0"/>
                <w:spacing w:val="-4"/>
                <w:lang w:val="en-GB"/>
              </w:rPr>
              <w:t xml:space="preserve"> </w:t>
            </w:r>
            <w:r w:rsidRPr="00FC1BBF">
              <w:rPr>
                <w:b w:val="0"/>
                <w:bCs w:val="0"/>
                <w:spacing w:val="-4"/>
                <w:lang w:val="en-GB"/>
              </w:rPr>
              <w:t>rad.</w:t>
            </w:r>
          </w:p>
        </w:tc>
        <w:tc>
          <w:tcPr>
            <w:tcW w:w="708" w:type="dxa"/>
            <w:tcBorders>
              <w:top w:val="single" w:sz="8" w:space="0" w:color="auto"/>
              <w:left w:val="nil"/>
              <w:bottom w:val="single" w:sz="4" w:space="0" w:color="auto"/>
              <w:right w:val="single" w:sz="8" w:space="0" w:color="auto"/>
            </w:tcBorders>
            <w:noWrap/>
            <w:vAlign w:val="center"/>
            <w:hideMark/>
          </w:tcPr>
          <w:p w14:paraId="4BDF02D5" w14:textId="77777777" w:rsidR="00785518" w:rsidRPr="004D2B9A" w:rsidRDefault="00785518" w:rsidP="00785518">
            <w:pPr>
              <w:pStyle w:val="tabele"/>
              <w:rPr>
                <w:b w:val="0"/>
                <w:bCs w:val="0"/>
                <w:lang w:val="en-GB"/>
              </w:rPr>
            </w:pPr>
            <w:proofErr w:type="spellStart"/>
            <w:r w:rsidRPr="004D2B9A">
              <w:rPr>
                <w:b w:val="0"/>
                <w:bCs w:val="0"/>
                <w:lang w:val="en-GB"/>
              </w:rPr>
              <w:t>EU'm</w:t>
            </w:r>
            <w:proofErr w:type="spellEnd"/>
          </w:p>
        </w:tc>
        <w:tc>
          <w:tcPr>
            <w:tcW w:w="567" w:type="dxa"/>
            <w:tcBorders>
              <w:top w:val="nil"/>
              <w:left w:val="nil"/>
              <w:bottom w:val="single" w:sz="4" w:space="0" w:color="auto"/>
              <w:right w:val="single" w:sz="4" w:space="0" w:color="auto"/>
            </w:tcBorders>
            <w:vAlign w:val="center"/>
            <w:hideMark/>
          </w:tcPr>
          <w:p w14:paraId="457C7A7F" w14:textId="6A54F996" w:rsidR="00785518" w:rsidRPr="004D2B9A" w:rsidRDefault="00785518" w:rsidP="00785518">
            <w:pPr>
              <w:pStyle w:val="tabele"/>
              <w:rPr>
                <w:b w:val="0"/>
                <w:bCs w:val="0"/>
                <w:lang w:val="en-GB"/>
              </w:rPr>
            </w:pPr>
            <w:r w:rsidRPr="004D2B9A">
              <w:rPr>
                <w:b w:val="0"/>
                <w:bCs w:val="0"/>
                <w:lang w:val="en-GB"/>
              </w:rPr>
              <w:t>time</w:t>
            </w:r>
            <w:r w:rsidR="00B96CCF" w:rsidRPr="004D2B9A">
              <w:rPr>
                <w:b w:val="0"/>
                <w:bCs w:val="0"/>
                <w:lang w:val="en-GB"/>
              </w:rPr>
              <w:t xml:space="preserve"> </w:t>
            </w:r>
            <w:r w:rsidR="00703718" w:rsidRPr="004D2B9A">
              <w:rPr>
                <w:b w:val="0"/>
                <w:bCs w:val="0"/>
                <w:lang w:val="en-GB"/>
              </w:rPr>
              <w:t>C</w:t>
            </w:r>
            <w:r w:rsidRPr="004D2B9A">
              <w:rPr>
                <w:b w:val="0"/>
                <w:bCs w:val="0"/>
                <w:lang w:val="en-GB"/>
              </w:rPr>
              <w:t>S</w:t>
            </w:r>
          </w:p>
        </w:tc>
        <w:tc>
          <w:tcPr>
            <w:tcW w:w="887" w:type="dxa"/>
            <w:tcBorders>
              <w:top w:val="nil"/>
              <w:left w:val="nil"/>
              <w:bottom w:val="single" w:sz="4" w:space="0" w:color="auto"/>
              <w:right w:val="single" w:sz="4" w:space="0" w:color="auto"/>
            </w:tcBorders>
            <w:vAlign w:val="center"/>
            <w:hideMark/>
          </w:tcPr>
          <w:p w14:paraId="5374412A" w14:textId="018DDD67" w:rsidR="00785518" w:rsidRPr="00FC1BBF" w:rsidRDefault="00785518" w:rsidP="00785518">
            <w:pPr>
              <w:pStyle w:val="tabele"/>
              <w:rPr>
                <w:b w:val="0"/>
                <w:bCs w:val="0"/>
                <w:lang w:val="en-GB"/>
              </w:rPr>
            </w:pPr>
            <w:r w:rsidRPr="00FC1BBF">
              <w:rPr>
                <w:b w:val="0"/>
                <w:bCs w:val="0"/>
                <w:lang w:val="en-GB"/>
              </w:rPr>
              <w:t>avg.</w:t>
            </w:r>
            <w:r w:rsidR="00B96CCF" w:rsidRPr="00FC1BBF">
              <w:rPr>
                <w:b w:val="0"/>
                <w:bCs w:val="0"/>
                <w:lang w:val="en-GB"/>
              </w:rPr>
              <w:t xml:space="preserve"> </w:t>
            </w:r>
            <w:r w:rsidRPr="00FC1BBF">
              <w:rPr>
                <w:b w:val="0"/>
                <w:bCs w:val="0"/>
                <w:lang w:val="en-GB"/>
              </w:rPr>
              <w:t>air</w:t>
            </w:r>
            <w:r w:rsidR="00B96CCF" w:rsidRPr="00FC1BBF">
              <w:rPr>
                <w:b w:val="0"/>
                <w:bCs w:val="0"/>
                <w:lang w:val="en-GB"/>
              </w:rPr>
              <w:t xml:space="preserve"> </w:t>
            </w:r>
            <w:r w:rsidRPr="00FC1BBF">
              <w:rPr>
                <w:b w:val="0"/>
                <w:bCs w:val="0"/>
                <w:lang w:val="en-GB"/>
              </w:rPr>
              <w:t>temp.</w:t>
            </w:r>
          </w:p>
        </w:tc>
        <w:tc>
          <w:tcPr>
            <w:tcW w:w="794" w:type="dxa"/>
            <w:tcBorders>
              <w:top w:val="nil"/>
              <w:left w:val="nil"/>
              <w:bottom w:val="single" w:sz="4" w:space="0" w:color="auto"/>
              <w:right w:val="single" w:sz="4" w:space="0" w:color="auto"/>
            </w:tcBorders>
            <w:vAlign w:val="center"/>
            <w:hideMark/>
          </w:tcPr>
          <w:p w14:paraId="2DF4B8BB" w14:textId="0F30B8A3" w:rsidR="00785518" w:rsidRPr="00FC1BBF" w:rsidRDefault="00785518" w:rsidP="00FC1BBF">
            <w:pPr>
              <w:pStyle w:val="tabele"/>
              <w:ind w:left="-127" w:right="-78"/>
              <w:rPr>
                <w:b w:val="0"/>
                <w:bCs w:val="0"/>
                <w:spacing w:val="-4"/>
                <w:lang w:val="en-GB"/>
              </w:rPr>
            </w:pPr>
            <w:r w:rsidRPr="00FC1BBF">
              <w:rPr>
                <w:b w:val="0"/>
                <w:bCs w:val="0"/>
                <w:spacing w:val="-4"/>
                <w:lang w:val="en-GB"/>
              </w:rPr>
              <w:t>avg.</w:t>
            </w:r>
            <w:r w:rsidR="00B96CCF" w:rsidRPr="00FC1BBF">
              <w:rPr>
                <w:b w:val="0"/>
                <w:bCs w:val="0"/>
                <w:spacing w:val="-4"/>
                <w:lang w:val="en-GB"/>
              </w:rPr>
              <w:t xml:space="preserve"> </w:t>
            </w:r>
            <w:r w:rsidR="00FC1BBF">
              <w:rPr>
                <w:b w:val="0"/>
                <w:bCs w:val="0"/>
                <w:spacing w:val="-4"/>
                <w:lang w:val="en-GB"/>
              </w:rPr>
              <w:br/>
            </w:r>
            <w:r w:rsidRPr="00FC1BBF">
              <w:rPr>
                <w:b w:val="0"/>
                <w:bCs w:val="0"/>
                <w:spacing w:val="-4"/>
                <w:lang w:val="en-GB"/>
              </w:rPr>
              <w:t>solar</w:t>
            </w:r>
            <w:r w:rsidR="00B96CCF" w:rsidRPr="00FC1BBF">
              <w:rPr>
                <w:b w:val="0"/>
                <w:bCs w:val="0"/>
                <w:spacing w:val="-4"/>
                <w:lang w:val="en-GB"/>
              </w:rPr>
              <w:t xml:space="preserve"> </w:t>
            </w:r>
            <w:r w:rsidRPr="00FC1BBF">
              <w:rPr>
                <w:b w:val="0"/>
                <w:bCs w:val="0"/>
                <w:spacing w:val="-4"/>
                <w:lang w:val="en-GB"/>
              </w:rPr>
              <w:t>rad.</w:t>
            </w:r>
          </w:p>
        </w:tc>
        <w:tc>
          <w:tcPr>
            <w:tcW w:w="645" w:type="dxa"/>
            <w:tcBorders>
              <w:top w:val="nil"/>
              <w:left w:val="nil"/>
              <w:bottom w:val="single" w:sz="4" w:space="0" w:color="auto"/>
              <w:right w:val="single" w:sz="8" w:space="0" w:color="auto"/>
            </w:tcBorders>
            <w:noWrap/>
            <w:vAlign w:val="center"/>
            <w:hideMark/>
          </w:tcPr>
          <w:p w14:paraId="205FBAEC" w14:textId="77777777" w:rsidR="00785518" w:rsidRPr="004D2B9A" w:rsidRDefault="00785518" w:rsidP="00785518">
            <w:pPr>
              <w:pStyle w:val="tabele"/>
              <w:rPr>
                <w:b w:val="0"/>
                <w:bCs w:val="0"/>
                <w:lang w:val="en-GB"/>
              </w:rPr>
            </w:pPr>
            <w:proofErr w:type="spellStart"/>
            <w:r w:rsidRPr="004D2B9A">
              <w:rPr>
                <w:b w:val="0"/>
                <w:bCs w:val="0"/>
                <w:lang w:val="en-GB"/>
              </w:rPr>
              <w:t>EU'm</w:t>
            </w:r>
            <w:proofErr w:type="spellEnd"/>
          </w:p>
        </w:tc>
        <w:tc>
          <w:tcPr>
            <w:tcW w:w="637" w:type="dxa"/>
            <w:gridSpan w:val="2"/>
            <w:tcBorders>
              <w:top w:val="nil"/>
              <w:left w:val="nil"/>
              <w:bottom w:val="nil"/>
              <w:right w:val="nil"/>
            </w:tcBorders>
            <w:noWrap/>
            <w:vAlign w:val="center"/>
            <w:hideMark/>
          </w:tcPr>
          <w:p w14:paraId="1392B32C" w14:textId="77777777" w:rsidR="00785518" w:rsidRPr="004D2B9A" w:rsidRDefault="00785518" w:rsidP="00785518">
            <w:pPr>
              <w:pStyle w:val="tabele"/>
              <w:rPr>
                <w:b w:val="0"/>
                <w:bCs w:val="0"/>
                <w:lang w:val="en-GB"/>
              </w:rPr>
            </w:pPr>
          </w:p>
        </w:tc>
        <w:tc>
          <w:tcPr>
            <w:tcW w:w="847" w:type="dxa"/>
            <w:tcBorders>
              <w:top w:val="nil"/>
              <w:left w:val="nil"/>
              <w:bottom w:val="nil"/>
              <w:right w:val="nil"/>
            </w:tcBorders>
            <w:noWrap/>
            <w:vAlign w:val="center"/>
            <w:hideMark/>
          </w:tcPr>
          <w:p w14:paraId="7DF064BD" w14:textId="77777777" w:rsidR="00785518" w:rsidRPr="004D2B9A" w:rsidRDefault="00785518" w:rsidP="00785518">
            <w:pPr>
              <w:pStyle w:val="tabele"/>
              <w:rPr>
                <w:b w:val="0"/>
                <w:bCs w:val="0"/>
                <w:szCs w:val="20"/>
                <w:lang w:val="en-GB"/>
              </w:rPr>
            </w:pPr>
          </w:p>
        </w:tc>
        <w:tc>
          <w:tcPr>
            <w:tcW w:w="850" w:type="dxa"/>
            <w:gridSpan w:val="2"/>
            <w:tcBorders>
              <w:top w:val="nil"/>
              <w:left w:val="nil"/>
              <w:bottom w:val="nil"/>
              <w:right w:val="nil"/>
            </w:tcBorders>
            <w:noWrap/>
            <w:vAlign w:val="center"/>
            <w:hideMark/>
          </w:tcPr>
          <w:p w14:paraId="0A55AAFD" w14:textId="77777777" w:rsidR="00785518" w:rsidRPr="004D2B9A" w:rsidRDefault="00785518" w:rsidP="00785518">
            <w:pPr>
              <w:pStyle w:val="tabele"/>
              <w:rPr>
                <w:b w:val="0"/>
                <w:bCs w:val="0"/>
                <w:szCs w:val="20"/>
                <w:lang w:val="en-GB"/>
              </w:rPr>
            </w:pPr>
          </w:p>
        </w:tc>
        <w:tc>
          <w:tcPr>
            <w:tcW w:w="728" w:type="dxa"/>
            <w:tcBorders>
              <w:top w:val="nil"/>
              <w:left w:val="nil"/>
              <w:bottom w:val="nil"/>
              <w:right w:val="nil"/>
            </w:tcBorders>
            <w:noWrap/>
            <w:vAlign w:val="center"/>
            <w:hideMark/>
          </w:tcPr>
          <w:p w14:paraId="138D56FF" w14:textId="77777777" w:rsidR="00785518" w:rsidRPr="004D2B9A" w:rsidRDefault="00785518" w:rsidP="00785518">
            <w:pPr>
              <w:pStyle w:val="tabele"/>
              <w:rPr>
                <w:b w:val="0"/>
                <w:bCs w:val="0"/>
                <w:szCs w:val="20"/>
                <w:lang w:val="en-GB"/>
              </w:rPr>
            </w:pPr>
          </w:p>
        </w:tc>
      </w:tr>
      <w:tr w:rsidR="00AC7CB0" w:rsidRPr="004D2B9A" w14:paraId="19DC2C16" w14:textId="77777777" w:rsidTr="00FC1BBF">
        <w:trPr>
          <w:trHeight w:val="360"/>
          <w:jc w:val="center"/>
        </w:trPr>
        <w:tc>
          <w:tcPr>
            <w:tcW w:w="727" w:type="dxa"/>
            <w:tcBorders>
              <w:top w:val="nil"/>
              <w:left w:val="single" w:sz="8" w:space="0" w:color="auto"/>
              <w:bottom w:val="single" w:sz="8" w:space="0" w:color="auto"/>
              <w:right w:val="nil"/>
            </w:tcBorders>
            <w:noWrap/>
            <w:vAlign w:val="center"/>
            <w:hideMark/>
          </w:tcPr>
          <w:p w14:paraId="6A4F34D9" w14:textId="77777777" w:rsidR="00AC7CB0" w:rsidRPr="004D2B9A" w:rsidRDefault="00AC7CB0" w:rsidP="00075B2F">
            <w:pPr>
              <w:pStyle w:val="tabele"/>
              <w:rPr>
                <w:b w:val="0"/>
                <w:bCs w:val="0"/>
                <w:lang w:val="en-GB"/>
              </w:rPr>
            </w:pPr>
            <w:r w:rsidRPr="004D2B9A">
              <w:rPr>
                <w:b w:val="0"/>
                <w:bCs w:val="0"/>
                <w:lang w:val="en-GB"/>
              </w:rPr>
              <w:t>-</w:t>
            </w:r>
          </w:p>
        </w:tc>
        <w:tc>
          <w:tcPr>
            <w:tcW w:w="709" w:type="dxa"/>
            <w:tcBorders>
              <w:top w:val="nil"/>
              <w:left w:val="single" w:sz="8" w:space="0" w:color="auto"/>
              <w:bottom w:val="single" w:sz="8" w:space="0" w:color="auto"/>
              <w:right w:val="single" w:sz="4" w:space="0" w:color="auto"/>
            </w:tcBorders>
            <w:noWrap/>
            <w:vAlign w:val="center"/>
            <w:hideMark/>
          </w:tcPr>
          <w:p w14:paraId="7BAB59D2" w14:textId="77777777" w:rsidR="00AC7CB0" w:rsidRPr="004D2B9A" w:rsidRDefault="00AC7CB0" w:rsidP="00075B2F">
            <w:pPr>
              <w:pStyle w:val="tabele"/>
              <w:rPr>
                <w:b w:val="0"/>
                <w:bCs w:val="0"/>
                <w:lang w:val="en-GB"/>
              </w:rPr>
            </w:pPr>
            <w:r w:rsidRPr="004D2B9A">
              <w:rPr>
                <w:b w:val="0"/>
                <w:bCs w:val="0"/>
                <w:lang w:val="en-GB"/>
              </w:rPr>
              <w:t>h</w:t>
            </w:r>
          </w:p>
        </w:tc>
        <w:tc>
          <w:tcPr>
            <w:tcW w:w="850" w:type="dxa"/>
            <w:tcBorders>
              <w:top w:val="nil"/>
              <w:left w:val="nil"/>
              <w:bottom w:val="single" w:sz="8" w:space="0" w:color="auto"/>
              <w:right w:val="single" w:sz="4" w:space="0" w:color="auto"/>
            </w:tcBorders>
            <w:noWrap/>
            <w:vAlign w:val="center"/>
            <w:hideMark/>
          </w:tcPr>
          <w:p w14:paraId="77A1CA31" w14:textId="77777777" w:rsidR="00AC7CB0" w:rsidRPr="004D2B9A" w:rsidRDefault="00AC7CB0" w:rsidP="00075B2F">
            <w:pPr>
              <w:pStyle w:val="tabele"/>
              <w:rPr>
                <w:b w:val="0"/>
                <w:bCs w:val="0"/>
                <w:lang w:val="en-GB"/>
              </w:rPr>
            </w:pPr>
            <w:r w:rsidRPr="004D2B9A">
              <w:rPr>
                <w:b w:val="0"/>
                <w:bCs w:val="0"/>
                <w:lang w:val="en-GB"/>
              </w:rPr>
              <w:t>°C</w:t>
            </w:r>
          </w:p>
        </w:tc>
        <w:tc>
          <w:tcPr>
            <w:tcW w:w="851" w:type="dxa"/>
            <w:tcBorders>
              <w:top w:val="nil"/>
              <w:left w:val="nil"/>
              <w:bottom w:val="single" w:sz="8" w:space="0" w:color="auto"/>
              <w:right w:val="single" w:sz="4" w:space="0" w:color="auto"/>
            </w:tcBorders>
            <w:noWrap/>
            <w:vAlign w:val="center"/>
            <w:hideMark/>
          </w:tcPr>
          <w:p w14:paraId="14D6B237" w14:textId="77777777" w:rsidR="00AC7CB0" w:rsidRPr="004D2B9A" w:rsidRDefault="00AC7CB0" w:rsidP="00075B2F">
            <w:pPr>
              <w:pStyle w:val="tabele"/>
              <w:rPr>
                <w:b w:val="0"/>
                <w:bCs w:val="0"/>
                <w:lang w:val="en-GB"/>
              </w:rPr>
            </w:pPr>
            <w:r w:rsidRPr="004D2B9A">
              <w:rPr>
                <w:b w:val="0"/>
                <w:bCs w:val="0"/>
                <w:lang w:val="en-GB"/>
              </w:rPr>
              <w:t>W/m</w:t>
            </w:r>
            <w:r w:rsidRPr="004D2B9A">
              <w:rPr>
                <w:b w:val="0"/>
                <w:bCs w:val="0"/>
                <w:vertAlign w:val="superscript"/>
                <w:lang w:val="en-GB"/>
              </w:rPr>
              <w:t>2</w:t>
            </w:r>
          </w:p>
        </w:tc>
        <w:tc>
          <w:tcPr>
            <w:tcW w:w="708" w:type="dxa"/>
            <w:tcBorders>
              <w:top w:val="nil"/>
              <w:left w:val="nil"/>
              <w:bottom w:val="single" w:sz="8" w:space="0" w:color="auto"/>
              <w:right w:val="single" w:sz="8" w:space="0" w:color="auto"/>
            </w:tcBorders>
            <w:noWrap/>
            <w:vAlign w:val="center"/>
            <w:hideMark/>
          </w:tcPr>
          <w:p w14:paraId="0B7F9790" w14:textId="77777777" w:rsidR="00AC7CB0" w:rsidRPr="004D2B9A" w:rsidRDefault="00AC7CB0" w:rsidP="00075B2F">
            <w:pPr>
              <w:pStyle w:val="tabele"/>
              <w:rPr>
                <w:b w:val="0"/>
                <w:bCs w:val="0"/>
                <w:lang w:val="en-GB"/>
              </w:rPr>
            </w:pPr>
            <w:r w:rsidRPr="004D2B9A">
              <w:rPr>
                <w:b w:val="0"/>
                <w:bCs w:val="0"/>
                <w:lang w:val="en-GB"/>
              </w:rPr>
              <w:t>kWh</w:t>
            </w:r>
          </w:p>
        </w:tc>
        <w:tc>
          <w:tcPr>
            <w:tcW w:w="567" w:type="dxa"/>
            <w:tcBorders>
              <w:top w:val="nil"/>
              <w:left w:val="nil"/>
              <w:bottom w:val="single" w:sz="8" w:space="0" w:color="auto"/>
              <w:right w:val="single" w:sz="4" w:space="0" w:color="auto"/>
            </w:tcBorders>
            <w:noWrap/>
            <w:vAlign w:val="center"/>
            <w:hideMark/>
          </w:tcPr>
          <w:p w14:paraId="38E62FE7" w14:textId="77777777" w:rsidR="00AC7CB0" w:rsidRPr="004D2B9A" w:rsidRDefault="00AC7CB0" w:rsidP="00075B2F">
            <w:pPr>
              <w:pStyle w:val="tabele"/>
              <w:rPr>
                <w:b w:val="0"/>
                <w:bCs w:val="0"/>
                <w:lang w:val="en-GB"/>
              </w:rPr>
            </w:pPr>
            <w:r w:rsidRPr="004D2B9A">
              <w:rPr>
                <w:b w:val="0"/>
                <w:bCs w:val="0"/>
                <w:lang w:val="en-GB"/>
              </w:rPr>
              <w:t>h</w:t>
            </w:r>
          </w:p>
        </w:tc>
        <w:tc>
          <w:tcPr>
            <w:tcW w:w="887" w:type="dxa"/>
            <w:tcBorders>
              <w:top w:val="nil"/>
              <w:left w:val="nil"/>
              <w:bottom w:val="single" w:sz="8" w:space="0" w:color="auto"/>
              <w:right w:val="single" w:sz="4" w:space="0" w:color="auto"/>
            </w:tcBorders>
            <w:noWrap/>
            <w:vAlign w:val="center"/>
            <w:hideMark/>
          </w:tcPr>
          <w:p w14:paraId="71C87A6B" w14:textId="77777777" w:rsidR="00AC7CB0" w:rsidRPr="00FC1BBF" w:rsidRDefault="00AC7CB0" w:rsidP="00075B2F">
            <w:pPr>
              <w:pStyle w:val="tabele"/>
              <w:rPr>
                <w:b w:val="0"/>
                <w:bCs w:val="0"/>
                <w:lang w:val="en-GB"/>
              </w:rPr>
            </w:pPr>
            <w:r w:rsidRPr="00FC1BBF">
              <w:rPr>
                <w:b w:val="0"/>
                <w:bCs w:val="0"/>
                <w:lang w:val="en-GB"/>
              </w:rPr>
              <w:t>°C</w:t>
            </w:r>
          </w:p>
        </w:tc>
        <w:tc>
          <w:tcPr>
            <w:tcW w:w="794" w:type="dxa"/>
            <w:tcBorders>
              <w:top w:val="nil"/>
              <w:left w:val="nil"/>
              <w:bottom w:val="single" w:sz="8" w:space="0" w:color="auto"/>
              <w:right w:val="single" w:sz="4" w:space="0" w:color="auto"/>
            </w:tcBorders>
            <w:noWrap/>
            <w:vAlign w:val="center"/>
            <w:hideMark/>
          </w:tcPr>
          <w:p w14:paraId="330D6258" w14:textId="77777777" w:rsidR="00AC7CB0" w:rsidRPr="00FC1BBF" w:rsidRDefault="00AC7CB0" w:rsidP="00075B2F">
            <w:pPr>
              <w:pStyle w:val="tabele"/>
              <w:rPr>
                <w:b w:val="0"/>
                <w:bCs w:val="0"/>
                <w:lang w:val="en-GB"/>
              </w:rPr>
            </w:pPr>
            <w:r w:rsidRPr="00FC1BBF">
              <w:rPr>
                <w:b w:val="0"/>
                <w:bCs w:val="0"/>
                <w:lang w:val="en-GB"/>
              </w:rPr>
              <w:t>W/m</w:t>
            </w:r>
            <w:r w:rsidRPr="00FC1BBF">
              <w:rPr>
                <w:b w:val="0"/>
                <w:bCs w:val="0"/>
                <w:vertAlign w:val="superscript"/>
                <w:lang w:val="en-GB"/>
              </w:rPr>
              <w:t>2</w:t>
            </w:r>
          </w:p>
        </w:tc>
        <w:tc>
          <w:tcPr>
            <w:tcW w:w="645" w:type="dxa"/>
            <w:tcBorders>
              <w:top w:val="nil"/>
              <w:left w:val="nil"/>
              <w:bottom w:val="single" w:sz="8" w:space="0" w:color="auto"/>
              <w:right w:val="single" w:sz="8" w:space="0" w:color="auto"/>
            </w:tcBorders>
            <w:noWrap/>
            <w:vAlign w:val="center"/>
            <w:hideMark/>
          </w:tcPr>
          <w:p w14:paraId="23828D08" w14:textId="77777777" w:rsidR="00AC7CB0" w:rsidRPr="004D2B9A" w:rsidRDefault="00AC7CB0" w:rsidP="00075B2F">
            <w:pPr>
              <w:pStyle w:val="tabele"/>
              <w:rPr>
                <w:b w:val="0"/>
                <w:bCs w:val="0"/>
                <w:lang w:val="en-GB"/>
              </w:rPr>
            </w:pPr>
            <w:r w:rsidRPr="004D2B9A">
              <w:rPr>
                <w:b w:val="0"/>
                <w:bCs w:val="0"/>
                <w:lang w:val="en-GB"/>
              </w:rPr>
              <w:t>kWh</w:t>
            </w:r>
          </w:p>
        </w:tc>
        <w:tc>
          <w:tcPr>
            <w:tcW w:w="637" w:type="dxa"/>
            <w:gridSpan w:val="2"/>
            <w:tcBorders>
              <w:top w:val="nil"/>
              <w:left w:val="nil"/>
              <w:bottom w:val="nil"/>
              <w:right w:val="nil"/>
            </w:tcBorders>
            <w:noWrap/>
            <w:vAlign w:val="center"/>
            <w:hideMark/>
          </w:tcPr>
          <w:p w14:paraId="6269352F" w14:textId="77777777" w:rsidR="00AC7CB0" w:rsidRPr="004D2B9A" w:rsidRDefault="00AC7CB0" w:rsidP="00075B2F">
            <w:pPr>
              <w:pStyle w:val="tabele"/>
              <w:rPr>
                <w:b w:val="0"/>
                <w:bCs w:val="0"/>
                <w:lang w:val="en-GB"/>
              </w:rPr>
            </w:pPr>
          </w:p>
        </w:tc>
        <w:tc>
          <w:tcPr>
            <w:tcW w:w="847" w:type="dxa"/>
            <w:tcBorders>
              <w:top w:val="nil"/>
              <w:left w:val="nil"/>
              <w:bottom w:val="nil"/>
              <w:right w:val="nil"/>
            </w:tcBorders>
            <w:noWrap/>
            <w:vAlign w:val="center"/>
            <w:hideMark/>
          </w:tcPr>
          <w:p w14:paraId="792A3EA3" w14:textId="77777777" w:rsidR="00AC7CB0" w:rsidRPr="004D2B9A" w:rsidRDefault="00AC7CB0" w:rsidP="00075B2F">
            <w:pPr>
              <w:pStyle w:val="tabele"/>
              <w:rPr>
                <w:b w:val="0"/>
                <w:bCs w:val="0"/>
                <w:szCs w:val="20"/>
                <w:lang w:val="en-GB"/>
              </w:rPr>
            </w:pPr>
          </w:p>
        </w:tc>
        <w:tc>
          <w:tcPr>
            <w:tcW w:w="850" w:type="dxa"/>
            <w:gridSpan w:val="2"/>
            <w:tcBorders>
              <w:top w:val="nil"/>
              <w:left w:val="nil"/>
              <w:bottom w:val="nil"/>
              <w:right w:val="nil"/>
            </w:tcBorders>
            <w:noWrap/>
            <w:vAlign w:val="center"/>
            <w:hideMark/>
          </w:tcPr>
          <w:p w14:paraId="64B1E900" w14:textId="77777777" w:rsidR="00AC7CB0" w:rsidRPr="004D2B9A" w:rsidRDefault="00AC7CB0" w:rsidP="00075B2F">
            <w:pPr>
              <w:pStyle w:val="tabele"/>
              <w:rPr>
                <w:b w:val="0"/>
                <w:bCs w:val="0"/>
                <w:szCs w:val="20"/>
                <w:lang w:val="en-GB"/>
              </w:rPr>
            </w:pPr>
          </w:p>
        </w:tc>
        <w:tc>
          <w:tcPr>
            <w:tcW w:w="728" w:type="dxa"/>
            <w:tcBorders>
              <w:top w:val="nil"/>
              <w:left w:val="nil"/>
              <w:bottom w:val="nil"/>
              <w:right w:val="nil"/>
            </w:tcBorders>
            <w:noWrap/>
            <w:vAlign w:val="center"/>
            <w:hideMark/>
          </w:tcPr>
          <w:p w14:paraId="18449386" w14:textId="77777777" w:rsidR="00AC7CB0" w:rsidRPr="004D2B9A" w:rsidRDefault="00AC7CB0" w:rsidP="00075B2F">
            <w:pPr>
              <w:pStyle w:val="tabele"/>
              <w:rPr>
                <w:b w:val="0"/>
                <w:bCs w:val="0"/>
                <w:szCs w:val="20"/>
                <w:lang w:val="en-GB"/>
              </w:rPr>
            </w:pPr>
          </w:p>
        </w:tc>
      </w:tr>
      <w:tr w:rsidR="00AC7CB0" w:rsidRPr="004D2B9A" w14:paraId="4E1C61B7" w14:textId="77777777" w:rsidTr="00FC1BBF">
        <w:trPr>
          <w:trHeight w:val="300"/>
          <w:jc w:val="center"/>
        </w:trPr>
        <w:tc>
          <w:tcPr>
            <w:tcW w:w="727" w:type="dxa"/>
            <w:tcBorders>
              <w:top w:val="nil"/>
              <w:left w:val="single" w:sz="8" w:space="0" w:color="auto"/>
              <w:bottom w:val="single" w:sz="4" w:space="0" w:color="auto"/>
              <w:right w:val="single" w:sz="8" w:space="0" w:color="auto"/>
            </w:tcBorders>
            <w:noWrap/>
            <w:vAlign w:val="center"/>
            <w:hideMark/>
          </w:tcPr>
          <w:p w14:paraId="2E940882" w14:textId="77777777" w:rsidR="00AC7CB0" w:rsidRPr="004D2B9A" w:rsidRDefault="00AC7CB0" w:rsidP="00075B2F">
            <w:pPr>
              <w:pStyle w:val="tabele"/>
              <w:rPr>
                <w:b w:val="0"/>
                <w:bCs w:val="0"/>
                <w:lang w:val="en-GB"/>
              </w:rPr>
            </w:pPr>
            <w:r w:rsidRPr="004D2B9A">
              <w:rPr>
                <w:b w:val="0"/>
                <w:bCs w:val="0"/>
                <w:lang w:val="en-GB"/>
              </w:rPr>
              <w:t>I</w:t>
            </w:r>
          </w:p>
        </w:tc>
        <w:tc>
          <w:tcPr>
            <w:tcW w:w="709" w:type="dxa"/>
            <w:tcBorders>
              <w:top w:val="nil"/>
              <w:left w:val="nil"/>
              <w:bottom w:val="single" w:sz="4" w:space="0" w:color="auto"/>
              <w:right w:val="single" w:sz="4" w:space="0" w:color="auto"/>
            </w:tcBorders>
            <w:noWrap/>
            <w:vAlign w:val="center"/>
            <w:hideMark/>
          </w:tcPr>
          <w:p w14:paraId="001725C4" w14:textId="77777777" w:rsidR="00AC7CB0" w:rsidRPr="004D2B9A" w:rsidRDefault="00AC7CB0" w:rsidP="00075B2F">
            <w:pPr>
              <w:pStyle w:val="tabele"/>
              <w:rPr>
                <w:b w:val="0"/>
                <w:bCs w:val="0"/>
                <w:lang w:val="en-GB"/>
              </w:rPr>
            </w:pPr>
            <w:r w:rsidRPr="004D2B9A">
              <w:rPr>
                <w:b w:val="0"/>
                <w:bCs w:val="0"/>
                <w:lang w:val="en-GB"/>
              </w:rPr>
              <w:t>744</w:t>
            </w:r>
          </w:p>
        </w:tc>
        <w:tc>
          <w:tcPr>
            <w:tcW w:w="850" w:type="dxa"/>
            <w:tcBorders>
              <w:top w:val="nil"/>
              <w:left w:val="nil"/>
              <w:bottom w:val="single" w:sz="4" w:space="0" w:color="auto"/>
              <w:right w:val="single" w:sz="4" w:space="0" w:color="auto"/>
            </w:tcBorders>
            <w:noWrap/>
            <w:vAlign w:val="center"/>
            <w:hideMark/>
          </w:tcPr>
          <w:p w14:paraId="13108F12" w14:textId="269730F6" w:rsidR="00AC7CB0" w:rsidRPr="004D2B9A" w:rsidRDefault="00AC7CB0" w:rsidP="00075B2F">
            <w:pPr>
              <w:pStyle w:val="tabele"/>
              <w:rPr>
                <w:b w:val="0"/>
                <w:bCs w:val="0"/>
                <w:lang w:val="en-GB"/>
              </w:rPr>
            </w:pPr>
            <w:r w:rsidRPr="004D2B9A">
              <w:rPr>
                <w:b w:val="0"/>
                <w:bCs w:val="0"/>
                <w:lang w:val="en-GB"/>
              </w:rPr>
              <w:t>-4</w:t>
            </w:r>
            <w:r w:rsidR="00602613">
              <w:rPr>
                <w:b w:val="0"/>
                <w:bCs w:val="0"/>
                <w:lang w:val="en-GB"/>
              </w:rPr>
              <w:t>.</w:t>
            </w:r>
            <w:r w:rsidRPr="004D2B9A">
              <w:rPr>
                <w:b w:val="0"/>
                <w:bCs w:val="0"/>
                <w:lang w:val="en-GB"/>
              </w:rPr>
              <w:t>9</w:t>
            </w:r>
          </w:p>
        </w:tc>
        <w:tc>
          <w:tcPr>
            <w:tcW w:w="851" w:type="dxa"/>
            <w:tcBorders>
              <w:top w:val="nil"/>
              <w:left w:val="nil"/>
              <w:bottom w:val="single" w:sz="4" w:space="0" w:color="auto"/>
              <w:right w:val="single" w:sz="4" w:space="0" w:color="auto"/>
            </w:tcBorders>
            <w:noWrap/>
            <w:vAlign w:val="center"/>
            <w:hideMark/>
          </w:tcPr>
          <w:p w14:paraId="7D4D6839" w14:textId="77777777" w:rsidR="00AC7CB0" w:rsidRPr="004D2B9A" w:rsidRDefault="00AC7CB0" w:rsidP="00075B2F">
            <w:pPr>
              <w:pStyle w:val="tabele"/>
              <w:rPr>
                <w:b w:val="0"/>
                <w:bCs w:val="0"/>
                <w:lang w:val="en-GB"/>
              </w:rPr>
            </w:pPr>
            <w:r w:rsidRPr="004D2B9A">
              <w:rPr>
                <w:b w:val="0"/>
                <w:bCs w:val="0"/>
                <w:lang w:val="en-GB"/>
              </w:rPr>
              <w:t>28</w:t>
            </w:r>
          </w:p>
        </w:tc>
        <w:tc>
          <w:tcPr>
            <w:tcW w:w="708" w:type="dxa"/>
            <w:tcBorders>
              <w:top w:val="nil"/>
              <w:left w:val="nil"/>
              <w:bottom w:val="single" w:sz="4" w:space="0" w:color="auto"/>
              <w:right w:val="single" w:sz="8" w:space="0" w:color="auto"/>
            </w:tcBorders>
            <w:noWrap/>
            <w:vAlign w:val="center"/>
            <w:hideMark/>
          </w:tcPr>
          <w:p w14:paraId="1DA45388" w14:textId="03C1B02F" w:rsidR="00AC7CB0" w:rsidRPr="004D2B9A" w:rsidRDefault="00AC7CB0" w:rsidP="00075B2F">
            <w:pPr>
              <w:pStyle w:val="tabele"/>
              <w:rPr>
                <w:b w:val="0"/>
                <w:bCs w:val="0"/>
                <w:lang w:val="en-GB"/>
              </w:rPr>
            </w:pPr>
            <w:r w:rsidRPr="004D2B9A">
              <w:rPr>
                <w:b w:val="0"/>
                <w:bCs w:val="0"/>
                <w:lang w:val="en-GB"/>
              </w:rPr>
              <w:t>2</w:t>
            </w:r>
            <w:r w:rsidR="00B96CCF" w:rsidRPr="004D2B9A">
              <w:rPr>
                <w:b w:val="0"/>
                <w:bCs w:val="0"/>
                <w:lang w:val="en-GB"/>
              </w:rPr>
              <w:t xml:space="preserve"> </w:t>
            </w:r>
            <w:r w:rsidRPr="004D2B9A">
              <w:rPr>
                <w:b w:val="0"/>
                <w:bCs w:val="0"/>
                <w:lang w:val="en-GB"/>
              </w:rPr>
              <w:t>383</w:t>
            </w:r>
          </w:p>
        </w:tc>
        <w:tc>
          <w:tcPr>
            <w:tcW w:w="567" w:type="dxa"/>
            <w:tcBorders>
              <w:top w:val="nil"/>
              <w:left w:val="nil"/>
              <w:bottom w:val="single" w:sz="4" w:space="0" w:color="auto"/>
              <w:right w:val="single" w:sz="4" w:space="0" w:color="auto"/>
            </w:tcBorders>
            <w:noWrap/>
            <w:vAlign w:val="center"/>
            <w:hideMark/>
          </w:tcPr>
          <w:p w14:paraId="44253D61" w14:textId="77777777" w:rsidR="00AC7CB0" w:rsidRPr="004D2B9A" w:rsidRDefault="00AC7CB0" w:rsidP="00075B2F">
            <w:pPr>
              <w:pStyle w:val="tabele"/>
              <w:rPr>
                <w:b w:val="0"/>
                <w:bCs w:val="0"/>
                <w:lang w:val="en-GB"/>
              </w:rPr>
            </w:pPr>
            <w:r w:rsidRPr="004D2B9A">
              <w:rPr>
                <w:b w:val="0"/>
                <w:bCs w:val="0"/>
                <w:lang w:val="en-GB"/>
              </w:rPr>
              <w:t>744</w:t>
            </w:r>
          </w:p>
        </w:tc>
        <w:tc>
          <w:tcPr>
            <w:tcW w:w="887" w:type="dxa"/>
            <w:tcBorders>
              <w:top w:val="nil"/>
              <w:left w:val="nil"/>
              <w:bottom w:val="single" w:sz="4" w:space="0" w:color="auto"/>
              <w:right w:val="single" w:sz="4" w:space="0" w:color="auto"/>
            </w:tcBorders>
            <w:noWrap/>
            <w:vAlign w:val="center"/>
            <w:hideMark/>
          </w:tcPr>
          <w:p w14:paraId="63B09C2F" w14:textId="594EA74F" w:rsidR="00AC7CB0" w:rsidRPr="00FC1BBF" w:rsidRDefault="00AC7CB0" w:rsidP="00075B2F">
            <w:pPr>
              <w:pStyle w:val="tabele"/>
              <w:rPr>
                <w:b w:val="0"/>
                <w:bCs w:val="0"/>
                <w:lang w:val="en-GB"/>
              </w:rPr>
            </w:pPr>
            <w:r w:rsidRPr="00FC1BBF">
              <w:rPr>
                <w:b w:val="0"/>
                <w:bCs w:val="0"/>
                <w:lang w:val="en-GB"/>
              </w:rPr>
              <w:t>-5</w:t>
            </w:r>
            <w:r w:rsidR="00602613">
              <w:rPr>
                <w:b w:val="0"/>
                <w:bCs w:val="0"/>
                <w:lang w:val="en-GB"/>
              </w:rPr>
              <w:t>.</w:t>
            </w:r>
            <w:r w:rsidRPr="00FC1BBF">
              <w:rPr>
                <w:b w:val="0"/>
                <w:bCs w:val="0"/>
                <w:lang w:val="en-GB"/>
              </w:rPr>
              <w:t>3</w:t>
            </w:r>
          </w:p>
        </w:tc>
        <w:tc>
          <w:tcPr>
            <w:tcW w:w="794" w:type="dxa"/>
            <w:tcBorders>
              <w:top w:val="nil"/>
              <w:left w:val="nil"/>
              <w:bottom w:val="single" w:sz="4" w:space="0" w:color="auto"/>
              <w:right w:val="single" w:sz="4" w:space="0" w:color="auto"/>
            </w:tcBorders>
            <w:noWrap/>
            <w:vAlign w:val="center"/>
            <w:hideMark/>
          </w:tcPr>
          <w:p w14:paraId="0964B123" w14:textId="77777777" w:rsidR="00AC7CB0" w:rsidRPr="00FC1BBF" w:rsidRDefault="00AC7CB0" w:rsidP="00075B2F">
            <w:pPr>
              <w:pStyle w:val="tabele"/>
              <w:rPr>
                <w:b w:val="0"/>
                <w:bCs w:val="0"/>
                <w:lang w:val="en-GB"/>
              </w:rPr>
            </w:pPr>
            <w:r w:rsidRPr="00FC1BBF">
              <w:rPr>
                <w:b w:val="0"/>
                <w:bCs w:val="0"/>
                <w:lang w:val="en-GB"/>
              </w:rPr>
              <w:t>28</w:t>
            </w:r>
          </w:p>
        </w:tc>
        <w:tc>
          <w:tcPr>
            <w:tcW w:w="645" w:type="dxa"/>
            <w:tcBorders>
              <w:top w:val="nil"/>
              <w:left w:val="nil"/>
              <w:bottom w:val="single" w:sz="4" w:space="0" w:color="auto"/>
              <w:right w:val="single" w:sz="8" w:space="0" w:color="auto"/>
            </w:tcBorders>
            <w:noWrap/>
            <w:vAlign w:val="center"/>
            <w:hideMark/>
          </w:tcPr>
          <w:p w14:paraId="76EC3B11" w14:textId="1EDBE78C" w:rsidR="00AC7CB0" w:rsidRPr="004D2B9A" w:rsidRDefault="00AC7CB0" w:rsidP="00075B2F">
            <w:pPr>
              <w:pStyle w:val="tabele"/>
              <w:rPr>
                <w:b w:val="0"/>
                <w:bCs w:val="0"/>
                <w:lang w:val="en-GB"/>
              </w:rPr>
            </w:pPr>
            <w:r w:rsidRPr="004D2B9A">
              <w:rPr>
                <w:b w:val="0"/>
                <w:bCs w:val="0"/>
                <w:lang w:val="en-GB"/>
              </w:rPr>
              <w:t>2</w:t>
            </w:r>
            <w:r w:rsidR="00B96CCF" w:rsidRPr="004D2B9A">
              <w:rPr>
                <w:b w:val="0"/>
                <w:bCs w:val="0"/>
                <w:lang w:val="en-GB"/>
              </w:rPr>
              <w:t xml:space="preserve"> </w:t>
            </w:r>
            <w:r w:rsidRPr="004D2B9A">
              <w:rPr>
                <w:b w:val="0"/>
                <w:bCs w:val="0"/>
                <w:lang w:val="en-GB"/>
              </w:rPr>
              <w:t>458</w:t>
            </w:r>
          </w:p>
        </w:tc>
        <w:tc>
          <w:tcPr>
            <w:tcW w:w="637" w:type="dxa"/>
            <w:gridSpan w:val="2"/>
            <w:tcBorders>
              <w:top w:val="nil"/>
              <w:left w:val="nil"/>
              <w:bottom w:val="nil"/>
              <w:right w:val="nil"/>
            </w:tcBorders>
            <w:noWrap/>
            <w:vAlign w:val="center"/>
            <w:hideMark/>
          </w:tcPr>
          <w:p w14:paraId="5FA2F395" w14:textId="77777777" w:rsidR="00AC7CB0" w:rsidRPr="004D2B9A" w:rsidRDefault="00AC7CB0" w:rsidP="00075B2F">
            <w:pPr>
              <w:pStyle w:val="tabele"/>
              <w:rPr>
                <w:b w:val="0"/>
                <w:bCs w:val="0"/>
                <w:lang w:val="en-GB"/>
              </w:rPr>
            </w:pPr>
          </w:p>
        </w:tc>
        <w:tc>
          <w:tcPr>
            <w:tcW w:w="847" w:type="dxa"/>
            <w:tcBorders>
              <w:top w:val="nil"/>
              <w:left w:val="nil"/>
              <w:bottom w:val="nil"/>
              <w:right w:val="nil"/>
            </w:tcBorders>
            <w:noWrap/>
            <w:vAlign w:val="center"/>
            <w:hideMark/>
          </w:tcPr>
          <w:p w14:paraId="09679770" w14:textId="77777777" w:rsidR="00AC7CB0" w:rsidRPr="004D2B9A" w:rsidRDefault="00AC7CB0" w:rsidP="00075B2F">
            <w:pPr>
              <w:pStyle w:val="tabele"/>
              <w:rPr>
                <w:b w:val="0"/>
                <w:bCs w:val="0"/>
                <w:szCs w:val="20"/>
                <w:lang w:val="en-GB"/>
              </w:rPr>
            </w:pPr>
          </w:p>
        </w:tc>
        <w:tc>
          <w:tcPr>
            <w:tcW w:w="850" w:type="dxa"/>
            <w:gridSpan w:val="2"/>
            <w:tcBorders>
              <w:top w:val="nil"/>
              <w:left w:val="nil"/>
              <w:bottom w:val="nil"/>
              <w:right w:val="nil"/>
            </w:tcBorders>
            <w:noWrap/>
            <w:vAlign w:val="center"/>
            <w:hideMark/>
          </w:tcPr>
          <w:p w14:paraId="66296446" w14:textId="77777777" w:rsidR="00AC7CB0" w:rsidRPr="004D2B9A" w:rsidRDefault="00AC7CB0" w:rsidP="00075B2F">
            <w:pPr>
              <w:pStyle w:val="tabele"/>
              <w:rPr>
                <w:b w:val="0"/>
                <w:bCs w:val="0"/>
                <w:szCs w:val="20"/>
                <w:lang w:val="en-GB"/>
              </w:rPr>
            </w:pPr>
          </w:p>
        </w:tc>
        <w:tc>
          <w:tcPr>
            <w:tcW w:w="728" w:type="dxa"/>
            <w:tcBorders>
              <w:top w:val="nil"/>
              <w:left w:val="nil"/>
              <w:bottom w:val="nil"/>
              <w:right w:val="nil"/>
            </w:tcBorders>
            <w:noWrap/>
            <w:vAlign w:val="center"/>
            <w:hideMark/>
          </w:tcPr>
          <w:p w14:paraId="5CF8C14C" w14:textId="77777777" w:rsidR="00AC7CB0" w:rsidRPr="004D2B9A" w:rsidRDefault="00AC7CB0" w:rsidP="00075B2F">
            <w:pPr>
              <w:pStyle w:val="tabele"/>
              <w:rPr>
                <w:b w:val="0"/>
                <w:bCs w:val="0"/>
                <w:szCs w:val="20"/>
                <w:lang w:val="en-GB"/>
              </w:rPr>
            </w:pPr>
          </w:p>
        </w:tc>
      </w:tr>
      <w:tr w:rsidR="00AC7CB0" w:rsidRPr="004D2B9A" w14:paraId="31718B3F" w14:textId="77777777" w:rsidTr="00FC1BBF">
        <w:trPr>
          <w:trHeight w:val="300"/>
          <w:jc w:val="center"/>
        </w:trPr>
        <w:tc>
          <w:tcPr>
            <w:tcW w:w="727" w:type="dxa"/>
            <w:tcBorders>
              <w:top w:val="nil"/>
              <w:left w:val="single" w:sz="8" w:space="0" w:color="auto"/>
              <w:bottom w:val="single" w:sz="4" w:space="0" w:color="auto"/>
              <w:right w:val="single" w:sz="8" w:space="0" w:color="auto"/>
            </w:tcBorders>
            <w:noWrap/>
            <w:vAlign w:val="center"/>
            <w:hideMark/>
          </w:tcPr>
          <w:p w14:paraId="31DD92E8" w14:textId="77777777" w:rsidR="00AC7CB0" w:rsidRPr="004D2B9A" w:rsidRDefault="00AC7CB0" w:rsidP="00075B2F">
            <w:pPr>
              <w:pStyle w:val="tabele"/>
              <w:rPr>
                <w:b w:val="0"/>
                <w:bCs w:val="0"/>
                <w:lang w:val="en-GB"/>
              </w:rPr>
            </w:pPr>
            <w:r w:rsidRPr="004D2B9A">
              <w:rPr>
                <w:b w:val="0"/>
                <w:bCs w:val="0"/>
                <w:lang w:val="en-GB"/>
              </w:rPr>
              <w:t>II</w:t>
            </w:r>
          </w:p>
        </w:tc>
        <w:tc>
          <w:tcPr>
            <w:tcW w:w="709" w:type="dxa"/>
            <w:tcBorders>
              <w:top w:val="nil"/>
              <w:left w:val="nil"/>
              <w:bottom w:val="single" w:sz="4" w:space="0" w:color="auto"/>
              <w:right w:val="single" w:sz="4" w:space="0" w:color="auto"/>
            </w:tcBorders>
            <w:noWrap/>
            <w:vAlign w:val="center"/>
            <w:hideMark/>
          </w:tcPr>
          <w:p w14:paraId="1C599790" w14:textId="77777777" w:rsidR="00AC7CB0" w:rsidRPr="004D2B9A" w:rsidRDefault="00AC7CB0" w:rsidP="00075B2F">
            <w:pPr>
              <w:pStyle w:val="tabele"/>
              <w:rPr>
                <w:b w:val="0"/>
                <w:bCs w:val="0"/>
                <w:lang w:val="en-GB"/>
              </w:rPr>
            </w:pPr>
            <w:r w:rsidRPr="004D2B9A">
              <w:rPr>
                <w:b w:val="0"/>
                <w:bCs w:val="0"/>
                <w:lang w:val="en-GB"/>
              </w:rPr>
              <w:t>672</w:t>
            </w:r>
          </w:p>
        </w:tc>
        <w:tc>
          <w:tcPr>
            <w:tcW w:w="850" w:type="dxa"/>
            <w:tcBorders>
              <w:top w:val="nil"/>
              <w:left w:val="nil"/>
              <w:bottom w:val="single" w:sz="4" w:space="0" w:color="auto"/>
              <w:right w:val="single" w:sz="4" w:space="0" w:color="auto"/>
            </w:tcBorders>
            <w:noWrap/>
            <w:vAlign w:val="center"/>
            <w:hideMark/>
          </w:tcPr>
          <w:p w14:paraId="34183B84" w14:textId="1659661D" w:rsidR="00AC7CB0" w:rsidRPr="004D2B9A" w:rsidRDefault="00AC7CB0" w:rsidP="00075B2F">
            <w:pPr>
              <w:pStyle w:val="tabele"/>
              <w:rPr>
                <w:b w:val="0"/>
                <w:bCs w:val="0"/>
                <w:lang w:val="en-GB"/>
              </w:rPr>
            </w:pPr>
            <w:r w:rsidRPr="004D2B9A">
              <w:rPr>
                <w:b w:val="0"/>
                <w:bCs w:val="0"/>
                <w:lang w:val="en-GB"/>
              </w:rPr>
              <w:t>-2</w:t>
            </w:r>
            <w:r w:rsidR="00602613">
              <w:rPr>
                <w:b w:val="0"/>
                <w:bCs w:val="0"/>
                <w:lang w:val="en-GB"/>
              </w:rPr>
              <w:t>.</w:t>
            </w:r>
            <w:r w:rsidRPr="004D2B9A">
              <w:rPr>
                <w:b w:val="0"/>
                <w:bCs w:val="0"/>
                <w:lang w:val="en-GB"/>
              </w:rPr>
              <w:t>0</w:t>
            </w:r>
          </w:p>
        </w:tc>
        <w:tc>
          <w:tcPr>
            <w:tcW w:w="851" w:type="dxa"/>
            <w:tcBorders>
              <w:top w:val="nil"/>
              <w:left w:val="nil"/>
              <w:bottom w:val="single" w:sz="4" w:space="0" w:color="auto"/>
              <w:right w:val="single" w:sz="4" w:space="0" w:color="auto"/>
            </w:tcBorders>
            <w:noWrap/>
            <w:vAlign w:val="center"/>
            <w:hideMark/>
          </w:tcPr>
          <w:p w14:paraId="20B00661" w14:textId="77777777" w:rsidR="00AC7CB0" w:rsidRPr="004D2B9A" w:rsidRDefault="00AC7CB0" w:rsidP="00075B2F">
            <w:pPr>
              <w:pStyle w:val="tabele"/>
              <w:rPr>
                <w:b w:val="0"/>
                <w:bCs w:val="0"/>
                <w:lang w:val="en-GB"/>
              </w:rPr>
            </w:pPr>
            <w:r w:rsidRPr="004D2B9A">
              <w:rPr>
                <w:b w:val="0"/>
                <w:bCs w:val="0"/>
                <w:lang w:val="en-GB"/>
              </w:rPr>
              <w:t>41</w:t>
            </w:r>
          </w:p>
        </w:tc>
        <w:tc>
          <w:tcPr>
            <w:tcW w:w="708" w:type="dxa"/>
            <w:tcBorders>
              <w:top w:val="nil"/>
              <w:left w:val="nil"/>
              <w:bottom w:val="single" w:sz="4" w:space="0" w:color="auto"/>
              <w:right w:val="single" w:sz="8" w:space="0" w:color="auto"/>
            </w:tcBorders>
            <w:noWrap/>
            <w:vAlign w:val="center"/>
            <w:hideMark/>
          </w:tcPr>
          <w:p w14:paraId="1BF17F66" w14:textId="65EF8C4C"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825</w:t>
            </w:r>
          </w:p>
        </w:tc>
        <w:tc>
          <w:tcPr>
            <w:tcW w:w="567" w:type="dxa"/>
            <w:tcBorders>
              <w:top w:val="nil"/>
              <w:left w:val="nil"/>
              <w:bottom w:val="single" w:sz="4" w:space="0" w:color="auto"/>
              <w:right w:val="single" w:sz="4" w:space="0" w:color="auto"/>
            </w:tcBorders>
            <w:noWrap/>
            <w:vAlign w:val="center"/>
            <w:hideMark/>
          </w:tcPr>
          <w:p w14:paraId="1AB11C76" w14:textId="77777777" w:rsidR="00AC7CB0" w:rsidRPr="004D2B9A" w:rsidRDefault="00AC7CB0" w:rsidP="00075B2F">
            <w:pPr>
              <w:pStyle w:val="tabele"/>
              <w:rPr>
                <w:b w:val="0"/>
                <w:bCs w:val="0"/>
                <w:lang w:val="en-GB"/>
              </w:rPr>
            </w:pPr>
            <w:r w:rsidRPr="004D2B9A">
              <w:rPr>
                <w:b w:val="0"/>
                <w:bCs w:val="0"/>
                <w:lang w:val="en-GB"/>
              </w:rPr>
              <w:t>672</w:t>
            </w:r>
          </w:p>
        </w:tc>
        <w:tc>
          <w:tcPr>
            <w:tcW w:w="887" w:type="dxa"/>
            <w:tcBorders>
              <w:top w:val="nil"/>
              <w:left w:val="nil"/>
              <w:bottom w:val="single" w:sz="4" w:space="0" w:color="auto"/>
              <w:right w:val="single" w:sz="4" w:space="0" w:color="auto"/>
            </w:tcBorders>
            <w:noWrap/>
            <w:vAlign w:val="center"/>
            <w:hideMark/>
          </w:tcPr>
          <w:p w14:paraId="179D9B62" w14:textId="68DD90EE" w:rsidR="00AC7CB0" w:rsidRPr="00FC1BBF" w:rsidRDefault="00AC7CB0" w:rsidP="00075B2F">
            <w:pPr>
              <w:pStyle w:val="tabele"/>
              <w:rPr>
                <w:b w:val="0"/>
                <w:bCs w:val="0"/>
                <w:lang w:val="en-GB"/>
              </w:rPr>
            </w:pPr>
            <w:r w:rsidRPr="00FC1BBF">
              <w:rPr>
                <w:b w:val="0"/>
                <w:bCs w:val="0"/>
                <w:lang w:val="en-GB"/>
              </w:rPr>
              <w:t>-4</w:t>
            </w:r>
            <w:r w:rsidR="00602613">
              <w:rPr>
                <w:b w:val="0"/>
                <w:bCs w:val="0"/>
                <w:lang w:val="en-GB"/>
              </w:rPr>
              <w:t>.</w:t>
            </w:r>
            <w:r w:rsidRPr="00FC1BBF">
              <w:rPr>
                <w:b w:val="0"/>
                <w:bCs w:val="0"/>
                <w:lang w:val="en-GB"/>
              </w:rPr>
              <w:t>9</w:t>
            </w:r>
          </w:p>
        </w:tc>
        <w:tc>
          <w:tcPr>
            <w:tcW w:w="794" w:type="dxa"/>
            <w:tcBorders>
              <w:top w:val="nil"/>
              <w:left w:val="nil"/>
              <w:bottom w:val="single" w:sz="4" w:space="0" w:color="auto"/>
              <w:right w:val="single" w:sz="4" w:space="0" w:color="auto"/>
            </w:tcBorders>
            <w:noWrap/>
            <w:vAlign w:val="center"/>
            <w:hideMark/>
          </w:tcPr>
          <w:p w14:paraId="145EC124" w14:textId="77777777" w:rsidR="00AC7CB0" w:rsidRPr="00FC1BBF" w:rsidRDefault="00AC7CB0" w:rsidP="00075B2F">
            <w:pPr>
              <w:pStyle w:val="tabele"/>
              <w:rPr>
                <w:b w:val="0"/>
                <w:bCs w:val="0"/>
                <w:lang w:val="en-GB"/>
              </w:rPr>
            </w:pPr>
            <w:r w:rsidRPr="00FC1BBF">
              <w:rPr>
                <w:b w:val="0"/>
                <w:bCs w:val="0"/>
                <w:lang w:val="en-GB"/>
              </w:rPr>
              <w:t>42</w:t>
            </w:r>
          </w:p>
        </w:tc>
        <w:tc>
          <w:tcPr>
            <w:tcW w:w="645" w:type="dxa"/>
            <w:tcBorders>
              <w:top w:val="nil"/>
              <w:left w:val="nil"/>
              <w:bottom w:val="single" w:sz="4" w:space="0" w:color="auto"/>
              <w:right w:val="single" w:sz="8" w:space="0" w:color="auto"/>
            </w:tcBorders>
            <w:noWrap/>
            <w:vAlign w:val="center"/>
            <w:hideMark/>
          </w:tcPr>
          <w:p w14:paraId="122440F2" w14:textId="65AA0895" w:rsidR="00AC7CB0" w:rsidRPr="004D2B9A" w:rsidRDefault="00AC7CB0" w:rsidP="00075B2F">
            <w:pPr>
              <w:pStyle w:val="tabele"/>
              <w:rPr>
                <w:b w:val="0"/>
                <w:bCs w:val="0"/>
                <w:lang w:val="en-GB"/>
              </w:rPr>
            </w:pPr>
            <w:r w:rsidRPr="004D2B9A">
              <w:rPr>
                <w:b w:val="0"/>
                <w:bCs w:val="0"/>
                <w:lang w:val="en-GB"/>
              </w:rPr>
              <w:t>2</w:t>
            </w:r>
            <w:r w:rsidR="00B96CCF" w:rsidRPr="004D2B9A">
              <w:rPr>
                <w:b w:val="0"/>
                <w:bCs w:val="0"/>
                <w:lang w:val="en-GB"/>
              </w:rPr>
              <w:t xml:space="preserve"> </w:t>
            </w:r>
            <w:r w:rsidRPr="004D2B9A">
              <w:rPr>
                <w:b w:val="0"/>
                <w:bCs w:val="0"/>
                <w:lang w:val="en-GB"/>
              </w:rPr>
              <w:t>098</w:t>
            </w:r>
          </w:p>
        </w:tc>
        <w:tc>
          <w:tcPr>
            <w:tcW w:w="637" w:type="dxa"/>
            <w:gridSpan w:val="2"/>
            <w:tcBorders>
              <w:top w:val="nil"/>
              <w:left w:val="nil"/>
              <w:bottom w:val="nil"/>
              <w:right w:val="nil"/>
            </w:tcBorders>
            <w:noWrap/>
            <w:vAlign w:val="center"/>
            <w:hideMark/>
          </w:tcPr>
          <w:p w14:paraId="13DC469A" w14:textId="77777777" w:rsidR="00AC7CB0" w:rsidRPr="004D2B9A" w:rsidRDefault="00AC7CB0" w:rsidP="00075B2F">
            <w:pPr>
              <w:pStyle w:val="tabele"/>
              <w:rPr>
                <w:b w:val="0"/>
                <w:bCs w:val="0"/>
                <w:lang w:val="en-GB"/>
              </w:rPr>
            </w:pPr>
          </w:p>
        </w:tc>
        <w:tc>
          <w:tcPr>
            <w:tcW w:w="847" w:type="dxa"/>
            <w:tcBorders>
              <w:top w:val="nil"/>
              <w:left w:val="nil"/>
              <w:bottom w:val="nil"/>
              <w:right w:val="nil"/>
            </w:tcBorders>
            <w:noWrap/>
            <w:vAlign w:val="center"/>
            <w:hideMark/>
          </w:tcPr>
          <w:p w14:paraId="048D4EC0" w14:textId="77777777" w:rsidR="00AC7CB0" w:rsidRPr="004D2B9A" w:rsidRDefault="00AC7CB0" w:rsidP="00075B2F">
            <w:pPr>
              <w:pStyle w:val="tabele"/>
              <w:rPr>
                <w:b w:val="0"/>
                <w:bCs w:val="0"/>
                <w:szCs w:val="20"/>
                <w:lang w:val="en-GB"/>
              </w:rPr>
            </w:pPr>
          </w:p>
        </w:tc>
        <w:tc>
          <w:tcPr>
            <w:tcW w:w="850" w:type="dxa"/>
            <w:gridSpan w:val="2"/>
            <w:tcBorders>
              <w:top w:val="nil"/>
              <w:left w:val="nil"/>
              <w:bottom w:val="nil"/>
              <w:right w:val="nil"/>
            </w:tcBorders>
            <w:noWrap/>
            <w:vAlign w:val="center"/>
            <w:hideMark/>
          </w:tcPr>
          <w:p w14:paraId="3C12D632" w14:textId="77777777" w:rsidR="00AC7CB0" w:rsidRPr="004D2B9A" w:rsidRDefault="00AC7CB0" w:rsidP="00075B2F">
            <w:pPr>
              <w:pStyle w:val="tabele"/>
              <w:rPr>
                <w:b w:val="0"/>
                <w:bCs w:val="0"/>
                <w:szCs w:val="20"/>
                <w:lang w:val="en-GB"/>
              </w:rPr>
            </w:pPr>
          </w:p>
        </w:tc>
        <w:tc>
          <w:tcPr>
            <w:tcW w:w="728" w:type="dxa"/>
            <w:tcBorders>
              <w:top w:val="nil"/>
              <w:left w:val="nil"/>
              <w:bottom w:val="nil"/>
              <w:right w:val="nil"/>
            </w:tcBorders>
            <w:noWrap/>
            <w:vAlign w:val="center"/>
            <w:hideMark/>
          </w:tcPr>
          <w:p w14:paraId="39B009B7" w14:textId="77777777" w:rsidR="00AC7CB0" w:rsidRPr="004D2B9A" w:rsidRDefault="00AC7CB0" w:rsidP="00075B2F">
            <w:pPr>
              <w:pStyle w:val="tabele"/>
              <w:rPr>
                <w:b w:val="0"/>
                <w:bCs w:val="0"/>
                <w:szCs w:val="20"/>
                <w:lang w:val="en-GB"/>
              </w:rPr>
            </w:pPr>
          </w:p>
        </w:tc>
      </w:tr>
      <w:tr w:rsidR="00AC7CB0" w:rsidRPr="004D2B9A" w14:paraId="631EBA37" w14:textId="77777777" w:rsidTr="00FC1BBF">
        <w:trPr>
          <w:trHeight w:val="300"/>
          <w:jc w:val="center"/>
        </w:trPr>
        <w:tc>
          <w:tcPr>
            <w:tcW w:w="727" w:type="dxa"/>
            <w:tcBorders>
              <w:top w:val="nil"/>
              <w:left w:val="single" w:sz="8" w:space="0" w:color="auto"/>
              <w:bottom w:val="single" w:sz="4" w:space="0" w:color="auto"/>
              <w:right w:val="single" w:sz="8" w:space="0" w:color="auto"/>
            </w:tcBorders>
            <w:noWrap/>
            <w:vAlign w:val="center"/>
            <w:hideMark/>
          </w:tcPr>
          <w:p w14:paraId="6BF7BA96" w14:textId="77777777" w:rsidR="00AC7CB0" w:rsidRPr="004D2B9A" w:rsidRDefault="00AC7CB0" w:rsidP="00075B2F">
            <w:pPr>
              <w:pStyle w:val="tabele"/>
              <w:rPr>
                <w:b w:val="0"/>
                <w:bCs w:val="0"/>
                <w:lang w:val="en-GB"/>
              </w:rPr>
            </w:pPr>
            <w:r w:rsidRPr="004D2B9A">
              <w:rPr>
                <w:b w:val="0"/>
                <w:bCs w:val="0"/>
                <w:lang w:val="en-GB"/>
              </w:rPr>
              <w:t>III</w:t>
            </w:r>
          </w:p>
        </w:tc>
        <w:tc>
          <w:tcPr>
            <w:tcW w:w="709" w:type="dxa"/>
            <w:tcBorders>
              <w:top w:val="nil"/>
              <w:left w:val="nil"/>
              <w:bottom w:val="single" w:sz="4" w:space="0" w:color="auto"/>
              <w:right w:val="single" w:sz="4" w:space="0" w:color="auto"/>
            </w:tcBorders>
            <w:noWrap/>
            <w:vAlign w:val="center"/>
            <w:hideMark/>
          </w:tcPr>
          <w:p w14:paraId="19BE105E" w14:textId="77777777" w:rsidR="00AC7CB0" w:rsidRPr="004D2B9A" w:rsidRDefault="00AC7CB0" w:rsidP="00075B2F">
            <w:pPr>
              <w:pStyle w:val="tabele"/>
              <w:rPr>
                <w:b w:val="0"/>
                <w:bCs w:val="0"/>
                <w:lang w:val="en-GB"/>
              </w:rPr>
            </w:pPr>
            <w:r w:rsidRPr="004D2B9A">
              <w:rPr>
                <w:b w:val="0"/>
                <w:bCs w:val="0"/>
                <w:lang w:val="en-GB"/>
              </w:rPr>
              <w:t>738</w:t>
            </w:r>
          </w:p>
        </w:tc>
        <w:tc>
          <w:tcPr>
            <w:tcW w:w="850" w:type="dxa"/>
            <w:tcBorders>
              <w:top w:val="nil"/>
              <w:left w:val="nil"/>
              <w:bottom w:val="single" w:sz="4" w:space="0" w:color="auto"/>
              <w:right w:val="single" w:sz="4" w:space="0" w:color="auto"/>
            </w:tcBorders>
            <w:noWrap/>
            <w:vAlign w:val="center"/>
            <w:hideMark/>
          </w:tcPr>
          <w:p w14:paraId="2B86B400" w14:textId="1EF5D1B8" w:rsidR="00AC7CB0" w:rsidRPr="004D2B9A" w:rsidRDefault="00AC7CB0" w:rsidP="00075B2F">
            <w:pPr>
              <w:pStyle w:val="tabele"/>
              <w:rPr>
                <w:b w:val="0"/>
                <w:bCs w:val="0"/>
                <w:lang w:val="en-GB"/>
              </w:rPr>
            </w:pPr>
            <w:r w:rsidRPr="004D2B9A">
              <w:rPr>
                <w:b w:val="0"/>
                <w:bCs w:val="0"/>
                <w:lang w:val="en-GB"/>
              </w:rPr>
              <w:t>1</w:t>
            </w:r>
            <w:r w:rsidR="00602613">
              <w:rPr>
                <w:b w:val="0"/>
                <w:bCs w:val="0"/>
                <w:lang w:val="en-GB"/>
              </w:rPr>
              <w:t>.</w:t>
            </w:r>
            <w:r w:rsidRPr="004D2B9A">
              <w:rPr>
                <w:b w:val="0"/>
                <w:bCs w:val="0"/>
                <w:lang w:val="en-GB"/>
              </w:rPr>
              <w:t>6</w:t>
            </w:r>
          </w:p>
        </w:tc>
        <w:tc>
          <w:tcPr>
            <w:tcW w:w="851" w:type="dxa"/>
            <w:tcBorders>
              <w:top w:val="nil"/>
              <w:left w:val="nil"/>
              <w:bottom w:val="single" w:sz="4" w:space="0" w:color="auto"/>
              <w:right w:val="single" w:sz="4" w:space="0" w:color="auto"/>
            </w:tcBorders>
            <w:noWrap/>
            <w:vAlign w:val="center"/>
            <w:hideMark/>
          </w:tcPr>
          <w:p w14:paraId="69B43346" w14:textId="77777777" w:rsidR="00AC7CB0" w:rsidRPr="004D2B9A" w:rsidRDefault="00AC7CB0" w:rsidP="00075B2F">
            <w:pPr>
              <w:pStyle w:val="tabele"/>
              <w:rPr>
                <w:b w:val="0"/>
                <w:bCs w:val="0"/>
                <w:lang w:val="en-GB"/>
              </w:rPr>
            </w:pPr>
            <w:r w:rsidRPr="004D2B9A">
              <w:rPr>
                <w:b w:val="0"/>
                <w:bCs w:val="0"/>
                <w:lang w:val="en-GB"/>
              </w:rPr>
              <w:t>80</w:t>
            </w:r>
          </w:p>
        </w:tc>
        <w:tc>
          <w:tcPr>
            <w:tcW w:w="708" w:type="dxa"/>
            <w:tcBorders>
              <w:top w:val="nil"/>
              <w:left w:val="nil"/>
              <w:bottom w:val="single" w:sz="4" w:space="0" w:color="auto"/>
              <w:right w:val="single" w:sz="8" w:space="0" w:color="auto"/>
            </w:tcBorders>
            <w:noWrap/>
            <w:vAlign w:val="center"/>
            <w:hideMark/>
          </w:tcPr>
          <w:p w14:paraId="411FE503" w14:textId="04F53B67"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501</w:t>
            </w:r>
          </w:p>
        </w:tc>
        <w:tc>
          <w:tcPr>
            <w:tcW w:w="567" w:type="dxa"/>
            <w:tcBorders>
              <w:top w:val="nil"/>
              <w:left w:val="nil"/>
              <w:bottom w:val="single" w:sz="4" w:space="0" w:color="auto"/>
              <w:right w:val="single" w:sz="4" w:space="0" w:color="auto"/>
            </w:tcBorders>
            <w:noWrap/>
            <w:vAlign w:val="center"/>
            <w:hideMark/>
          </w:tcPr>
          <w:p w14:paraId="7FA18318" w14:textId="77777777" w:rsidR="00AC7CB0" w:rsidRPr="004D2B9A" w:rsidRDefault="00AC7CB0" w:rsidP="00075B2F">
            <w:pPr>
              <w:pStyle w:val="tabele"/>
              <w:rPr>
                <w:b w:val="0"/>
                <w:bCs w:val="0"/>
                <w:lang w:val="en-GB"/>
              </w:rPr>
            </w:pPr>
            <w:r w:rsidRPr="004D2B9A">
              <w:rPr>
                <w:b w:val="0"/>
                <w:bCs w:val="0"/>
                <w:lang w:val="en-GB"/>
              </w:rPr>
              <w:t>744</w:t>
            </w:r>
          </w:p>
        </w:tc>
        <w:tc>
          <w:tcPr>
            <w:tcW w:w="887" w:type="dxa"/>
            <w:tcBorders>
              <w:top w:val="nil"/>
              <w:left w:val="nil"/>
              <w:bottom w:val="single" w:sz="4" w:space="0" w:color="auto"/>
              <w:right w:val="single" w:sz="4" w:space="0" w:color="auto"/>
            </w:tcBorders>
            <w:noWrap/>
            <w:vAlign w:val="center"/>
            <w:hideMark/>
          </w:tcPr>
          <w:p w14:paraId="722F3C35" w14:textId="09963423" w:rsidR="00AC7CB0" w:rsidRPr="00FC1BBF" w:rsidRDefault="00AC7CB0" w:rsidP="00075B2F">
            <w:pPr>
              <w:pStyle w:val="tabele"/>
              <w:rPr>
                <w:b w:val="0"/>
                <w:bCs w:val="0"/>
                <w:lang w:val="en-GB"/>
              </w:rPr>
            </w:pPr>
            <w:r w:rsidRPr="00FC1BBF">
              <w:rPr>
                <w:b w:val="0"/>
                <w:bCs w:val="0"/>
                <w:lang w:val="en-GB"/>
              </w:rPr>
              <w:t>1</w:t>
            </w:r>
            <w:r w:rsidR="00602613">
              <w:rPr>
                <w:b w:val="0"/>
                <w:bCs w:val="0"/>
                <w:lang w:val="en-GB"/>
              </w:rPr>
              <w:t>.</w:t>
            </w:r>
            <w:r w:rsidRPr="00FC1BBF">
              <w:rPr>
                <w:b w:val="0"/>
                <w:bCs w:val="0"/>
                <w:lang w:val="en-GB"/>
              </w:rPr>
              <w:t>3</w:t>
            </w:r>
          </w:p>
        </w:tc>
        <w:tc>
          <w:tcPr>
            <w:tcW w:w="794" w:type="dxa"/>
            <w:tcBorders>
              <w:top w:val="nil"/>
              <w:left w:val="nil"/>
              <w:bottom w:val="single" w:sz="4" w:space="0" w:color="auto"/>
              <w:right w:val="single" w:sz="4" w:space="0" w:color="auto"/>
            </w:tcBorders>
            <w:noWrap/>
            <w:vAlign w:val="center"/>
            <w:hideMark/>
          </w:tcPr>
          <w:p w14:paraId="1925AD46" w14:textId="77777777" w:rsidR="00AC7CB0" w:rsidRPr="00FC1BBF" w:rsidRDefault="00AC7CB0" w:rsidP="00075B2F">
            <w:pPr>
              <w:pStyle w:val="tabele"/>
              <w:rPr>
                <w:b w:val="0"/>
                <w:bCs w:val="0"/>
                <w:lang w:val="en-GB"/>
              </w:rPr>
            </w:pPr>
            <w:r w:rsidRPr="00FC1BBF">
              <w:rPr>
                <w:b w:val="0"/>
                <w:bCs w:val="0"/>
                <w:lang w:val="en-GB"/>
              </w:rPr>
              <w:t>70</w:t>
            </w:r>
          </w:p>
        </w:tc>
        <w:tc>
          <w:tcPr>
            <w:tcW w:w="645" w:type="dxa"/>
            <w:tcBorders>
              <w:top w:val="nil"/>
              <w:left w:val="nil"/>
              <w:bottom w:val="single" w:sz="4" w:space="0" w:color="auto"/>
              <w:right w:val="single" w:sz="8" w:space="0" w:color="auto"/>
            </w:tcBorders>
            <w:noWrap/>
            <w:vAlign w:val="center"/>
            <w:hideMark/>
          </w:tcPr>
          <w:p w14:paraId="55751F2F" w14:textId="19203DC3"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601</w:t>
            </w:r>
          </w:p>
        </w:tc>
        <w:tc>
          <w:tcPr>
            <w:tcW w:w="637" w:type="dxa"/>
            <w:gridSpan w:val="2"/>
            <w:tcBorders>
              <w:top w:val="nil"/>
              <w:left w:val="nil"/>
              <w:bottom w:val="nil"/>
              <w:right w:val="nil"/>
            </w:tcBorders>
            <w:noWrap/>
            <w:vAlign w:val="center"/>
            <w:hideMark/>
          </w:tcPr>
          <w:p w14:paraId="093A363A" w14:textId="77777777" w:rsidR="00AC7CB0" w:rsidRPr="004D2B9A" w:rsidRDefault="00AC7CB0" w:rsidP="00075B2F">
            <w:pPr>
              <w:pStyle w:val="tabele"/>
              <w:rPr>
                <w:b w:val="0"/>
                <w:bCs w:val="0"/>
                <w:lang w:val="en-GB"/>
              </w:rPr>
            </w:pPr>
          </w:p>
        </w:tc>
        <w:tc>
          <w:tcPr>
            <w:tcW w:w="847" w:type="dxa"/>
            <w:tcBorders>
              <w:top w:val="nil"/>
              <w:left w:val="nil"/>
              <w:bottom w:val="nil"/>
              <w:right w:val="nil"/>
            </w:tcBorders>
            <w:noWrap/>
            <w:vAlign w:val="center"/>
            <w:hideMark/>
          </w:tcPr>
          <w:p w14:paraId="193F14FB" w14:textId="77777777" w:rsidR="00AC7CB0" w:rsidRPr="004D2B9A" w:rsidRDefault="00AC7CB0" w:rsidP="00075B2F">
            <w:pPr>
              <w:pStyle w:val="tabele"/>
              <w:rPr>
                <w:b w:val="0"/>
                <w:bCs w:val="0"/>
                <w:szCs w:val="20"/>
                <w:lang w:val="en-GB"/>
              </w:rPr>
            </w:pPr>
          </w:p>
        </w:tc>
        <w:tc>
          <w:tcPr>
            <w:tcW w:w="850" w:type="dxa"/>
            <w:gridSpan w:val="2"/>
            <w:tcBorders>
              <w:top w:val="nil"/>
              <w:left w:val="nil"/>
              <w:bottom w:val="nil"/>
              <w:right w:val="nil"/>
            </w:tcBorders>
            <w:noWrap/>
            <w:vAlign w:val="center"/>
            <w:hideMark/>
          </w:tcPr>
          <w:p w14:paraId="2414A6B8" w14:textId="77777777" w:rsidR="00AC7CB0" w:rsidRPr="004D2B9A" w:rsidRDefault="00AC7CB0" w:rsidP="00075B2F">
            <w:pPr>
              <w:pStyle w:val="tabele"/>
              <w:rPr>
                <w:b w:val="0"/>
                <w:bCs w:val="0"/>
                <w:szCs w:val="20"/>
                <w:lang w:val="en-GB"/>
              </w:rPr>
            </w:pPr>
          </w:p>
        </w:tc>
        <w:tc>
          <w:tcPr>
            <w:tcW w:w="728" w:type="dxa"/>
            <w:tcBorders>
              <w:top w:val="nil"/>
              <w:left w:val="nil"/>
              <w:bottom w:val="nil"/>
              <w:right w:val="nil"/>
            </w:tcBorders>
            <w:noWrap/>
            <w:vAlign w:val="center"/>
            <w:hideMark/>
          </w:tcPr>
          <w:p w14:paraId="474CA9E6" w14:textId="77777777" w:rsidR="00AC7CB0" w:rsidRPr="004D2B9A" w:rsidRDefault="00AC7CB0" w:rsidP="00075B2F">
            <w:pPr>
              <w:pStyle w:val="tabele"/>
              <w:rPr>
                <w:b w:val="0"/>
                <w:bCs w:val="0"/>
                <w:szCs w:val="20"/>
                <w:lang w:val="en-GB"/>
              </w:rPr>
            </w:pPr>
          </w:p>
        </w:tc>
      </w:tr>
      <w:tr w:rsidR="00AC7CB0" w:rsidRPr="004D2B9A" w14:paraId="227A81A4" w14:textId="77777777" w:rsidTr="00FC1BBF">
        <w:trPr>
          <w:trHeight w:val="300"/>
          <w:jc w:val="center"/>
        </w:trPr>
        <w:tc>
          <w:tcPr>
            <w:tcW w:w="727" w:type="dxa"/>
            <w:tcBorders>
              <w:top w:val="nil"/>
              <w:left w:val="single" w:sz="8" w:space="0" w:color="auto"/>
              <w:bottom w:val="single" w:sz="4" w:space="0" w:color="auto"/>
              <w:right w:val="single" w:sz="8" w:space="0" w:color="auto"/>
            </w:tcBorders>
            <w:noWrap/>
            <w:vAlign w:val="center"/>
            <w:hideMark/>
          </w:tcPr>
          <w:p w14:paraId="2CDAABC5" w14:textId="77777777" w:rsidR="00AC7CB0" w:rsidRPr="004D2B9A" w:rsidRDefault="00AC7CB0" w:rsidP="00075B2F">
            <w:pPr>
              <w:pStyle w:val="tabele"/>
              <w:rPr>
                <w:b w:val="0"/>
                <w:bCs w:val="0"/>
                <w:lang w:val="en-GB"/>
              </w:rPr>
            </w:pPr>
            <w:r w:rsidRPr="004D2B9A">
              <w:rPr>
                <w:b w:val="0"/>
                <w:bCs w:val="0"/>
                <w:lang w:val="en-GB"/>
              </w:rPr>
              <w:t>IV</w:t>
            </w:r>
          </w:p>
        </w:tc>
        <w:tc>
          <w:tcPr>
            <w:tcW w:w="709" w:type="dxa"/>
            <w:tcBorders>
              <w:top w:val="nil"/>
              <w:left w:val="nil"/>
              <w:bottom w:val="single" w:sz="4" w:space="0" w:color="auto"/>
              <w:right w:val="single" w:sz="4" w:space="0" w:color="auto"/>
            </w:tcBorders>
            <w:noWrap/>
            <w:vAlign w:val="center"/>
            <w:hideMark/>
          </w:tcPr>
          <w:p w14:paraId="5BFC6B99" w14:textId="77777777" w:rsidR="00AC7CB0" w:rsidRPr="004D2B9A" w:rsidRDefault="00AC7CB0" w:rsidP="00075B2F">
            <w:pPr>
              <w:pStyle w:val="tabele"/>
              <w:rPr>
                <w:b w:val="0"/>
                <w:bCs w:val="0"/>
                <w:lang w:val="en-GB"/>
              </w:rPr>
            </w:pPr>
            <w:r w:rsidRPr="004D2B9A">
              <w:rPr>
                <w:b w:val="0"/>
                <w:bCs w:val="0"/>
                <w:lang w:val="en-GB"/>
              </w:rPr>
              <w:t>556</w:t>
            </w:r>
          </w:p>
        </w:tc>
        <w:tc>
          <w:tcPr>
            <w:tcW w:w="850" w:type="dxa"/>
            <w:tcBorders>
              <w:top w:val="nil"/>
              <w:left w:val="nil"/>
              <w:bottom w:val="single" w:sz="4" w:space="0" w:color="auto"/>
              <w:right w:val="single" w:sz="4" w:space="0" w:color="auto"/>
            </w:tcBorders>
            <w:noWrap/>
            <w:vAlign w:val="center"/>
            <w:hideMark/>
          </w:tcPr>
          <w:p w14:paraId="7DB8ADE9" w14:textId="31072D70" w:rsidR="00AC7CB0" w:rsidRPr="004D2B9A" w:rsidRDefault="00AC7CB0" w:rsidP="00075B2F">
            <w:pPr>
              <w:pStyle w:val="tabele"/>
              <w:rPr>
                <w:b w:val="0"/>
                <w:bCs w:val="0"/>
                <w:lang w:val="en-GB"/>
              </w:rPr>
            </w:pPr>
            <w:r w:rsidRPr="004D2B9A">
              <w:rPr>
                <w:b w:val="0"/>
                <w:bCs w:val="0"/>
                <w:lang w:val="en-GB"/>
              </w:rPr>
              <w:t>5</w:t>
            </w:r>
            <w:r w:rsidR="00602613">
              <w:rPr>
                <w:b w:val="0"/>
                <w:bCs w:val="0"/>
                <w:lang w:val="en-GB"/>
              </w:rPr>
              <w:t>.</w:t>
            </w:r>
            <w:r w:rsidRPr="004D2B9A">
              <w:rPr>
                <w:b w:val="0"/>
                <w:bCs w:val="0"/>
                <w:lang w:val="en-GB"/>
              </w:rPr>
              <w:t>1</w:t>
            </w:r>
          </w:p>
        </w:tc>
        <w:tc>
          <w:tcPr>
            <w:tcW w:w="851" w:type="dxa"/>
            <w:tcBorders>
              <w:top w:val="nil"/>
              <w:left w:val="nil"/>
              <w:bottom w:val="single" w:sz="4" w:space="0" w:color="auto"/>
              <w:right w:val="single" w:sz="4" w:space="0" w:color="auto"/>
            </w:tcBorders>
            <w:noWrap/>
            <w:vAlign w:val="center"/>
            <w:hideMark/>
          </w:tcPr>
          <w:p w14:paraId="30F4C1FA" w14:textId="77777777" w:rsidR="00AC7CB0" w:rsidRPr="004D2B9A" w:rsidRDefault="00AC7CB0" w:rsidP="00075B2F">
            <w:pPr>
              <w:pStyle w:val="tabele"/>
              <w:rPr>
                <w:b w:val="0"/>
                <w:bCs w:val="0"/>
                <w:lang w:val="en-GB"/>
              </w:rPr>
            </w:pPr>
            <w:r w:rsidRPr="004D2B9A">
              <w:rPr>
                <w:b w:val="0"/>
                <w:bCs w:val="0"/>
                <w:lang w:val="en-GB"/>
              </w:rPr>
              <w:t>130</w:t>
            </w:r>
          </w:p>
        </w:tc>
        <w:tc>
          <w:tcPr>
            <w:tcW w:w="708" w:type="dxa"/>
            <w:tcBorders>
              <w:top w:val="nil"/>
              <w:left w:val="nil"/>
              <w:bottom w:val="single" w:sz="4" w:space="0" w:color="auto"/>
              <w:right w:val="single" w:sz="8" w:space="0" w:color="auto"/>
            </w:tcBorders>
            <w:noWrap/>
            <w:vAlign w:val="center"/>
            <w:hideMark/>
          </w:tcPr>
          <w:p w14:paraId="38C250E3" w14:textId="77777777" w:rsidR="00AC7CB0" w:rsidRPr="004D2B9A" w:rsidRDefault="00AC7CB0" w:rsidP="00075B2F">
            <w:pPr>
              <w:pStyle w:val="tabele"/>
              <w:rPr>
                <w:b w:val="0"/>
                <w:bCs w:val="0"/>
                <w:lang w:val="en-GB"/>
              </w:rPr>
            </w:pPr>
            <w:r w:rsidRPr="004D2B9A">
              <w:rPr>
                <w:b w:val="0"/>
                <w:bCs w:val="0"/>
                <w:lang w:val="en-GB"/>
              </w:rPr>
              <w:t>783</w:t>
            </w:r>
          </w:p>
        </w:tc>
        <w:tc>
          <w:tcPr>
            <w:tcW w:w="567" w:type="dxa"/>
            <w:tcBorders>
              <w:top w:val="nil"/>
              <w:left w:val="nil"/>
              <w:bottom w:val="single" w:sz="4" w:space="0" w:color="auto"/>
              <w:right w:val="single" w:sz="4" w:space="0" w:color="auto"/>
            </w:tcBorders>
            <w:noWrap/>
            <w:vAlign w:val="center"/>
            <w:hideMark/>
          </w:tcPr>
          <w:p w14:paraId="11A5EFBB" w14:textId="77777777" w:rsidR="00AC7CB0" w:rsidRPr="004D2B9A" w:rsidRDefault="00AC7CB0" w:rsidP="00075B2F">
            <w:pPr>
              <w:pStyle w:val="tabele"/>
              <w:rPr>
                <w:b w:val="0"/>
                <w:bCs w:val="0"/>
                <w:lang w:val="en-GB"/>
              </w:rPr>
            </w:pPr>
            <w:r w:rsidRPr="004D2B9A">
              <w:rPr>
                <w:b w:val="0"/>
                <w:bCs w:val="0"/>
                <w:lang w:val="en-GB"/>
              </w:rPr>
              <w:t>565</w:t>
            </w:r>
          </w:p>
        </w:tc>
        <w:tc>
          <w:tcPr>
            <w:tcW w:w="887" w:type="dxa"/>
            <w:tcBorders>
              <w:top w:val="nil"/>
              <w:left w:val="nil"/>
              <w:bottom w:val="single" w:sz="4" w:space="0" w:color="auto"/>
              <w:right w:val="single" w:sz="4" w:space="0" w:color="auto"/>
            </w:tcBorders>
            <w:noWrap/>
            <w:vAlign w:val="center"/>
            <w:hideMark/>
          </w:tcPr>
          <w:p w14:paraId="25EA958D" w14:textId="544D6B26" w:rsidR="00AC7CB0" w:rsidRPr="004D2B9A" w:rsidRDefault="00AC7CB0" w:rsidP="00075B2F">
            <w:pPr>
              <w:pStyle w:val="tabele"/>
              <w:rPr>
                <w:b w:val="0"/>
                <w:bCs w:val="0"/>
                <w:lang w:val="en-GB"/>
              </w:rPr>
            </w:pPr>
            <w:r w:rsidRPr="004D2B9A">
              <w:rPr>
                <w:b w:val="0"/>
                <w:bCs w:val="0"/>
                <w:lang w:val="en-GB"/>
              </w:rPr>
              <w:t>4</w:t>
            </w:r>
            <w:r w:rsidR="00602613">
              <w:rPr>
                <w:b w:val="0"/>
                <w:bCs w:val="0"/>
                <w:lang w:val="en-GB"/>
              </w:rPr>
              <w:t>.</w:t>
            </w:r>
            <w:r w:rsidRPr="004D2B9A">
              <w:rPr>
                <w:b w:val="0"/>
                <w:bCs w:val="0"/>
                <w:lang w:val="en-GB"/>
              </w:rPr>
              <w:t>6</w:t>
            </w:r>
          </w:p>
        </w:tc>
        <w:tc>
          <w:tcPr>
            <w:tcW w:w="794" w:type="dxa"/>
            <w:tcBorders>
              <w:top w:val="nil"/>
              <w:left w:val="nil"/>
              <w:bottom w:val="single" w:sz="4" w:space="0" w:color="auto"/>
              <w:right w:val="single" w:sz="4" w:space="0" w:color="auto"/>
            </w:tcBorders>
            <w:noWrap/>
            <w:vAlign w:val="center"/>
            <w:hideMark/>
          </w:tcPr>
          <w:p w14:paraId="33781A0A" w14:textId="77777777" w:rsidR="00AC7CB0" w:rsidRPr="004D2B9A" w:rsidRDefault="00AC7CB0" w:rsidP="00075B2F">
            <w:pPr>
              <w:pStyle w:val="tabele"/>
              <w:rPr>
                <w:b w:val="0"/>
                <w:bCs w:val="0"/>
                <w:lang w:val="en-GB"/>
              </w:rPr>
            </w:pPr>
            <w:r w:rsidRPr="004D2B9A">
              <w:rPr>
                <w:b w:val="0"/>
                <w:bCs w:val="0"/>
                <w:lang w:val="en-GB"/>
              </w:rPr>
              <w:t>127</w:t>
            </w:r>
          </w:p>
        </w:tc>
        <w:tc>
          <w:tcPr>
            <w:tcW w:w="645" w:type="dxa"/>
            <w:tcBorders>
              <w:top w:val="nil"/>
              <w:left w:val="nil"/>
              <w:bottom w:val="single" w:sz="4" w:space="0" w:color="auto"/>
              <w:right w:val="single" w:sz="8" w:space="0" w:color="auto"/>
            </w:tcBorders>
            <w:noWrap/>
            <w:vAlign w:val="center"/>
            <w:hideMark/>
          </w:tcPr>
          <w:p w14:paraId="218BC6FA" w14:textId="77777777" w:rsidR="00AC7CB0" w:rsidRPr="004D2B9A" w:rsidRDefault="00AC7CB0" w:rsidP="00075B2F">
            <w:pPr>
              <w:pStyle w:val="tabele"/>
              <w:rPr>
                <w:b w:val="0"/>
                <w:bCs w:val="0"/>
                <w:lang w:val="en-GB"/>
              </w:rPr>
            </w:pPr>
            <w:r w:rsidRPr="004D2B9A">
              <w:rPr>
                <w:b w:val="0"/>
                <w:bCs w:val="0"/>
                <w:lang w:val="en-GB"/>
              </w:rPr>
              <w:t>844</w:t>
            </w:r>
          </w:p>
        </w:tc>
        <w:tc>
          <w:tcPr>
            <w:tcW w:w="637" w:type="dxa"/>
            <w:gridSpan w:val="2"/>
            <w:tcBorders>
              <w:top w:val="nil"/>
              <w:left w:val="nil"/>
              <w:bottom w:val="nil"/>
              <w:right w:val="nil"/>
            </w:tcBorders>
            <w:noWrap/>
            <w:vAlign w:val="center"/>
            <w:hideMark/>
          </w:tcPr>
          <w:p w14:paraId="0A5D3A64" w14:textId="77777777" w:rsidR="00AC7CB0" w:rsidRPr="004D2B9A" w:rsidRDefault="00AC7CB0" w:rsidP="00075B2F">
            <w:pPr>
              <w:pStyle w:val="tabele"/>
              <w:rPr>
                <w:b w:val="0"/>
                <w:bCs w:val="0"/>
                <w:lang w:val="en-GB"/>
              </w:rPr>
            </w:pPr>
          </w:p>
        </w:tc>
        <w:tc>
          <w:tcPr>
            <w:tcW w:w="847" w:type="dxa"/>
            <w:tcBorders>
              <w:top w:val="nil"/>
              <w:left w:val="nil"/>
              <w:bottom w:val="nil"/>
              <w:right w:val="nil"/>
            </w:tcBorders>
            <w:noWrap/>
            <w:vAlign w:val="center"/>
            <w:hideMark/>
          </w:tcPr>
          <w:p w14:paraId="3595D270" w14:textId="77777777" w:rsidR="00AC7CB0" w:rsidRPr="004D2B9A" w:rsidRDefault="00AC7CB0" w:rsidP="00075B2F">
            <w:pPr>
              <w:pStyle w:val="tabele"/>
              <w:rPr>
                <w:b w:val="0"/>
                <w:bCs w:val="0"/>
                <w:szCs w:val="20"/>
                <w:lang w:val="en-GB"/>
              </w:rPr>
            </w:pPr>
          </w:p>
        </w:tc>
        <w:tc>
          <w:tcPr>
            <w:tcW w:w="850" w:type="dxa"/>
            <w:gridSpan w:val="2"/>
            <w:tcBorders>
              <w:top w:val="nil"/>
              <w:left w:val="nil"/>
              <w:bottom w:val="nil"/>
              <w:right w:val="nil"/>
            </w:tcBorders>
            <w:noWrap/>
            <w:vAlign w:val="center"/>
            <w:hideMark/>
          </w:tcPr>
          <w:p w14:paraId="4FB6F0CC" w14:textId="77777777" w:rsidR="00AC7CB0" w:rsidRPr="004D2B9A" w:rsidRDefault="00AC7CB0" w:rsidP="00075B2F">
            <w:pPr>
              <w:pStyle w:val="tabele"/>
              <w:rPr>
                <w:b w:val="0"/>
                <w:bCs w:val="0"/>
                <w:szCs w:val="20"/>
                <w:lang w:val="en-GB"/>
              </w:rPr>
            </w:pPr>
          </w:p>
        </w:tc>
        <w:tc>
          <w:tcPr>
            <w:tcW w:w="728" w:type="dxa"/>
            <w:tcBorders>
              <w:top w:val="nil"/>
              <w:left w:val="nil"/>
              <w:bottom w:val="nil"/>
              <w:right w:val="nil"/>
            </w:tcBorders>
            <w:noWrap/>
            <w:vAlign w:val="center"/>
            <w:hideMark/>
          </w:tcPr>
          <w:p w14:paraId="3840A158" w14:textId="77777777" w:rsidR="00AC7CB0" w:rsidRPr="004D2B9A" w:rsidRDefault="00AC7CB0" w:rsidP="00075B2F">
            <w:pPr>
              <w:pStyle w:val="tabele"/>
              <w:rPr>
                <w:b w:val="0"/>
                <w:bCs w:val="0"/>
                <w:szCs w:val="20"/>
                <w:lang w:val="en-GB"/>
              </w:rPr>
            </w:pPr>
          </w:p>
        </w:tc>
      </w:tr>
      <w:tr w:rsidR="00AC7CB0" w:rsidRPr="004D2B9A" w14:paraId="6CEA22C5" w14:textId="77777777" w:rsidTr="00FC1BBF">
        <w:trPr>
          <w:trHeight w:val="300"/>
          <w:jc w:val="center"/>
        </w:trPr>
        <w:tc>
          <w:tcPr>
            <w:tcW w:w="727" w:type="dxa"/>
            <w:tcBorders>
              <w:top w:val="nil"/>
              <w:left w:val="single" w:sz="8" w:space="0" w:color="auto"/>
              <w:bottom w:val="single" w:sz="4" w:space="0" w:color="auto"/>
              <w:right w:val="single" w:sz="8" w:space="0" w:color="auto"/>
            </w:tcBorders>
            <w:noWrap/>
            <w:vAlign w:val="center"/>
            <w:hideMark/>
          </w:tcPr>
          <w:p w14:paraId="50CC2DCB" w14:textId="77777777" w:rsidR="00AC7CB0" w:rsidRPr="004D2B9A" w:rsidRDefault="00AC7CB0" w:rsidP="00075B2F">
            <w:pPr>
              <w:pStyle w:val="tabele"/>
              <w:rPr>
                <w:b w:val="0"/>
                <w:bCs w:val="0"/>
                <w:lang w:val="en-GB"/>
              </w:rPr>
            </w:pPr>
            <w:r w:rsidRPr="004D2B9A">
              <w:rPr>
                <w:b w:val="0"/>
                <w:bCs w:val="0"/>
                <w:lang w:val="en-GB"/>
              </w:rPr>
              <w:t>IX</w:t>
            </w:r>
          </w:p>
        </w:tc>
        <w:tc>
          <w:tcPr>
            <w:tcW w:w="709" w:type="dxa"/>
            <w:tcBorders>
              <w:top w:val="nil"/>
              <w:left w:val="nil"/>
              <w:bottom w:val="single" w:sz="4" w:space="0" w:color="auto"/>
              <w:right w:val="single" w:sz="4" w:space="0" w:color="auto"/>
            </w:tcBorders>
            <w:noWrap/>
            <w:vAlign w:val="center"/>
            <w:hideMark/>
          </w:tcPr>
          <w:p w14:paraId="4405ADF2" w14:textId="77777777" w:rsidR="00AC7CB0" w:rsidRPr="004D2B9A" w:rsidRDefault="00AC7CB0" w:rsidP="00075B2F">
            <w:pPr>
              <w:pStyle w:val="tabele"/>
              <w:rPr>
                <w:b w:val="0"/>
                <w:bCs w:val="0"/>
                <w:lang w:val="en-GB"/>
              </w:rPr>
            </w:pPr>
            <w:r w:rsidRPr="004D2B9A">
              <w:rPr>
                <w:b w:val="0"/>
                <w:bCs w:val="0"/>
                <w:lang w:val="en-GB"/>
              </w:rPr>
              <w:t>380</w:t>
            </w:r>
          </w:p>
        </w:tc>
        <w:tc>
          <w:tcPr>
            <w:tcW w:w="850" w:type="dxa"/>
            <w:tcBorders>
              <w:top w:val="nil"/>
              <w:left w:val="nil"/>
              <w:bottom w:val="single" w:sz="4" w:space="0" w:color="auto"/>
              <w:right w:val="single" w:sz="4" w:space="0" w:color="auto"/>
            </w:tcBorders>
            <w:noWrap/>
            <w:vAlign w:val="center"/>
            <w:hideMark/>
          </w:tcPr>
          <w:p w14:paraId="28EEF7A7" w14:textId="387BBF56" w:rsidR="00AC7CB0" w:rsidRPr="004D2B9A" w:rsidRDefault="00AC7CB0" w:rsidP="00075B2F">
            <w:pPr>
              <w:pStyle w:val="tabele"/>
              <w:rPr>
                <w:b w:val="0"/>
                <w:bCs w:val="0"/>
                <w:lang w:val="en-GB"/>
              </w:rPr>
            </w:pPr>
            <w:r w:rsidRPr="004D2B9A">
              <w:rPr>
                <w:b w:val="0"/>
                <w:bCs w:val="0"/>
                <w:lang w:val="en-GB"/>
              </w:rPr>
              <w:t>10</w:t>
            </w:r>
            <w:r w:rsidR="00602613">
              <w:rPr>
                <w:b w:val="0"/>
                <w:bCs w:val="0"/>
                <w:lang w:val="en-GB"/>
              </w:rPr>
              <w:t>.</w:t>
            </w:r>
            <w:r w:rsidRPr="004D2B9A">
              <w:rPr>
                <w:b w:val="0"/>
                <w:bCs w:val="0"/>
                <w:lang w:val="en-GB"/>
              </w:rPr>
              <w:t>7</w:t>
            </w:r>
          </w:p>
        </w:tc>
        <w:tc>
          <w:tcPr>
            <w:tcW w:w="851" w:type="dxa"/>
            <w:tcBorders>
              <w:top w:val="nil"/>
              <w:left w:val="nil"/>
              <w:bottom w:val="single" w:sz="4" w:space="0" w:color="auto"/>
              <w:right w:val="single" w:sz="4" w:space="0" w:color="auto"/>
            </w:tcBorders>
            <w:noWrap/>
            <w:vAlign w:val="center"/>
            <w:hideMark/>
          </w:tcPr>
          <w:p w14:paraId="729F9A3B" w14:textId="77777777" w:rsidR="00AC7CB0" w:rsidRPr="004D2B9A" w:rsidRDefault="00AC7CB0" w:rsidP="00075B2F">
            <w:pPr>
              <w:pStyle w:val="tabele"/>
              <w:rPr>
                <w:b w:val="0"/>
                <w:bCs w:val="0"/>
                <w:lang w:val="en-GB"/>
              </w:rPr>
            </w:pPr>
            <w:r w:rsidRPr="004D2B9A">
              <w:rPr>
                <w:b w:val="0"/>
                <w:bCs w:val="0"/>
                <w:lang w:val="en-GB"/>
              </w:rPr>
              <w:t>117</w:t>
            </w:r>
          </w:p>
        </w:tc>
        <w:tc>
          <w:tcPr>
            <w:tcW w:w="708" w:type="dxa"/>
            <w:tcBorders>
              <w:top w:val="nil"/>
              <w:left w:val="nil"/>
              <w:bottom w:val="single" w:sz="4" w:space="0" w:color="auto"/>
              <w:right w:val="single" w:sz="8" w:space="0" w:color="auto"/>
            </w:tcBorders>
            <w:noWrap/>
            <w:vAlign w:val="center"/>
            <w:hideMark/>
          </w:tcPr>
          <w:p w14:paraId="6FECBE18" w14:textId="77777777" w:rsidR="00AC7CB0" w:rsidRPr="004D2B9A" w:rsidRDefault="00AC7CB0" w:rsidP="00075B2F">
            <w:pPr>
              <w:pStyle w:val="tabele"/>
              <w:rPr>
                <w:b w:val="0"/>
                <w:bCs w:val="0"/>
                <w:lang w:val="en-GB"/>
              </w:rPr>
            </w:pPr>
            <w:r w:rsidRPr="004D2B9A">
              <w:rPr>
                <w:b w:val="0"/>
                <w:bCs w:val="0"/>
                <w:lang w:val="en-GB"/>
              </w:rPr>
              <w:t>184</w:t>
            </w:r>
          </w:p>
        </w:tc>
        <w:tc>
          <w:tcPr>
            <w:tcW w:w="567" w:type="dxa"/>
            <w:tcBorders>
              <w:top w:val="nil"/>
              <w:left w:val="nil"/>
              <w:bottom w:val="single" w:sz="4" w:space="0" w:color="auto"/>
              <w:right w:val="single" w:sz="4" w:space="0" w:color="auto"/>
            </w:tcBorders>
            <w:noWrap/>
            <w:vAlign w:val="center"/>
            <w:hideMark/>
          </w:tcPr>
          <w:p w14:paraId="684597E0" w14:textId="77777777" w:rsidR="00AC7CB0" w:rsidRPr="004D2B9A" w:rsidRDefault="00AC7CB0" w:rsidP="00075B2F">
            <w:pPr>
              <w:pStyle w:val="tabele"/>
              <w:rPr>
                <w:b w:val="0"/>
                <w:bCs w:val="0"/>
                <w:lang w:val="en-GB"/>
              </w:rPr>
            </w:pPr>
            <w:r w:rsidRPr="004D2B9A">
              <w:rPr>
                <w:b w:val="0"/>
                <w:bCs w:val="0"/>
                <w:lang w:val="en-GB"/>
              </w:rPr>
              <w:t>335</w:t>
            </w:r>
          </w:p>
        </w:tc>
        <w:tc>
          <w:tcPr>
            <w:tcW w:w="887" w:type="dxa"/>
            <w:tcBorders>
              <w:top w:val="nil"/>
              <w:left w:val="nil"/>
              <w:bottom w:val="single" w:sz="4" w:space="0" w:color="auto"/>
              <w:right w:val="single" w:sz="4" w:space="0" w:color="auto"/>
            </w:tcBorders>
            <w:noWrap/>
            <w:vAlign w:val="center"/>
            <w:hideMark/>
          </w:tcPr>
          <w:p w14:paraId="50E061A3" w14:textId="61F54EF6" w:rsidR="00AC7CB0" w:rsidRPr="004D2B9A" w:rsidRDefault="00AC7CB0" w:rsidP="00075B2F">
            <w:pPr>
              <w:pStyle w:val="tabele"/>
              <w:rPr>
                <w:b w:val="0"/>
                <w:bCs w:val="0"/>
                <w:lang w:val="en-GB"/>
              </w:rPr>
            </w:pPr>
            <w:r w:rsidRPr="004D2B9A">
              <w:rPr>
                <w:b w:val="0"/>
                <w:bCs w:val="0"/>
                <w:lang w:val="en-GB"/>
              </w:rPr>
              <w:t>10</w:t>
            </w:r>
            <w:r w:rsidR="00602613">
              <w:rPr>
                <w:b w:val="0"/>
                <w:bCs w:val="0"/>
                <w:lang w:val="en-GB"/>
              </w:rPr>
              <w:t>.</w:t>
            </w:r>
            <w:r w:rsidRPr="004D2B9A">
              <w:rPr>
                <w:b w:val="0"/>
                <w:bCs w:val="0"/>
                <w:lang w:val="en-GB"/>
              </w:rPr>
              <w:t>4</w:t>
            </w:r>
          </w:p>
        </w:tc>
        <w:tc>
          <w:tcPr>
            <w:tcW w:w="794" w:type="dxa"/>
            <w:tcBorders>
              <w:top w:val="nil"/>
              <w:left w:val="nil"/>
              <w:bottom w:val="single" w:sz="4" w:space="0" w:color="auto"/>
              <w:right w:val="single" w:sz="4" w:space="0" w:color="auto"/>
            </w:tcBorders>
            <w:noWrap/>
            <w:vAlign w:val="center"/>
            <w:hideMark/>
          </w:tcPr>
          <w:p w14:paraId="4B0E8E52" w14:textId="77777777" w:rsidR="00AC7CB0" w:rsidRPr="004D2B9A" w:rsidRDefault="00AC7CB0" w:rsidP="00075B2F">
            <w:pPr>
              <w:pStyle w:val="tabele"/>
              <w:rPr>
                <w:b w:val="0"/>
                <w:bCs w:val="0"/>
                <w:lang w:val="en-GB"/>
              </w:rPr>
            </w:pPr>
            <w:r w:rsidRPr="004D2B9A">
              <w:rPr>
                <w:b w:val="0"/>
                <w:bCs w:val="0"/>
                <w:lang w:val="en-GB"/>
              </w:rPr>
              <w:t>101</w:t>
            </w:r>
          </w:p>
        </w:tc>
        <w:tc>
          <w:tcPr>
            <w:tcW w:w="645" w:type="dxa"/>
            <w:tcBorders>
              <w:top w:val="nil"/>
              <w:left w:val="nil"/>
              <w:bottom w:val="single" w:sz="4" w:space="0" w:color="auto"/>
              <w:right w:val="single" w:sz="8" w:space="0" w:color="auto"/>
            </w:tcBorders>
            <w:noWrap/>
            <w:vAlign w:val="center"/>
            <w:hideMark/>
          </w:tcPr>
          <w:p w14:paraId="0876AD0B" w14:textId="77777777" w:rsidR="00AC7CB0" w:rsidRPr="004D2B9A" w:rsidRDefault="00AC7CB0" w:rsidP="00075B2F">
            <w:pPr>
              <w:pStyle w:val="tabele"/>
              <w:rPr>
                <w:b w:val="0"/>
                <w:bCs w:val="0"/>
                <w:lang w:val="en-GB"/>
              </w:rPr>
            </w:pPr>
            <w:r w:rsidRPr="004D2B9A">
              <w:rPr>
                <w:b w:val="0"/>
                <w:bCs w:val="0"/>
                <w:lang w:val="en-GB"/>
              </w:rPr>
              <w:t>219</w:t>
            </w:r>
          </w:p>
        </w:tc>
        <w:tc>
          <w:tcPr>
            <w:tcW w:w="637" w:type="dxa"/>
            <w:gridSpan w:val="2"/>
            <w:tcBorders>
              <w:top w:val="nil"/>
              <w:left w:val="nil"/>
              <w:bottom w:val="nil"/>
              <w:right w:val="nil"/>
            </w:tcBorders>
            <w:noWrap/>
            <w:vAlign w:val="center"/>
            <w:hideMark/>
          </w:tcPr>
          <w:p w14:paraId="4BD93CE3" w14:textId="77777777" w:rsidR="00AC7CB0" w:rsidRPr="004D2B9A" w:rsidRDefault="00AC7CB0" w:rsidP="00075B2F">
            <w:pPr>
              <w:pStyle w:val="tabele"/>
              <w:rPr>
                <w:b w:val="0"/>
                <w:bCs w:val="0"/>
                <w:lang w:val="en-GB"/>
              </w:rPr>
            </w:pPr>
          </w:p>
        </w:tc>
        <w:tc>
          <w:tcPr>
            <w:tcW w:w="847" w:type="dxa"/>
            <w:tcBorders>
              <w:top w:val="nil"/>
              <w:left w:val="nil"/>
              <w:bottom w:val="nil"/>
              <w:right w:val="nil"/>
            </w:tcBorders>
            <w:noWrap/>
            <w:vAlign w:val="center"/>
            <w:hideMark/>
          </w:tcPr>
          <w:p w14:paraId="6801ABA7" w14:textId="77777777" w:rsidR="00AC7CB0" w:rsidRPr="004D2B9A" w:rsidRDefault="00AC7CB0" w:rsidP="00075B2F">
            <w:pPr>
              <w:pStyle w:val="tabele"/>
              <w:rPr>
                <w:b w:val="0"/>
                <w:bCs w:val="0"/>
                <w:szCs w:val="20"/>
                <w:lang w:val="en-GB"/>
              </w:rPr>
            </w:pPr>
          </w:p>
        </w:tc>
        <w:tc>
          <w:tcPr>
            <w:tcW w:w="850" w:type="dxa"/>
            <w:gridSpan w:val="2"/>
            <w:tcBorders>
              <w:top w:val="nil"/>
              <w:left w:val="nil"/>
              <w:bottom w:val="nil"/>
              <w:right w:val="nil"/>
            </w:tcBorders>
            <w:noWrap/>
            <w:vAlign w:val="center"/>
            <w:hideMark/>
          </w:tcPr>
          <w:p w14:paraId="232301AF" w14:textId="77777777" w:rsidR="00AC7CB0" w:rsidRPr="004D2B9A" w:rsidRDefault="00AC7CB0" w:rsidP="00075B2F">
            <w:pPr>
              <w:pStyle w:val="tabele"/>
              <w:rPr>
                <w:b w:val="0"/>
                <w:bCs w:val="0"/>
                <w:szCs w:val="20"/>
                <w:lang w:val="en-GB"/>
              </w:rPr>
            </w:pPr>
          </w:p>
        </w:tc>
        <w:tc>
          <w:tcPr>
            <w:tcW w:w="728" w:type="dxa"/>
            <w:tcBorders>
              <w:top w:val="nil"/>
              <w:left w:val="nil"/>
              <w:bottom w:val="nil"/>
              <w:right w:val="nil"/>
            </w:tcBorders>
            <w:noWrap/>
            <w:vAlign w:val="center"/>
            <w:hideMark/>
          </w:tcPr>
          <w:p w14:paraId="11044C27" w14:textId="77777777" w:rsidR="00AC7CB0" w:rsidRPr="004D2B9A" w:rsidRDefault="00AC7CB0" w:rsidP="00075B2F">
            <w:pPr>
              <w:pStyle w:val="tabele"/>
              <w:rPr>
                <w:b w:val="0"/>
                <w:bCs w:val="0"/>
                <w:szCs w:val="20"/>
                <w:lang w:val="en-GB"/>
              </w:rPr>
            </w:pPr>
          </w:p>
        </w:tc>
      </w:tr>
      <w:tr w:rsidR="00AC7CB0" w:rsidRPr="004D2B9A" w14:paraId="3845BFD8" w14:textId="77777777" w:rsidTr="00FC1BBF">
        <w:trPr>
          <w:trHeight w:val="300"/>
          <w:jc w:val="center"/>
        </w:trPr>
        <w:tc>
          <w:tcPr>
            <w:tcW w:w="727" w:type="dxa"/>
            <w:tcBorders>
              <w:top w:val="nil"/>
              <w:left w:val="single" w:sz="8" w:space="0" w:color="auto"/>
              <w:bottom w:val="single" w:sz="4" w:space="0" w:color="auto"/>
              <w:right w:val="single" w:sz="8" w:space="0" w:color="auto"/>
            </w:tcBorders>
            <w:noWrap/>
            <w:vAlign w:val="center"/>
            <w:hideMark/>
          </w:tcPr>
          <w:p w14:paraId="6D44DF04" w14:textId="77777777" w:rsidR="00AC7CB0" w:rsidRPr="004D2B9A" w:rsidRDefault="00AC7CB0" w:rsidP="00075B2F">
            <w:pPr>
              <w:pStyle w:val="tabele"/>
              <w:rPr>
                <w:b w:val="0"/>
                <w:bCs w:val="0"/>
                <w:lang w:val="en-GB"/>
              </w:rPr>
            </w:pPr>
            <w:r w:rsidRPr="004D2B9A">
              <w:rPr>
                <w:b w:val="0"/>
                <w:bCs w:val="0"/>
                <w:lang w:val="en-GB"/>
              </w:rPr>
              <w:t>X</w:t>
            </w:r>
          </w:p>
        </w:tc>
        <w:tc>
          <w:tcPr>
            <w:tcW w:w="709" w:type="dxa"/>
            <w:tcBorders>
              <w:top w:val="nil"/>
              <w:left w:val="nil"/>
              <w:bottom w:val="single" w:sz="4" w:space="0" w:color="auto"/>
              <w:right w:val="single" w:sz="4" w:space="0" w:color="auto"/>
            </w:tcBorders>
            <w:noWrap/>
            <w:vAlign w:val="center"/>
            <w:hideMark/>
          </w:tcPr>
          <w:p w14:paraId="062C9B9C" w14:textId="77777777" w:rsidR="00AC7CB0" w:rsidRPr="004D2B9A" w:rsidRDefault="00AC7CB0" w:rsidP="00075B2F">
            <w:pPr>
              <w:pStyle w:val="tabele"/>
              <w:rPr>
                <w:b w:val="0"/>
                <w:bCs w:val="0"/>
                <w:lang w:val="en-GB"/>
              </w:rPr>
            </w:pPr>
            <w:r w:rsidRPr="004D2B9A">
              <w:rPr>
                <w:b w:val="0"/>
                <w:bCs w:val="0"/>
                <w:lang w:val="en-GB"/>
              </w:rPr>
              <w:t>672</w:t>
            </w:r>
          </w:p>
        </w:tc>
        <w:tc>
          <w:tcPr>
            <w:tcW w:w="850" w:type="dxa"/>
            <w:tcBorders>
              <w:top w:val="nil"/>
              <w:left w:val="nil"/>
              <w:bottom w:val="single" w:sz="4" w:space="0" w:color="auto"/>
              <w:right w:val="single" w:sz="4" w:space="0" w:color="auto"/>
            </w:tcBorders>
            <w:noWrap/>
            <w:vAlign w:val="center"/>
            <w:hideMark/>
          </w:tcPr>
          <w:p w14:paraId="785A6C96" w14:textId="7BA3974C" w:rsidR="00AC7CB0" w:rsidRPr="004D2B9A" w:rsidRDefault="00AC7CB0" w:rsidP="00075B2F">
            <w:pPr>
              <w:pStyle w:val="tabele"/>
              <w:rPr>
                <w:b w:val="0"/>
                <w:bCs w:val="0"/>
                <w:lang w:val="en-GB"/>
              </w:rPr>
            </w:pPr>
            <w:r w:rsidRPr="004D2B9A">
              <w:rPr>
                <w:b w:val="0"/>
                <w:bCs w:val="0"/>
                <w:lang w:val="en-GB"/>
              </w:rPr>
              <w:t>6</w:t>
            </w:r>
            <w:r w:rsidR="00602613">
              <w:rPr>
                <w:b w:val="0"/>
                <w:bCs w:val="0"/>
                <w:lang w:val="en-GB"/>
              </w:rPr>
              <w:t>.</w:t>
            </w:r>
            <w:r w:rsidRPr="004D2B9A">
              <w:rPr>
                <w:b w:val="0"/>
                <w:bCs w:val="0"/>
                <w:lang w:val="en-GB"/>
              </w:rPr>
              <w:t>4</w:t>
            </w:r>
          </w:p>
        </w:tc>
        <w:tc>
          <w:tcPr>
            <w:tcW w:w="851" w:type="dxa"/>
            <w:tcBorders>
              <w:top w:val="nil"/>
              <w:left w:val="nil"/>
              <w:bottom w:val="single" w:sz="4" w:space="0" w:color="auto"/>
              <w:right w:val="single" w:sz="4" w:space="0" w:color="auto"/>
            </w:tcBorders>
            <w:noWrap/>
            <w:vAlign w:val="center"/>
            <w:hideMark/>
          </w:tcPr>
          <w:p w14:paraId="4004AA2F" w14:textId="77777777" w:rsidR="00AC7CB0" w:rsidRPr="004D2B9A" w:rsidRDefault="00AC7CB0" w:rsidP="00075B2F">
            <w:pPr>
              <w:pStyle w:val="tabele"/>
              <w:rPr>
                <w:b w:val="0"/>
                <w:bCs w:val="0"/>
                <w:lang w:val="en-GB"/>
              </w:rPr>
            </w:pPr>
            <w:r w:rsidRPr="004D2B9A">
              <w:rPr>
                <w:b w:val="0"/>
                <w:bCs w:val="0"/>
                <w:lang w:val="en-GB"/>
              </w:rPr>
              <w:t>54</w:t>
            </w:r>
          </w:p>
        </w:tc>
        <w:tc>
          <w:tcPr>
            <w:tcW w:w="708" w:type="dxa"/>
            <w:tcBorders>
              <w:top w:val="nil"/>
              <w:left w:val="nil"/>
              <w:bottom w:val="single" w:sz="4" w:space="0" w:color="auto"/>
              <w:right w:val="single" w:sz="8" w:space="0" w:color="auto"/>
            </w:tcBorders>
            <w:noWrap/>
            <w:vAlign w:val="center"/>
            <w:hideMark/>
          </w:tcPr>
          <w:p w14:paraId="0E0191F0" w14:textId="77777777" w:rsidR="00AC7CB0" w:rsidRPr="004D2B9A" w:rsidRDefault="00AC7CB0" w:rsidP="00075B2F">
            <w:pPr>
              <w:pStyle w:val="tabele"/>
              <w:rPr>
                <w:b w:val="0"/>
                <w:bCs w:val="0"/>
                <w:lang w:val="en-GB"/>
              </w:rPr>
            </w:pPr>
            <w:r w:rsidRPr="004D2B9A">
              <w:rPr>
                <w:b w:val="0"/>
                <w:bCs w:val="0"/>
                <w:lang w:val="en-GB"/>
              </w:rPr>
              <w:t>956</w:t>
            </w:r>
          </w:p>
        </w:tc>
        <w:tc>
          <w:tcPr>
            <w:tcW w:w="567" w:type="dxa"/>
            <w:tcBorders>
              <w:top w:val="nil"/>
              <w:left w:val="nil"/>
              <w:bottom w:val="single" w:sz="4" w:space="0" w:color="auto"/>
              <w:right w:val="single" w:sz="4" w:space="0" w:color="auto"/>
            </w:tcBorders>
            <w:noWrap/>
            <w:vAlign w:val="center"/>
            <w:hideMark/>
          </w:tcPr>
          <w:p w14:paraId="6D4854E3" w14:textId="77777777" w:rsidR="00AC7CB0" w:rsidRPr="004D2B9A" w:rsidRDefault="00AC7CB0" w:rsidP="00075B2F">
            <w:pPr>
              <w:pStyle w:val="tabele"/>
              <w:rPr>
                <w:b w:val="0"/>
                <w:bCs w:val="0"/>
                <w:lang w:val="en-GB"/>
              </w:rPr>
            </w:pPr>
            <w:r w:rsidRPr="004D2B9A">
              <w:rPr>
                <w:b w:val="0"/>
                <w:bCs w:val="0"/>
                <w:lang w:val="en-GB"/>
              </w:rPr>
              <w:t>681</w:t>
            </w:r>
          </w:p>
        </w:tc>
        <w:tc>
          <w:tcPr>
            <w:tcW w:w="887" w:type="dxa"/>
            <w:tcBorders>
              <w:top w:val="nil"/>
              <w:left w:val="nil"/>
              <w:bottom w:val="single" w:sz="4" w:space="0" w:color="auto"/>
              <w:right w:val="single" w:sz="4" w:space="0" w:color="auto"/>
            </w:tcBorders>
            <w:noWrap/>
            <w:vAlign w:val="center"/>
            <w:hideMark/>
          </w:tcPr>
          <w:p w14:paraId="0AED8B38" w14:textId="168978E2" w:rsidR="00AC7CB0" w:rsidRPr="004D2B9A" w:rsidRDefault="00AC7CB0" w:rsidP="00075B2F">
            <w:pPr>
              <w:pStyle w:val="tabele"/>
              <w:rPr>
                <w:b w:val="0"/>
                <w:bCs w:val="0"/>
                <w:lang w:val="en-GB"/>
              </w:rPr>
            </w:pPr>
            <w:r w:rsidRPr="004D2B9A">
              <w:rPr>
                <w:b w:val="0"/>
                <w:bCs w:val="0"/>
                <w:lang w:val="en-GB"/>
              </w:rPr>
              <w:t>6</w:t>
            </w:r>
            <w:r w:rsidR="00602613">
              <w:rPr>
                <w:b w:val="0"/>
                <w:bCs w:val="0"/>
                <w:lang w:val="en-GB"/>
              </w:rPr>
              <w:t>.</w:t>
            </w:r>
            <w:r w:rsidRPr="004D2B9A">
              <w:rPr>
                <w:b w:val="0"/>
                <w:bCs w:val="0"/>
                <w:lang w:val="en-GB"/>
              </w:rPr>
              <w:t>1</w:t>
            </w:r>
          </w:p>
        </w:tc>
        <w:tc>
          <w:tcPr>
            <w:tcW w:w="794" w:type="dxa"/>
            <w:tcBorders>
              <w:top w:val="nil"/>
              <w:left w:val="nil"/>
              <w:bottom w:val="single" w:sz="4" w:space="0" w:color="auto"/>
              <w:right w:val="single" w:sz="4" w:space="0" w:color="auto"/>
            </w:tcBorders>
            <w:noWrap/>
            <w:vAlign w:val="center"/>
            <w:hideMark/>
          </w:tcPr>
          <w:p w14:paraId="56029578" w14:textId="77777777" w:rsidR="00AC7CB0" w:rsidRPr="004D2B9A" w:rsidRDefault="00AC7CB0" w:rsidP="00075B2F">
            <w:pPr>
              <w:pStyle w:val="tabele"/>
              <w:rPr>
                <w:b w:val="0"/>
                <w:bCs w:val="0"/>
                <w:lang w:val="en-GB"/>
              </w:rPr>
            </w:pPr>
            <w:r w:rsidRPr="004D2B9A">
              <w:rPr>
                <w:b w:val="0"/>
                <w:bCs w:val="0"/>
                <w:lang w:val="en-GB"/>
              </w:rPr>
              <w:t>53</w:t>
            </w:r>
          </w:p>
        </w:tc>
        <w:tc>
          <w:tcPr>
            <w:tcW w:w="645" w:type="dxa"/>
            <w:tcBorders>
              <w:top w:val="nil"/>
              <w:left w:val="nil"/>
              <w:bottom w:val="single" w:sz="4" w:space="0" w:color="auto"/>
              <w:right w:val="single" w:sz="8" w:space="0" w:color="auto"/>
            </w:tcBorders>
            <w:noWrap/>
            <w:vAlign w:val="center"/>
            <w:hideMark/>
          </w:tcPr>
          <w:p w14:paraId="3C2D0A4A" w14:textId="3C69D976"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016</w:t>
            </w:r>
          </w:p>
        </w:tc>
        <w:tc>
          <w:tcPr>
            <w:tcW w:w="637" w:type="dxa"/>
            <w:gridSpan w:val="2"/>
            <w:tcBorders>
              <w:top w:val="nil"/>
              <w:left w:val="nil"/>
              <w:bottom w:val="nil"/>
              <w:right w:val="nil"/>
            </w:tcBorders>
            <w:noWrap/>
            <w:vAlign w:val="center"/>
            <w:hideMark/>
          </w:tcPr>
          <w:p w14:paraId="26F08FBA" w14:textId="77777777" w:rsidR="00AC7CB0" w:rsidRPr="004D2B9A" w:rsidRDefault="00AC7CB0" w:rsidP="00075B2F">
            <w:pPr>
              <w:pStyle w:val="tabele"/>
              <w:rPr>
                <w:b w:val="0"/>
                <w:bCs w:val="0"/>
                <w:lang w:val="en-GB"/>
              </w:rPr>
            </w:pPr>
          </w:p>
        </w:tc>
        <w:tc>
          <w:tcPr>
            <w:tcW w:w="847" w:type="dxa"/>
            <w:tcBorders>
              <w:top w:val="nil"/>
              <w:left w:val="nil"/>
              <w:bottom w:val="nil"/>
              <w:right w:val="nil"/>
            </w:tcBorders>
            <w:noWrap/>
            <w:vAlign w:val="center"/>
            <w:hideMark/>
          </w:tcPr>
          <w:p w14:paraId="75C69A0D" w14:textId="77777777" w:rsidR="00AC7CB0" w:rsidRPr="004D2B9A" w:rsidRDefault="00AC7CB0" w:rsidP="00075B2F">
            <w:pPr>
              <w:pStyle w:val="tabele"/>
              <w:rPr>
                <w:b w:val="0"/>
                <w:bCs w:val="0"/>
                <w:szCs w:val="20"/>
                <w:lang w:val="en-GB"/>
              </w:rPr>
            </w:pPr>
          </w:p>
        </w:tc>
        <w:tc>
          <w:tcPr>
            <w:tcW w:w="850" w:type="dxa"/>
            <w:gridSpan w:val="2"/>
            <w:tcBorders>
              <w:top w:val="nil"/>
              <w:left w:val="nil"/>
              <w:bottom w:val="nil"/>
              <w:right w:val="nil"/>
            </w:tcBorders>
            <w:noWrap/>
            <w:vAlign w:val="center"/>
            <w:hideMark/>
          </w:tcPr>
          <w:p w14:paraId="5F10C980" w14:textId="77777777" w:rsidR="00AC7CB0" w:rsidRPr="004D2B9A" w:rsidRDefault="00AC7CB0" w:rsidP="00075B2F">
            <w:pPr>
              <w:pStyle w:val="tabele"/>
              <w:rPr>
                <w:b w:val="0"/>
                <w:bCs w:val="0"/>
                <w:szCs w:val="20"/>
                <w:lang w:val="en-GB"/>
              </w:rPr>
            </w:pPr>
          </w:p>
        </w:tc>
        <w:tc>
          <w:tcPr>
            <w:tcW w:w="728" w:type="dxa"/>
            <w:tcBorders>
              <w:top w:val="nil"/>
              <w:left w:val="nil"/>
              <w:bottom w:val="nil"/>
              <w:right w:val="nil"/>
            </w:tcBorders>
            <w:noWrap/>
            <w:vAlign w:val="center"/>
            <w:hideMark/>
          </w:tcPr>
          <w:p w14:paraId="220F192E" w14:textId="77777777" w:rsidR="00AC7CB0" w:rsidRPr="004D2B9A" w:rsidRDefault="00AC7CB0" w:rsidP="00075B2F">
            <w:pPr>
              <w:pStyle w:val="tabele"/>
              <w:rPr>
                <w:b w:val="0"/>
                <w:bCs w:val="0"/>
                <w:szCs w:val="20"/>
                <w:lang w:val="en-GB"/>
              </w:rPr>
            </w:pPr>
          </w:p>
        </w:tc>
      </w:tr>
      <w:tr w:rsidR="00AC7CB0" w:rsidRPr="004D2B9A" w14:paraId="4DEDCD2C" w14:textId="77777777" w:rsidTr="00FC1BBF">
        <w:trPr>
          <w:trHeight w:val="300"/>
          <w:jc w:val="center"/>
        </w:trPr>
        <w:tc>
          <w:tcPr>
            <w:tcW w:w="727" w:type="dxa"/>
            <w:tcBorders>
              <w:top w:val="nil"/>
              <w:left w:val="single" w:sz="8" w:space="0" w:color="auto"/>
              <w:bottom w:val="single" w:sz="4" w:space="0" w:color="auto"/>
              <w:right w:val="single" w:sz="8" w:space="0" w:color="auto"/>
            </w:tcBorders>
            <w:noWrap/>
            <w:vAlign w:val="center"/>
            <w:hideMark/>
          </w:tcPr>
          <w:p w14:paraId="66DD9BE8" w14:textId="77777777" w:rsidR="00AC7CB0" w:rsidRPr="004D2B9A" w:rsidRDefault="00AC7CB0" w:rsidP="00075B2F">
            <w:pPr>
              <w:pStyle w:val="tabele"/>
              <w:rPr>
                <w:b w:val="0"/>
                <w:bCs w:val="0"/>
                <w:lang w:val="en-GB"/>
              </w:rPr>
            </w:pPr>
            <w:r w:rsidRPr="004D2B9A">
              <w:rPr>
                <w:b w:val="0"/>
                <w:bCs w:val="0"/>
                <w:lang w:val="en-GB"/>
              </w:rPr>
              <w:t>XI</w:t>
            </w:r>
          </w:p>
        </w:tc>
        <w:tc>
          <w:tcPr>
            <w:tcW w:w="709" w:type="dxa"/>
            <w:tcBorders>
              <w:top w:val="nil"/>
              <w:left w:val="nil"/>
              <w:bottom w:val="single" w:sz="4" w:space="0" w:color="auto"/>
              <w:right w:val="single" w:sz="4" w:space="0" w:color="auto"/>
            </w:tcBorders>
            <w:noWrap/>
            <w:vAlign w:val="center"/>
            <w:hideMark/>
          </w:tcPr>
          <w:p w14:paraId="5EB2F656" w14:textId="77777777" w:rsidR="00AC7CB0" w:rsidRPr="004D2B9A" w:rsidRDefault="00AC7CB0" w:rsidP="00075B2F">
            <w:pPr>
              <w:pStyle w:val="tabele"/>
              <w:rPr>
                <w:b w:val="0"/>
                <w:bCs w:val="0"/>
                <w:lang w:val="en-GB"/>
              </w:rPr>
            </w:pPr>
            <w:r w:rsidRPr="004D2B9A">
              <w:rPr>
                <w:b w:val="0"/>
                <w:bCs w:val="0"/>
                <w:lang w:val="en-GB"/>
              </w:rPr>
              <w:t>720</w:t>
            </w:r>
          </w:p>
        </w:tc>
        <w:tc>
          <w:tcPr>
            <w:tcW w:w="850" w:type="dxa"/>
            <w:tcBorders>
              <w:top w:val="nil"/>
              <w:left w:val="nil"/>
              <w:bottom w:val="single" w:sz="4" w:space="0" w:color="auto"/>
              <w:right w:val="single" w:sz="4" w:space="0" w:color="auto"/>
            </w:tcBorders>
            <w:noWrap/>
            <w:vAlign w:val="center"/>
            <w:hideMark/>
          </w:tcPr>
          <w:p w14:paraId="12A12008" w14:textId="149B03D4" w:rsidR="00AC7CB0" w:rsidRPr="004D2B9A" w:rsidRDefault="00AC7CB0" w:rsidP="00075B2F">
            <w:pPr>
              <w:pStyle w:val="tabele"/>
              <w:rPr>
                <w:b w:val="0"/>
                <w:bCs w:val="0"/>
                <w:lang w:val="en-GB"/>
              </w:rPr>
            </w:pPr>
            <w:r w:rsidRPr="004D2B9A">
              <w:rPr>
                <w:b w:val="0"/>
                <w:bCs w:val="0"/>
                <w:lang w:val="en-GB"/>
              </w:rPr>
              <w:t>1</w:t>
            </w:r>
            <w:r w:rsidR="00602613">
              <w:rPr>
                <w:b w:val="0"/>
                <w:bCs w:val="0"/>
                <w:lang w:val="en-GB"/>
              </w:rPr>
              <w:t>.</w:t>
            </w:r>
            <w:r w:rsidRPr="004D2B9A">
              <w:rPr>
                <w:b w:val="0"/>
                <w:bCs w:val="0"/>
                <w:lang w:val="en-GB"/>
              </w:rPr>
              <w:t>6</w:t>
            </w:r>
          </w:p>
        </w:tc>
        <w:tc>
          <w:tcPr>
            <w:tcW w:w="851" w:type="dxa"/>
            <w:tcBorders>
              <w:top w:val="nil"/>
              <w:left w:val="nil"/>
              <w:bottom w:val="single" w:sz="4" w:space="0" w:color="auto"/>
              <w:right w:val="single" w:sz="4" w:space="0" w:color="auto"/>
            </w:tcBorders>
            <w:noWrap/>
            <w:vAlign w:val="center"/>
            <w:hideMark/>
          </w:tcPr>
          <w:p w14:paraId="4A567DC4" w14:textId="77777777" w:rsidR="00AC7CB0" w:rsidRPr="004D2B9A" w:rsidRDefault="00AC7CB0" w:rsidP="00075B2F">
            <w:pPr>
              <w:pStyle w:val="tabele"/>
              <w:rPr>
                <w:b w:val="0"/>
                <w:bCs w:val="0"/>
                <w:lang w:val="en-GB"/>
              </w:rPr>
            </w:pPr>
            <w:r w:rsidRPr="004D2B9A">
              <w:rPr>
                <w:b w:val="0"/>
                <w:bCs w:val="0"/>
                <w:lang w:val="en-GB"/>
              </w:rPr>
              <w:t>27</w:t>
            </w:r>
          </w:p>
        </w:tc>
        <w:tc>
          <w:tcPr>
            <w:tcW w:w="708" w:type="dxa"/>
            <w:tcBorders>
              <w:top w:val="nil"/>
              <w:left w:val="nil"/>
              <w:bottom w:val="single" w:sz="4" w:space="0" w:color="auto"/>
              <w:right w:val="single" w:sz="8" w:space="0" w:color="auto"/>
            </w:tcBorders>
            <w:noWrap/>
            <w:vAlign w:val="center"/>
            <w:hideMark/>
          </w:tcPr>
          <w:p w14:paraId="73239E25" w14:textId="777DC8E8"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640</w:t>
            </w:r>
          </w:p>
        </w:tc>
        <w:tc>
          <w:tcPr>
            <w:tcW w:w="567" w:type="dxa"/>
            <w:tcBorders>
              <w:top w:val="nil"/>
              <w:left w:val="nil"/>
              <w:bottom w:val="single" w:sz="4" w:space="0" w:color="auto"/>
              <w:right w:val="single" w:sz="4" w:space="0" w:color="auto"/>
            </w:tcBorders>
            <w:noWrap/>
            <w:vAlign w:val="center"/>
            <w:hideMark/>
          </w:tcPr>
          <w:p w14:paraId="3876D865" w14:textId="77777777" w:rsidR="00AC7CB0" w:rsidRPr="004D2B9A" w:rsidRDefault="00AC7CB0" w:rsidP="00075B2F">
            <w:pPr>
              <w:pStyle w:val="tabele"/>
              <w:rPr>
                <w:b w:val="0"/>
                <w:bCs w:val="0"/>
                <w:lang w:val="en-GB"/>
              </w:rPr>
            </w:pPr>
            <w:r w:rsidRPr="004D2B9A">
              <w:rPr>
                <w:b w:val="0"/>
                <w:bCs w:val="0"/>
                <w:lang w:val="en-GB"/>
              </w:rPr>
              <w:t>720</w:t>
            </w:r>
          </w:p>
        </w:tc>
        <w:tc>
          <w:tcPr>
            <w:tcW w:w="887" w:type="dxa"/>
            <w:tcBorders>
              <w:top w:val="nil"/>
              <w:left w:val="nil"/>
              <w:bottom w:val="single" w:sz="4" w:space="0" w:color="auto"/>
              <w:right w:val="single" w:sz="4" w:space="0" w:color="auto"/>
            </w:tcBorders>
            <w:noWrap/>
            <w:vAlign w:val="center"/>
            <w:hideMark/>
          </w:tcPr>
          <w:p w14:paraId="42586459" w14:textId="1B65CC96" w:rsidR="00AC7CB0" w:rsidRPr="004D2B9A" w:rsidRDefault="00AC7CB0" w:rsidP="00075B2F">
            <w:pPr>
              <w:pStyle w:val="tabele"/>
              <w:rPr>
                <w:b w:val="0"/>
                <w:bCs w:val="0"/>
                <w:lang w:val="en-GB"/>
              </w:rPr>
            </w:pPr>
            <w:r w:rsidRPr="004D2B9A">
              <w:rPr>
                <w:b w:val="0"/>
                <w:bCs w:val="0"/>
                <w:lang w:val="en-GB"/>
              </w:rPr>
              <w:t>0</w:t>
            </w:r>
            <w:r w:rsidR="00602613">
              <w:rPr>
                <w:b w:val="0"/>
                <w:bCs w:val="0"/>
                <w:lang w:val="en-GB"/>
              </w:rPr>
              <w:t>.</w:t>
            </w:r>
            <w:r w:rsidRPr="004D2B9A">
              <w:rPr>
                <w:b w:val="0"/>
                <w:bCs w:val="0"/>
                <w:lang w:val="en-GB"/>
              </w:rPr>
              <w:t>1</w:t>
            </w:r>
          </w:p>
        </w:tc>
        <w:tc>
          <w:tcPr>
            <w:tcW w:w="794" w:type="dxa"/>
            <w:tcBorders>
              <w:top w:val="nil"/>
              <w:left w:val="nil"/>
              <w:bottom w:val="single" w:sz="4" w:space="0" w:color="auto"/>
              <w:right w:val="single" w:sz="4" w:space="0" w:color="auto"/>
            </w:tcBorders>
            <w:noWrap/>
            <w:vAlign w:val="center"/>
            <w:hideMark/>
          </w:tcPr>
          <w:p w14:paraId="540E7303" w14:textId="77777777" w:rsidR="00AC7CB0" w:rsidRPr="004D2B9A" w:rsidRDefault="00AC7CB0" w:rsidP="00075B2F">
            <w:pPr>
              <w:pStyle w:val="tabele"/>
              <w:rPr>
                <w:b w:val="0"/>
                <w:bCs w:val="0"/>
                <w:lang w:val="en-GB"/>
              </w:rPr>
            </w:pPr>
            <w:r w:rsidRPr="004D2B9A">
              <w:rPr>
                <w:b w:val="0"/>
                <w:bCs w:val="0"/>
                <w:lang w:val="en-GB"/>
              </w:rPr>
              <w:t>26</w:t>
            </w:r>
          </w:p>
        </w:tc>
        <w:tc>
          <w:tcPr>
            <w:tcW w:w="645" w:type="dxa"/>
            <w:tcBorders>
              <w:top w:val="nil"/>
              <w:left w:val="nil"/>
              <w:bottom w:val="single" w:sz="4" w:space="0" w:color="auto"/>
              <w:right w:val="single" w:sz="8" w:space="0" w:color="auto"/>
            </w:tcBorders>
            <w:noWrap/>
            <w:vAlign w:val="center"/>
            <w:hideMark/>
          </w:tcPr>
          <w:p w14:paraId="495F1B46" w14:textId="7918617F" w:rsidR="00AC7CB0" w:rsidRPr="004D2B9A" w:rsidRDefault="00AC7CB0" w:rsidP="00075B2F">
            <w:pPr>
              <w:pStyle w:val="tabele"/>
              <w:rPr>
                <w:b w:val="0"/>
                <w:bCs w:val="0"/>
                <w:lang w:val="en-GB"/>
              </w:rPr>
            </w:pPr>
            <w:r w:rsidRPr="004D2B9A">
              <w:rPr>
                <w:b w:val="0"/>
                <w:bCs w:val="0"/>
                <w:lang w:val="en-GB"/>
              </w:rPr>
              <w:t>1</w:t>
            </w:r>
            <w:r w:rsidR="00B96CCF" w:rsidRPr="004D2B9A">
              <w:rPr>
                <w:b w:val="0"/>
                <w:bCs w:val="0"/>
                <w:lang w:val="en-GB"/>
              </w:rPr>
              <w:t xml:space="preserve"> </w:t>
            </w:r>
            <w:r w:rsidRPr="004D2B9A">
              <w:rPr>
                <w:b w:val="0"/>
                <w:bCs w:val="0"/>
                <w:lang w:val="en-GB"/>
              </w:rPr>
              <w:t>808</w:t>
            </w:r>
          </w:p>
        </w:tc>
        <w:tc>
          <w:tcPr>
            <w:tcW w:w="637" w:type="dxa"/>
            <w:gridSpan w:val="2"/>
            <w:tcBorders>
              <w:top w:val="nil"/>
              <w:left w:val="nil"/>
              <w:bottom w:val="nil"/>
              <w:right w:val="nil"/>
            </w:tcBorders>
            <w:noWrap/>
            <w:vAlign w:val="center"/>
            <w:hideMark/>
          </w:tcPr>
          <w:p w14:paraId="60A61675" w14:textId="77777777" w:rsidR="00AC7CB0" w:rsidRPr="004D2B9A" w:rsidRDefault="00AC7CB0" w:rsidP="00075B2F">
            <w:pPr>
              <w:pStyle w:val="tabele"/>
              <w:rPr>
                <w:b w:val="0"/>
                <w:bCs w:val="0"/>
                <w:lang w:val="en-GB"/>
              </w:rPr>
            </w:pPr>
          </w:p>
        </w:tc>
        <w:tc>
          <w:tcPr>
            <w:tcW w:w="847" w:type="dxa"/>
            <w:tcBorders>
              <w:top w:val="nil"/>
              <w:left w:val="nil"/>
              <w:bottom w:val="nil"/>
              <w:right w:val="nil"/>
            </w:tcBorders>
            <w:noWrap/>
            <w:vAlign w:val="center"/>
            <w:hideMark/>
          </w:tcPr>
          <w:p w14:paraId="5EB87206" w14:textId="77777777" w:rsidR="00AC7CB0" w:rsidRPr="004D2B9A" w:rsidRDefault="00AC7CB0" w:rsidP="00075B2F">
            <w:pPr>
              <w:pStyle w:val="tabele"/>
              <w:rPr>
                <w:b w:val="0"/>
                <w:bCs w:val="0"/>
                <w:szCs w:val="20"/>
                <w:lang w:val="en-GB"/>
              </w:rPr>
            </w:pPr>
          </w:p>
        </w:tc>
        <w:tc>
          <w:tcPr>
            <w:tcW w:w="850" w:type="dxa"/>
            <w:gridSpan w:val="2"/>
            <w:tcBorders>
              <w:top w:val="nil"/>
              <w:left w:val="nil"/>
              <w:bottom w:val="nil"/>
              <w:right w:val="nil"/>
            </w:tcBorders>
            <w:noWrap/>
            <w:vAlign w:val="center"/>
            <w:hideMark/>
          </w:tcPr>
          <w:p w14:paraId="64FB431E" w14:textId="77777777" w:rsidR="00AC7CB0" w:rsidRPr="004D2B9A" w:rsidRDefault="00AC7CB0" w:rsidP="00075B2F">
            <w:pPr>
              <w:pStyle w:val="tabele"/>
              <w:rPr>
                <w:b w:val="0"/>
                <w:bCs w:val="0"/>
                <w:szCs w:val="20"/>
                <w:lang w:val="en-GB"/>
              </w:rPr>
            </w:pPr>
          </w:p>
        </w:tc>
        <w:tc>
          <w:tcPr>
            <w:tcW w:w="728" w:type="dxa"/>
            <w:tcBorders>
              <w:top w:val="nil"/>
              <w:left w:val="nil"/>
              <w:bottom w:val="nil"/>
              <w:right w:val="nil"/>
            </w:tcBorders>
            <w:noWrap/>
            <w:vAlign w:val="center"/>
            <w:hideMark/>
          </w:tcPr>
          <w:p w14:paraId="164AC82B" w14:textId="77777777" w:rsidR="00AC7CB0" w:rsidRPr="004D2B9A" w:rsidRDefault="00AC7CB0" w:rsidP="00075B2F">
            <w:pPr>
              <w:pStyle w:val="tabele"/>
              <w:rPr>
                <w:b w:val="0"/>
                <w:bCs w:val="0"/>
                <w:szCs w:val="20"/>
                <w:lang w:val="en-GB"/>
              </w:rPr>
            </w:pPr>
          </w:p>
        </w:tc>
      </w:tr>
      <w:tr w:rsidR="00AC7CB0" w:rsidRPr="004D2B9A" w14:paraId="5A9479CC" w14:textId="77777777" w:rsidTr="00FC1BBF">
        <w:trPr>
          <w:trHeight w:val="315"/>
          <w:jc w:val="center"/>
        </w:trPr>
        <w:tc>
          <w:tcPr>
            <w:tcW w:w="727" w:type="dxa"/>
            <w:tcBorders>
              <w:top w:val="nil"/>
              <w:left w:val="single" w:sz="8" w:space="0" w:color="auto"/>
              <w:bottom w:val="single" w:sz="8" w:space="0" w:color="auto"/>
              <w:right w:val="single" w:sz="8" w:space="0" w:color="auto"/>
            </w:tcBorders>
            <w:noWrap/>
            <w:vAlign w:val="center"/>
            <w:hideMark/>
          </w:tcPr>
          <w:p w14:paraId="36E4E9A0" w14:textId="77777777" w:rsidR="00AC7CB0" w:rsidRPr="004D2B9A" w:rsidRDefault="00AC7CB0" w:rsidP="00075B2F">
            <w:pPr>
              <w:pStyle w:val="tabele"/>
              <w:rPr>
                <w:b w:val="0"/>
                <w:bCs w:val="0"/>
                <w:lang w:val="en-GB"/>
              </w:rPr>
            </w:pPr>
            <w:r w:rsidRPr="004D2B9A">
              <w:rPr>
                <w:b w:val="0"/>
                <w:bCs w:val="0"/>
                <w:lang w:val="en-GB"/>
              </w:rPr>
              <w:t>XII</w:t>
            </w:r>
          </w:p>
        </w:tc>
        <w:tc>
          <w:tcPr>
            <w:tcW w:w="709" w:type="dxa"/>
            <w:tcBorders>
              <w:top w:val="nil"/>
              <w:left w:val="nil"/>
              <w:bottom w:val="single" w:sz="8" w:space="0" w:color="auto"/>
              <w:right w:val="single" w:sz="4" w:space="0" w:color="auto"/>
            </w:tcBorders>
            <w:noWrap/>
            <w:vAlign w:val="center"/>
            <w:hideMark/>
          </w:tcPr>
          <w:p w14:paraId="06E37466" w14:textId="77777777" w:rsidR="00AC7CB0" w:rsidRPr="004D2B9A" w:rsidRDefault="00AC7CB0" w:rsidP="00075B2F">
            <w:pPr>
              <w:pStyle w:val="tabele"/>
              <w:rPr>
                <w:b w:val="0"/>
                <w:bCs w:val="0"/>
                <w:lang w:val="en-GB"/>
              </w:rPr>
            </w:pPr>
            <w:r w:rsidRPr="004D2B9A">
              <w:rPr>
                <w:b w:val="0"/>
                <w:bCs w:val="0"/>
                <w:lang w:val="en-GB"/>
              </w:rPr>
              <w:t>744</w:t>
            </w:r>
          </w:p>
        </w:tc>
        <w:tc>
          <w:tcPr>
            <w:tcW w:w="850" w:type="dxa"/>
            <w:tcBorders>
              <w:top w:val="nil"/>
              <w:left w:val="nil"/>
              <w:bottom w:val="single" w:sz="8" w:space="0" w:color="auto"/>
              <w:right w:val="single" w:sz="4" w:space="0" w:color="auto"/>
            </w:tcBorders>
            <w:noWrap/>
            <w:vAlign w:val="center"/>
            <w:hideMark/>
          </w:tcPr>
          <w:p w14:paraId="5EF5154A" w14:textId="73761EBD" w:rsidR="00AC7CB0" w:rsidRPr="004D2B9A" w:rsidRDefault="00AC7CB0" w:rsidP="00075B2F">
            <w:pPr>
              <w:pStyle w:val="tabele"/>
              <w:rPr>
                <w:b w:val="0"/>
                <w:bCs w:val="0"/>
                <w:lang w:val="en-GB"/>
              </w:rPr>
            </w:pPr>
            <w:r w:rsidRPr="004D2B9A">
              <w:rPr>
                <w:b w:val="0"/>
                <w:bCs w:val="0"/>
                <w:lang w:val="en-GB"/>
              </w:rPr>
              <w:t>-1</w:t>
            </w:r>
            <w:r w:rsidR="00602613">
              <w:rPr>
                <w:b w:val="0"/>
                <w:bCs w:val="0"/>
                <w:lang w:val="en-GB"/>
              </w:rPr>
              <w:t>.</w:t>
            </w:r>
            <w:r w:rsidRPr="004D2B9A">
              <w:rPr>
                <w:b w:val="0"/>
                <w:bCs w:val="0"/>
                <w:lang w:val="en-GB"/>
              </w:rPr>
              <w:t>3</w:t>
            </w:r>
          </w:p>
        </w:tc>
        <w:tc>
          <w:tcPr>
            <w:tcW w:w="851" w:type="dxa"/>
            <w:tcBorders>
              <w:top w:val="nil"/>
              <w:left w:val="nil"/>
              <w:bottom w:val="single" w:sz="8" w:space="0" w:color="auto"/>
              <w:right w:val="single" w:sz="4" w:space="0" w:color="auto"/>
            </w:tcBorders>
            <w:noWrap/>
            <w:vAlign w:val="center"/>
            <w:hideMark/>
          </w:tcPr>
          <w:p w14:paraId="7B3EA679" w14:textId="77777777" w:rsidR="00AC7CB0" w:rsidRPr="004D2B9A" w:rsidRDefault="00AC7CB0" w:rsidP="00075B2F">
            <w:pPr>
              <w:pStyle w:val="tabele"/>
              <w:rPr>
                <w:b w:val="0"/>
                <w:bCs w:val="0"/>
                <w:lang w:val="en-GB"/>
              </w:rPr>
            </w:pPr>
            <w:r w:rsidRPr="004D2B9A">
              <w:rPr>
                <w:b w:val="0"/>
                <w:bCs w:val="0"/>
                <w:lang w:val="en-GB"/>
              </w:rPr>
              <w:t>22</w:t>
            </w:r>
          </w:p>
        </w:tc>
        <w:tc>
          <w:tcPr>
            <w:tcW w:w="708" w:type="dxa"/>
            <w:tcBorders>
              <w:top w:val="nil"/>
              <w:left w:val="nil"/>
              <w:bottom w:val="single" w:sz="8" w:space="0" w:color="auto"/>
              <w:right w:val="single" w:sz="8" w:space="0" w:color="auto"/>
            </w:tcBorders>
            <w:noWrap/>
            <w:vAlign w:val="center"/>
            <w:hideMark/>
          </w:tcPr>
          <w:p w14:paraId="2D85740F" w14:textId="2A3AC5F1" w:rsidR="00AC7CB0" w:rsidRPr="004D2B9A" w:rsidRDefault="00AC7CB0" w:rsidP="00075B2F">
            <w:pPr>
              <w:pStyle w:val="tabele"/>
              <w:rPr>
                <w:b w:val="0"/>
                <w:bCs w:val="0"/>
                <w:lang w:val="en-GB"/>
              </w:rPr>
            </w:pPr>
            <w:r w:rsidRPr="004D2B9A">
              <w:rPr>
                <w:b w:val="0"/>
                <w:bCs w:val="0"/>
                <w:lang w:val="en-GB"/>
              </w:rPr>
              <w:t>2</w:t>
            </w:r>
            <w:r w:rsidR="00B96CCF" w:rsidRPr="004D2B9A">
              <w:rPr>
                <w:b w:val="0"/>
                <w:bCs w:val="0"/>
                <w:lang w:val="en-GB"/>
              </w:rPr>
              <w:t xml:space="preserve"> </w:t>
            </w:r>
            <w:r w:rsidRPr="004D2B9A">
              <w:rPr>
                <w:b w:val="0"/>
                <w:bCs w:val="0"/>
                <w:lang w:val="en-GB"/>
              </w:rPr>
              <w:t>061</w:t>
            </w:r>
          </w:p>
        </w:tc>
        <w:tc>
          <w:tcPr>
            <w:tcW w:w="567" w:type="dxa"/>
            <w:tcBorders>
              <w:top w:val="nil"/>
              <w:left w:val="nil"/>
              <w:bottom w:val="single" w:sz="8" w:space="0" w:color="auto"/>
              <w:right w:val="single" w:sz="4" w:space="0" w:color="auto"/>
            </w:tcBorders>
            <w:noWrap/>
            <w:vAlign w:val="center"/>
            <w:hideMark/>
          </w:tcPr>
          <w:p w14:paraId="73C21FEA" w14:textId="77777777" w:rsidR="00AC7CB0" w:rsidRPr="004D2B9A" w:rsidRDefault="00AC7CB0" w:rsidP="00075B2F">
            <w:pPr>
              <w:pStyle w:val="tabele"/>
              <w:rPr>
                <w:b w:val="0"/>
                <w:bCs w:val="0"/>
                <w:lang w:val="en-GB"/>
              </w:rPr>
            </w:pPr>
            <w:r w:rsidRPr="004D2B9A">
              <w:rPr>
                <w:b w:val="0"/>
                <w:bCs w:val="0"/>
                <w:lang w:val="en-GB"/>
              </w:rPr>
              <w:t>744</w:t>
            </w:r>
          </w:p>
        </w:tc>
        <w:tc>
          <w:tcPr>
            <w:tcW w:w="887" w:type="dxa"/>
            <w:tcBorders>
              <w:top w:val="nil"/>
              <w:left w:val="nil"/>
              <w:bottom w:val="single" w:sz="8" w:space="0" w:color="auto"/>
              <w:right w:val="single" w:sz="4" w:space="0" w:color="auto"/>
            </w:tcBorders>
            <w:noWrap/>
            <w:vAlign w:val="center"/>
            <w:hideMark/>
          </w:tcPr>
          <w:p w14:paraId="794F443F" w14:textId="1288EEB8" w:rsidR="00AC7CB0" w:rsidRPr="004D2B9A" w:rsidRDefault="00AC7CB0" w:rsidP="00075B2F">
            <w:pPr>
              <w:pStyle w:val="tabele"/>
              <w:rPr>
                <w:b w:val="0"/>
                <w:bCs w:val="0"/>
                <w:lang w:val="en-GB"/>
              </w:rPr>
            </w:pPr>
            <w:r w:rsidRPr="004D2B9A">
              <w:rPr>
                <w:b w:val="0"/>
                <w:bCs w:val="0"/>
                <w:lang w:val="en-GB"/>
              </w:rPr>
              <w:t>-2</w:t>
            </w:r>
            <w:r w:rsidR="00602613">
              <w:rPr>
                <w:b w:val="0"/>
                <w:bCs w:val="0"/>
                <w:lang w:val="en-GB"/>
              </w:rPr>
              <w:t>.</w:t>
            </w:r>
            <w:r w:rsidRPr="004D2B9A">
              <w:rPr>
                <w:b w:val="0"/>
                <w:bCs w:val="0"/>
                <w:lang w:val="en-GB"/>
              </w:rPr>
              <w:t>3</w:t>
            </w:r>
          </w:p>
        </w:tc>
        <w:tc>
          <w:tcPr>
            <w:tcW w:w="794" w:type="dxa"/>
            <w:tcBorders>
              <w:top w:val="nil"/>
              <w:left w:val="nil"/>
              <w:bottom w:val="single" w:sz="8" w:space="0" w:color="auto"/>
              <w:right w:val="single" w:sz="4" w:space="0" w:color="auto"/>
            </w:tcBorders>
            <w:noWrap/>
            <w:vAlign w:val="center"/>
            <w:hideMark/>
          </w:tcPr>
          <w:p w14:paraId="70FA28FC" w14:textId="77777777" w:rsidR="00AC7CB0" w:rsidRPr="004D2B9A" w:rsidRDefault="00AC7CB0" w:rsidP="00075B2F">
            <w:pPr>
              <w:pStyle w:val="tabele"/>
              <w:rPr>
                <w:b w:val="0"/>
                <w:bCs w:val="0"/>
                <w:lang w:val="en-GB"/>
              </w:rPr>
            </w:pPr>
            <w:r w:rsidRPr="004D2B9A">
              <w:rPr>
                <w:b w:val="0"/>
                <w:bCs w:val="0"/>
                <w:lang w:val="en-GB"/>
              </w:rPr>
              <w:t>17</w:t>
            </w:r>
          </w:p>
        </w:tc>
        <w:tc>
          <w:tcPr>
            <w:tcW w:w="645" w:type="dxa"/>
            <w:tcBorders>
              <w:top w:val="nil"/>
              <w:left w:val="nil"/>
              <w:bottom w:val="single" w:sz="8" w:space="0" w:color="auto"/>
              <w:right w:val="single" w:sz="8" w:space="0" w:color="auto"/>
            </w:tcBorders>
            <w:noWrap/>
            <w:vAlign w:val="center"/>
            <w:hideMark/>
          </w:tcPr>
          <w:p w14:paraId="48032E61" w14:textId="458FE83C" w:rsidR="00AC7CB0" w:rsidRPr="004D2B9A" w:rsidRDefault="00AC7CB0" w:rsidP="00075B2F">
            <w:pPr>
              <w:pStyle w:val="tabele"/>
              <w:rPr>
                <w:b w:val="0"/>
                <w:bCs w:val="0"/>
                <w:lang w:val="en-GB"/>
              </w:rPr>
            </w:pPr>
            <w:r w:rsidRPr="004D2B9A">
              <w:rPr>
                <w:b w:val="0"/>
                <w:bCs w:val="0"/>
                <w:lang w:val="en-GB"/>
              </w:rPr>
              <w:t>2</w:t>
            </w:r>
            <w:r w:rsidR="00B96CCF" w:rsidRPr="004D2B9A">
              <w:rPr>
                <w:b w:val="0"/>
                <w:bCs w:val="0"/>
                <w:lang w:val="en-GB"/>
              </w:rPr>
              <w:t xml:space="preserve"> </w:t>
            </w:r>
            <w:r w:rsidRPr="004D2B9A">
              <w:rPr>
                <w:b w:val="0"/>
                <w:bCs w:val="0"/>
                <w:lang w:val="en-GB"/>
              </w:rPr>
              <w:t>202</w:t>
            </w:r>
          </w:p>
        </w:tc>
        <w:tc>
          <w:tcPr>
            <w:tcW w:w="637" w:type="dxa"/>
            <w:gridSpan w:val="2"/>
            <w:tcBorders>
              <w:top w:val="nil"/>
              <w:left w:val="nil"/>
              <w:bottom w:val="nil"/>
              <w:right w:val="nil"/>
            </w:tcBorders>
            <w:noWrap/>
            <w:vAlign w:val="center"/>
            <w:hideMark/>
          </w:tcPr>
          <w:p w14:paraId="3D170931" w14:textId="77777777" w:rsidR="00AC7CB0" w:rsidRPr="004D2B9A" w:rsidRDefault="00AC7CB0" w:rsidP="00075B2F">
            <w:pPr>
              <w:pStyle w:val="tabele"/>
              <w:rPr>
                <w:b w:val="0"/>
                <w:bCs w:val="0"/>
                <w:lang w:val="en-GB"/>
              </w:rPr>
            </w:pPr>
          </w:p>
        </w:tc>
        <w:tc>
          <w:tcPr>
            <w:tcW w:w="847" w:type="dxa"/>
            <w:tcBorders>
              <w:top w:val="nil"/>
              <w:left w:val="nil"/>
              <w:bottom w:val="nil"/>
              <w:right w:val="nil"/>
            </w:tcBorders>
            <w:noWrap/>
            <w:vAlign w:val="center"/>
            <w:hideMark/>
          </w:tcPr>
          <w:p w14:paraId="37C8815B" w14:textId="77777777" w:rsidR="00AC7CB0" w:rsidRPr="004D2B9A" w:rsidRDefault="00AC7CB0" w:rsidP="00075B2F">
            <w:pPr>
              <w:pStyle w:val="tabele"/>
              <w:rPr>
                <w:b w:val="0"/>
                <w:bCs w:val="0"/>
                <w:szCs w:val="20"/>
                <w:lang w:val="en-GB"/>
              </w:rPr>
            </w:pPr>
          </w:p>
        </w:tc>
        <w:tc>
          <w:tcPr>
            <w:tcW w:w="850" w:type="dxa"/>
            <w:gridSpan w:val="2"/>
            <w:tcBorders>
              <w:top w:val="nil"/>
              <w:left w:val="nil"/>
              <w:bottom w:val="nil"/>
              <w:right w:val="nil"/>
            </w:tcBorders>
            <w:noWrap/>
            <w:vAlign w:val="center"/>
            <w:hideMark/>
          </w:tcPr>
          <w:p w14:paraId="221750C2" w14:textId="77777777" w:rsidR="00AC7CB0" w:rsidRPr="004D2B9A" w:rsidRDefault="00AC7CB0" w:rsidP="00075B2F">
            <w:pPr>
              <w:pStyle w:val="tabele"/>
              <w:rPr>
                <w:b w:val="0"/>
                <w:bCs w:val="0"/>
                <w:szCs w:val="20"/>
                <w:lang w:val="en-GB"/>
              </w:rPr>
            </w:pPr>
          </w:p>
        </w:tc>
        <w:tc>
          <w:tcPr>
            <w:tcW w:w="728" w:type="dxa"/>
            <w:tcBorders>
              <w:top w:val="nil"/>
              <w:left w:val="nil"/>
              <w:bottom w:val="nil"/>
              <w:right w:val="nil"/>
            </w:tcBorders>
            <w:noWrap/>
            <w:vAlign w:val="center"/>
            <w:hideMark/>
          </w:tcPr>
          <w:p w14:paraId="7381EE00" w14:textId="77777777" w:rsidR="00AC7CB0" w:rsidRPr="004D2B9A" w:rsidRDefault="00AC7CB0" w:rsidP="00075B2F">
            <w:pPr>
              <w:pStyle w:val="tabele"/>
              <w:rPr>
                <w:b w:val="0"/>
                <w:bCs w:val="0"/>
                <w:szCs w:val="20"/>
                <w:lang w:val="en-GB"/>
              </w:rPr>
            </w:pPr>
          </w:p>
        </w:tc>
      </w:tr>
    </w:tbl>
    <w:p w14:paraId="4AFD25A0" w14:textId="2A3ACC48" w:rsidR="00FA6C53" w:rsidRPr="004D2B9A" w:rsidRDefault="00FA6C53" w:rsidP="00FA6C53">
      <w:pPr>
        <w:pStyle w:val="podpis"/>
        <w:rPr>
          <w:rStyle w:val="rynqvb"/>
          <w:b/>
          <w:lang w:val="en-GB"/>
        </w:rPr>
      </w:pPr>
      <w:r w:rsidRPr="004D2B9A">
        <w:rPr>
          <w:lang w:val="en-GB"/>
        </w:rPr>
        <w:t xml:space="preserve">(symbols used: time CS – number of hours of the cold season, avg. air temp. – average outside air temperature, </w:t>
      </w:r>
      <w:r w:rsidR="00602613">
        <w:rPr>
          <w:lang w:val="en-GB"/>
        </w:rPr>
        <w:br/>
      </w:r>
      <w:r w:rsidRPr="004D2B9A">
        <w:rPr>
          <w:lang w:val="en-GB"/>
        </w:rPr>
        <w:t xml:space="preserve">avg. solar rad. – average global solar radiation, </w:t>
      </w:r>
      <w:proofErr w:type="spellStart"/>
      <w:r w:rsidRPr="004D2B9A">
        <w:rPr>
          <w:lang w:val="en-GB"/>
        </w:rPr>
        <w:t>EU</w:t>
      </w:r>
      <w:r w:rsidR="008D7F9E">
        <w:rPr>
          <w:lang w:val="en-GB"/>
        </w:rPr>
        <w:t>'</w:t>
      </w:r>
      <w:r w:rsidRPr="004D2B9A">
        <w:rPr>
          <w:lang w:val="en-GB"/>
        </w:rPr>
        <w:t>m</w:t>
      </w:r>
      <w:proofErr w:type="spellEnd"/>
      <w:r w:rsidRPr="004D2B9A">
        <w:rPr>
          <w:lang w:val="en-GB"/>
        </w:rPr>
        <w:t xml:space="preserve"> – total monthly value of usable energy)</w:t>
      </w:r>
    </w:p>
    <w:p w14:paraId="7F119597" w14:textId="064BA6F6" w:rsidR="00E3153F" w:rsidRPr="004D2B9A" w:rsidRDefault="002E6DA8" w:rsidP="004D2B9A">
      <w:pPr>
        <w:pStyle w:val="Rn2"/>
        <w:rPr>
          <w:lang w:val="en-GB"/>
        </w:rPr>
      </w:pPr>
      <w:r w:rsidRPr="004D2B9A">
        <w:rPr>
          <w:rStyle w:val="rynqvb"/>
          <w:lang w:val="en-GB"/>
        </w:rPr>
        <w:lastRenderedPageBreak/>
        <w:t xml:space="preserve">3.2. </w:t>
      </w:r>
      <w:r w:rsidR="00703718" w:rsidRPr="004D2B9A">
        <w:rPr>
          <w:rStyle w:val="rynqvb"/>
          <w:lang w:val="en-GB"/>
        </w:rPr>
        <w:t>Monthly results</w:t>
      </w:r>
    </w:p>
    <w:p w14:paraId="4947BB1F" w14:textId="6DB17BC0" w:rsidR="00F01151" w:rsidRPr="004D2B9A" w:rsidRDefault="5B01E89D" w:rsidP="002328EC">
      <w:pPr>
        <w:rPr>
          <w:lang w:val="en-GB"/>
        </w:rPr>
      </w:pPr>
      <w:r w:rsidRPr="004D2B9A">
        <w:rPr>
          <w:lang w:val="en-GB"/>
        </w:rPr>
        <w:t>The electricity consumption required to operate the heat pump in the central heating system of a building located in selected cities was calculated hourly, based on the EU' results from EDSL TAS and estimated using the FI method.</w:t>
      </w:r>
      <w:r w:rsidR="00703718" w:rsidRPr="004D2B9A">
        <w:rPr>
          <w:lang w:val="en-GB"/>
        </w:rPr>
        <w:t xml:space="preserve"> The hourly values were summed for each month and presented in Table 4.</w:t>
      </w:r>
      <w:r w:rsidRPr="004D2B9A">
        <w:rPr>
          <w:lang w:val="en-GB"/>
        </w:rPr>
        <w:t xml:space="preserve"> It was observed that in the coldest months of the cold season, the obtained values did not differ from each other; this occurred in nine cases at all locations.</w:t>
      </w:r>
      <w:r w:rsidR="00703718" w:rsidRPr="004D2B9A">
        <w:rPr>
          <w:lang w:val="en-GB"/>
        </w:rPr>
        <w:t xml:space="preserve"> The largest absolute differences were observed in the warmer months of the cold season</w:t>
      </w:r>
      <w:r w:rsidR="008D7F9E">
        <w:rPr>
          <w:lang w:val="en-GB"/>
        </w:rPr>
        <w:t>. Still,</w:t>
      </w:r>
      <w:r w:rsidR="00703718" w:rsidRPr="004D2B9A">
        <w:rPr>
          <w:lang w:val="en-GB"/>
        </w:rPr>
        <w:t xml:space="preserve"> they did not exceed 4 kWh, a value </w:t>
      </w:r>
      <w:r w:rsidR="008D7F9E">
        <w:rPr>
          <w:lang w:val="en-GB"/>
        </w:rPr>
        <w:t xml:space="preserve">that is </w:t>
      </w:r>
      <w:r w:rsidR="00703718" w:rsidRPr="004D2B9A">
        <w:rPr>
          <w:lang w:val="en-GB"/>
        </w:rPr>
        <w:t>negligible from an engineering perspective in typical designs.</w:t>
      </w:r>
      <w:r w:rsidRPr="004D2B9A">
        <w:rPr>
          <w:lang w:val="en-GB"/>
        </w:rPr>
        <w:t xml:space="preserve"> No differences were </w:t>
      </w:r>
      <w:r w:rsidR="008D7F9E">
        <w:rPr>
          <w:lang w:val="en-GB"/>
        </w:rPr>
        <w:t>observed in the results across all locations</w:t>
      </w:r>
      <w:r w:rsidRPr="004D2B9A">
        <w:rPr>
          <w:lang w:val="en-GB"/>
        </w:rPr>
        <w:t xml:space="preserve"> in September.</w:t>
      </w:r>
      <w:r w:rsidR="00703718" w:rsidRPr="004D2B9A">
        <w:rPr>
          <w:lang w:val="en-GB"/>
        </w:rPr>
        <w:t xml:space="preserve"> This was due to the relatively </w:t>
      </w:r>
      <w:r w:rsidR="008D7F9E">
        <w:rPr>
          <w:lang w:val="en-GB"/>
        </w:rPr>
        <w:t>few hours of cold weather that occurred</w:t>
      </w:r>
      <w:r w:rsidR="00703718" w:rsidRPr="004D2B9A">
        <w:rPr>
          <w:lang w:val="en-GB"/>
        </w:rPr>
        <w:t xml:space="preserve"> that month.</w:t>
      </w:r>
    </w:p>
    <w:p w14:paraId="2F1673F2" w14:textId="77777777" w:rsidR="004D2B9A" w:rsidRPr="004D2B9A" w:rsidRDefault="004D2B9A" w:rsidP="002328EC">
      <w:pPr>
        <w:rPr>
          <w:lang w:val="en-GB"/>
        </w:rPr>
      </w:pPr>
    </w:p>
    <w:p w14:paraId="7F773C25" w14:textId="36BF0DF8" w:rsidR="000627BD" w:rsidRPr="004D2B9A" w:rsidRDefault="00B71E9E" w:rsidP="004D2B9A">
      <w:pPr>
        <w:pStyle w:val="Rtab"/>
        <w:rPr>
          <w:lang w:val="en-GB"/>
        </w:rPr>
      </w:pPr>
      <w:r w:rsidRPr="004D2B9A">
        <w:rPr>
          <w:b/>
          <w:bCs/>
          <w:lang w:val="en-GB"/>
        </w:rPr>
        <w:t>Tab</w:t>
      </w:r>
      <w:r w:rsidR="0037058D" w:rsidRPr="004D2B9A">
        <w:rPr>
          <w:b/>
          <w:bCs/>
          <w:lang w:val="en-GB"/>
        </w:rPr>
        <w:t>l</w:t>
      </w:r>
      <w:r w:rsidRPr="004D2B9A">
        <w:rPr>
          <w:b/>
          <w:bCs/>
          <w:lang w:val="en-GB"/>
        </w:rPr>
        <w:t>e</w:t>
      </w:r>
      <w:r w:rsidR="00B96CCF" w:rsidRPr="004D2B9A">
        <w:rPr>
          <w:b/>
          <w:bCs/>
          <w:lang w:val="en-GB"/>
        </w:rPr>
        <w:t xml:space="preserve"> </w:t>
      </w:r>
      <w:r w:rsidRPr="004D2B9A">
        <w:rPr>
          <w:b/>
          <w:bCs/>
          <w:lang w:val="en-GB"/>
        </w:rPr>
        <w:t>4.</w:t>
      </w:r>
      <w:r w:rsidR="00B96CCF" w:rsidRPr="004D2B9A">
        <w:rPr>
          <w:lang w:val="en-GB"/>
        </w:rPr>
        <w:t xml:space="preserve"> </w:t>
      </w:r>
      <w:r w:rsidR="0037058D" w:rsidRPr="004D2B9A">
        <w:rPr>
          <w:lang w:val="en-GB"/>
        </w:rPr>
        <w:t>Monthly summary of the results of electricity consumption of the heat pump</w:t>
      </w:r>
      <w:r w:rsidR="008D7F9E">
        <w:rPr>
          <w:lang w:val="en-GB"/>
        </w:rPr>
        <w:t>,</w:t>
      </w:r>
      <w:r w:rsidR="0037058D" w:rsidRPr="004D2B9A">
        <w:rPr>
          <w:lang w:val="en-GB"/>
        </w:rPr>
        <w:t xml:space="preserve"> calculated using the exact method </w:t>
      </w:r>
      <w:r w:rsidR="008C1AA3">
        <w:rPr>
          <w:lang w:val="en-GB"/>
        </w:rPr>
        <w:t>–</w:t>
      </w:r>
      <w:r w:rsidR="0037058D" w:rsidRPr="004D2B9A">
        <w:rPr>
          <w:lang w:val="en-GB"/>
        </w:rPr>
        <w:t xml:space="preserve"> the sum of hourly EDSL TAS results</w:t>
      </w:r>
      <w:r w:rsidR="008D7F9E">
        <w:rPr>
          <w:lang w:val="en-GB"/>
        </w:rPr>
        <w:t>,</w:t>
      </w:r>
      <w:r w:rsidR="0037058D" w:rsidRPr="004D2B9A">
        <w:rPr>
          <w:lang w:val="en-GB"/>
        </w:rPr>
        <w:t xml:space="preserve"> and the estimated FI method </w:t>
      </w:r>
      <w:r w:rsidR="00602613">
        <w:rPr>
          <w:lang w:val="en-GB"/>
        </w:rPr>
        <w:t>–</w:t>
      </w:r>
      <w:r w:rsidR="0037058D" w:rsidRPr="004D2B9A">
        <w:rPr>
          <w:lang w:val="en-GB"/>
        </w:rPr>
        <w:t xml:space="preserve"> the sum of hourly results obtained using the FI coefficient</w:t>
      </w:r>
    </w:p>
    <w:tbl>
      <w:tblPr>
        <w:tblW w:w="8631" w:type="dxa"/>
        <w:jc w:val="center"/>
        <w:tblCellMar>
          <w:left w:w="70" w:type="dxa"/>
          <w:right w:w="70" w:type="dxa"/>
        </w:tblCellMar>
        <w:tblLook w:val="04A0" w:firstRow="1" w:lastRow="0" w:firstColumn="1" w:lastColumn="0" w:noHBand="0" w:noVBand="1"/>
      </w:tblPr>
      <w:tblGrid>
        <w:gridCol w:w="861"/>
        <w:gridCol w:w="880"/>
        <w:gridCol w:w="760"/>
        <w:gridCol w:w="972"/>
        <w:gridCol w:w="740"/>
        <w:gridCol w:w="760"/>
        <w:gridCol w:w="972"/>
        <w:gridCol w:w="864"/>
        <w:gridCol w:w="850"/>
        <w:gridCol w:w="972"/>
      </w:tblGrid>
      <w:tr w:rsidR="00AC7CB0" w:rsidRPr="004D2B9A" w14:paraId="402A8888" w14:textId="77777777" w:rsidTr="00FA6C53">
        <w:trPr>
          <w:trHeight w:val="300"/>
          <w:jc w:val="center"/>
        </w:trPr>
        <w:tc>
          <w:tcPr>
            <w:tcW w:w="861" w:type="dxa"/>
            <w:tcBorders>
              <w:top w:val="nil"/>
              <w:left w:val="nil"/>
              <w:bottom w:val="nil"/>
              <w:right w:val="nil"/>
            </w:tcBorders>
            <w:noWrap/>
            <w:vAlign w:val="bottom"/>
            <w:hideMark/>
          </w:tcPr>
          <w:p w14:paraId="23366712" w14:textId="77777777" w:rsidR="00AC7CB0" w:rsidRPr="004D2B9A" w:rsidRDefault="00AC7CB0" w:rsidP="00075B2F">
            <w:pPr>
              <w:pStyle w:val="tabele"/>
              <w:rPr>
                <w:b w:val="0"/>
                <w:bCs w:val="0"/>
                <w:lang w:val="en-GB"/>
              </w:rPr>
            </w:pPr>
          </w:p>
        </w:tc>
        <w:tc>
          <w:tcPr>
            <w:tcW w:w="2612" w:type="dxa"/>
            <w:gridSpan w:val="3"/>
            <w:tcBorders>
              <w:top w:val="single" w:sz="4" w:space="0" w:color="auto"/>
              <w:left w:val="single" w:sz="4" w:space="0" w:color="auto"/>
              <w:bottom w:val="single" w:sz="4" w:space="0" w:color="auto"/>
              <w:right w:val="single" w:sz="4" w:space="0" w:color="auto"/>
            </w:tcBorders>
            <w:noWrap/>
            <w:vAlign w:val="center"/>
            <w:hideMark/>
          </w:tcPr>
          <w:p w14:paraId="791CEB9C" w14:textId="77777777" w:rsidR="00AC7CB0" w:rsidRPr="004D2B9A" w:rsidRDefault="00AC7CB0" w:rsidP="00075B2F">
            <w:pPr>
              <w:pStyle w:val="tabele"/>
              <w:rPr>
                <w:b w:val="0"/>
                <w:bCs w:val="0"/>
                <w:lang w:val="en-GB"/>
              </w:rPr>
            </w:pPr>
            <w:proofErr w:type="spellStart"/>
            <w:r w:rsidRPr="004D2B9A">
              <w:rPr>
                <w:b w:val="0"/>
                <w:bCs w:val="0"/>
                <w:lang w:val="en-GB"/>
              </w:rPr>
              <w:t>Koszalin</w:t>
            </w:r>
            <w:proofErr w:type="spellEnd"/>
          </w:p>
        </w:tc>
        <w:tc>
          <w:tcPr>
            <w:tcW w:w="2472" w:type="dxa"/>
            <w:gridSpan w:val="3"/>
            <w:tcBorders>
              <w:top w:val="single" w:sz="4" w:space="0" w:color="auto"/>
              <w:left w:val="nil"/>
              <w:bottom w:val="single" w:sz="4" w:space="0" w:color="auto"/>
              <w:right w:val="single" w:sz="4" w:space="0" w:color="000000"/>
            </w:tcBorders>
            <w:noWrap/>
            <w:vAlign w:val="center"/>
            <w:hideMark/>
          </w:tcPr>
          <w:p w14:paraId="6587CA36" w14:textId="77777777" w:rsidR="00AC7CB0" w:rsidRPr="004D2B9A" w:rsidRDefault="00AC7CB0" w:rsidP="00075B2F">
            <w:pPr>
              <w:pStyle w:val="tabele"/>
              <w:rPr>
                <w:b w:val="0"/>
                <w:bCs w:val="0"/>
                <w:lang w:val="en-GB"/>
              </w:rPr>
            </w:pPr>
            <w:proofErr w:type="spellStart"/>
            <w:r w:rsidRPr="004D2B9A">
              <w:rPr>
                <w:b w:val="0"/>
                <w:bCs w:val="0"/>
                <w:lang w:val="en-GB"/>
              </w:rPr>
              <w:t>Wrocław</w:t>
            </w:r>
            <w:proofErr w:type="spellEnd"/>
          </w:p>
        </w:tc>
        <w:tc>
          <w:tcPr>
            <w:tcW w:w="2686" w:type="dxa"/>
            <w:gridSpan w:val="3"/>
            <w:tcBorders>
              <w:top w:val="single" w:sz="4" w:space="0" w:color="auto"/>
              <w:left w:val="nil"/>
              <w:bottom w:val="single" w:sz="4" w:space="0" w:color="auto"/>
              <w:right w:val="single" w:sz="4" w:space="0" w:color="000000"/>
            </w:tcBorders>
            <w:noWrap/>
            <w:vAlign w:val="center"/>
            <w:hideMark/>
          </w:tcPr>
          <w:p w14:paraId="25657447" w14:textId="77777777" w:rsidR="00AC7CB0" w:rsidRPr="004D2B9A" w:rsidRDefault="00AC7CB0" w:rsidP="00075B2F">
            <w:pPr>
              <w:pStyle w:val="tabele"/>
              <w:rPr>
                <w:b w:val="0"/>
                <w:bCs w:val="0"/>
                <w:lang w:val="en-GB"/>
              </w:rPr>
            </w:pPr>
            <w:r w:rsidRPr="004D2B9A">
              <w:rPr>
                <w:b w:val="0"/>
                <w:bCs w:val="0"/>
                <w:lang w:val="en-GB"/>
              </w:rPr>
              <w:t>Warszawa</w:t>
            </w:r>
          </w:p>
        </w:tc>
      </w:tr>
      <w:tr w:rsidR="00AC7CB0" w:rsidRPr="004D2B9A" w14:paraId="2E3BEC7B" w14:textId="77777777" w:rsidTr="00FA6C53">
        <w:trPr>
          <w:trHeight w:val="570"/>
          <w:jc w:val="center"/>
        </w:trPr>
        <w:tc>
          <w:tcPr>
            <w:tcW w:w="861" w:type="dxa"/>
            <w:tcBorders>
              <w:top w:val="single" w:sz="4" w:space="0" w:color="auto"/>
              <w:left w:val="single" w:sz="4" w:space="0" w:color="auto"/>
              <w:bottom w:val="single" w:sz="4" w:space="0" w:color="auto"/>
              <w:right w:val="single" w:sz="4" w:space="0" w:color="auto"/>
            </w:tcBorders>
            <w:vAlign w:val="center"/>
            <w:hideMark/>
          </w:tcPr>
          <w:p w14:paraId="3AC4A0D9" w14:textId="69F9AB97" w:rsidR="00AC7CB0" w:rsidRPr="004D2B9A" w:rsidRDefault="00785518" w:rsidP="00075B2F">
            <w:pPr>
              <w:pStyle w:val="tabele"/>
              <w:rPr>
                <w:b w:val="0"/>
                <w:bCs w:val="0"/>
                <w:lang w:val="en-GB"/>
              </w:rPr>
            </w:pPr>
            <w:r w:rsidRPr="004D2B9A">
              <w:rPr>
                <w:b w:val="0"/>
                <w:bCs w:val="0"/>
                <w:lang w:val="en-GB"/>
              </w:rPr>
              <w:t>Month</w:t>
            </w:r>
          </w:p>
        </w:tc>
        <w:tc>
          <w:tcPr>
            <w:tcW w:w="880" w:type="dxa"/>
            <w:tcBorders>
              <w:top w:val="nil"/>
              <w:left w:val="nil"/>
              <w:bottom w:val="single" w:sz="4" w:space="0" w:color="auto"/>
              <w:right w:val="single" w:sz="4" w:space="0" w:color="auto"/>
            </w:tcBorders>
            <w:vAlign w:val="center"/>
            <w:hideMark/>
          </w:tcPr>
          <w:p w14:paraId="245B7DB3" w14:textId="62826D4E" w:rsidR="00AC7CB0" w:rsidRPr="004D2B9A" w:rsidRDefault="00785518" w:rsidP="00075B2F">
            <w:pPr>
              <w:pStyle w:val="tabele"/>
              <w:rPr>
                <w:b w:val="0"/>
                <w:bCs w:val="0"/>
                <w:lang w:val="en-GB"/>
              </w:rPr>
            </w:pPr>
            <w:r w:rsidRPr="004D2B9A">
              <w:rPr>
                <w:b w:val="0"/>
                <w:bCs w:val="0"/>
                <w:lang w:val="en-GB"/>
              </w:rPr>
              <w:t>El.</w:t>
            </w:r>
            <w:r w:rsidR="00B96CCF" w:rsidRPr="004D2B9A">
              <w:rPr>
                <w:b w:val="0"/>
                <w:bCs w:val="0"/>
                <w:lang w:val="en-GB"/>
              </w:rPr>
              <w:t xml:space="preserve"> </w:t>
            </w:r>
            <w:proofErr w:type="spellStart"/>
            <w:r w:rsidRPr="004D2B9A">
              <w:rPr>
                <w:b w:val="0"/>
                <w:bCs w:val="0"/>
                <w:lang w:val="en-GB"/>
              </w:rPr>
              <w:t>en</w:t>
            </w:r>
            <w:proofErr w:type="spellEnd"/>
            <w:r w:rsidR="00AC7CB0" w:rsidRPr="004D2B9A">
              <w:rPr>
                <w:b w:val="0"/>
                <w:bCs w:val="0"/>
                <w:lang w:val="en-GB"/>
              </w:rPr>
              <w:t>.</w:t>
            </w:r>
            <w:r w:rsidR="00B96CCF" w:rsidRPr="004D2B9A">
              <w:rPr>
                <w:b w:val="0"/>
                <w:bCs w:val="0"/>
                <w:lang w:val="en-GB"/>
              </w:rPr>
              <w:t xml:space="preserve"> </w:t>
            </w:r>
            <w:r w:rsidR="00AC7CB0" w:rsidRPr="004D2B9A">
              <w:rPr>
                <w:b w:val="0"/>
                <w:bCs w:val="0"/>
                <w:lang w:val="en-GB"/>
              </w:rPr>
              <w:t>TAS</w:t>
            </w:r>
          </w:p>
        </w:tc>
        <w:tc>
          <w:tcPr>
            <w:tcW w:w="760" w:type="dxa"/>
            <w:tcBorders>
              <w:top w:val="nil"/>
              <w:left w:val="nil"/>
              <w:bottom w:val="single" w:sz="4" w:space="0" w:color="auto"/>
              <w:right w:val="single" w:sz="4" w:space="0" w:color="auto"/>
            </w:tcBorders>
            <w:vAlign w:val="center"/>
            <w:hideMark/>
          </w:tcPr>
          <w:p w14:paraId="64F1FFD6" w14:textId="44E24DE0" w:rsidR="00AC7CB0" w:rsidRPr="004D2B9A" w:rsidRDefault="00AC7CB0" w:rsidP="00075B2F">
            <w:pPr>
              <w:pStyle w:val="tabele"/>
              <w:rPr>
                <w:b w:val="0"/>
                <w:bCs w:val="0"/>
                <w:lang w:val="en-GB"/>
              </w:rPr>
            </w:pPr>
            <w:r w:rsidRPr="004D2B9A">
              <w:rPr>
                <w:b w:val="0"/>
                <w:bCs w:val="0"/>
                <w:lang w:val="en-GB"/>
              </w:rPr>
              <w:t>E</w:t>
            </w:r>
            <w:r w:rsidR="00785518" w:rsidRPr="004D2B9A">
              <w:rPr>
                <w:b w:val="0"/>
                <w:bCs w:val="0"/>
                <w:lang w:val="en-GB"/>
              </w:rPr>
              <w:t>l</w:t>
            </w:r>
            <w:r w:rsidRPr="004D2B9A">
              <w:rPr>
                <w:b w:val="0"/>
                <w:bCs w:val="0"/>
                <w:lang w:val="en-GB"/>
              </w:rPr>
              <w:t>.</w:t>
            </w:r>
            <w:r w:rsidR="00B96CCF" w:rsidRPr="004D2B9A">
              <w:rPr>
                <w:b w:val="0"/>
                <w:bCs w:val="0"/>
                <w:lang w:val="en-GB"/>
              </w:rPr>
              <w:t xml:space="preserve"> </w:t>
            </w:r>
            <w:proofErr w:type="spellStart"/>
            <w:r w:rsidRPr="004D2B9A">
              <w:rPr>
                <w:b w:val="0"/>
                <w:bCs w:val="0"/>
                <w:lang w:val="en-GB"/>
              </w:rPr>
              <w:t>e</w:t>
            </w:r>
            <w:r w:rsidR="00785518" w:rsidRPr="004D2B9A">
              <w:rPr>
                <w:b w:val="0"/>
                <w:bCs w:val="0"/>
                <w:lang w:val="en-GB"/>
              </w:rPr>
              <w:t>n</w:t>
            </w:r>
            <w:proofErr w:type="spellEnd"/>
            <w:r w:rsidRPr="004D2B9A">
              <w:rPr>
                <w:b w:val="0"/>
                <w:bCs w:val="0"/>
                <w:lang w:val="en-GB"/>
              </w:rPr>
              <w:t>.</w:t>
            </w:r>
            <w:r w:rsidR="00B96CCF" w:rsidRPr="004D2B9A">
              <w:rPr>
                <w:b w:val="0"/>
                <w:bCs w:val="0"/>
                <w:lang w:val="en-GB"/>
              </w:rPr>
              <w:t xml:space="preserve"> </w:t>
            </w:r>
            <w:r w:rsidRPr="004D2B9A">
              <w:rPr>
                <w:b w:val="0"/>
                <w:bCs w:val="0"/>
                <w:lang w:val="en-GB"/>
              </w:rPr>
              <w:t>FI</w:t>
            </w:r>
          </w:p>
        </w:tc>
        <w:tc>
          <w:tcPr>
            <w:tcW w:w="972" w:type="dxa"/>
            <w:tcBorders>
              <w:top w:val="nil"/>
              <w:left w:val="nil"/>
              <w:bottom w:val="single" w:sz="4" w:space="0" w:color="auto"/>
              <w:right w:val="single" w:sz="4" w:space="0" w:color="auto"/>
            </w:tcBorders>
            <w:vAlign w:val="center"/>
            <w:hideMark/>
          </w:tcPr>
          <w:p w14:paraId="5780CB25" w14:textId="77777777" w:rsidR="00AC7CB0" w:rsidRPr="004D2B9A" w:rsidRDefault="00785518" w:rsidP="00075B2F">
            <w:pPr>
              <w:pStyle w:val="tabele"/>
              <w:rPr>
                <w:b w:val="0"/>
                <w:bCs w:val="0"/>
                <w:lang w:val="en-GB"/>
              </w:rPr>
            </w:pPr>
            <w:r w:rsidRPr="004D2B9A">
              <w:rPr>
                <w:b w:val="0"/>
                <w:bCs w:val="0"/>
                <w:lang w:val="en-GB"/>
              </w:rPr>
              <w:t>Δ</w:t>
            </w:r>
          </w:p>
          <w:p w14:paraId="32F09D58" w14:textId="425A6B45" w:rsidR="00785518" w:rsidRPr="004D2B9A" w:rsidRDefault="00785518" w:rsidP="00075B2F">
            <w:pPr>
              <w:pStyle w:val="tabele"/>
              <w:rPr>
                <w:b w:val="0"/>
                <w:bCs w:val="0"/>
                <w:lang w:val="en-GB"/>
              </w:rPr>
            </w:pPr>
            <w:r w:rsidRPr="004D2B9A">
              <w:rPr>
                <w:b w:val="0"/>
                <w:bCs w:val="0"/>
                <w:lang w:val="en-GB"/>
              </w:rPr>
              <w:t>TAS-FI</w:t>
            </w:r>
          </w:p>
        </w:tc>
        <w:tc>
          <w:tcPr>
            <w:tcW w:w="740" w:type="dxa"/>
            <w:tcBorders>
              <w:top w:val="nil"/>
              <w:left w:val="nil"/>
              <w:bottom w:val="single" w:sz="4" w:space="0" w:color="auto"/>
              <w:right w:val="single" w:sz="4" w:space="0" w:color="auto"/>
            </w:tcBorders>
            <w:vAlign w:val="center"/>
            <w:hideMark/>
          </w:tcPr>
          <w:p w14:paraId="53D10253" w14:textId="47B87D07" w:rsidR="00AC7CB0" w:rsidRPr="004D2B9A" w:rsidRDefault="00785518" w:rsidP="00075B2F">
            <w:pPr>
              <w:pStyle w:val="tabele"/>
              <w:rPr>
                <w:b w:val="0"/>
                <w:bCs w:val="0"/>
                <w:lang w:val="en-GB"/>
              </w:rPr>
            </w:pPr>
            <w:r w:rsidRPr="004D2B9A">
              <w:rPr>
                <w:b w:val="0"/>
                <w:bCs w:val="0"/>
                <w:lang w:val="en-GB"/>
              </w:rPr>
              <w:t>El.</w:t>
            </w:r>
            <w:r w:rsidR="00B96CCF" w:rsidRPr="004D2B9A">
              <w:rPr>
                <w:b w:val="0"/>
                <w:bCs w:val="0"/>
                <w:lang w:val="en-GB"/>
              </w:rPr>
              <w:t xml:space="preserve"> </w:t>
            </w:r>
            <w:proofErr w:type="spellStart"/>
            <w:r w:rsidRPr="004D2B9A">
              <w:rPr>
                <w:b w:val="0"/>
                <w:bCs w:val="0"/>
                <w:lang w:val="en-GB"/>
              </w:rPr>
              <w:t>en</w:t>
            </w:r>
            <w:proofErr w:type="spellEnd"/>
            <w:r w:rsidRPr="004D2B9A">
              <w:rPr>
                <w:b w:val="0"/>
                <w:bCs w:val="0"/>
                <w:lang w:val="en-GB"/>
              </w:rPr>
              <w:t>.</w:t>
            </w:r>
            <w:r w:rsidR="00B96CCF" w:rsidRPr="004D2B9A">
              <w:rPr>
                <w:b w:val="0"/>
                <w:bCs w:val="0"/>
                <w:lang w:val="en-GB"/>
              </w:rPr>
              <w:t xml:space="preserve"> </w:t>
            </w:r>
            <w:r w:rsidRPr="004D2B9A">
              <w:rPr>
                <w:b w:val="0"/>
                <w:bCs w:val="0"/>
                <w:lang w:val="en-GB"/>
              </w:rPr>
              <w:t>TAS</w:t>
            </w:r>
          </w:p>
        </w:tc>
        <w:tc>
          <w:tcPr>
            <w:tcW w:w="760" w:type="dxa"/>
            <w:tcBorders>
              <w:top w:val="nil"/>
              <w:left w:val="nil"/>
              <w:bottom w:val="single" w:sz="4" w:space="0" w:color="auto"/>
              <w:right w:val="single" w:sz="4" w:space="0" w:color="auto"/>
            </w:tcBorders>
            <w:vAlign w:val="center"/>
            <w:hideMark/>
          </w:tcPr>
          <w:p w14:paraId="1452FD53" w14:textId="335FC299" w:rsidR="00AC7CB0" w:rsidRPr="004D2B9A" w:rsidRDefault="00785518" w:rsidP="00075B2F">
            <w:pPr>
              <w:pStyle w:val="tabele"/>
              <w:rPr>
                <w:b w:val="0"/>
                <w:bCs w:val="0"/>
                <w:lang w:val="en-GB"/>
              </w:rPr>
            </w:pPr>
            <w:r w:rsidRPr="004D2B9A">
              <w:rPr>
                <w:b w:val="0"/>
                <w:bCs w:val="0"/>
                <w:lang w:val="en-GB"/>
              </w:rPr>
              <w:t>El.</w:t>
            </w:r>
            <w:r w:rsidR="00B96CCF" w:rsidRPr="004D2B9A">
              <w:rPr>
                <w:b w:val="0"/>
                <w:bCs w:val="0"/>
                <w:lang w:val="en-GB"/>
              </w:rPr>
              <w:t xml:space="preserve"> </w:t>
            </w:r>
            <w:proofErr w:type="spellStart"/>
            <w:r w:rsidRPr="004D2B9A">
              <w:rPr>
                <w:b w:val="0"/>
                <w:bCs w:val="0"/>
                <w:lang w:val="en-GB"/>
              </w:rPr>
              <w:t>en</w:t>
            </w:r>
            <w:proofErr w:type="spellEnd"/>
            <w:r w:rsidRPr="004D2B9A">
              <w:rPr>
                <w:b w:val="0"/>
                <w:bCs w:val="0"/>
                <w:lang w:val="en-GB"/>
              </w:rPr>
              <w:t>.</w:t>
            </w:r>
            <w:r w:rsidR="00B96CCF" w:rsidRPr="004D2B9A">
              <w:rPr>
                <w:b w:val="0"/>
                <w:bCs w:val="0"/>
                <w:lang w:val="en-GB"/>
              </w:rPr>
              <w:t xml:space="preserve"> </w:t>
            </w:r>
            <w:r w:rsidRPr="004D2B9A">
              <w:rPr>
                <w:b w:val="0"/>
                <w:bCs w:val="0"/>
                <w:lang w:val="en-GB"/>
              </w:rPr>
              <w:t>FI</w:t>
            </w:r>
          </w:p>
        </w:tc>
        <w:tc>
          <w:tcPr>
            <w:tcW w:w="972" w:type="dxa"/>
            <w:tcBorders>
              <w:top w:val="nil"/>
              <w:left w:val="nil"/>
              <w:bottom w:val="single" w:sz="4" w:space="0" w:color="auto"/>
              <w:right w:val="single" w:sz="4" w:space="0" w:color="auto"/>
            </w:tcBorders>
            <w:vAlign w:val="center"/>
            <w:hideMark/>
          </w:tcPr>
          <w:p w14:paraId="0DEB6DD8" w14:textId="77777777" w:rsidR="00785518" w:rsidRPr="004D2B9A" w:rsidRDefault="00785518" w:rsidP="00785518">
            <w:pPr>
              <w:pStyle w:val="tabele"/>
              <w:rPr>
                <w:b w:val="0"/>
                <w:bCs w:val="0"/>
                <w:lang w:val="en-GB"/>
              </w:rPr>
            </w:pPr>
            <w:r w:rsidRPr="004D2B9A">
              <w:rPr>
                <w:b w:val="0"/>
                <w:bCs w:val="0"/>
                <w:lang w:val="en-GB"/>
              </w:rPr>
              <w:t>Δ</w:t>
            </w:r>
          </w:p>
          <w:p w14:paraId="4ECD2474" w14:textId="1BE1B1EA" w:rsidR="00AC7CB0" w:rsidRPr="004D2B9A" w:rsidRDefault="00785518" w:rsidP="00785518">
            <w:pPr>
              <w:pStyle w:val="tabele"/>
              <w:rPr>
                <w:b w:val="0"/>
                <w:bCs w:val="0"/>
                <w:lang w:val="en-GB"/>
              </w:rPr>
            </w:pPr>
            <w:r w:rsidRPr="004D2B9A">
              <w:rPr>
                <w:b w:val="0"/>
                <w:bCs w:val="0"/>
                <w:lang w:val="en-GB"/>
              </w:rPr>
              <w:t>TAS-FI</w:t>
            </w:r>
          </w:p>
        </w:tc>
        <w:tc>
          <w:tcPr>
            <w:tcW w:w="864" w:type="dxa"/>
            <w:tcBorders>
              <w:top w:val="nil"/>
              <w:left w:val="nil"/>
              <w:bottom w:val="single" w:sz="4" w:space="0" w:color="auto"/>
              <w:right w:val="single" w:sz="4" w:space="0" w:color="auto"/>
            </w:tcBorders>
            <w:vAlign w:val="center"/>
            <w:hideMark/>
          </w:tcPr>
          <w:p w14:paraId="2EFC6509" w14:textId="243A7DB3" w:rsidR="00AC7CB0" w:rsidRPr="004D2B9A" w:rsidRDefault="00785518" w:rsidP="00075B2F">
            <w:pPr>
              <w:pStyle w:val="tabele"/>
              <w:rPr>
                <w:b w:val="0"/>
                <w:bCs w:val="0"/>
                <w:lang w:val="en-GB"/>
              </w:rPr>
            </w:pPr>
            <w:r w:rsidRPr="004D2B9A">
              <w:rPr>
                <w:b w:val="0"/>
                <w:bCs w:val="0"/>
                <w:lang w:val="en-GB"/>
              </w:rPr>
              <w:t>El.</w:t>
            </w:r>
            <w:r w:rsidR="00B96CCF" w:rsidRPr="004D2B9A">
              <w:rPr>
                <w:b w:val="0"/>
                <w:bCs w:val="0"/>
                <w:lang w:val="en-GB"/>
              </w:rPr>
              <w:t xml:space="preserve"> </w:t>
            </w:r>
            <w:proofErr w:type="spellStart"/>
            <w:r w:rsidRPr="004D2B9A">
              <w:rPr>
                <w:b w:val="0"/>
                <w:bCs w:val="0"/>
                <w:lang w:val="en-GB"/>
              </w:rPr>
              <w:t>en</w:t>
            </w:r>
            <w:proofErr w:type="spellEnd"/>
            <w:r w:rsidRPr="004D2B9A">
              <w:rPr>
                <w:b w:val="0"/>
                <w:bCs w:val="0"/>
                <w:lang w:val="en-GB"/>
              </w:rPr>
              <w:t>.</w:t>
            </w:r>
            <w:r w:rsidR="00B96CCF" w:rsidRPr="004D2B9A">
              <w:rPr>
                <w:b w:val="0"/>
                <w:bCs w:val="0"/>
                <w:lang w:val="en-GB"/>
              </w:rPr>
              <w:t xml:space="preserve"> </w:t>
            </w:r>
            <w:r w:rsidRPr="004D2B9A">
              <w:rPr>
                <w:b w:val="0"/>
                <w:bCs w:val="0"/>
                <w:lang w:val="en-GB"/>
              </w:rPr>
              <w:t>TAS</w:t>
            </w:r>
          </w:p>
        </w:tc>
        <w:tc>
          <w:tcPr>
            <w:tcW w:w="850" w:type="dxa"/>
            <w:tcBorders>
              <w:top w:val="nil"/>
              <w:left w:val="nil"/>
              <w:bottom w:val="single" w:sz="4" w:space="0" w:color="auto"/>
              <w:right w:val="single" w:sz="4" w:space="0" w:color="auto"/>
            </w:tcBorders>
            <w:vAlign w:val="center"/>
            <w:hideMark/>
          </w:tcPr>
          <w:p w14:paraId="23BCDD84" w14:textId="426A8F18" w:rsidR="00AC7CB0" w:rsidRPr="004D2B9A" w:rsidRDefault="00785518" w:rsidP="00075B2F">
            <w:pPr>
              <w:pStyle w:val="tabele"/>
              <w:rPr>
                <w:b w:val="0"/>
                <w:bCs w:val="0"/>
                <w:lang w:val="en-GB"/>
              </w:rPr>
            </w:pPr>
            <w:r w:rsidRPr="004D2B9A">
              <w:rPr>
                <w:b w:val="0"/>
                <w:bCs w:val="0"/>
                <w:lang w:val="en-GB"/>
              </w:rPr>
              <w:t>El.</w:t>
            </w:r>
            <w:r w:rsidR="00B96CCF" w:rsidRPr="004D2B9A">
              <w:rPr>
                <w:b w:val="0"/>
                <w:bCs w:val="0"/>
                <w:lang w:val="en-GB"/>
              </w:rPr>
              <w:t xml:space="preserve"> </w:t>
            </w:r>
            <w:proofErr w:type="spellStart"/>
            <w:r w:rsidRPr="004D2B9A">
              <w:rPr>
                <w:b w:val="0"/>
                <w:bCs w:val="0"/>
                <w:lang w:val="en-GB"/>
              </w:rPr>
              <w:t>en</w:t>
            </w:r>
            <w:proofErr w:type="spellEnd"/>
            <w:r w:rsidRPr="004D2B9A">
              <w:rPr>
                <w:b w:val="0"/>
                <w:bCs w:val="0"/>
                <w:lang w:val="en-GB"/>
              </w:rPr>
              <w:t>.</w:t>
            </w:r>
            <w:r w:rsidR="00B96CCF" w:rsidRPr="004D2B9A">
              <w:rPr>
                <w:b w:val="0"/>
                <w:bCs w:val="0"/>
                <w:lang w:val="en-GB"/>
              </w:rPr>
              <w:t xml:space="preserve"> </w:t>
            </w:r>
            <w:r w:rsidRPr="004D2B9A">
              <w:rPr>
                <w:b w:val="0"/>
                <w:bCs w:val="0"/>
                <w:lang w:val="en-GB"/>
              </w:rPr>
              <w:t>FI</w:t>
            </w:r>
          </w:p>
        </w:tc>
        <w:tc>
          <w:tcPr>
            <w:tcW w:w="972" w:type="dxa"/>
            <w:tcBorders>
              <w:top w:val="nil"/>
              <w:left w:val="nil"/>
              <w:bottom w:val="single" w:sz="4" w:space="0" w:color="auto"/>
              <w:right w:val="single" w:sz="4" w:space="0" w:color="auto"/>
            </w:tcBorders>
            <w:vAlign w:val="center"/>
            <w:hideMark/>
          </w:tcPr>
          <w:p w14:paraId="295AE6B7" w14:textId="77777777" w:rsidR="00785518" w:rsidRPr="004D2B9A" w:rsidRDefault="00785518" w:rsidP="00785518">
            <w:pPr>
              <w:pStyle w:val="tabele"/>
              <w:rPr>
                <w:b w:val="0"/>
                <w:bCs w:val="0"/>
                <w:lang w:val="en-GB"/>
              </w:rPr>
            </w:pPr>
            <w:r w:rsidRPr="004D2B9A">
              <w:rPr>
                <w:b w:val="0"/>
                <w:bCs w:val="0"/>
                <w:lang w:val="en-GB"/>
              </w:rPr>
              <w:t>Δ</w:t>
            </w:r>
          </w:p>
          <w:p w14:paraId="1F8AE33A" w14:textId="1F51C530" w:rsidR="00AC7CB0" w:rsidRPr="004D2B9A" w:rsidRDefault="00785518" w:rsidP="00785518">
            <w:pPr>
              <w:pStyle w:val="tabele"/>
              <w:rPr>
                <w:b w:val="0"/>
                <w:bCs w:val="0"/>
                <w:lang w:val="en-GB"/>
              </w:rPr>
            </w:pPr>
            <w:r w:rsidRPr="004D2B9A">
              <w:rPr>
                <w:b w:val="0"/>
                <w:bCs w:val="0"/>
                <w:lang w:val="en-GB"/>
              </w:rPr>
              <w:t>TAS-FI</w:t>
            </w:r>
          </w:p>
        </w:tc>
      </w:tr>
      <w:tr w:rsidR="00AC7CB0" w:rsidRPr="004D2B9A" w14:paraId="4B2DB4BD" w14:textId="77777777" w:rsidTr="00FA6C53">
        <w:trPr>
          <w:trHeight w:val="300"/>
          <w:jc w:val="center"/>
        </w:trPr>
        <w:tc>
          <w:tcPr>
            <w:tcW w:w="861" w:type="dxa"/>
            <w:tcBorders>
              <w:top w:val="nil"/>
              <w:left w:val="single" w:sz="4" w:space="0" w:color="auto"/>
              <w:bottom w:val="single" w:sz="4" w:space="0" w:color="auto"/>
              <w:right w:val="single" w:sz="4" w:space="0" w:color="auto"/>
            </w:tcBorders>
            <w:noWrap/>
            <w:vAlign w:val="center"/>
            <w:hideMark/>
          </w:tcPr>
          <w:p w14:paraId="4BEBFE4E" w14:textId="77777777" w:rsidR="00AC7CB0" w:rsidRPr="004D2B9A" w:rsidRDefault="00AC7CB0" w:rsidP="00075B2F">
            <w:pPr>
              <w:pStyle w:val="tabele"/>
              <w:rPr>
                <w:b w:val="0"/>
                <w:bCs w:val="0"/>
                <w:lang w:val="en-GB"/>
              </w:rPr>
            </w:pPr>
            <w:r w:rsidRPr="004D2B9A">
              <w:rPr>
                <w:b w:val="0"/>
                <w:bCs w:val="0"/>
                <w:lang w:val="en-GB"/>
              </w:rPr>
              <w:t>-</w:t>
            </w:r>
          </w:p>
        </w:tc>
        <w:tc>
          <w:tcPr>
            <w:tcW w:w="880" w:type="dxa"/>
            <w:tcBorders>
              <w:top w:val="nil"/>
              <w:left w:val="nil"/>
              <w:bottom w:val="single" w:sz="4" w:space="0" w:color="auto"/>
              <w:right w:val="single" w:sz="4" w:space="0" w:color="auto"/>
            </w:tcBorders>
            <w:noWrap/>
            <w:vAlign w:val="center"/>
            <w:hideMark/>
          </w:tcPr>
          <w:p w14:paraId="3787C516" w14:textId="77777777" w:rsidR="00AC7CB0" w:rsidRPr="004D2B9A" w:rsidRDefault="00AC7CB0" w:rsidP="00075B2F">
            <w:pPr>
              <w:pStyle w:val="tabele"/>
              <w:rPr>
                <w:b w:val="0"/>
                <w:bCs w:val="0"/>
                <w:lang w:val="en-GB"/>
              </w:rPr>
            </w:pPr>
            <w:r w:rsidRPr="004D2B9A">
              <w:rPr>
                <w:b w:val="0"/>
                <w:bCs w:val="0"/>
                <w:lang w:val="en-GB"/>
              </w:rPr>
              <w:t>kWh</w:t>
            </w:r>
          </w:p>
        </w:tc>
        <w:tc>
          <w:tcPr>
            <w:tcW w:w="760" w:type="dxa"/>
            <w:tcBorders>
              <w:top w:val="nil"/>
              <w:left w:val="nil"/>
              <w:bottom w:val="single" w:sz="4" w:space="0" w:color="auto"/>
              <w:right w:val="single" w:sz="4" w:space="0" w:color="auto"/>
            </w:tcBorders>
            <w:noWrap/>
            <w:vAlign w:val="center"/>
            <w:hideMark/>
          </w:tcPr>
          <w:p w14:paraId="6EA0B328" w14:textId="77777777" w:rsidR="00AC7CB0" w:rsidRPr="004D2B9A" w:rsidRDefault="00AC7CB0" w:rsidP="00075B2F">
            <w:pPr>
              <w:pStyle w:val="tabele"/>
              <w:rPr>
                <w:b w:val="0"/>
                <w:bCs w:val="0"/>
                <w:lang w:val="en-GB"/>
              </w:rPr>
            </w:pPr>
            <w:r w:rsidRPr="004D2B9A">
              <w:rPr>
                <w:b w:val="0"/>
                <w:bCs w:val="0"/>
                <w:lang w:val="en-GB"/>
              </w:rPr>
              <w:t>kWh</w:t>
            </w:r>
          </w:p>
        </w:tc>
        <w:tc>
          <w:tcPr>
            <w:tcW w:w="972" w:type="dxa"/>
            <w:tcBorders>
              <w:top w:val="nil"/>
              <w:left w:val="nil"/>
              <w:bottom w:val="single" w:sz="4" w:space="0" w:color="auto"/>
              <w:right w:val="single" w:sz="4" w:space="0" w:color="auto"/>
            </w:tcBorders>
            <w:noWrap/>
            <w:vAlign w:val="center"/>
            <w:hideMark/>
          </w:tcPr>
          <w:p w14:paraId="26060164" w14:textId="77777777" w:rsidR="00AC7CB0" w:rsidRPr="004D2B9A" w:rsidRDefault="00AC7CB0" w:rsidP="00075B2F">
            <w:pPr>
              <w:pStyle w:val="tabele"/>
              <w:rPr>
                <w:b w:val="0"/>
                <w:bCs w:val="0"/>
                <w:lang w:val="en-GB"/>
              </w:rPr>
            </w:pPr>
            <w:r w:rsidRPr="004D2B9A">
              <w:rPr>
                <w:b w:val="0"/>
                <w:bCs w:val="0"/>
                <w:lang w:val="en-GB"/>
              </w:rPr>
              <w:t>kWh</w:t>
            </w:r>
          </w:p>
        </w:tc>
        <w:tc>
          <w:tcPr>
            <w:tcW w:w="740" w:type="dxa"/>
            <w:tcBorders>
              <w:top w:val="nil"/>
              <w:left w:val="nil"/>
              <w:bottom w:val="single" w:sz="4" w:space="0" w:color="auto"/>
              <w:right w:val="single" w:sz="4" w:space="0" w:color="auto"/>
            </w:tcBorders>
            <w:noWrap/>
            <w:vAlign w:val="center"/>
            <w:hideMark/>
          </w:tcPr>
          <w:p w14:paraId="4F70168B" w14:textId="77777777" w:rsidR="00AC7CB0" w:rsidRPr="004D2B9A" w:rsidRDefault="00AC7CB0" w:rsidP="00075B2F">
            <w:pPr>
              <w:pStyle w:val="tabele"/>
              <w:rPr>
                <w:b w:val="0"/>
                <w:bCs w:val="0"/>
                <w:lang w:val="en-GB"/>
              </w:rPr>
            </w:pPr>
            <w:r w:rsidRPr="004D2B9A">
              <w:rPr>
                <w:b w:val="0"/>
                <w:bCs w:val="0"/>
                <w:lang w:val="en-GB"/>
              </w:rPr>
              <w:t>kWh</w:t>
            </w:r>
          </w:p>
        </w:tc>
        <w:tc>
          <w:tcPr>
            <w:tcW w:w="760" w:type="dxa"/>
            <w:tcBorders>
              <w:top w:val="nil"/>
              <w:left w:val="nil"/>
              <w:bottom w:val="single" w:sz="4" w:space="0" w:color="auto"/>
              <w:right w:val="single" w:sz="4" w:space="0" w:color="auto"/>
            </w:tcBorders>
            <w:noWrap/>
            <w:vAlign w:val="center"/>
            <w:hideMark/>
          </w:tcPr>
          <w:p w14:paraId="1A1DBBB3" w14:textId="77777777" w:rsidR="00AC7CB0" w:rsidRPr="004D2B9A" w:rsidRDefault="00AC7CB0" w:rsidP="00075B2F">
            <w:pPr>
              <w:pStyle w:val="tabele"/>
              <w:rPr>
                <w:b w:val="0"/>
                <w:bCs w:val="0"/>
                <w:lang w:val="en-GB"/>
              </w:rPr>
            </w:pPr>
            <w:r w:rsidRPr="004D2B9A">
              <w:rPr>
                <w:b w:val="0"/>
                <w:bCs w:val="0"/>
                <w:lang w:val="en-GB"/>
              </w:rPr>
              <w:t>kWh</w:t>
            </w:r>
          </w:p>
        </w:tc>
        <w:tc>
          <w:tcPr>
            <w:tcW w:w="972" w:type="dxa"/>
            <w:tcBorders>
              <w:top w:val="nil"/>
              <w:left w:val="nil"/>
              <w:bottom w:val="single" w:sz="4" w:space="0" w:color="auto"/>
              <w:right w:val="single" w:sz="4" w:space="0" w:color="auto"/>
            </w:tcBorders>
            <w:noWrap/>
            <w:vAlign w:val="center"/>
            <w:hideMark/>
          </w:tcPr>
          <w:p w14:paraId="01B67668" w14:textId="77777777" w:rsidR="00AC7CB0" w:rsidRPr="004D2B9A" w:rsidRDefault="00AC7CB0" w:rsidP="00075B2F">
            <w:pPr>
              <w:pStyle w:val="tabele"/>
              <w:rPr>
                <w:b w:val="0"/>
                <w:bCs w:val="0"/>
                <w:lang w:val="en-GB"/>
              </w:rPr>
            </w:pPr>
            <w:r w:rsidRPr="004D2B9A">
              <w:rPr>
                <w:b w:val="0"/>
                <w:bCs w:val="0"/>
                <w:lang w:val="en-GB"/>
              </w:rPr>
              <w:t>kWh</w:t>
            </w:r>
          </w:p>
        </w:tc>
        <w:tc>
          <w:tcPr>
            <w:tcW w:w="864" w:type="dxa"/>
            <w:tcBorders>
              <w:top w:val="nil"/>
              <w:left w:val="nil"/>
              <w:bottom w:val="single" w:sz="4" w:space="0" w:color="auto"/>
              <w:right w:val="single" w:sz="4" w:space="0" w:color="auto"/>
            </w:tcBorders>
            <w:noWrap/>
            <w:vAlign w:val="center"/>
            <w:hideMark/>
          </w:tcPr>
          <w:p w14:paraId="4FE925FC" w14:textId="77777777" w:rsidR="00AC7CB0" w:rsidRPr="004D2B9A" w:rsidRDefault="00AC7CB0" w:rsidP="00075B2F">
            <w:pPr>
              <w:pStyle w:val="tabele"/>
              <w:rPr>
                <w:b w:val="0"/>
                <w:bCs w:val="0"/>
                <w:lang w:val="en-GB"/>
              </w:rPr>
            </w:pPr>
            <w:r w:rsidRPr="004D2B9A">
              <w:rPr>
                <w:b w:val="0"/>
                <w:bCs w:val="0"/>
                <w:lang w:val="en-GB"/>
              </w:rPr>
              <w:t>kWh</w:t>
            </w:r>
          </w:p>
        </w:tc>
        <w:tc>
          <w:tcPr>
            <w:tcW w:w="850" w:type="dxa"/>
            <w:tcBorders>
              <w:top w:val="nil"/>
              <w:left w:val="nil"/>
              <w:bottom w:val="single" w:sz="4" w:space="0" w:color="auto"/>
              <w:right w:val="single" w:sz="4" w:space="0" w:color="auto"/>
            </w:tcBorders>
            <w:noWrap/>
            <w:vAlign w:val="center"/>
            <w:hideMark/>
          </w:tcPr>
          <w:p w14:paraId="3E6302DA" w14:textId="77777777" w:rsidR="00AC7CB0" w:rsidRPr="004D2B9A" w:rsidRDefault="00AC7CB0" w:rsidP="00075B2F">
            <w:pPr>
              <w:pStyle w:val="tabele"/>
              <w:rPr>
                <w:b w:val="0"/>
                <w:bCs w:val="0"/>
                <w:lang w:val="en-GB"/>
              </w:rPr>
            </w:pPr>
            <w:r w:rsidRPr="004D2B9A">
              <w:rPr>
                <w:b w:val="0"/>
                <w:bCs w:val="0"/>
                <w:lang w:val="en-GB"/>
              </w:rPr>
              <w:t>kWh</w:t>
            </w:r>
          </w:p>
        </w:tc>
        <w:tc>
          <w:tcPr>
            <w:tcW w:w="972" w:type="dxa"/>
            <w:tcBorders>
              <w:top w:val="nil"/>
              <w:left w:val="nil"/>
              <w:bottom w:val="single" w:sz="4" w:space="0" w:color="auto"/>
              <w:right w:val="single" w:sz="4" w:space="0" w:color="auto"/>
            </w:tcBorders>
            <w:noWrap/>
            <w:vAlign w:val="center"/>
            <w:hideMark/>
          </w:tcPr>
          <w:p w14:paraId="7771288E" w14:textId="77777777" w:rsidR="00AC7CB0" w:rsidRPr="004D2B9A" w:rsidRDefault="00AC7CB0" w:rsidP="00075B2F">
            <w:pPr>
              <w:pStyle w:val="tabele"/>
              <w:rPr>
                <w:b w:val="0"/>
                <w:bCs w:val="0"/>
                <w:lang w:val="en-GB"/>
              </w:rPr>
            </w:pPr>
            <w:r w:rsidRPr="004D2B9A">
              <w:rPr>
                <w:b w:val="0"/>
                <w:bCs w:val="0"/>
                <w:lang w:val="en-GB"/>
              </w:rPr>
              <w:t>kWh</w:t>
            </w:r>
          </w:p>
        </w:tc>
      </w:tr>
      <w:tr w:rsidR="00AC7CB0" w:rsidRPr="004D2B9A" w14:paraId="7F584301" w14:textId="77777777" w:rsidTr="00FA6C53">
        <w:trPr>
          <w:trHeight w:val="300"/>
          <w:jc w:val="center"/>
        </w:trPr>
        <w:tc>
          <w:tcPr>
            <w:tcW w:w="861" w:type="dxa"/>
            <w:tcBorders>
              <w:top w:val="nil"/>
              <w:left w:val="single" w:sz="4" w:space="0" w:color="auto"/>
              <w:bottom w:val="single" w:sz="4" w:space="0" w:color="auto"/>
              <w:right w:val="single" w:sz="4" w:space="0" w:color="auto"/>
            </w:tcBorders>
            <w:noWrap/>
            <w:vAlign w:val="center"/>
            <w:hideMark/>
          </w:tcPr>
          <w:p w14:paraId="337B98E4" w14:textId="77777777" w:rsidR="00AC7CB0" w:rsidRPr="004D2B9A" w:rsidRDefault="00AC7CB0" w:rsidP="00075B2F">
            <w:pPr>
              <w:pStyle w:val="tabele"/>
              <w:rPr>
                <w:b w:val="0"/>
                <w:bCs w:val="0"/>
                <w:lang w:val="en-GB"/>
              </w:rPr>
            </w:pPr>
            <w:r w:rsidRPr="004D2B9A">
              <w:rPr>
                <w:b w:val="0"/>
                <w:bCs w:val="0"/>
                <w:lang w:val="en-GB"/>
              </w:rPr>
              <w:t>I</w:t>
            </w:r>
          </w:p>
        </w:tc>
        <w:tc>
          <w:tcPr>
            <w:tcW w:w="880" w:type="dxa"/>
            <w:tcBorders>
              <w:top w:val="nil"/>
              <w:left w:val="nil"/>
              <w:bottom w:val="single" w:sz="4" w:space="0" w:color="auto"/>
              <w:right w:val="single" w:sz="4" w:space="0" w:color="auto"/>
            </w:tcBorders>
            <w:noWrap/>
            <w:vAlign w:val="center"/>
            <w:hideMark/>
          </w:tcPr>
          <w:p w14:paraId="27A541B0" w14:textId="77777777" w:rsidR="00AC7CB0" w:rsidRPr="004D2B9A" w:rsidRDefault="00AC7CB0" w:rsidP="00075B2F">
            <w:pPr>
              <w:pStyle w:val="tabele"/>
              <w:rPr>
                <w:b w:val="0"/>
                <w:bCs w:val="0"/>
                <w:lang w:val="en-GB"/>
              </w:rPr>
            </w:pPr>
            <w:r w:rsidRPr="004D2B9A">
              <w:rPr>
                <w:b w:val="0"/>
                <w:bCs w:val="0"/>
                <w:lang w:val="en-GB"/>
              </w:rPr>
              <w:t>536</w:t>
            </w:r>
          </w:p>
        </w:tc>
        <w:tc>
          <w:tcPr>
            <w:tcW w:w="760" w:type="dxa"/>
            <w:tcBorders>
              <w:top w:val="nil"/>
              <w:left w:val="nil"/>
              <w:bottom w:val="single" w:sz="4" w:space="0" w:color="auto"/>
              <w:right w:val="single" w:sz="4" w:space="0" w:color="auto"/>
            </w:tcBorders>
            <w:noWrap/>
            <w:vAlign w:val="center"/>
            <w:hideMark/>
          </w:tcPr>
          <w:p w14:paraId="09D5D522" w14:textId="77777777" w:rsidR="00AC7CB0" w:rsidRPr="004D2B9A" w:rsidRDefault="00AC7CB0" w:rsidP="00075B2F">
            <w:pPr>
              <w:pStyle w:val="tabele"/>
              <w:rPr>
                <w:b w:val="0"/>
                <w:bCs w:val="0"/>
                <w:lang w:val="en-GB"/>
              </w:rPr>
            </w:pPr>
            <w:r w:rsidRPr="004D2B9A">
              <w:rPr>
                <w:b w:val="0"/>
                <w:bCs w:val="0"/>
                <w:lang w:val="en-GB"/>
              </w:rPr>
              <w:t>534</w:t>
            </w:r>
          </w:p>
        </w:tc>
        <w:tc>
          <w:tcPr>
            <w:tcW w:w="972" w:type="dxa"/>
            <w:tcBorders>
              <w:top w:val="nil"/>
              <w:left w:val="nil"/>
              <w:bottom w:val="single" w:sz="4" w:space="0" w:color="auto"/>
              <w:right w:val="single" w:sz="4" w:space="0" w:color="auto"/>
            </w:tcBorders>
            <w:noWrap/>
            <w:vAlign w:val="center"/>
            <w:hideMark/>
          </w:tcPr>
          <w:p w14:paraId="6B5E24CF" w14:textId="77777777" w:rsidR="00AC7CB0" w:rsidRPr="004D2B9A" w:rsidRDefault="00AC7CB0" w:rsidP="00075B2F">
            <w:pPr>
              <w:pStyle w:val="tabele"/>
              <w:rPr>
                <w:b w:val="0"/>
                <w:bCs w:val="0"/>
                <w:lang w:val="en-GB"/>
              </w:rPr>
            </w:pPr>
            <w:r w:rsidRPr="004D2B9A">
              <w:rPr>
                <w:b w:val="0"/>
                <w:bCs w:val="0"/>
                <w:lang w:val="en-GB"/>
              </w:rPr>
              <w:t>2</w:t>
            </w:r>
          </w:p>
        </w:tc>
        <w:tc>
          <w:tcPr>
            <w:tcW w:w="740" w:type="dxa"/>
            <w:tcBorders>
              <w:top w:val="nil"/>
              <w:left w:val="nil"/>
              <w:bottom w:val="single" w:sz="4" w:space="0" w:color="auto"/>
              <w:right w:val="single" w:sz="4" w:space="0" w:color="auto"/>
            </w:tcBorders>
            <w:noWrap/>
            <w:vAlign w:val="center"/>
            <w:hideMark/>
          </w:tcPr>
          <w:p w14:paraId="15B70087" w14:textId="77777777" w:rsidR="00AC7CB0" w:rsidRPr="004D2B9A" w:rsidRDefault="00AC7CB0" w:rsidP="00075B2F">
            <w:pPr>
              <w:pStyle w:val="tabele"/>
              <w:rPr>
                <w:b w:val="0"/>
                <w:bCs w:val="0"/>
                <w:lang w:val="en-GB"/>
              </w:rPr>
            </w:pPr>
            <w:r w:rsidRPr="004D2B9A">
              <w:rPr>
                <w:b w:val="0"/>
                <w:bCs w:val="0"/>
                <w:lang w:val="en-GB"/>
              </w:rPr>
              <w:t>507</w:t>
            </w:r>
          </w:p>
        </w:tc>
        <w:tc>
          <w:tcPr>
            <w:tcW w:w="760" w:type="dxa"/>
            <w:tcBorders>
              <w:top w:val="nil"/>
              <w:left w:val="nil"/>
              <w:bottom w:val="single" w:sz="4" w:space="0" w:color="auto"/>
              <w:right w:val="single" w:sz="4" w:space="0" w:color="auto"/>
            </w:tcBorders>
            <w:noWrap/>
            <w:vAlign w:val="center"/>
            <w:hideMark/>
          </w:tcPr>
          <w:p w14:paraId="289C011A" w14:textId="77777777" w:rsidR="00AC7CB0" w:rsidRPr="004D2B9A" w:rsidRDefault="00AC7CB0" w:rsidP="00075B2F">
            <w:pPr>
              <w:pStyle w:val="tabele"/>
              <w:rPr>
                <w:b w:val="0"/>
                <w:bCs w:val="0"/>
                <w:lang w:val="en-GB"/>
              </w:rPr>
            </w:pPr>
            <w:r w:rsidRPr="004D2B9A">
              <w:rPr>
                <w:b w:val="0"/>
                <w:bCs w:val="0"/>
                <w:lang w:val="en-GB"/>
              </w:rPr>
              <w:t>506</w:t>
            </w:r>
          </w:p>
        </w:tc>
        <w:tc>
          <w:tcPr>
            <w:tcW w:w="972" w:type="dxa"/>
            <w:tcBorders>
              <w:top w:val="nil"/>
              <w:left w:val="nil"/>
              <w:bottom w:val="single" w:sz="4" w:space="0" w:color="auto"/>
              <w:right w:val="single" w:sz="4" w:space="0" w:color="auto"/>
            </w:tcBorders>
            <w:noWrap/>
            <w:vAlign w:val="center"/>
            <w:hideMark/>
          </w:tcPr>
          <w:p w14:paraId="03E315EB" w14:textId="77777777" w:rsidR="00AC7CB0" w:rsidRPr="004D2B9A" w:rsidRDefault="00AC7CB0" w:rsidP="00075B2F">
            <w:pPr>
              <w:pStyle w:val="tabele"/>
              <w:rPr>
                <w:b w:val="0"/>
                <w:bCs w:val="0"/>
                <w:lang w:val="en-GB"/>
              </w:rPr>
            </w:pPr>
            <w:r w:rsidRPr="004D2B9A">
              <w:rPr>
                <w:b w:val="0"/>
                <w:bCs w:val="0"/>
                <w:lang w:val="en-GB"/>
              </w:rPr>
              <w:t>1</w:t>
            </w:r>
          </w:p>
        </w:tc>
        <w:tc>
          <w:tcPr>
            <w:tcW w:w="864" w:type="dxa"/>
            <w:tcBorders>
              <w:top w:val="nil"/>
              <w:left w:val="nil"/>
              <w:bottom w:val="single" w:sz="4" w:space="0" w:color="auto"/>
              <w:right w:val="single" w:sz="4" w:space="0" w:color="auto"/>
            </w:tcBorders>
            <w:noWrap/>
            <w:vAlign w:val="center"/>
            <w:hideMark/>
          </w:tcPr>
          <w:p w14:paraId="39CC992F" w14:textId="77777777" w:rsidR="00AC7CB0" w:rsidRPr="004D2B9A" w:rsidRDefault="00AC7CB0" w:rsidP="00075B2F">
            <w:pPr>
              <w:pStyle w:val="tabele"/>
              <w:rPr>
                <w:b w:val="0"/>
                <w:bCs w:val="0"/>
                <w:lang w:val="en-GB"/>
              </w:rPr>
            </w:pPr>
            <w:r w:rsidRPr="004D2B9A">
              <w:rPr>
                <w:b w:val="0"/>
                <w:bCs w:val="0"/>
                <w:lang w:val="en-GB"/>
              </w:rPr>
              <w:t>526</w:t>
            </w:r>
          </w:p>
        </w:tc>
        <w:tc>
          <w:tcPr>
            <w:tcW w:w="850" w:type="dxa"/>
            <w:tcBorders>
              <w:top w:val="nil"/>
              <w:left w:val="nil"/>
              <w:bottom w:val="single" w:sz="4" w:space="0" w:color="auto"/>
              <w:right w:val="single" w:sz="4" w:space="0" w:color="auto"/>
            </w:tcBorders>
            <w:noWrap/>
            <w:vAlign w:val="center"/>
            <w:hideMark/>
          </w:tcPr>
          <w:p w14:paraId="791D7E7B" w14:textId="77777777" w:rsidR="00AC7CB0" w:rsidRPr="004D2B9A" w:rsidRDefault="00AC7CB0" w:rsidP="00075B2F">
            <w:pPr>
              <w:pStyle w:val="tabele"/>
              <w:rPr>
                <w:b w:val="0"/>
                <w:bCs w:val="0"/>
                <w:lang w:val="en-GB"/>
              </w:rPr>
            </w:pPr>
            <w:r w:rsidRPr="004D2B9A">
              <w:rPr>
                <w:b w:val="0"/>
                <w:bCs w:val="0"/>
                <w:lang w:val="en-GB"/>
              </w:rPr>
              <w:t>526</w:t>
            </w:r>
          </w:p>
        </w:tc>
        <w:tc>
          <w:tcPr>
            <w:tcW w:w="972" w:type="dxa"/>
            <w:tcBorders>
              <w:top w:val="nil"/>
              <w:left w:val="nil"/>
              <w:bottom w:val="single" w:sz="4" w:space="0" w:color="auto"/>
              <w:right w:val="single" w:sz="4" w:space="0" w:color="auto"/>
            </w:tcBorders>
            <w:noWrap/>
            <w:vAlign w:val="center"/>
            <w:hideMark/>
          </w:tcPr>
          <w:p w14:paraId="7B8A2FCA" w14:textId="77777777" w:rsidR="00AC7CB0" w:rsidRPr="004D2B9A" w:rsidRDefault="00AC7CB0" w:rsidP="00075B2F">
            <w:pPr>
              <w:pStyle w:val="tabele"/>
              <w:rPr>
                <w:b w:val="0"/>
                <w:bCs w:val="0"/>
                <w:lang w:val="en-GB"/>
              </w:rPr>
            </w:pPr>
            <w:r w:rsidRPr="004D2B9A">
              <w:rPr>
                <w:b w:val="0"/>
                <w:bCs w:val="0"/>
                <w:lang w:val="en-GB"/>
              </w:rPr>
              <w:t>0</w:t>
            </w:r>
          </w:p>
        </w:tc>
      </w:tr>
      <w:tr w:rsidR="00AC7CB0" w:rsidRPr="004D2B9A" w14:paraId="33CE0D82" w14:textId="77777777" w:rsidTr="00FA6C53">
        <w:trPr>
          <w:trHeight w:val="300"/>
          <w:jc w:val="center"/>
        </w:trPr>
        <w:tc>
          <w:tcPr>
            <w:tcW w:w="861" w:type="dxa"/>
            <w:tcBorders>
              <w:top w:val="nil"/>
              <w:left w:val="single" w:sz="4" w:space="0" w:color="auto"/>
              <w:bottom w:val="single" w:sz="4" w:space="0" w:color="auto"/>
              <w:right w:val="single" w:sz="4" w:space="0" w:color="auto"/>
            </w:tcBorders>
            <w:noWrap/>
            <w:vAlign w:val="center"/>
            <w:hideMark/>
          </w:tcPr>
          <w:p w14:paraId="780F697B" w14:textId="77777777" w:rsidR="00AC7CB0" w:rsidRPr="004D2B9A" w:rsidRDefault="00AC7CB0" w:rsidP="00075B2F">
            <w:pPr>
              <w:pStyle w:val="tabele"/>
              <w:rPr>
                <w:b w:val="0"/>
                <w:bCs w:val="0"/>
                <w:lang w:val="en-GB"/>
              </w:rPr>
            </w:pPr>
            <w:r w:rsidRPr="004D2B9A">
              <w:rPr>
                <w:b w:val="0"/>
                <w:bCs w:val="0"/>
                <w:lang w:val="en-GB"/>
              </w:rPr>
              <w:t>II</w:t>
            </w:r>
          </w:p>
        </w:tc>
        <w:tc>
          <w:tcPr>
            <w:tcW w:w="880" w:type="dxa"/>
            <w:tcBorders>
              <w:top w:val="nil"/>
              <w:left w:val="nil"/>
              <w:bottom w:val="single" w:sz="4" w:space="0" w:color="auto"/>
              <w:right w:val="single" w:sz="4" w:space="0" w:color="auto"/>
            </w:tcBorders>
            <w:noWrap/>
            <w:vAlign w:val="center"/>
            <w:hideMark/>
          </w:tcPr>
          <w:p w14:paraId="024E9816" w14:textId="77777777" w:rsidR="00AC7CB0" w:rsidRPr="004D2B9A" w:rsidRDefault="00AC7CB0" w:rsidP="00075B2F">
            <w:pPr>
              <w:pStyle w:val="tabele"/>
              <w:rPr>
                <w:b w:val="0"/>
                <w:bCs w:val="0"/>
                <w:lang w:val="en-GB"/>
              </w:rPr>
            </w:pPr>
            <w:r w:rsidRPr="004D2B9A">
              <w:rPr>
                <w:b w:val="0"/>
                <w:bCs w:val="0"/>
                <w:lang w:val="en-GB"/>
              </w:rPr>
              <w:t>468</w:t>
            </w:r>
          </w:p>
        </w:tc>
        <w:tc>
          <w:tcPr>
            <w:tcW w:w="760" w:type="dxa"/>
            <w:tcBorders>
              <w:top w:val="nil"/>
              <w:left w:val="nil"/>
              <w:bottom w:val="single" w:sz="4" w:space="0" w:color="auto"/>
              <w:right w:val="single" w:sz="4" w:space="0" w:color="auto"/>
            </w:tcBorders>
            <w:noWrap/>
            <w:vAlign w:val="center"/>
            <w:hideMark/>
          </w:tcPr>
          <w:p w14:paraId="1C2D35F9" w14:textId="77777777" w:rsidR="00AC7CB0" w:rsidRPr="004D2B9A" w:rsidRDefault="00AC7CB0" w:rsidP="00075B2F">
            <w:pPr>
              <w:pStyle w:val="tabele"/>
              <w:rPr>
                <w:b w:val="0"/>
                <w:bCs w:val="0"/>
                <w:lang w:val="en-GB"/>
              </w:rPr>
            </w:pPr>
            <w:r w:rsidRPr="004D2B9A">
              <w:rPr>
                <w:b w:val="0"/>
                <w:bCs w:val="0"/>
                <w:lang w:val="en-GB"/>
              </w:rPr>
              <w:t>467</w:t>
            </w:r>
          </w:p>
        </w:tc>
        <w:tc>
          <w:tcPr>
            <w:tcW w:w="972" w:type="dxa"/>
            <w:tcBorders>
              <w:top w:val="nil"/>
              <w:left w:val="nil"/>
              <w:bottom w:val="single" w:sz="4" w:space="0" w:color="auto"/>
              <w:right w:val="single" w:sz="4" w:space="0" w:color="auto"/>
            </w:tcBorders>
            <w:noWrap/>
            <w:vAlign w:val="center"/>
            <w:hideMark/>
          </w:tcPr>
          <w:p w14:paraId="0D7C4ADC" w14:textId="77777777" w:rsidR="00AC7CB0" w:rsidRPr="004D2B9A" w:rsidRDefault="00AC7CB0" w:rsidP="00075B2F">
            <w:pPr>
              <w:pStyle w:val="tabele"/>
              <w:rPr>
                <w:b w:val="0"/>
                <w:bCs w:val="0"/>
                <w:lang w:val="en-GB"/>
              </w:rPr>
            </w:pPr>
            <w:r w:rsidRPr="004D2B9A">
              <w:rPr>
                <w:b w:val="0"/>
                <w:bCs w:val="0"/>
                <w:lang w:val="en-GB"/>
              </w:rPr>
              <w:t>0</w:t>
            </w:r>
          </w:p>
        </w:tc>
        <w:tc>
          <w:tcPr>
            <w:tcW w:w="740" w:type="dxa"/>
            <w:tcBorders>
              <w:top w:val="nil"/>
              <w:left w:val="nil"/>
              <w:bottom w:val="single" w:sz="4" w:space="0" w:color="auto"/>
              <w:right w:val="single" w:sz="4" w:space="0" w:color="auto"/>
            </w:tcBorders>
            <w:noWrap/>
            <w:vAlign w:val="center"/>
            <w:hideMark/>
          </w:tcPr>
          <w:p w14:paraId="74508348" w14:textId="77777777" w:rsidR="00AC7CB0" w:rsidRPr="004D2B9A" w:rsidRDefault="00AC7CB0" w:rsidP="00075B2F">
            <w:pPr>
              <w:pStyle w:val="tabele"/>
              <w:rPr>
                <w:b w:val="0"/>
                <w:bCs w:val="0"/>
                <w:lang w:val="en-GB"/>
              </w:rPr>
            </w:pPr>
            <w:r w:rsidRPr="004D2B9A">
              <w:rPr>
                <w:b w:val="0"/>
                <w:bCs w:val="0"/>
                <w:lang w:val="en-GB"/>
              </w:rPr>
              <w:t>441</w:t>
            </w:r>
          </w:p>
        </w:tc>
        <w:tc>
          <w:tcPr>
            <w:tcW w:w="760" w:type="dxa"/>
            <w:tcBorders>
              <w:top w:val="nil"/>
              <w:left w:val="nil"/>
              <w:bottom w:val="single" w:sz="4" w:space="0" w:color="auto"/>
              <w:right w:val="single" w:sz="4" w:space="0" w:color="auto"/>
            </w:tcBorders>
            <w:noWrap/>
            <w:vAlign w:val="center"/>
            <w:hideMark/>
          </w:tcPr>
          <w:p w14:paraId="4FC9452F" w14:textId="77777777" w:rsidR="00AC7CB0" w:rsidRPr="004D2B9A" w:rsidRDefault="00AC7CB0" w:rsidP="00075B2F">
            <w:pPr>
              <w:pStyle w:val="tabele"/>
              <w:rPr>
                <w:b w:val="0"/>
                <w:bCs w:val="0"/>
                <w:lang w:val="en-GB"/>
              </w:rPr>
            </w:pPr>
            <w:r w:rsidRPr="004D2B9A">
              <w:rPr>
                <w:b w:val="0"/>
                <w:bCs w:val="0"/>
                <w:lang w:val="en-GB"/>
              </w:rPr>
              <w:t>440</w:t>
            </w:r>
          </w:p>
        </w:tc>
        <w:tc>
          <w:tcPr>
            <w:tcW w:w="972" w:type="dxa"/>
            <w:tcBorders>
              <w:top w:val="nil"/>
              <w:left w:val="nil"/>
              <w:bottom w:val="single" w:sz="4" w:space="0" w:color="auto"/>
              <w:right w:val="single" w:sz="4" w:space="0" w:color="auto"/>
            </w:tcBorders>
            <w:noWrap/>
            <w:vAlign w:val="center"/>
            <w:hideMark/>
          </w:tcPr>
          <w:p w14:paraId="777008CB" w14:textId="77777777" w:rsidR="00AC7CB0" w:rsidRPr="004D2B9A" w:rsidRDefault="00AC7CB0" w:rsidP="00075B2F">
            <w:pPr>
              <w:pStyle w:val="tabele"/>
              <w:rPr>
                <w:b w:val="0"/>
                <w:bCs w:val="0"/>
                <w:lang w:val="en-GB"/>
              </w:rPr>
            </w:pPr>
            <w:r w:rsidRPr="004D2B9A">
              <w:rPr>
                <w:b w:val="0"/>
                <w:bCs w:val="0"/>
                <w:lang w:val="en-GB"/>
              </w:rPr>
              <w:t>1</w:t>
            </w:r>
          </w:p>
        </w:tc>
        <w:tc>
          <w:tcPr>
            <w:tcW w:w="864" w:type="dxa"/>
            <w:tcBorders>
              <w:top w:val="nil"/>
              <w:left w:val="nil"/>
              <w:bottom w:val="single" w:sz="4" w:space="0" w:color="auto"/>
              <w:right w:val="single" w:sz="4" w:space="0" w:color="auto"/>
            </w:tcBorders>
            <w:noWrap/>
            <w:vAlign w:val="center"/>
            <w:hideMark/>
          </w:tcPr>
          <w:p w14:paraId="200E4318" w14:textId="77777777" w:rsidR="00AC7CB0" w:rsidRPr="004D2B9A" w:rsidRDefault="00AC7CB0" w:rsidP="00075B2F">
            <w:pPr>
              <w:pStyle w:val="tabele"/>
              <w:rPr>
                <w:b w:val="0"/>
                <w:bCs w:val="0"/>
                <w:lang w:val="en-GB"/>
              </w:rPr>
            </w:pPr>
            <w:r w:rsidRPr="004D2B9A">
              <w:rPr>
                <w:b w:val="0"/>
                <w:bCs w:val="0"/>
                <w:lang w:val="en-GB"/>
              </w:rPr>
              <w:t>455</w:t>
            </w:r>
          </w:p>
        </w:tc>
        <w:tc>
          <w:tcPr>
            <w:tcW w:w="850" w:type="dxa"/>
            <w:tcBorders>
              <w:top w:val="nil"/>
              <w:left w:val="nil"/>
              <w:bottom w:val="single" w:sz="4" w:space="0" w:color="auto"/>
              <w:right w:val="single" w:sz="4" w:space="0" w:color="auto"/>
            </w:tcBorders>
            <w:noWrap/>
            <w:vAlign w:val="center"/>
            <w:hideMark/>
          </w:tcPr>
          <w:p w14:paraId="5E30A032" w14:textId="77777777" w:rsidR="00AC7CB0" w:rsidRPr="004D2B9A" w:rsidRDefault="00AC7CB0" w:rsidP="00075B2F">
            <w:pPr>
              <w:pStyle w:val="tabele"/>
              <w:rPr>
                <w:b w:val="0"/>
                <w:bCs w:val="0"/>
                <w:lang w:val="en-GB"/>
              </w:rPr>
            </w:pPr>
            <w:r w:rsidRPr="004D2B9A">
              <w:rPr>
                <w:b w:val="0"/>
                <w:bCs w:val="0"/>
                <w:lang w:val="en-GB"/>
              </w:rPr>
              <w:t>454</w:t>
            </w:r>
          </w:p>
        </w:tc>
        <w:tc>
          <w:tcPr>
            <w:tcW w:w="972" w:type="dxa"/>
            <w:tcBorders>
              <w:top w:val="nil"/>
              <w:left w:val="nil"/>
              <w:bottom w:val="single" w:sz="4" w:space="0" w:color="auto"/>
              <w:right w:val="single" w:sz="4" w:space="0" w:color="auto"/>
            </w:tcBorders>
            <w:noWrap/>
            <w:vAlign w:val="center"/>
            <w:hideMark/>
          </w:tcPr>
          <w:p w14:paraId="0A7E8C03" w14:textId="77777777" w:rsidR="00AC7CB0" w:rsidRPr="004D2B9A" w:rsidRDefault="00AC7CB0" w:rsidP="00075B2F">
            <w:pPr>
              <w:pStyle w:val="tabele"/>
              <w:rPr>
                <w:b w:val="0"/>
                <w:bCs w:val="0"/>
                <w:lang w:val="en-GB"/>
              </w:rPr>
            </w:pPr>
            <w:r w:rsidRPr="004D2B9A">
              <w:rPr>
                <w:b w:val="0"/>
                <w:bCs w:val="0"/>
                <w:lang w:val="en-GB"/>
              </w:rPr>
              <w:t>1</w:t>
            </w:r>
          </w:p>
        </w:tc>
      </w:tr>
      <w:tr w:rsidR="00AC7CB0" w:rsidRPr="004D2B9A" w14:paraId="6E188DDA" w14:textId="77777777" w:rsidTr="00FA6C53">
        <w:trPr>
          <w:trHeight w:val="300"/>
          <w:jc w:val="center"/>
        </w:trPr>
        <w:tc>
          <w:tcPr>
            <w:tcW w:w="861" w:type="dxa"/>
            <w:tcBorders>
              <w:top w:val="nil"/>
              <w:left w:val="single" w:sz="4" w:space="0" w:color="auto"/>
              <w:bottom w:val="single" w:sz="4" w:space="0" w:color="auto"/>
              <w:right w:val="single" w:sz="4" w:space="0" w:color="auto"/>
            </w:tcBorders>
            <w:noWrap/>
            <w:vAlign w:val="center"/>
            <w:hideMark/>
          </w:tcPr>
          <w:p w14:paraId="02E8F378" w14:textId="77777777" w:rsidR="00AC7CB0" w:rsidRPr="004D2B9A" w:rsidRDefault="00AC7CB0" w:rsidP="00075B2F">
            <w:pPr>
              <w:pStyle w:val="tabele"/>
              <w:rPr>
                <w:b w:val="0"/>
                <w:bCs w:val="0"/>
                <w:lang w:val="en-GB"/>
              </w:rPr>
            </w:pPr>
            <w:r w:rsidRPr="004D2B9A">
              <w:rPr>
                <w:b w:val="0"/>
                <w:bCs w:val="0"/>
                <w:lang w:val="en-GB"/>
              </w:rPr>
              <w:t>III</w:t>
            </w:r>
          </w:p>
        </w:tc>
        <w:tc>
          <w:tcPr>
            <w:tcW w:w="880" w:type="dxa"/>
            <w:tcBorders>
              <w:top w:val="nil"/>
              <w:left w:val="nil"/>
              <w:bottom w:val="single" w:sz="4" w:space="0" w:color="auto"/>
              <w:right w:val="single" w:sz="4" w:space="0" w:color="auto"/>
            </w:tcBorders>
            <w:noWrap/>
            <w:vAlign w:val="center"/>
            <w:hideMark/>
          </w:tcPr>
          <w:p w14:paraId="3DD101C2" w14:textId="77777777" w:rsidR="00AC7CB0" w:rsidRPr="004D2B9A" w:rsidRDefault="00AC7CB0" w:rsidP="00075B2F">
            <w:pPr>
              <w:pStyle w:val="tabele"/>
              <w:rPr>
                <w:b w:val="0"/>
                <w:bCs w:val="0"/>
                <w:lang w:val="en-GB"/>
              </w:rPr>
            </w:pPr>
            <w:r w:rsidRPr="004D2B9A">
              <w:rPr>
                <w:b w:val="0"/>
                <w:bCs w:val="0"/>
                <w:lang w:val="en-GB"/>
              </w:rPr>
              <w:t>309</w:t>
            </w:r>
          </w:p>
        </w:tc>
        <w:tc>
          <w:tcPr>
            <w:tcW w:w="760" w:type="dxa"/>
            <w:tcBorders>
              <w:top w:val="nil"/>
              <w:left w:val="nil"/>
              <w:bottom w:val="single" w:sz="4" w:space="0" w:color="auto"/>
              <w:right w:val="single" w:sz="4" w:space="0" w:color="auto"/>
            </w:tcBorders>
            <w:noWrap/>
            <w:vAlign w:val="center"/>
            <w:hideMark/>
          </w:tcPr>
          <w:p w14:paraId="163D4E0B" w14:textId="77777777" w:rsidR="00AC7CB0" w:rsidRPr="004D2B9A" w:rsidRDefault="00AC7CB0" w:rsidP="00075B2F">
            <w:pPr>
              <w:pStyle w:val="tabele"/>
              <w:rPr>
                <w:b w:val="0"/>
                <w:bCs w:val="0"/>
                <w:lang w:val="en-GB"/>
              </w:rPr>
            </w:pPr>
            <w:r w:rsidRPr="004D2B9A">
              <w:rPr>
                <w:b w:val="0"/>
                <w:bCs w:val="0"/>
                <w:lang w:val="en-GB"/>
              </w:rPr>
              <w:t>306</w:t>
            </w:r>
          </w:p>
        </w:tc>
        <w:tc>
          <w:tcPr>
            <w:tcW w:w="972" w:type="dxa"/>
            <w:tcBorders>
              <w:top w:val="nil"/>
              <w:left w:val="nil"/>
              <w:bottom w:val="single" w:sz="4" w:space="0" w:color="auto"/>
              <w:right w:val="single" w:sz="4" w:space="0" w:color="auto"/>
            </w:tcBorders>
            <w:noWrap/>
            <w:vAlign w:val="center"/>
            <w:hideMark/>
          </w:tcPr>
          <w:p w14:paraId="48E7A8F4" w14:textId="77777777" w:rsidR="00AC7CB0" w:rsidRPr="004D2B9A" w:rsidRDefault="00AC7CB0" w:rsidP="00075B2F">
            <w:pPr>
              <w:pStyle w:val="tabele"/>
              <w:rPr>
                <w:b w:val="0"/>
                <w:bCs w:val="0"/>
                <w:lang w:val="en-GB"/>
              </w:rPr>
            </w:pPr>
            <w:r w:rsidRPr="004D2B9A">
              <w:rPr>
                <w:b w:val="0"/>
                <w:bCs w:val="0"/>
                <w:lang w:val="en-GB"/>
              </w:rPr>
              <w:t>3</w:t>
            </w:r>
          </w:p>
        </w:tc>
        <w:tc>
          <w:tcPr>
            <w:tcW w:w="740" w:type="dxa"/>
            <w:tcBorders>
              <w:top w:val="nil"/>
              <w:left w:val="nil"/>
              <w:bottom w:val="single" w:sz="4" w:space="0" w:color="auto"/>
              <w:right w:val="single" w:sz="4" w:space="0" w:color="auto"/>
            </w:tcBorders>
            <w:noWrap/>
            <w:vAlign w:val="center"/>
            <w:hideMark/>
          </w:tcPr>
          <w:p w14:paraId="7A4971E1" w14:textId="77777777" w:rsidR="00AC7CB0" w:rsidRPr="004D2B9A" w:rsidRDefault="00AC7CB0" w:rsidP="00075B2F">
            <w:pPr>
              <w:pStyle w:val="tabele"/>
              <w:rPr>
                <w:b w:val="0"/>
                <w:bCs w:val="0"/>
                <w:lang w:val="en-GB"/>
              </w:rPr>
            </w:pPr>
            <w:r w:rsidRPr="004D2B9A">
              <w:rPr>
                <w:b w:val="0"/>
                <w:bCs w:val="0"/>
                <w:lang w:val="en-GB"/>
              </w:rPr>
              <w:t>330</w:t>
            </w:r>
          </w:p>
        </w:tc>
        <w:tc>
          <w:tcPr>
            <w:tcW w:w="760" w:type="dxa"/>
            <w:tcBorders>
              <w:top w:val="nil"/>
              <w:left w:val="nil"/>
              <w:bottom w:val="single" w:sz="4" w:space="0" w:color="auto"/>
              <w:right w:val="single" w:sz="4" w:space="0" w:color="auto"/>
            </w:tcBorders>
            <w:noWrap/>
            <w:vAlign w:val="center"/>
            <w:hideMark/>
          </w:tcPr>
          <w:p w14:paraId="6EA2AB63" w14:textId="77777777" w:rsidR="00AC7CB0" w:rsidRPr="004D2B9A" w:rsidRDefault="00AC7CB0" w:rsidP="00075B2F">
            <w:pPr>
              <w:pStyle w:val="tabele"/>
              <w:rPr>
                <w:b w:val="0"/>
                <w:bCs w:val="0"/>
                <w:lang w:val="en-GB"/>
              </w:rPr>
            </w:pPr>
            <w:r w:rsidRPr="004D2B9A">
              <w:rPr>
                <w:b w:val="0"/>
                <w:bCs w:val="0"/>
                <w:lang w:val="en-GB"/>
              </w:rPr>
              <w:t>326</w:t>
            </w:r>
          </w:p>
        </w:tc>
        <w:tc>
          <w:tcPr>
            <w:tcW w:w="972" w:type="dxa"/>
            <w:tcBorders>
              <w:top w:val="nil"/>
              <w:left w:val="nil"/>
              <w:bottom w:val="single" w:sz="4" w:space="0" w:color="auto"/>
              <w:right w:val="single" w:sz="4" w:space="0" w:color="auto"/>
            </w:tcBorders>
            <w:noWrap/>
            <w:vAlign w:val="center"/>
            <w:hideMark/>
          </w:tcPr>
          <w:p w14:paraId="7195EF78" w14:textId="77777777" w:rsidR="00AC7CB0" w:rsidRPr="004D2B9A" w:rsidRDefault="00AC7CB0" w:rsidP="00075B2F">
            <w:pPr>
              <w:pStyle w:val="tabele"/>
              <w:rPr>
                <w:b w:val="0"/>
                <w:bCs w:val="0"/>
                <w:lang w:val="en-GB"/>
              </w:rPr>
            </w:pPr>
            <w:r w:rsidRPr="004D2B9A">
              <w:rPr>
                <w:b w:val="0"/>
                <w:bCs w:val="0"/>
                <w:lang w:val="en-GB"/>
              </w:rPr>
              <w:t>4</w:t>
            </w:r>
          </w:p>
        </w:tc>
        <w:tc>
          <w:tcPr>
            <w:tcW w:w="864" w:type="dxa"/>
            <w:tcBorders>
              <w:top w:val="nil"/>
              <w:left w:val="nil"/>
              <w:bottom w:val="single" w:sz="4" w:space="0" w:color="auto"/>
              <w:right w:val="single" w:sz="4" w:space="0" w:color="auto"/>
            </w:tcBorders>
            <w:noWrap/>
            <w:vAlign w:val="center"/>
            <w:hideMark/>
          </w:tcPr>
          <w:p w14:paraId="2010CE33" w14:textId="77777777" w:rsidR="00AC7CB0" w:rsidRPr="004D2B9A" w:rsidRDefault="00AC7CB0" w:rsidP="00075B2F">
            <w:pPr>
              <w:pStyle w:val="tabele"/>
              <w:rPr>
                <w:b w:val="0"/>
                <w:bCs w:val="0"/>
                <w:lang w:val="en-GB"/>
              </w:rPr>
            </w:pPr>
            <w:r w:rsidRPr="004D2B9A">
              <w:rPr>
                <w:b w:val="0"/>
                <w:bCs w:val="0"/>
                <w:lang w:val="en-GB"/>
              </w:rPr>
              <w:t>283</w:t>
            </w:r>
          </w:p>
        </w:tc>
        <w:tc>
          <w:tcPr>
            <w:tcW w:w="850" w:type="dxa"/>
            <w:tcBorders>
              <w:top w:val="nil"/>
              <w:left w:val="nil"/>
              <w:bottom w:val="single" w:sz="4" w:space="0" w:color="auto"/>
              <w:right w:val="single" w:sz="4" w:space="0" w:color="auto"/>
            </w:tcBorders>
            <w:noWrap/>
            <w:vAlign w:val="center"/>
            <w:hideMark/>
          </w:tcPr>
          <w:p w14:paraId="3FC33AE4" w14:textId="77777777" w:rsidR="00AC7CB0" w:rsidRPr="004D2B9A" w:rsidRDefault="00AC7CB0" w:rsidP="00075B2F">
            <w:pPr>
              <w:pStyle w:val="tabele"/>
              <w:rPr>
                <w:b w:val="0"/>
                <w:bCs w:val="0"/>
                <w:lang w:val="en-GB"/>
              </w:rPr>
            </w:pPr>
            <w:r w:rsidRPr="004D2B9A">
              <w:rPr>
                <w:b w:val="0"/>
                <w:bCs w:val="0"/>
                <w:lang w:val="en-GB"/>
              </w:rPr>
              <w:t>280</w:t>
            </w:r>
          </w:p>
        </w:tc>
        <w:tc>
          <w:tcPr>
            <w:tcW w:w="972" w:type="dxa"/>
            <w:tcBorders>
              <w:top w:val="nil"/>
              <w:left w:val="nil"/>
              <w:bottom w:val="single" w:sz="4" w:space="0" w:color="auto"/>
              <w:right w:val="single" w:sz="4" w:space="0" w:color="auto"/>
            </w:tcBorders>
            <w:noWrap/>
            <w:vAlign w:val="center"/>
            <w:hideMark/>
          </w:tcPr>
          <w:p w14:paraId="3FB717CB" w14:textId="77777777" w:rsidR="00AC7CB0" w:rsidRPr="004D2B9A" w:rsidRDefault="00AC7CB0" w:rsidP="00075B2F">
            <w:pPr>
              <w:pStyle w:val="tabele"/>
              <w:rPr>
                <w:b w:val="0"/>
                <w:bCs w:val="0"/>
                <w:lang w:val="en-GB"/>
              </w:rPr>
            </w:pPr>
            <w:r w:rsidRPr="004D2B9A">
              <w:rPr>
                <w:b w:val="0"/>
                <w:bCs w:val="0"/>
                <w:lang w:val="en-GB"/>
              </w:rPr>
              <w:t>4</w:t>
            </w:r>
          </w:p>
        </w:tc>
      </w:tr>
      <w:tr w:rsidR="00AC7CB0" w:rsidRPr="004D2B9A" w14:paraId="08BA5123" w14:textId="77777777" w:rsidTr="00FA6C53">
        <w:trPr>
          <w:trHeight w:val="300"/>
          <w:jc w:val="center"/>
        </w:trPr>
        <w:tc>
          <w:tcPr>
            <w:tcW w:w="861" w:type="dxa"/>
            <w:tcBorders>
              <w:top w:val="nil"/>
              <w:left w:val="single" w:sz="4" w:space="0" w:color="auto"/>
              <w:bottom w:val="single" w:sz="4" w:space="0" w:color="auto"/>
              <w:right w:val="single" w:sz="4" w:space="0" w:color="auto"/>
            </w:tcBorders>
            <w:noWrap/>
            <w:vAlign w:val="center"/>
            <w:hideMark/>
          </w:tcPr>
          <w:p w14:paraId="3F06CC7F" w14:textId="77777777" w:rsidR="00AC7CB0" w:rsidRPr="004D2B9A" w:rsidRDefault="00AC7CB0" w:rsidP="00075B2F">
            <w:pPr>
              <w:pStyle w:val="tabele"/>
              <w:rPr>
                <w:b w:val="0"/>
                <w:bCs w:val="0"/>
                <w:lang w:val="en-GB"/>
              </w:rPr>
            </w:pPr>
            <w:r w:rsidRPr="004D2B9A">
              <w:rPr>
                <w:b w:val="0"/>
                <w:bCs w:val="0"/>
                <w:lang w:val="en-GB"/>
              </w:rPr>
              <w:t>IV</w:t>
            </w:r>
          </w:p>
        </w:tc>
        <w:tc>
          <w:tcPr>
            <w:tcW w:w="880" w:type="dxa"/>
            <w:tcBorders>
              <w:top w:val="nil"/>
              <w:left w:val="nil"/>
              <w:bottom w:val="single" w:sz="4" w:space="0" w:color="auto"/>
              <w:right w:val="single" w:sz="4" w:space="0" w:color="auto"/>
            </w:tcBorders>
            <w:noWrap/>
            <w:vAlign w:val="center"/>
            <w:hideMark/>
          </w:tcPr>
          <w:p w14:paraId="02DFF7FC" w14:textId="77777777" w:rsidR="00AC7CB0" w:rsidRPr="004D2B9A" w:rsidRDefault="00AC7CB0" w:rsidP="00075B2F">
            <w:pPr>
              <w:pStyle w:val="tabele"/>
              <w:rPr>
                <w:b w:val="0"/>
                <w:bCs w:val="0"/>
                <w:lang w:val="en-GB"/>
              </w:rPr>
            </w:pPr>
            <w:r w:rsidRPr="004D2B9A">
              <w:rPr>
                <w:b w:val="0"/>
                <w:bCs w:val="0"/>
                <w:lang w:val="en-GB"/>
              </w:rPr>
              <w:t>213</w:t>
            </w:r>
          </w:p>
        </w:tc>
        <w:tc>
          <w:tcPr>
            <w:tcW w:w="760" w:type="dxa"/>
            <w:tcBorders>
              <w:top w:val="nil"/>
              <w:left w:val="nil"/>
              <w:bottom w:val="single" w:sz="4" w:space="0" w:color="auto"/>
              <w:right w:val="single" w:sz="4" w:space="0" w:color="auto"/>
            </w:tcBorders>
            <w:noWrap/>
            <w:vAlign w:val="center"/>
            <w:hideMark/>
          </w:tcPr>
          <w:p w14:paraId="65393BD6" w14:textId="77777777" w:rsidR="00AC7CB0" w:rsidRPr="004D2B9A" w:rsidRDefault="00AC7CB0" w:rsidP="00075B2F">
            <w:pPr>
              <w:pStyle w:val="tabele"/>
              <w:rPr>
                <w:b w:val="0"/>
                <w:bCs w:val="0"/>
                <w:lang w:val="en-GB"/>
              </w:rPr>
            </w:pPr>
            <w:r w:rsidRPr="004D2B9A">
              <w:rPr>
                <w:b w:val="0"/>
                <w:bCs w:val="0"/>
                <w:lang w:val="en-GB"/>
              </w:rPr>
              <w:t>209</w:t>
            </w:r>
          </w:p>
        </w:tc>
        <w:tc>
          <w:tcPr>
            <w:tcW w:w="972" w:type="dxa"/>
            <w:tcBorders>
              <w:top w:val="nil"/>
              <w:left w:val="nil"/>
              <w:bottom w:val="single" w:sz="4" w:space="0" w:color="auto"/>
              <w:right w:val="single" w:sz="4" w:space="0" w:color="auto"/>
            </w:tcBorders>
            <w:noWrap/>
            <w:vAlign w:val="center"/>
            <w:hideMark/>
          </w:tcPr>
          <w:p w14:paraId="5FB970E9" w14:textId="77777777" w:rsidR="00AC7CB0" w:rsidRPr="004D2B9A" w:rsidRDefault="00AC7CB0" w:rsidP="00075B2F">
            <w:pPr>
              <w:pStyle w:val="tabele"/>
              <w:rPr>
                <w:b w:val="0"/>
                <w:bCs w:val="0"/>
                <w:lang w:val="en-GB"/>
              </w:rPr>
            </w:pPr>
            <w:r w:rsidRPr="004D2B9A">
              <w:rPr>
                <w:b w:val="0"/>
                <w:bCs w:val="0"/>
                <w:lang w:val="en-GB"/>
              </w:rPr>
              <w:t>3</w:t>
            </w:r>
          </w:p>
        </w:tc>
        <w:tc>
          <w:tcPr>
            <w:tcW w:w="740" w:type="dxa"/>
            <w:tcBorders>
              <w:top w:val="nil"/>
              <w:left w:val="nil"/>
              <w:bottom w:val="single" w:sz="4" w:space="0" w:color="auto"/>
              <w:right w:val="single" w:sz="4" w:space="0" w:color="auto"/>
            </w:tcBorders>
            <w:noWrap/>
            <w:vAlign w:val="center"/>
            <w:hideMark/>
          </w:tcPr>
          <w:p w14:paraId="682D8843" w14:textId="77777777" w:rsidR="00AC7CB0" w:rsidRPr="004D2B9A" w:rsidRDefault="00AC7CB0" w:rsidP="00075B2F">
            <w:pPr>
              <w:pStyle w:val="tabele"/>
              <w:rPr>
                <w:b w:val="0"/>
                <w:bCs w:val="0"/>
                <w:lang w:val="en-GB"/>
              </w:rPr>
            </w:pPr>
            <w:r w:rsidRPr="004D2B9A">
              <w:rPr>
                <w:b w:val="0"/>
                <w:bCs w:val="0"/>
                <w:lang w:val="en-GB"/>
              </w:rPr>
              <w:t>155</w:t>
            </w:r>
          </w:p>
        </w:tc>
        <w:tc>
          <w:tcPr>
            <w:tcW w:w="760" w:type="dxa"/>
            <w:tcBorders>
              <w:top w:val="nil"/>
              <w:left w:val="nil"/>
              <w:bottom w:val="single" w:sz="4" w:space="0" w:color="auto"/>
              <w:right w:val="single" w:sz="4" w:space="0" w:color="auto"/>
            </w:tcBorders>
            <w:noWrap/>
            <w:vAlign w:val="center"/>
            <w:hideMark/>
          </w:tcPr>
          <w:p w14:paraId="35D16894" w14:textId="77777777" w:rsidR="00AC7CB0" w:rsidRPr="004D2B9A" w:rsidRDefault="00AC7CB0" w:rsidP="00075B2F">
            <w:pPr>
              <w:pStyle w:val="tabele"/>
              <w:rPr>
                <w:b w:val="0"/>
                <w:bCs w:val="0"/>
                <w:lang w:val="en-GB"/>
              </w:rPr>
            </w:pPr>
            <w:r w:rsidRPr="004D2B9A">
              <w:rPr>
                <w:b w:val="0"/>
                <w:bCs w:val="0"/>
                <w:lang w:val="en-GB"/>
              </w:rPr>
              <w:t>153</w:t>
            </w:r>
          </w:p>
        </w:tc>
        <w:tc>
          <w:tcPr>
            <w:tcW w:w="972" w:type="dxa"/>
            <w:tcBorders>
              <w:top w:val="nil"/>
              <w:left w:val="nil"/>
              <w:bottom w:val="single" w:sz="4" w:space="0" w:color="auto"/>
              <w:right w:val="single" w:sz="4" w:space="0" w:color="auto"/>
            </w:tcBorders>
            <w:noWrap/>
            <w:vAlign w:val="center"/>
            <w:hideMark/>
          </w:tcPr>
          <w:p w14:paraId="3DA5C15E" w14:textId="77777777" w:rsidR="00AC7CB0" w:rsidRPr="004D2B9A" w:rsidRDefault="00AC7CB0" w:rsidP="00075B2F">
            <w:pPr>
              <w:pStyle w:val="tabele"/>
              <w:rPr>
                <w:b w:val="0"/>
                <w:bCs w:val="0"/>
                <w:lang w:val="en-GB"/>
              </w:rPr>
            </w:pPr>
            <w:r w:rsidRPr="004D2B9A">
              <w:rPr>
                <w:b w:val="0"/>
                <w:bCs w:val="0"/>
                <w:lang w:val="en-GB"/>
              </w:rPr>
              <w:t>2</w:t>
            </w:r>
          </w:p>
        </w:tc>
        <w:tc>
          <w:tcPr>
            <w:tcW w:w="864" w:type="dxa"/>
            <w:tcBorders>
              <w:top w:val="nil"/>
              <w:left w:val="nil"/>
              <w:bottom w:val="single" w:sz="4" w:space="0" w:color="auto"/>
              <w:right w:val="single" w:sz="4" w:space="0" w:color="auto"/>
            </w:tcBorders>
            <w:noWrap/>
            <w:vAlign w:val="center"/>
            <w:hideMark/>
          </w:tcPr>
          <w:p w14:paraId="1AF8178E" w14:textId="77777777" w:rsidR="00AC7CB0" w:rsidRPr="004D2B9A" w:rsidRDefault="00AC7CB0" w:rsidP="00075B2F">
            <w:pPr>
              <w:pStyle w:val="tabele"/>
              <w:rPr>
                <w:b w:val="0"/>
                <w:bCs w:val="0"/>
                <w:lang w:val="en-GB"/>
              </w:rPr>
            </w:pPr>
            <w:r w:rsidRPr="004D2B9A">
              <w:rPr>
                <w:b w:val="0"/>
                <w:bCs w:val="0"/>
                <w:lang w:val="en-GB"/>
              </w:rPr>
              <w:t>197</w:t>
            </w:r>
          </w:p>
        </w:tc>
        <w:tc>
          <w:tcPr>
            <w:tcW w:w="850" w:type="dxa"/>
            <w:tcBorders>
              <w:top w:val="nil"/>
              <w:left w:val="nil"/>
              <w:bottom w:val="single" w:sz="4" w:space="0" w:color="auto"/>
              <w:right w:val="single" w:sz="4" w:space="0" w:color="auto"/>
            </w:tcBorders>
            <w:noWrap/>
            <w:vAlign w:val="center"/>
            <w:hideMark/>
          </w:tcPr>
          <w:p w14:paraId="3AAC6559" w14:textId="77777777" w:rsidR="00AC7CB0" w:rsidRPr="004D2B9A" w:rsidRDefault="00AC7CB0" w:rsidP="00075B2F">
            <w:pPr>
              <w:pStyle w:val="tabele"/>
              <w:rPr>
                <w:b w:val="0"/>
                <w:bCs w:val="0"/>
                <w:lang w:val="en-GB"/>
              </w:rPr>
            </w:pPr>
            <w:r w:rsidRPr="004D2B9A">
              <w:rPr>
                <w:b w:val="0"/>
                <w:bCs w:val="0"/>
                <w:lang w:val="en-GB"/>
              </w:rPr>
              <w:t>193</w:t>
            </w:r>
          </w:p>
        </w:tc>
        <w:tc>
          <w:tcPr>
            <w:tcW w:w="972" w:type="dxa"/>
            <w:tcBorders>
              <w:top w:val="nil"/>
              <w:left w:val="nil"/>
              <w:bottom w:val="single" w:sz="4" w:space="0" w:color="auto"/>
              <w:right w:val="single" w:sz="4" w:space="0" w:color="auto"/>
            </w:tcBorders>
            <w:noWrap/>
            <w:vAlign w:val="center"/>
            <w:hideMark/>
          </w:tcPr>
          <w:p w14:paraId="02B8DB1B" w14:textId="77777777" w:rsidR="00AC7CB0" w:rsidRPr="004D2B9A" w:rsidRDefault="00AC7CB0" w:rsidP="00075B2F">
            <w:pPr>
              <w:pStyle w:val="tabele"/>
              <w:rPr>
                <w:b w:val="0"/>
                <w:bCs w:val="0"/>
                <w:lang w:val="en-GB"/>
              </w:rPr>
            </w:pPr>
            <w:r w:rsidRPr="004D2B9A">
              <w:rPr>
                <w:b w:val="0"/>
                <w:bCs w:val="0"/>
                <w:lang w:val="en-GB"/>
              </w:rPr>
              <w:t>4</w:t>
            </w:r>
          </w:p>
        </w:tc>
      </w:tr>
      <w:tr w:rsidR="00AC7CB0" w:rsidRPr="004D2B9A" w14:paraId="305F0BD8" w14:textId="77777777" w:rsidTr="00FA6C53">
        <w:trPr>
          <w:trHeight w:val="300"/>
          <w:jc w:val="center"/>
        </w:trPr>
        <w:tc>
          <w:tcPr>
            <w:tcW w:w="861" w:type="dxa"/>
            <w:tcBorders>
              <w:top w:val="nil"/>
              <w:left w:val="single" w:sz="4" w:space="0" w:color="auto"/>
              <w:bottom w:val="single" w:sz="4" w:space="0" w:color="auto"/>
              <w:right w:val="single" w:sz="4" w:space="0" w:color="auto"/>
            </w:tcBorders>
            <w:noWrap/>
            <w:vAlign w:val="center"/>
            <w:hideMark/>
          </w:tcPr>
          <w:p w14:paraId="6EC75347" w14:textId="77777777" w:rsidR="00AC7CB0" w:rsidRPr="004D2B9A" w:rsidRDefault="00AC7CB0" w:rsidP="00075B2F">
            <w:pPr>
              <w:pStyle w:val="tabele"/>
              <w:rPr>
                <w:b w:val="0"/>
                <w:bCs w:val="0"/>
                <w:lang w:val="en-GB"/>
              </w:rPr>
            </w:pPr>
            <w:r w:rsidRPr="004D2B9A">
              <w:rPr>
                <w:b w:val="0"/>
                <w:bCs w:val="0"/>
                <w:lang w:val="en-GB"/>
              </w:rPr>
              <w:t>IX</w:t>
            </w:r>
          </w:p>
        </w:tc>
        <w:tc>
          <w:tcPr>
            <w:tcW w:w="880" w:type="dxa"/>
            <w:tcBorders>
              <w:top w:val="nil"/>
              <w:left w:val="nil"/>
              <w:bottom w:val="single" w:sz="4" w:space="0" w:color="auto"/>
              <w:right w:val="single" w:sz="4" w:space="0" w:color="auto"/>
            </w:tcBorders>
            <w:noWrap/>
            <w:vAlign w:val="center"/>
            <w:hideMark/>
          </w:tcPr>
          <w:p w14:paraId="6FD2B807" w14:textId="77777777" w:rsidR="00AC7CB0" w:rsidRPr="004D2B9A" w:rsidRDefault="00AC7CB0" w:rsidP="00075B2F">
            <w:pPr>
              <w:pStyle w:val="tabele"/>
              <w:rPr>
                <w:b w:val="0"/>
                <w:bCs w:val="0"/>
                <w:lang w:val="en-GB"/>
              </w:rPr>
            </w:pPr>
            <w:r w:rsidRPr="004D2B9A">
              <w:rPr>
                <w:b w:val="0"/>
                <w:bCs w:val="0"/>
                <w:lang w:val="en-GB"/>
              </w:rPr>
              <w:t>16</w:t>
            </w:r>
          </w:p>
        </w:tc>
        <w:tc>
          <w:tcPr>
            <w:tcW w:w="760" w:type="dxa"/>
            <w:tcBorders>
              <w:top w:val="nil"/>
              <w:left w:val="nil"/>
              <w:bottom w:val="single" w:sz="4" w:space="0" w:color="auto"/>
              <w:right w:val="single" w:sz="4" w:space="0" w:color="auto"/>
            </w:tcBorders>
            <w:noWrap/>
            <w:vAlign w:val="center"/>
            <w:hideMark/>
          </w:tcPr>
          <w:p w14:paraId="01EACF2C" w14:textId="77777777" w:rsidR="00AC7CB0" w:rsidRPr="004D2B9A" w:rsidRDefault="00AC7CB0" w:rsidP="00075B2F">
            <w:pPr>
              <w:pStyle w:val="tabele"/>
              <w:rPr>
                <w:b w:val="0"/>
                <w:bCs w:val="0"/>
                <w:lang w:val="en-GB"/>
              </w:rPr>
            </w:pPr>
            <w:r w:rsidRPr="004D2B9A">
              <w:rPr>
                <w:b w:val="0"/>
                <w:bCs w:val="0"/>
                <w:lang w:val="en-GB"/>
              </w:rPr>
              <w:t>16</w:t>
            </w:r>
          </w:p>
        </w:tc>
        <w:tc>
          <w:tcPr>
            <w:tcW w:w="972" w:type="dxa"/>
            <w:tcBorders>
              <w:top w:val="nil"/>
              <w:left w:val="nil"/>
              <w:bottom w:val="single" w:sz="4" w:space="0" w:color="auto"/>
              <w:right w:val="single" w:sz="4" w:space="0" w:color="auto"/>
            </w:tcBorders>
            <w:noWrap/>
            <w:vAlign w:val="center"/>
            <w:hideMark/>
          </w:tcPr>
          <w:p w14:paraId="281A6A62" w14:textId="77777777" w:rsidR="00AC7CB0" w:rsidRPr="004D2B9A" w:rsidRDefault="00AC7CB0" w:rsidP="00075B2F">
            <w:pPr>
              <w:pStyle w:val="tabele"/>
              <w:rPr>
                <w:b w:val="0"/>
                <w:bCs w:val="0"/>
                <w:lang w:val="en-GB"/>
              </w:rPr>
            </w:pPr>
            <w:r w:rsidRPr="004D2B9A">
              <w:rPr>
                <w:b w:val="0"/>
                <w:bCs w:val="0"/>
                <w:lang w:val="en-GB"/>
              </w:rPr>
              <w:t>0</w:t>
            </w:r>
          </w:p>
        </w:tc>
        <w:tc>
          <w:tcPr>
            <w:tcW w:w="740" w:type="dxa"/>
            <w:tcBorders>
              <w:top w:val="nil"/>
              <w:left w:val="nil"/>
              <w:bottom w:val="single" w:sz="4" w:space="0" w:color="auto"/>
              <w:right w:val="single" w:sz="4" w:space="0" w:color="auto"/>
            </w:tcBorders>
            <w:noWrap/>
            <w:vAlign w:val="center"/>
            <w:hideMark/>
          </w:tcPr>
          <w:p w14:paraId="186FE934" w14:textId="77777777" w:rsidR="00AC7CB0" w:rsidRPr="004D2B9A" w:rsidRDefault="00AC7CB0" w:rsidP="00075B2F">
            <w:pPr>
              <w:pStyle w:val="tabele"/>
              <w:rPr>
                <w:b w:val="0"/>
                <w:bCs w:val="0"/>
                <w:lang w:val="en-GB"/>
              </w:rPr>
            </w:pPr>
            <w:r w:rsidRPr="004D2B9A">
              <w:rPr>
                <w:b w:val="0"/>
                <w:bCs w:val="0"/>
                <w:lang w:val="en-GB"/>
              </w:rPr>
              <w:t>28</w:t>
            </w:r>
          </w:p>
        </w:tc>
        <w:tc>
          <w:tcPr>
            <w:tcW w:w="760" w:type="dxa"/>
            <w:tcBorders>
              <w:top w:val="nil"/>
              <w:left w:val="nil"/>
              <w:bottom w:val="single" w:sz="4" w:space="0" w:color="auto"/>
              <w:right w:val="single" w:sz="4" w:space="0" w:color="auto"/>
            </w:tcBorders>
            <w:noWrap/>
            <w:vAlign w:val="center"/>
            <w:hideMark/>
          </w:tcPr>
          <w:p w14:paraId="185231D5" w14:textId="77777777" w:rsidR="00AC7CB0" w:rsidRPr="004D2B9A" w:rsidRDefault="00AC7CB0" w:rsidP="00075B2F">
            <w:pPr>
              <w:pStyle w:val="tabele"/>
              <w:rPr>
                <w:b w:val="0"/>
                <w:bCs w:val="0"/>
                <w:lang w:val="en-GB"/>
              </w:rPr>
            </w:pPr>
            <w:r w:rsidRPr="004D2B9A">
              <w:rPr>
                <w:b w:val="0"/>
                <w:bCs w:val="0"/>
                <w:lang w:val="en-GB"/>
              </w:rPr>
              <w:t>28</w:t>
            </w:r>
          </w:p>
        </w:tc>
        <w:tc>
          <w:tcPr>
            <w:tcW w:w="972" w:type="dxa"/>
            <w:tcBorders>
              <w:top w:val="nil"/>
              <w:left w:val="nil"/>
              <w:bottom w:val="single" w:sz="4" w:space="0" w:color="auto"/>
              <w:right w:val="single" w:sz="4" w:space="0" w:color="auto"/>
            </w:tcBorders>
            <w:noWrap/>
            <w:vAlign w:val="center"/>
            <w:hideMark/>
          </w:tcPr>
          <w:p w14:paraId="244E65DD" w14:textId="77777777" w:rsidR="00AC7CB0" w:rsidRPr="004D2B9A" w:rsidRDefault="00AC7CB0" w:rsidP="00075B2F">
            <w:pPr>
              <w:pStyle w:val="tabele"/>
              <w:rPr>
                <w:b w:val="0"/>
                <w:bCs w:val="0"/>
                <w:lang w:val="en-GB"/>
              </w:rPr>
            </w:pPr>
            <w:r w:rsidRPr="004D2B9A">
              <w:rPr>
                <w:b w:val="0"/>
                <w:bCs w:val="0"/>
                <w:lang w:val="en-GB"/>
              </w:rPr>
              <w:t>0</w:t>
            </w:r>
          </w:p>
        </w:tc>
        <w:tc>
          <w:tcPr>
            <w:tcW w:w="864" w:type="dxa"/>
            <w:tcBorders>
              <w:top w:val="nil"/>
              <w:left w:val="nil"/>
              <w:bottom w:val="single" w:sz="4" w:space="0" w:color="auto"/>
              <w:right w:val="single" w:sz="4" w:space="0" w:color="auto"/>
            </w:tcBorders>
            <w:noWrap/>
            <w:vAlign w:val="center"/>
            <w:hideMark/>
          </w:tcPr>
          <w:p w14:paraId="6EA68C93" w14:textId="77777777" w:rsidR="00AC7CB0" w:rsidRPr="004D2B9A" w:rsidRDefault="00AC7CB0" w:rsidP="00075B2F">
            <w:pPr>
              <w:pStyle w:val="tabele"/>
              <w:rPr>
                <w:b w:val="0"/>
                <w:bCs w:val="0"/>
                <w:lang w:val="en-GB"/>
              </w:rPr>
            </w:pPr>
            <w:r w:rsidRPr="004D2B9A">
              <w:rPr>
                <w:b w:val="0"/>
                <w:bCs w:val="0"/>
                <w:lang w:val="en-GB"/>
              </w:rPr>
              <w:t>33</w:t>
            </w:r>
          </w:p>
        </w:tc>
        <w:tc>
          <w:tcPr>
            <w:tcW w:w="850" w:type="dxa"/>
            <w:tcBorders>
              <w:top w:val="nil"/>
              <w:left w:val="nil"/>
              <w:bottom w:val="single" w:sz="4" w:space="0" w:color="auto"/>
              <w:right w:val="single" w:sz="4" w:space="0" w:color="auto"/>
            </w:tcBorders>
            <w:noWrap/>
            <w:vAlign w:val="center"/>
            <w:hideMark/>
          </w:tcPr>
          <w:p w14:paraId="066BD393" w14:textId="77777777" w:rsidR="00AC7CB0" w:rsidRPr="004D2B9A" w:rsidRDefault="00AC7CB0" w:rsidP="00075B2F">
            <w:pPr>
              <w:pStyle w:val="tabele"/>
              <w:rPr>
                <w:b w:val="0"/>
                <w:bCs w:val="0"/>
                <w:lang w:val="en-GB"/>
              </w:rPr>
            </w:pPr>
            <w:r w:rsidRPr="004D2B9A">
              <w:rPr>
                <w:b w:val="0"/>
                <w:bCs w:val="0"/>
                <w:lang w:val="en-GB"/>
              </w:rPr>
              <w:t>33</w:t>
            </w:r>
          </w:p>
        </w:tc>
        <w:tc>
          <w:tcPr>
            <w:tcW w:w="972" w:type="dxa"/>
            <w:tcBorders>
              <w:top w:val="nil"/>
              <w:left w:val="nil"/>
              <w:bottom w:val="single" w:sz="4" w:space="0" w:color="auto"/>
              <w:right w:val="single" w:sz="4" w:space="0" w:color="auto"/>
            </w:tcBorders>
            <w:noWrap/>
            <w:vAlign w:val="center"/>
            <w:hideMark/>
          </w:tcPr>
          <w:p w14:paraId="71A05EBA" w14:textId="77777777" w:rsidR="00AC7CB0" w:rsidRPr="004D2B9A" w:rsidRDefault="00AC7CB0" w:rsidP="00075B2F">
            <w:pPr>
              <w:pStyle w:val="tabele"/>
              <w:rPr>
                <w:b w:val="0"/>
                <w:bCs w:val="0"/>
                <w:lang w:val="en-GB"/>
              </w:rPr>
            </w:pPr>
            <w:r w:rsidRPr="004D2B9A">
              <w:rPr>
                <w:b w:val="0"/>
                <w:bCs w:val="0"/>
                <w:lang w:val="en-GB"/>
              </w:rPr>
              <w:t>0</w:t>
            </w:r>
          </w:p>
        </w:tc>
      </w:tr>
      <w:tr w:rsidR="00AC7CB0" w:rsidRPr="004D2B9A" w14:paraId="640EF5AA" w14:textId="77777777" w:rsidTr="00FA6C53">
        <w:trPr>
          <w:trHeight w:val="300"/>
          <w:jc w:val="center"/>
        </w:trPr>
        <w:tc>
          <w:tcPr>
            <w:tcW w:w="861" w:type="dxa"/>
            <w:tcBorders>
              <w:top w:val="nil"/>
              <w:left w:val="single" w:sz="4" w:space="0" w:color="auto"/>
              <w:bottom w:val="single" w:sz="4" w:space="0" w:color="auto"/>
              <w:right w:val="single" w:sz="4" w:space="0" w:color="auto"/>
            </w:tcBorders>
            <w:noWrap/>
            <w:vAlign w:val="center"/>
            <w:hideMark/>
          </w:tcPr>
          <w:p w14:paraId="49562420" w14:textId="77777777" w:rsidR="00AC7CB0" w:rsidRPr="004D2B9A" w:rsidRDefault="00AC7CB0" w:rsidP="00075B2F">
            <w:pPr>
              <w:pStyle w:val="tabele"/>
              <w:rPr>
                <w:b w:val="0"/>
                <w:bCs w:val="0"/>
                <w:lang w:val="en-GB"/>
              </w:rPr>
            </w:pPr>
            <w:r w:rsidRPr="004D2B9A">
              <w:rPr>
                <w:b w:val="0"/>
                <w:bCs w:val="0"/>
                <w:lang w:val="en-GB"/>
              </w:rPr>
              <w:t>X</w:t>
            </w:r>
          </w:p>
        </w:tc>
        <w:tc>
          <w:tcPr>
            <w:tcW w:w="880" w:type="dxa"/>
            <w:tcBorders>
              <w:top w:val="nil"/>
              <w:left w:val="nil"/>
              <w:bottom w:val="single" w:sz="4" w:space="0" w:color="auto"/>
              <w:right w:val="single" w:sz="4" w:space="0" w:color="auto"/>
            </w:tcBorders>
            <w:noWrap/>
            <w:vAlign w:val="center"/>
            <w:hideMark/>
          </w:tcPr>
          <w:p w14:paraId="08B4C47B" w14:textId="77777777" w:rsidR="00AC7CB0" w:rsidRPr="004D2B9A" w:rsidRDefault="00AC7CB0" w:rsidP="00075B2F">
            <w:pPr>
              <w:pStyle w:val="tabele"/>
              <w:rPr>
                <w:b w:val="0"/>
                <w:bCs w:val="0"/>
                <w:lang w:val="en-GB"/>
              </w:rPr>
            </w:pPr>
            <w:r w:rsidRPr="004D2B9A">
              <w:rPr>
                <w:b w:val="0"/>
                <w:bCs w:val="0"/>
                <w:lang w:val="en-GB"/>
              </w:rPr>
              <w:t>145</w:t>
            </w:r>
          </w:p>
        </w:tc>
        <w:tc>
          <w:tcPr>
            <w:tcW w:w="760" w:type="dxa"/>
            <w:tcBorders>
              <w:top w:val="nil"/>
              <w:left w:val="nil"/>
              <w:bottom w:val="single" w:sz="4" w:space="0" w:color="auto"/>
              <w:right w:val="single" w:sz="4" w:space="0" w:color="auto"/>
            </w:tcBorders>
            <w:noWrap/>
            <w:vAlign w:val="center"/>
            <w:hideMark/>
          </w:tcPr>
          <w:p w14:paraId="19E268E5" w14:textId="77777777" w:rsidR="00AC7CB0" w:rsidRPr="004D2B9A" w:rsidRDefault="00AC7CB0" w:rsidP="00075B2F">
            <w:pPr>
              <w:pStyle w:val="tabele"/>
              <w:rPr>
                <w:b w:val="0"/>
                <w:bCs w:val="0"/>
                <w:lang w:val="en-GB"/>
              </w:rPr>
            </w:pPr>
            <w:r w:rsidRPr="004D2B9A">
              <w:rPr>
                <w:b w:val="0"/>
                <w:bCs w:val="0"/>
                <w:lang w:val="en-GB"/>
              </w:rPr>
              <w:t>143</w:t>
            </w:r>
          </w:p>
        </w:tc>
        <w:tc>
          <w:tcPr>
            <w:tcW w:w="972" w:type="dxa"/>
            <w:tcBorders>
              <w:top w:val="nil"/>
              <w:left w:val="nil"/>
              <w:bottom w:val="single" w:sz="4" w:space="0" w:color="auto"/>
              <w:right w:val="single" w:sz="4" w:space="0" w:color="auto"/>
            </w:tcBorders>
            <w:noWrap/>
            <w:vAlign w:val="center"/>
            <w:hideMark/>
          </w:tcPr>
          <w:p w14:paraId="1DDED43D" w14:textId="77777777" w:rsidR="00AC7CB0" w:rsidRPr="004D2B9A" w:rsidRDefault="00AC7CB0" w:rsidP="00075B2F">
            <w:pPr>
              <w:pStyle w:val="tabele"/>
              <w:rPr>
                <w:b w:val="0"/>
                <w:bCs w:val="0"/>
                <w:lang w:val="en-GB"/>
              </w:rPr>
            </w:pPr>
            <w:r w:rsidRPr="004D2B9A">
              <w:rPr>
                <w:b w:val="0"/>
                <w:bCs w:val="0"/>
                <w:lang w:val="en-GB"/>
              </w:rPr>
              <w:t>2</w:t>
            </w:r>
          </w:p>
        </w:tc>
        <w:tc>
          <w:tcPr>
            <w:tcW w:w="740" w:type="dxa"/>
            <w:tcBorders>
              <w:top w:val="nil"/>
              <w:left w:val="nil"/>
              <w:bottom w:val="single" w:sz="4" w:space="0" w:color="auto"/>
              <w:right w:val="single" w:sz="4" w:space="0" w:color="auto"/>
            </w:tcBorders>
            <w:noWrap/>
            <w:vAlign w:val="center"/>
            <w:hideMark/>
          </w:tcPr>
          <w:p w14:paraId="0880E0BC" w14:textId="77777777" w:rsidR="00AC7CB0" w:rsidRPr="004D2B9A" w:rsidRDefault="00AC7CB0" w:rsidP="00075B2F">
            <w:pPr>
              <w:pStyle w:val="tabele"/>
              <w:rPr>
                <w:b w:val="0"/>
                <w:bCs w:val="0"/>
                <w:lang w:val="en-GB"/>
              </w:rPr>
            </w:pPr>
            <w:r w:rsidRPr="004D2B9A">
              <w:rPr>
                <w:b w:val="0"/>
                <w:bCs w:val="0"/>
                <w:lang w:val="en-GB"/>
              </w:rPr>
              <w:t>148</w:t>
            </w:r>
          </w:p>
        </w:tc>
        <w:tc>
          <w:tcPr>
            <w:tcW w:w="760" w:type="dxa"/>
            <w:tcBorders>
              <w:top w:val="nil"/>
              <w:left w:val="nil"/>
              <w:bottom w:val="single" w:sz="4" w:space="0" w:color="auto"/>
              <w:right w:val="single" w:sz="4" w:space="0" w:color="auto"/>
            </w:tcBorders>
            <w:noWrap/>
            <w:vAlign w:val="center"/>
            <w:hideMark/>
          </w:tcPr>
          <w:p w14:paraId="533A4517" w14:textId="77777777" w:rsidR="00AC7CB0" w:rsidRPr="004D2B9A" w:rsidRDefault="00AC7CB0" w:rsidP="00075B2F">
            <w:pPr>
              <w:pStyle w:val="tabele"/>
              <w:rPr>
                <w:b w:val="0"/>
                <w:bCs w:val="0"/>
                <w:lang w:val="en-GB"/>
              </w:rPr>
            </w:pPr>
            <w:r w:rsidRPr="004D2B9A">
              <w:rPr>
                <w:b w:val="0"/>
                <w:bCs w:val="0"/>
                <w:lang w:val="en-GB"/>
              </w:rPr>
              <w:t>145</w:t>
            </w:r>
          </w:p>
        </w:tc>
        <w:tc>
          <w:tcPr>
            <w:tcW w:w="972" w:type="dxa"/>
            <w:tcBorders>
              <w:top w:val="nil"/>
              <w:left w:val="nil"/>
              <w:bottom w:val="single" w:sz="4" w:space="0" w:color="auto"/>
              <w:right w:val="single" w:sz="4" w:space="0" w:color="auto"/>
            </w:tcBorders>
            <w:noWrap/>
            <w:vAlign w:val="center"/>
            <w:hideMark/>
          </w:tcPr>
          <w:p w14:paraId="7D79776A" w14:textId="77777777" w:rsidR="00AC7CB0" w:rsidRPr="004D2B9A" w:rsidRDefault="00AC7CB0" w:rsidP="00075B2F">
            <w:pPr>
              <w:pStyle w:val="tabele"/>
              <w:rPr>
                <w:b w:val="0"/>
                <w:bCs w:val="0"/>
                <w:lang w:val="en-GB"/>
              </w:rPr>
            </w:pPr>
            <w:r w:rsidRPr="004D2B9A">
              <w:rPr>
                <w:b w:val="0"/>
                <w:bCs w:val="0"/>
                <w:lang w:val="en-GB"/>
              </w:rPr>
              <w:t>3</w:t>
            </w:r>
          </w:p>
        </w:tc>
        <w:tc>
          <w:tcPr>
            <w:tcW w:w="864" w:type="dxa"/>
            <w:tcBorders>
              <w:top w:val="nil"/>
              <w:left w:val="nil"/>
              <w:bottom w:val="single" w:sz="4" w:space="0" w:color="auto"/>
              <w:right w:val="single" w:sz="4" w:space="0" w:color="auto"/>
            </w:tcBorders>
            <w:noWrap/>
            <w:vAlign w:val="center"/>
            <w:hideMark/>
          </w:tcPr>
          <w:p w14:paraId="37E72B93" w14:textId="77777777" w:rsidR="00AC7CB0" w:rsidRPr="004D2B9A" w:rsidRDefault="00AC7CB0" w:rsidP="00075B2F">
            <w:pPr>
              <w:pStyle w:val="tabele"/>
              <w:rPr>
                <w:b w:val="0"/>
                <w:bCs w:val="0"/>
                <w:lang w:val="en-GB"/>
              </w:rPr>
            </w:pPr>
            <w:r w:rsidRPr="004D2B9A">
              <w:rPr>
                <w:b w:val="0"/>
                <w:bCs w:val="0"/>
                <w:lang w:val="en-GB"/>
              </w:rPr>
              <w:t>183</w:t>
            </w:r>
          </w:p>
        </w:tc>
        <w:tc>
          <w:tcPr>
            <w:tcW w:w="850" w:type="dxa"/>
            <w:tcBorders>
              <w:top w:val="nil"/>
              <w:left w:val="nil"/>
              <w:bottom w:val="single" w:sz="4" w:space="0" w:color="auto"/>
              <w:right w:val="single" w:sz="4" w:space="0" w:color="auto"/>
            </w:tcBorders>
            <w:noWrap/>
            <w:vAlign w:val="center"/>
            <w:hideMark/>
          </w:tcPr>
          <w:p w14:paraId="3A7F68DD" w14:textId="77777777" w:rsidR="00AC7CB0" w:rsidRPr="004D2B9A" w:rsidRDefault="00AC7CB0" w:rsidP="00075B2F">
            <w:pPr>
              <w:pStyle w:val="tabele"/>
              <w:rPr>
                <w:b w:val="0"/>
                <w:bCs w:val="0"/>
                <w:lang w:val="en-GB"/>
              </w:rPr>
            </w:pPr>
            <w:r w:rsidRPr="004D2B9A">
              <w:rPr>
                <w:b w:val="0"/>
                <w:bCs w:val="0"/>
                <w:lang w:val="en-GB"/>
              </w:rPr>
              <w:t>178</w:t>
            </w:r>
          </w:p>
        </w:tc>
        <w:tc>
          <w:tcPr>
            <w:tcW w:w="972" w:type="dxa"/>
            <w:tcBorders>
              <w:top w:val="nil"/>
              <w:left w:val="nil"/>
              <w:bottom w:val="single" w:sz="4" w:space="0" w:color="auto"/>
              <w:right w:val="single" w:sz="4" w:space="0" w:color="auto"/>
            </w:tcBorders>
            <w:noWrap/>
            <w:vAlign w:val="center"/>
            <w:hideMark/>
          </w:tcPr>
          <w:p w14:paraId="44E6C48C" w14:textId="77777777" w:rsidR="00AC7CB0" w:rsidRPr="004D2B9A" w:rsidRDefault="00AC7CB0" w:rsidP="00075B2F">
            <w:pPr>
              <w:pStyle w:val="tabele"/>
              <w:rPr>
                <w:b w:val="0"/>
                <w:bCs w:val="0"/>
                <w:lang w:val="en-GB"/>
              </w:rPr>
            </w:pPr>
            <w:r w:rsidRPr="004D2B9A">
              <w:rPr>
                <w:b w:val="0"/>
                <w:bCs w:val="0"/>
                <w:lang w:val="en-GB"/>
              </w:rPr>
              <w:t>4</w:t>
            </w:r>
          </w:p>
        </w:tc>
      </w:tr>
      <w:tr w:rsidR="00AC7CB0" w:rsidRPr="004D2B9A" w14:paraId="0DF557BA" w14:textId="77777777" w:rsidTr="00FA6C53">
        <w:trPr>
          <w:trHeight w:val="300"/>
          <w:jc w:val="center"/>
        </w:trPr>
        <w:tc>
          <w:tcPr>
            <w:tcW w:w="861" w:type="dxa"/>
            <w:tcBorders>
              <w:top w:val="nil"/>
              <w:left w:val="single" w:sz="4" w:space="0" w:color="auto"/>
              <w:bottom w:val="single" w:sz="4" w:space="0" w:color="auto"/>
              <w:right w:val="single" w:sz="4" w:space="0" w:color="auto"/>
            </w:tcBorders>
            <w:noWrap/>
            <w:vAlign w:val="center"/>
            <w:hideMark/>
          </w:tcPr>
          <w:p w14:paraId="2CF36D8D" w14:textId="77777777" w:rsidR="00AC7CB0" w:rsidRPr="004D2B9A" w:rsidRDefault="00AC7CB0" w:rsidP="00075B2F">
            <w:pPr>
              <w:pStyle w:val="tabele"/>
              <w:rPr>
                <w:b w:val="0"/>
                <w:bCs w:val="0"/>
                <w:lang w:val="en-GB"/>
              </w:rPr>
            </w:pPr>
            <w:r w:rsidRPr="004D2B9A">
              <w:rPr>
                <w:b w:val="0"/>
                <w:bCs w:val="0"/>
                <w:lang w:val="en-GB"/>
              </w:rPr>
              <w:t>XI</w:t>
            </w:r>
          </w:p>
        </w:tc>
        <w:tc>
          <w:tcPr>
            <w:tcW w:w="880" w:type="dxa"/>
            <w:tcBorders>
              <w:top w:val="nil"/>
              <w:left w:val="nil"/>
              <w:bottom w:val="single" w:sz="4" w:space="0" w:color="auto"/>
              <w:right w:val="single" w:sz="4" w:space="0" w:color="auto"/>
            </w:tcBorders>
            <w:noWrap/>
            <w:vAlign w:val="center"/>
            <w:hideMark/>
          </w:tcPr>
          <w:p w14:paraId="11BE7831" w14:textId="77777777" w:rsidR="00AC7CB0" w:rsidRPr="004D2B9A" w:rsidRDefault="00AC7CB0" w:rsidP="00075B2F">
            <w:pPr>
              <w:pStyle w:val="tabele"/>
              <w:rPr>
                <w:b w:val="0"/>
                <w:bCs w:val="0"/>
                <w:lang w:val="en-GB"/>
              </w:rPr>
            </w:pPr>
            <w:r w:rsidRPr="004D2B9A">
              <w:rPr>
                <w:b w:val="0"/>
                <w:bCs w:val="0"/>
                <w:lang w:val="en-GB"/>
              </w:rPr>
              <w:t>350</w:t>
            </w:r>
          </w:p>
        </w:tc>
        <w:tc>
          <w:tcPr>
            <w:tcW w:w="760" w:type="dxa"/>
            <w:tcBorders>
              <w:top w:val="nil"/>
              <w:left w:val="nil"/>
              <w:bottom w:val="single" w:sz="4" w:space="0" w:color="auto"/>
              <w:right w:val="single" w:sz="4" w:space="0" w:color="auto"/>
            </w:tcBorders>
            <w:noWrap/>
            <w:vAlign w:val="center"/>
            <w:hideMark/>
          </w:tcPr>
          <w:p w14:paraId="5315AB98" w14:textId="77777777" w:rsidR="00AC7CB0" w:rsidRPr="004D2B9A" w:rsidRDefault="00AC7CB0" w:rsidP="00075B2F">
            <w:pPr>
              <w:pStyle w:val="tabele"/>
              <w:rPr>
                <w:b w:val="0"/>
                <w:bCs w:val="0"/>
                <w:lang w:val="en-GB"/>
              </w:rPr>
            </w:pPr>
            <w:r w:rsidRPr="004D2B9A">
              <w:rPr>
                <w:b w:val="0"/>
                <w:bCs w:val="0"/>
                <w:lang w:val="en-GB"/>
              </w:rPr>
              <w:t>348</w:t>
            </w:r>
          </w:p>
        </w:tc>
        <w:tc>
          <w:tcPr>
            <w:tcW w:w="972" w:type="dxa"/>
            <w:tcBorders>
              <w:top w:val="nil"/>
              <w:left w:val="nil"/>
              <w:bottom w:val="single" w:sz="4" w:space="0" w:color="auto"/>
              <w:right w:val="single" w:sz="4" w:space="0" w:color="auto"/>
            </w:tcBorders>
            <w:noWrap/>
            <w:vAlign w:val="center"/>
            <w:hideMark/>
          </w:tcPr>
          <w:p w14:paraId="0164BE1D" w14:textId="77777777" w:rsidR="00AC7CB0" w:rsidRPr="004D2B9A" w:rsidRDefault="00AC7CB0" w:rsidP="00075B2F">
            <w:pPr>
              <w:pStyle w:val="tabele"/>
              <w:rPr>
                <w:b w:val="0"/>
                <w:bCs w:val="0"/>
                <w:lang w:val="en-GB"/>
              </w:rPr>
            </w:pPr>
            <w:r w:rsidRPr="004D2B9A">
              <w:rPr>
                <w:b w:val="0"/>
                <w:bCs w:val="0"/>
                <w:lang w:val="en-GB"/>
              </w:rPr>
              <w:t>2</w:t>
            </w:r>
          </w:p>
        </w:tc>
        <w:tc>
          <w:tcPr>
            <w:tcW w:w="740" w:type="dxa"/>
            <w:tcBorders>
              <w:top w:val="nil"/>
              <w:left w:val="nil"/>
              <w:bottom w:val="single" w:sz="4" w:space="0" w:color="auto"/>
              <w:right w:val="single" w:sz="4" w:space="0" w:color="auto"/>
            </w:tcBorders>
            <w:noWrap/>
            <w:vAlign w:val="center"/>
            <w:hideMark/>
          </w:tcPr>
          <w:p w14:paraId="10DE147D" w14:textId="77777777" w:rsidR="00AC7CB0" w:rsidRPr="004D2B9A" w:rsidRDefault="00AC7CB0" w:rsidP="00075B2F">
            <w:pPr>
              <w:pStyle w:val="tabele"/>
              <w:rPr>
                <w:b w:val="0"/>
                <w:bCs w:val="0"/>
                <w:lang w:val="en-GB"/>
              </w:rPr>
            </w:pPr>
            <w:r w:rsidRPr="004D2B9A">
              <w:rPr>
                <w:b w:val="0"/>
                <w:bCs w:val="0"/>
                <w:lang w:val="en-GB"/>
              </w:rPr>
              <w:t>339</w:t>
            </w:r>
          </w:p>
        </w:tc>
        <w:tc>
          <w:tcPr>
            <w:tcW w:w="760" w:type="dxa"/>
            <w:tcBorders>
              <w:top w:val="nil"/>
              <w:left w:val="nil"/>
              <w:bottom w:val="single" w:sz="4" w:space="0" w:color="auto"/>
              <w:right w:val="single" w:sz="4" w:space="0" w:color="auto"/>
            </w:tcBorders>
            <w:noWrap/>
            <w:vAlign w:val="center"/>
            <w:hideMark/>
          </w:tcPr>
          <w:p w14:paraId="32C4AA7F" w14:textId="77777777" w:rsidR="00AC7CB0" w:rsidRPr="004D2B9A" w:rsidRDefault="00AC7CB0" w:rsidP="00075B2F">
            <w:pPr>
              <w:pStyle w:val="tabele"/>
              <w:rPr>
                <w:b w:val="0"/>
                <w:bCs w:val="0"/>
                <w:lang w:val="en-GB"/>
              </w:rPr>
            </w:pPr>
            <w:r w:rsidRPr="004D2B9A">
              <w:rPr>
                <w:b w:val="0"/>
                <w:bCs w:val="0"/>
                <w:lang w:val="en-GB"/>
              </w:rPr>
              <w:t>337</w:t>
            </w:r>
          </w:p>
        </w:tc>
        <w:tc>
          <w:tcPr>
            <w:tcW w:w="972" w:type="dxa"/>
            <w:tcBorders>
              <w:top w:val="nil"/>
              <w:left w:val="nil"/>
              <w:bottom w:val="single" w:sz="4" w:space="0" w:color="auto"/>
              <w:right w:val="single" w:sz="4" w:space="0" w:color="auto"/>
            </w:tcBorders>
            <w:noWrap/>
            <w:vAlign w:val="center"/>
            <w:hideMark/>
          </w:tcPr>
          <w:p w14:paraId="3DCD9A20" w14:textId="77777777" w:rsidR="00AC7CB0" w:rsidRPr="004D2B9A" w:rsidRDefault="00AC7CB0" w:rsidP="00075B2F">
            <w:pPr>
              <w:pStyle w:val="tabele"/>
              <w:rPr>
                <w:b w:val="0"/>
                <w:bCs w:val="0"/>
                <w:lang w:val="en-GB"/>
              </w:rPr>
            </w:pPr>
            <w:r w:rsidRPr="004D2B9A">
              <w:rPr>
                <w:b w:val="0"/>
                <w:bCs w:val="0"/>
                <w:lang w:val="en-GB"/>
              </w:rPr>
              <w:t>2</w:t>
            </w:r>
          </w:p>
        </w:tc>
        <w:tc>
          <w:tcPr>
            <w:tcW w:w="864" w:type="dxa"/>
            <w:tcBorders>
              <w:top w:val="nil"/>
              <w:left w:val="nil"/>
              <w:bottom w:val="single" w:sz="4" w:space="0" w:color="auto"/>
              <w:right w:val="single" w:sz="4" w:space="0" w:color="auto"/>
            </w:tcBorders>
            <w:noWrap/>
            <w:vAlign w:val="center"/>
            <w:hideMark/>
          </w:tcPr>
          <w:p w14:paraId="139E8080" w14:textId="77777777" w:rsidR="00AC7CB0" w:rsidRPr="004D2B9A" w:rsidRDefault="00AC7CB0" w:rsidP="00075B2F">
            <w:pPr>
              <w:pStyle w:val="tabele"/>
              <w:rPr>
                <w:b w:val="0"/>
                <w:bCs w:val="0"/>
                <w:lang w:val="en-GB"/>
              </w:rPr>
            </w:pPr>
            <w:r w:rsidRPr="004D2B9A">
              <w:rPr>
                <w:b w:val="0"/>
                <w:bCs w:val="0"/>
                <w:lang w:val="en-GB"/>
              </w:rPr>
              <w:t>377</w:t>
            </w:r>
          </w:p>
        </w:tc>
        <w:tc>
          <w:tcPr>
            <w:tcW w:w="850" w:type="dxa"/>
            <w:tcBorders>
              <w:top w:val="nil"/>
              <w:left w:val="nil"/>
              <w:bottom w:val="single" w:sz="4" w:space="0" w:color="auto"/>
              <w:right w:val="single" w:sz="4" w:space="0" w:color="auto"/>
            </w:tcBorders>
            <w:noWrap/>
            <w:vAlign w:val="center"/>
            <w:hideMark/>
          </w:tcPr>
          <w:p w14:paraId="42B47994" w14:textId="77777777" w:rsidR="00AC7CB0" w:rsidRPr="004D2B9A" w:rsidRDefault="00AC7CB0" w:rsidP="00075B2F">
            <w:pPr>
              <w:pStyle w:val="tabele"/>
              <w:rPr>
                <w:b w:val="0"/>
                <w:bCs w:val="0"/>
                <w:lang w:val="en-GB"/>
              </w:rPr>
            </w:pPr>
            <w:r w:rsidRPr="004D2B9A">
              <w:rPr>
                <w:b w:val="0"/>
                <w:bCs w:val="0"/>
                <w:lang w:val="en-GB"/>
              </w:rPr>
              <w:t>377</w:t>
            </w:r>
          </w:p>
        </w:tc>
        <w:tc>
          <w:tcPr>
            <w:tcW w:w="972" w:type="dxa"/>
            <w:tcBorders>
              <w:top w:val="nil"/>
              <w:left w:val="nil"/>
              <w:bottom w:val="single" w:sz="4" w:space="0" w:color="auto"/>
              <w:right w:val="single" w:sz="4" w:space="0" w:color="auto"/>
            </w:tcBorders>
            <w:noWrap/>
            <w:vAlign w:val="center"/>
            <w:hideMark/>
          </w:tcPr>
          <w:p w14:paraId="20A8FCC2" w14:textId="77777777" w:rsidR="00AC7CB0" w:rsidRPr="004D2B9A" w:rsidRDefault="00AC7CB0" w:rsidP="00075B2F">
            <w:pPr>
              <w:pStyle w:val="tabele"/>
              <w:rPr>
                <w:b w:val="0"/>
                <w:bCs w:val="0"/>
                <w:lang w:val="en-GB"/>
              </w:rPr>
            </w:pPr>
            <w:r w:rsidRPr="004D2B9A">
              <w:rPr>
                <w:b w:val="0"/>
                <w:bCs w:val="0"/>
                <w:lang w:val="en-GB"/>
              </w:rPr>
              <w:t>0</w:t>
            </w:r>
          </w:p>
        </w:tc>
      </w:tr>
      <w:tr w:rsidR="00AC7CB0" w:rsidRPr="004D2B9A" w14:paraId="5141E9F8" w14:textId="77777777" w:rsidTr="00FA6C53">
        <w:trPr>
          <w:trHeight w:val="300"/>
          <w:jc w:val="center"/>
        </w:trPr>
        <w:tc>
          <w:tcPr>
            <w:tcW w:w="861" w:type="dxa"/>
            <w:tcBorders>
              <w:top w:val="nil"/>
              <w:left w:val="single" w:sz="4" w:space="0" w:color="auto"/>
              <w:bottom w:val="single" w:sz="4" w:space="0" w:color="auto"/>
              <w:right w:val="single" w:sz="4" w:space="0" w:color="auto"/>
            </w:tcBorders>
            <w:noWrap/>
            <w:vAlign w:val="center"/>
            <w:hideMark/>
          </w:tcPr>
          <w:p w14:paraId="1833255B" w14:textId="77777777" w:rsidR="00AC7CB0" w:rsidRPr="004D2B9A" w:rsidRDefault="00AC7CB0" w:rsidP="00075B2F">
            <w:pPr>
              <w:pStyle w:val="tabele"/>
              <w:rPr>
                <w:b w:val="0"/>
                <w:bCs w:val="0"/>
                <w:lang w:val="en-GB"/>
              </w:rPr>
            </w:pPr>
            <w:r w:rsidRPr="004D2B9A">
              <w:rPr>
                <w:b w:val="0"/>
                <w:bCs w:val="0"/>
                <w:lang w:val="en-GB"/>
              </w:rPr>
              <w:t>XII</w:t>
            </w:r>
          </w:p>
        </w:tc>
        <w:tc>
          <w:tcPr>
            <w:tcW w:w="880" w:type="dxa"/>
            <w:tcBorders>
              <w:top w:val="nil"/>
              <w:left w:val="nil"/>
              <w:bottom w:val="single" w:sz="4" w:space="0" w:color="auto"/>
              <w:right w:val="single" w:sz="4" w:space="0" w:color="auto"/>
            </w:tcBorders>
            <w:noWrap/>
            <w:vAlign w:val="center"/>
            <w:hideMark/>
          </w:tcPr>
          <w:p w14:paraId="7D2CE308" w14:textId="77777777" w:rsidR="00AC7CB0" w:rsidRPr="004D2B9A" w:rsidRDefault="00AC7CB0" w:rsidP="00075B2F">
            <w:pPr>
              <w:pStyle w:val="tabele"/>
              <w:rPr>
                <w:b w:val="0"/>
                <w:bCs w:val="0"/>
                <w:lang w:val="en-GB"/>
              </w:rPr>
            </w:pPr>
            <w:r w:rsidRPr="004D2B9A">
              <w:rPr>
                <w:b w:val="0"/>
                <w:bCs w:val="0"/>
                <w:lang w:val="en-GB"/>
              </w:rPr>
              <w:t>439</w:t>
            </w:r>
          </w:p>
        </w:tc>
        <w:tc>
          <w:tcPr>
            <w:tcW w:w="760" w:type="dxa"/>
            <w:tcBorders>
              <w:top w:val="nil"/>
              <w:left w:val="nil"/>
              <w:bottom w:val="single" w:sz="4" w:space="0" w:color="auto"/>
              <w:right w:val="single" w:sz="4" w:space="0" w:color="auto"/>
            </w:tcBorders>
            <w:noWrap/>
            <w:vAlign w:val="center"/>
            <w:hideMark/>
          </w:tcPr>
          <w:p w14:paraId="3E0E94FB" w14:textId="77777777" w:rsidR="00AC7CB0" w:rsidRPr="004D2B9A" w:rsidRDefault="00AC7CB0" w:rsidP="00075B2F">
            <w:pPr>
              <w:pStyle w:val="tabele"/>
              <w:rPr>
                <w:b w:val="0"/>
                <w:bCs w:val="0"/>
                <w:lang w:val="en-GB"/>
              </w:rPr>
            </w:pPr>
            <w:r w:rsidRPr="004D2B9A">
              <w:rPr>
                <w:b w:val="0"/>
                <w:bCs w:val="0"/>
                <w:lang w:val="en-GB"/>
              </w:rPr>
              <w:t>438</w:t>
            </w:r>
          </w:p>
        </w:tc>
        <w:tc>
          <w:tcPr>
            <w:tcW w:w="972" w:type="dxa"/>
            <w:tcBorders>
              <w:top w:val="nil"/>
              <w:left w:val="nil"/>
              <w:bottom w:val="single" w:sz="4" w:space="0" w:color="auto"/>
              <w:right w:val="single" w:sz="4" w:space="0" w:color="auto"/>
            </w:tcBorders>
            <w:noWrap/>
            <w:vAlign w:val="center"/>
            <w:hideMark/>
          </w:tcPr>
          <w:p w14:paraId="50762A63" w14:textId="77777777" w:rsidR="00AC7CB0" w:rsidRPr="004D2B9A" w:rsidRDefault="00AC7CB0" w:rsidP="00075B2F">
            <w:pPr>
              <w:pStyle w:val="tabele"/>
              <w:rPr>
                <w:b w:val="0"/>
                <w:bCs w:val="0"/>
                <w:lang w:val="en-GB"/>
              </w:rPr>
            </w:pPr>
            <w:r w:rsidRPr="004D2B9A">
              <w:rPr>
                <w:b w:val="0"/>
                <w:bCs w:val="0"/>
                <w:lang w:val="en-GB"/>
              </w:rPr>
              <w:t>1</w:t>
            </w:r>
          </w:p>
        </w:tc>
        <w:tc>
          <w:tcPr>
            <w:tcW w:w="740" w:type="dxa"/>
            <w:tcBorders>
              <w:top w:val="nil"/>
              <w:left w:val="nil"/>
              <w:bottom w:val="single" w:sz="4" w:space="0" w:color="auto"/>
              <w:right w:val="single" w:sz="4" w:space="0" w:color="auto"/>
            </w:tcBorders>
            <w:noWrap/>
            <w:vAlign w:val="center"/>
            <w:hideMark/>
          </w:tcPr>
          <w:p w14:paraId="6045038F" w14:textId="77777777" w:rsidR="00AC7CB0" w:rsidRPr="004D2B9A" w:rsidRDefault="00AC7CB0" w:rsidP="00075B2F">
            <w:pPr>
              <w:pStyle w:val="tabele"/>
              <w:rPr>
                <w:b w:val="0"/>
                <w:bCs w:val="0"/>
                <w:lang w:val="en-GB"/>
              </w:rPr>
            </w:pPr>
            <w:r w:rsidRPr="004D2B9A">
              <w:rPr>
                <w:b w:val="0"/>
                <w:bCs w:val="0"/>
                <w:lang w:val="en-GB"/>
              </w:rPr>
              <w:t>532</w:t>
            </w:r>
          </w:p>
        </w:tc>
        <w:tc>
          <w:tcPr>
            <w:tcW w:w="760" w:type="dxa"/>
            <w:tcBorders>
              <w:top w:val="nil"/>
              <w:left w:val="nil"/>
              <w:bottom w:val="single" w:sz="4" w:space="0" w:color="auto"/>
              <w:right w:val="single" w:sz="4" w:space="0" w:color="auto"/>
            </w:tcBorders>
            <w:noWrap/>
            <w:vAlign w:val="center"/>
            <w:hideMark/>
          </w:tcPr>
          <w:p w14:paraId="52A67EDB" w14:textId="77777777" w:rsidR="00AC7CB0" w:rsidRPr="004D2B9A" w:rsidRDefault="00AC7CB0" w:rsidP="00075B2F">
            <w:pPr>
              <w:pStyle w:val="tabele"/>
              <w:rPr>
                <w:b w:val="0"/>
                <w:bCs w:val="0"/>
                <w:lang w:val="en-GB"/>
              </w:rPr>
            </w:pPr>
            <w:r w:rsidRPr="004D2B9A">
              <w:rPr>
                <w:b w:val="0"/>
                <w:bCs w:val="0"/>
                <w:lang w:val="en-GB"/>
              </w:rPr>
              <w:t>530</w:t>
            </w:r>
          </w:p>
        </w:tc>
        <w:tc>
          <w:tcPr>
            <w:tcW w:w="972" w:type="dxa"/>
            <w:tcBorders>
              <w:top w:val="nil"/>
              <w:left w:val="nil"/>
              <w:bottom w:val="single" w:sz="4" w:space="0" w:color="auto"/>
              <w:right w:val="single" w:sz="4" w:space="0" w:color="auto"/>
            </w:tcBorders>
            <w:noWrap/>
            <w:vAlign w:val="center"/>
            <w:hideMark/>
          </w:tcPr>
          <w:p w14:paraId="585D85B4" w14:textId="77777777" w:rsidR="00AC7CB0" w:rsidRPr="004D2B9A" w:rsidRDefault="00AC7CB0" w:rsidP="00075B2F">
            <w:pPr>
              <w:pStyle w:val="tabele"/>
              <w:rPr>
                <w:b w:val="0"/>
                <w:bCs w:val="0"/>
                <w:lang w:val="en-GB"/>
              </w:rPr>
            </w:pPr>
            <w:r w:rsidRPr="004D2B9A">
              <w:rPr>
                <w:b w:val="0"/>
                <w:bCs w:val="0"/>
                <w:lang w:val="en-GB"/>
              </w:rPr>
              <w:t>2</w:t>
            </w:r>
          </w:p>
        </w:tc>
        <w:tc>
          <w:tcPr>
            <w:tcW w:w="864" w:type="dxa"/>
            <w:tcBorders>
              <w:top w:val="nil"/>
              <w:left w:val="nil"/>
              <w:bottom w:val="single" w:sz="4" w:space="0" w:color="auto"/>
              <w:right w:val="single" w:sz="4" w:space="0" w:color="auto"/>
            </w:tcBorders>
            <w:noWrap/>
            <w:vAlign w:val="center"/>
            <w:hideMark/>
          </w:tcPr>
          <w:p w14:paraId="16DF24AF" w14:textId="77777777" w:rsidR="00AC7CB0" w:rsidRPr="004D2B9A" w:rsidRDefault="00AC7CB0" w:rsidP="00075B2F">
            <w:pPr>
              <w:pStyle w:val="tabele"/>
              <w:rPr>
                <w:b w:val="0"/>
                <w:bCs w:val="0"/>
                <w:lang w:val="en-GB"/>
              </w:rPr>
            </w:pPr>
            <w:r w:rsidRPr="004D2B9A">
              <w:rPr>
                <w:b w:val="0"/>
                <w:bCs w:val="0"/>
                <w:lang w:val="en-GB"/>
              </w:rPr>
              <w:t>472</w:t>
            </w:r>
          </w:p>
        </w:tc>
        <w:tc>
          <w:tcPr>
            <w:tcW w:w="850" w:type="dxa"/>
            <w:tcBorders>
              <w:top w:val="nil"/>
              <w:left w:val="nil"/>
              <w:bottom w:val="single" w:sz="4" w:space="0" w:color="auto"/>
              <w:right w:val="single" w:sz="4" w:space="0" w:color="auto"/>
            </w:tcBorders>
            <w:noWrap/>
            <w:vAlign w:val="center"/>
            <w:hideMark/>
          </w:tcPr>
          <w:p w14:paraId="098EFC55" w14:textId="77777777" w:rsidR="00AC7CB0" w:rsidRPr="004D2B9A" w:rsidRDefault="00AC7CB0" w:rsidP="00075B2F">
            <w:pPr>
              <w:pStyle w:val="tabele"/>
              <w:rPr>
                <w:b w:val="0"/>
                <w:bCs w:val="0"/>
                <w:lang w:val="en-GB"/>
              </w:rPr>
            </w:pPr>
            <w:r w:rsidRPr="004D2B9A">
              <w:rPr>
                <w:b w:val="0"/>
                <w:bCs w:val="0"/>
                <w:lang w:val="en-GB"/>
              </w:rPr>
              <w:t>472</w:t>
            </w:r>
          </w:p>
        </w:tc>
        <w:tc>
          <w:tcPr>
            <w:tcW w:w="972" w:type="dxa"/>
            <w:tcBorders>
              <w:top w:val="nil"/>
              <w:left w:val="nil"/>
              <w:bottom w:val="single" w:sz="4" w:space="0" w:color="auto"/>
              <w:right w:val="single" w:sz="4" w:space="0" w:color="auto"/>
            </w:tcBorders>
            <w:noWrap/>
            <w:vAlign w:val="center"/>
            <w:hideMark/>
          </w:tcPr>
          <w:p w14:paraId="4D73098B" w14:textId="77777777" w:rsidR="00AC7CB0" w:rsidRPr="004D2B9A" w:rsidRDefault="00AC7CB0" w:rsidP="00075B2F">
            <w:pPr>
              <w:pStyle w:val="tabele"/>
              <w:rPr>
                <w:b w:val="0"/>
                <w:bCs w:val="0"/>
                <w:lang w:val="en-GB"/>
              </w:rPr>
            </w:pPr>
            <w:r w:rsidRPr="004D2B9A">
              <w:rPr>
                <w:b w:val="0"/>
                <w:bCs w:val="0"/>
                <w:lang w:val="en-GB"/>
              </w:rPr>
              <w:t>0</w:t>
            </w:r>
          </w:p>
        </w:tc>
      </w:tr>
      <w:tr w:rsidR="00AC7CB0" w:rsidRPr="004D2B9A" w14:paraId="17A28C6F" w14:textId="77777777" w:rsidTr="00FA6C53">
        <w:trPr>
          <w:trHeight w:val="300"/>
          <w:jc w:val="center"/>
        </w:trPr>
        <w:tc>
          <w:tcPr>
            <w:tcW w:w="861" w:type="dxa"/>
            <w:tcBorders>
              <w:top w:val="nil"/>
              <w:left w:val="single" w:sz="4" w:space="0" w:color="auto"/>
              <w:bottom w:val="single" w:sz="4" w:space="0" w:color="auto"/>
              <w:right w:val="single" w:sz="4" w:space="0" w:color="auto"/>
            </w:tcBorders>
            <w:noWrap/>
            <w:vAlign w:val="center"/>
            <w:hideMark/>
          </w:tcPr>
          <w:p w14:paraId="68B9AC14" w14:textId="60439CC0" w:rsidR="00AC7CB0" w:rsidRPr="004D2B9A" w:rsidRDefault="00AC7CB0" w:rsidP="00075B2F">
            <w:pPr>
              <w:pStyle w:val="tabele"/>
              <w:rPr>
                <w:b w:val="0"/>
                <w:bCs w:val="0"/>
                <w:lang w:val="en-GB"/>
              </w:rPr>
            </w:pPr>
            <w:r w:rsidRPr="004D2B9A">
              <w:rPr>
                <w:b w:val="0"/>
                <w:bCs w:val="0"/>
                <w:lang w:val="en-GB"/>
              </w:rPr>
              <w:t>Sum</w:t>
            </w:r>
          </w:p>
        </w:tc>
        <w:tc>
          <w:tcPr>
            <w:tcW w:w="880" w:type="dxa"/>
            <w:tcBorders>
              <w:top w:val="nil"/>
              <w:left w:val="nil"/>
              <w:bottom w:val="single" w:sz="4" w:space="0" w:color="auto"/>
              <w:right w:val="single" w:sz="4" w:space="0" w:color="auto"/>
            </w:tcBorders>
            <w:noWrap/>
            <w:vAlign w:val="center"/>
            <w:hideMark/>
          </w:tcPr>
          <w:p w14:paraId="360B6511" w14:textId="60AFCE5D" w:rsidR="00AC7CB0" w:rsidRPr="004D2B9A" w:rsidRDefault="00AC7CB0" w:rsidP="00075B2F">
            <w:pPr>
              <w:pStyle w:val="tabele"/>
              <w:rPr>
                <w:b w:val="0"/>
                <w:bCs w:val="0"/>
                <w:lang w:val="en-GB"/>
              </w:rPr>
            </w:pPr>
            <w:r w:rsidRPr="004D2B9A">
              <w:rPr>
                <w:b w:val="0"/>
                <w:bCs w:val="0"/>
                <w:lang w:val="en-GB"/>
              </w:rPr>
              <w:t>2</w:t>
            </w:r>
            <w:r w:rsidR="00B96CCF" w:rsidRPr="004D2B9A">
              <w:rPr>
                <w:b w:val="0"/>
                <w:bCs w:val="0"/>
                <w:lang w:val="en-GB"/>
              </w:rPr>
              <w:t xml:space="preserve"> </w:t>
            </w:r>
            <w:r w:rsidRPr="004D2B9A">
              <w:rPr>
                <w:b w:val="0"/>
                <w:bCs w:val="0"/>
                <w:lang w:val="en-GB"/>
              </w:rPr>
              <w:t>475</w:t>
            </w:r>
          </w:p>
        </w:tc>
        <w:tc>
          <w:tcPr>
            <w:tcW w:w="760" w:type="dxa"/>
            <w:tcBorders>
              <w:top w:val="nil"/>
              <w:left w:val="nil"/>
              <w:bottom w:val="single" w:sz="4" w:space="0" w:color="auto"/>
              <w:right w:val="single" w:sz="4" w:space="0" w:color="auto"/>
            </w:tcBorders>
            <w:noWrap/>
            <w:vAlign w:val="center"/>
            <w:hideMark/>
          </w:tcPr>
          <w:p w14:paraId="6E3102EE" w14:textId="58D3E0C1" w:rsidR="00AC7CB0" w:rsidRPr="004D2B9A" w:rsidRDefault="00AC7CB0" w:rsidP="00075B2F">
            <w:pPr>
              <w:pStyle w:val="tabele"/>
              <w:rPr>
                <w:b w:val="0"/>
                <w:bCs w:val="0"/>
                <w:lang w:val="en-GB"/>
              </w:rPr>
            </w:pPr>
            <w:r w:rsidRPr="004D2B9A">
              <w:rPr>
                <w:b w:val="0"/>
                <w:bCs w:val="0"/>
                <w:lang w:val="en-GB"/>
              </w:rPr>
              <w:t>2</w:t>
            </w:r>
            <w:r w:rsidR="00B96CCF" w:rsidRPr="004D2B9A">
              <w:rPr>
                <w:b w:val="0"/>
                <w:bCs w:val="0"/>
                <w:lang w:val="en-GB"/>
              </w:rPr>
              <w:t xml:space="preserve"> </w:t>
            </w:r>
            <w:r w:rsidRPr="004D2B9A">
              <w:rPr>
                <w:b w:val="0"/>
                <w:bCs w:val="0"/>
                <w:lang w:val="en-GB"/>
              </w:rPr>
              <w:t>462</w:t>
            </w:r>
          </w:p>
        </w:tc>
        <w:tc>
          <w:tcPr>
            <w:tcW w:w="972" w:type="dxa"/>
            <w:tcBorders>
              <w:top w:val="nil"/>
              <w:left w:val="nil"/>
              <w:bottom w:val="single" w:sz="4" w:space="0" w:color="auto"/>
              <w:right w:val="single" w:sz="4" w:space="0" w:color="auto"/>
            </w:tcBorders>
            <w:noWrap/>
            <w:vAlign w:val="center"/>
            <w:hideMark/>
          </w:tcPr>
          <w:p w14:paraId="694A68C8" w14:textId="77777777" w:rsidR="00AC7CB0" w:rsidRPr="004D2B9A" w:rsidRDefault="00AC7CB0" w:rsidP="00075B2F">
            <w:pPr>
              <w:pStyle w:val="tabele"/>
              <w:rPr>
                <w:b w:val="0"/>
                <w:bCs w:val="0"/>
                <w:lang w:val="en-GB"/>
              </w:rPr>
            </w:pPr>
            <w:r w:rsidRPr="004D2B9A">
              <w:rPr>
                <w:b w:val="0"/>
                <w:bCs w:val="0"/>
                <w:lang w:val="en-GB"/>
              </w:rPr>
              <w:t>13</w:t>
            </w:r>
          </w:p>
        </w:tc>
        <w:tc>
          <w:tcPr>
            <w:tcW w:w="740" w:type="dxa"/>
            <w:tcBorders>
              <w:top w:val="nil"/>
              <w:left w:val="nil"/>
              <w:bottom w:val="single" w:sz="4" w:space="0" w:color="auto"/>
              <w:right w:val="single" w:sz="4" w:space="0" w:color="auto"/>
            </w:tcBorders>
            <w:noWrap/>
            <w:vAlign w:val="center"/>
            <w:hideMark/>
          </w:tcPr>
          <w:p w14:paraId="66A2B877" w14:textId="7BA0E1E8" w:rsidR="00AC7CB0" w:rsidRPr="004D2B9A" w:rsidRDefault="00AC7CB0" w:rsidP="00075B2F">
            <w:pPr>
              <w:pStyle w:val="tabele"/>
              <w:rPr>
                <w:b w:val="0"/>
                <w:bCs w:val="0"/>
                <w:lang w:val="en-GB"/>
              </w:rPr>
            </w:pPr>
            <w:r w:rsidRPr="004D2B9A">
              <w:rPr>
                <w:b w:val="0"/>
                <w:bCs w:val="0"/>
                <w:lang w:val="en-GB"/>
              </w:rPr>
              <w:t>2</w:t>
            </w:r>
            <w:r w:rsidR="00B96CCF" w:rsidRPr="004D2B9A">
              <w:rPr>
                <w:b w:val="0"/>
                <w:bCs w:val="0"/>
                <w:lang w:val="en-GB"/>
              </w:rPr>
              <w:t xml:space="preserve"> </w:t>
            </w:r>
            <w:r w:rsidRPr="004D2B9A">
              <w:rPr>
                <w:b w:val="0"/>
                <w:bCs w:val="0"/>
                <w:lang w:val="en-GB"/>
              </w:rPr>
              <w:t>479</w:t>
            </w:r>
          </w:p>
        </w:tc>
        <w:tc>
          <w:tcPr>
            <w:tcW w:w="760" w:type="dxa"/>
            <w:tcBorders>
              <w:top w:val="nil"/>
              <w:left w:val="nil"/>
              <w:bottom w:val="single" w:sz="4" w:space="0" w:color="auto"/>
              <w:right w:val="single" w:sz="4" w:space="0" w:color="auto"/>
            </w:tcBorders>
            <w:noWrap/>
            <w:vAlign w:val="center"/>
            <w:hideMark/>
          </w:tcPr>
          <w:p w14:paraId="0B8B9815" w14:textId="48BA46E6" w:rsidR="00AC7CB0" w:rsidRPr="004D2B9A" w:rsidRDefault="00AC7CB0" w:rsidP="00075B2F">
            <w:pPr>
              <w:pStyle w:val="tabele"/>
              <w:rPr>
                <w:b w:val="0"/>
                <w:bCs w:val="0"/>
                <w:lang w:val="en-GB"/>
              </w:rPr>
            </w:pPr>
            <w:r w:rsidRPr="004D2B9A">
              <w:rPr>
                <w:b w:val="0"/>
                <w:bCs w:val="0"/>
                <w:lang w:val="en-GB"/>
              </w:rPr>
              <w:t>2</w:t>
            </w:r>
            <w:r w:rsidR="00B96CCF" w:rsidRPr="004D2B9A">
              <w:rPr>
                <w:b w:val="0"/>
                <w:bCs w:val="0"/>
                <w:lang w:val="en-GB"/>
              </w:rPr>
              <w:t xml:space="preserve"> </w:t>
            </w:r>
            <w:r w:rsidRPr="004D2B9A">
              <w:rPr>
                <w:b w:val="0"/>
                <w:bCs w:val="0"/>
                <w:lang w:val="en-GB"/>
              </w:rPr>
              <w:t>465</w:t>
            </w:r>
          </w:p>
        </w:tc>
        <w:tc>
          <w:tcPr>
            <w:tcW w:w="972" w:type="dxa"/>
            <w:tcBorders>
              <w:top w:val="nil"/>
              <w:left w:val="nil"/>
              <w:bottom w:val="single" w:sz="4" w:space="0" w:color="auto"/>
              <w:right w:val="single" w:sz="4" w:space="0" w:color="auto"/>
            </w:tcBorders>
            <w:noWrap/>
            <w:vAlign w:val="center"/>
            <w:hideMark/>
          </w:tcPr>
          <w:p w14:paraId="055611DC" w14:textId="77777777" w:rsidR="00AC7CB0" w:rsidRPr="004D2B9A" w:rsidRDefault="00AC7CB0" w:rsidP="00075B2F">
            <w:pPr>
              <w:pStyle w:val="tabele"/>
              <w:rPr>
                <w:b w:val="0"/>
                <w:bCs w:val="0"/>
                <w:lang w:val="en-GB"/>
              </w:rPr>
            </w:pPr>
            <w:r w:rsidRPr="004D2B9A">
              <w:rPr>
                <w:b w:val="0"/>
                <w:bCs w:val="0"/>
                <w:lang w:val="en-GB"/>
              </w:rPr>
              <w:t>15</w:t>
            </w:r>
          </w:p>
        </w:tc>
        <w:tc>
          <w:tcPr>
            <w:tcW w:w="864" w:type="dxa"/>
            <w:tcBorders>
              <w:top w:val="nil"/>
              <w:left w:val="nil"/>
              <w:bottom w:val="single" w:sz="4" w:space="0" w:color="auto"/>
              <w:right w:val="single" w:sz="4" w:space="0" w:color="auto"/>
            </w:tcBorders>
            <w:noWrap/>
            <w:vAlign w:val="center"/>
            <w:hideMark/>
          </w:tcPr>
          <w:p w14:paraId="51F7C930" w14:textId="59CE880C" w:rsidR="00AC7CB0" w:rsidRPr="004D2B9A" w:rsidRDefault="00AC7CB0" w:rsidP="00075B2F">
            <w:pPr>
              <w:pStyle w:val="tabele"/>
              <w:rPr>
                <w:b w:val="0"/>
                <w:bCs w:val="0"/>
                <w:lang w:val="en-GB"/>
              </w:rPr>
            </w:pPr>
            <w:r w:rsidRPr="004D2B9A">
              <w:rPr>
                <w:b w:val="0"/>
                <w:bCs w:val="0"/>
                <w:lang w:val="en-GB"/>
              </w:rPr>
              <w:t>2</w:t>
            </w:r>
            <w:r w:rsidR="00B96CCF" w:rsidRPr="004D2B9A">
              <w:rPr>
                <w:b w:val="0"/>
                <w:bCs w:val="0"/>
                <w:lang w:val="en-GB"/>
              </w:rPr>
              <w:t xml:space="preserve"> </w:t>
            </w:r>
            <w:r w:rsidRPr="004D2B9A">
              <w:rPr>
                <w:b w:val="0"/>
                <w:bCs w:val="0"/>
                <w:lang w:val="en-GB"/>
              </w:rPr>
              <w:t>526</w:t>
            </w:r>
          </w:p>
        </w:tc>
        <w:tc>
          <w:tcPr>
            <w:tcW w:w="850" w:type="dxa"/>
            <w:tcBorders>
              <w:top w:val="nil"/>
              <w:left w:val="nil"/>
              <w:bottom w:val="single" w:sz="4" w:space="0" w:color="auto"/>
              <w:right w:val="single" w:sz="4" w:space="0" w:color="auto"/>
            </w:tcBorders>
            <w:noWrap/>
            <w:vAlign w:val="center"/>
            <w:hideMark/>
          </w:tcPr>
          <w:p w14:paraId="29EE0CFB" w14:textId="10B8766B" w:rsidR="00AC7CB0" w:rsidRPr="004D2B9A" w:rsidRDefault="00AC7CB0" w:rsidP="00075B2F">
            <w:pPr>
              <w:pStyle w:val="tabele"/>
              <w:rPr>
                <w:b w:val="0"/>
                <w:bCs w:val="0"/>
                <w:lang w:val="en-GB"/>
              </w:rPr>
            </w:pPr>
            <w:r w:rsidRPr="004D2B9A">
              <w:rPr>
                <w:b w:val="0"/>
                <w:bCs w:val="0"/>
                <w:lang w:val="en-GB"/>
              </w:rPr>
              <w:t>2</w:t>
            </w:r>
            <w:r w:rsidR="00B96CCF" w:rsidRPr="004D2B9A">
              <w:rPr>
                <w:b w:val="0"/>
                <w:bCs w:val="0"/>
                <w:lang w:val="en-GB"/>
              </w:rPr>
              <w:t xml:space="preserve"> </w:t>
            </w:r>
            <w:r w:rsidRPr="004D2B9A">
              <w:rPr>
                <w:b w:val="0"/>
                <w:bCs w:val="0"/>
                <w:lang w:val="en-GB"/>
              </w:rPr>
              <w:t>512</w:t>
            </w:r>
          </w:p>
        </w:tc>
        <w:tc>
          <w:tcPr>
            <w:tcW w:w="972" w:type="dxa"/>
            <w:tcBorders>
              <w:top w:val="nil"/>
              <w:left w:val="nil"/>
              <w:bottom w:val="single" w:sz="4" w:space="0" w:color="auto"/>
              <w:right w:val="single" w:sz="4" w:space="0" w:color="auto"/>
            </w:tcBorders>
            <w:noWrap/>
            <w:vAlign w:val="center"/>
            <w:hideMark/>
          </w:tcPr>
          <w:p w14:paraId="2C74CB28" w14:textId="77777777" w:rsidR="00AC7CB0" w:rsidRPr="004D2B9A" w:rsidRDefault="00AC7CB0" w:rsidP="00075B2F">
            <w:pPr>
              <w:pStyle w:val="tabele"/>
              <w:rPr>
                <w:b w:val="0"/>
                <w:bCs w:val="0"/>
                <w:lang w:val="en-GB"/>
              </w:rPr>
            </w:pPr>
            <w:r w:rsidRPr="004D2B9A">
              <w:rPr>
                <w:b w:val="0"/>
                <w:bCs w:val="0"/>
                <w:lang w:val="en-GB"/>
              </w:rPr>
              <w:t>13</w:t>
            </w:r>
          </w:p>
        </w:tc>
      </w:tr>
      <w:tr w:rsidR="00AC7CB0" w:rsidRPr="004D2B9A" w14:paraId="0E8C4A6E" w14:textId="77777777" w:rsidTr="00FA6C53">
        <w:trPr>
          <w:trHeight w:val="300"/>
          <w:jc w:val="center"/>
        </w:trPr>
        <w:tc>
          <w:tcPr>
            <w:tcW w:w="861" w:type="dxa"/>
            <w:tcBorders>
              <w:top w:val="nil"/>
              <w:left w:val="nil"/>
              <w:bottom w:val="nil"/>
              <w:right w:val="nil"/>
            </w:tcBorders>
            <w:noWrap/>
            <w:vAlign w:val="bottom"/>
            <w:hideMark/>
          </w:tcPr>
          <w:p w14:paraId="51F23C10" w14:textId="77777777" w:rsidR="00AC7CB0" w:rsidRPr="004D2B9A" w:rsidRDefault="00AC7CB0" w:rsidP="00075B2F">
            <w:pPr>
              <w:pStyle w:val="tabele"/>
              <w:rPr>
                <w:b w:val="0"/>
                <w:bCs w:val="0"/>
                <w:lang w:val="en-GB"/>
              </w:rPr>
            </w:pPr>
          </w:p>
        </w:tc>
        <w:tc>
          <w:tcPr>
            <w:tcW w:w="2612" w:type="dxa"/>
            <w:gridSpan w:val="3"/>
            <w:tcBorders>
              <w:top w:val="single" w:sz="4" w:space="0" w:color="auto"/>
              <w:left w:val="single" w:sz="4" w:space="0" w:color="auto"/>
              <w:bottom w:val="single" w:sz="4" w:space="0" w:color="auto"/>
              <w:right w:val="single" w:sz="4" w:space="0" w:color="auto"/>
            </w:tcBorders>
            <w:noWrap/>
            <w:vAlign w:val="center"/>
            <w:hideMark/>
          </w:tcPr>
          <w:p w14:paraId="54F7256D" w14:textId="77777777" w:rsidR="00AC7CB0" w:rsidRPr="004D2B9A" w:rsidRDefault="00AC7CB0" w:rsidP="00075B2F">
            <w:pPr>
              <w:pStyle w:val="tabele"/>
              <w:rPr>
                <w:b w:val="0"/>
                <w:bCs w:val="0"/>
                <w:lang w:val="en-GB"/>
              </w:rPr>
            </w:pPr>
            <w:proofErr w:type="spellStart"/>
            <w:r w:rsidRPr="004D2B9A">
              <w:rPr>
                <w:b w:val="0"/>
                <w:bCs w:val="0"/>
                <w:lang w:val="en-GB"/>
              </w:rPr>
              <w:t>Białystok</w:t>
            </w:r>
            <w:proofErr w:type="spellEnd"/>
          </w:p>
        </w:tc>
        <w:tc>
          <w:tcPr>
            <w:tcW w:w="2472" w:type="dxa"/>
            <w:gridSpan w:val="3"/>
            <w:tcBorders>
              <w:top w:val="single" w:sz="4" w:space="0" w:color="auto"/>
              <w:left w:val="nil"/>
              <w:bottom w:val="single" w:sz="4" w:space="0" w:color="auto"/>
              <w:right w:val="single" w:sz="4" w:space="0" w:color="000000"/>
            </w:tcBorders>
            <w:noWrap/>
            <w:vAlign w:val="center"/>
            <w:hideMark/>
          </w:tcPr>
          <w:p w14:paraId="2863AADA" w14:textId="77777777" w:rsidR="00AC7CB0" w:rsidRPr="004D2B9A" w:rsidRDefault="00AC7CB0" w:rsidP="00075B2F">
            <w:pPr>
              <w:pStyle w:val="tabele"/>
              <w:rPr>
                <w:b w:val="0"/>
                <w:bCs w:val="0"/>
                <w:lang w:val="en-GB"/>
              </w:rPr>
            </w:pPr>
            <w:proofErr w:type="spellStart"/>
            <w:r w:rsidRPr="004D2B9A">
              <w:rPr>
                <w:b w:val="0"/>
                <w:bCs w:val="0"/>
                <w:lang w:val="en-GB"/>
              </w:rPr>
              <w:t>Suwałki</w:t>
            </w:r>
            <w:proofErr w:type="spellEnd"/>
          </w:p>
        </w:tc>
        <w:tc>
          <w:tcPr>
            <w:tcW w:w="864" w:type="dxa"/>
            <w:tcBorders>
              <w:top w:val="nil"/>
              <w:left w:val="nil"/>
              <w:bottom w:val="nil"/>
              <w:right w:val="nil"/>
            </w:tcBorders>
            <w:noWrap/>
            <w:vAlign w:val="bottom"/>
            <w:hideMark/>
          </w:tcPr>
          <w:p w14:paraId="129E4863" w14:textId="77777777" w:rsidR="00AC7CB0" w:rsidRPr="004D2B9A" w:rsidRDefault="00AC7CB0" w:rsidP="00075B2F">
            <w:pPr>
              <w:pStyle w:val="tabele"/>
              <w:rPr>
                <w:b w:val="0"/>
                <w:bCs w:val="0"/>
                <w:lang w:val="en-GB"/>
              </w:rPr>
            </w:pPr>
          </w:p>
        </w:tc>
        <w:tc>
          <w:tcPr>
            <w:tcW w:w="850" w:type="dxa"/>
            <w:tcBorders>
              <w:top w:val="nil"/>
              <w:left w:val="nil"/>
              <w:bottom w:val="nil"/>
              <w:right w:val="nil"/>
            </w:tcBorders>
            <w:noWrap/>
            <w:vAlign w:val="bottom"/>
            <w:hideMark/>
          </w:tcPr>
          <w:p w14:paraId="5D4BB39D" w14:textId="77777777" w:rsidR="00AC7CB0" w:rsidRPr="004D2B9A" w:rsidRDefault="00AC7CB0" w:rsidP="00075B2F">
            <w:pPr>
              <w:pStyle w:val="tabele"/>
              <w:rPr>
                <w:b w:val="0"/>
                <w:bCs w:val="0"/>
                <w:szCs w:val="20"/>
                <w:lang w:val="en-GB"/>
              </w:rPr>
            </w:pPr>
          </w:p>
        </w:tc>
        <w:tc>
          <w:tcPr>
            <w:tcW w:w="972" w:type="dxa"/>
            <w:tcBorders>
              <w:top w:val="nil"/>
              <w:left w:val="nil"/>
              <w:bottom w:val="nil"/>
              <w:right w:val="nil"/>
            </w:tcBorders>
            <w:noWrap/>
            <w:vAlign w:val="bottom"/>
            <w:hideMark/>
          </w:tcPr>
          <w:p w14:paraId="3C3669F9" w14:textId="77777777" w:rsidR="00AC7CB0" w:rsidRPr="004D2B9A" w:rsidRDefault="00AC7CB0" w:rsidP="00075B2F">
            <w:pPr>
              <w:pStyle w:val="tabele"/>
              <w:rPr>
                <w:b w:val="0"/>
                <w:bCs w:val="0"/>
                <w:szCs w:val="20"/>
                <w:lang w:val="en-GB"/>
              </w:rPr>
            </w:pPr>
          </w:p>
        </w:tc>
      </w:tr>
      <w:tr w:rsidR="00AC7CB0" w:rsidRPr="004D2B9A" w14:paraId="71227A72" w14:textId="77777777" w:rsidTr="00FA6C53">
        <w:trPr>
          <w:trHeight w:val="570"/>
          <w:jc w:val="center"/>
        </w:trPr>
        <w:tc>
          <w:tcPr>
            <w:tcW w:w="861" w:type="dxa"/>
            <w:tcBorders>
              <w:top w:val="single" w:sz="4" w:space="0" w:color="auto"/>
              <w:left w:val="single" w:sz="4" w:space="0" w:color="auto"/>
              <w:bottom w:val="single" w:sz="4" w:space="0" w:color="auto"/>
              <w:right w:val="single" w:sz="4" w:space="0" w:color="auto"/>
            </w:tcBorders>
            <w:vAlign w:val="center"/>
            <w:hideMark/>
          </w:tcPr>
          <w:p w14:paraId="371010B0" w14:textId="5A447E20" w:rsidR="00AC7CB0" w:rsidRPr="004D2B9A" w:rsidRDefault="00785518" w:rsidP="00075B2F">
            <w:pPr>
              <w:pStyle w:val="tabele"/>
              <w:rPr>
                <w:b w:val="0"/>
                <w:bCs w:val="0"/>
                <w:lang w:val="en-GB"/>
              </w:rPr>
            </w:pPr>
            <w:r w:rsidRPr="004D2B9A">
              <w:rPr>
                <w:b w:val="0"/>
                <w:bCs w:val="0"/>
                <w:lang w:val="en-GB"/>
              </w:rPr>
              <w:t>Month</w:t>
            </w:r>
          </w:p>
        </w:tc>
        <w:tc>
          <w:tcPr>
            <w:tcW w:w="880" w:type="dxa"/>
            <w:tcBorders>
              <w:top w:val="nil"/>
              <w:left w:val="nil"/>
              <w:bottom w:val="single" w:sz="4" w:space="0" w:color="auto"/>
              <w:right w:val="single" w:sz="4" w:space="0" w:color="auto"/>
            </w:tcBorders>
            <w:vAlign w:val="center"/>
            <w:hideMark/>
          </w:tcPr>
          <w:p w14:paraId="7E5D08A6" w14:textId="79BFE89C" w:rsidR="00AC7CB0" w:rsidRPr="004D2B9A" w:rsidRDefault="00785518" w:rsidP="00075B2F">
            <w:pPr>
              <w:pStyle w:val="tabele"/>
              <w:rPr>
                <w:b w:val="0"/>
                <w:bCs w:val="0"/>
                <w:lang w:val="en-GB"/>
              </w:rPr>
            </w:pPr>
            <w:r w:rsidRPr="004D2B9A">
              <w:rPr>
                <w:b w:val="0"/>
                <w:bCs w:val="0"/>
                <w:lang w:val="en-GB"/>
              </w:rPr>
              <w:t>El.</w:t>
            </w:r>
            <w:r w:rsidR="00B96CCF" w:rsidRPr="004D2B9A">
              <w:rPr>
                <w:b w:val="0"/>
                <w:bCs w:val="0"/>
                <w:lang w:val="en-GB"/>
              </w:rPr>
              <w:t xml:space="preserve"> </w:t>
            </w:r>
            <w:proofErr w:type="spellStart"/>
            <w:r w:rsidRPr="004D2B9A">
              <w:rPr>
                <w:b w:val="0"/>
                <w:bCs w:val="0"/>
                <w:lang w:val="en-GB"/>
              </w:rPr>
              <w:t>en</w:t>
            </w:r>
            <w:proofErr w:type="spellEnd"/>
            <w:r w:rsidRPr="004D2B9A">
              <w:rPr>
                <w:b w:val="0"/>
                <w:bCs w:val="0"/>
                <w:lang w:val="en-GB"/>
              </w:rPr>
              <w:t>.</w:t>
            </w:r>
            <w:r w:rsidR="00B96CCF" w:rsidRPr="004D2B9A">
              <w:rPr>
                <w:b w:val="0"/>
                <w:bCs w:val="0"/>
                <w:lang w:val="en-GB"/>
              </w:rPr>
              <w:t xml:space="preserve"> </w:t>
            </w:r>
            <w:r w:rsidRPr="004D2B9A">
              <w:rPr>
                <w:b w:val="0"/>
                <w:bCs w:val="0"/>
                <w:lang w:val="en-GB"/>
              </w:rPr>
              <w:t>TAS</w:t>
            </w:r>
          </w:p>
        </w:tc>
        <w:tc>
          <w:tcPr>
            <w:tcW w:w="760" w:type="dxa"/>
            <w:tcBorders>
              <w:top w:val="nil"/>
              <w:left w:val="nil"/>
              <w:bottom w:val="single" w:sz="4" w:space="0" w:color="auto"/>
              <w:right w:val="single" w:sz="4" w:space="0" w:color="auto"/>
            </w:tcBorders>
            <w:vAlign w:val="center"/>
            <w:hideMark/>
          </w:tcPr>
          <w:p w14:paraId="5221CAE7" w14:textId="3DF12C1D" w:rsidR="00AC7CB0" w:rsidRPr="004D2B9A" w:rsidRDefault="00785518" w:rsidP="00075B2F">
            <w:pPr>
              <w:pStyle w:val="tabele"/>
              <w:rPr>
                <w:b w:val="0"/>
                <w:bCs w:val="0"/>
                <w:lang w:val="en-GB"/>
              </w:rPr>
            </w:pPr>
            <w:r w:rsidRPr="004D2B9A">
              <w:rPr>
                <w:b w:val="0"/>
                <w:bCs w:val="0"/>
                <w:lang w:val="en-GB"/>
              </w:rPr>
              <w:t>El.</w:t>
            </w:r>
            <w:r w:rsidR="00B96CCF" w:rsidRPr="004D2B9A">
              <w:rPr>
                <w:b w:val="0"/>
                <w:bCs w:val="0"/>
                <w:lang w:val="en-GB"/>
              </w:rPr>
              <w:t xml:space="preserve"> </w:t>
            </w:r>
            <w:proofErr w:type="spellStart"/>
            <w:r w:rsidRPr="004D2B9A">
              <w:rPr>
                <w:b w:val="0"/>
                <w:bCs w:val="0"/>
                <w:lang w:val="en-GB"/>
              </w:rPr>
              <w:t>en</w:t>
            </w:r>
            <w:proofErr w:type="spellEnd"/>
            <w:r w:rsidRPr="004D2B9A">
              <w:rPr>
                <w:b w:val="0"/>
                <w:bCs w:val="0"/>
                <w:lang w:val="en-GB"/>
              </w:rPr>
              <w:t>.</w:t>
            </w:r>
            <w:r w:rsidR="00B96CCF" w:rsidRPr="004D2B9A">
              <w:rPr>
                <w:b w:val="0"/>
                <w:bCs w:val="0"/>
                <w:lang w:val="en-GB"/>
              </w:rPr>
              <w:t xml:space="preserve"> </w:t>
            </w:r>
            <w:r w:rsidRPr="004D2B9A">
              <w:rPr>
                <w:b w:val="0"/>
                <w:bCs w:val="0"/>
                <w:lang w:val="en-GB"/>
              </w:rPr>
              <w:t>FI</w:t>
            </w:r>
          </w:p>
        </w:tc>
        <w:tc>
          <w:tcPr>
            <w:tcW w:w="972" w:type="dxa"/>
            <w:tcBorders>
              <w:top w:val="nil"/>
              <w:left w:val="nil"/>
              <w:bottom w:val="single" w:sz="4" w:space="0" w:color="auto"/>
              <w:right w:val="single" w:sz="4" w:space="0" w:color="auto"/>
            </w:tcBorders>
            <w:vAlign w:val="center"/>
            <w:hideMark/>
          </w:tcPr>
          <w:p w14:paraId="56733D57" w14:textId="77777777" w:rsidR="00785518" w:rsidRPr="004D2B9A" w:rsidRDefault="00785518" w:rsidP="00785518">
            <w:pPr>
              <w:pStyle w:val="tabele"/>
              <w:rPr>
                <w:b w:val="0"/>
                <w:bCs w:val="0"/>
                <w:lang w:val="en-GB"/>
              </w:rPr>
            </w:pPr>
            <w:r w:rsidRPr="004D2B9A">
              <w:rPr>
                <w:b w:val="0"/>
                <w:bCs w:val="0"/>
                <w:lang w:val="en-GB"/>
              </w:rPr>
              <w:t>Δ</w:t>
            </w:r>
          </w:p>
          <w:p w14:paraId="7571F0D5" w14:textId="1E05283F" w:rsidR="00AC7CB0" w:rsidRPr="004D2B9A" w:rsidRDefault="00785518" w:rsidP="00785518">
            <w:pPr>
              <w:pStyle w:val="tabele"/>
              <w:rPr>
                <w:b w:val="0"/>
                <w:bCs w:val="0"/>
                <w:lang w:val="en-GB"/>
              </w:rPr>
            </w:pPr>
            <w:r w:rsidRPr="004D2B9A">
              <w:rPr>
                <w:b w:val="0"/>
                <w:bCs w:val="0"/>
                <w:lang w:val="en-GB"/>
              </w:rPr>
              <w:t>TAS-FI</w:t>
            </w:r>
          </w:p>
        </w:tc>
        <w:tc>
          <w:tcPr>
            <w:tcW w:w="740" w:type="dxa"/>
            <w:tcBorders>
              <w:top w:val="nil"/>
              <w:left w:val="nil"/>
              <w:bottom w:val="single" w:sz="4" w:space="0" w:color="auto"/>
              <w:right w:val="single" w:sz="4" w:space="0" w:color="auto"/>
            </w:tcBorders>
            <w:vAlign w:val="center"/>
            <w:hideMark/>
          </w:tcPr>
          <w:p w14:paraId="2F311151" w14:textId="6492DA97" w:rsidR="00AC7CB0" w:rsidRPr="004D2B9A" w:rsidRDefault="00785518" w:rsidP="00075B2F">
            <w:pPr>
              <w:pStyle w:val="tabele"/>
              <w:rPr>
                <w:b w:val="0"/>
                <w:bCs w:val="0"/>
                <w:lang w:val="en-GB"/>
              </w:rPr>
            </w:pPr>
            <w:r w:rsidRPr="004D2B9A">
              <w:rPr>
                <w:b w:val="0"/>
                <w:bCs w:val="0"/>
                <w:lang w:val="en-GB"/>
              </w:rPr>
              <w:t>El.</w:t>
            </w:r>
            <w:r w:rsidR="00B96CCF" w:rsidRPr="004D2B9A">
              <w:rPr>
                <w:b w:val="0"/>
                <w:bCs w:val="0"/>
                <w:lang w:val="en-GB"/>
              </w:rPr>
              <w:t xml:space="preserve"> </w:t>
            </w:r>
            <w:proofErr w:type="spellStart"/>
            <w:r w:rsidRPr="004D2B9A">
              <w:rPr>
                <w:b w:val="0"/>
                <w:bCs w:val="0"/>
                <w:lang w:val="en-GB"/>
              </w:rPr>
              <w:t>en</w:t>
            </w:r>
            <w:proofErr w:type="spellEnd"/>
            <w:r w:rsidRPr="004D2B9A">
              <w:rPr>
                <w:b w:val="0"/>
                <w:bCs w:val="0"/>
                <w:lang w:val="en-GB"/>
              </w:rPr>
              <w:t>.</w:t>
            </w:r>
            <w:r w:rsidR="00B96CCF" w:rsidRPr="004D2B9A">
              <w:rPr>
                <w:b w:val="0"/>
                <w:bCs w:val="0"/>
                <w:lang w:val="en-GB"/>
              </w:rPr>
              <w:t xml:space="preserve"> </w:t>
            </w:r>
            <w:r w:rsidRPr="004D2B9A">
              <w:rPr>
                <w:b w:val="0"/>
                <w:bCs w:val="0"/>
                <w:lang w:val="en-GB"/>
              </w:rPr>
              <w:t>TAS</w:t>
            </w:r>
          </w:p>
        </w:tc>
        <w:tc>
          <w:tcPr>
            <w:tcW w:w="760" w:type="dxa"/>
            <w:tcBorders>
              <w:top w:val="nil"/>
              <w:left w:val="nil"/>
              <w:bottom w:val="single" w:sz="4" w:space="0" w:color="auto"/>
              <w:right w:val="single" w:sz="4" w:space="0" w:color="auto"/>
            </w:tcBorders>
            <w:vAlign w:val="center"/>
            <w:hideMark/>
          </w:tcPr>
          <w:p w14:paraId="087226AC" w14:textId="1033AAA3" w:rsidR="00AC7CB0" w:rsidRPr="004D2B9A" w:rsidRDefault="00785518" w:rsidP="00075B2F">
            <w:pPr>
              <w:pStyle w:val="tabele"/>
              <w:rPr>
                <w:b w:val="0"/>
                <w:bCs w:val="0"/>
                <w:lang w:val="en-GB"/>
              </w:rPr>
            </w:pPr>
            <w:r w:rsidRPr="004D2B9A">
              <w:rPr>
                <w:b w:val="0"/>
                <w:bCs w:val="0"/>
                <w:lang w:val="en-GB"/>
              </w:rPr>
              <w:t>El.</w:t>
            </w:r>
            <w:r w:rsidR="00B96CCF" w:rsidRPr="004D2B9A">
              <w:rPr>
                <w:b w:val="0"/>
                <w:bCs w:val="0"/>
                <w:lang w:val="en-GB"/>
              </w:rPr>
              <w:t xml:space="preserve"> </w:t>
            </w:r>
            <w:proofErr w:type="spellStart"/>
            <w:r w:rsidRPr="004D2B9A">
              <w:rPr>
                <w:b w:val="0"/>
                <w:bCs w:val="0"/>
                <w:lang w:val="en-GB"/>
              </w:rPr>
              <w:t>en</w:t>
            </w:r>
            <w:proofErr w:type="spellEnd"/>
            <w:r w:rsidRPr="004D2B9A">
              <w:rPr>
                <w:b w:val="0"/>
                <w:bCs w:val="0"/>
                <w:lang w:val="en-GB"/>
              </w:rPr>
              <w:t>.</w:t>
            </w:r>
            <w:r w:rsidR="00B96CCF" w:rsidRPr="004D2B9A">
              <w:rPr>
                <w:b w:val="0"/>
                <w:bCs w:val="0"/>
                <w:lang w:val="en-GB"/>
              </w:rPr>
              <w:t xml:space="preserve"> </w:t>
            </w:r>
            <w:r w:rsidRPr="004D2B9A">
              <w:rPr>
                <w:b w:val="0"/>
                <w:bCs w:val="0"/>
                <w:lang w:val="en-GB"/>
              </w:rPr>
              <w:t>FI</w:t>
            </w:r>
          </w:p>
        </w:tc>
        <w:tc>
          <w:tcPr>
            <w:tcW w:w="972" w:type="dxa"/>
            <w:tcBorders>
              <w:top w:val="nil"/>
              <w:left w:val="nil"/>
              <w:bottom w:val="single" w:sz="4" w:space="0" w:color="auto"/>
              <w:right w:val="single" w:sz="4" w:space="0" w:color="auto"/>
            </w:tcBorders>
            <w:vAlign w:val="center"/>
            <w:hideMark/>
          </w:tcPr>
          <w:p w14:paraId="7514F1D1" w14:textId="77777777" w:rsidR="00785518" w:rsidRPr="004D2B9A" w:rsidRDefault="00785518" w:rsidP="00785518">
            <w:pPr>
              <w:pStyle w:val="tabele"/>
              <w:rPr>
                <w:b w:val="0"/>
                <w:bCs w:val="0"/>
                <w:lang w:val="en-GB"/>
              </w:rPr>
            </w:pPr>
            <w:r w:rsidRPr="004D2B9A">
              <w:rPr>
                <w:b w:val="0"/>
                <w:bCs w:val="0"/>
                <w:lang w:val="en-GB"/>
              </w:rPr>
              <w:t>Δ</w:t>
            </w:r>
          </w:p>
          <w:p w14:paraId="1E424A96" w14:textId="3F8DC50E" w:rsidR="00AC7CB0" w:rsidRPr="004D2B9A" w:rsidRDefault="00785518" w:rsidP="00785518">
            <w:pPr>
              <w:pStyle w:val="tabele"/>
              <w:rPr>
                <w:b w:val="0"/>
                <w:bCs w:val="0"/>
                <w:lang w:val="en-GB"/>
              </w:rPr>
            </w:pPr>
            <w:r w:rsidRPr="004D2B9A">
              <w:rPr>
                <w:b w:val="0"/>
                <w:bCs w:val="0"/>
                <w:lang w:val="en-GB"/>
              </w:rPr>
              <w:t>TAS-FI</w:t>
            </w:r>
          </w:p>
        </w:tc>
        <w:tc>
          <w:tcPr>
            <w:tcW w:w="864" w:type="dxa"/>
            <w:tcBorders>
              <w:top w:val="nil"/>
              <w:left w:val="nil"/>
              <w:bottom w:val="nil"/>
              <w:right w:val="nil"/>
            </w:tcBorders>
            <w:noWrap/>
            <w:vAlign w:val="bottom"/>
            <w:hideMark/>
          </w:tcPr>
          <w:p w14:paraId="70341583" w14:textId="77777777" w:rsidR="00AC7CB0" w:rsidRPr="004D2B9A" w:rsidRDefault="00AC7CB0" w:rsidP="00075B2F">
            <w:pPr>
              <w:pStyle w:val="tabele"/>
              <w:rPr>
                <w:b w:val="0"/>
                <w:bCs w:val="0"/>
                <w:lang w:val="en-GB"/>
              </w:rPr>
            </w:pPr>
          </w:p>
        </w:tc>
        <w:tc>
          <w:tcPr>
            <w:tcW w:w="850" w:type="dxa"/>
            <w:tcBorders>
              <w:top w:val="nil"/>
              <w:left w:val="nil"/>
              <w:bottom w:val="nil"/>
              <w:right w:val="nil"/>
            </w:tcBorders>
            <w:noWrap/>
            <w:vAlign w:val="bottom"/>
            <w:hideMark/>
          </w:tcPr>
          <w:p w14:paraId="192A2533" w14:textId="77777777" w:rsidR="00AC7CB0" w:rsidRPr="004D2B9A" w:rsidRDefault="00AC7CB0" w:rsidP="00075B2F">
            <w:pPr>
              <w:pStyle w:val="tabele"/>
              <w:rPr>
                <w:b w:val="0"/>
                <w:bCs w:val="0"/>
                <w:szCs w:val="20"/>
                <w:lang w:val="en-GB"/>
              </w:rPr>
            </w:pPr>
          </w:p>
        </w:tc>
        <w:tc>
          <w:tcPr>
            <w:tcW w:w="972" w:type="dxa"/>
            <w:tcBorders>
              <w:top w:val="nil"/>
              <w:left w:val="nil"/>
              <w:bottom w:val="nil"/>
              <w:right w:val="nil"/>
            </w:tcBorders>
            <w:noWrap/>
            <w:vAlign w:val="bottom"/>
            <w:hideMark/>
          </w:tcPr>
          <w:p w14:paraId="00E1CA81" w14:textId="77777777" w:rsidR="00AC7CB0" w:rsidRPr="004D2B9A" w:rsidRDefault="00AC7CB0" w:rsidP="00075B2F">
            <w:pPr>
              <w:pStyle w:val="tabele"/>
              <w:rPr>
                <w:b w:val="0"/>
                <w:bCs w:val="0"/>
                <w:szCs w:val="20"/>
                <w:lang w:val="en-GB"/>
              </w:rPr>
            </w:pPr>
          </w:p>
        </w:tc>
      </w:tr>
      <w:tr w:rsidR="00AC7CB0" w:rsidRPr="004D2B9A" w14:paraId="0A6FCFFC" w14:textId="77777777" w:rsidTr="00FA6C53">
        <w:trPr>
          <w:trHeight w:val="300"/>
          <w:jc w:val="center"/>
        </w:trPr>
        <w:tc>
          <w:tcPr>
            <w:tcW w:w="861" w:type="dxa"/>
            <w:tcBorders>
              <w:top w:val="nil"/>
              <w:left w:val="single" w:sz="4" w:space="0" w:color="auto"/>
              <w:bottom w:val="single" w:sz="4" w:space="0" w:color="auto"/>
              <w:right w:val="single" w:sz="4" w:space="0" w:color="auto"/>
            </w:tcBorders>
            <w:noWrap/>
            <w:vAlign w:val="center"/>
            <w:hideMark/>
          </w:tcPr>
          <w:p w14:paraId="52C06179" w14:textId="77777777" w:rsidR="00AC7CB0" w:rsidRPr="004D2B9A" w:rsidRDefault="00AC7CB0" w:rsidP="00075B2F">
            <w:pPr>
              <w:pStyle w:val="tabele"/>
              <w:rPr>
                <w:b w:val="0"/>
                <w:bCs w:val="0"/>
                <w:lang w:val="en-GB"/>
              </w:rPr>
            </w:pPr>
            <w:r w:rsidRPr="004D2B9A">
              <w:rPr>
                <w:b w:val="0"/>
                <w:bCs w:val="0"/>
                <w:lang w:val="en-GB"/>
              </w:rPr>
              <w:t>-</w:t>
            </w:r>
          </w:p>
        </w:tc>
        <w:tc>
          <w:tcPr>
            <w:tcW w:w="880" w:type="dxa"/>
            <w:tcBorders>
              <w:top w:val="nil"/>
              <w:left w:val="nil"/>
              <w:bottom w:val="single" w:sz="4" w:space="0" w:color="auto"/>
              <w:right w:val="single" w:sz="4" w:space="0" w:color="auto"/>
            </w:tcBorders>
            <w:noWrap/>
            <w:vAlign w:val="center"/>
            <w:hideMark/>
          </w:tcPr>
          <w:p w14:paraId="3968404A" w14:textId="77777777" w:rsidR="00AC7CB0" w:rsidRPr="004D2B9A" w:rsidRDefault="00AC7CB0" w:rsidP="00075B2F">
            <w:pPr>
              <w:pStyle w:val="tabele"/>
              <w:rPr>
                <w:b w:val="0"/>
                <w:bCs w:val="0"/>
                <w:lang w:val="en-GB"/>
              </w:rPr>
            </w:pPr>
            <w:r w:rsidRPr="004D2B9A">
              <w:rPr>
                <w:b w:val="0"/>
                <w:bCs w:val="0"/>
                <w:lang w:val="en-GB"/>
              </w:rPr>
              <w:t>kWh</w:t>
            </w:r>
          </w:p>
        </w:tc>
        <w:tc>
          <w:tcPr>
            <w:tcW w:w="760" w:type="dxa"/>
            <w:tcBorders>
              <w:top w:val="nil"/>
              <w:left w:val="nil"/>
              <w:bottom w:val="single" w:sz="4" w:space="0" w:color="auto"/>
              <w:right w:val="single" w:sz="4" w:space="0" w:color="auto"/>
            </w:tcBorders>
            <w:noWrap/>
            <w:vAlign w:val="center"/>
            <w:hideMark/>
          </w:tcPr>
          <w:p w14:paraId="6F772ED9" w14:textId="77777777" w:rsidR="00AC7CB0" w:rsidRPr="004D2B9A" w:rsidRDefault="00AC7CB0" w:rsidP="00075B2F">
            <w:pPr>
              <w:pStyle w:val="tabele"/>
              <w:rPr>
                <w:b w:val="0"/>
                <w:bCs w:val="0"/>
                <w:lang w:val="en-GB"/>
              </w:rPr>
            </w:pPr>
            <w:r w:rsidRPr="004D2B9A">
              <w:rPr>
                <w:b w:val="0"/>
                <w:bCs w:val="0"/>
                <w:lang w:val="en-GB"/>
              </w:rPr>
              <w:t>kWh</w:t>
            </w:r>
          </w:p>
        </w:tc>
        <w:tc>
          <w:tcPr>
            <w:tcW w:w="972" w:type="dxa"/>
            <w:tcBorders>
              <w:top w:val="nil"/>
              <w:left w:val="nil"/>
              <w:bottom w:val="single" w:sz="4" w:space="0" w:color="auto"/>
              <w:right w:val="single" w:sz="4" w:space="0" w:color="auto"/>
            </w:tcBorders>
            <w:noWrap/>
            <w:vAlign w:val="center"/>
            <w:hideMark/>
          </w:tcPr>
          <w:p w14:paraId="4A4D1E1D" w14:textId="77777777" w:rsidR="00AC7CB0" w:rsidRPr="004D2B9A" w:rsidRDefault="00AC7CB0" w:rsidP="00075B2F">
            <w:pPr>
              <w:pStyle w:val="tabele"/>
              <w:rPr>
                <w:b w:val="0"/>
                <w:bCs w:val="0"/>
                <w:lang w:val="en-GB"/>
              </w:rPr>
            </w:pPr>
            <w:r w:rsidRPr="004D2B9A">
              <w:rPr>
                <w:b w:val="0"/>
                <w:bCs w:val="0"/>
                <w:lang w:val="en-GB"/>
              </w:rPr>
              <w:t>kWh</w:t>
            </w:r>
          </w:p>
        </w:tc>
        <w:tc>
          <w:tcPr>
            <w:tcW w:w="740" w:type="dxa"/>
            <w:tcBorders>
              <w:top w:val="nil"/>
              <w:left w:val="nil"/>
              <w:bottom w:val="single" w:sz="4" w:space="0" w:color="auto"/>
              <w:right w:val="single" w:sz="4" w:space="0" w:color="auto"/>
            </w:tcBorders>
            <w:noWrap/>
            <w:vAlign w:val="center"/>
            <w:hideMark/>
          </w:tcPr>
          <w:p w14:paraId="0B890BF1" w14:textId="77777777" w:rsidR="00AC7CB0" w:rsidRPr="004D2B9A" w:rsidRDefault="00AC7CB0" w:rsidP="00075B2F">
            <w:pPr>
              <w:pStyle w:val="tabele"/>
              <w:rPr>
                <w:b w:val="0"/>
                <w:bCs w:val="0"/>
                <w:lang w:val="en-GB"/>
              </w:rPr>
            </w:pPr>
            <w:r w:rsidRPr="004D2B9A">
              <w:rPr>
                <w:b w:val="0"/>
                <w:bCs w:val="0"/>
                <w:lang w:val="en-GB"/>
              </w:rPr>
              <w:t>kWh</w:t>
            </w:r>
          </w:p>
        </w:tc>
        <w:tc>
          <w:tcPr>
            <w:tcW w:w="760" w:type="dxa"/>
            <w:tcBorders>
              <w:top w:val="nil"/>
              <w:left w:val="nil"/>
              <w:bottom w:val="single" w:sz="4" w:space="0" w:color="auto"/>
              <w:right w:val="single" w:sz="4" w:space="0" w:color="auto"/>
            </w:tcBorders>
            <w:noWrap/>
            <w:vAlign w:val="center"/>
            <w:hideMark/>
          </w:tcPr>
          <w:p w14:paraId="239BC204" w14:textId="77777777" w:rsidR="00AC7CB0" w:rsidRPr="004D2B9A" w:rsidRDefault="00AC7CB0" w:rsidP="00075B2F">
            <w:pPr>
              <w:pStyle w:val="tabele"/>
              <w:rPr>
                <w:b w:val="0"/>
                <w:bCs w:val="0"/>
                <w:lang w:val="en-GB"/>
              </w:rPr>
            </w:pPr>
            <w:r w:rsidRPr="004D2B9A">
              <w:rPr>
                <w:b w:val="0"/>
                <w:bCs w:val="0"/>
                <w:lang w:val="en-GB"/>
              </w:rPr>
              <w:t>kWh</w:t>
            </w:r>
          </w:p>
        </w:tc>
        <w:tc>
          <w:tcPr>
            <w:tcW w:w="972" w:type="dxa"/>
            <w:tcBorders>
              <w:top w:val="nil"/>
              <w:left w:val="nil"/>
              <w:bottom w:val="single" w:sz="4" w:space="0" w:color="auto"/>
              <w:right w:val="single" w:sz="4" w:space="0" w:color="auto"/>
            </w:tcBorders>
            <w:noWrap/>
            <w:vAlign w:val="center"/>
            <w:hideMark/>
          </w:tcPr>
          <w:p w14:paraId="296EE667" w14:textId="77777777" w:rsidR="00AC7CB0" w:rsidRPr="004D2B9A" w:rsidRDefault="00AC7CB0" w:rsidP="00075B2F">
            <w:pPr>
              <w:pStyle w:val="tabele"/>
              <w:rPr>
                <w:b w:val="0"/>
                <w:bCs w:val="0"/>
                <w:lang w:val="en-GB"/>
              </w:rPr>
            </w:pPr>
            <w:r w:rsidRPr="004D2B9A">
              <w:rPr>
                <w:b w:val="0"/>
                <w:bCs w:val="0"/>
                <w:lang w:val="en-GB"/>
              </w:rPr>
              <w:t>kWh</w:t>
            </w:r>
          </w:p>
        </w:tc>
        <w:tc>
          <w:tcPr>
            <w:tcW w:w="864" w:type="dxa"/>
            <w:tcBorders>
              <w:top w:val="nil"/>
              <w:left w:val="nil"/>
              <w:bottom w:val="nil"/>
              <w:right w:val="nil"/>
            </w:tcBorders>
            <w:noWrap/>
            <w:vAlign w:val="bottom"/>
            <w:hideMark/>
          </w:tcPr>
          <w:p w14:paraId="1E89B3D1" w14:textId="77777777" w:rsidR="00AC7CB0" w:rsidRPr="004D2B9A" w:rsidRDefault="00AC7CB0" w:rsidP="00075B2F">
            <w:pPr>
              <w:pStyle w:val="tabele"/>
              <w:rPr>
                <w:b w:val="0"/>
                <w:bCs w:val="0"/>
                <w:lang w:val="en-GB"/>
              </w:rPr>
            </w:pPr>
          </w:p>
        </w:tc>
        <w:tc>
          <w:tcPr>
            <w:tcW w:w="850" w:type="dxa"/>
            <w:tcBorders>
              <w:top w:val="nil"/>
              <w:left w:val="nil"/>
              <w:bottom w:val="nil"/>
              <w:right w:val="nil"/>
            </w:tcBorders>
            <w:noWrap/>
            <w:vAlign w:val="bottom"/>
            <w:hideMark/>
          </w:tcPr>
          <w:p w14:paraId="23C42DD2" w14:textId="77777777" w:rsidR="00AC7CB0" w:rsidRPr="004D2B9A" w:rsidRDefault="00AC7CB0" w:rsidP="00075B2F">
            <w:pPr>
              <w:pStyle w:val="tabele"/>
              <w:rPr>
                <w:b w:val="0"/>
                <w:bCs w:val="0"/>
                <w:szCs w:val="20"/>
                <w:lang w:val="en-GB"/>
              </w:rPr>
            </w:pPr>
          </w:p>
        </w:tc>
        <w:tc>
          <w:tcPr>
            <w:tcW w:w="972" w:type="dxa"/>
            <w:tcBorders>
              <w:top w:val="nil"/>
              <w:left w:val="nil"/>
              <w:bottom w:val="nil"/>
              <w:right w:val="nil"/>
            </w:tcBorders>
            <w:noWrap/>
            <w:vAlign w:val="bottom"/>
            <w:hideMark/>
          </w:tcPr>
          <w:p w14:paraId="381EA369" w14:textId="77777777" w:rsidR="00AC7CB0" w:rsidRPr="004D2B9A" w:rsidRDefault="00AC7CB0" w:rsidP="00075B2F">
            <w:pPr>
              <w:pStyle w:val="tabele"/>
              <w:rPr>
                <w:b w:val="0"/>
                <w:bCs w:val="0"/>
                <w:szCs w:val="20"/>
                <w:lang w:val="en-GB"/>
              </w:rPr>
            </w:pPr>
          </w:p>
        </w:tc>
      </w:tr>
      <w:tr w:rsidR="00AC7CB0" w:rsidRPr="004D2B9A" w14:paraId="5B3E0243" w14:textId="77777777" w:rsidTr="00FA6C53">
        <w:trPr>
          <w:trHeight w:val="300"/>
          <w:jc w:val="center"/>
        </w:trPr>
        <w:tc>
          <w:tcPr>
            <w:tcW w:w="861" w:type="dxa"/>
            <w:tcBorders>
              <w:top w:val="nil"/>
              <w:left w:val="single" w:sz="4" w:space="0" w:color="auto"/>
              <w:bottom w:val="single" w:sz="4" w:space="0" w:color="auto"/>
              <w:right w:val="single" w:sz="4" w:space="0" w:color="auto"/>
            </w:tcBorders>
            <w:noWrap/>
            <w:vAlign w:val="center"/>
            <w:hideMark/>
          </w:tcPr>
          <w:p w14:paraId="7E8AAC0B" w14:textId="77777777" w:rsidR="00AC7CB0" w:rsidRPr="004D2B9A" w:rsidRDefault="00AC7CB0" w:rsidP="00075B2F">
            <w:pPr>
              <w:pStyle w:val="tabele"/>
              <w:rPr>
                <w:b w:val="0"/>
                <w:bCs w:val="0"/>
                <w:lang w:val="en-GB"/>
              </w:rPr>
            </w:pPr>
            <w:r w:rsidRPr="004D2B9A">
              <w:rPr>
                <w:b w:val="0"/>
                <w:bCs w:val="0"/>
                <w:lang w:val="en-GB"/>
              </w:rPr>
              <w:t>I</w:t>
            </w:r>
          </w:p>
        </w:tc>
        <w:tc>
          <w:tcPr>
            <w:tcW w:w="880" w:type="dxa"/>
            <w:tcBorders>
              <w:top w:val="nil"/>
              <w:left w:val="nil"/>
              <w:bottom w:val="single" w:sz="4" w:space="0" w:color="auto"/>
              <w:right w:val="single" w:sz="4" w:space="0" w:color="auto"/>
            </w:tcBorders>
            <w:noWrap/>
            <w:vAlign w:val="center"/>
            <w:hideMark/>
          </w:tcPr>
          <w:p w14:paraId="28F7165D" w14:textId="77777777" w:rsidR="00AC7CB0" w:rsidRPr="004D2B9A" w:rsidRDefault="00AC7CB0" w:rsidP="00075B2F">
            <w:pPr>
              <w:pStyle w:val="tabele"/>
              <w:rPr>
                <w:b w:val="0"/>
                <w:bCs w:val="0"/>
                <w:lang w:val="en-GB"/>
              </w:rPr>
            </w:pPr>
            <w:r w:rsidRPr="004D2B9A">
              <w:rPr>
                <w:b w:val="0"/>
                <w:bCs w:val="0"/>
                <w:lang w:val="en-GB"/>
              </w:rPr>
              <w:t>687</w:t>
            </w:r>
          </w:p>
        </w:tc>
        <w:tc>
          <w:tcPr>
            <w:tcW w:w="760" w:type="dxa"/>
            <w:tcBorders>
              <w:top w:val="nil"/>
              <w:left w:val="nil"/>
              <w:bottom w:val="single" w:sz="4" w:space="0" w:color="auto"/>
              <w:right w:val="single" w:sz="4" w:space="0" w:color="auto"/>
            </w:tcBorders>
            <w:noWrap/>
            <w:vAlign w:val="center"/>
            <w:hideMark/>
          </w:tcPr>
          <w:p w14:paraId="2A21A4B6" w14:textId="77777777" w:rsidR="00AC7CB0" w:rsidRPr="004D2B9A" w:rsidRDefault="00AC7CB0" w:rsidP="00075B2F">
            <w:pPr>
              <w:pStyle w:val="tabele"/>
              <w:rPr>
                <w:b w:val="0"/>
                <w:bCs w:val="0"/>
                <w:lang w:val="en-GB"/>
              </w:rPr>
            </w:pPr>
            <w:r w:rsidRPr="004D2B9A">
              <w:rPr>
                <w:b w:val="0"/>
                <w:bCs w:val="0"/>
                <w:lang w:val="en-GB"/>
              </w:rPr>
              <w:t>687</w:t>
            </w:r>
          </w:p>
        </w:tc>
        <w:tc>
          <w:tcPr>
            <w:tcW w:w="972" w:type="dxa"/>
            <w:tcBorders>
              <w:top w:val="nil"/>
              <w:left w:val="nil"/>
              <w:bottom w:val="single" w:sz="4" w:space="0" w:color="auto"/>
              <w:right w:val="single" w:sz="4" w:space="0" w:color="auto"/>
            </w:tcBorders>
            <w:noWrap/>
            <w:vAlign w:val="center"/>
            <w:hideMark/>
          </w:tcPr>
          <w:p w14:paraId="67B89310" w14:textId="77777777" w:rsidR="00AC7CB0" w:rsidRPr="004D2B9A" w:rsidRDefault="00AC7CB0" w:rsidP="00075B2F">
            <w:pPr>
              <w:pStyle w:val="tabele"/>
              <w:rPr>
                <w:b w:val="0"/>
                <w:bCs w:val="0"/>
                <w:lang w:val="en-GB"/>
              </w:rPr>
            </w:pPr>
            <w:r w:rsidRPr="004D2B9A">
              <w:rPr>
                <w:b w:val="0"/>
                <w:bCs w:val="0"/>
                <w:lang w:val="en-GB"/>
              </w:rPr>
              <w:t>0</w:t>
            </w:r>
          </w:p>
        </w:tc>
        <w:tc>
          <w:tcPr>
            <w:tcW w:w="740" w:type="dxa"/>
            <w:tcBorders>
              <w:top w:val="nil"/>
              <w:left w:val="nil"/>
              <w:bottom w:val="single" w:sz="4" w:space="0" w:color="auto"/>
              <w:right w:val="single" w:sz="4" w:space="0" w:color="auto"/>
            </w:tcBorders>
            <w:noWrap/>
            <w:vAlign w:val="center"/>
            <w:hideMark/>
          </w:tcPr>
          <w:p w14:paraId="2EEEA873" w14:textId="77777777" w:rsidR="00AC7CB0" w:rsidRPr="004D2B9A" w:rsidRDefault="00AC7CB0" w:rsidP="00075B2F">
            <w:pPr>
              <w:pStyle w:val="tabele"/>
              <w:rPr>
                <w:b w:val="0"/>
                <w:bCs w:val="0"/>
                <w:lang w:val="en-GB"/>
              </w:rPr>
            </w:pPr>
            <w:r w:rsidRPr="004D2B9A">
              <w:rPr>
                <w:b w:val="0"/>
                <w:bCs w:val="0"/>
                <w:lang w:val="en-GB"/>
              </w:rPr>
              <w:t>733</w:t>
            </w:r>
          </w:p>
        </w:tc>
        <w:tc>
          <w:tcPr>
            <w:tcW w:w="760" w:type="dxa"/>
            <w:tcBorders>
              <w:top w:val="nil"/>
              <w:left w:val="nil"/>
              <w:bottom w:val="single" w:sz="4" w:space="0" w:color="auto"/>
              <w:right w:val="single" w:sz="4" w:space="0" w:color="auto"/>
            </w:tcBorders>
            <w:noWrap/>
            <w:vAlign w:val="center"/>
            <w:hideMark/>
          </w:tcPr>
          <w:p w14:paraId="14C1233D" w14:textId="77777777" w:rsidR="00AC7CB0" w:rsidRPr="004D2B9A" w:rsidRDefault="00AC7CB0" w:rsidP="00075B2F">
            <w:pPr>
              <w:pStyle w:val="tabele"/>
              <w:rPr>
                <w:b w:val="0"/>
                <w:bCs w:val="0"/>
                <w:lang w:val="en-GB"/>
              </w:rPr>
            </w:pPr>
            <w:r w:rsidRPr="004D2B9A">
              <w:rPr>
                <w:b w:val="0"/>
                <w:bCs w:val="0"/>
                <w:lang w:val="en-GB"/>
              </w:rPr>
              <w:t>732</w:t>
            </w:r>
          </w:p>
        </w:tc>
        <w:tc>
          <w:tcPr>
            <w:tcW w:w="972" w:type="dxa"/>
            <w:tcBorders>
              <w:top w:val="nil"/>
              <w:left w:val="nil"/>
              <w:bottom w:val="single" w:sz="4" w:space="0" w:color="auto"/>
              <w:right w:val="single" w:sz="4" w:space="0" w:color="auto"/>
            </w:tcBorders>
            <w:noWrap/>
            <w:vAlign w:val="center"/>
            <w:hideMark/>
          </w:tcPr>
          <w:p w14:paraId="50719E5F" w14:textId="77777777" w:rsidR="00AC7CB0" w:rsidRPr="004D2B9A" w:rsidRDefault="00AC7CB0" w:rsidP="00075B2F">
            <w:pPr>
              <w:pStyle w:val="tabele"/>
              <w:rPr>
                <w:b w:val="0"/>
                <w:bCs w:val="0"/>
                <w:lang w:val="en-GB"/>
              </w:rPr>
            </w:pPr>
            <w:r w:rsidRPr="004D2B9A">
              <w:rPr>
                <w:b w:val="0"/>
                <w:bCs w:val="0"/>
                <w:lang w:val="en-GB"/>
              </w:rPr>
              <w:t>1</w:t>
            </w:r>
          </w:p>
        </w:tc>
        <w:tc>
          <w:tcPr>
            <w:tcW w:w="864" w:type="dxa"/>
            <w:tcBorders>
              <w:top w:val="nil"/>
              <w:left w:val="nil"/>
              <w:bottom w:val="nil"/>
              <w:right w:val="nil"/>
            </w:tcBorders>
            <w:noWrap/>
            <w:vAlign w:val="bottom"/>
            <w:hideMark/>
          </w:tcPr>
          <w:p w14:paraId="31D579BB" w14:textId="77777777" w:rsidR="00AC7CB0" w:rsidRPr="004D2B9A" w:rsidRDefault="00AC7CB0" w:rsidP="00075B2F">
            <w:pPr>
              <w:pStyle w:val="tabele"/>
              <w:rPr>
                <w:b w:val="0"/>
                <w:bCs w:val="0"/>
                <w:lang w:val="en-GB"/>
              </w:rPr>
            </w:pPr>
          </w:p>
        </w:tc>
        <w:tc>
          <w:tcPr>
            <w:tcW w:w="850" w:type="dxa"/>
            <w:tcBorders>
              <w:top w:val="nil"/>
              <w:left w:val="nil"/>
              <w:bottom w:val="nil"/>
              <w:right w:val="nil"/>
            </w:tcBorders>
            <w:noWrap/>
            <w:vAlign w:val="bottom"/>
            <w:hideMark/>
          </w:tcPr>
          <w:p w14:paraId="65ABBEE4" w14:textId="77777777" w:rsidR="00AC7CB0" w:rsidRPr="004D2B9A" w:rsidRDefault="00AC7CB0" w:rsidP="00075B2F">
            <w:pPr>
              <w:pStyle w:val="tabele"/>
              <w:rPr>
                <w:b w:val="0"/>
                <w:bCs w:val="0"/>
                <w:szCs w:val="20"/>
                <w:lang w:val="en-GB"/>
              </w:rPr>
            </w:pPr>
          </w:p>
        </w:tc>
        <w:tc>
          <w:tcPr>
            <w:tcW w:w="972" w:type="dxa"/>
            <w:tcBorders>
              <w:top w:val="nil"/>
              <w:left w:val="nil"/>
              <w:bottom w:val="nil"/>
              <w:right w:val="nil"/>
            </w:tcBorders>
            <w:noWrap/>
            <w:vAlign w:val="bottom"/>
            <w:hideMark/>
          </w:tcPr>
          <w:p w14:paraId="08C7275E" w14:textId="77777777" w:rsidR="00AC7CB0" w:rsidRPr="004D2B9A" w:rsidRDefault="00AC7CB0" w:rsidP="00075B2F">
            <w:pPr>
              <w:pStyle w:val="tabele"/>
              <w:rPr>
                <w:b w:val="0"/>
                <w:bCs w:val="0"/>
                <w:szCs w:val="20"/>
                <w:lang w:val="en-GB"/>
              </w:rPr>
            </w:pPr>
          </w:p>
        </w:tc>
      </w:tr>
      <w:tr w:rsidR="00AC7CB0" w:rsidRPr="004D2B9A" w14:paraId="5498C453" w14:textId="77777777" w:rsidTr="00FA6C53">
        <w:trPr>
          <w:trHeight w:val="300"/>
          <w:jc w:val="center"/>
        </w:trPr>
        <w:tc>
          <w:tcPr>
            <w:tcW w:w="861" w:type="dxa"/>
            <w:tcBorders>
              <w:top w:val="nil"/>
              <w:left w:val="single" w:sz="4" w:space="0" w:color="auto"/>
              <w:bottom w:val="single" w:sz="4" w:space="0" w:color="auto"/>
              <w:right w:val="single" w:sz="4" w:space="0" w:color="auto"/>
            </w:tcBorders>
            <w:noWrap/>
            <w:vAlign w:val="center"/>
            <w:hideMark/>
          </w:tcPr>
          <w:p w14:paraId="74E99842" w14:textId="77777777" w:rsidR="00AC7CB0" w:rsidRPr="004D2B9A" w:rsidRDefault="00AC7CB0" w:rsidP="00075B2F">
            <w:pPr>
              <w:pStyle w:val="tabele"/>
              <w:rPr>
                <w:b w:val="0"/>
                <w:bCs w:val="0"/>
                <w:lang w:val="en-GB"/>
              </w:rPr>
            </w:pPr>
            <w:r w:rsidRPr="004D2B9A">
              <w:rPr>
                <w:b w:val="0"/>
                <w:bCs w:val="0"/>
                <w:lang w:val="en-GB"/>
              </w:rPr>
              <w:t>II</w:t>
            </w:r>
          </w:p>
        </w:tc>
        <w:tc>
          <w:tcPr>
            <w:tcW w:w="880" w:type="dxa"/>
            <w:tcBorders>
              <w:top w:val="nil"/>
              <w:left w:val="nil"/>
              <w:bottom w:val="single" w:sz="4" w:space="0" w:color="auto"/>
              <w:right w:val="single" w:sz="4" w:space="0" w:color="auto"/>
            </w:tcBorders>
            <w:noWrap/>
            <w:vAlign w:val="center"/>
            <w:hideMark/>
          </w:tcPr>
          <w:p w14:paraId="4083069A" w14:textId="77777777" w:rsidR="00AC7CB0" w:rsidRPr="004D2B9A" w:rsidRDefault="00AC7CB0" w:rsidP="00075B2F">
            <w:pPr>
              <w:pStyle w:val="tabele"/>
              <w:rPr>
                <w:b w:val="0"/>
                <w:bCs w:val="0"/>
                <w:lang w:val="en-GB"/>
              </w:rPr>
            </w:pPr>
            <w:r w:rsidRPr="004D2B9A">
              <w:rPr>
                <w:b w:val="0"/>
                <w:bCs w:val="0"/>
                <w:lang w:val="en-GB"/>
              </w:rPr>
              <w:t>502</w:t>
            </w:r>
          </w:p>
        </w:tc>
        <w:tc>
          <w:tcPr>
            <w:tcW w:w="760" w:type="dxa"/>
            <w:tcBorders>
              <w:top w:val="nil"/>
              <w:left w:val="nil"/>
              <w:bottom w:val="single" w:sz="4" w:space="0" w:color="auto"/>
              <w:right w:val="single" w:sz="4" w:space="0" w:color="auto"/>
            </w:tcBorders>
            <w:noWrap/>
            <w:vAlign w:val="center"/>
            <w:hideMark/>
          </w:tcPr>
          <w:p w14:paraId="7DA107B3" w14:textId="77777777" w:rsidR="00AC7CB0" w:rsidRPr="004D2B9A" w:rsidRDefault="00AC7CB0" w:rsidP="00075B2F">
            <w:pPr>
              <w:pStyle w:val="tabele"/>
              <w:rPr>
                <w:b w:val="0"/>
                <w:bCs w:val="0"/>
                <w:lang w:val="en-GB"/>
              </w:rPr>
            </w:pPr>
            <w:r w:rsidRPr="004D2B9A">
              <w:rPr>
                <w:b w:val="0"/>
                <w:bCs w:val="0"/>
                <w:lang w:val="en-GB"/>
              </w:rPr>
              <w:t>502</w:t>
            </w:r>
          </w:p>
        </w:tc>
        <w:tc>
          <w:tcPr>
            <w:tcW w:w="972" w:type="dxa"/>
            <w:tcBorders>
              <w:top w:val="nil"/>
              <w:left w:val="nil"/>
              <w:bottom w:val="single" w:sz="4" w:space="0" w:color="auto"/>
              <w:right w:val="single" w:sz="4" w:space="0" w:color="auto"/>
            </w:tcBorders>
            <w:noWrap/>
            <w:vAlign w:val="center"/>
            <w:hideMark/>
          </w:tcPr>
          <w:p w14:paraId="25B1625A" w14:textId="77777777" w:rsidR="00AC7CB0" w:rsidRPr="004D2B9A" w:rsidRDefault="00AC7CB0" w:rsidP="00075B2F">
            <w:pPr>
              <w:pStyle w:val="tabele"/>
              <w:rPr>
                <w:b w:val="0"/>
                <w:bCs w:val="0"/>
                <w:lang w:val="en-GB"/>
              </w:rPr>
            </w:pPr>
            <w:r w:rsidRPr="004D2B9A">
              <w:rPr>
                <w:b w:val="0"/>
                <w:bCs w:val="0"/>
                <w:lang w:val="en-GB"/>
              </w:rPr>
              <w:t>0</w:t>
            </w:r>
          </w:p>
        </w:tc>
        <w:tc>
          <w:tcPr>
            <w:tcW w:w="740" w:type="dxa"/>
            <w:tcBorders>
              <w:top w:val="nil"/>
              <w:left w:val="nil"/>
              <w:bottom w:val="single" w:sz="4" w:space="0" w:color="auto"/>
              <w:right w:val="single" w:sz="4" w:space="0" w:color="auto"/>
            </w:tcBorders>
            <w:noWrap/>
            <w:vAlign w:val="center"/>
            <w:hideMark/>
          </w:tcPr>
          <w:p w14:paraId="2116E825" w14:textId="77777777" w:rsidR="00AC7CB0" w:rsidRPr="004D2B9A" w:rsidRDefault="00AC7CB0" w:rsidP="00075B2F">
            <w:pPr>
              <w:pStyle w:val="tabele"/>
              <w:rPr>
                <w:b w:val="0"/>
                <w:bCs w:val="0"/>
                <w:lang w:val="en-GB"/>
              </w:rPr>
            </w:pPr>
            <w:r w:rsidRPr="004D2B9A">
              <w:rPr>
                <w:b w:val="0"/>
                <w:bCs w:val="0"/>
                <w:lang w:val="en-GB"/>
              </w:rPr>
              <w:t>602</w:t>
            </w:r>
          </w:p>
        </w:tc>
        <w:tc>
          <w:tcPr>
            <w:tcW w:w="760" w:type="dxa"/>
            <w:tcBorders>
              <w:top w:val="nil"/>
              <w:left w:val="nil"/>
              <w:bottom w:val="single" w:sz="4" w:space="0" w:color="auto"/>
              <w:right w:val="single" w:sz="4" w:space="0" w:color="auto"/>
            </w:tcBorders>
            <w:noWrap/>
            <w:vAlign w:val="center"/>
            <w:hideMark/>
          </w:tcPr>
          <w:p w14:paraId="06D497EE" w14:textId="77777777" w:rsidR="00AC7CB0" w:rsidRPr="004D2B9A" w:rsidRDefault="00AC7CB0" w:rsidP="00075B2F">
            <w:pPr>
              <w:pStyle w:val="tabele"/>
              <w:rPr>
                <w:b w:val="0"/>
                <w:bCs w:val="0"/>
                <w:lang w:val="en-GB"/>
              </w:rPr>
            </w:pPr>
            <w:r w:rsidRPr="004D2B9A">
              <w:rPr>
                <w:b w:val="0"/>
                <w:bCs w:val="0"/>
                <w:lang w:val="en-GB"/>
              </w:rPr>
              <w:t>602</w:t>
            </w:r>
          </w:p>
        </w:tc>
        <w:tc>
          <w:tcPr>
            <w:tcW w:w="972" w:type="dxa"/>
            <w:tcBorders>
              <w:top w:val="nil"/>
              <w:left w:val="nil"/>
              <w:bottom w:val="single" w:sz="4" w:space="0" w:color="auto"/>
              <w:right w:val="single" w:sz="4" w:space="0" w:color="auto"/>
            </w:tcBorders>
            <w:noWrap/>
            <w:vAlign w:val="center"/>
            <w:hideMark/>
          </w:tcPr>
          <w:p w14:paraId="24D539B0" w14:textId="77777777" w:rsidR="00AC7CB0" w:rsidRPr="004D2B9A" w:rsidRDefault="00AC7CB0" w:rsidP="00075B2F">
            <w:pPr>
              <w:pStyle w:val="tabele"/>
              <w:rPr>
                <w:b w:val="0"/>
                <w:bCs w:val="0"/>
                <w:lang w:val="en-GB"/>
              </w:rPr>
            </w:pPr>
            <w:r w:rsidRPr="004D2B9A">
              <w:rPr>
                <w:b w:val="0"/>
                <w:bCs w:val="0"/>
                <w:lang w:val="en-GB"/>
              </w:rPr>
              <w:t>0</w:t>
            </w:r>
          </w:p>
        </w:tc>
        <w:tc>
          <w:tcPr>
            <w:tcW w:w="864" w:type="dxa"/>
            <w:tcBorders>
              <w:top w:val="nil"/>
              <w:left w:val="nil"/>
              <w:bottom w:val="nil"/>
              <w:right w:val="nil"/>
            </w:tcBorders>
            <w:noWrap/>
            <w:vAlign w:val="bottom"/>
            <w:hideMark/>
          </w:tcPr>
          <w:p w14:paraId="2312DF91" w14:textId="77777777" w:rsidR="00AC7CB0" w:rsidRPr="004D2B9A" w:rsidRDefault="00AC7CB0" w:rsidP="00075B2F">
            <w:pPr>
              <w:pStyle w:val="tabele"/>
              <w:rPr>
                <w:b w:val="0"/>
                <w:bCs w:val="0"/>
                <w:lang w:val="en-GB"/>
              </w:rPr>
            </w:pPr>
          </w:p>
        </w:tc>
        <w:tc>
          <w:tcPr>
            <w:tcW w:w="850" w:type="dxa"/>
            <w:tcBorders>
              <w:top w:val="nil"/>
              <w:left w:val="nil"/>
              <w:bottom w:val="nil"/>
              <w:right w:val="nil"/>
            </w:tcBorders>
            <w:noWrap/>
            <w:vAlign w:val="bottom"/>
            <w:hideMark/>
          </w:tcPr>
          <w:p w14:paraId="26179438" w14:textId="77777777" w:rsidR="00AC7CB0" w:rsidRPr="004D2B9A" w:rsidRDefault="00AC7CB0" w:rsidP="00075B2F">
            <w:pPr>
              <w:pStyle w:val="tabele"/>
              <w:rPr>
                <w:b w:val="0"/>
                <w:bCs w:val="0"/>
                <w:szCs w:val="20"/>
                <w:lang w:val="en-GB"/>
              </w:rPr>
            </w:pPr>
          </w:p>
        </w:tc>
        <w:tc>
          <w:tcPr>
            <w:tcW w:w="972" w:type="dxa"/>
            <w:tcBorders>
              <w:top w:val="nil"/>
              <w:left w:val="nil"/>
              <w:bottom w:val="nil"/>
              <w:right w:val="nil"/>
            </w:tcBorders>
            <w:noWrap/>
            <w:vAlign w:val="bottom"/>
            <w:hideMark/>
          </w:tcPr>
          <w:p w14:paraId="719DFA50" w14:textId="77777777" w:rsidR="00AC7CB0" w:rsidRPr="004D2B9A" w:rsidRDefault="00AC7CB0" w:rsidP="00075B2F">
            <w:pPr>
              <w:pStyle w:val="tabele"/>
              <w:rPr>
                <w:b w:val="0"/>
                <w:bCs w:val="0"/>
                <w:szCs w:val="20"/>
                <w:lang w:val="en-GB"/>
              </w:rPr>
            </w:pPr>
          </w:p>
        </w:tc>
      </w:tr>
      <w:tr w:rsidR="00AC7CB0" w:rsidRPr="004D2B9A" w14:paraId="61FE5962" w14:textId="77777777" w:rsidTr="00FA6C53">
        <w:trPr>
          <w:trHeight w:val="300"/>
          <w:jc w:val="center"/>
        </w:trPr>
        <w:tc>
          <w:tcPr>
            <w:tcW w:w="861" w:type="dxa"/>
            <w:tcBorders>
              <w:top w:val="nil"/>
              <w:left w:val="single" w:sz="4" w:space="0" w:color="auto"/>
              <w:bottom w:val="single" w:sz="4" w:space="0" w:color="auto"/>
              <w:right w:val="single" w:sz="4" w:space="0" w:color="auto"/>
            </w:tcBorders>
            <w:noWrap/>
            <w:vAlign w:val="center"/>
            <w:hideMark/>
          </w:tcPr>
          <w:p w14:paraId="03B08856" w14:textId="77777777" w:rsidR="00AC7CB0" w:rsidRPr="004D2B9A" w:rsidRDefault="00AC7CB0" w:rsidP="00075B2F">
            <w:pPr>
              <w:pStyle w:val="tabele"/>
              <w:rPr>
                <w:b w:val="0"/>
                <w:bCs w:val="0"/>
                <w:lang w:val="en-GB"/>
              </w:rPr>
            </w:pPr>
            <w:r w:rsidRPr="004D2B9A">
              <w:rPr>
                <w:b w:val="0"/>
                <w:bCs w:val="0"/>
                <w:lang w:val="en-GB"/>
              </w:rPr>
              <w:t>III</w:t>
            </w:r>
          </w:p>
        </w:tc>
        <w:tc>
          <w:tcPr>
            <w:tcW w:w="880" w:type="dxa"/>
            <w:tcBorders>
              <w:top w:val="nil"/>
              <w:left w:val="nil"/>
              <w:bottom w:val="single" w:sz="4" w:space="0" w:color="auto"/>
              <w:right w:val="single" w:sz="4" w:space="0" w:color="auto"/>
            </w:tcBorders>
            <w:noWrap/>
            <w:vAlign w:val="center"/>
            <w:hideMark/>
          </w:tcPr>
          <w:p w14:paraId="266AF91A" w14:textId="77777777" w:rsidR="00AC7CB0" w:rsidRPr="004D2B9A" w:rsidRDefault="00AC7CB0" w:rsidP="00075B2F">
            <w:pPr>
              <w:pStyle w:val="tabele"/>
              <w:rPr>
                <w:b w:val="0"/>
                <w:bCs w:val="0"/>
                <w:lang w:val="en-GB"/>
              </w:rPr>
            </w:pPr>
            <w:r w:rsidRPr="004D2B9A">
              <w:rPr>
                <w:b w:val="0"/>
                <w:bCs w:val="0"/>
                <w:lang w:val="en-GB"/>
              </w:rPr>
              <w:t>396</w:t>
            </w:r>
          </w:p>
        </w:tc>
        <w:tc>
          <w:tcPr>
            <w:tcW w:w="760" w:type="dxa"/>
            <w:tcBorders>
              <w:top w:val="nil"/>
              <w:left w:val="nil"/>
              <w:bottom w:val="single" w:sz="4" w:space="0" w:color="auto"/>
              <w:right w:val="single" w:sz="4" w:space="0" w:color="auto"/>
            </w:tcBorders>
            <w:noWrap/>
            <w:vAlign w:val="center"/>
            <w:hideMark/>
          </w:tcPr>
          <w:p w14:paraId="70E31436" w14:textId="77777777" w:rsidR="00AC7CB0" w:rsidRPr="004D2B9A" w:rsidRDefault="00AC7CB0" w:rsidP="00075B2F">
            <w:pPr>
              <w:pStyle w:val="tabele"/>
              <w:rPr>
                <w:b w:val="0"/>
                <w:bCs w:val="0"/>
                <w:lang w:val="en-GB"/>
              </w:rPr>
            </w:pPr>
            <w:r w:rsidRPr="004D2B9A">
              <w:rPr>
                <w:b w:val="0"/>
                <w:bCs w:val="0"/>
                <w:lang w:val="en-GB"/>
              </w:rPr>
              <w:t>392</w:t>
            </w:r>
          </w:p>
        </w:tc>
        <w:tc>
          <w:tcPr>
            <w:tcW w:w="972" w:type="dxa"/>
            <w:tcBorders>
              <w:top w:val="nil"/>
              <w:left w:val="nil"/>
              <w:bottom w:val="single" w:sz="4" w:space="0" w:color="auto"/>
              <w:right w:val="single" w:sz="4" w:space="0" w:color="auto"/>
            </w:tcBorders>
            <w:noWrap/>
            <w:vAlign w:val="center"/>
            <w:hideMark/>
          </w:tcPr>
          <w:p w14:paraId="528B5D8B" w14:textId="77777777" w:rsidR="00AC7CB0" w:rsidRPr="004D2B9A" w:rsidRDefault="00AC7CB0" w:rsidP="00075B2F">
            <w:pPr>
              <w:pStyle w:val="tabele"/>
              <w:rPr>
                <w:b w:val="0"/>
                <w:bCs w:val="0"/>
                <w:lang w:val="en-GB"/>
              </w:rPr>
            </w:pPr>
            <w:r w:rsidRPr="004D2B9A">
              <w:rPr>
                <w:b w:val="0"/>
                <w:bCs w:val="0"/>
                <w:lang w:val="en-GB"/>
              </w:rPr>
              <w:t>3</w:t>
            </w:r>
          </w:p>
        </w:tc>
        <w:tc>
          <w:tcPr>
            <w:tcW w:w="740" w:type="dxa"/>
            <w:tcBorders>
              <w:top w:val="nil"/>
              <w:left w:val="nil"/>
              <w:bottom w:val="single" w:sz="4" w:space="0" w:color="auto"/>
              <w:right w:val="single" w:sz="4" w:space="0" w:color="auto"/>
            </w:tcBorders>
            <w:noWrap/>
            <w:vAlign w:val="center"/>
            <w:hideMark/>
          </w:tcPr>
          <w:p w14:paraId="47907623" w14:textId="77777777" w:rsidR="00AC7CB0" w:rsidRPr="004D2B9A" w:rsidRDefault="00AC7CB0" w:rsidP="00075B2F">
            <w:pPr>
              <w:pStyle w:val="tabele"/>
              <w:rPr>
                <w:b w:val="0"/>
                <w:bCs w:val="0"/>
                <w:lang w:val="en-GB"/>
              </w:rPr>
            </w:pPr>
            <w:r w:rsidRPr="004D2B9A">
              <w:rPr>
                <w:b w:val="0"/>
                <w:bCs w:val="0"/>
                <w:lang w:val="en-GB"/>
              </w:rPr>
              <w:t>423</w:t>
            </w:r>
          </w:p>
        </w:tc>
        <w:tc>
          <w:tcPr>
            <w:tcW w:w="760" w:type="dxa"/>
            <w:tcBorders>
              <w:top w:val="nil"/>
              <w:left w:val="nil"/>
              <w:bottom w:val="single" w:sz="4" w:space="0" w:color="auto"/>
              <w:right w:val="single" w:sz="4" w:space="0" w:color="auto"/>
            </w:tcBorders>
            <w:noWrap/>
            <w:vAlign w:val="center"/>
            <w:hideMark/>
          </w:tcPr>
          <w:p w14:paraId="0C10F1FD" w14:textId="77777777" w:rsidR="00AC7CB0" w:rsidRPr="004D2B9A" w:rsidRDefault="00AC7CB0" w:rsidP="00075B2F">
            <w:pPr>
              <w:pStyle w:val="tabele"/>
              <w:rPr>
                <w:b w:val="0"/>
                <w:bCs w:val="0"/>
                <w:lang w:val="en-GB"/>
              </w:rPr>
            </w:pPr>
            <w:r w:rsidRPr="004D2B9A">
              <w:rPr>
                <w:b w:val="0"/>
                <w:bCs w:val="0"/>
                <w:lang w:val="en-GB"/>
              </w:rPr>
              <w:t>421</w:t>
            </w:r>
          </w:p>
        </w:tc>
        <w:tc>
          <w:tcPr>
            <w:tcW w:w="972" w:type="dxa"/>
            <w:tcBorders>
              <w:top w:val="nil"/>
              <w:left w:val="nil"/>
              <w:bottom w:val="single" w:sz="4" w:space="0" w:color="auto"/>
              <w:right w:val="single" w:sz="4" w:space="0" w:color="auto"/>
            </w:tcBorders>
            <w:noWrap/>
            <w:vAlign w:val="center"/>
            <w:hideMark/>
          </w:tcPr>
          <w:p w14:paraId="01201F27" w14:textId="77777777" w:rsidR="00AC7CB0" w:rsidRPr="004D2B9A" w:rsidRDefault="00AC7CB0" w:rsidP="00075B2F">
            <w:pPr>
              <w:pStyle w:val="tabele"/>
              <w:rPr>
                <w:b w:val="0"/>
                <w:bCs w:val="0"/>
                <w:lang w:val="en-GB"/>
              </w:rPr>
            </w:pPr>
            <w:r w:rsidRPr="004D2B9A">
              <w:rPr>
                <w:b w:val="0"/>
                <w:bCs w:val="0"/>
                <w:lang w:val="en-GB"/>
              </w:rPr>
              <w:t>2</w:t>
            </w:r>
          </w:p>
        </w:tc>
        <w:tc>
          <w:tcPr>
            <w:tcW w:w="864" w:type="dxa"/>
            <w:tcBorders>
              <w:top w:val="nil"/>
              <w:left w:val="nil"/>
              <w:bottom w:val="nil"/>
              <w:right w:val="nil"/>
            </w:tcBorders>
            <w:noWrap/>
            <w:vAlign w:val="bottom"/>
            <w:hideMark/>
          </w:tcPr>
          <w:p w14:paraId="4857BD09" w14:textId="77777777" w:rsidR="00AC7CB0" w:rsidRPr="004D2B9A" w:rsidRDefault="00AC7CB0" w:rsidP="00075B2F">
            <w:pPr>
              <w:pStyle w:val="tabele"/>
              <w:rPr>
                <w:b w:val="0"/>
                <w:bCs w:val="0"/>
                <w:lang w:val="en-GB"/>
              </w:rPr>
            </w:pPr>
          </w:p>
        </w:tc>
        <w:tc>
          <w:tcPr>
            <w:tcW w:w="850" w:type="dxa"/>
            <w:tcBorders>
              <w:top w:val="nil"/>
              <w:left w:val="nil"/>
              <w:bottom w:val="nil"/>
              <w:right w:val="nil"/>
            </w:tcBorders>
            <w:noWrap/>
            <w:vAlign w:val="bottom"/>
            <w:hideMark/>
          </w:tcPr>
          <w:p w14:paraId="68FBE001" w14:textId="77777777" w:rsidR="00AC7CB0" w:rsidRPr="004D2B9A" w:rsidRDefault="00AC7CB0" w:rsidP="00075B2F">
            <w:pPr>
              <w:pStyle w:val="tabele"/>
              <w:rPr>
                <w:b w:val="0"/>
                <w:bCs w:val="0"/>
                <w:szCs w:val="20"/>
                <w:lang w:val="en-GB"/>
              </w:rPr>
            </w:pPr>
          </w:p>
        </w:tc>
        <w:tc>
          <w:tcPr>
            <w:tcW w:w="972" w:type="dxa"/>
            <w:tcBorders>
              <w:top w:val="nil"/>
              <w:left w:val="nil"/>
              <w:bottom w:val="nil"/>
              <w:right w:val="nil"/>
            </w:tcBorders>
            <w:noWrap/>
            <w:vAlign w:val="bottom"/>
            <w:hideMark/>
          </w:tcPr>
          <w:p w14:paraId="21CD7496" w14:textId="77777777" w:rsidR="00AC7CB0" w:rsidRPr="004D2B9A" w:rsidRDefault="00AC7CB0" w:rsidP="00075B2F">
            <w:pPr>
              <w:pStyle w:val="tabele"/>
              <w:rPr>
                <w:b w:val="0"/>
                <w:bCs w:val="0"/>
                <w:szCs w:val="20"/>
                <w:lang w:val="en-GB"/>
              </w:rPr>
            </w:pPr>
          </w:p>
        </w:tc>
      </w:tr>
      <w:tr w:rsidR="00AC7CB0" w:rsidRPr="004D2B9A" w14:paraId="24B80983" w14:textId="77777777" w:rsidTr="00FA6C53">
        <w:trPr>
          <w:trHeight w:val="300"/>
          <w:jc w:val="center"/>
        </w:trPr>
        <w:tc>
          <w:tcPr>
            <w:tcW w:w="861" w:type="dxa"/>
            <w:tcBorders>
              <w:top w:val="nil"/>
              <w:left w:val="single" w:sz="4" w:space="0" w:color="auto"/>
              <w:bottom w:val="single" w:sz="4" w:space="0" w:color="auto"/>
              <w:right w:val="single" w:sz="4" w:space="0" w:color="auto"/>
            </w:tcBorders>
            <w:noWrap/>
            <w:vAlign w:val="center"/>
            <w:hideMark/>
          </w:tcPr>
          <w:p w14:paraId="75B7FBF6" w14:textId="77777777" w:rsidR="00AC7CB0" w:rsidRPr="004D2B9A" w:rsidRDefault="00AC7CB0" w:rsidP="00075B2F">
            <w:pPr>
              <w:pStyle w:val="tabele"/>
              <w:rPr>
                <w:b w:val="0"/>
                <w:bCs w:val="0"/>
                <w:lang w:val="en-GB"/>
              </w:rPr>
            </w:pPr>
            <w:r w:rsidRPr="004D2B9A">
              <w:rPr>
                <w:b w:val="0"/>
                <w:bCs w:val="0"/>
                <w:lang w:val="en-GB"/>
              </w:rPr>
              <w:t>IV</w:t>
            </w:r>
          </w:p>
        </w:tc>
        <w:tc>
          <w:tcPr>
            <w:tcW w:w="880" w:type="dxa"/>
            <w:tcBorders>
              <w:top w:val="nil"/>
              <w:left w:val="nil"/>
              <w:bottom w:val="single" w:sz="4" w:space="0" w:color="auto"/>
              <w:right w:val="single" w:sz="4" w:space="0" w:color="auto"/>
            </w:tcBorders>
            <w:noWrap/>
            <w:vAlign w:val="center"/>
            <w:hideMark/>
          </w:tcPr>
          <w:p w14:paraId="2E49F3C5" w14:textId="77777777" w:rsidR="00AC7CB0" w:rsidRPr="004D2B9A" w:rsidRDefault="00AC7CB0" w:rsidP="00075B2F">
            <w:pPr>
              <w:pStyle w:val="tabele"/>
              <w:rPr>
                <w:b w:val="0"/>
                <w:bCs w:val="0"/>
                <w:lang w:val="en-GB"/>
              </w:rPr>
            </w:pPr>
            <w:r w:rsidRPr="004D2B9A">
              <w:rPr>
                <w:b w:val="0"/>
                <w:bCs w:val="0"/>
                <w:lang w:val="en-GB"/>
              </w:rPr>
              <w:t>198</w:t>
            </w:r>
          </w:p>
        </w:tc>
        <w:tc>
          <w:tcPr>
            <w:tcW w:w="760" w:type="dxa"/>
            <w:tcBorders>
              <w:top w:val="nil"/>
              <w:left w:val="nil"/>
              <w:bottom w:val="single" w:sz="4" w:space="0" w:color="auto"/>
              <w:right w:val="single" w:sz="4" w:space="0" w:color="auto"/>
            </w:tcBorders>
            <w:noWrap/>
            <w:vAlign w:val="center"/>
            <w:hideMark/>
          </w:tcPr>
          <w:p w14:paraId="66199984" w14:textId="77777777" w:rsidR="00AC7CB0" w:rsidRPr="004D2B9A" w:rsidRDefault="00AC7CB0" w:rsidP="00075B2F">
            <w:pPr>
              <w:pStyle w:val="tabele"/>
              <w:rPr>
                <w:b w:val="0"/>
                <w:bCs w:val="0"/>
                <w:lang w:val="en-GB"/>
              </w:rPr>
            </w:pPr>
            <w:r w:rsidRPr="004D2B9A">
              <w:rPr>
                <w:b w:val="0"/>
                <w:bCs w:val="0"/>
                <w:lang w:val="en-GB"/>
              </w:rPr>
              <w:t>194</w:t>
            </w:r>
          </w:p>
        </w:tc>
        <w:tc>
          <w:tcPr>
            <w:tcW w:w="972" w:type="dxa"/>
            <w:tcBorders>
              <w:top w:val="nil"/>
              <w:left w:val="nil"/>
              <w:bottom w:val="single" w:sz="4" w:space="0" w:color="auto"/>
              <w:right w:val="single" w:sz="4" w:space="0" w:color="auto"/>
            </w:tcBorders>
            <w:noWrap/>
            <w:vAlign w:val="center"/>
            <w:hideMark/>
          </w:tcPr>
          <w:p w14:paraId="7F234BB2" w14:textId="77777777" w:rsidR="00AC7CB0" w:rsidRPr="004D2B9A" w:rsidRDefault="00AC7CB0" w:rsidP="00075B2F">
            <w:pPr>
              <w:pStyle w:val="tabele"/>
              <w:rPr>
                <w:b w:val="0"/>
                <w:bCs w:val="0"/>
                <w:lang w:val="en-GB"/>
              </w:rPr>
            </w:pPr>
            <w:r w:rsidRPr="004D2B9A">
              <w:rPr>
                <w:b w:val="0"/>
                <w:bCs w:val="0"/>
                <w:lang w:val="en-GB"/>
              </w:rPr>
              <w:t>4</w:t>
            </w:r>
          </w:p>
        </w:tc>
        <w:tc>
          <w:tcPr>
            <w:tcW w:w="740" w:type="dxa"/>
            <w:tcBorders>
              <w:top w:val="nil"/>
              <w:left w:val="nil"/>
              <w:bottom w:val="single" w:sz="4" w:space="0" w:color="auto"/>
              <w:right w:val="single" w:sz="4" w:space="0" w:color="auto"/>
            </w:tcBorders>
            <w:noWrap/>
            <w:vAlign w:val="center"/>
            <w:hideMark/>
          </w:tcPr>
          <w:p w14:paraId="081BD757" w14:textId="77777777" w:rsidR="00AC7CB0" w:rsidRPr="004D2B9A" w:rsidRDefault="00AC7CB0" w:rsidP="00075B2F">
            <w:pPr>
              <w:pStyle w:val="tabele"/>
              <w:rPr>
                <w:b w:val="0"/>
                <w:bCs w:val="0"/>
                <w:lang w:val="en-GB"/>
              </w:rPr>
            </w:pPr>
            <w:r w:rsidRPr="004D2B9A">
              <w:rPr>
                <w:b w:val="0"/>
                <w:bCs w:val="0"/>
                <w:lang w:val="en-GB"/>
              </w:rPr>
              <w:t>216</w:t>
            </w:r>
          </w:p>
        </w:tc>
        <w:tc>
          <w:tcPr>
            <w:tcW w:w="760" w:type="dxa"/>
            <w:tcBorders>
              <w:top w:val="nil"/>
              <w:left w:val="nil"/>
              <w:bottom w:val="single" w:sz="4" w:space="0" w:color="auto"/>
              <w:right w:val="single" w:sz="4" w:space="0" w:color="auto"/>
            </w:tcBorders>
            <w:noWrap/>
            <w:vAlign w:val="center"/>
            <w:hideMark/>
          </w:tcPr>
          <w:p w14:paraId="2F20D8D5" w14:textId="77777777" w:rsidR="00AC7CB0" w:rsidRPr="004D2B9A" w:rsidRDefault="00AC7CB0" w:rsidP="00075B2F">
            <w:pPr>
              <w:pStyle w:val="tabele"/>
              <w:rPr>
                <w:b w:val="0"/>
                <w:bCs w:val="0"/>
                <w:lang w:val="en-GB"/>
              </w:rPr>
            </w:pPr>
            <w:r w:rsidRPr="004D2B9A">
              <w:rPr>
                <w:b w:val="0"/>
                <w:bCs w:val="0"/>
                <w:lang w:val="en-GB"/>
              </w:rPr>
              <w:t>212</w:t>
            </w:r>
          </w:p>
        </w:tc>
        <w:tc>
          <w:tcPr>
            <w:tcW w:w="972" w:type="dxa"/>
            <w:tcBorders>
              <w:top w:val="nil"/>
              <w:left w:val="nil"/>
              <w:bottom w:val="single" w:sz="4" w:space="0" w:color="auto"/>
              <w:right w:val="single" w:sz="4" w:space="0" w:color="auto"/>
            </w:tcBorders>
            <w:noWrap/>
            <w:vAlign w:val="center"/>
            <w:hideMark/>
          </w:tcPr>
          <w:p w14:paraId="1A2B2E03" w14:textId="77777777" w:rsidR="00AC7CB0" w:rsidRPr="004D2B9A" w:rsidRDefault="00AC7CB0" w:rsidP="00075B2F">
            <w:pPr>
              <w:pStyle w:val="tabele"/>
              <w:rPr>
                <w:b w:val="0"/>
                <w:bCs w:val="0"/>
                <w:lang w:val="en-GB"/>
              </w:rPr>
            </w:pPr>
            <w:r w:rsidRPr="004D2B9A">
              <w:rPr>
                <w:b w:val="0"/>
                <w:bCs w:val="0"/>
                <w:lang w:val="en-GB"/>
              </w:rPr>
              <w:t>4</w:t>
            </w:r>
          </w:p>
        </w:tc>
        <w:tc>
          <w:tcPr>
            <w:tcW w:w="864" w:type="dxa"/>
            <w:tcBorders>
              <w:top w:val="nil"/>
              <w:left w:val="nil"/>
              <w:bottom w:val="nil"/>
              <w:right w:val="nil"/>
            </w:tcBorders>
            <w:noWrap/>
            <w:vAlign w:val="bottom"/>
            <w:hideMark/>
          </w:tcPr>
          <w:p w14:paraId="0590D946" w14:textId="77777777" w:rsidR="00AC7CB0" w:rsidRPr="004D2B9A" w:rsidRDefault="00AC7CB0" w:rsidP="00075B2F">
            <w:pPr>
              <w:pStyle w:val="tabele"/>
              <w:rPr>
                <w:b w:val="0"/>
                <w:bCs w:val="0"/>
                <w:lang w:val="en-GB"/>
              </w:rPr>
            </w:pPr>
          </w:p>
        </w:tc>
        <w:tc>
          <w:tcPr>
            <w:tcW w:w="850" w:type="dxa"/>
            <w:tcBorders>
              <w:top w:val="nil"/>
              <w:left w:val="nil"/>
              <w:bottom w:val="nil"/>
              <w:right w:val="nil"/>
            </w:tcBorders>
            <w:noWrap/>
            <w:vAlign w:val="bottom"/>
            <w:hideMark/>
          </w:tcPr>
          <w:p w14:paraId="20EBFE0A" w14:textId="77777777" w:rsidR="00AC7CB0" w:rsidRPr="004D2B9A" w:rsidRDefault="00AC7CB0" w:rsidP="00075B2F">
            <w:pPr>
              <w:pStyle w:val="tabele"/>
              <w:rPr>
                <w:b w:val="0"/>
                <w:bCs w:val="0"/>
                <w:szCs w:val="20"/>
                <w:lang w:val="en-GB"/>
              </w:rPr>
            </w:pPr>
          </w:p>
        </w:tc>
        <w:tc>
          <w:tcPr>
            <w:tcW w:w="972" w:type="dxa"/>
            <w:tcBorders>
              <w:top w:val="nil"/>
              <w:left w:val="nil"/>
              <w:bottom w:val="nil"/>
              <w:right w:val="nil"/>
            </w:tcBorders>
            <w:noWrap/>
            <w:vAlign w:val="bottom"/>
            <w:hideMark/>
          </w:tcPr>
          <w:p w14:paraId="187D9489" w14:textId="77777777" w:rsidR="00AC7CB0" w:rsidRPr="004D2B9A" w:rsidRDefault="00AC7CB0" w:rsidP="00075B2F">
            <w:pPr>
              <w:pStyle w:val="tabele"/>
              <w:rPr>
                <w:b w:val="0"/>
                <w:bCs w:val="0"/>
                <w:szCs w:val="20"/>
                <w:lang w:val="en-GB"/>
              </w:rPr>
            </w:pPr>
          </w:p>
        </w:tc>
      </w:tr>
      <w:tr w:rsidR="00AC7CB0" w:rsidRPr="004D2B9A" w14:paraId="3FBD8933" w14:textId="77777777" w:rsidTr="00FA6C53">
        <w:trPr>
          <w:trHeight w:val="300"/>
          <w:jc w:val="center"/>
        </w:trPr>
        <w:tc>
          <w:tcPr>
            <w:tcW w:w="861" w:type="dxa"/>
            <w:tcBorders>
              <w:top w:val="nil"/>
              <w:left w:val="single" w:sz="4" w:space="0" w:color="auto"/>
              <w:bottom w:val="single" w:sz="4" w:space="0" w:color="auto"/>
              <w:right w:val="single" w:sz="4" w:space="0" w:color="auto"/>
            </w:tcBorders>
            <w:noWrap/>
            <w:vAlign w:val="center"/>
            <w:hideMark/>
          </w:tcPr>
          <w:p w14:paraId="4351B3D7" w14:textId="77777777" w:rsidR="00AC7CB0" w:rsidRPr="004D2B9A" w:rsidRDefault="00AC7CB0" w:rsidP="00075B2F">
            <w:pPr>
              <w:pStyle w:val="tabele"/>
              <w:rPr>
                <w:b w:val="0"/>
                <w:bCs w:val="0"/>
                <w:lang w:val="en-GB"/>
              </w:rPr>
            </w:pPr>
            <w:r w:rsidRPr="004D2B9A">
              <w:rPr>
                <w:b w:val="0"/>
                <w:bCs w:val="0"/>
                <w:lang w:val="en-GB"/>
              </w:rPr>
              <w:t>IX</w:t>
            </w:r>
          </w:p>
        </w:tc>
        <w:tc>
          <w:tcPr>
            <w:tcW w:w="880" w:type="dxa"/>
            <w:tcBorders>
              <w:top w:val="nil"/>
              <w:left w:val="nil"/>
              <w:bottom w:val="single" w:sz="4" w:space="0" w:color="auto"/>
              <w:right w:val="single" w:sz="4" w:space="0" w:color="auto"/>
            </w:tcBorders>
            <w:noWrap/>
            <w:vAlign w:val="center"/>
            <w:hideMark/>
          </w:tcPr>
          <w:p w14:paraId="306D235C" w14:textId="77777777" w:rsidR="00AC7CB0" w:rsidRPr="004D2B9A" w:rsidRDefault="00AC7CB0" w:rsidP="00075B2F">
            <w:pPr>
              <w:pStyle w:val="tabele"/>
              <w:rPr>
                <w:b w:val="0"/>
                <w:bCs w:val="0"/>
                <w:lang w:val="en-GB"/>
              </w:rPr>
            </w:pPr>
            <w:r w:rsidRPr="004D2B9A">
              <w:rPr>
                <w:b w:val="0"/>
                <w:bCs w:val="0"/>
                <w:lang w:val="en-GB"/>
              </w:rPr>
              <w:t>38</w:t>
            </w:r>
          </w:p>
        </w:tc>
        <w:tc>
          <w:tcPr>
            <w:tcW w:w="760" w:type="dxa"/>
            <w:tcBorders>
              <w:top w:val="nil"/>
              <w:left w:val="nil"/>
              <w:bottom w:val="single" w:sz="4" w:space="0" w:color="auto"/>
              <w:right w:val="single" w:sz="4" w:space="0" w:color="auto"/>
            </w:tcBorders>
            <w:noWrap/>
            <w:vAlign w:val="center"/>
            <w:hideMark/>
          </w:tcPr>
          <w:p w14:paraId="65F25B9C" w14:textId="77777777" w:rsidR="00AC7CB0" w:rsidRPr="004D2B9A" w:rsidRDefault="00AC7CB0" w:rsidP="00075B2F">
            <w:pPr>
              <w:pStyle w:val="tabele"/>
              <w:rPr>
                <w:b w:val="0"/>
                <w:bCs w:val="0"/>
                <w:lang w:val="en-GB"/>
              </w:rPr>
            </w:pPr>
            <w:r w:rsidRPr="004D2B9A">
              <w:rPr>
                <w:b w:val="0"/>
                <w:bCs w:val="0"/>
                <w:lang w:val="en-GB"/>
              </w:rPr>
              <w:t>38</w:t>
            </w:r>
          </w:p>
        </w:tc>
        <w:tc>
          <w:tcPr>
            <w:tcW w:w="972" w:type="dxa"/>
            <w:tcBorders>
              <w:top w:val="nil"/>
              <w:left w:val="nil"/>
              <w:bottom w:val="single" w:sz="4" w:space="0" w:color="auto"/>
              <w:right w:val="single" w:sz="4" w:space="0" w:color="auto"/>
            </w:tcBorders>
            <w:noWrap/>
            <w:vAlign w:val="center"/>
            <w:hideMark/>
          </w:tcPr>
          <w:p w14:paraId="1DB14BB0" w14:textId="77777777" w:rsidR="00AC7CB0" w:rsidRPr="004D2B9A" w:rsidRDefault="00AC7CB0" w:rsidP="00075B2F">
            <w:pPr>
              <w:pStyle w:val="tabele"/>
              <w:rPr>
                <w:b w:val="0"/>
                <w:bCs w:val="0"/>
                <w:lang w:val="en-GB"/>
              </w:rPr>
            </w:pPr>
            <w:r w:rsidRPr="004D2B9A">
              <w:rPr>
                <w:b w:val="0"/>
                <w:bCs w:val="0"/>
                <w:lang w:val="en-GB"/>
              </w:rPr>
              <w:t>0</w:t>
            </w:r>
          </w:p>
        </w:tc>
        <w:tc>
          <w:tcPr>
            <w:tcW w:w="740" w:type="dxa"/>
            <w:tcBorders>
              <w:top w:val="nil"/>
              <w:left w:val="nil"/>
              <w:bottom w:val="single" w:sz="4" w:space="0" w:color="auto"/>
              <w:right w:val="single" w:sz="4" w:space="0" w:color="auto"/>
            </w:tcBorders>
            <w:noWrap/>
            <w:vAlign w:val="center"/>
            <w:hideMark/>
          </w:tcPr>
          <w:p w14:paraId="35B15483" w14:textId="77777777" w:rsidR="00AC7CB0" w:rsidRPr="004D2B9A" w:rsidRDefault="00AC7CB0" w:rsidP="00075B2F">
            <w:pPr>
              <w:pStyle w:val="tabele"/>
              <w:rPr>
                <w:b w:val="0"/>
                <w:bCs w:val="0"/>
                <w:lang w:val="en-GB"/>
              </w:rPr>
            </w:pPr>
            <w:r w:rsidRPr="004D2B9A">
              <w:rPr>
                <w:b w:val="0"/>
                <w:bCs w:val="0"/>
                <w:lang w:val="en-GB"/>
              </w:rPr>
              <w:t>46</w:t>
            </w:r>
          </w:p>
        </w:tc>
        <w:tc>
          <w:tcPr>
            <w:tcW w:w="760" w:type="dxa"/>
            <w:tcBorders>
              <w:top w:val="nil"/>
              <w:left w:val="nil"/>
              <w:bottom w:val="single" w:sz="4" w:space="0" w:color="auto"/>
              <w:right w:val="single" w:sz="4" w:space="0" w:color="auto"/>
            </w:tcBorders>
            <w:noWrap/>
            <w:vAlign w:val="center"/>
            <w:hideMark/>
          </w:tcPr>
          <w:p w14:paraId="6F03FA8E" w14:textId="77777777" w:rsidR="00AC7CB0" w:rsidRPr="004D2B9A" w:rsidRDefault="00AC7CB0" w:rsidP="00075B2F">
            <w:pPr>
              <w:pStyle w:val="tabele"/>
              <w:rPr>
                <w:b w:val="0"/>
                <w:bCs w:val="0"/>
                <w:lang w:val="en-GB"/>
              </w:rPr>
            </w:pPr>
            <w:r w:rsidRPr="004D2B9A">
              <w:rPr>
                <w:b w:val="0"/>
                <w:bCs w:val="0"/>
                <w:lang w:val="en-GB"/>
              </w:rPr>
              <w:t>46</w:t>
            </w:r>
          </w:p>
        </w:tc>
        <w:tc>
          <w:tcPr>
            <w:tcW w:w="972" w:type="dxa"/>
            <w:tcBorders>
              <w:top w:val="nil"/>
              <w:left w:val="nil"/>
              <w:bottom w:val="single" w:sz="4" w:space="0" w:color="auto"/>
              <w:right w:val="single" w:sz="4" w:space="0" w:color="auto"/>
            </w:tcBorders>
            <w:noWrap/>
            <w:vAlign w:val="center"/>
            <w:hideMark/>
          </w:tcPr>
          <w:p w14:paraId="06B0190B" w14:textId="77777777" w:rsidR="00AC7CB0" w:rsidRPr="004D2B9A" w:rsidRDefault="00AC7CB0" w:rsidP="00075B2F">
            <w:pPr>
              <w:pStyle w:val="tabele"/>
              <w:rPr>
                <w:b w:val="0"/>
                <w:bCs w:val="0"/>
                <w:lang w:val="en-GB"/>
              </w:rPr>
            </w:pPr>
            <w:r w:rsidRPr="004D2B9A">
              <w:rPr>
                <w:b w:val="0"/>
                <w:bCs w:val="0"/>
                <w:lang w:val="en-GB"/>
              </w:rPr>
              <w:t>0</w:t>
            </w:r>
          </w:p>
        </w:tc>
        <w:tc>
          <w:tcPr>
            <w:tcW w:w="864" w:type="dxa"/>
            <w:tcBorders>
              <w:top w:val="nil"/>
              <w:left w:val="nil"/>
              <w:bottom w:val="nil"/>
              <w:right w:val="nil"/>
            </w:tcBorders>
            <w:noWrap/>
            <w:vAlign w:val="bottom"/>
            <w:hideMark/>
          </w:tcPr>
          <w:p w14:paraId="2CBD6D6D" w14:textId="77777777" w:rsidR="00AC7CB0" w:rsidRPr="004D2B9A" w:rsidRDefault="00AC7CB0" w:rsidP="00075B2F">
            <w:pPr>
              <w:pStyle w:val="tabele"/>
              <w:rPr>
                <w:b w:val="0"/>
                <w:bCs w:val="0"/>
                <w:lang w:val="en-GB"/>
              </w:rPr>
            </w:pPr>
          </w:p>
        </w:tc>
        <w:tc>
          <w:tcPr>
            <w:tcW w:w="850" w:type="dxa"/>
            <w:tcBorders>
              <w:top w:val="nil"/>
              <w:left w:val="nil"/>
              <w:bottom w:val="nil"/>
              <w:right w:val="nil"/>
            </w:tcBorders>
            <w:noWrap/>
            <w:vAlign w:val="bottom"/>
            <w:hideMark/>
          </w:tcPr>
          <w:p w14:paraId="7A1BAB70" w14:textId="77777777" w:rsidR="00AC7CB0" w:rsidRPr="004D2B9A" w:rsidRDefault="00AC7CB0" w:rsidP="00075B2F">
            <w:pPr>
              <w:pStyle w:val="tabele"/>
              <w:rPr>
                <w:b w:val="0"/>
                <w:bCs w:val="0"/>
                <w:szCs w:val="20"/>
                <w:lang w:val="en-GB"/>
              </w:rPr>
            </w:pPr>
          </w:p>
        </w:tc>
        <w:tc>
          <w:tcPr>
            <w:tcW w:w="972" w:type="dxa"/>
            <w:tcBorders>
              <w:top w:val="nil"/>
              <w:left w:val="nil"/>
              <w:bottom w:val="nil"/>
              <w:right w:val="nil"/>
            </w:tcBorders>
            <w:noWrap/>
            <w:vAlign w:val="bottom"/>
            <w:hideMark/>
          </w:tcPr>
          <w:p w14:paraId="128CD469" w14:textId="77777777" w:rsidR="00AC7CB0" w:rsidRPr="004D2B9A" w:rsidRDefault="00AC7CB0" w:rsidP="00075B2F">
            <w:pPr>
              <w:pStyle w:val="tabele"/>
              <w:rPr>
                <w:b w:val="0"/>
                <w:bCs w:val="0"/>
                <w:szCs w:val="20"/>
                <w:lang w:val="en-GB"/>
              </w:rPr>
            </w:pPr>
          </w:p>
        </w:tc>
      </w:tr>
      <w:tr w:rsidR="00AC7CB0" w:rsidRPr="004D2B9A" w14:paraId="2608E1B5" w14:textId="77777777" w:rsidTr="00FA6C53">
        <w:trPr>
          <w:trHeight w:val="300"/>
          <w:jc w:val="center"/>
        </w:trPr>
        <w:tc>
          <w:tcPr>
            <w:tcW w:w="861" w:type="dxa"/>
            <w:tcBorders>
              <w:top w:val="nil"/>
              <w:left w:val="single" w:sz="4" w:space="0" w:color="auto"/>
              <w:bottom w:val="single" w:sz="4" w:space="0" w:color="auto"/>
              <w:right w:val="single" w:sz="4" w:space="0" w:color="auto"/>
            </w:tcBorders>
            <w:noWrap/>
            <w:vAlign w:val="center"/>
            <w:hideMark/>
          </w:tcPr>
          <w:p w14:paraId="65454730" w14:textId="77777777" w:rsidR="00AC7CB0" w:rsidRPr="004D2B9A" w:rsidRDefault="00AC7CB0" w:rsidP="00075B2F">
            <w:pPr>
              <w:pStyle w:val="tabele"/>
              <w:rPr>
                <w:b w:val="0"/>
                <w:bCs w:val="0"/>
                <w:lang w:val="en-GB"/>
              </w:rPr>
            </w:pPr>
            <w:r w:rsidRPr="004D2B9A">
              <w:rPr>
                <w:b w:val="0"/>
                <w:bCs w:val="0"/>
                <w:lang w:val="en-GB"/>
              </w:rPr>
              <w:t>X</w:t>
            </w:r>
          </w:p>
        </w:tc>
        <w:tc>
          <w:tcPr>
            <w:tcW w:w="880" w:type="dxa"/>
            <w:tcBorders>
              <w:top w:val="nil"/>
              <w:left w:val="nil"/>
              <w:bottom w:val="single" w:sz="4" w:space="0" w:color="auto"/>
              <w:right w:val="single" w:sz="4" w:space="0" w:color="auto"/>
            </w:tcBorders>
            <w:noWrap/>
            <w:vAlign w:val="center"/>
            <w:hideMark/>
          </w:tcPr>
          <w:p w14:paraId="2DC8D83A" w14:textId="77777777" w:rsidR="00AC7CB0" w:rsidRPr="004D2B9A" w:rsidRDefault="00AC7CB0" w:rsidP="00075B2F">
            <w:pPr>
              <w:pStyle w:val="tabele"/>
              <w:rPr>
                <w:b w:val="0"/>
                <w:bCs w:val="0"/>
                <w:lang w:val="en-GB"/>
              </w:rPr>
            </w:pPr>
            <w:r w:rsidRPr="004D2B9A">
              <w:rPr>
                <w:b w:val="0"/>
                <w:bCs w:val="0"/>
                <w:lang w:val="en-GB"/>
              </w:rPr>
              <w:t>226</w:t>
            </w:r>
          </w:p>
        </w:tc>
        <w:tc>
          <w:tcPr>
            <w:tcW w:w="760" w:type="dxa"/>
            <w:tcBorders>
              <w:top w:val="nil"/>
              <w:left w:val="nil"/>
              <w:bottom w:val="single" w:sz="4" w:space="0" w:color="auto"/>
              <w:right w:val="single" w:sz="4" w:space="0" w:color="auto"/>
            </w:tcBorders>
            <w:noWrap/>
            <w:vAlign w:val="center"/>
            <w:hideMark/>
          </w:tcPr>
          <w:p w14:paraId="0D1BF01B" w14:textId="77777777" w:rsidR="00AC7CB0" w:rsidRPr="004D2B9A" w:rsidRDefault="00AC7CB0" w:rsidP="00075B2F">
            <w:pPr>
              <w:pStyle w:val="tabele"/>
              <w:rPr>
                <w:b w:val="0"/>
                <w:bCs w:val="0"/>
                <w:lang w:val="en-GB"/>
              </w:rPr>
            </w:pPr>
            <w:r w:rsidRPr="004D2B9A">
              <w:rPr>
                <w:b w:val="0"/>
                <w:bCs w:val="0"/>
                <w:lang w:val="en-GB"/>
              </w:rPr>
              <w:t>222</w:t>
            </w:r>
          </w:p>
        </w:tc>
        <w:tc>
          <w:tcPr>
            <w:tcW w:w="972" w:type="dxa"/>
            <w:tcBorders>
              <w:top w:val="nil"/>
              <w:left w:val="nil"/>
              <w:bottom w:val="single" w:sz="4" w:space="0" w:color="auto"/>
              <w:right w:val="single" w:sz="4" w:space="0" w:color="auto"/>
            </w:tcBorders>
            <w:noWrap/>
            <w:vAlign w:val="center"/>
            <w:hideMark/>
          </w:tcPr>
          <w:p w14:paraId="03D6F6C8" w14:textId="77777777" w:rsidR="00AC7CB0" w:rsidRPr="004D2B9A" w:rsidRDefault="00AC7CB0" w:rsidP="00075B2F">
            <w:pPr>
              <w:pStyle w:val="tabele"/>
              <w:rPr>
                <w:b w:val="0"/>
                <w:bCs w:val="0"/>
                <w:lang w:val="en-GB"/>
              </w:rPr>
            </w:pPr>
            <w:r w:rsidRPr="004D2B9A">
              <w:rPr>
                <w:b w:val="0"/>
                <w:bCs w:val="0"/>
                <w:lang w:val="en-GB"/>
              </w:rPr>
              <w:t>4</w:t>
            </w:r>
          </w:p>
        </w:tc>
        <w:tc>
          <w:tcPr>
            <w:tcW w:w="740" w:type="dxa"/>
            <w:tcBorders>
              <w:top w:val="nil"/>
              <w:left w:val="nil"/>
              <w:bottom w:val="single" w:sz="4" w:space="0" w:color="auto"/>
              <w:right w:val="single" w:sz="4" w:space="0" w:color="auto"/>
            </w:tcBorders>
            <w:noWrap/>
            <w:vAlign w:val="center"/>
            <w:hideMark/>
          </w:tcPr>
          <w:p w14:paraId="68C60842" w14:textId="77777777" w:rsidR="00AC7CB0" w:rsidRPr="004D2B9A" w:rsidRDefault="00AC7CB0" w:rsidP="00075B2F">
            <w:pPr>
              <w:pStyle w:val="tabele"/>
              <w:rPr>
                <w:b w:val="0"/>
                <w:bCs w:val="0"/>
                <w:lang w:val="en-GB"/>
              </w:rPr>
            </w:pPr>
            <w:r w:rsidRPr="004D2B9A">
              <w:rPr>
                <w:b w:val="0"/>
                <w:bCs w:val="0"/>
                <w:lang w:val="en-GB"/>
              </w:rPr>
              <w:t>240</w:t>
            </w:r>
          </w:p>
        </w:tc>
        <w:tc>
          <w:tcPr>
            <w:tcW w:w="760" w:type="dxa"/>
            <w:tcBorders>
              <w:top w:val="nil"/>
              <w:left w:val="nil"/>
              <w:bottom w:val="single" w:sz="4" w:space="0" w:color="auto"/>
              <w:right w:val="single" w:sz="4" w:space="0" w:color="auto"/>
            </w:tcBorders>
            <w:noWrap/>
            <w:vAlign w:val="center"/>
            <w:hideMark/>
          </w:tcPr>
          <w:p w14:paraId="1037AF43" w14:textId="77777777" w:rsidR="00AC7CB0" w:rsidRPr="004D2B9A" w:rsidRDefault="00AC7CB0" w:rsidP="00075B2F">
            <w:pPr>
              <w:pStyle w:val="tabele"/>
              <w:rPr>
                <w:b w:val="0"/>
                <w:bCs w:val="0"/>
                <w:lang w:val="en-GB"/>
              </w:rPr>
            </w:pPr>
            <w:r w:rsidRPr="004D2B9A">
              <w:rPr>
                <w:b w:val="0"/>
                <w:bCs w:val="0"/>
                <w:lang w:val="en-GB"/>
              </w:rPr>
              <w:t>237</w:t>
            </w:r>
          </w:p>
        </w:tc>
        <w:tc>
          <w:tcPr>
            <w:tcW w:w="972" w:type="dxa"/>
            <w:tcBorders>
              <w:top w:val="nil"/>
              <w:left w:val="nil"/>
              <w:bottom w:val="single" w:sz="4" w:space="0" w:color="auto"/>
              <w:right w:val="single" w:sz="4" w:space="0" w:color="auto"/>
            </w:tcBorders>
            <w:noWrap/>
            <w:vAlign w:val="center"/>
            <w:hideMark/>
          </w:tcPr>
          <w:p w14:paraId="434B444D" w14:textId="77777777" w:rsidR="00AC7CB0" w:rsidRPr="004D2B9A" w:rsidRDefault="00AC7CB0" w:rsidP="00075B2F">
            <w:pPr>
              <w:pStyle w:val="tabele"/>
              <w:rPr>
                <w:b w:val="0"/>
                <w:bCs w:val="0"/>
                <w:lang w:val="en-GB"/>
              </w:rPr>
            </w:pPr>
            <w:r w:rsidRPr="004D2B9A">
              <w:rPr>
                <w:b w:val="0"/>
                <w:bCs w:val="0"/>
                <w:lang w:val="en-GB"/>
              </w:rPr>
              <w:t>3</w:t>
            </w:r>
          </w:p>
        </w:tc>
        <w:tc>
          <w:tcPr>
            <w:tcW w:w="864" w:type="dxa"/>
            <w:tcBorders>
              <w:top w:val="nil"/>
              <w:left w:val="nil"/>
              <w:bottom w:val="nil"/>
              <w:right w:val="nil"/>
            </w:tcBorders>
            <w:noWrap/>
            <w:vAlign w:val="bottom"/>
            <w:hideMark/>
          </w:tcPr>
          <w:p w14:paraId="39882932" w14:textId="77777777" w:rsidR="00AC7CB0" w:rsidRPr="004D2B9A" w:rsidRDefault="00AC7CB0" w:rsidP="00075B2F">
            <w:pPr>
              <w:pStyle w:val="tabele"/>
              <w:rPr>
                <w:b w:val="0"/>
                <w:bCs w:val="0"/>
                <w:lang w:val="en-GB"/>
              </w:rPr>
            </w:pPr>
          </w:p>
        </w:tc>
        <w:tc>
          <w:tcPr>
            <w:tcW w:w="850" w:type="dxa"/>
            <w:tcBorders>
              <w:top w:val="nil"/>
              <w:left w:val="nil"/>
              <w:bottom w:val="nil"/>
              <w:right w:val="nil"/>
            </w:tcBorders>
            <w:noWrap/>
            <w:vAlign w:val="bottom"/>
            <w:hideMark/>
          </w:tcPr>
          <w:p w14:paraId="37A13A3B" w14:textId="77777777" w:rsidR="00AC7CB0" w:rsidRPr="004D2B9A" w:rsidRDefault="00AC7CB0" w:rsidP="00075B2F">
            <w:pPr>
              <w:pStyle w:val="tabele"/>
              <w:rPr>
                <w:b w:val="0"/>
                <w:bCs w:val="0"/>
                <w:szCs w:val="20"/>
                <w:lang w:val="en-GB"/>
              </w:rPr>
            </w:pPr>
          </w:p>
        </w:tc>
        <w:tc>
          <w:tcPr>
            <w:tcW w:w="972" w:type="dxa"/>
            <w:tcBorders>
              <w:top w:val="nil"/>
              <w:left w:val="nil"/>
              <w:bottom w:val="nil"/>
              <w:right w:val="nil"/>
            </w:tcBorders>
            <w:noWrap/>
            <w:vAlign w:val="bottom"/>
            <w:hideMark/>
          </w:tcPr>
          <w:p w14:paraId="3F43C5D2" w14:textId="77777777" w:rsidR="00AC7CB0" w:rsidRPr="004D2B9A" w:rsidRDefault="00AC7CB0" w:rsidP="00075B2F">
            <w:pPr>
              <w:pStyle w:val="tabele"/>
              <w:rPr>
                <w:b w:val="0"/>
                <w:bCs w:val="0"/>
                <w:szCs w:val="20"/>
                <w:lang w:val="en-GB"/>
              </w:rPr>
            </w:pPr>
          </w:p>
        </w:tc>
      </w:tr>
      <w:tr w:rsidR="00AC7CB0" w:rsidRPr="004D2B9A" w14:paraId="31BEA37C" w14:textId="77777777" w:rsidTr="00FA6C53">
        <w:trPr>
          <w:trHeight w:val="300"/>
          <w:jc w:val="center"/>
        </w:trPr>
        <w:tc>
          <w:tcPr>
            <w:tcW w:w="861" w:type="dxa"/>
            <w:tcBorders>
              <w:top w:val="nil"/>
              <w:left w:val="single" w:sz="4" w:space="0" w:color="auto"/>
              <w:bottom w:val="single" w:sz="4" w:space="0" w:color="auto"/>
              <w:right w:val="single" w:sz="4" w:space="0" w:color="auto"/>
            </w:tcBorders>
            <w:noWrap/>
            <w:vAlign w:val="center"/>
            <w:hideMark/>
          </w:tcPr>
          <w:p w14:paraId="3DC79D1E" w14:textId="77777777" w:rsidR="00AC7CB0" w:rsidRPr="004D2B9A" w:rsidRDefault="00AC7CB0" w:rsidP="00075B2F">
            <w:pPr>
              <w:pStyle w:val="tabele"/>
              <w:rPr>
                <w:b w:val="0"/>
                <w:bCs w:val="0"/>
                <w:lang w:val="en-GB"/>
              </w:rPr>
            </w:pPr>
            <w:r w:rsidRPr="004D2B9A">
              <w:rPr>
                <w:b w:val="0"/>
                <w:bCs w:val="0"/>
                <w:lang w:val="en-GB"/>
              </w:rPr>
              <w:t>XI</w:t>
            </w:r>
          </w:p>
        </w:tc>
        <w:tc>
          <w:tcPr>
            <w:tcW w:w="880" w:type="dxa"/>
            <w:tcBorders>
              <w:top w:val="nil"/>
              <w:left w:val="nil"/>
              <w:bottom w:val="single" w:sz="4" w:space="0" w:color="auto"/>
              <w:right w:val="single" w:sz="4" w:space="0" w:color="auto"/>
            </w:tcBorders>
            <w:noWrap/>
            <w:vAlign w:val="center"/>
            <w:hideMark/>
          </w:tcPr>
          <w:p w14:paraId="2DE362DD" w14:textId="77777777" w:rsidR="00AC7CB0" w:rsidRPr="004D2B9A" w:rsidRDefault="00AC7CB0" w:rsidP="00075B2F">
            <w:pPr>
              <w:pStyle w:val="tabele"/>
              <w:rPr>
                <w:b w:val="0"/>
                <w:bCs w:val="0"/>
                <w:lang w:val="en-GB"/>
              </w:rPr>
            </w:pPr>
            <w:r w:rsidRPr="004D2B9A">
              <w:rPr>
                <w:b w:val="0"/>
                <w:bCs w:val="0"/>
                <w:lang w:val="en-GB"/>
              </w:rPr>
              <w:t>438</w:t>
            </w:r>
          </w:p>
        </w:tc>
        <w:tc>
          <w:tcPr>
            <w:tcW w:w="760" w:type="dxa"/>
            <w:tcBorders>
              <w:top w:val="nil"/>
              <w:left w:val="nil"/>
              <w:bottom w:val="single" w:sz="4" w:space="0" w:color="auto"/>
              <w:right w:val="single" w:sz="4" w:space="0" w:color="auto"/>
            </w:tcBorders>
            <w:noWrap/>
            <w:vAlign w:val="center"/>
            <w:hideMark/>
          </w:tcPr>
          <w:p w14:paraId="07547F65" w14:textId="77777777" w:rsidR="00AC7CB0" w:rsidRPr="004D2B9A" w:rsidRDefault="00AC7CB0" w:rsidP="00075B2F">
            <w:pPr>
              <w:pStyle w:val="tabele"/>
              <w:rPr>
                <w:b w:val="0"/>
                <w:bCs w:val="0"/>
                <w:lang w:val="en-GB"/>
              </w:rPr>
            </w:pPr>
            <w:r w:rsidRPr="004D2B9A">
              <w:rPr>
                <w:b w:val="0"/>
                <w:bCs w:val="0"/>
                <w:lang w:val="en-GB"/>
              </w:rPr>
              <w:t>438</w:t>
            </w:r>
          </w:p>
        </w:tc>
        <w:tc>
          <w:tcPr>
            <w:tcW w:w="972" w:type="dxa"/>
            <w:tcBorders>
              <w:top w:val="nil"/>
              <w:left w:val="nil"/>
              <w:bottom w:val="single" w:sz="4" w:space="0" w:color="auto"/>
              <w:right w:val="single" w:sz="4" w:space="0" w:color="auto"/>
            </w:tcBorders>
            <w:noWrap/>
            <w:vAlign w:val="center"/>
            <w:hideMark/>
          </w:tcPr>
          <w:p w14:paraId="4FA807A1" w14:textId="77777777" w:rsidR="00AC7CB0" w:rsidRPr="004D2B9A" w:rsidRDefault="00AC7CB0" w:rsidP="00075B2F">
            <w:pPr>
              <w:pStyle w:val="tabele"/>
              <w:rPr>
                <w:b w:val="0"/>
                <w:bCs w:val="0"/>
                <w:lang w:val="en-GB"/>
              </w:rPr>
            </w:pPr>
            <w:r w:rsidRPr="004D2B9A">
              <w:rPr>
                <w:b w:val="0"/>
                <w:bCs w:val="0"/>
                <w:lang w:val="en-GB"/>
              </w:rPr>
              <w:t>0</w:t>
            </w:r>
          </w:p>
        </w:tc>
        <w:tc>
          <w:tcPr>
            <w:tcW w:w="740" w:type="dxa"/>
            <w:tcBorders>
              <w:top w:val="nil"/>
              <w:left w:val="nil"/>
              <w:bottom w:val="single" w:sz="4" w:space="0" w:color="auto"/>
              <w:right w:val="single" w:sz="4" w:space="0" w:color="auto"/>
            </w:tcBorders>
            <w:noWrap/>
            <w:vAlign w:val="center"/>
            <w:hideMark/>
          </w:tcPr>
          <w:p w14:paraId="7C397F54" w14:textId="77777777" w:rsidR="00AC7CB0" w:rsidRPr="004D2B9A" w:rsidRDefault="00AC7CB0" w:rsidP="00075B2F">
            <w:pPr>
              <w:pStyle w:val="tabele"/>
              <w:rPr>
                <w:b w:val="0"/>
                <w:bCs w:val="0"/>
                <w:lang w:val="en-GB"/>
              </w:rPr>
            </w:pPr>
            <w:r w:rsidRPr="004D2B9A">
              <w:rPr>
                <w:b w:val="0"/>
                <w:bCs w:val="0"/>
                <w:lang w:val="en-GB"/>
              </w:rPr>
              <w:t>487</w:t>
            </w:r>
          </w:p>
        </w:tc>
        <w:tc>
          <w:tcPr>
            <w:tcW w:w="760" w:type="dxa"/>
            <w:tcBorders>
              <w:top w:val="nil"/>
              <w:left w:val="nil"/>
              <w:bottom w:val="single" w:sz="4" w:space="0" w:color="auto"/>
              <w:right w:val="single" w:sz="4" w:space="0" w:color="auto"/>
            </w:tcBorders>
            <w:noWrap/>
            <w:vAlign w:val="center"/>
            <w:hideMark/>
          </w:tcPr>
          <w:p w14:paraId="44D6C389" w14:textId="77777777" w:rsidR="00AC7CB0" w:rsidRPr="004D2B9A" w:rsidRDefault="00AC7CB0" w:rsidP="00075B2F">
            <w:pPr>
              <w:pStyle w:val="tabele"/>
              <w:rPr>
                <w:b w:val="0"/>
                <w:bCs w:val="0"/>
                <w:lang w:val="en-GB"/>
              </w:rPr>
            </w:pPr>
            <w:r w:rsidRPr="004D2B9A">
              <w:rPr>
                <w:b w:val="0"/>
                <w:bCs w:val="0"/>
                <w:lang w:val="en-GB"/>
              </w:rPr>
              <w:t>485</w:t>
            </w:r>
          </w:p>
        </w:tc>
        <w:tc>
          <w:tcPr>
            <w:tcW w:w="972" w:type="dxa"/>
            <w:tcBorders>
              <w:top w:val="nil"/>
              <w:left w:val="nil"/>
              <w:bottom w:val="single" w:sz="4" w:space="0" w:color="auto"/>
              <w:right w:val="single" w:sz="4" w:space="0" w:color="auto"/>
            </w:tcBorders>
            <w:noWrap/>
            <w:vAlign w:val="center"/>
            <w:hideMark/>
          </w:tcPr>
          <w:p w14:paraId="7E1828B8" w14:textId="77777777" w:rsidR="00AC7CB0" w:rsidRPr="004D2B9A" w:rsidRDefault="00AC7CB0" w:rsidP="00075B2F">
            <w:pPr>
              <w:pStyle w:val="tabele"/>
              <w:rPr>
                <w:b w:val="0"/>
                <w:bCs w:val="0"/>
                <w:lang w:val="en-GB"/>
              </w:rPr>
            </w:pPr>
            <w:r w:rsidRPr="004D2B9A">
              <w:rPr>
                <w:b w:val="0"/>
                <w:bCs w:val="0"/>
                <w:lang w:val="en-GB"/>
              </w:rPr>
              <w:t>1</w:t>
            </w:r>
          </w:p>
        </w:tc>
        <w:tc>
          <w:tcPr>
            <w:tcW w:w="864" w:type="dxa"/>
            <w:tcBorders>
              <w:top w:val="nil"/>
              <w:left w:val="nil"/>
              <w:bottom w:val="nil"/>
              <w:right w:val="nil"/>
            </w:tcBorders>
            <w:noWrap/>
            <w:vAlign w:val="bottom"/>
            <w:hideMark/>
          </w:tcPr>
          <w:p w14:paraId="7FDF25C2" w14:textId="77777777" w:rsidR="00AC7CB0" w:rsidRPr="004D2B9A" w:rsidRDefault="00AC7CB0" w:rsidP="00075B2F">
            <w:pPr>
              <w:pStyle w:val="tabele"/>
              <w:rPr>
                <w:b w:val="0"/>
                <w:bCs w:val="0"/>
                <w:lang w:val="en-GB"/>
              </w:rPr>
            </w:pPr>
          </w:p>
        </w:tc>
        <w:tc>
          <w:tcPr>
            <w:tcW w:w="850" w:type="dxa"/>
            <w:tcBorders>
              <w:top w:val="nil"/>
              <w:left w:val="nil"/>
              <w:bottom w:val="nil"/>
              <w:right w:val="nil"/>
            </w:tcBorders>
            <w:noWrap/>
            <w:vAlign w:val="bottom"/>
            <w:hideMark/>
          </w:tcPr>
          <w:p w14:paraId="2EB87AB0" w14:textId="77777777" w:rsidR="00AC7CB0" w:rsidRPr="004D2B9A" w:rsidRDefault="00AC7CB0" w:rsidP="00075B2F">
            <w:pPr>
              <w:pStyle w:val="tabele"/>
              <w:rPr>
                <w:b w:val="0"/>
                <w:bCs w:val="0"/>
                <w:szCs w:val="20"/>
                <w:lang w:val="en-GB"/>
              </w:rPr>
            </w:pPr>
          </w:p>
        </w:tc>
        <w:tc>
          <w:tcPr>
            <w:tcW w:w="972" w:type="dxa"/>
            <w:tcBorders>
              <w:top w:val="nil"/>
              <w:left w:val="nil"/>
              <w:bottom w:val="nil"/>
              <w:right w:val="nil"/>
            </w:tcBorders>
            <w:noWrap/>
            <w:vAlign w:val="bottom"/>
            <w:hideMark/>
          </w:tcPr>
          <w:p w14:paraId="76478B79" w14:textId="77777777" w:rsidR="00AC7CB0" w:rsidRPr="004D2B9A" w:rsidRDefault="00AC7CB0" w:rsidP="00075B2F">
            <w:pPr>
              <w:pStyle w:val="tabele"/>
              <w:rPr>
                <w:b w:val="0"/>
                <w:bCs w:val="0"/>
                <w:szCs w:val="20"/>
                <w:lang w:val="en-GB"/>
              </w:rPr>
            </w:pPr>
          </w:p>
        </w:tc>
      </w:tr>
      <w:tr w:rsidR="00AC7CB0" w:rsidRPr="004D2B9A" w14:paraId="11D52805" w14:textId="77777777" w:rsidTr="00FA6C53">
        <w:trPr>
          <w:trHeight w:val="300"/>
          <w:jc w:val="center"/>
        </w:trPr>
        <w:tc>
          <w:tcPr>
            <w:tcW w:w="861" w:type="dxa"/>
            <w:tcBorders>
              <w:top w:val="nil"/>
              <w:left w:val="single" w:sz="4" w:space="0" w:color="auto"/>
              <w:bottom w:val="single" w:sz="4" w:space="0" w:color="auto"/>
              <w:right w:val="single" w:sz="4" w:space="0" w:color="auto"/>
            </w:tcBorders>
            <w:noWrap/>
            <w:vAlign w:val="center"/>
            <w:hideMark/>
          </w:tcPr>
          <w:p w14:paraId="79928FB4" w14:textId="77777777" w:rsidR="00AC7CB0" w:rsidRPr="004D2B9A" w:rsidRDefault="00AC7CB0" w:rsidP="00075B2F">
            <w:pPr>
              <w:pStyle w:val="tabele"/>
              <w:rPr>
                <w:b w:val="0"/>
                <w:bCs w:val="0"/>
                <w:lang w:val="en-GB"/>
              </w:rPr>
            </w:pPr>
            <w:r w:rsidRPr="004D2B9A">
              <w:rPr>
                <w:b w:val="0"/>
                <w:bCs w:val="0"/>
                <w:lang w:val="en-GB"/>
              </w:rPr>
              <w:t>XII</w:t>
            </w:r>
          </w:p>
        </w:tc>
        <w:tc>
          <w:tcPr>
            <w:tcW w:w="880" w:type="dxa"/>
            <w:tcBorders>
              <w:top w:val="nil"/>
              <w:left w:val="nil"/>
              <w:bottom w:val="single" w:sz="4" w:space="0" w:color="auto"/>
              <w:right w:val="single" w:sz="4" w:space="0" w:color="auto"/>
            </w:tcBorders>
            <w:noWrap/>
            <w:vAlign w:val="center"/>
            <w:hideMark/>
          </w:tcPr>
          <w:p w14:paraId="069FED6C" w14:textId="77777777" w:rsidR="00AC7CB0" w:rsidRPr="004D2B9A" w:rsidRDefault="00AC7CB0" w:rsidP="00075B2F">
            <w:pPr>
              <w:pStyle w:val="tabele"/>
              <w:rPr>
                <w:b w:val="0"/>
                <w:bCs w:val="0"/>
                <w:lang w:val="en-GB"/>
              </w:rPr>
            </w:pPr>
            <w:r w:rsidRPr="004D2B9A">
              <w:rPr>
                <w:b w:val="0"/>
                <w:bCs w:val="0"/>
                <w:lang w:val="en-GB"/>
              </w:rPr>
              <w:t>568</w:t>
            </w:r>
          </w:p>
        </w:tc>
        <w:tc>
          <w:tcPr>
            <w:tcW w:w="760" w:type="dxa"/>
            <w:tcBorders>
              <w:top w:val="nil"/>
              <w:left w:val="nil"/>
              <w:bottom w:val="single" w:sz="4" w:space="0" w:color="auto"/>
              <w:right w:val="single" w:sz="4" w:space="0" w:color="auto"/>
            </w:tcBorders>
            <w:noWrap/>
            <w:vAlign w:val="center"/>
            <w:hideMark/>
          </w:tcPr>
          <w:p w14:paraId="4063F39E" w14:textId="77777777" w:rsidR="00AC7CB0" w:rsidRPr="004D2B9A" w:rsidRDefault="00AC7CB0" w:rsidP="00075B2F">
            <w:pPr>
              <w:pStyle w:val="tabele"/>
              <w:rPr>
                <w:b w:val="0"/>
                <w:bCs w:val="0"/>
                <w:lang w:val="en-GB"/>
              </w:rPr>
            </w:pPr>
            <w:r w:rsidRPr="004D2B9A">
              <w:rPr>
                <w:b w:val="0"/>
                <w:bCs w:val="0"/>
                <w:lang w:val="en-GB"/>
              </w:rPr>
              <w:t>568</w:t>
            </w:r>
          </w:p>
        </w:tc>
        <w:tc>
          <w:tcPr>
            <w:tcW w:w="972" w:type="dxa"/>
            <w:tcBorders>
              <w:top w:val="nil"/>
              <w:left w:val="nil"/>
              <w:bottom w:val="single" w:sz="4" w:space="0" w:color="auto"/>
              <w:right w:val="single" w:sz="4" w:space="0" w:color="auto"/>
            </w:tcBorders>
            <w:noWrap/>
            <w:vAlign w:val="center"/>
            <w:hideMark/>
          </w:tcPr>
          <w:p w14:paraId="5585D4C1" w14:textId="77777777" w:rsidR="00AC7CB0" w:rsidRPr="004D2B9A" w:rsidRDefault="00AC7CB0" w:rsidP="00075B2F">
            <w:pPr>
              <w:pStyle w:val="tabele"/>
              <w:rPr>
                <w:b w:val="0"/>
                <w:bCs w:val="0"/>
                <w:lang w:val="en-GB"/>
              </w:rPr>
            </w:pPr>
            <w:r w:rsidRPr="004D2B9A">
              <w:rPr>
                <w:b w:val="0"/>
                <w:bCs w:val="0"/>
                <w:lang w:val="en-GB"/>
              </w:rPr>
              <w:t>0</w:t>
            </w:r>
          </w:p>
        </w:tc>
        <w:tc>
          <w:tcPr>
            <w:tcW w:w="740" w:type="dxa"/>
            <w:tcBorders>
              <w:top w:val="nil"/>
              <w:left w:val="nil"/>
              <w:bottom w:val="single" w:sz="4" w:space="0" w:color="auto"/>
              <w:right w:val="single" w:sz="4" w:space="0" w:color="auto"/>
            </w:tcBorders>
            <w:noWrap/>
            <w:vAlign w:val="center"/>
            <w:hideMark/>
          </w:tcPr>
          <w:p w14:paraId="0A3FE096" w14:textId="77777777" w:rsidR="00AC7CB0" w:rsidRPr="004D2B9A" w:rsidRDefault="00AC7CB0" w:rsidP="00075B2F">
            <w:pPr>
              <w:pStyle w:val="tabele"/>
              <w:rPr>
                <w:b w:val="0"/>
                <w:bCs w:val="0"/>
                <w:lang w:val="en-GB"/>
              </w:rPr>
            </w:pPr>
            <w:r w:rsidRPr="004D2B9A">
              <w:rPr>
                <w:b w:val="0"/>
                <w:bCs w:val="0"/>
                <w:lang w:val="en-GB"/>
              </w:rPr>
              <w:t>615</w:t>
            </w:r>
          </w:p>
        </w:tc>
        <w:tc>
          <w:tcPr>
            <w:tcW w:w="760" w:type="dxa"/>
            <w:tcBorders>
              <w:top w:val="nil"/>
              <w:left w:val="nil"/>
              <w:bottom w:val="single" w:sz="4" w:space="0" w:color="auto"/>
              <w:right w:val="single" w:sz="4" w:space="0" w:color="auto"/>
            </w:tcBorders>
            <w:noWrap/>
            <w:vAlign w:val="center"/>
            <w:hideMark/>
          </w:tcPr>
          <w:p w14:paraId="4F978041" w14:textId="77777777" w:rsidR="00AC7CB0" w:rsidRPr="004D2B9A" w:rsidRDefault="00AC7CB0" w:rsidP="00075B2F">
            <w:pPr>
              <w:pStyle w:val="tabele"/>
              <w:rPr>
                <w:b w:val="0"/>
                <w:bCs w:val="0"/>
                <w:lang w:val="en-GB"/>
              </w:rPr>
            </w:pPr>
            <w:r w:rsidRPr="004D2B9A">
              <w:rPr>
                <w:b w:val="0"/>
                <w:bCs w:val="0"/>
                <w:lang w:val="en-GB"/>
              </w:rPr>
              <w:t>614</w:t>
            </w:r>
          </w:p>
        </w:tc>
        <w:tc>
          <w:tcPr>
            <w:tcW w:w="972" w:type="dxa"/>
            <w:tcBorders>
              <w:top w:val="nil"/>
              <w:left w:val="nil"/>
              <w:bottom w:val="single" w:sz="4" w:space="0" w:color="auto"/>
              <w:right w:val="single" w:sz="4" w:space="0" w:color="auto"/>
            </w:tcBorders>
            <w:noWrap/>
            <w:vAlign w:val="center"/>
            <w:hideMark/>
          </w:tcPr>
          <w:p w14:paraId="02202C70" w14:textId="77777777" w:rsidR="00AC7CB0" w:rsidRPr="004D2B9A" w:rsidRDefault="00AC7CB0" w:rsidP="00075B2F">
            <w:pPr>
              <w:pStyle w:val="tabele"/>
              <w:rPr>
                <w:b w:val="0"/>
                <w:bCs w:val="0"/>
                <w:lang w:val="en-GB"/>
              </w:rPr>
            </w:pPr>
            <w:r w:rsidRPr="004D2B9A">
              <w:rPr>
                <w:b w:val="0"/>
                <w:bCs w:val="0"/>
                <w:lang w:val="en-GB"/>
              </w:rPr>
              <w:t>1</w:t>
            </w:r>
          </w:p>
        </w:tc>
        <w:tc>
          <w:tcPr>
            <w:tcW w:w="864" w:type="dxa"/>
            <w:tcBorders>
              <w:top w:val="nil"/>
              <w:left w:val="nil"/>
              <w:bottom w:val="nil"/>
              <w:right w:val="nil"/>
            </w:tcBorders>
            <w:noWrap/>
            <w:vAlign w:val="bottom"/>
            <w:hideMark/>
          </w:tcPr>
          <w:p w14:paraId="27556A9A" w14:textId="77777777" w:rsidR="00AC7CB0" w:rsidRPr="004D2B9A" w:rsidRDefault="00AC7CB0" w:rsidP="00075B2F">
            <w:pPr>
              <w:pStyle w:val="tabele"/>
              <w:rPr>
                <w:b w:val="0"/>
                <w:bCs w:val="0"/>
                <w:lang w:val="en-GB"/>
              </w:rPr>
            </w:pPr>
          </w:p>
        </w:tc>
        <w:tc>
          <w:tcPr>
            <w:tcW w:w="850" w:type="dxa"/>
            <w:tcBorders>
              <w:top w:val="nil"/>
              <w:left w:val="nil"/>
              <w:bottom w:val="nil"/>
              <w:right w:val="nil"/>
            </w:tcBorders>
            <w:noWrap/>
            <w:vAlign w:val="bottom"/>
            <w:hideMark/>
          </w:tcPr>
          <w:p w14:paraId="12E76C58" w14:textId="77777777" w:rsidR="00AC7CB0" w:rsidRPr="004D2B9A" w:rsidRDefault="00AC7CB0" w:rsidP="00075B2F">
            <w:pPr>
              <w:pStyle w:val="tabele"/>
              <w:rPr>
                <w:b w:val="0"/>
                <w:bCs w:val="0"/>
                <w:szCs w:val="20"/>
                <w:lang w:val="en-GB"/>
              </w:rPr>
            </w:pPr>
          </w:p>
        </w:tc>
        <w:tc>
          <w:tcPr>
            <w:tcW w:w="972" w:type="dxa"/>
            <w:tcBorders>
              <w:top w:val="nil"/>
              <w:left w:val="nil"/>
              <w:bottom w:val="nil"/>
              <w:right w:val="nil"/>
            </w:tcBorders>
            <w:noWrap/>
            <w:vAlign w:val="bottom"/>
            <w:hideMark/>
          </w:tcPr>
          <w:p w14:paraId="533420A4" w14:textId="77777777" w:rsidR="00AC7CB0" w:rsidRPr="004D2B9A" w:rsidRDefault="00AC7CB0" w:rsidP="00075B2F">
            <w:pPr>
              <w:pStyle w:val="tabele"/>
              <w:rPr>
                <w:b w:val="0"/>
                <w:bCs w:val="0"/>
                <w:szCs w:val="20"/>
                <w:lang w:val="en-GB"/>
              </w:rPr>
            </w:pPr>
          </w:p>
        </w:tc>
      </w:tr>
      <w:tr w:rsidR="00AC7CB0" w:rsidRPr="004D2B9A" w14:paraId="41A7428A" w14:textId="77777777" w:rsidTr="00FA6C53">
        <w:trPr>
          <w:trHeight w:val="300"/>
          <w:jc w:val="center"/>
        </w:trPr>
        <w:tc>
          <w:tcPr>
            <w:tcW w:w="861" w:type="dxa"/>
            <w:tcBorders>
              <w:top w:val="nil"/>
              <w:left w:val="single" w:sz="4" w:space="0" w:color="auto"/>
              <w:bottom w:val="single" w:sz="4" w:space="0" w:color="auto"/>
              <w:right w:val="single" w:sz="4" w:space="0" w:color="auto"/>
            </w:tcBorders>
            <w:noWrap/>
            <w:vAlign w:val="center"/>
            <w:hideMark/>
          </w:tcPr>
          <w:p w14:paraId="396D05A2" w14:textId="55DB7C7D" w:rsidR="00AC7CB0" w:rsidRPr="004D2B9A" w:rsidRDefault="00AC7CB0" w:rsidP="00075B2F">
            <w:pPr>
              <w:pStyle w:val="tabele"/>
              <w:rPr>
                <w:b w:val="0"/>
                <w:bCs w:val="0"/>
                <w:lang w:val="en-GB"/>
              </w:rPr>
            </w:pPr>
            <w:r w:rsidRPr="004D2B9A">
              <w:rPr>
                <w:b w:val="0"/>
                <w:bCs w:val="0"/>
                <w:lang w:val="en-GB"/>
              </w:rPr>
              <w:t>Sum</w:t>
            </w:r>
          </w:p>
        </w:tc>
        <w:tc>
          <w:tcPr>
            <w:tcW w:w="880" w:type="dxa"/>
            <w:tcBorders>
              <w:top w:val="nil"/>
              <w:left w:val="nil"/>
              <w:bottom w:val="single" w:sz="4" w:space="0" w:color="auto"/>
              <w:right w:val="single" w:sz="4" w:space="0" w:color="auto"/>
            </w:tcBorders>
            <w:noWrap/>
            <w:vAlign w:val="center"/>
            <w:hideMark/>
          </w:tcPr>
          <w:p w14:paraId="267DEC13" w14:textId="300B943B" w:rsidR="00AC7CB0" w:rsidRPr="004D2B9A" w:rsidRDefault="00AC7CB0" w:rsidP="00075B2F">
            <w:pPr>
              <w:pStyle w:val="tabele"/>
              <w:rPr>
                <w:b w:val="0"/>
                <w:bCs w:val="0"/>
                <w:lang w:val="en-GB"/>
              </w:rPr>
            </w:pPr>
            <w:r w:rsidRPr="004D2B9A">
              <w:rPr>
                <w:b w:val="0"/>
                <w:bCs w:val="0"/>
                <w:lang w:val="en-GB"/>
              </w:rPr>
              <w:t>3</w:t>
            </w:r>
            <w:r w:rsidR="00B96CCF" w:rsidRPr="004D2B9A">
              <w:rPr>
                <w:b w:val="0"/>
                <w:bCs w:val="0"/>
                <w:lang w:val="en-GB"/>
              </w:rPr>
              <w:t xml:space="preserve"> </w:t>
            </w:r>
            <w:r w:rsidRPr="004D2B9A">
              <w:rPr>
                <w:b w:val="0"/>
                <w:bCs w:val="0"/>
                <w:lang w:val="en-GB"/>
              </w:rPr>
              <w:t>052</w:t>
            </w:r>
          </w:p>
        </w:tc>
        <w:tc>
          <w:tcPr>
            <w:tcW w:w="760" w:type="dxa"/>
            <w:tcBorders>
              <w:top w:val="nil"/>
              <w:left w:val="nil"/>
              <w:bottom w:val="single" w:sz="4" w:space="0" w:color="auto"/>
              <w:right w:val="single" w:sz="4" w:space="0" w:color="auto"/>
            </w:tcBorders>
            <w:noWrap/>
            <w:vAlign w:val="center"/>
            <w:hideMark/>
          </w:tcPr>
          <w:p w14:paraId="47D64EAC" w14:textId="5777FFB1" w:rsidR="00AC7CB0" w:rsidRPr="004D2B9A" w:rsidRDefault="00AC7CB0" w:rsidP="00075B2F">
            <w:pPr>
              <w:pStyle w:val="tabele"/>
              <w:rPr>
                <w:b w:val="0"/>
                <w:bCs w:val="0"/>
                <w:lang w:val="en-GB"/>
              </w:rPr>
            </w:pPr>
            <w:r w:rsidRPr="004D2B9A">
              <w:rPr>
                <w:b w:val="0"/>
                <w:bCs w:val="0"/>
                <w:lang w:val="en-GB"/>
              </w:rPr>
              <w:t>3</w:t>
            </w:r>
            <w:r w:rsidR="00B96CCF" w:rsidRPr="004D2B9A">
              <w:rPr>
                <w:b w:val="0"/>
                <w:bCs w:val="0"/>
                <w:lang w:val="en-GB"/>
              </w:rPr>
              <w:t xml:space="preserve"> </w:t>
            </w:r>
            <w:r w:rsidRPr="004D2B9A">
              <w:rPr>
                <w:b w:val="0"/>
                <w:bCs w:val="0"/>
                <w:lang w:val="en-GB"/>
              </w:rPr>
              <w:t>041</w:t>
            </w:r>
          </w:p>
        </w:tc>
        <w:tc>
          <w:tcPr>
            <w:tcW w:w="972" w:type="dxa"/>
            <w:tcBorders>
              <w:top w:val="nil"/>
              <w:left w:val="nil"/>
              <w:bottom w:val="single" w:sz="4" w:space="0" w:color="auto"/>
              <w:right w:val="single" w:sz="4" w:space="0" w:color="auto"/>
            </w:tcBorders>
            <w:noWrap/>
            <w:vAlign w:val="center"/>
            <w:hideMark/>
          </w:tcPr>
          <w:p w14:paraId="0394F80D" w14:textId="77777777" w:rsidR="00AC7CB0" w:rsidRPr="004D2B9A" w:rsidRDefault="00AC7CB0" w:rsidP="00075B2F">
            <w:pPr>
              <w:pStyle w:val="tabele"/>
              <w:rPr>
                <w:b w:val="0"/>
                <w:bCs w:val="0"/>
                <w:lang w:val="en-GB"/>
              </w:rPr>
            </w:pPr>
            <w:r w:rsidRPr="004D2B9A">
              <w:rPr>
                <w:b w:val="0"/>
                <w:bCs w:val="0"/>
                <w:lang w:val="en-GB"/>
              </w:rPr>
              <w:t>11</w:t>
            </w:r>
          </w:p>
        </w:tc>
        <w:tc>
          <w:tcPr>
            <w:tcW w:w="740" w:type="dxa"/>
            <w:tcBorders>
              <w:top w:val="nil"/>
              <w:left w:val="nil"/>
              <w:bottom w:val="single" w:sz="4" w:space="0" w:color="auto"/>
              <w:right w:val="single" w:sz="4" w:space="0" w:color="auto"/>
            </w:tcBorders>
            <w:noWrap/>
            <w:vAlign w:val="center"/>
            <w:hideMark/>
          </w:tcPr>
          <w:p w14:paraId="04FCBCDB" w14:textId="5916EB59" w:rsidR="00AC7CB0" w:rsidRPr="004D2B9A" w:rsidRDefault="00AC7CB0" w:rsidP="00075B2F">
            <w:pPr>
              <w:pStyle w:val="tabele"/>
              <w:rPr>
                <w:b w:val="0"/>
                <w:bCs w:val="0"/>
                <w:lang w:val="en-GB"/>
              </w:rPr>
            </w:pPr>
            <w:r w:rsidRPr="004D2B9A">
              <w:rPr>
                <w:b w:val="0"/>
                <w:bCs w:val="0"/>
                <w:lang w:val="en-GB"/>
              </w:rPr>
              <w:t>3</w:t>
            </w:r>
            <w:r w:rsidR="00B96CCF" w:rsidRPr="004D2B9A">
              <w:rPr>
                <w:b w:val="0"/>
                <w:bCs w:val="0"/>
                <w:lang w:val="en-GB"/>
              </w:rPr>
              <w:t xml:space="preserve"> </w:t>
            </w:r>
            <w:r w:rsidRPr="004D2B9A">
              <w:rPr>
                <w:b w:val="0"/>
                <w:bCs w:val="0"/>
                <w:lang w:val="en-GB"/>
              </w:rPr>
              <w:t>360</w:t>
            </w:r>
          </w:p>
        </w:tc>
        <w:tc>
          <w:tcPr>
            <w:tcW w:w="760" w:type="dxa"/>
            <w:tcBorders>
              <w:top w:val="nil"/>
              <w:left w:val="nil"/>
              <w:bottom w:val="single" w:sz="4" w:space="0" w:color="auto"/>
              <w:right w:val="single" w:sz="4" w:space="0" w:color="auto"/>
            </w:tcBorders>
            <w:noWrap/>
            <w:vAlign w:val="center"/>
            <w:hideMark/>
          </w:tcPr>
          <w:p w14:paraId="6EE5BE86" w14:textId="0C95C13E" w:rsidR="00AC7CB0" w:rsidRPr="004D2B9A" w:rsidRDefault="00AC7CB0" w:rsidP="00075B2F">
            <w:pPr>
              <w:pStyle w:val="tabele"/>
              <w:rPr>
                <w:b w:val="0"/>
                <w:bCs w:val="0"/>
                <w:lang w:val="en-GB"/>
              </w:rPr>
            </w:pPr>
            <w:r w:rsidRPr="004D2B9A">
              <w:rPr>
                <w:b w:val="0"/>
                <w:bCs w:val="0"/>
                <w:lang w:val="en-GB"/>
              </w:rPr>
              <w:t>3</w:t>
            </w:r>
            <w:r w:rsidR="00B96CCF" w:rsidRPr="004D2B9A">
              <w:rPr>
                <w:b w:val="0"/>
                <w:bCs w:val="0"/>
                <w:lang w:val="en-GB"/>
              </w:rPr>
              <w:t xml:space="preserve"> </w:t>
            </w:r>
            <w:r w:rsidRPr="004D2B9A">
              <w:rPr>
                <w:b w:val="0"/>
                <w:bCs w:val="0"/>
                <w:lang w:val="en-GB"/>
              </w:rPr>
              <w:t>349</w:t>
            </w:r>
          </w:p>
        </w:tc>
        <w:tc>
          <w:tcPr>
            <w:tcW w:w="972" w:type="dxa"/>
            <w:tcBorders>
              <w:top w:val="nil"/>
              <w:left w:val="nil"/>
              <w:bottom w:val="single" w:sz="4" w:space="0" w:color="auto"/>
              <w:right w:val="single" w:sz="4" w:space="0" w:color="auto"/>
            </w:tcBorders>
            <w:noWrap/>
            <w:vAlign w:val="center"/>
            <w:hideMark/>
          </w:tcPr>
          <w:p w14:paraId="7ECB17E2" w14:textId="77777777" w:rsidR="00AC7CB0" w:rsidRPr="004D2B9A" w:rsidRDefault="00AC7CB0" w:rsidP="00075B2F">
            <w:pPr>
              <w:pStyle w:val="tabele"/>
              <w:rPr>
                <w:b w:val="0"/>
                <w:bCs w:val="0"/>
                <w:lang w:val="en-GB"/>
              </w:rPr>
            </w:pPr>
            <w:r w:rsidRPr="004D2B9A">
              <w:rPr>
                <w:b w:val="0"/>
                <w:bCs w:val="0"/>
                <w:lang w:val="en-GB"/>
              </w:rPr>
              <w:t>11</w:t>
            </w:r>
          </w:p>
        </w:tc>
        <w:tc>
          <w:tcPr>
            <w:tcW w:w="864" w:type="dxa"/>
            <w:tcBorders>
              <w:top w:val="nil"/>
              <w:left w:val="nil"/>
              <w:bottom w:val="nil"/>
              <w:right w:val="nil"/>
            </w:tcBorders>
            <w:noWrap/>
            <w:vAlign w:val="bottom"/>
            <w:hideMark/>
          </w:tcPr>
          <w:p w14:paraId="50602705" w14:textId="77777777" w:rsidR="00AC7CB0" w:rsidRPr="004D2B9A" w:rsidRDefault="00AC7CB0" w:rsidP="00075B2F">
            <w:pPr>
              <w:pStyle w:val="tabele"/>
              <w:rPr>
                <w:b w:val="0"/>
                <w:bCs w:val="0"/>
                <w:lang w:val="en-GB"/>
              </w:rPr>
            </w:pPr>
          </w:p>
        </w:tc>
        <w:tc>
          <w:tcPr>
            <w:tcW w:w="850" w:type="dxa"/>
            <w:tcBorders>
              <w:top w:val="nil"/>
              <w:left w:val="nil"/>
              <w:bottom w:val="nil"/>
              <w:right w:val="nil"/>
            </w:tcBorders>
            <w:noWrap/>
            <w:vAlign w:val="bottom"/>
            <w:hideMark/>
          </w:tcPr>
          <w:p w14:paraId="13C5D6A4" w14:textId="77777777" w:rsidR="00AC7CB0" w:rsidRPr="004D2B9A" w:rsidRDefault="00AC7CB0" w:rsidP="00075B2F">
            <w:pPr>
              <w:pStyle w:val="tabele"/>
              <w:rPr>
                <w:b w:val="0"/>
                <w:bCs w:val="0"/>
                <w:szCs w:val="20"/>
                <w:lang w:val="en-GB"/>
              </w:rPr>
            </w:pPr>
          </w:p>
        </w:tc>
        <w:tc>
          <w:tcPr>
            <w:tcW w:w="972" w:type="dxa"/>
            <w:tcBorders>
              <w:top w:val="nil"/>
              <w:left w:val="nil"/>
              <w:bottom w:val="nil"/>
              <w:right w:val="nil"/>
            </w:tcBorders>
            <w:noWrap/>
            <w:vAlign w:val="bottom"/>
            <w:hideMark/>
          </w:tcPr>
          <w:p w14:paraId="27C813AB" w14:textId="77777777" w:rsidR="00AC7CB0" w:rsidRPr="004D2B9A" w:rsidRDefault="00AC7CB0" w:rsidP="00075B2F">
            <w:pPr>
              <w:pStyle w:val="tabele"/>
              <w:rPr>
                <w:b w:val="0"/>
                <w:bCs w:val="0"/>
                <w:szCs w:val="20"/>
                <w:lang w:val="en-GB"/>
              </w:rPr>
            </w:pPr>
          </w:p>
        </w:tc>
      </w:tr>
    </w:tbl>
    <w:p w14:paraId="09995998" w14:textId="088B4D29" w:rsidR="00C933BB" w:rsidRPr="004D2B9A" w:rsidRDefault="00C933BB" w:rsidP="002328EC">
      <w:pPr>
        <w:rPr>
          <w:lang w:val="en-GB"/>
        </w:rPr>
      </w:pPr>
    </w:p>
    <w:p w14:paraId="111DAA50" w14:textId="34C4FF64" w:rsidR="000627BD" w:rsidRPr="004D2B9A" w:rsidRDefault="5B01E89D" w:rsidP="002328EC">
      <w:pPr>
        <w:rPr>
          <w:lang w:val="en-GB"/>
        </w:rPr>
      </w:pPr>
      <w:r w:rsidRPr="004D2B9A">
        <w:rPr>
          <w:lang w:val="en-GB"/>
        </w:rPr>
        <w:t xml:space="preserve">Therefore, analysing only monthly results would suggest a surprisingly high </w:t>
      </w:r>
      <w:r w:rsidR="008D7F9E">
        <w:rPr>
          <w:lang w:val="en-GB"/>
        </w:rPr>
        <w:t>level of precision for the FI method in estimating energy demand at the</w:t>
      </w:r>
      <w:r w:rsidRPr="004D2B9A">
        <w:rPr>
          <w:lang w:val="en-GB"/>
        </w:rPr>
        <w:t xml:space="preserve"> monthly interval. However, this method is designed primarily to estimate hourly data, not monthly data. For this reason, it was decided to analyse the hourly calculation results in more detail.</w:t>
      </w:r>
    </w:p>
    <w:p w14:paraId="6B3E6301" w14:textId="6FFDFCF6" w:rsidR="00E3153F" w:rsidRPr="004D2B9A" w:rsidRDefault="002E6DA8" w:rsidP="004D2B9A">
      <w:pPr>
        <w:pStyle w:val="Rn2"/>
        <w:rPr>
          <w:lang w:val="en-GB"/>
        </w:rPr>
      </w:pPr>
      <w:r w:rsidRPr="004D2B9A">
        <w:rPr>
          <w:lang w:val="en-GB"/>
        </w:rPr>
        <w:t xml:space="preserve">3.3. </w:t>
      </w:r>
      <w:r w:rsidR="00B13108" w:rsidRPr="004D2B9A">
        <w:rPr>
          <w:lang w:val="en-GB"/>
        </w:rPr>
        <w:t>Hourly results</w:t>
      </w:r>
    </w:p>
    <w:p w14:paraId="37B66A23" w14:textId="123B8FDC" w:rsidR="00597389" w:rsidRPr="004D2B9A" w:rsidRDefault="5B01E89D" w:rsidP="002328EC">
      <w:pPr>
        <w:rPr>
          <w:lang w:val="en-GB"/>
        </w:rPr>
      </w:pPr>
      <w:r w:rsidRPr="004D2B9A">
        <w:rPr>
          <w:lang w:val="en-GB"/>
        </w:rPr>
        <w:t>The main advantage of estimating the hourly energy demand for the building heating system using the FI method is the direct use of the hourly outdoor air temperature values imposed in (GOV 2025).</w:t>
      </w:r>
      <w:r w:rsidR="00B13108" w:rsidRPr="004D2B9A">
        <w:rPr>
          <w:lang w:val="en-GB"/>
        </w:rPr>
        <w:t xml:space="preserve"> More accurate calculation methods are based on the same data.</w:t>
      </w:r>
      <w:r w:rsidRPr="004D2B9A">
        <w:rPr>
          <w:lang w:val="en-GB"/>
        </w:rPr>
        <w:t xml:space="preserve"> Because the COP of the selected heat pump depends primarily on </w:t>
      </w:r>
      <w:r w:rsidR="008D7F9E">
        <w:rPr>
          <w:lang w:val="en-GB"/>
        </w:rPr>
        <w:t>outdoor air temperature, the resulting electricity consumption values</w:t>
      </w:r>
      <w:r w:rsidRPr="004D2B9A">
        <w:rPr>
          <w:lang w:val="en-GB"/>
        </w:rPr>
        <w:t xml:space="preserve"> are as accurate as possible. Their accuracy is the same as for advanced calculation methods, such as the EDSL TAS programme used in this article.</w:t>
      </w:r>
      <w:r w:rsidR="00B13108" w:rsidRPr="004D2B9A">
        <w:rPr>
          <w:lang w:val="en-GB"/>
        </w:rPr>
        <w:t xml:space="preserve"> </w:t>
      </w:r>
      <w:r w:rsidR="00B13108" w:rsidRPr="004D2B9A">
        <w:rPr>
          <w:lang w:val="en-GB"/>
        </w:rPr>
        <w:lastRenderedPageBreak/>
        <w:t xml:space="preserve">Therefore, any inaccuracies </w:t>
      </w:r>
      <w:r w:rsidR="008D7F9E">
        <w:rPr>
          <w:lang w:val="en-GB"/>
        </w:rPr>
        <w:t>in the FI method are directly related to the estimated hourly usable energy valu</w:t>
      </w:r>
      <w:r w:rsidR="00B13108" w:rsidRPr="004D2B9A">
        <w:rPr>
          <w:lang w:val="en-GB"/>
        </w:rPr>
        <w:t>es. The main problem with the FI method is its inability to directly account for the impact of solar gains on reducing the energy demand for building heating.</w:t>
      </w:r>
      <w:r w:rsidRPr="004D2B9A">
        <w:rPr>
          <w:lang w:val="en-GB"/>
        </w:rPr>
        <w:t xml:space="preserve"> First, the phenomenon is </w:t>
      </w:r>
      <w:r w:rsidR="008D7F9E">
        <w:rPr>
          <w:lang w:val="en-GB"/>
        </w:rPr>
        <w:t>illustrated using the example of the sunniest (27th day of the year) and least sunny (3rd day of the year) days of the month, with the lowest average outdoor air temperature of all analysed months</w:t>
      </w:r>
      <w:r w:rsidRPr="004D2B9A">
        <w:rPr>
          <w:lang w:val="en-GB"/>
        </w:rPr>
        <w:t xml:space="preserve">, namely January in </w:t>
      </w:r>
      <w:proofErr w:type="spellStart"/>
      <w:r w:rsidRPr="004D2B9A">
        <w:rPr>
          <w:lang w:val="en-GB"/>
        </w:rPr>
        <w:t>Suwałki</w:t>
      </w:r>
      <w:proofErr w:type="spellEnd"/>
      <w:r w:rsidRPr="004D2B9A">
        <w:rPr>
          <w:lang w:val="en-GB"/>
        </w:rPr>
        <w:t>.</w:t>
      </w:r>
    </w:p>
    <w:p w14:paraId="36BCA5FF" w14:textId="561AED61" w:rsidR="00006EA4" w:rsidRPr="004D2B9A" w:rsidRDefault="008D7F9E" w:rsidP="002328EC">
      <w:pPr>
        <w:rPr>
          <w:lang w:val="en-GB"/>
        </w:rPr>
      </w:pPr>
      <w:r>
        <w:rPr>
          <w:lang w:val="en-GB"/>
        </w:rPr>
        <w:t>On relatively cloudy,</w:t>
      </w:r>
      <w:r w:rsidR="00B13108" w:rsidRPr="004D2B9A">
        <w:rPr>
          <w:lang w:val="en-GB"/>
        </w:rPr>
        <w:t xml:space="preserve"> cold days, the hourly heating energy demand values estimated using the FI method are mostly slightly underestimated.</w:t>
      </w:r>
      <w:r w:rsidR="5B01E89D" w:rsidRPr="004D2B9A">
        <w:rPr>
          <w:lang w:val="en-GB"/>
        </w:rPr>
        <w:t xml:space="preserve"> </w:t>
      </w:r>
      <w:r>
        <w:rPr>
          <w:lang w:val="en-GB"/>
        </w:rPr>
        <w:t xml:space="preserve">On day 3, with the largest hourly difference between the results, the estimated electricity consumption using the FI method was only 85 </w:t>
      </w:r>
      <w:proofErr w:type="spellStart"/>
      <w:r>
        <w:rPr>
          <w:lang w:val="en-GB"/>
        </w:rPr>
        <w:t>Wh</w:t>
      </w:r>
      <w:proofErr w:type="spellEnd"/>
      <w:r>
        <w:rPr>
          <w:lang w:val="en-GB"/>
        </w:rPr>
        <w:t xml:space="preserve"> higher than that calculated from</w:t>
      </w:r>
      <w:r w:rsidR="5B01E89D" w:rsidRPr="004D2B9A">
        <w:rPr>
          <w:lang w:val="en-GB"/>
        </w:rPr>
        <w:t xml:space="preserve"> the EDSL TAS results. Only in one hour, during which the influence of global solar radiation was greatest, was the estimated value greater than the exact value; the difference was 17 </w:t>
      </w:r>
      <w:proofErr w:type="spellStart"/>
      <w:r w:rsidR="5B01E89D" w:rsidRPr="004D2B9A">
        <w:rPr>
          <w:lang w:val="en-GB"/>
        </w:rPr>
        <w:t>Wh</w:t>
      </w:r>
      <w:proofErr w:type="spellEnd"/>
      <w:r w:rsidR="5B01E89D" w:rsidRPr="004D2B9A">
        <w:rPr>
          <w:lang w:val="en-GB"/>
        </w:rPr>
        <w:t xml:space="preserve"> (results presented in Fig. 2).</w:t>
      </w:r>
      <w:r w:rsidR="00B13108" w:rsidRPr="004D2B9A">
        <w:rPr>
          <w:lang w:val="en-GB"/>
        </w:rPr>
        <w:t xml:space="preserve"> For such days, the accuracy of the FI method is </w:t>
      </w:r>
      <w:r>
        <w:rPr>
          <w:lang w:val="en-GB"/>
        </w:rPr>
        <w:t>entir</w:t>
      </w:r>
      <w:r w:rsidR="00B13108" w:rsidRPr="004D2B9A">
        <w:rPr>
          <w:lang w:val="en-GB"/>
        </w:rPr>
        <w:t>ely sufficient for most practical applications.</w:t>
      </w:r>
    </w:p>
    <w:p w14:paraId="27C404C1" w14:textId="77777777" w:rsidR="00E77014" w:rsidRPr="004D2B9A" w:rsidRDefault="00E77014" w:rsidP="002328EC">
      <w:pPr>
        <w:rPr>
          <w:lang w:val="en-GB"/>
        </w:rPr>
      </w:pPr>
    </w:p>
    <w:p w14:paraId="79A6ED47" w14:textId="746CAB7E" w:rsidR="0072283A" w:rsidRPr="004D2B9A" w:rsidRDefault="008E3141" w:rsidP="008E3141">
      <w:pPr>
        <w:pStyle w:val="podpis"/>
        <w:jc w:val="center"/>
        <w:rPr>
          <w:lang w:val="en-GB"/>
        </w:rPr>
      </w:pPr>
      <w:r w:rsidRPr="004D2B9A">
        <w:rPr>
          <w:noProof/>
          <w:lang w:val="en-GB"/>
        </w:rPr>
        <w:drawing>
          <wp:inline distT="0" distB="0" distL="0" distR="0" wp14:anchorId="5A8A11F0" wp14:editId="797CDCAE">
            <wp:extent cx="5063882" cy="3960000"/>
            <wp:effectExtent l="0" t="0" r="381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63882" cy="3960000"/>
                    </a:xfrm>
                    <a:prstGeom prst="rect">
                      <a:avLst/>
                    </a:prstGeom>
                  </pic:spPr>
                </pic:pic>
              </a:graphicData>
            </a:graphic>
          </wp:inline>
        </w:drawing>
      </w:r>
    </w:p>
    <w:p w14:paraId="4BDDB090" w14:textId="5A87B464" w:rsidR="0072283A" w:rsidRPr="004D2B9A" w:rsidRDefault="00B13108" w:rsidP="004D2B9A">
      <w:pPr>
        <w:pStyle w:val="Rrys"/>
        <w:rPr>
          <w:lang w:val="en-GB"/>
        </w:rPr>
      </w:pPr>
      <w:r w:rsidRPr="004D2B9A">
        <w:rPr>
          <w:b/>
          <w:bCs/>
          <w:lang w:val="en-GB"/>
        </w:rPr>
        <w:t>Fig</w:t>
      </w:r>
      <w:r w:rsidR="16C0F36C" w:rsidRPr="004D2B9A">
        <w:rPr>
          <w:b/>
          <w:bCs/>
          <w:lang w:val="en-GB"/>
        </w:rPr>
        <w:t>.</w:t>
      </w:r>
      <w:r w:rsidR="00B96CCF" w:rsidRPr="004D2B9A">
        <w:rPr>
          <w:b/>
          <w:bCs/>
          <w:lang w:val="en-GB"/>
        </w:rPr>
        <w:t xml:space="preserve"> </w:t>
      </w:r>
      <w:r w:rsidR="0072283A" w:rsidRPr="004D2B9A">
        <w:rPr>
          <w:b/>
          <w:bCs/>
          <w:lang w:val="en-GB"/>
        </w:rPr>
        <w:t>2.</w:t>
      </w:r>
      <w:r w:rsidR="00B96CCF" w:rsidRPr="004D2B9A">
        <w:rPr>
          <w:lang w:val="en-GB"/>
        </w:rPr>
        <w:t xml:space="preserve"> </w:t>
      </w:r>
      <w:r w:rsidRPr="004D2B9A">
        <w:rPr>
          <w:lang w:val="en-GB"/>
        </w:rPr>
        <w:t xml:space="preserve">Day 3 </w:t>
      </w:r>
      <w:r w:rsidR="008C1AA3">
        <w:rPr>
          <w:lang w:val="en-GB"/>
        </w:rPr>
        <w:t>–</w:t>
      </w:r>
      <w:r w:rsidRPr="004D2B9A">
        <w:rPr>
          <w:lang w:val="en-GB"/>
        </w:rPr>
        <w:t xml:space="preserve"> the day with the lowest daily global radiation sum of the coldest month: January (middle of the cold season), </w:t>
      </w:r>
      <w:proofErr w:type="spellStart"/>
      <w:r w:rsidRPr="004D2B9A">
        <w:rPr>
          <w:lang w:val="en-GB"/>
        </w:rPr>
        <w:t>Suwałki</w:t>
      </w:r>
      <w:proofErr w:type="spellEnd"/>
      <w:r w:rsidR="00FA6C53" w:rsidRPr="004D2B9A">
        <w:rPr>
          <w:lang w:val="en-GB"/>
        </w:rPr>
        <w:t xml:space="preserve"> (</w:t>
      </w:r>
      <w:r w:rsidR="001A3678" w:rsidRPr="004D2B9A">
        <w:rPr>
          <w:rStyle w:val="rynqvb"/>
          <w:lang w:val="en-GB"/>
        </w:rPr>
        <w:t xml:space="preserve">symbols used: </w:t>
      </w:r>
      <w:proofErr w:type="spellStart"/>
      <w:r w:rsidR="001A3678" w:rsidRPr="004D2B9A">
        <w:rPr>
          <w:rStyle w:val="rynqvb"/>
          <w:lang w:val="en-GB"/>
        </w:rPr>
        <w:t>EU</w:t>
      </w:r>
      <w:r w:rsidR="008D7F9E">
        <w:rPr>
          <w:rStyle w:val="rynqvb"/>
          <w:lang w:val="en-GB"/>
        </w:rPr>
        <w:t>'</w:t>
      </w:r>
      <w:r w:rsidR="001A3678" w:rsidRPr="004D2B9A">
        <w:rPr>
          <w:rStyle w:val="rynqvb"/>
          <w:lang w:val="en-GB"/>
        </w:rPr>
        <w:t>m</w:t>
      </w:r>
      <w:proofErr w:type="spellEnd"/>
      <w:r w:rsidR="001A3678" w:rsidRPr="004D2B9A">
        <w:rPr>
          <w:rStyle w:val="rynqvb"/>
          <w:lang w:val="en-GB"/>
        </w:rPr>
        <w:t xml:space="preserve"> – energy used for heating the building calculated using EDSL TAS, </w:t>
      </w:r>
      <w:r w:rsidR="00602613">
        <w:rPr>
          <w:rStyle w:val="rynqvb"/>
          <w:lang w:val="en-GB"/>
        </w:rPr>
        <w:br/>
      </w:r>
      <w:r w:rsidR="001A3678" w:rsidRPr="004D2B9A">
        <w:rPr>
          <w:rStyle w:val="rynqvb"/>
          <w:lang w:val="en-GB"/>
        </w:rPr>
        <w:t>EU</w:t>
      </w:r>
      <w:r w:rsidR="008D7F9E">
        <w:rPr>
          <w:rStyle w:val="rynqvb"/>
          <w:lang w:val="en-GB"/>
        </w:rPr>
        <w:t>'</w:t>
      </w:r>
      <w:r w:rsidR="001A3678" w:rsidRPr="004D2B9A">
        <w:rPr>
          <w:rStyle w:val="rynqvb"/>
          <w:lang w:val="en-GB"/>
        </w:rPr>
        <w:t>FI – energy used for heating the building calculated using the FI method, El.</w:t>
      </w:r>
      <w:r w:rsidR="001A3678" w:rsidRPr="004D2B9A">
        <w:rPr>
          <w:rStyle w:val="hwtze"/>
          <w:lang w:val="en-GB"/>
        </w:rPr>
        <w:t xml:space="preserve"> </w:t>
      </w:r>
      <w:proofErr w:type="spellStart"/>
      <w:r w:rsidR="001A3678" w:rsidRPr="004D2B9A">
        <w:rPr>
          <w:rStyle w:val="rynqvb"/>
          <w:lang w:val="en-GB"/>
        </w:rPr>
        <w:t>en</w:t>
      </w:r>
      <w:proofErr w:type="spellEnd"/>
      <w:r w:rsidR="001A3678" w:rsidRPr="004D2B9A">
        <w:rPr>
          <w:rStyle w:val="rynqvb"/>
          <w:lang w:val="en-GB"/>
        </w:rPr>
        <w:t>.</w:t>
      </w:r>
      <w:r w:rsidR="001A3678" w:rsidRPr="004D2B9A">
        <w:rPr>
          <w:rStyle w:val="hwtze"/>
          <w:lang w:val="en-GB"/>
        </w:rPr>
        <w:t xml:space="preserve"> </w:t>
      </w:r>
      <w:r w:rsidR="001A3678" w:rsidRPr="004D2B9A">
        <w:rPr>
          <w:rStyle w:val="rynqvb"/>
          <w:lang w:val="en-GB"/>
        </w:rPr>
        <w:t>– electrical energy of the heat pump, Solar – global radiation</w:t>
      </w:r>
      <w:r w:rsidR="00FA6C53" w:rsidRPr="004D2B9A">
        <w:rPr>
          <w:lang w:val="en-GB"/>
        </w:rPr>
        <w:t>)</w:t>
      </w:r>
    </w:p>
    <w:p w14:paraId="0195F179" w14:textId="0E970510" w:rsidR="0072283A" w:rsidRPr="004D2B9A" w:rsidRDefault="0072283A" w:rsidP="0072283A">
      <w:pPr>
        <w:rPr>
          <w:lang w:val="en-GB"/>
        </w:rPr>
      </w:pPr>
    </w:p>
    <w:p w14:paraId="52A9E0D9" w14:textId="38C7C8DC" w:rsidR="00E77014" w:rsidRPr="004D2B9A" w:rsidRDefault="00CF489F" w:rsidP="0072283A">
      <w:pPr>
        <w:rPr>
          <w:lang w:val="en-GB"/>
        </w:rPr>
      </w:pPr>
      <w:r w:rsidRPr="004D2B9A">
        <w:rPr>
          <w:lang w:val="en-GB"/>
        </w:rPr>
        <w:t xml:space="preserve">The situation changes </w:t>
      </w:r>
      <w:r w:rsidR="008D7F9E">
        <w:rPr>
          <w:lang w:val="en-GB"/>
        </w:rPr>
        <w:t>on cold days, but with higher global radiation, such as on</w:t>
      </w:r>
      <w:r w:rsidRPr="004D2B9A">
        <w:rPr>
          <w:lang w:val="en-GB"/>
        </w:rPr>
        <w:t xml:space="preserve"> day 27. During all hours of the day, electricity consumption estimates using the FI method were overestimated. During hours when global solar radiation was 0 W/m², the average error in estimating electricity consumption was only 38 </w:t>
      </w:r>
      <w:proofErr w:type="spellStart"/>
      <w:r w:rsidRPr="004D2B9A">
        <w:rPr>
          <w:lang w:val="en-GB"/>
        </w:rPr>
        <w:t>Wh</w:t>
      </w:r>
      <w:proofErr w:type="spellEnd"/>
      <w:r w:rsidRPr="004D2B9A">
        <w:rPr>
          <w:lang w:val="en-GB"/>
        </w:rPr>
        <w:t xml:space="preserve">, but for sunny hours, the average error in this parameter increased to 289 </w:t>
      </w:r>
      <w:proofErr w:type="spellStart"/>
      <w:r w:rsidRPr="004D2B9A">
        <w:rPr>
          <w:lang w:val="en-GB"/>
        </w:rPr>
        <w:t>Wh</w:t>
      </w:r>
      <w:proofErr w:type="spellEnd"/>
      <w:r w:rsidRPr="004D2B9A">
        <w:rPr>
          <w:lang w:val="en-GB"/>
        </w:rPr>
        <w:t xml:space="preserve">, with a maximum difference of 451 </w:t>
      </w:r>
      <w:proofErr w:type="spellStart"/>
      <w:r w:rsidRPr="004D2B9A">
        <w:rPr>
          <w:lang w:val="en-GB"/>
        </w:rPr>
        <w:t>Wh</w:t>
      </w:r>
      <w:proofErr w:type="spellEnd"/>
      <w:r w:rsidRPr="004D2B9A">
        <w:rPr>
          <w:lang w:val="en-GB"/>
        </w:rPr>
        <w:t xml:space="preserve"> (results presented in Fig. 3). This example clearly illustrates that the FI method does not account for the reduced energy demand for heating system resulting from solar heat gains. In studies requiring accurate hourly data, applying the FI method </w:t>
      </w:r>
      <w:r w:rsidR="008D7F9E">
        <w:rPr>
          <w:lang w:val="en-GB"/>
        </w:rPr>
        <w:t>to sunny hours during</w:t>
      </w:r>
      <w:r w:rsidRPr="004D2B9A">
        <w:rPr>
          <w:lang w:val="en-GB"/>
        </w:rPr>
        <w:t xml:space="preserve"> winter months may prove insufficient.</w:t>
      </w:r>
    </w:p>
    <w:p w14:paraId="49CCAB8A" w14:textId="1E5C33FB" w:rsidR="0072283A" w:rsidRPr="004D2B9A" w:rsidRDefault="008E3141" w:rsidP="008E3141">
      <w:pPr>
        <w:pStyle w:val="podpis"/>
        <w:jc w:val="center"/>
        <w:rPr>
          <w:lang w:val="en-GB"/>
        </w:rPr>
      </w:pPr>
      <w:r w:rsidRPr="004D2B9A">
        <w:rPr>
          <w:noProof/>
          <w:lang w:val="en-GB"/>
        </w:rPr>
        <w:lastRenderedPageBreak/>
        <w:drawing>
          <wp:inline distT="0" distB="0" distL="0" distR="0" wp14:anchorId="5242E825" wp14:editId="27928330">
            <wp:extent cx="5061196" cy="3960000"/>
            <wp:effectExtent l="0" t="0" r="6350" b="254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61196" cy="3960000"/>
                    </a:xfrm>
                    <a:prstGeom prst="rect">
                      <a:avLst/>
                    </a:prstGeom>
                  </pic:spPr>
                </pic:pic>
              </a:graphicData>
            </a:graphic>
          </wp:inline>
        </w:drawing>
      </w:r>
    </w:p>
    <w:p w14:paraId="346EA9F5" w14:textId="23203D3E" w:rsidR="0072283A" w:rsidRPr="004D2B9A" w:rsidRDefault="00B13108" w:rsidP="004D2B9A">
      <w:pPr>
        <w:pStyle w:val="Rrys"/>
        <w:rPr>
          <w:lang w:val="en-GB"/>
        </w:rPr>
      </w:pPr>
      <w:r w:rsidRPr="004D2B9A">
        <w:rPr>
          <w:b/>
          <w:bCs/>
          <w:lang w:val="en-GB"/>
        </w:rPr>
        <w:t>Fig. 3</w:t>
      </w:r>
      <w:r w:rsidR="0072283A" w:rsidRPr="004D2B9A">
        <w:rPr>
          <w:b/>
          <w:bCs/>
          <w:lang w:val="en-GB"/>
        </w:rPr>
        <w:t>.</w:t>
      </w:r>
      <w:r w:rsidR="00B96CCF" w:rsidRPr="004D2B9A">
        <w:rPr>
          <w:lang w:val="en-GB"/>
        </w:rPr>
        <w:t xml:space="preserve"> </w:t>
      </w:r>
      <w:r w:rsidRPr="004D2B9A">
        <w:rPr>
          <w:lang w:val="en-GB"/>
        </w:rPr>
        <w:t xml:space="preserve">Day 27 </w:t>
      </w:r>
      <w:r w:rsidR="008C1AA3">
        <w:rPr>
          <w:lang w:val="en-GB"/>
        </w:rPr>
        <w:t>–</w:t>
      </w:r>
      <w:r w:rsidRPr="004D2B9A">
        <w:rPr>
          <w:lang w:val="en-GB"/>
        </w:rPr>
        <w:t xml:space="preserve"> the day with the highest daily global radiation sum of the coldest month: January (middle of the cold season), </w:t>
      </w:r>
      <w:proofErr w:type="spellStart"/>
      <w:r w:rsidRPr="004D2B9A">
        <w:rPr>
          <w:lang w:val="en-GB"/>
        </w:rPr>
        <w:t>Suwałki</w:t>
      </w:r>
      <w:proofErr w:type="spellEnd"/>
      <w:r w:rsidR="001A3678" w:rsidRPr="004D2B9A">
        <w:rPr>
          <w:lang w:val="en-GB"/>
        </w:rPr>
        <w:t xml:space="preserve"> (</w:t>
      </w:r>
      <w:r w:rsidR="001A3678" w:rsidRPr="004D2B9A">
        <w:rPr>
          <w:rStyle w:val="rynqvb"/>
          <w:lang w:val="en-GB"/>
        </w:rPr>
        <w:t xml:space="preserve">symbols used: </w:t>
      </w:r>
      <w:proofErr w:type="spellStart"/>
      <w:r w:rsidR="001A3678" w:rsidRPr="004D2B9A">
        <w:rPr>
          <w:rStyle w:val="rynqvb"/>
          <w:lang w:val="en-GB"/>
        </w:rPr>
        <w:t>EU</w:t>
      </w:r>
      <w:r w:rsidR="008D7F9E">
        <w:rPr>
          <w:rStyle w:val="rynqvb"/>
          <w:lang w:val="en-GB"/>
        </w:rPr>
        <w:t>'</w:t>
      </w:r>
      <w:r w:rsidR="001A3678" w:rsidRPr="004D2B9A">
        <w:rPr>
          <w:rStyle w:val="rynqvb"/>
          <w:lang w:val="en-GB"/>
        </w:rPr>
        <w:t>m</w:t>
      </w:r>
      <w:proofErr w:type="spellEnd"/>
      <w:r w:rsidR="001A3678" w:rsidRPr="004D2B9A">
        <w:rPr>
          <w:rStyle w:val="rynqvb"/>
          <w:lang w:val="en-GB"/>
        </w:rPr>
        <w:t xml:space="preserve"> – energy used for heating the building calculated using EDSL TAS, </w:t>
      </w:r>
      <w:r w:rsidR="00602613">
        <w:rPr>
          <w:rStyle w:val="rynqvb"/>
          <w:lang w:val="en-GB"/>
        </w:rPr>
        <w:br/>
      </w:r>
      <w:r w:rsidR="001A3678" w:rsidRPr="004D2B9A">
        <w:rPr>
          <w:rStyle w:val="rynqvb"/>
          <w:lang w:val="en-GB"/>
        </w:rPr>
        <w:t>EU</w:t>
      </w:r>
      <w:r w:rsidR="008D7F9E">
        <w:rPr>
          <w:rStyle w:val="rynqvb"/>
          <w:lang w:val="en-GB"/>
        </w:rPr>
        <w:t>'</w:t>
      </w:r>
      <w:r w:rsidR="001A3678" w:rsidRPr="004D2B9A">
        <w:rPr>
          <w:rStyle w:val="rynqvb"/>
          <w:lang w:val="en-GB"/>
        </w:rPr>
        <w:t>FI – energy used for heating the building calculated using the FI method, El.</w:t>
      </w:r>
      <w:r w:rsidR="001A3678" w:rsidRPr="004D2B9A">
        <w:rPr>
          <w:rStyle w:val="hwtze"/>
          <w:lang w:val="en-GB"/>
        </w:rPr>
        <w:t xml:space="preserve"> </w:t>
      </w:r>
      <w:proofErr w:type="spellStart"/>
      <w:r w:rsidR="001A3678" w:rsidRPr="004D2B9A">
        <w:rPr>
          <w:rStyle w:val="rynqvb"/>
          <w:lang w:val="en-GB"/>
        </w:rPr>
        <w:t>en</w:t>
      </w:r>
      <w:proofErr w:type="spellEnd"/>
      <w:r w:rsidR="001A3678" w:rsidRPr="004D2B9A">
        <w:rPr>
          <w:rStyle w:val="rynqvb"/>
          <w:lang w:val="en-GB"/>
        </w:rPr>
        <w:t>.</w:t>
      </w:r>
      <w:r w:rsidR="001A3678" w:rsidRPr="004D2B9A">
        <w:rPr>
          <w:rStyle w:val="hwtze"/>
          <w:lang w:val="en-GB"/>
        </w:rPr>
        <w:t xml:space="preserve"> </w:t>
      </w:r>
      <w:r w:rsidR="001A3678" w:rsidRPr="004D2B9A">
        <w:rPr>
          <w:rStyle w:val="rynqvb"/>
          <w:lang w:val="en-GB"/>
        </w:rPr>
        <w:t>– electrical energy of the heat pump, Solar – global radiation</w:t>
      </w:r>
      <w:r w:rsidR="001A3678" w:rsidRPr="004D2B9A">
        <w:rPr>
          <w:lang w:val="en-GB"/>
        </w:rPr>
        <w:t>)</w:t>
      </w:r>
    </w:p>
    <w:p w14:paraId="0087B997" w14:textId="0620767A" w:rsidR="0072283A" w:rsidRPr="004D2B9A" w:rsidRDefault="0072283A" w:rsidP="0072283A">
      <w:pPr>
        <w:rPr>
          <w:lang w:val="en-GB"/>
        </w:rPr>
      </w:pPr>
    </w:p>
    <w:p w14:paraId="3D32F3A6" w14:textId="6D71FBBD" w:rsidR="00D0646D" w:rsidRDefault="5B01E89D" w:rsidP="0072283A">
      <w:pPr>
        <w:rPr>
          <w:lang w:val="en-GB"/>
        </w:rPr>
      </w:pPr>
      <w:r w:rsidRPr="004D2B9A">
        <w:rPr>
          <w:lang w:val="en-GB"/>
        </w:rPr>
        <w:t xml:space="preserve">Based on the analysis of data obtained for </w:t>
      </w:r>
      <w:proofErr w:type="spellStart"/>
      <w:r w:rsidRPr="004D2B9A">
        <w:rPr>
          <w:lang w:val="en-GB"/>
        </w:rPr>
        <w:t>Wrocław</w:t>
      </w:r>
      <w:proofErr w:type="spellEnd"/>
      <w:r w:rsidRPr="004D2B9A">
        <w:rPr>
          <w:lang w:val="en-GB"/>
        </w:rPr>
        <w:t xml:space="preserve"> on day 110, the day with the highest average daily outdoor air temperature of the cold season among all locations studied and the highest daily global radiation sum in April, another shortcoming of the FI method estimates was highlighted.</w:t>
      </w:r>
      <w:r w:rsidR="005211E2" w:rsidRPr="004D2B9A">
        <w:rPr>
          <w:lang w:val="en-GB"/>
        </w:rPr>
        <w:t xml:space="preserve"> During very sunny hours of the day, no significant decrease in electricity consumption was observed (Fig. 4), as was the case on most sunny but cooler days. Only detailed results for individual rooms allowed </w:t>
      </w:r>
      <w:r w:rsidR="008D7F9E">
        <w:rPr>
          <w:lang w:val="en-GB"/>
        </w:rPr>
        <w:t xml:space="preserve">us </w:t>
      </w:r>
      <w:r w:rsidR="005211E2" w:rsidRPr="004D2B9A">
        <w:rPr>
          <w:lang w:val="en-GB"/>
        </w:rPr>
        <w:t>to understand the mechanism of this phenomenon.</w:t>
      </w:r>
      <w:r w:rsidRPr="004D2B9A">
        <w:rPr>
          <w:lang w:val="en-GB"/>
        </w:rPr>
        <w:t xml:space="preserve"> Only in rooms without windows (both corridors) and in bathrooms with north-facing windows</w:t>
      </w:r>
      <w:r w:rsidR="008D7F9E">
        <w:rPr>
          <w:lang w:val="en-GB"/>
        </w:rPr>
        <w:t xml:space="preserve"> was heating</w:t>
      </w:r>
      <w:r w:rsidRPr="004D2B9A">
        <w:rPr>
          <w:lang w:val="en-GB"/>
        </w:rPr>
        <w:t xml:space="preserve"> required. The heat demand in the remaining rooms was fully satisfied by solar heat gains; the excess gains only </w:t>
      </w:r>
      <w:r w:rsidR="008D7F9E">
        <w:rPr>
          <w:lang w:val="en-GB"/>
        </w:rPr>
        <w:t>increased indoor air temperature in these rooms (without a direct impact on overall heating electricity consumption</w:t>
      </w:r>
      <w:r w:rsidRPr="004D2B9A">
        <w:rPr>
          <w:lang w:val="en-GB"/>
        </w:rPr>
        <w:t>)</w:t>
      </w:r>
      <w:r w:rsidR="005211E2" w:rsidRPr="004D2B9A">
        <w:rPr>
          <w:lang w:val="en-GB"/>
        </w:rPr>
        <w:t xml:space="preserve">. The lack of </w:t>
      </w:r>
      <w:r w:rsidR="008D7F9E">
        <w:rPr>
          <w:lang w:val="en-GB"/>
        </w:rPr>
        <w:t>need to heat several rooms contributed to a reduction in the building's electricity demand</w:t>
      </w:r>
      <w:r w:rsidR="005211E2" w:rsidRPr="004D2B9A">
        <w:rPr>
          <w:lang w:val="en-GB"/>
        </w:rPr>
        <w:t>.</w:t>
      </w:r>
      <w:r w:rsidRPr="004D2B9A">
        <w:rPr>
          <w:lang w:val="en-GB"/>
        </w:rPr>
        <w:t xml:space="preserve"> This phenomenon is not accounted for in the FI method estimates</w:t>
      </w:r>
      <w:r w:rsidR="008D7F9E">
        <w:rPr>
          <w:lang w:val="en-GB"/>
        </w:rPr>
        <w:t>;</w:t>
      </w:r>
      <w:r w:rsidRPr="004D2B9A">
        <w:rPr>
          <w:lang w:val="en-GB"/>
        </w:rPr>
        <w:t xml:space="preserve"> therefore, all estimated hourly values for th</w:t>
      </w:r>
      <w:r w:rsidR="008D7F9E">
        <w:rPr>
          <w:lang w:val="en-GB"/>
        </w:rPr>
        <w:t>ese 24 hours</w:t>
      </w:r>
      <w:r w:rsidRPr="004D2B9A">
        <w:rPr>
          <w:lang w:val="en-GB"/>
        </w:rPr>
        <w:t xml:space="preserve"> were overestimated.</w:t>
      </w:r>
      <w:r w:rsidR="005211E2" w:rsidRPr="004D2B9A">
        <w:rPr>
          <w:lang w:val="en-GB"/>
        </w:rPr>
        <w:t xml:space="preserve"> Because the observed phenomenon occurs only during the warmer days of the cold season, </w:t>
      </w:r>
      <w:r w:rsidR="008D7F9E">
        <w:rPr>
          <w:lang w:val="en-GB"/>
        </w:rPr>
        <w:t>when building heating energy demand is relatively low, the associated error is</w:t>
      </w:r>
      <w:r w:rsidR="005211E2" w:rsidRPr="004D2B9A">
        <w:rPr>
          <w:lang w:val="en-GB"/>
        </w:rPr>
        <w:t xml:space="preserve"> small.</w:t>
      </w:r>
      <w:r w:rsidRPr="004D2B9A">
        <w:rPr>
          <w:lang w:val="en-GB"/>
        </w:rPr>
        <w:t xml:space="preserve"> For the 24</w:t>
      </w:r>
      <w:r w:rsidR="008D7F9E">
        <w:rPr>
          <w:lang w:val="en-GB"/>
        </w:rPr>
        <w:t xml:space="preserve"> hours</w:t>
      </w:r>
      <w:r w:rsidRPr="004D2B9A">
        <w:rPr>
          <w:lang w:val="en-GB"/>
        </w:rPr>
        <w:t xml:space="preserve"> analysed, the average daily error was only 69 Wh. In addition, attention was paid to the first 4 hours of the 24</w:t>
      </w:r>
      <w:r w:rsidR="008D7F9E">
        <w:rPr>
          <w:lang w:val="en-GB"/>
        </w:rPr>
        <w:t xml:space="preserve"> hours</w:t>
      </w:r>
      <w:r w:rsidRPr="004D2B9A">
        <w:rPr>
          <w:lang w:val="en-GB"/>
        </w:rPr>
        <w:t xml:space="preserve"> analysed.</w:t>
      </w:r>
      <w:r w:rsidR="005211E2" w:rsidRPr="004D2B9A">
        <w:rPr>
          <w:lang w:val="en-GB"/>
        </w:rPr>
        <w:t xml:space="preserve"> During these hours, the central heating system for the entire building was turned off; </w:t>
      </w:r>
      <w:r w:rsidR="008D7F9E">
        <w:rPr>
          <w:lang w:val="en-GB"/>
        </w:rPr>
        <w:t>since it was outside the cold season, the graph shows zero energy consumption</w:t>
      </w:r>
      <w:r w:rsidR="005211E2" w:rsidRPr="004D2B9A">
        <w:rPr>
          <w:lang w:val="en-GB"/>
        </w:rPr>
        <w:t>.</w:t>
      </w:r>
    </w:p>
    <w:p w14:paraId="71B5FAA9" w14:textId="6C7E216D" w:rsidR="0021376F" w:rsidRPr="004D2B9A" w:rsidRDefault="0021376F" w:rsidP="0021376F">
      <w:pPr>
        <w:rPr>
          <w:lang w:val="en-GB"/>
        </w:rPr>
      </w:pPr>
      <w:r w:rsidRPr="004D2B9A">
        <w:rPr>
          <w:lang w:val="en-GB"/>
        </w:rPr>
        <w:t>The impact of the phenomena described above on the accuracy of the FI method</w:t>
      </w:r>
      <w:r w:rsidR="008D7F9E">
        <w:rPr>
          <w:lang w:val="en-GB"/>
        </w:rPr>
        <w:t>'s estimations for calculating the heating system's electricity demand for the analysed building is presented in Fig. 5, using</w:t>
      </w:r>
      <w:r w:rsidRPr="004D2B9A">
        <w:rPr>
          <w:lang w:val="en-GB"/>
        </w:rPr>
        <w:t xml:space="preserve"> results for </w:t>
      </w:r>
      <w:proofErr w:type="spellStart"/>
      <w:r w:rsidRPr="004D2B9A">
        <w:rPr>
          <w:lang w:val="en-GB"/>
        </w:rPr>
        <w:t>Wrocław</w:t>
      </w:r>
      <w:proofErr w:type="spellEnd"/>
      <w:r w:rsidRPr="004D2B9A">
        <w:rPr>
          <w:lang w:val="en-GB"/>
        </w:rPr>
        <w:t xml:space="preserve"> (the largest difference in the annual results) as an example. The graph summarises the differences between the accurate results obtained directly from the EDSL TAS data and the values estimated using the FI method. Positive error values correspond to hours when the FI method </w:t>
      </w:r>
      <w:r w:rsidR="008D7F9E">
        <w:rPr>
          <w:lang w:val="en-GB"/>
        </w:rPr>
        <w:t>underestimated the result</w:t>
      </w:r>
      <w:r w:rsidRPr="004D2B9A">
        <w:rPr>
          <w:lang w:val="en-GB"/>
        </w:rPr>
        <w:t>.</w:t>
      </w:r>
    </w:p>
    <w:p w14:paraId="553CA4C3" w14:textId="77777777" w:rsidR="0021376F" w:rsidRPr="004D2B9A" w:rsidRDefault="0021376F" w:rsidP="0072283A">
      <w:pPr>
        <w:rPr>
          <w:lang w:val="en-GB"/>
        </w:rPr>
      </w:pPr>
    </w:p>
    <w:p w14:paraId="40686E0D" w14:textId="5E9C8C34" w:rsidR="00AC7CB0" w:rsidRPr="004D2B9A" w:rsidRDefault="008E3141" w:rsidP="008E3141">
      <w:pPr>
        <w:pStyle w:val="podpis"/>
        <w:jc w:val="center"/>
        <w:rPr>
          <w:lang w:val="en-GB"/>
        </w:rPr>
      </w:pPr>
      <w:r w:rsidRPr="004D2B9A">
        <w:rPr>
          <w:noProof/>
          <w:lang w:val="en-GB"/>
        </w:rPr>
        <w:lastRenderedPageBreak/>
        <w:drawing>
          <wp:inline distT="0" distB="0" distL="0" distR="0" wp14:anchorId="36BBA24C" wp14:editId="5FFA0F4B">
            <wp:extent cx="5054493" cy="3960000"/>
            <wp:effectExtent l="0" t="0" r="0" b="254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54493" cy="3960000"/>
                    </a:xfrm>
                    <a:prstGeom prst="rect">
                      <a:avLst/>
                    </a:prstGeom>
                  </pic:spPr>
                </pic:pic>
              </a:graphicData>
            </a:graphic>
          </wp:inline>
        </w:drawing>
      </w:r>
    </w:p>
    <w:p w14:paraId="76079FC9" w14:textId="6DEF94E5" w:rsidR="0072283A" w:rsidRPr="004D2B9A" w:rsidRDefault="00B13108" w:rsidP="004D2B9A">
      <w:pPr>
        <w:pStyle w:val="Rrys"/>
        <w:rPr>
          <w:lang w:val="en-GB"/>
        </w:rPr>
      </w:pPr>
      <w:r w:rsidRPr="004D2B9A">
        <w:rPr>
          <w:b/>
          <w:bCs/>
          <w:lang w:val="en-GB"/>
        </w:rPr>
        <w:t>Fig. 4</w:t>
      </w:r>
      <w:r w:rsidR="0072283A" w:rsidRPr="004D2B9A">
        <w:rPr>
          <w:b/>
          <w:bCs/>
          <w:lang w:val="en-GB"/>
        </w:rPr>
        <w:t>.</w:t>
      </w:r>
      <w:r w:rsidR="00B96CCF" w:rsidRPr="004D2B9A">
        <w:rPr>
          <w:lang w:val="en-GB"/>
        </w:rPr>
        <w:t xml:space="preserve"> </w:t>
      </w:r>
      <w:r w:rsidR="00CF489F" w:rsidRPr="004D2B9A">
        <w:rPr>
          <w:rStyle w:val="rynqvb"/>
          <w:lang w:val="en-GB"/>
        </w:rPr>
        <w:t xml:space="preserve">Day 110 </w:t>
      </w:r>
      <w:r w:rsidR="00CF489F" w:rsidRPr="004D2B9A">
        <w:rPr>
          <w:lang w:val="en-GB"/>
        </w:rPr>
        <w:t xml:space="preserve">– the day </w:t>
      </w:r>
      <w:r w:rsidR="00CF489F" w:rsidRPr="004D2B9A">
        <w:rPr>
          <w:rStyle w:val="rynqvb"/>
          <w:lang w:val="en-GB"/>
        </w:rPr>
        <w:t xml:space="preserve">with the highest daily global radiation sum in April (end of the cold season) </w:t>
      </w:r>
      <w:proofErr w:type="spellStart"/>
      <w:r w:rsidR="00CF489F" w:rsidRPr="004D2B9A">
        <w:rPr>
          <w:rStyle w:val="rynqvb"/>
          <w:lang w:val="en-GB"/>
        </w:rPr>
        <w:t>Wrocław</w:t>
      </w:r>
      <w:proofErr w:type="spellEnd"/>
      <w:r w:rsidR="001A3678" w:rsidRPr="004D2B9A">
        <w:rPr>
          <w:rStyle w:val="rynqvb"/>
          <w:lang w:val="en-GB"/>
        </w:rPr>
        <w:t xml:space="preserve"> </w:t>
      </w:r>
      <w:r w:rsidR="001A3678" w:rsidRPr="004D2B9A">
        <w:rPr>
          <w:lang w:val="en-GB"/>
        </w:rPr>
        <w:t>(</w:t>
      </w:r>
      <w:r w:rsidR="001A3678" w:rsidRPr="004D2B9A">
        <w:rPr>
          <w:rStyle w:val="rynqvb"/>
          <w:lang w:val="en-GB"/>
        </w:rPr>
        <w:t xml:space="preserve">symbols used: </w:t>
      </w:r>
      <w:proofErr w:type="spellStart"/>
      <w:r w:rsidR="001A3678" w:rsidRPr="004D2B9A">
        <w:rPr>
          <w:rStyle w:val="rynqvb"/>
          <w:lang w:val="en-GB"/>
        </w:rPr>
        <w:t>EU</w:t>
      </w:r>
      <w:r w:rsidR="008D7F9E">
        <w:rPr>
          <w:rStyle w:val="rynqvb"/>
          <w:lang w:val="en-GB"/>
        </w:rPr>
        <w:t>'</w:t>
      </w:r>
      <w:r w:rsidR="001A3678" w:rsidRPr="004D2B9A">
        <w:rPr>
          <w:rStyle w:val="rynqvb"/>
          <w:lang w:val="en-GB"/>
        </w:rPr>
        <w:t>m</w:t>
      </w:r>
      <w:proofErr w:type="spellEnd"/>
      <w:r w:rsidR="001A3678" w:rsidRPr="004D2B9A">
        <w:rPr>
          <w:rStyle w:val="rynqvb"/>
          <w:lang w:val="en-GB"/>
        </w:rPr>
        <w:t xml:space="preserve"> – energy used for heating the building calculated using EDSL TAS, EU</w:t>
      </w:r>
      <w:r w:rsidR="008D7F9E">
        <w:rPr>
          <w:rStyle w:val="rynqvb"/>
          <w:lang w:val="en-GB"/>
        </w:rPr>
        <w:t>'</w:t>
      </w:r>
      <w:r w:rsidR="001A3678" w:rsidRPr="004D2B9A">
        <w:rPr>
          <w:rStyle w:val="rynqvb"/>
          <w:lang w:val="en-GB"/>
        </w:rPr>
        <w:t>FI – energy used for heating the building calculated using the FI method, El.</w:t>
      </w:r>
      <w:r w:rsidR="001A3678" w:rsidRPr="004D2B9A">
        <w:rPr>
          <w:rStyle w:val="hwtze"/>
          <w:lang w:val="en-GB"/>
        </w:rPr>
        <w:t xml:space="preserve"> </w:t>
      </w:r>
      <w:proofErr w:type="spellStart"/>
      <w:r w:rsidR="001A3678" w:rsidRPr="004D2B9A">
        <w:rPr>
          <w:rStyle w:val="rynqvb"/>
          <w:lang w:val="en-GB"/>
        </w:rPr>
        <w:t>en</w:t>
      </w:r>
      <w:proofErr w:type="spellEnd"/>
      <w:r w:rsidR="001A3678" w:rsidRPr="004D2B9A">
        <w:rPr>
          <w:rStyle w:val="rynqvb"/>
          <w:lang w:val="en-GB"/>
        </w:rPr>
        <w:t>.</w:t>
      </w:r>
      <w:r w:rsidR="001A3678" w:rsidRPr="004D2B9A">
        <w:rPr>
          <w:rStyle w:val="hwtze"/>
          <w:lang w:val="en-GB"/>
        </w:rPr>
        <w:t xml:space="preserve"> </w:t>
      </w:r>
      <w:r w:rsidR="001A3678" w:rsidRPr="004D2B9A">
        <w:rPr>
          <w:rStyle w:val="rynqvb"/>
          <w:lang w:val="en-GB"/>
        </w:rPr>
        <w:t>– electrical energy of the heat pump, Solar – global radiation</w:t>
      </w:r>
      <w:r w:rsidR="001A3678" w:rsidRPr="004D2B9A">
        <w:rPr>
          <w:lang w:val="en-GB"/>
        </w:rPr>
        <w:t>)</w:t>
      </w:r>
    </w:p>
    <w:p w14:paraId="5E35207B" w14:textId="372BEFDE" w:rsidR="00EE29CF" w:rsidRPr="004D2B9A" w:rsidRDefault="00EE29CF" w:rsidP="0072283A">
      <w:pPr>
        <w:rPr>
          <w:lang w:val="en-GB"/>
        </w:rPr>
      </w:pPr>
    </w:p>
    <w:p w14:paraId="7827A87D" w14:textId="2D34C6B1" w:rsidR="00EE29CF" w:rsidRPr="004D2B9A" w:rsidRDefault="008E3141" w:rsidP="00EE29CF">
      <w:pPr>
        <w:jc w:val="center"/>
        <w:rPr>
          <w:lang w:val="en-GB"/>
        </w:rPr>
      </w:pPr>
      <w:r w:rsidRPr="004D2B9A">
        <w:rPr>
          <w:noProof/>
          <w:lang w:val="en-GB"/>
        </w:rPr>
        <w:drawing>
          <wp:inline distT="0" distB="0" distL="0" distR="0" wp14:anchorId="5CB7369C" wp14:editId="517D6FDF">
            <wp:extent cx="4360388" cy="3960000"/>
            <wp:effectExtent l="0" t="0" r="2540" b="254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60388" cy="3960000"/>
                    </a:xfrm>
                    <a:prstGeom prst="rect">
                      <a:avLst/>
                    </a:prstGeom>
                  </pic:spPr>
                </pic:pic>
              </a:graphicData>
            </a:graphic>
          </wp:inline>
        </w:drawing>
      </w:r>
    </w:p>
    <w:p w14:paraId="2477C962" w14:textId="5C26FCF7" w:rsidR="00EE29CF" w:rsidRPr="004D2B9A" w:rsidRDefault="5B01E89D" w:rsidP="004D2B9A">
      <w:pPr>
        <w:pStyle w:val="Rrys"/>
        <w:rPr>
          <w:rStyle w:val="rynqvb"/>
          <w:lang w:val="en-GB"/>
        </w:rPr>
      </w:pPr>
      <w:r w:rsidRPr="004D2B9A">
        <w:rPr>
          <w:rStyle w:val="rynqvb"/>
          <w:b/>
          <w:bCs/>
          <w:lang w:val="en-GB"/>
        </w:rPr>
        <w:t>Fig. 5.</w:t>
      </w:r>
      <w:r w:rsidRPr="004D2B9A">
        <w:rPr>
          <w:rStyle w:val="rynqvb"/>
          <w:lang w:val="en-GB"/>
        </w:rPr>
        <w:t xml:space="preserve"> Summary of the hourly differences between the electricity consumption for heating the building calculated based on the EDSL TAS values and those estimated using the FI method for </w:t>
      </w:r>
      <w:proofErr w:type="spellStart"/>
      <w:r w:rsidRPr="004D2B9A">
        <w:rPr>
          <w:rStyle w:val="rynqvb"/>
          <w:lang w:val="en-GB"/>
        </w:rPr>
        <w:t>Wrocław</w:t>
      </w:r>
      <w:proofErr w:type="spellEnd"/>
    </w:p>
    <w:p w14:paraId="506C95CA" w14:textId="1B6FED28" w:rsidR="00C7123A" w:rsidRPr="004D2B9A" w:rsidRDefault="5B01E89D" w:rsidP="0072283A">
      <w:pPr>
        <w:rPr>
          <w:lang w:val="en-GB"/>
        </w:rPr>
      </w:pPr>
      <w:r w:rsidRPr="004D2B9A">
        <w:rPr>
          <w:lang w:val="en-GB"/>
        </w:rPr>
        <w:lastRenderedPageBreak/>
        <w:t xml:space="preserve">Consistent with previous results, </w:t>
      </w:r>
      <w:r w:rsidR="008D7F9E">
        <w:rPr>
          <w:lang w:val="en-GB"/>
        </w:rPr>
        <w:t>the arithmetic averages of the errors determined were close to zero for all months</w:t>
      </w:r>
      <w:r w:rsidRPr="004D2B9A">
        <w:rPr>
          <w:lang w:val="en-GB"/>
        </w:rPr>
        <w:t>.</w:t>
      </w:r>
      <w:r w:rsidR="009C51CA" w:rsidRPr="004D2B9A">
        <w:rPr>
          <w:lang w:val="en-GB"/>
        </w:rPr>
        <w:t xml:space="preserve"> </w:t>
      </w:r>
      <w:r w:rsidR="008D7F9E">
        <w:rPr>
          <w:lang w:val="en-GB"/>
        </w:rPr>
        <w:t>In colder months, a significant portion of the estimated results were slightly underestimated, while overestimated hours with relatively greater global radiation were less frequent, a result of the FI method not accounting for</w:t>
      </w:r>
      <w:r w:rsidR="009C51CA" w:rsidRPr="004D2B9A">
        <w:rPr>
          <w:lang w:val="en-GB"/>
        </w:rPr>
        <w:t xml:space="preserve"> solar heat gains.</w:t>
      </w:r>
      <w:r w:rsidRPr="004D2B9A">
        <w:rPr>
          <w:lang w:val="en-GB"/>
        </w:rPr>
        <w:t xml:space="preserve"> In warmer months, most </w:t>
      </w:r>
      <w:r w:rsidR="008D7F9E">
        <w:rPr>
          <w:lang w:val="en-GB"/>
        </w:rPr>
        <w:t xml:space="preserve">results were more uniform, with medians of 0 </w:t>
      </w:r>
      <w:proofErr w:type="spellStart"/>
      <w:r w:rsidR="008D7F9E">
        <w:rPr>
          <w:lang w:val="en-GB"/>
        </w:rPr>
        <w:t>Wh</w:t>
      </w:r>
      <w:proofErr w:type="spellEnd"/>
      <w:r w:rsidR="008D7F9E">
        <w:rPr>
          <w:lang w:val="en-GB"/>
        </w:rPr>
        <w:t xml:space="preserve"> in</w:t>
      </w:r>
      <w:r w:rsidR="00602613">
        <w:rPr>
          <w:lang w:val="en-GB"/>
        </w:rPr>
        <w:t> </w:t>
      </w:r>
      <w:r w:rsidR="008D7F9E">
        <w:rPr>
          <w:lang w:val="en-GB"/>
        </w:rPr>
        <w:t>April and October</w:t>
      </w:r>
      <w:r w:rsidRPr="004D2B9A">
        <w:rPr>
          <w:lang w:val="en-GB"/>
        </w:rPr>
        <w:t>.</w:t>
      </w:r>
      <w:r w:rsidR="009C51CA" w:rsidRPr="004D2B9A">
        <w:rPr>
          <w:lang w:val="en-GB"/>
        </w:rPr>
        <w:t xml:space="preserve"> The occurrence of extreme values (underestimated results) in these months was related, among other things, to the fact that the estimates did not </w:t>
      </w:r>
      <w:r w:rsidR="008D7F9E">
        <w:rPr>
          <w:lang w:val="en-GB"/>
        </w:rPr>
        <w:t>account for the lack of need to heat certain</w:t>
      </w:r>
      <w:r w:rsidR="009C51CA" w:rsidRPr="004D2B9A">
        <w:rPr>
          <w:lang w:val="en-GB"/>
        </w:rPr>
        <w:t xml:space="preserve"> rooms in the building. The data compilation confirmed the earlier observations.</w:t>
      </w:r>
    </w:p>
    <w:p w14:paraId="0A43FDD4" w14:textId="09BF714F" w:rsidR="00301C3B" w:rsidRPr="004D2B9A" w:rsidRDefault="002E6DA8" w:rsidP="004D2B9A">
      <w:pPr>
        <w:pStyle w:val="Rn1"/>
        <w:rPr>
          <w:lang w:val="en-GB"/>
        </w:rPr>
      </w:pPr>
      <w:r w:rsidRPr="004D2B9A">
        <w:rPr>
          <w:lang w:val="en-GB"/>
        </w:rPr>
        <w:t xml:space="preserve">4. </w:t>
      </w:r>
      <w:r w:rsidR="00B13108" w:rsidRPr="004D2B9A">
        <w:rPr>
          <w:lang w:val="en-GB"/>
        </w:rPr>
        <w:t>Summ</w:t>
      </w:r>
      <w:r w:rsidR="008D7F9E">
        <w:rPr>
          <w:lang w:val="en-GB"/>
        </w:rPr>
        <w:t>a</w:t>
      </w:r>
      <w:r w:rsidR="00B13108" w:rsidRPr="004D2B9A">
        <w:rPr>
          <w:lang w:val="en-GB"/>
        </w:rPr>
        <w:t>ry</w:t>
      </w:r>
    </w:p>
    <w:p w14:paraId="72A0F341" w14:textId="7BE56CC6" w:rsidR="000E11D1" w:rsidRPr="004D2B9A" w:rsidRDefault="5B01E89D" w:rsidP="002328EC">
      <w:pPr>
        <w:rPr>
          <w:lang w:val="en-GB"/>
        </w:rPr>
      </w:pPr>
      <w:r w:rsidRPr="004D2B9A">
        <w:rPr>
          <w:lang w:val="en-GB"/>
        </w:rPr>
        <w:t>Applying the Fi method to estimate hourly energy consumption for building heating requires relatively easy-to-obtain data on the building's monthly energy demand (e.g.</w:t>
      </w:r>
      <w:r w:rsidR="008D7F9E">
        <w:rPr>
          <w:lang w:val="en-GB"/>
        </w:rPr>
        <w:t>, calculations using a programme such as</w:t>
      </w:r>
      <w:r w:rsidR="00602613">
        <w:rPr>
          <w:lang w:val="en-GB"/>
        </w:rPr>
        <w:t> </w:t>
      </w:r>
      <w:r w:rsidRPr="004D2B9A">
        <w:rPr>
          <w:lang w:val="en-GB"/>
        </w:rPr>
        <w:t>OZC) and official meteorological data specific to the location under consideration (GOV 2025)</w:t>
      </w:r>
      <w:r w:rsidR="00936C0B" w:rsidRPr="004D2B9A">
        <w:rPr>
          <w:lang w:val="en-GB"/>
        </w:rPr>
        <w:t>.</w:t>
      </w:r>
      <w:r w:rsidRPr="004D2B9A">
        <w:rPr>
          <w:lang w:val="en-GB"/>
        </w:rPr>
        <w:t xml:space="preserve"> The obtained results can be used for more advanced calculations, such as analysing the heat storage process in buffers cooperating with heat pumps, </w:t>
      </w:r>
      <w:r w:rsidR="008D7F9E">
        <w:rPr>
          <w:lang w:val="en-GB"/>
        </w:rPr>
        <w:t>as well as for more common applications, such as more accurate cost calculations for</w:t>
      </w:r>
      <w:r w:rsidRPr="004D2B9A">
        <w:rPr>
          <w:lang w:val="en-GB"/>
        </w:rPr>
        <w:t xml:space="preserve"> heating a building with an air-to-water heat pump operating under a dual-zone electricity tariff.</w:t>
      </w:r>
      <w:r w:rsidR="00936C0B" w:rsidRPr="004D2B9A">
        <w:rPr>
          <w:lang w:val="en-GB"/>
        </w:rPr>
        <w:t xml:space="preserve"> Using the method significantly simplifies the calculation process compared to advanced simulation tools, at the cost of only slightly reducing the accuracy of the obtained results (the largest seasonal error obtained for the tested building was 15 kWh, or just 0.6% over the cold season). The method's error </w:t>
      </w:r>
      <w:r w:rsidR="008D7F9E">
        <w:rPr>
          <w:lang w:val="en-GB"/>
        </w:rPr>
        <w:t>is small, especially compared to methods that use</w:t>
      </w:r>
      <w:r w:rsidR="00936C0B" w:rsidRPr="004D2B9A">
        <w:rPr>
          <w:lang w:val="en-GB"/>
        </w:rPr>
        <w:t xml:space="preserve"> only monthly data, for example.</w:t>
      </w:r>
    </w:p>
    <w:p w14:paraId="6A0DFBAE" w14:textId="09E8DAE7" w:rsidR="009A4685" w:rsidRPr="004D2B9A" w:rsidRDefault="5B01E89D" w:rsidP="009A4685">
      <w:pPr>
        <w:rPr>
          <w:lang w:val="en-GB"/>
        </w:rPr>
      </w:pPr>
      <w:r w:rsidRPr="004D2B9A">
        <w:rPr>
          <w:lang w:val="en-GB"/>
        </w:rPr>
        <w:t>For not</w:t>
      </w:r>
      <w:r w:rsidR="008D7F9E">
        <w:rPr>
          <w:lang w:val="en-GB"/>
        </w:rPr>
        <w:t>-so-</w:t>
      </w:r>
      <w:r w:rsidRPr="004D2B9A">
        <w:rPr>
          <w:lang w:val="en-GB"/>
        </w:rPr>
        <w:t xml:space="preserve">sunny and cool days, the accuracy of the FI method is perfectly adequate for most practical applications. However, </w:t>
      </w:r>
      <w:r w:rsidR="008D7F9E">
        <w:rPr>
          <w:lang w:val="en-GB"/>
        </w:rPr>
        <w:t>the results</w:t>
      </w:r>
      <w:r w:rsidRPr="004D2B9A">
        <w:rPr>
          <w:lang w:val="en-GB"/>
        </w:rPr>
        <w:t xml:space="preserve"> may be slightly underestimated.</w:t>
      </w:r>
      <w:r w:rsidR="00374E22" w:rsidRPr="004D2B9A">
        <w:rPr>
          <w:lang w:val="en-GB"/>
        </w:rPr>
        <w:t xml:space="preserve"> A similar situation occurs during the night hours of the warmer part of the cold season.</w:t>
      </w:r>
      <w:r w:rsidRPr="004D2B9A">
        <w:rPr>
          <w:lang w:val="en-GB"/>
        </w:rPr>
        <w:t xml:space="preserve"> This period </w:t>
      </w:r>
      <w:r w:rsidR="008D7F9E">
        <w:rPr>
          <w:lang w:val="en-GB"/>
        </w:rPr>
        <w:t>accounts for the majority of the cold season and, moreover, the majority of the building's heat demand occurs during this period, further supporting</w:t>
      </w:r>
      <w:r w:rsidRPr="004D2B9A">
        <w:rPr>
          <w:lang w:val="en-GB"/>
        </w:rPr>
        <w:t xml:space="preserve"> the use of the FI method.</w:t>
      </w:r>
    </w:p>
    <w:p w14:paraId="18462B75" w14:textId="509783FF" w:rsidR="00950010" w:rsidRPr="004D2B9A" w:rsidRDefault="00374E22" w:rsidP="009A4685">
      <w:pPr>
        <w:rPr>
          <w:lang w:val="en-GB"/>
        </w:rPr>
      </w:pPr>
      <w:r w:rsidRPr="004D2B9A">
        <w:rPr>
          <w:lang w:val="en-GB"/>
        </w:rPr>
        <w:t xml:space="preserve">However, it should be </w:t>
      </w:r>
      <w:r w:rsidR="008D7F9E">
        <w:rPr>
          <w:lang w:val="en-GB"/>
        </w:rPr>
        <w:t>noted that during sunny hours, especially at the beginning and end of the cold season, using the FI method yield</w:t>
      </w:r>
      <w:r w:rsidRPr="004D2B9A">
        <w:rPr>
          <w:lang w:val="en-GB"/>
        </w:rPr>
        <w:t xml:space="preserve">s hourly results with greater errors. The largest recorded error was 718 </w:t>
      </w:r>
      <w:proofErr w:type="spellStart"/>
      <w:r w:rsidRPr="004D2B9A">
        <w:rPr>
          <w:lang w:val="en-GB"/>
        </w:rPr>
        <w:t>Wh</w:t>
      </w:r>
      <w:proofErr w:type="spellEnd"/>
      <w:r w:rsidRPr="004D2B9A">
        <w:rPr>
          <w:lang w:val="en-GB"/>
        </w:rPr>
        <w:t xml:space="preserve">, which represents 25.2% of the maximum hourly value for the entire season. In typical FI method applications, </w:t>
      </w:r>
      <w:r w:rsidR="008D7F9E">
        <w:rPr>
          <w:lang w:val="en-GB"/>
        </w:rPr>
        <w:t>because heating energy demand is lower</w:t>
      </w:r>
      <w:r w:rsidRPr="004D2B9A">
        <w:rPr>
          <w:lang w:val="en-GB"/>
        </w:rPr>
        <w:t xml:space="preserve"> during this period, the significance of this inaccuracy is relatively small. For applications requiring significantly higher </w:t>
      </w:r>
      <w:r w:rsidR="008D7F9E">
        <w:rPr>
          <w:lang w:val="en-GB"/>
        </w:rPr>
        <w:t>hourly accuracy, results from warmer, sunny days should be completely excluded from calculations, or the potential for significant overestimation should be accounted for</w:t>
      </w:r>
      <w:r w:rsidRPr="004D2B9A">
        <w:rPr>
          <w:lang w:val="en-GB"/>
        </w:rPr>
        <w:t>.</w:t>
      </w:r>
    </w:p>
    <w:p w14:paraId="6969D22A" w14:textId="12A44396" w:rsidR="0052640D" w:rsidRPr="004D2B9A" w:rsidRDefault="009A18DB" w:rsidP="009A4685">
      <w:pPr>
        <w:rPr>
          <w:lang w:val="en-GB"/>
        </w:rPr>
      </w:pPr>
      <w:r w:rsidRPr="004D2B9A">
        <w:rPr>
          <w:lang w:val="en-GB"/>
        </w:rPr>
        <w:t>Further increasing the accuracy of the FI method estimates is theoretically possible by applying it using monthly energy demand data for heating individual rooms separately.</w:t>
      </w:r>
      <w:r w:rsidR="5B01E89D" w:rsidRPr="004D2B9A">
        <w:rPr>
          <w:lang w:val="en-GB"/>
        </w:rPr>
        <w:t xml:space="preserve"> This approach will reduce the impact of increases in </w:t>
      </w:r>
      <w:r w:rsidR="008D7F9E">
        <w:rPr>
          <w:lang w:val="en-GB"/>
        </w:rPr>
        <w:t>internal air temperature and temporary heating shutdowns in selected rooms on overestimating results</w:t>
      </w:r>
      <w:r w:rsidR="5B01E89D" w:rsidRPr="004D2B9A">
        <w:rPr>
          <w:lang w:val="en-GB"/>
        </w:rPr>
        <w:t>.</w:t>
      </w:r>
      <w:r w:rsidRPr="004D2B9A">
        <w:rPr>
          <w:lang w:val="en-GB"/>
        </w:rPr>
        <w:t xml:space="preserve"> The need to obtain more accurate input data and </w:t>
      </w:r>
      <w:r w:rsidR="008D7F9E">
        <w:rPr>
          <w:lang w:val="en-GB"/>
        </w:rPr>
        <w:t>to complicate the calculations increases the complexity of the FI method, but it will not significantly improve the accuracy of its results</w:t>
      </w:r>
      <w:r w:rsidRPr="004D2B9A">
        <w:rPr>
          <w:lang w:val="en-GB"/>
        </w:rPr>
        <w:t>.</w:t>
      </w:r>
      <w:r w:rsidR="5B01E89D" w:rsidRPr="004D2B9A">
        <w:rPr>
          <w:lang w:val="en-GB"/>
        </w:rPr>
        <w:t xml:space="preserve"> This approach contradicts the assumption made at the outset of this article</w:t>
      </w:r>
      <w:r w:rsidR="008D7F9E">
        <w:rPr>
          <w:lang w:val="en-GB"/>
        </w:rPr>
        <w:t>, which used</w:t>
      </w:r>
      <w:r w:rsidR="5B01E89D" w:rsidRPr="004D2B9A">
        <w:rPr>
          <w:lang w:val="en-GB"/>
        </w:rPr>
        <w:t xml:space="preserve"> the simplest possible calculation method.</w:t>
      </w:r>
    </w:p>
    <w:p w14:paraId="4B3AEBF8" w14:textId="5B9C9B66" w:rsidR="00301C3B" w:rsidRPr="004D2B9A" w:rsidRDefault="002E6DA8" w:rsidP="004D2B9A">
      <w:pPr>
        <w:pStyle w:val="Rn2"/>
        <w:rPr>
          <w:lang w:val="en-GB"/>
        </w:rPr>
      </w:pPr>
      <w:r w:rsidRPr="004D2B9A">
        <w:rPr>
          <w:lang w:val="en-GB"/>
        </w:rPr>
        <w:t>References</w:t>
      </w:r>
    </w:p>
    <w:p w14:paraId="1C7D7DCC" w14:textId="767487CB" w:rsidR="005112FD" w:rsidRPr="004D2B9A" w:rsidRDefault="005112FD" w:rsidP="004D2B9A">
      <w:pPr>
        <w:pStyle w:val="Rlit"/>
        <w:rPr>
          <w:lang w:val="en-GB"/>
        </w:rPr>
      </w:pPr>
      <w:r w:rsidRPr="004D2B9A">
        <w:rPr>
          <w:rFonts w:cstheme="minorBidi"/>
          <w:lang w:val="en-GB"/>
        </w:rPr>
        <w:t>Grudzińska</w:t>
      </w:r>
      <w:r w:rsidR="0021376F">
        <w:rPr>
          <w:rFonts w:cstheme="minorBidi"/>
          <w:lang w:val="en-GB"/>
        </w:rPr>
        <w:t>,</w:t>
      </w:r>
      <w:r w:rsidRPr="004D2B9A">
        <w:rPr>
          <w:rFonts w:cstheme="minorBidi"/>
          <w:lang w:val="en-GB"/>
        </w:rPr>
        <w:t xml:space="preserve"> K. (2022).</w:t>
      </w:r>
      <w:r w:rsidR="5B01E89D" w:rsidRPr="004D2B9A">
        <w:rPr>
          <w:rFonts w:cstheme="minorBidi"/>
          <w:lang w:val="en-GB"/>
        </w:rPr>
        <w:t xml:space="preserve"> A technical, economic and comparative analysis of heat sources based on renewable energy sources and a heat source powered by natural gas for a detached house.</w:t>
      </w:r>
      <w:r w:rsidRPr="004D2B9A">
        <w:rPr>
          <w:rFonts w:cstheme="minorBidi"/>
          <w:lang w:val="en-GB"/>
        </w:rPr>
        <w:t xml:space="preserve"> </w:t>
      </w:r>
      <w:r w:rsidRPr="0021376F">
        <w:rPr>
          <w:rFonts w:cstheme="minorBidi"/>
          <w:i/>
          <w:lang w:val="en-GB"/>
        </w:rPr>
        <w:t xml:space="preserve">Gaz, Woda </w:t>
      </w:r>
      <w:proofErr w:type="spellStart"/>
      <w:r w:rsidRPr="0021376F">
        <w:rPr>
          <w:rFonts w:cstheme="minorBidi"/>
          <w:i/>
          <w:lang w:val="en-GB"/>
        </w:rPr>
        <w:t>i</w:t>
      </w:r>
      <w:proofErr w:type="spellEnd"/>
      <w:r w:rsidRPr="0021376F">
        <w:rPr>
          <w:rFonts w:cstheme="minorBidi"/>
          <w:i/>
          <w:lang w:val="en-GB"/>
        </w:rPr>
        <w:t xml:space="preserve"> </w:t>
      </w:r>
      <w:proofErr w:type="spellStart"/>
      <w:r w:rsidRPr="0021376F">
        <w:rPr>
          <w:rFonts w:cstheme="minorBidi"/>
          <w:i/>
          <w:lang w:val="en-GB"/>
        </w:rPr>
        <w:t>Technika</w:t>
      </w:r>
      <w:proofErr w:type="spellEnd"/>
      <w:r w:rsidRPr="0021376F">
        <w:rPr>
          <w:rFonts w:cstheme="minorBidi"/>
          <w:i/>
          <w:lang w:val="en-GB"/>
        </w:rPr>
        <w:t xml:space="preserve"> </w:t>
      </w:r>
      <w:proofErr w:type="spellStart"/>
      <w:r w:rsidRPr="0021376F">
        <w:rPr>
          <w:rFonts w:cstheme="minorBidi"/>
          <w:i/>
          <w:lang w:val="en-GB"/>
        </w:rPr>
        <w:t>Sanitarna</w:t>
      </w:r>
      <w:proofErr w:type="spellEnd"/>
      <w:r w:rsidRPr="004D2B9A">
        <w:rPr>
          <w:rFonts w:cstheme="minorBidi"/>
          <w:iCs/>
          <w:lang w:val="en-GB"/>
        </w:rPr>
        <w:t>,</w:t>
      </w:r>
      <w:r w:rsidRPr="004D2B9A">
        <w:rPr>
          <w:rFonts w:cstheme="minorBidi"/>
          <w:lang w:val="en-GB"/>
        </w:rPr>
        <w:t xml:space="preserve"> </w:t>
      </w:r>
      <w:r w:rsidRPr="0021376F">
        <w:rPr>
          <w:rFonts w:cstheme="minorBidi"/>
          <w:i/>
          <w:iCs/>
          <w:lang w:val="en-GB"/>
        </w:rPr>
        <w:t>3</w:t>
      </w:r>
      <w:r w:rsidRPr="004D2B9A">
        <w:rPr>
          <w:rFonts w:cstheme="minorBidi"/>
          <w:lang w:val="en-GB"/>
        </w:rPr>
        <w:t xml:space="preserve">, 29-38. </w:t>
      </w:r>
      <w:r w:rsidR="0021376F" w:rsidRPr="0021376F">
        <w:rPr>
          <w:rFonts w:cstheme="minorBidi"/>
          <w:lang w:val="en-GB"/>
        </w:rPr>
        <w:t>https://doi.org/</w:t>
      </w:r>
      <w:r w:rsidRPr="004D2B9A">
        <w:rPr>
          <w:rFonts w:cstheme="minorBidi"/>
          <w:lang w:val="en-GB"/>
        </w:rPr>
        <w:t>10.15199/17.2022.3.6 (in</w:t>
      </w:r>
      <w:r w:rsidRPr="004D2B9A">
        <w:rPr>
          <w:lang w:val="en-GB"/>
        </w:rPr>
        <w:t xml:space="preserve"> </w:t>
      </w:r>
      <w:r w:rsidR="00CF2227" w:rsidRPr="004D2B9A">
        <w:rPr>
          <w:lang w:val="en-GB"/>
        </w:rPr>
        <w:t>P</w:t>
      </w:r>
      <w:r w:rsidRPr="004D2B9A">
        <w:rPr>
          <w:lang w:val="en-GB"/>
        </w:rPr>
        <w:t>olish)</w:t>
      </w:r>
    </w:p>
    <w:p w14:paraId="27CBD326" w14:textId="06F71B3B" w:rsidR="005112FD" w:rsidRPr="004D2B9A" w:rsidRDefault="005112FD" w:rsidP="004D2B9A">
      <w:pPr>
        <w:pStyle w:val="Rlit"/>
        <w:rPr>
          <w:lang w:val="en-GB"/>
        </w:rPr>
      </w:pPr>
      <w:r w:rsidRPr="004D2B9A">
        <w:rPr>
          <w:lang w:val="en-GB"/>
        </w:rPr>
        <w:t>Kowalski</w:t>
      </w:r>
      <w:r w:rsidR="0021376F">
        <w:rPr>
          <w:lang w:val="en-GB"/>
        </w:rPr>
        <w:t>,</w:t>
      </w:r>
      <w:r w:rsidRPr="004D2B9A">
        <w:rPr>
          <w:lang w:val="en-GB"/>
        </w:rPr>
        <w:t xml:space="preserve"> P., Cepiński</w:t>
      </w:r>
      <w:r w:rsidR="00200538">
        <w:rPr>
          <w:lang w:val="en-GB"/>
        </w:rPr>
        <w:t>,</w:t>
      </w:r>
      <w:r w:rsidRPr="004D2B9A">
        <w:rPr>
          <w:lang w:val="en-GB"/>
        </w:rPr>
        <w:t xml:space="preserve"> W., Szałański</w:t>
      </w:r>
      <w:r w:rsidR="00200538">
        <w:rPr>
          <w:lang w:val="en-GB"/>
        </w:rPr>
        <w:t>,</w:t>
      </w:r>
      <w:r w:rsidRPr="004D2B9A">
        <w:rPr>
          <w:lang w:val="en-GB"/>
        </w:rPr>
        <w:t xml:space="preserve"> P. (2023). The influence of room temperature changes on energy and gas consumption in single-family buildings with different energy standards in Polish climatic conditions. </w:t>
      </w:r>
      <w:r w:rsidRPr="00200538">
        <w:rPr>
          <w:i/>
          <w:iCs/>
          <w:lang w:val="en-GB"/>
        </w:rPr>
        <w:t xml:space="preserve">Gaz, Woda, </w:t>
      </w:r>
      <w:proofErr w:type="spellStart"/>
      <w:r w:rsidRPr="00200538">
        <w:rPr>
          <w:i/>
          <w:iCs/>
          <w:lang w:val="en-GB"/>
        </w:rPr>
        <w:t>Technika</w:t>
      </w:r>
      <w:proofErr w:type="spellEnd"/>
      <w:r w:rsidRPr="00200538">
        <w:rPr>
          <w:i/>
          <w:iCs/>
          <w:lang w:val="en-GB"/>
        </w:rPr>
        <w:t xml:space="preserve"> </w:t>
      </w:r>
      <w:proofErr w:type="spellStart"/>
      <w:r w:rsidRPr="00200538">
        <w:rPr>
          <w:i/>
          <w:iCs/>
          <w:lang w:val="en-GB"/>
        </w:rPr>
        <w:t>Sanitarna</w:t>
      </w:r>
      <w:proofErr w:type="spellEnd"/>
      <w:r w:rsidRPr="004D2B9A">
        <w:rPr>
          <w:lang w:val="en-GB"/>
        </w:rPr>
        <w:t>,</w:t>
      </w:r>
      <w:r w:rsidR="00200538">
        <w:rPr>
          <w:lang w:val="en-GB"/>
        </w:rPr>
        <w:t xml:space="preserve"> </w:t>
      </w:r>
      <w:r w:rsidRPr="00200538">
        <w:rPr>
          <w:i/>
          <w:iCs/>
          <w:lang w:val="en-GB"/>
        </w:rPr>
        <w:t>12</w:t>
      </w:r>
      <w:r w:rsidRPr="004D2B9A">
        <w:rPr>
          <w:lang w:val="en-GB"/>
        </w:rPr>
        <w:t>, 26</w:t>
      </w:r>
      <w:r w:rsidRPr="004D2B9A">
        <w:rPr>
          <w:rFonts w:ascii="TimesNewRoman" w:hAnsi="TimesNewRoman" w:cs="TimesNewRoman"/>
          <w:lang w:val="en-GB"/>
        </w:rPr>
        <w:t>-</w:t>
      </w:r>
      <w:r w:rsidRPr="004D2B9A">
        <w:rPr>
          <w:lang w:val="en-GB"/>
        </w:rPr>
        <w:t xml:space="preserve">34. </w:t>
      </w:r>
      <w:r w:rsidR="00200538" w:rsidRPr="00200538">
        <w:rPr>
          <w:lang w:val="en-GB"/>
        </w:rPr>
        <w:t>https://doi.org/</w:t>
      </w:r>
      <w:r w:rsidRPr="004D2B9A">
        <w:rPr>
          <w:lang w:val="en-GB"/>
        </w:rPr>
        <w:t xml:space="preserve">10.15199/17.2023.12.4 (in </w:t>
      </w:r>
      <w:r w:rsidR="00CF2227" w:rsidRPr="004D2B9A">
        <w:rPr>
          <w:lang w:val="en-GB"/>
        </w:rPr>
        <w:t>P</w:t>
      </w:r>
      <w:r w:rsidRPr="004D2B9A">
        <w:rPr>
          <w:lang w:val="en-GB"/>
        </w:rPr>
        <w:t>olish)</w:t>
      </w:r>
    </w:p>
    <w:p w14:paraId="5126CA7A" w14:textId="4CC99180" w:rsidR="005112FD" w:rsidRPr="004D2B9A" w:rsidRDefault="005112FD" w:rsidP="004D2B9A">
      <w:pPr>
        <w:pStyle w:val="Rlit"/>
        <w:rPr>
          <w:lang w:val="en-GB"/>
        </w:rPr>
      </w:pPr>
      <w:proofErr w:type="spellStart"/>
      <w:r w:rsidRPr="004D2B9A">
        <w:rPr>
          <w:lang w:val="en-GB"/>
        </w:rPr>
        <w:t>Kwestarz</w:t>
      </w:r>
      <w:proofErr w:type="spellEnd"/>
      <w:r w:rsidR="00200538">
        <w:rPr>
          <w:lang w:val="en-GB"/>
        </w:rPr>
        <w:t>,</w:t>
      </w:r>
      <w:r w:rsidRPr="004D2B9A">
        <w:rPr>
          <w:lang w:val="en-GB"/>
        </w:rPr>
        <w:t xml:space="preserve"> M., Kostrzewska</w:t>
      </w:r>
      <w:r w:rsidR="00200538">
        <w:rPr>
          <w:lang w:val="en-GB"/>
        </w:rPr>
        <w:t>,</w:t>
      </w:r>
      <w:r w:rsidRPr="004D2B9A">
        <w:rPr>
          <w:lang w:val="en-GB"/>
        </w:rPr>
        <w:t xml:space="preserve"> W. (2023). Hybrid renewable energy concept for a single-family house. </w:t>
      </w:r>
      <w:r w:rsidRPr="00200538">
        <w:rPr>
          <w:i/>
          <w:iCs/>
          <w:lang w:val="en-GB"/>
        </w:rPr>
        <w:t xml:space="preserve">Gaz, Woda </w:t>
      </w:r>
      <w:proofErr w:type="spellStart"/>
      <w:r w:rsidRPr="00200538">
        <w:rPr>
          <w:i/>
          <w:iCs/>
          <w:lang w:val="en-GB"/>
        </w:rPr>
        <w:t>i</w:t>
      </w:r>
      <w:proofErr w:type="spellEnd"/>
      <w:r w:rsidRPr="00200538">
        <w:rPr>
          <w:i/>
          <w:iCs/>
          <w:lang w:val="en-GB"/>
        </w:rPr>
        <w:t xml:space="preserve"> </w:t>
      </w:r>
      <w:proofErr w:type="spellStart"/>
      <w:r w:rsidRPr="00200538">
        <w:rPr>
          <w:i/>
          <w:iCs/>
          <w:lang w:val="en-GB"/>
        </w:rPr>
        <w:t>Technika</w:t>
      </w:r>
      <w:proofErr w:type="spellEnd"/>
      <w:r w:rsidRPr="00200538">
        <w:rPr>
          <w:i/>
          <w:iCs/>
          <w:lang w:val="en-GB"/>
        </w:rPr>
        <w:t xml:space="preserve"> </w:t>
      </w:r>
      <w:proofErr w:type="spellStart"/>
      <w:r w:rsidRPr="00200538">
        <w:rPr>
          <w:i/>
          <w:iCs/>
          <w:lang w:val="en-GB"/>
        </w:rPr>
        <w:t>Sanitarna</w:t>
      </w:r>
      <w:proofErr w:type="spellEnd"/>
      <w:r w:rsidRPr="004D2B9A">
        <w:rPr>
          <w:lang w:val="en-GB"/>
        </w:rPr>
        <w:t xml:space="preserve">, </w:t>
      </w:r>
      <w:r w:rsidRPr="00200538">
        <w:rPr>
          <w:i/>
          <w:iCs/>
          <w:lang w:val="en-GB"/>
        </w:rPr>
        <w:t>5</w:t>
      </w:r>
      <w:r w:rsidRPr="004D2B9A">
        <w:rPr>
          <w:lang w:val="en-GB"/>
        </w:rPr>
        <w:t xml:space="preserve">, 27-33. </w:t>
      </w:r>
      <w:r w:rsidR="00200538" w:rsidRPr="00200538">
        <w:rPr>
          <w:lang w:val="en-GB"/>
        </w:rPr>
        <w:t>https://doi.org/</w:t>
      </w:r>
      <w:r w:rsidRPr="004D2B9A">
        <w:rPr>
          <w:lang w:val="en-GB"/>
        </w:rPr>
        <w:t xml:space="preserve">10.15199/17.2023.5.5 (in </w:t>
      </w:r>
      <w:r w:rsidR="00CF2227" w:rsidRPr="004D2B9A">
        <w:rPr>
          <w:lang w:val="en-GB"/>
        </w:rPr>
        <w:t>P</w:t>
      </w:r>
      <w:r w:rsidRPr="004D2B9A">
        <w:rPr>
          <w:lang w:val="en-GB"/>
        </w:rPr>
        <w:t>olish)</w:t>
      </w:r>
    </w:p>
    <w:p w14:paraId="0F0F66C0" w14:textId="17885A73" w:rsidR="005112FD" w:rsidRPr="004D2B9A" w:rsidRDefault="005112FD" w:rsidP="004D2B9A">
      <w:pPr>
        <w:pStyle w:val="Rlit"/>
        <w:rPr>
          <w:lang w:val="en-GB"/>
        </w:rPr>
      </w:pPr>
      <w:r w:rsidRPr="004D2B9A">
        <w:rPr>
          <w:lang w:val="en-GB"/>
        </w:rPr>
        <w:t>Lachman</w:t>
      </w:r>
      <w:r w:rsidR="00200538">
        <w:rPr>
          <w:lang w:val="en-GB"/>
        </w:rPr>
        <w:t>,</w:t>
      </w:r>
      <w:r w:rsidRPr="004D2B9A">
        <w:rPr>
          <w:lang w:val="en-GB"/>
        </w:rPr>
        <w:t xml:space="preserve"> P., </w:t>
      </w:r>
      <w:r w:rsidR="00CF2227" w:rsidRPr="004D2B9A">
        <w:rPr>
          <w:lang w:val="en-GB"/>
        </w:rPr>
        <w:t>e</w:t>
      </w:r>
      <w:r w:rsidRPr="004D2B9A">
        <w:rPr>
          <w:lang w:val="en-GB"/>
        </w:rPr>
        <w:t xml:space="preserve">t al. (2020). </w:t>
      </w:r>
      <w:r w:rsidRPr="004D2B9A">
        <w:rPr>
          <w:rStyle w:val="rynqvb"/>
          <w:i/>
          <w:lang w:val="en-GB"/>
        </w:rPr>
        <w:t>Guidelines for the design, implementation and acceptance of heat pump installations</w:t>
      </w:r>
      <w:r w:rsidRPr="004D2B9A">
        <w:rPr>
          <w:lang w:val="en-GB"/>
        </w:rPr>
        <w:t xml:space="preserve">. Kraków: Polska Organizacja </w:t>
      </w:r>
      <w:proofErr w:type="spellStart"/>
      <w:r w:rsidRPr="004D2B9A">
        <w:rPr>
          <w:lang w:val="en-GB"/>
        </w:rPr>
        <w:t>Rozwoju</w:t>
      </w:r>
      <w:proofErr w:type="spellEnd"/>
      <w:r w:rsidRPr="004D2B9A">
        <w:rPr>
          <w:lang w:val="en-GB"/>
        </w:rPr>
        <w:t xml:space="preserve"> </w:t>
      </w:r>
      <w:proofErr w:type="spellStart"/>
      <w:r w:rsidRPr="004D2B9A">
        <w:rPr>
          <w:lang w:val="en-GB"/>
        </w:rPr>
        <w:t>Technologii</w:t>
      </w:r>
      <w:proofErr w:type="spellEnd"/>
      <w:r w:rsidRPr="004D2B9A">
        <w:rPr>
          <w:lang w:val="en-GB"/>
        </w:rPr>
        <w:t xml:space="preserve"> Pomp </w:t>
      </w:r>
      <w:proofErr w:type="spellStart"/>
      <w:r w:rsidRPr="004D2B9A">
        <w:rPr>
          <w:lang w:val="en-GB"/>
        </w:rPr>
        <w:t>Ciepła</w:t>
      </w:r>
      <w:proofErr w:type="spellEnd"/>
      <w:r w:rsidRPr="004D2B9A">
        <w:rPr>
          <w:lang w:val="en-GB"/>
        </w:rPr>
        <w:t xml:space="preserve">. ISBN: 978-83-935382-9-4. (in </w:t>
      </w:r>
      <w:r w:rsidR="00CF2227" w:rsidRPr="004D2B9A">
        <w:rPr>
          <w:lang w:val="en-GB"/>
        </w:rPr>
        <w:t>P</w:t>
      </w:r>
      <w:r w:rsidRPr="004D2B9A">
        <w:rPr>
          <w:lang w:val="en-GB"/>
        </w:rPr>
        <w:t>olish)</w:t>
      </w:r>
    </w:p>
    <w:p w14:paraId="217AD57E" w14:textId="06D0E9CC" w:rsidR="005112FD" w:rsidRPr="004D2B9A" w:rsidRDefault="0025343D" w:rsidP="004D2B9A">
      <w:pPr>
        <w:pStyle w:val="Rlit"/>
        <w:rPr>
          <w:lang w:val="en-GB"/>
        </w:rPr>
      </w:pPr>
      <w:r w:rsidRPr="004D2B9A">
        <w:rPr>
          <w:lang w:val="en-GB"/>
        </w:rPr>
        <w:t>M</w:t>
      </w:r>
      <w:r w:rsidR="005112FD" w:rsidRPr="004D2B9A">
        <w:rPr>
          <w:lang w:val="en-GB"/>
        </w:rPr>
        <w:t>aludziński</w:t>
      </w:r>
      <w:r w:rsidR="00200538">
        <w:rPr>
          <w:lang w:val="en-GB"/>
        </w:rPr>
        <w:t>,</w:t>
      </w:r>
      <w:r w:rsidR="005112FD" w:rsidRPr="004D2B9A">
        <w:rPr>
          <w:lang w:val="en-GB"/>
        </w:rPr>
        <w:t xml:space="preserve"> B. (2009). Calculating the duration of the heating season. </w:t>
      </w:r>
      <w:r w:rsidR="005112FD" w:rsidRPr="00200538">
        <w:rPr>
          <w:i/>
          <w:iCs/>
          <w:lang w:val="en-GB"/>
        </w:rPr>
        <w:t xml:space="preserve">Rynek </w:t>
      </w:r>
      <w:proofErr w:type="spellStart"/>
      <w:r w:rsidR="005112FD" w:rsidRPr="00200538">
        <w:rPr>
          <w:i/>
          <w:iCs/>
          <w:lang w:val="en-GB"/>
        </w:rPr>
        <w:t>instalacyjny</w:t>
      </w:r>
      <w:proofErr w:type="spellEnd"/>
      <w:r w:rsidR="00200538">
        <w:rPr>
          <w:lang w:val="en-GB"/>
        </w:rPr>
        <w:t>,</w:t>
      </w:r>
      <w:r w:rsidR="005112FD" w:rsidRPr="004D2B9A">
        <w:rPr>
          <w:lang w:val="en-GB"/>
        </w:rPr>
        <w:t xml:space="preserve"> </w:t>
      </w:r>
      <w:r w:rsidR="005112FD" w:rsidRPr="00200538">
        <w:rPr>
          <w:i/>
          <w:iCs/>
          <w:lang w:val="en-GB"/>
        </w:rPr>
        <w:t>9</w:t>
      </w:r>
      <w:r w:rsidR="005112FD" w:rsidRPr="004D2B9A">
        <w:rPr>
          <w:lang w:val="en-GB"/>
        </w:rPr>
        <w:t xml:space="preserve">, 24-26. (in </w:t>
      </w:r>
      <w:r w:rsidR="00CF2227" w:rsidRPr="004D2B9A">
        <w:rPr>
          <w:lang w:val="en-GB"/>
        </w:rPr>
        <w:t>P</w:t>
      </w:r>
      <w:r w:rsidR="005112FD" w:rsidRPr="004D2B9A">
        <w:rPr>
          <w:lang w:val="en-GB"/>
        </w:rPr>
        <w:t>olish)</w:t>
      </w:r>
    </w:p>
    <w:p w14:paraId="32EFB54B" w14:textId="776F7A83" w:rsidR="005112FD" w:rsidRPr="004D2B9A" w:rsidRDefault="005112FD" w:rsidP="004D2B9A">
      <w:pPr>
        <w:pStyle w:val="Rlit"/>
        <w:rPr>
          <w:lang w:val="en-GB"/>
        </w:rPr>
      </w:pPr>
      <w:proofErr w:type="spellStart"/>
      <w:r w:rsidRPr="004D2B9A">
        <w:rPr>
          <w:lang w:val="en-GB"/>
        </w:rPr>
        <w:t>Nosyreva</w:t>
      </w:r>
      <w:proofErr w:type="spellEnd"/>
      <w:r w:rsidR="00200538">
        <w:rPr>
          <w:lang w:val="en-GB"/>
        </w:rPr>
        <w:t>,</w:t>
      </w:r>
      <w:r w:rsidRPr="004D2B9A">
        <w:rPr>
          <w:lang w:val="en-GB"/>
        </w:rPr>
        <w:t xml:space="preserve"> O. V., Barashkova</w:t>
      </w:r>
      <w:r w:rsidR="00200538">
        <w:rPr>
          <w:lang w:val="en-GB"/>
        </w:rPr>
        <w:t>,</w:t>
      </w:r>
      <w:r w:rsidRPr="004D2B9A">
        <w:rPr>
          <w:lang w:val="en-GB"/>
        </w:rPr>
        <w:t xml:space="preserve"> N. K., </w:t>
      </w:r>
      <w:proofErr w:type="spellStart"/>
      <w:r w:rsidRPr="004D2B9A">
        <w:rPr>
          <w:lang w:val="en-GB"/>
        </w:rPr>
        <w:t>Kizhner</w:t>
      </w:r>
      <w:proofErr w:type="spellEnd"/>
      <w:r w:rsidR="00200538">
        <w:rPr>
          <w:lang w:val="en-GB"/>
        </w:rPr>
        <w:t>,</w:t>
      </w:r>
      <w:r w:rsidRPr="004D2B9A">
        <w:rPr>
          <w:lang w:val="en-GB"/>
        </w:rPr>
        <w:t xml:space="preserve"> L. I. (2018). Determining the duration of the heating season in Tomsk. IOP Conf. Ser.: Earth Environ. Sci. (211) 012056. </w:t>
      </w:r>
      <w:r w:rsidR="00200538" w:rsidRPr="00200538">
        <w:rPr>
          <w:lang w:val="en-GB"/>
        </w:rPr>
        <w:t>https://doi.org/</w:t>
      </w:r>
      <w:r w:rsidRPr="004D2B9A">
        <w:rPr>
          <w:lang w:val="en-GB"/>
        </w:rPr>
        <w:t>10.1088/1755-1315/211/1/012056</w:t>
      </w:r>
    </w:p>
    <w:p w14:paraId="67D65EF8" w14:textId="65029A6F" w:rsidR="005112FD" w:rsidRPr="004D2B9A" w:rsidRDefault="005112FD" w:rsidP="004D2B9A">
      <w:pPr>
        <w:pStyle w:val="Rlit"/>
        <w:rPr>
          <w:lang w:val="en-GB"/>
        </w:rPr>
      </w:pPr>
      <w:r w:rsidRPr="004D2B9A">
        <w:rPr>
          <w:lang w:val="en-GB"/>
        </w:rPr>
        <w:t>Schlagowski</w:t>
      </w:r>
      <w:r w:rsidR="00200538">
        <w:rPr>
          <w:lang w:val="en-GB"/>
        </w:rPr>
        <w:t>,</w:t>
      </w:r>
      <w:r w:rsidRPr="004D2B9A">
        <w:rPr>
          <w:lang w:val="en-GB"/>
        </w:rPr>
        <w:t xml:space="preserve"> G., </w:t>
      </w:r>
      <w:r w:rsidR="00CF2227" w:rsidRPr="004D2B9A">
        <w:rPr>
          <w:lang w:val="en-GB"/>
        </w:rPr>
        <w:t>e</w:t>
      </w:r>
      <w:r w:rsidRPr="004D2B9A">
        <w:rPr>
          <w:lang w:val="en-GB"/>
        </w:rPr>
        <w:t xml:space="preserve">t al. (2015). </w:t>
      </w:r>
      <w:r w:rsidRPr="004D2B9A">
        <w:rPr>
          <w:rStyle w:val="rynqvb"/>
          <w:i/>
          <w:lang w:val="en-GB"/>
        </w:rPr>
        <w:t xml:space="preserve">Criteria for the passive building standard, the </w:t>
      </w:r>
      <w:proofErr w:type="spellStart"/>
      <w:r w:rsidRPr="004D2B9A">
        <w:rPr>
          <w:rStyle w:val="rynqvb"/>
          <w:i/>
          <w:lang w:val="en-GB"/>
        </w:rPr>
        <w:t>EnerPHit</w:t>
      </w:r>
      <w:proofErr w:type="spellEnd"/>
      <w:r w:rsidRPr="004D2B9A">
        <w:rPr>
          <w:rStyle w:val="rynqvb"/>
          <w:i/>
          <w:lang w:val="en-GB"/>
        </w:rPr>
        <w:t xml:space="preserve"> thermal modernization standard and the PHI energy-efficient building standard; ver. 9b, state 30.06.2015.</w:t>
      </w:r>
      <w:r w:rsidRPr="004D2B9A">
        <w:rPr>
          <w:lang w:val="en-GB"/>
        </w:rPr>
        <w:t xml:space="preserve"> </w:t>
      </w:r>
      <w:proofErr w:type="spellStart"/>
      <w:r w:rsidRPr="004D2B9A">
        <w:rPr>
          <w:lang w:val="en-GB"/>
        </w:rPr>
        <w:t>Gdańsk</w:t>
      </w:r>
      <w:proofErr w:type="spellEnd"/>
      <w:r w:rsidRPr="004D2B9A">
        <w:rPr>
          <w:lang w:val="en-GB"/>
        </w:rPr>
        <w:t xml:space="preserve"> (Osowa): </w:t>
      </w:r>
      <w:proofErr w:type="spellStart"/>
      <w:r w:rsidRPr="004D2B9A">
        <w:rPr>
          <w:lang w:val="en-GB"/>
        </w:rPr>
        <w:t>Instytut</w:t>
      </w:r>
      <w:proofErr w:type="spellEnd"/>
      <w:r w:rsidRPr="004D2B9A">
        <w:rPr>
          <w:lang w:val="en-GB"/>
        </w:rPr>
        <w:t xml:space="preserve"> </w:t>
      </w:r>
      <w:proofErr w:type="spellStart"/>
      <w:r w:rsidRPr="004D2B9A">
        <w:rPr>
          <w:lang w:val="en-GB"/>
        </w:rPr>
        <w:t>Budynków</w:t>
      </w:r>
      <w:proofErr w:type="spellEnd"/>
      <w:r w:rsidRPr="004D2B9A">
        <w:rPr>
          <w:lang w:val="en-GB"/>
        </w:rPr>
        <w:t xml:space="preserve"> </w:t>
      </w:r>
      <w:proofErr w:type="spellStart"/>
      <w:r w:rsidRPr="004D2B9A">
        <w:rPr>
          <w:lang w:val="en-GB"/>
        </w:rPr>
        <w:t>Pasywnych</w:t>
      </w:r>
      <w:proofErr w:type="spellEnd"/>
      <w:r w:rsidRPr="004D2B9A">
        <w:rPr>
          <w:lang w:val="en-GB"/>
        </w:rPr>
        <w:t xml:space="preserve">. (in </w:t>
      </w:r>
      <w:r w:rsidR="00CF2227" w:rsidRPr="004D2B9A">
        <w:rPr>
          <w:lang w:val="en-GB"/>
        </w:rPr>
        <w:t>P</w:t>
      </w:r>
      <w:r w:rsidRPr="004D2B9A">
        <w:rPr>
          <w:lang w:val="en-GB"/>
        </w:rPr>
        <w:t>olish)</w:t>
      </w:r>
    </w:p>
    <w:p w14:paraId="119488BF" w14:textId="6C78A9B8" w:rsidR="00CF2227" w:rsidRDefault="005112FD" w:rsidP="004D2B9A">
      <w:pPr>
        <w:pStyle w:val="Rlit"/>
        <w:rPr>
          <w:lang w:val="en-GB"/>
        </w:rPr>
      </w:pPr>
      <w:proofErr w:type="spellStart"/>
      <w:r w:rsidRPr="004D2B9A">
        <w:rPr>
          <w:lang w:val="en-GB"/>
        </w:rPr>
        <w:t>Stokowiec</w:t>
      </w:r>
      <w:proofErr w:type="spellEnd"/>
      <w:r w:rsidR="00200538">
        <w:rPr>
          <w:lang w:val="en-GB"/>
        </w:rPr>
        <w:t>,</w:t>
      </w:r>
      <w:r w:rsidRPr="004D2B9A">
        <w:rPr>
          <w:lang w:val="en-GB"/>
        </w:rPr>
        <w:t xml:space="preserve"> K., Kotrys-Działak</w:t>
      </w:r>
      <w:r w:rsidR="00200538">
        <w:rPr>
          <w:lang w:val="en-GB"/>
        </w:rPr>
        <w:t>,</w:t>
      </w:r>
      <w:r w:rsidRPr="004D2B9A">
        <w:rPr>
          <w:lang w:val="en-GB"/>
        </w:rPr>
        <w:t xml:space="preserve"> D. (2024). The Effect of the Temperature Increase on Heat Demand Calculation for Building in the Polish Climatology. </w:t>
      </w:r>
      <w:proofErr w:type="spellStart"/>
      <w:r w:rsidRPr="00200538">
        <w:rPr>
          <w:i/>
          <w:iCs/>
          <w:lang w:val="en-GB"/>
        </w:rPr>
        <w:t>Rocznik</w:t>
      </w:r>
      <w:proofErr w:type="spellEnd"/>
      <w:r w:rsidRPr="00200538">
        <w:rPr>
          <w:i/>
          <w:iCs/>
          <w:lang w:val="en-GB"/>
        </w:rPr>
        <w:t xml:space="preserve"> </w:t>
      </w:r>
      <w:proofErr w:type="spellStart"/>
      <w:r w:rsidRPr="00200538">
        <w:rPr>
          <w:i/>
          <w:iCs/>
          <w:lang w:val="en-GB"/>
        </w:rPr>
        <w:t>Ochrona</w:t>
      </w:r>
      <w:proofErr w:type="spellEnd"/>
      <w:r w:rsidRPr="00200538">
        <w:rPr>
          <w:i/>
          <w:iCs/>
          <w:lang w:val="en-GB"/>
        </w:rPr>
        <w:t xml:space="preserve"> </w:t>
      </w:r>
      <w:proofErr w:type="spellStart"/>
      <w:r w:rsidRPr="00200538">
        <w:rPr>
          <w:i/>
          <w:iCs/>
          <w:lang w:val="en-GB"/>
        </w:rPr>
        <w:t>Środowiska</w:t>
      </w:r>
      <w:proofErr w:type="spellEnd"/>
      <w:r w:rsidRPr="004D2B9A">
        <w:rPr>
          <w:lang w:val="en-GB"/>
        </w:rPr>
        <w:t xml:space="preserve">, </w:t>
      </w:r>
      <w:r w:rsidRPr="00200538">
        <w:rPr>
          <w:i/>
          <w:iCs/>
          <w:lang w:val="en-GB"/>
        </w:rPr>
        <w:t>26</w:t>
      </w:r>
      <w:r w:rsidRPr="004D2B9A">
        <w:rPr>
          <w:lang w:val="en-GB"/>
        </w:rPr>
        <w:t xml:space="preserve">, 128-136. </w:t>
      </w:r>
      <w:r w:rsidR="00200538" w:rsidRPr="00200538">
        <w:rPr>
          <w:lang w:val="en-GB"/>
        </w:rPr>
        <w:t>https://doi.org/</w:t>
      </w:r>
      <w:r w:rsidRPr="004D2B9A">
        <w:rPr>
          <w:lang w:val="en-GB"/>
        </w:rPr>
        <w:t>10.54740/ros.2024.013</w:t>
      </w:r>
    </w:p>
    <w:p w14:paraId="37AD96EF" w14:textId="77777777" w:rsidR="00602613" w:rsidRDefault="00602613">
      <w:pPr>
        <w:spacing w:after="160" w:line="259" w:lineRule="auto"/>
        <w:ind w:firstLine="0"/>
        <w:jc w:val="left"/>
        <w:rPr>
          <w:rFonts w:eastAsia="Times New Roman" w:cs="Times New Roman"/>
          <w:kern w:val="2"/>
          <w:sz w:val="20"/>
          <w:szCs w:val="20"/>
          <w:lang w:val="en-GB" w:eastAsia="pl-PL"/>
          <w14:ligatures w14:val="standardContextual"/>
        </w:rPr>
      </w:pPr>
      <w:r>
        <w:rPr>
          <w:lang w:val="en-GB"/>
        </w:rPr>
        <w:br w:type="page"/>
      </w:r>
    </w:p>
    <w:p w14:paraId="6581F419" w14:textId="2FE9CEC1" w:rsidR="0021376F" w:rsidRPr="004D2B9A" w:rsidRDefault="0021376F" w:rsidP="0021376F">
      <w:pPr>
        <w:pStyle w:val="Rlit"/>
        <w:rPr>
          <w:lang w:val="en-GB"/>
        </w:rPr>
      </w:pPr>
      <w:proofErr w:type="spellStart"/>
      <w:r w:rsidRPr="004D2B9A">
        <w:rPr>
          <w:lang w:val="en-GB"/>
        </w:rPr>
        <w:lastRenderedPageBreak/>
        <w:t>Dz.U</w:t>
      </w:r>
      <w:proofErr w:type="spellEnd"/>
      <w:r w:rsidRPr="004D2B9A">
        <w:rPr>
          <w:lang w:val="en-GB"/>
        </w:rPr>
        <w:t xml:space="preserve">. 2002 nr 75 </w:t>
      </w:r>
      <w:proofErr w:type="spellStart"/>
      <w:r w:rsidRPr="004D2B9A">
        <w:rPr>
          <w:lang w:val="en-GB"/>
        </w:rPr>
        <w:t>poz</w:t>
      </w:r>
      <w:proofErr w:type="spellEnd"/>
      <w:r w:rsidRPr="004D2B9A">
        <w:rPr>
          <w:lang w:val="en-GB"/>
        </w:rPr>
        <w:t xml:space="preserve">. 690 with later changes. </w:t>
      </w:r>
      <w:proofErr w:type="spellStart"/>
      <w:r w:rsidRPr="004D2B9A">
        <w:rPr>
          <w:lang w:val="en-GB"/>
        </w:rPr>
        <w:t>Rozporządzenie</w:t>
      </w:r>
      <w:proofErr w:type="spellEnd"/>
      <w:r w:rsidRPr="004D2B9A">
        <w:rPr>
          <w:lang w:val="en-GB"/>
        </w:rPr>
        <w:t xml:space="preserve"> </w:t>
      </w:r>
      <w:proofErr w:type="spellStart"/>
      <w:r w:rsidRPr="004D2B9A">
        <w:rPr>
          <w:lang w:val="en-GB"/>
        </w:rPr>
        <w:t>Ministra</w:t>
      </w:r>
      <w:proofErr w:type="spellEnd"/>
      <w:r w:rsidRPr="004D2B9A">
        <w:rPr>
          <w:lang w:val="en-GB"/>
        </w:rPr>
        <w:t xml:space="preserve"> </w:t>
      </w:r>
      <w:proofErr w:type="spellStart"/>
      <w:r w:rsidRPr="004D2B9A">
        <w:rPr>
          <w:lang w:val="en-GB"/>
        </w:rPr>
        <w:t>Infrastruktury</w:t>
      </w:r>
      <w:proofErr w:type="spellEnd"/>
      <w:r w:rsidRPr="004D2B9A">
        <w:rPr>
          <w:lang w:val="en-GB"/>
        </w:rPr>
        <w:t xml:space="preserve"> z </w:t>
      </w:r>
      <w:proofErr w:type="spellStart"/>
      <w:r w:rsidRPr="004D2B9A">
        <w:rPr>
          <w:lang w:val="en-GB"/>
        </w:rPr>
        <w:t>dnia</w:t>
      </w:r>
      <w:proofErr w:type="spellEnd"/>
      <w:r w:rsidRPr="004D2B9A">
        <w:rPr>
          <w:lang w:val="en-GB"/>
        </w:rPr>
        <w:t xml:space="preserve"> 12 </w:t>
      </w:r>
      <w:proofErr w:type="spellStart"/>
      <w:r w:rsidRPr="004D2B9A">
        <w:rPr>
          <w:lang w:val="en-GB"/>
        </w:rPr>
        <w:t>kwietnia</w:t>
      </w:r>
      <w:proofErr w:type="spellEnd"/>
      <w:r w:rsidRPr="004D2B9A">
        <w:rPr>
          <w:lang w:val="en-GB"/>
        </w:rPr>
        <w:t xml:space="preserve"> 2002 r. w</w:t>
      </w:r>
      <w:r w:rsidR="007773B8">
        <w:rPr>
          <w:lang w:val="en-GB"/>
        </w:rPr>
        <w:t> </w:t>
      </w:r>
      <w:proofErr w:type="spellStart"/>
      <w:r w:rsidRPr="004D2B9A">
        <w:rPr>
          <w:lang w:val="en-GB"/>
        </w:rPr>
        <w:t>sprawie</w:t>
      </w:r>
      <w:proofErr w:type="spellEnd"/>
      <w:r w:rsidRPr="004D2B9A">
        <w:rPr>
          <w:lang w:val="en-GB"/>
        </w:rPr>
        <w:t xml:space="preserve"> </w:t>
      </w:r>
      <w:proofErr w:type="spellStart"/>
      <w:r w:rsidRPr="004D2B9A">
        <w:rPr>
          <w:lang w:val="en-GB"/>
        </w:rPr>
        <w:t>warunków</w:t>
      </w:r>
      <w:proofErr w:type="spellEnd"/>
      <w:r w:rsidRPr="004D2B9A">
        <w:rPr>
          <w:lang w:val="en-GB"/>
        </w:rPr>
        <w:t xml:space="preserve"> </w:t>
      </w:r>
      <w:proofErr w:type="spellStart"/>
      <w:r w:rsidRPr="004D2B9A">
        <w:rPr>
          <w:lang w:val="en-GB"/>
        </w:rPr>
        <w:t>technicznych</w:t>
      </w:r>
      <w:proofErr w:type="spellEnd"/>
      <w:r w:rsidRPr="004D2B9A">
        <w:rPr>
          <w:lang w:val="en-GB"/>
        </w:rPr>
        <w:t xml:space="preserve">, </w:t>
      </w:r>
      <w:proofErr w:type="spellStart"/>
      <w:r w:rsidRPr="004D2B9A">
        <w:rPr>
          <w:lang w:val="en-GB"/>
        </w:rPr>
        <w:t>jakim</w:t>
      </w:r>
      <w:proofErr w:type="spellEnd"/>
      <w:r w:rsidRPr="004D2B9A">
        <w:rPr>
          <w:lang w:val="en-GB"/>
        </w:rPr>
        <w:t xml:space="preserve"> </w:t>
      </w:r>
      <w:proofErr w:type="spellStart"/>
      <w:r w:rsidRPr="004D2B9A">
        <w:rPr>
          <w:lang w:val="en-GB"/>
        </w:rPr>
        <w:t>powinny</w:t>
      </w:r>
      <w:proofErr w:type="spellEnd"/>
      <w:r w:rsidRPr="004D2B9A">
        <w:rPr>
          <w:lang w:val="en-GB"/>
        </w:rPr>
        <w:t xml:space="preserve"> </w:t>
      </w:r>
      <w:proofErr w:type="spellStart"/>
      <w:r w:rsidRPr="004D2B9A">
        <w:rPr>
          <w:lang w:val="en-GB"/>
        </w:rPr>
        <w:t>odpowiadać</w:t>
      </w:r>
      <w:proofErr w:type="spellEnd"/>
      <w:r w:rsidRPr="004D2B9A">
        <w:rPr>
          <w:lang w:val="en-GB"/>
        </w:rPr>
        <w:t xml:space="preserve"> </w:t>
      </w:r>
      <w:proofErr w:type="spellStart"/>
      <w:r w:rsidRPr="004D2B9A">
        <w:rPr>
          <w:lang w:val="en-GB"/>
        </w:rPr>
        <w:t>budynki</w:t>
      </w:r>
      <w:proofErr w:type="spellEnd"/>
      <w:r w:rsidRPr="004D2B9A">
        <w:rPr>
          <w:lang w:val="en-GB"/>
        </w:rPr>
        <w:t xml:space="preserve"> </w:t>
      </w:r>
      <w:proofErr w:type="spellStart"/>
      <w:r w:rsidRPr="004D2B9A">
        <w:rPr>
          <w:lang w:val="en-GB"/>
        </w:rPr>
        <w:t>i</w:t>
      </w:r>
      <w:proofErr w:type="spellEnd"/>
      <w:r w:rsidRPr="004D2B9A">
        <w:rPr>
          <w:lang w:val="en-GB"/>
        </w:rPr>
        <w:t xml:space="preserve"> ich </w:t>
      </w:r>
      <w:proofErr w:type="spellStart"/>
      <w:r w:rsidRPr="004D2B9A">
        <w:rPr>
          <w:lang w:val="en-GB"/>
        </w:rPr>
        <w:t>usytuowanie</w:t>
      </w:r>
      <w:proofErr w:type="spellEnd"/>
      <w:r w:rsidRPr="004D2B9A">
        <w:rPr>
          <w:lang w:val="en-GB"/>
        </w:rPr>
        <w:t>.</w:t>
      </w:r>
    </w:p>
    <w:p w14:paraId="457E3D98" w14:textId="77777777" w:rsidR="0021376F" w:rsidRPr="004D2B9A" w:rsidRDefault="0021376F" w:rsidP="0021376F">
      <w:pPr>
        <w:pStyle w:val="Rlit"/>
        <w:rPr>
          <w:lang w:val="en-GB"/>
        </w:rPr>
      </w:pPr>
      <w:proofErr w:type="spellStart"/>
      <w:r w:rsidRPr="004D2B9A">
        <w:rPr>
          <w:lang w:val="en-GB"/>
        </w:rPr>
        <w:t>Dz.U</w:t>
      </w:r>
      <w:proofErr w:type="spellEnd"/>
      <w:r w:rsidRPr="004D2B9A">
        <w:rPr>
          <w:lang w:val="en-GB"/>
        </w:rPr>
        <w:t xml:space="preserve">. 2007 nr 16 </w:t>
      </w:r>
      <w:proofErr w:type="spellStart"/>
      <w:r w:rsidRPr="004D2B9A">
        <w:rPr>
          <w:lang w:val="en-GB"/>
        </w:rPr>
        <w:t>poz</w:t>
      </w:r>
      <w:proofErr w:type="spellEnd"/>
      <w:r w:rsidRPr="004D2B9A">
        <w:rPr>
          <w:lang w:val="en-GB"/>
        </w:rPr>
        <w:t xml:space="preserve">. 92. </w:t>
      </w:r>
      <w:proofErr w:type="spellStart"/>
      <w:r w:rsidRPr="004D2B9A">
        <w:rPr>
          <w:lang w:val="en-GB"/>
        </w:rPr>
        <w:t>Rozporządzenie</w:t>
      </w:r>
      <w:proofErr w:type="spellEnd"/>
      <w:r w:rsidRPr="004D2B9A">
        <w:rPr>
          <w:lang w:val="en-GB"/>
        </w:rPr>
        <w:t xml:space="preserve"> </w:t>
      </w:r>
      <w:proofErr w:type="spellStart"/>
      <w:r w:rsidRPr="004D2B9A">
        <w:rPr>
          <w:lang w:val="en-GB"/>
        </w:rPr>
        <w:t>Ministra</w:t>
      </w:r>
      <w:proofErr w:type="spellEnd"/>
      <w:r w:rsidRPr="004D2B9A">
        <w:rPr>
          <w:lang w:val="en-GB"/>
        </w:rPr>
        <w:t xml:space="preserve"> </w:t>
      </w:r>
      <w:proofErr w:type="spellStart"/>
      <w:r w:rsidRPr="004D2B9A">
        <w:rPr>
          <w:lang w:val="en-GB"/>
        </w:rPr>
        <w:t>Gospodarki</w:t>
      </w:r>
      <w:proofErr w:type="spellEnd"/>
      <w:r w:rsidRPr="004D2B9A">
        <w:rPr>
          <w:lang w:val="en-GB"/>
        </w:rPr>
        <w:t xml:space="preserve"> z </w:t>
      </w:r>
      <w:proofErr w:type="spellStart"/>
      <w:r w:rsidRPr="004D2B9A">
        <w:rPr>
          <w:lang w:val="en-GB"/>
        </w:rPr>
        <w:t>dnia</w:t>
      </w:r>
      <w:proofErr w:type="spellEnd"/>
      <w:r w:rsidRPr="004D2B9A">
        <w:rPr>
          <w:lang w:val="en-GB"/>
        </w:rPr>
        <w:t xml:space="preserve"> 15 </w:t>
      </w:r>
      <w:proofErr w:type="spellStart"/>
      <w:r w:rsidRPr="004D2B9A">
        <w:rPr>
          <w:lang w:val="en-GB"/>
        </w:rPr>
        <w:t>stycznia</w:t>
      </w:r>
      <w:proofErr w:type="spellEnd"/>
      <w:r w:rsidRPr="004D2B9A">
        <w:rPr>
          <w:lang w:val="en-GB"/>
        </w:rPr>
        <w:t xml:space="preserve"> 2007 r. w </w:t>
      </w:r>
      <w:proofErr w:type="spellStart"/>
      <w:r w:rsidRPr="004D2B9A">
        <w:rPr>
          <w:lang w:val="en-GB"/>
        </w:rPr>
        <w:t>sprawie</w:t>
      </w:r>
      <w:proofErr w:type="spellEnd"/>
      <w:r w:rsidRPr="004D2B9A">
        <w:rPr>
          <w:lang w:val="en-GB"/>
        </w:rPr>
        <w:t xml:space="preserve"> </w:t>
      </w:r>
      <w:proofErr w:type="spellStart"/>
      <w:r w:rsidRPr="004D2B9A">
        <w:rPr>
          <w:lang w:val="en-GB"/>
        </w:rPr>
        <w:t>szczegółowych</w:t>
      </w:r>
      <w:proofErr w:type="spellEnd"/>
      <w:r w:rsidRPr="004D2B9A">
        <w:rPr>
          <w:lang w:val="en-GB"/>
        </w:rPr>
        <w:t xml:space="preserve"> </w:t>
      </w:r>
      <w:proofErr w:type="spellStart"/>
      <w:r w:rsidRPr="004D2B9A">
        <w:rPr>
          <w:lang w:val="en-GB"/>
        </w:rPr>
        <w:t>warunków</w:t>
      </w:r>
      <w:proofErr w:type="spellEnd"/>
      <w:r w:rsidRPr="004D2B9A">
        <w:rPr>
          <w:lang w:val="en-GB"/>
        </w:rPr>
        <w:t xml:space="preserve"> </w:t>
      </w:r>
      <w:proofErr w:type="spellStart"/>
      <w:r w:rsidRPr="004D2B9A">
        <w:rPr>
          <w:lang w:val="en-GB"/>
        </w:rPr>
        <w:t>funkcjonowania</w:t>
      </w:r>
      <w:proofErr w:type="spellEnd"/>
      <w:r w:rsidRPr="004D2B9A">
        <w:rPr>
          <w:lang w:val="en-GB"/>
        </w:rPr>
        <w:t xml:space="preserve"> </w:t>
      </w:r>
      <w:proofErr w:type="spellStart"/>
      <w:r w:rsidRPr="004D2B9A">
        <w:rPr>
          <w:lang w:val="en-GB"/>
        </w:rPr>
        <w:t>systemów</w:t>
      </w:r>
      <w:proofErr w:type="spellEnd"/>
      <w:r w:rsidRPr="004D2B9A">
        <w:rPr>
          <w:lang w:val="en-GB"/>
        </w:rPr>
        <w:t xml:space="preserve"> </w:t>
      </w:r>
      <w:proofErr w:type="spellStart"/>
      <w:r w:rsidRPr="004D2B9A">
        <w:rPr>
          <w:lang w:val="en-GB"/>
        </w:rPr>
        <w:t>ciepłowniczych</w:t>
      </w:r>
      <w:proofErr w:type="spellEnd"/>
      <w:r w:rsidRPr="004D2B9A">
        <w:rPr>
          <w:lang w:val="en-GB"/>
        </w:rPr>
        <w:t>.</w:t>
      </w:r>
    </w:p>
    <w:p w14:paraId="170DDA3F" w14:textId="77777777" w:rsidR="0021376F" w:rsidRPr="004D2B9A" w:rsidRDefault="0021376F" w:rsidP="0021376F">
      <w:pPr>
        <w:pStyle w:val="Rlit"/>
        <w:rPr>
          <w:lang w:val="en-GB"/>
        </w:rPr>
      </w:pPr>
      <w:proofErr w:type="spellStart"/>
      <w:r w:rsidRPr="004D2B9A">
        <w:rPr>
          <w:lang w:val="en-GB"/>
        </w:rPr>
        <w:t>Dz.U</w:t>
      </w:r>
      <w:proofErr w:type="spellEnd"/>
      <w:r w:rsidRPr="004D2B9A">
        <w:rPr>
          <w:lang w:val="en-GB"/>
        </w:rPr>
        <w:t xml:space="preserve">. 2008 nr 201 </w:t>
      </w:r>
      <w:proofErr w:type="spellStart"/>
      <w:r w:rsidRPr="004D2B9A">
        <w:rPr>
          <w:lang w:val="en-GB"/>
        </w:rPr>
        <w:t>poz</w:t>
      </w:r>
      <w:proofErr w:type="spellEnd"/>
      <w:r w:rsidRPr="004D2B9A">
        <w:rPr>
          <w:lang w:val="en-GB"/>
        </w:rPr>
        <w:t xml:space="preserve">. 1240. </w:t>
      </w:r>
      <w:proofErr w:type="spellStart"/>
      <w:r w:rsidRPr="004D2B9A">
        <w:rPr>
          <w:lang w:val="en-GB"/>
        </w:rPr>
        <w:t>Rozporządzenie</w:t>
      </w:r>
      <w:proofErr w:type="spellEnd"/>
      <w:r w:rsidRPr="004D2B9A">
        <w:rPr>
          <w:lang w:val="en-GB"/>
        </w:rPr>
        <w:t xml:space="preserve"> </w:t>
      </w:r>
      <w:proofErr w:type="spellStart"/>
      <w:r w:rsidRPr="004D2B9A">
        <w:rPr>
          <w:lang w:val="en-GB"/>
        </w:rPr>
        <w:t>Ministra</w:t>
      </w:r>
      <w:proofErr w:type="spellEnd"/>
      <w:r w:rsidRPr="004D2B9A">
        <w:rPr>
          <w:lang w:val="en-GB"/>
        </w:rPr>
        <w:t xml:space="preserve"> </w:t>
      </w:r>
      <w:proofErr w:type="spellStart"/>
      <w:r w:rsidRPr="004D2B9A">
        <w:rPr>
          <w:lang w:val="en-GB"/>
        </w:rPr>
        <w:t>Infrastruktury</w:t>
      </w:r>
      <w:proofErr w:type="spellEnd"/>
      <w:r w:rsidRPr="004D2B9A">
        <w:rPr>
          <w:lang w:val="en-GB"/>
        </w:rPr>
        <w:t xml:space="preserve"> z </w:t>
      </w:r>
      <w:proofErr w:type="spellStart"/>
      <w:r w:rsidRPr="004D2B9A">
        <w:rPr>
          <w:lang w:val="en-GB"/>
        </w:rPr>
        <w:t>dnia</w:t>
      </w:r>
      <w:proofErr w:type="spellEnd"/>
      <w:r w:rsidRPr="004D2B9A">
        <w:rPr>
          <w:lang w:val="en-GB"/>
        </w:rPr>
        <w:t xml:space="preserve"> 6 </w:t>
      </w:r>
      <w:proofErr w:type="spellStart"/>
      <w:r w:rsidRPr="004D2B9A">
        <w:rPr>
          <w:lang w:val="en-GB"/>
        </w:rPr>
        <w:t>listopada</w:t>
      </w:r>
      <w:proofErr w:type="spellEnd"/>
      <w:r w:rsidRPr="004D2B9A">
        <w:rPr>
          <w:lang w:val="en-GB"/>
        </w:rPr>
        <w:t xml:space="preserve"> 2008 r. w </w:t>
      </w:r>
      <w:proofErr w:type="spellStart"/>
      <w:r w:rsidRPr="004D2B9A">
        <w:rPr>
          <w:lang w:val="en-GB"/>
        </w:rPr>
        <w:t>sprawie</w:t>
      </w:r>
      <w:proofErr w:type="spellEnd"/>
      <w:r w:rsidRPr="004D2B9A">
        <w:rPr>
          <w:lang w:val="en-GB"/>
        </w:rPr>
        <w:t xml:space="preserve"> </w:t>
      </w:r>
      <w:proofErr w:type="spellStart"/>
      <w:r w:rsidRPr="004D2B9A">
        <w:rPr>
          <w:lang w:val="en-GB"/>
        </w:rPr>
        <w:t>metodologii</w:t>
      </w:r>
      <w:proofErr w:type="spellEnd"/>
      <w:r w:rsidRPr="004D2B9A">
        <w:rPr>
          <w:lang w:val="en-GB"/>
        </w:rPr>
        <w:t xml:space="preserve"> </w:t>
      </w:r>
      <w:proofErr w:type="spellStart"/>
      <w:r w:rsidRPr="004D2B9A">
        <w:rPr>
          <w:lang w:val="en-GB"/>
        </w:rPr>
        <w:t>obliczania</w:t>
      </w:r>
      <w:proofErr w:type="spellEnd"/>
      <w:r w:rsidRPr="004D2B9A">
        <w:rPr>
          <w:lang w:val="en-GB"/>
        </w:rPr>
        <w:t xml:space="preserve"> </w:t>
      </w:r>
      <w:proofErr w:type="spellStart"/>
      <w:r w:rsidRPr="004D2B9A">
        <w:rPr>
          <w:lang w:val="en-GB"/>
        </w:rPr>
        <w:t>charakterystyki</w:t>
      </w:r>
      <w:proofErr w:type="spellEnd"/>
      <w:r w:rsidRPr="004D2B9A">
        <w:rPr>
          <w:lang w:val="en-GB"/>
        </w:rPr>
        <w:t xml:space="preserve"> </w:t>
      </w:r>
      <w:proofErr w:type="spellStart"/>
      <w:r w:rsidRPr="004D2B9A">
        <w:rPr>
          <w:lang w:val="en-GB"/>
        </w:rPr>
        <w:t>energetycznej</w:t>
      </w:r>
      <w:proofErr w:type="spellEnd"/>
      <w:r w:rsidRPr="004D2B9A">
        <w:rPr>
          <w:lang w:val="en-GB"/>
        </w:rPr>
        <w:t xml:space="preserve"> </w:t>
      </w:r>
      <w:proofErr w:type="spellStart"/>
      <w:r w:rsidRPr="004D2B9A">
        <w:rPr>
          <w:lang w:val="en-GB"/>
        </w:rPr>
        <w:t>budynku</w:t>
      </w:r>
      <w:proofErr w:type="spellEnd"/>
      <w:r w:rsidRPr="004D2B9A">
        <w:rPr>
          <w:lang w:val="en-GB"/>
        </w:rPr>
        <w:t xml:space="preserve"> </w:t>
      </w:r>
      <w:proofErr w:type="spellStart"/>
      <w:r w:rsidRPr="004D2B9A">
        <w:rPr>
          <w:lang w:val="en-GB"/>
        </w:rPr>
        <w:t>stanowiącej</w:t>
      </w:r>
      <w:proofErr w:type="spellEnd"/>
      <w:r w:rsidRPr="004D2B9A">
        <w:rPr>
          <w:lang w:val="en-GB"/>
        </w:rPr>
        <w:t xml:space="preserve"> </w:t>
      </w:r>
      <w:proofErr w:type="spellStart"/>
      <w:r w:rsidRPr="004D2B9A">
        <w:rPr>
          <w:lang w:val="en-GB"/>
        </w:rPr>
        <w:t>samodzielną</w:t>
      </w:r>
      <w:proofErr w:type="spellEnd"/>
      <w:r w:rsidRPr="004D2B9A">
        <w:rPr>
          <w:lang w:val="en-GB"/>
        </w:rPr>
        <w:t xml:space="preserve"> </w:t>
      </w:r>
      <w:proofErr w:type="spellStart"/>
      <w:r w:rsidRPr="004D2B9A">
        <w:rPr>
          <w:lang w:val="en-GB"/>
        </w:rPr>
        <w:t>całość</w:t>
      </w:r>
      <w:proofErr w:type="spellEnd"/>
      <w:r w:rsidRPr="004D2B9A">
        <w:rPr>
          <w:lang w:val="en-GB"/>
        </w:rPr>
        <w:t xml:space="preserve"> </w:t>
      </w:r>
      <w:proofErr w:type="spellStart"/>
      <w:r w:rsidRPr="004D2B9A">
        <w:rPr>
          <w:lang w:val="en-GB"/>
        </w:rPr>
        <w:t>techniczno-użytkowa</w:t>
      </w:r>
      <w:proofErr w:type="spellEnd"/>
      <w:r w:rsidRPr="004D2B9A">
        <w:rPr>
          <w:lang w:val="en-GB"/>
        </w:rPr>
        <w:t xml:space="preserve"> </w:t>
      </w:r>
      <w:proofErr w:type="spellStart"/>
      <w:r w:rsidRPr="004D2B9A">
        <w:rPr>
          <w:lang w:val="en-GB"/>
        </w:rPr>
        <w:t>oraz</w:t>
      </w:r>
      <w:proofErr w:type="spellEnd"/>
      <w:r w:rsidRPr="004D2B9A">
        <w:rPr>
          <w:lang w:val="en-GB"/>
        </w:rPr>
        <w:t xml:space="preserve"> </w:t>
      </w:r>
      <w:proofErr w:type="spellStart"/>
      <w:r w:rsidRPr="004D2B9A">
        <w:rPr>
          <w:lang w:val="en-GB"/>
        </w:rPr>
        <w:t>sposobu</w:t>
      </w:r>
      <w:proofErr w:type="spellEnd"/>
      <w:r w:rsidRPr="004D2B9A">
        <w:rPr>
          <w:lang w:val="en-GB"/>
        </w:rPr>
        <w:t xml:space="preserve"> </w:t>
      </w:r>
      <w:proofErr w:type="spellStart"/>
      <w:r w:rsidRPr="004D2B9A">
        <w:rPr>
          <w:lang w:val="en-GB"/>
        </w:rPr>
        <w:t>sporządzania</w:t>
      </w:r>
      <w:proofErr w:type="spellEnd"/>
      <w:r w:rsidRPr="004D2B9A">
        <w:rPr>
          <w:lang w:val="en-GB"/>
        </w:rPr>
        <w:t xml:space="preserve"> </w:t>
      </w:r>
      <w:proofErr w:type="spellStart"/>
      <w:r w:rsidRPr="004D2B9A">
        <w:rPr>
          <w:lang w:val="en-GB"/>
        </w:rPr>
        <w:t>i</w:t>
      </w:r>
      <w:proofErr w:type="spellEnd"/>
      <w:r w:rsidRPr="004D2B9A">
        <w:rPr>
          <w:lang w:val="en-GB"/>
        </w:rPr>
        <w:t xml:space="preserve"> </w:t>
      </w:r>
      <w:proofErr w:type="spellStart"/>
      <w:r w:rsidRPr="004D2B9A">
        <w:rPr>
          <w:lang w:val="en-GB"/>
        </w:rPr>
        <w:t>wzorów</w:t>
      </w:r>
      <w:proofErr w:type="spellEnd"/>
      <w:r w:rsidRPr="004D2B9A">
        <w:rPr>
          <w:lang w:val="en-GB"/>
        </w:rPr>
        <w:t xml:space="preserve"> </w:t>
      </w:r>
      <w:proofErr w:type="spellStart"/>
      <w:r w:rsidRPr="004D2B9A">
        <w:rPr>
          <w:lang w:val="en-GB"/>
        </w:rPr>
        <w:t>świadectw</w:t>
      </w:r>
      <w:proofErr w:type="spellEnd"/>
      <w:r w:rsidRPr="004D2B9A">
        <w:rPr>
          <w:lang w:val="en-GB"/>
        </w:rPr>
        <w:t xml:space="preserve"> ich </w:t>
      </w:r>
      <w:proofErr w:type="spellStart"/>
      <w:r w:rsidRPr="004D2B9A">
        <w:rPr>
          <w:lang w:val="en-GB"/>
        </w:rPr>
        <w:t>charakterystyki</w:t>
      </w:r>
      <w:proofErr w:type="spellEnd"/>
      <w:r w:rsidRPr="004D2B9A">
        <w:rPr>
          <w:lang w:val="en-GB"/>
        </w:rPr>
        <w:t xml:space="preserve"> </w:t>
      </w:r>
      <w:proofErr w:type="spellStart"/>
      <w:r w:rsidRPr="004D2B9A">
        <w:rPr>
          <w:lang w:val="en-GB"/>
        </w:rPr>
        <w:t>energetycznej</w:t>
      </w:r>
      <w:proofErr w:type="spellEnd"/>
      <w:r w:rsidRPr="004D2B9A">
        <w:rPr>
          <w:lang w:val="en-GB"/>
        </w:rPr>
        <w:t>.</w:t>
      </w:r>
    </w:p>
    <w:p w14:paraId="097A5731" w14:textId="4A10C0AD" w:rsidR="0021376F" w:rsidRPr="004D2B9A" w:rsidRDefault="0021376F" w:rsidP="0021376F">
      <w:pPr>
        <w:pStyle w:val="Rlit"/>
        <w:rPr>
          <w:lang w:val="en-GB"/>
        </w:rPr>
      </w:pPr>
      <w:proofErr w:type="spellStart"/>
      <w:r w:rsidRPr="004D2B9A">
        <w:rPr>
          <w:lang w:val="en-GB"/>
        </w:rPr>
        <w:t>Dz.U</w:t>
      </w:r>
      <w:proofErr w:type="spellEnd"/>
      <w:r w:rsidRPr="004D2B9A">
        <w:rPr>
          <w:lang w:val="en-GB"/>
        </w:rPr>
        <w:t xml:space="preserve">. 2015 </w:t>
      </w:r>
      <w:proofErr w:type="spellStart"/>
      <w:r w:rsidRPr="004D2B9A">
        <w:rPr>
          <w:lang w:val="en-GB"/>
        </w:rPr>
        <w:t>poz</w:t>
      </w:r>
      <w:proofErr w:type="spellEnd"/>
      <w:r w:rsidRPr="004D2B9A">
        <w:rPr>
          <w:lang w:val="en-GB"/>
        </w:rPr>
        <w:t xml:space="preserve">. 376 with later changes. </w:t>
      </w:r>
      <w:proofErr w:type="spellStart"/>
      <w:r w:rsidRPr="004D2B9A">
        <w:rPr>
          <w:lang w:val="en-GB"/>
        </w:rPr>
        <w:t>Rozporządzenie</w:t>
      </w:r>
      <w:proofErr w:type="spellEnd"/>
      <w:r w:rsidRPr="004D2B9A">
        <w:rPr>
          <w:lang w:val="en-GB"/>
        </w:rPr>
        <w:t xml:space="preserve"> </w:t>
      </w:r>
      <w:proofErr w:type="spellStart"/>
      <w:r w:rsidRPr="004D2B9A">
        <w:rPr>
          <w:lang w:val="en-GB"/>
        </w:rPr>
        <w:t>Ministra</w:t>
      </w:r>
      <w:proofErr w:type="spellEnd"/>
      <w:r w:rsidRPr="004D2B9A">
        <w:rPr>
          <w:lang w:val="en-GB"/>
        </w:rPr>
        <w:t xml:space="preserve"> </w:t>
      </w:r>
      <w:proofErr w:type="spellStart"/>
      <w:r w:rsidRPr="004D2B9A">
        <w:rPr>
          <w:lang w:val="en-GB"/>
        </w:rPr>
        <w:t>Infrastruktury</w:t>
      </w:r>
      <w:proofErr w:type="spellEnd"/>
      <w:r w:rsidRPr="004D2B9A">
        <w:rPr>
          <w:lang w:val="en-GB"/>
        </w:rPr>
        <w:t xml:space="preserve"> </w:t>
      </w:r>
      <w:proofErr w:type="spellStart"/>
      <w:r w:rsidRPr="004D2B9A">
        <w:rPr>
          <w:lang w:val="en-GB"/>
        </w:rPr>
        <w:t>i</w:t>
      </w:r>
      <w:proofErr w:type="spellEnd"/>
      <w:r w:rsidRPr="004D2B9A">
        <w:rPr>
          <w:lang w:val="en-GB"/>
        </w:rPr>
        <w:t xml:space="preserve"> </w:t>
      </w:r>
      <w:proofErr w:type="spellStart"/>
      <w:r w:rsidRPr="004D2B9A">
        <w:rPr>
          <w:lang w:val="en-GB"/>
        </w:rPr>
        <w:t>Rozwoju</w:t>
      </w:r>
      <w:proofErr w:type="spellEnd"/>
      <w:r w:rsidRPr="004D2B9A">
        <w:rPr>
          <w:lang w:val="en-GB"/>
        </w:rPr>
        <w:t xml:space="preserve"> z </w:t>
      </w:r>
      <w:proofErr w:type="spellStart"/>
      <w:r w:rsidRPr="004D2B9A">
        <w:rPr>
          <w:lang w:val="en-GB"/>
        </w:rPr>
        <w:t>dnia</w:t>
      </w:r>
      <w:proofErr w:type="spellEnd"/>
      <w:r w:rsidRPr="004D2B9A">
        <w:rPr>
          <w:lang w:val="en-GB"/>
        </w:rPr>
        <w:t xml:space="preserve"> 27 </w:t>
      </w:r>
      <w:proofErr w:type="spellStart"/>
      <w:r w:rsidRPr="004D2B9A">
        <w:rPr>
          <w:lang w:val="en-GB"/>
        </w:rPr>
        <w:t>lutego</w:t>
      </w:r>
      <w:proofErr w:type="spellEnd"/>
      <w:r w:rsidRPr="004D2B9A">
        <w:rPr>
          <w:lang w:val="en-GB"/>
        </w:rPr>
        <w:t xml:space="preserve"> 2015 r. w</w:t>
      </w:r>
      <w:r w:rsidR="007773B8">
        <w:rPr>
          <w:lang w:val="en-GB"/>
        </w:rPr>
        <w:t> </w:t>
      </w:r>
      <w:proofErr w:type="spellStart"/>
      <w:r w:rsidRPr="004D2B9A">
        <w:rPr>
          <w:lang w:val="en-GB"/>
        </w:rPr>
        <w:t>sprawie</w:t>
      </w:r>
      <w:proofErr w:type="spellEnd"/>
      <w:r w:rsidRPr="004D2B9A">
        <w:rPr>
          <w:lang w:val="en-GB"/>
        </w:rPr>
        <w:t xml:space="preserve"> </w:t>
      </w:r>
      <w:proofErr w:type="spellStart"/>
      <w:r w:rsidRPr="004D2B9A">
        <w:rPr>
          <w:lang w:val="en-GB"/>
        </w:rPr>
        <w:t>metodologii</w:t>
      </w:r>
      <w:proofErr w:type="spellEnd"/>
      <w:r w:rsidRPr="004D2B9A">
        <w:rPr>
          <w:lang w:val="en-GB"/>
        </w:rPr>
        <w:t xml:space="preserve"> </w:t>
      </w:r>
      <w:proofErr w:type="spellStart"/>
      <w:r w:rsidRPr="004D2B9A">
        <w:rPr>
          <w:lang w:val="en-GB"/>
        </w:rPr>
        <w:t>wyznaczania</w:t>
      </w:r>
      <w:proofErr w:type="spellEnd"/>
      <w:r w:rsidRPr="004D2B9A">
        <w:rPr>
          <w:lang w:val="en-GB"/>
        </w:rPr>
        <w:t xml:space="preserve"> </w:t>
      </w:r>
      <w:proofErr w:type="spellStart"/>
      <w:r w:rsidRPr="004D2B9A">
        <w:rPr>
          <w:lang w:val="en-GB"/>
        </w:rPr>
        <w:t>charakterystyki</w:t>
      </w:r>
      <w:proofErr w:type="spellEnd"/>
      <w:r w:rsidRPr="004D2B9A">
        <w:rPr>
          <w:lang w:val="en-GB"/>
        </w:rPr>
        <w:t xml:space="preserve"> </w:t>
      </w:r>
      <w:proofErr w:type="spellStart"/>
      <w:r w:rsidRPr="004D2B9A">
        <w:rPr>
          <w:lang w:val="en-GB"/>
        </w:rPr>
        <w:t>energetycznej</w:t>
      </w:r>
      <w:proofErr w:type="spellEnd"/>
      <w:r w:rsidRPr="004D2B9A">
        <w:rPr>
          <w:lang w:val="en-GB"/>
        </w:rPr>
        <w:t xml:space="preserve"> </w:t>
      </w:r>
      <w:proofErr w:type="spellStart"/>
      <w:r w:rsidRPr="004D2B9A">
        <w:rPr>
          <w:lang w:val="en-GB"/>
        </w:rPr>
        <w:t>budynku</w:t>
      </w:r>
      <w:proofErr w:type="spellEnd"/>
      <w:r w:rsidRPr="004D2B9A">
        <w:rPr>
          <w:lang w:val="en-GB"/>
        </w:rPr>
        <w:t xml:space="preserve"> </w:t>
      </w:r>
      <w:proofErr w:type="spellStart"/>
      <w:r w:rsidRPr="004D2B9A">
        <w:rPr>
          <w:lang w:val="en-GB"/>
        </w:rPr>
        <w:t>lub</w:t>
      </w:r>
      <w:proofErr w:type="spellEnd"/>
      <w:r w:rsidRPr="004D2B9A">
        <w:rPr>
          <w:lang w:val="en-GB"/>
        </w:rPr>
        <w:t xml:space="preserve"> </w:t>
      </w:r>
      <w:proofErr w:type="spellStart"/>
      <w:r w:rsidRPr="004D2B9A">
        <w:rPr>
          <w:lang w:val="en-GB"/>
        </w:rPr>
        <w:t>części</w:t>
      </w:r>
      <w:proofErr w:type="spellEnd"/>
      <w:r w:rsidRPr="004D2B9A">
        <w:rPr>
          <w:lang w:val="en-GB"/>
        </w:rPr>
        <w:t xml:space="preserve"> </w:t>
      </w:r>
      <w:proofErr w:type="spellStart"/>
      <w:r w:rsidRPr="004D2B9A">
        <w:rPr>
          <w:lang w:val="en-GB"/>
        </w:rPr>
        <w:t>budynku</w:t>
      </w:r>
      <w:proofErr w:type="spellEnd"/>
      <w:r w:rsidRPr="004D2B9A">
        <w:rPr>
          <w:lang w:val="en-GB"/>
        </w:rPr>
        <w:t xml:space="preserve"> </w:t>
      </w:r>
      <w:proofErr w:type="spellStart"/>
      <w:r w:rsidRPr="004D2B9A">
        <w:rPr>
          <w:lang w:val="en-GB"/>
        </w:rPr>
        <w:t>oraz</w:t>
      </w:r>
      <w:proofErr w:type="spellEnd"/>
      <w:r w:rsidRPr="004D2B9A">
        <w:rPr>
          <w:lang w:val="en-GB"/>
        </w:rPr>
        <w:t xml:space="preserve"> </w:t>
      </w:r>
      <w:proofErr w:type="spellStart"/>
      <w:r w:rsidRPr="004D2B9A">
        <w:rPr>
          <w:lang w:val="en-GB"/>
        </w:rPr>
        <w:t>świadectw</w:t>
      </w:r>
      <w:proofErr w:type="spellEnd"/>
      <w:r w:rsidRPr="004D2B9A">
        <w:rPr>
          <w:lang w:val="en-GB"/>
        </w:rPr>
        <w:t xml:space="preserve"> </w:t>
      </w:r>
      <w:proofErr w:type="spellStart"/>
      <w:r w:rsidRPr="004D2B9A">
        <w:rPr>
          <w:lang w:val="en-GB"/>
        </w:rPr>
        <w:t>charakterystyki</w:t>
      </w:r>
      <w:proofErr w:type="spellEnd"/>
      <w:r w:rsidRPr="004D2B9A">
        <w:rPr>
          <w:lang w:val="en-GB"/>
        </w:rPr>
        <w:t xml:space="preserve"> </w:t>
      </w:r>
      <w:proofErr w:type="spellStart"/>
      <w:r w:rsidRPr="004D2B9A">
        <w:rPr>
          <w:lang w:val="en-GB"/>
        </w:rPr>
        <w:t>energetycznej</w:t>
      </w:r>
      <w:proofErr w:type="spellEnd"/>
      <w:r w:rsidRPr="004D2B9A">
        <w:rPr>
          <w:lang w:val="en-GB"/>
        </w:rPr>
        <w:t>.</w:t>
      </w:r>
    </w:p>
    <w:p w14:paraId="10FD7CB0" w14:textId="77777777" w:rsidR="0021376F" w:rsidRPr="004D2B9A" w:rsidRDefault="0021376F" w:rsidP="0021376F">
      <w:pPr>
        <w:pStyle w:val="Rlit"/>
        <w:rPr>
          <w:lang w:val="en-GB"/>
        </w:rPr>
      </w:pPr>
      <w:r w:rsidRPr="004D2B9A">
        <w:rPr>
          <w:lang w:val="en-GB"/>
        </w:rPr>
        <w:t xml:space="preserve">GUS. (2025). Construction in 2024. Warszawa. </w:t>
      </w:r>
      <w:proofErr w:type="spellStart"/>
      <w:r w:rsidRPr="004D2B9A">
        <w:rPr>
          <w:lang w:val="en-GB"/>
        </w:rPr>
        <w:t>Główny</w:t>
      </w:r>
      <w:proofErr w:type="spellEnd"/>
      <w:r w:rsidRPr="004D2B9A">
        <w:rPr>
          <w:lang w:val="en-GB"/>
        </w:rPr>
        <w:t xml:space="preserve"> </w:t>
      </w:r>
      <w:proofErr w:type="spellStart"/>
      <w:r w:rsidRPr="004D2B9A">
        <w:rPr>
          <w:lang w:val="en-GB"/>
        </w:rPr>
        <w:t>Urząd</w:t>
      </w:r>
      <w:proofErr w:type="spellEnd"/>
      <w:r w:rsidRPr="004D2B9A">
        <w:rPr>
          <w:lang w:val="en-GB"/>
        </w:rPr>
        <w:t xml:space="preserve"> </w:t>
      </w:r>
      <w:proofErr w:type="spellStart"/>
      <w:r w:rsidRPr="004D2B9A">
        <w:rPr>
          <w:lang w:val="en-GB"/>
        </w:rPr>
        <w:t>Statystyczny</w:t>
      </w:r>
      <w:proofErr w:type="spellEnd"/>
      <w:r w:rsidRPr="004D2B9A">
        <w:rPr>
          <w:lang w:val="en-GB"/>
        </w:rPr>
        <w:t>. (in Polish)</w:t>
      </w:r>
    </w:p>
    <w:p w14:paraId="2436AE70" w14:textId="4A041D16" w:rsidR="0021376F" w:rsidRPr="004D2B9A" w:rsidRDefault="0021376F" w:rsidP="0021376F">
      <w:pPr>
        <w:pStyle w:val="Rlit"/>
        <w:rPr>
          <w:lang w:val="en-GB"/>
        </w:rPr>
      </w:pPr>
      <w:r w:rsidRPr="004D2B9A">
        <w:rPr>
          <w:lang w:val="en-GB"/>
        </w:rPr>
        <w:t xml:space="preserve">PN EN 12831:2006 </w:t>
      </w:r>
      <w:proofErr w:type="spellStart"/>
      <w:r w:rsidRPr="004D2B9A">
        <w:rPr>
          <w:lang w:val="en-GB"/>
        </w:rPr>
        <w:t>Instalacje</w:t>
      </w:r>
      <w:proofErr w:type="spellEnd"/>
      <w:r w:rsidRPr="004D2B9A">
        <w:rPr>
          <w:lang w:val="en-GB"/>
        </w:rPr>
        <w:t xml:space="preserve"> </w:t>
      </w:r>
      <w:proofErr w:type="spellStart"/>
      <w:r w:rsidRPr="004D2B9A">
        <w:rPr>
          <w:lang w:val="en-GB"/>
        </w:rPr>
        <w:t>ogrzewcze</w:t>
      </w:r>
      <w:proofErr w:type="spellEnd"/>
      <w:r w:rsidRPr="004D2B9A">
        <w:rPr>
          <w:lang w:val="en-GB"/>
        </w:rPr>
        <w:t xml:space="preserve"> w </w:t>
      </w:r>
      <w:proofErr w:type="spellStart"/>
      <w:r w:rsidRPr="004D2B9A">
        <w:rPr>
          <w:lang w:val="en-GB"/>
        </w:rPr>
        <w:t>budynkach</w:t>
      </w:r>
      <w:proofErr w:type="spellEnd"/>
      <w:r w:rsidRPr="004D2B9A">
        <w:rPr>
          <w:lang w:val="en-GB"/>
        </w:rPr>
        <w:t xml:space="preserve"> </w:t>
      </w:r>
      <w:r w:rsidR="00200538">
        <w:rPr>
          <w:lang w:val="en-GB"/>
        </w:rPr>
        <w:t>–</w:t>
      </w:r>
      <w:r w:rsidRPr="004D2B9A">
        <w:rPr>
          <w:lang w:val="en-GB"/>
        </w:rPr>
        <w:t xml:space="preserve"> </w:t>
      </w:r>
      <w:proofErr w:type="spellStart"/>
      <w:r w:rsidRPr="004D2B9A">
        <w:rPr>
          <w:lang w:val="en-GB"/>
        </w:rPr>
        <w:t>Metoda</w:t>
      </w:r>
      <w:proofErr w:type="spellEnd"/>
      <w:r w:rsidRPr="004D2B9A">
        <w:rPr>
          <w:lang w:val="en-GB"/>
        </w:rPr>
        <w:t xml:space="preserve"> </w:t>
      </w:r>
      <w:proofErr w:type="spellStart"/>
      <w:r w:rsidRPr="004D2B9A">
        <w:rPr>
          <w:lang w:val="en-GB"/>
        </w:rPr>
        <w:t>Obliczania</w:t>
      </w:r>
      <w:proofErr w:type="spellEnd"/>
      <w:r w:rsidRPr="004D2B9A">
        <w:rPr>
          <w:lang w:val="en-GB"/>
        </w:rPr>
        <w:t xml:space="preserve"> </w:t>
      </w:r>
      <w:proofErr w:type="spellStart"/>
      <w:r w:rsidRPr="004D2B9A">
        <w:rPr>
          <w:lang w:val="en-GB"/>
        </w:rPr>
        <w:t>projektowego</w:t>
      </w:r>
      <w:proofErr w:type="spellEnd"/>
      <w:r w:rsidRPr="004D2B9A">
        <w:rPr>
          <w:lang w:val="en-GB"/>
        </w:rPr>
        <w:t xml:space="preserve"> </w:t>
      </w:r>
      <w:proofErr w:type="spellStart"/>
      <w:r w:rsidRPr="004D2B9A">
        <w:rPr>
          <w:lang w:val="en-GB"/>
        </w:rPr>
        <w:t>obciążenia</w:t>
      </w:r>
      <w:proofErr w:type="spellEnd"/>
      <w:r w:rsidRPr="004D2B9A">
        <w:rPr>
          <w:lang w:val="en-GB"/>
        </w:rPr>
        <w:t xml:space="preserve"> </w:t>
      </w:r>
      <w:proofErr w:type="spellStart"/>
      <w:r w:rsidRPr="004D2B9A">
        <w:rPr>
          <w:lang w:val="en-GB"/>
        </w:rPr>
        <w:t>cieplnego</w:t>
      </w:r>
      <w:proofErr w:type="spellEnd"/>
      <w:r w:rsidRPr="004D2B9A">
        <w:rPr>
          <w:lang w:val="en-GB"/>
        </w:rPr>
        <w:t>.</w:t>
      </w:r>
    </w:p>
    <w:p w14:paraId="62E8F185" w14:textId="77777777" w:rsidR="00200538" w:rsidRPr="004D2B9A" w:rsidRDefault="00200538" w:rsidP="00200538">
      <w:pPr>
        <w:pStyle w:val="Rlit"/>
        <w:rPr>
          <w:lang w:val="en-GB"/>
        </w:rPr>
      </w:pPr>
      <w:r w:rsidRPr="004D2B9A">
        <w:rPr>
          <w:lang w:val="en-GB"/>
        </w:rPr>
        <w:t>EDSL Limited. (2025). TAS 3D Modeller v 3.5.6 documentation. Milton Keynes.</w:t>
      </w:r>
    </w:p>
    <w:p w14:paraId="7904DC95" w14:textId="77777777" w:rsidR="0021376F" w:rsidRPr="004D2B9A" w:rsidRDefault="0021376F" w:rsidP="0021376F">
      <w:pPr>
        <w:pStyle w:val="Rlit"/>
        <w:rPr>
          <w:lang w:val="en-GB"/>
        </w:rPr>
      </w:pPr>
      <w:r w:rsidRPr="004D2B9A">
        <w:rPr>
          <w:lang w:val="en-GB"/>
        </w:rPr>
        <w:t xml:space="preserve">Mitsubishi Electric. (2025). </w:t>
      </w:r>
      <w:proofErr w:type="spellStart"/>
      <w:r w:rsidRPr="004D2B9A">
        <w:rPr>
          <w:lang w:val="en-GB"/>
        </w:rPr>
        <w:t>Ecodan</w:t>
      </w:r>
      <w:proofErr w:type="spellEnd"/>
      <w:r w:rsidRPr="004D2B9A">
        <w:rPr>
          <w:lang w:val="en-GB"/>
        </w:rPr>
        <w:t xml:space="preserve"> Renewable Heating Technology Data Book. Vol.4.1.</w:t>
      </w:r>
    </w:p>
    <w:p w14:paraId="6ADA6DB9" w14:textId="77777777" w:rsidR="0021376F" w:rsidRPr="004D2B9A" w:rsidRDefault="0021376F" w:rsidP="0021376F">
      <w:pPr>
        <w:pStyle w:val="Rlit"/>
        <w:rPr>
          <w:lang w:val="en-GB"/>
        </w:rPr>
      </w:pPr>
      <w:r w:rsidRPr="004D2B9A">
        <w:rPr>
          <w:lang w:val="en-GB"/>
        </w:rPr>
        <w:t>https://www.gov.pl/web/archiwum-inwestycje-rozwoj/dane-do-obliczen-energetycznych-budynkow [access: 12.2025]</w:t>
      </w:r>
    </w:p>
    <w:p w14:paraId="09142952" w14:textId="77777777" w:rsidR="0021376F" w:rsidRPr="004D2B9A" w:rsidRDefault="0021376F" w:rsidP="004D2B9A">
      <w:pPr>
        <w:pStyle w:val="Rlit"/>
        <w:rPr>
          <w:lang w:val="en-GB"/>
        </w:rPr>
      </w:pPr>
    </w:p>
    <w:sectPr w:rsidR="0021376F" w:rsidRPr="004D2B9A" w:rsidSect="00602613">
      <w:headerReference w:type="even" r:id="rId16"/>
      <w:headerReference w:type="default" r:id="rId17"/>
      <w:footerReference w:type="first" r:id="rId18"/>
      <w:pgSz w:w="11906" w:h="16838" w:code="9"/>
      <w:pgMar w:top="1134" w:right="1134" w:bottom="1134" w:left="1134" w:header="567" w:footer="567" w:gutter="0"/>
      <w:pgNumType w:start="8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482CD" w14:textId="77777777" w:rsidR="00C86D5F" w:rsidRDefault="00C86D5F" w:rsidP="00E816F4">
      <w:r>
        <w:separator/>
      </w:r>
    </w:p>
  </w:endnote>
  <w:endnote w:type="continuationSeparator" w:id="0">
    <w:p w14:paraId="0F929BD3" w14:textId="77777777" w:rsidR="00C86D5F" w:rsidRDefault="00C86D5F" w:rsidP="00E8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E816F4" w:rsidRPr="00517535" w14:paraId="3E4C0E8E" w14:textId="77777777" w:rsidTr="007A5584">
      <w:trPr>
        <w:trHeight w:val="198"/>
      </w:trPr>
      <w:tc>
        <w:tcPr>
          <w:tcW w:w="1384" w:type="dxa"/>
          <w:vAlign w:val="center"/>
        </w:tcPr>
        <w:p w14:paraId="1F898FAE" w14:textId="77777777" w:rsidR="00E816F4" w:rsidRPr="00517535" w:rsidRDefault="00E816F4" w:rsidP="004D2B9A">
          <w:pPr>
            <w:ind w:left="-107" w:firstLine="0"/>
            <w:rPr>
              <w:rFonts w:cs="Times New Roman"/>
            </w:rPr>
          </w:pPr>
          <w:bookmarkStart w:id="5" w:name="_Hlk104286226"/>
          <w:bookmarkStart w:id="6" w:name="_Hlk104286227"/>
          <w:bookmarkStart w:id="7" w:name="_Hlk154270864"/>
          <w:bookmarkStart w:id="8" w:name="_Hlk154270865"/>
          <w:r w:rsidRPr="00517535">
            <w:rPr>
              <w:rFonts w:cs="Times New Roman"/>
              <w:noProof/>
              <w:lang w:val="en-GB" w:eastAsia="en-GB"/>
            </w:rPr>
            <w:drawing>
              <wp:inline distT="0" distB="0" distL="0" distR="0" wp14:anchorId="0981A1C1" wp14:editId="4D273205">
                <wp:extent cx="690245" cy="235585"/>
                <wp:effectExtent l="0" t="0" r="0" b="0"/>
                <wp:docPr id="165875751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245" cy="235585"/>
                        </a:xfrm>
                        <a:prstGeom prst="rect">
                          <a:avLst/>
                        </a:prstGeom>
                        <a:noFill/>
                        <a:ln>
                          <a:noFill/>
                        </a:ln>
                      </pic:spPr>
                    </pic:pic>
                  </a:graphicData>
                </a:graphic>
              </wp:inline>
            </w:drawing>
          </w:r>
        </w:p>
      </w:tc>
      <w:tc>
        <w:tcPr>
          <w:tcW w:w="5387" w:type="dxa"/>
          <w:vAlign w:val="center"/>
        </w:tcPr>
        <w:p w14:paraId="7B59C79F" w14:textId="77777777" w:rsidR="00E816F4" w:rsidRPr="00517535" w:rsidRDefault="00E816F4" w:rsidP="004D2B9A">
          <w:pPr>
            <w:suppressAutoHyphens/>
            <w:ind w:left="-75" w:firstLine="0"/>
            <w:rPr>
              <w:rFonts w:cs="Times New Roman"/>
              <w:sz w:val="18"/>
              <w:lang w:val="en-GB"/>
            </w:rPr>
          </w:pPr>
          <w:r w:rsidRPr="00517535">
            <w:rPr>
              <w:rFonts w:cs="Times New Roman"/>
              <w:sz w:val="18"/>
              <w:lang w:val="en-GB"/>
            </w:rPr>
            <w:t>© 2025. Author(s). This work is licensed under a Creative Commons Attribution 4.0 International License (CC BY-SA)</w:t>
          </w:r>
        </w:p>
      </w:tc>
    </w:tr>
    <w:bookmarkEnd w:id="5"/>
    <w:bookmarkEnd w:id="6"/>
    <w:bookmarkEnd w:id="7"/>
    <w:bookmarkEnd w:id="8"/>
  </w:tbl>
  <w:p w14:paraId="06D737BA" w14:textId="77777777" w:rsidR="00E816F4" w:rsidRPr="00517535" w:rsidRDefault="00E816F4" w:rsidP="004D2B9A">
    <w:pPr>
      <w:pStyle w:val="Stopka"/>
      <w:ind w:firstLine="0"/>
      <w:rPr>
        <w:rFonts w:cs="Times New Roman"/>
        <w:sz w:val="8"/>
        <w:szCs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3500" w14:textId="77777777" w:rsidR="00C86D5F" w:rsidRDefault="00C86D5F" w:rsidP="00E816F4">
      <w:r>
        <w:separator/>
      </w:r>
    </w:p>
  </w:footnote>
  <w:footnote w:type="continuationSeparator" w:id="0">
    <w:p w14:paraId="793CF615" w14:textId="77777777" w:rsidR="00C86D5F" w:rsidRDefault="00C86D5F" w:rsidP="00E81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E816F4" w:rsidRPr="00855C77" w14:paraId="6168A6AA" w14:textId="77777777" w:rsidTr="007A5584">
      <w:trPr>
        <w:trHeight w:hRule="exact" w:val="284"/>
      </w:trPr>
      <w:tc>
        <w:tcPr>
          <w:tcW w:w="397" w:type="dxa"/>
          <w:vAlign w:val="center"/>
        </w:tcPr>
        <w:p w14:paraId="0FBB20E7" w14:textId="77777777" w:rsidR="00E816F4" w:rsidRPr="00855C77" w:rsidRDefault="00E816F4" w:rsidP="00E816F4">
          <w:pPr>
            <w:pStyle w:val="Nagwek"/>
            <w:ind w:firstLine="0"/>
            <w:rPr>
              <w:rFonts w:ascii="Arial" w:hAnsi="Arial" w:cs="Arial"/>
              <w:i/>
              <w:sz w:val="20"/>
              <w:lang w:val="en-GB"/>
            </w:rPr>
          </w:pPr>
          <w:r w:rsidRPr="00855C77">
            <w:rPr>
              <w:rFonts w:ascii="Arial" w:hAnsi="Arial" w:cs="Arial"/>
              <w:sz w:val="20"/>
              <w:lang w:val="en-GB"/>
            </w:rPr>
            <w:fldChar w:fldCharType="begin"/>
          </w:r>
          <w:r w:rsidRPr="00855C77">
            <w:rPr>
              <w:rFonts w:ascii="Arial" w:hAnsi="Arial" w:cs="Arial"/>
              <w:sz w:val="20"/>
              <w:lang w:val="en-GB"/>
            </w:rPr>
            <w:instrText xml:space="preserve"> PAGE   \* MERGEFORMAT </w:instrText>
          </w:r>
          <w:r w:rsidRPr="00855C77">
            <w:rPr>
              <w:rFonts w:ascii="Arial" w:hAnsi="Arial" w:cs="Arial"/>
              <w:sz w:val="20"/>
              <w:lang w:val="en-GB"/>
            </w:rPr>
            <w:fldChar w:fldCharType="separate"/>
          </w:r>
          <w:r>
            <w:rPr>
              <w:rFonts w:ascii="Arial" w:hAnsi="Arial" w:cs="Arial"/>
              <w:sz w:val="20"/>
              <w:lang w:val="en-GB"/>
            </w:rPr>
            <w:t>2</w:t>
          </w:r>
          <w:r w:rsidRPr="00855C77">
            <w:rPr>
              <w:rFonts w:ascii="Arial" w:hAnsi="Arial" w:cs="Arial"/>
              <w:sz w:val="20"/>
              <w:lang w:val="en-GB"/>
            </w:rPr>
            <w:fldChar w:fldCharType="end"/>
          </w:r>
        </w:p>
      </w:tc>
      <w:tc>
        <w:tcPr>
          <w:tcW w:w="9242" w:type="dxa"/>
          <w:vAlign w:val="center"/>
        </w:tcPr>
        <w:p w14:paraId="18E9EE53" w14:textId="0F8029BF" w:rsidR="00E816F4" w:rsidRPr="00361064" w:rsidRDefault="004D2B9A" w:rsidP="00E816F4">
          <w:pPr>
            <w:pStyle w:val="Nagwek"/>
            <w:ind w:firstLine="0"/>
            <w:jc w:val="center"/>
            <w:rPr>
              <w:rFonts w:ascii="Arial" w:hAnsi="Arial" w:cs="Arial"/>
              <w:i/>
              <w:sz w:val="20"/>
            </w:rPr>
          </w:pPr>
          <w:r w:rsidRPr="004D2B9A">
            <w:rPr>
              <w:rFonts w:ascii="Arial" w:hAnsi="Arial" w:cs="Arial"/>
              <w:i/>
              <w:sz w:val="20"/>
            </w:rPr>
            <w:t xml:space="preserve">Piotr </w:t>
          </w:r>
          <w:proofErr w:type="spellStart"/>
          <w:r w:rsidRPr="004D2B9A">
            <w:rPr>
              <w:rFonts w:ascii="Arial" w:hAnsi="Arial" w:cs="Arial"/>
              <w:i/>
              <w:sz w:val="20"/>
            </w:rPr>
            <w:t>Kęskiewicz</w:t>
          </w:r>
          <w:proofErr w:type="spellEnd"/>
        </w:p>
      </w:tc>
    </w:tr>
  </w:tbl>
  <w:p w14:paraId="06CEB0A9" w14:textId="77777777" w:rsidR="00E816F4" w:rsidRPr="00E90ABA" w:rsidRDefault="00E816F4" w:rsidP="00E816F4">
    <w:pPr>
      <w:pStyle w:val="Nagwek"/>
      <w:ind w:firstLine="0"/>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E816F4" w:rsidRPr="00855C77" w14:paraId="71D4F48A" w14:textId="77777777" w:rsidTr="007A5584">
      <w:trPr>
        <w:trHeight w:hRule="exact" w:val="284"/>
        <w:jc w:val="right"/>
      </w:trPr>
      <w:tc>
        <w:tcPr>
          <w:tcW w:w="9243" w:type="dxa"/>
          <w:vAlign w:val="center"/>
        </w:tcPr>
        <w:p w14:paraId="4DD93DA0" w14:textId="703FA5EB" w:rsidR="00E816F4" w:rsidRPr="00855C77" w:rsidRDefault="00602613" w:rsidP="00E816F4">
          <w:pPr>
            <w:pStyle w:val="Nagwek"/>
            <w:ind w:firstLine="0"/>
            <w:jc w:val="center"/>
            <w:rPr>
              <w:rFonts w:ascii="Arial" w:hAnsi="Arial" w:cs="Arial"/>
              <w:i/>
              <w:sz w:val="20"/>
              <w:szCs w:val="12"/>
              <w:lang w:val="en-GB"/>
            </w:rPr>
          </w:pPr>
          <w:r w:rsidRPr="00602613">
            <w:rPr>
              <w:rFonts w:ascii="Arial" w:hAnsi="Arial" w:cs="Arial"/>
              <w:i/>
              <w:sz w:val="20"/>
              <w:szCs w:val="12"/>
              <w:lang w:val="en-GB"/>
            </w:rPr>
            <w:t>The Impact of Using a Simplified Method for Determining Hourly Heating Load</w:t>
          </w:r>
          <w:r w:rsidR="00E816F4">
            <w:rPr>
              <w:rFonts w:ascii="Arial" w:hAnsi="Arial" w:cs="Arial"/>
              <w:i/>
              <w:sz w:val="20"/>
              <w:szCs w:val="12"/>
              <w:lang w:val="en-GB"/>
            </w:rPr>
            <w:t>…</w:t>
          </w:r>
        </w:p>
      </w:tc>
      <w:tc>
        <w:tcPr>
          <w:tcW w:w="397" w:type="dxa"/>
          <w:vAlign w:val="center"/>
        </w:tcPr>
        <w:p w14:paraId="221DF1E0" w14:textId="77777777" w:rsidR="00E816F4" w:rsidRPr="00855C77" w:rsidRDefault="00E816F4" w:rsidP="00E816F4">
          <w:pPr>
            <w:pStyle w:val="Nagwek"/>
            <w:ind w:firstLine="0"/>
            <w:jc w:val="right"/>
            <w:rPr>
              <w:rFonts w:ascii="Arial" w:hAnsi="Arial" w:cs="Arial"/>
              <w:i/>
              <w:sz w:val="20"/>
              <w:szCs w:val="12"/>
              <w:lang w:val="en-GB"/>
            </w:rPr>
          </w:pPr>
          <w:r w:rsidRPr="00855C77">
            <w:rPr>
              <w:rFonts w:ascii="Arial" w:hAnsi="Arial" w:cs="Arial"/>
              <w:sz w:val="20"/>
              <w:szCs w:val="12"/>
              <w:lang w:val="en-GB"/>
            </w:rPr>
            <w:fldChar w:fldCharType="begin"/>
          </w:r>
          <w:r w:rsidRPr="00855C77">
            <w:rPr>
              <w:rFonts w:ascii="Arial" w:hAnsi="Arial" w:cs="Arial"/>
              <w:sz w:val="20"/>
              <w:szCs w:val="12"/>
              <w:lang w:val="en-GB"/>
            </w:rPr>
            <w:instrText xml:space="preserve"> PAGE   \* MERGEFORMAT </w:instrText>
          </w:r>
          <w:r w:rsidRPr="00855C77">
            <w:rPr>
              <w:rFonts w:ascii="Arial" w:hAnsi="Arial" w:cs="Arial"/>
              <w:sz w:val="20"/>
              <w:szCs w:val="12"/>
              <w:lang w:val="en-GB"/>
            </w:rPr>
            <w:fldChar w:fldCharType="separate"/>
          </w:r>
          <w:r>
            <w:rPr>
              <w:rFonts w:ascii="Arial" w:hAnsi="Arial" w:cs="Arial"/>
              <w:sz w:val="20"/>
              <w:szCs w:val="12"/>
              <w:lang w:val="en-GB"/>
            </w:rPr>
            <w:t>3</w:t>
          </w:r>
          <w:r w:rsidRPr="00855C77">
            <w:rPr>
              <w:rFonts w:ascii="Arial" w:hAnsi="Arial" w:cs="Arial"/>
              <w:sz w:val="20"/>
              <w:szCs w:val="12"/>
              <w:lang w:val="en-GB"/>
            </w:rPr>
            <w:fldChar w:fldCharType="end"/>
          </w:r>
        </w:p>
      </w:tc>
    </w:tr>
  </w:tbl>
  <w:p w14:paraId="11B64DFE" w14:textId="77777777" w:rsidR="00E816F4" w:rsidRPr="00007E12" w:rsidRDefault="00E816F4" w:rsidP="00E816F4">
    <w:pPr>
      <w:pStyle w:val="Nagwek"/>
      <w:ind w:firstLine="0"/>
      <w:rPr>
        <w:rFonts w:ascii="Arial" w:hAnsi="Arial" w:cs="Arial"/>
        <w:sz w:val="6"/>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5B88"/>
    <w:multiLevelType w:val="hybridMultilevel"/>
    <w:tmpl w:val="8EF82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3D2A4D"/>
    <w:multiLevelType w:val="hybridMultilevel"/>
    <w:tmpl w:val="013A7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350412C"/>
    <w:multiLevelType w:val="hybridMultilevel"/>
    <w:tmpl w:val="8C7CDBEC"/>
    <w:lvl w:ilvl="0" w:tplc="728E4EF4">
      <w:start w:val="1"/>
      <w:numFmt w:val="decimal"/>
      <w:lvlText w:val="[%1.]"/>
      <w:lvlJc w:val="left"/>
      <w:pPr>
        <w:ind w:left="720" w:hanging="360"/>
      </w:pPr>
    </w:lvl>
    <w:lvl w:ilvl="1" w:tplc="6838AC00">
      <w:start w:val="1"/>
      <w:numFmt w:val="lowerLetter"/>
      <w:lvlText w:val="%2."/>
      <w:lvlJc w:val="left"/>
      <w:pPr>
        <w:ind w:left="1440" w:hanging="360"/>
      </w:pPr>
    </w:lvl>
    <w:lvl w:ilvl="2" w:tplc="FE3AAC16">
      <w:start w:val="1"/>
      <w:numFmt w:val="lowerRoman"/>
      <w:lvlText w:val="%3."/>
      <w:lvlJc w:val="right"/>
      <w:pPr>
        <w:ind w:left="2160" w:hanging="180"/>
      </w:pPr>
    </w:lvl>
    <w:lvl w:ilvl="3" w:tplc="60A077FE">
      <w:start w:val="1"/>
      <w:numFmt w:val="decimal"/>
      <w:lvlText w:val="%4."/>
      <w:lvlJc w:val="left"/>
      <w:pPr>
        <w:ind w:left="2880" w:hanging="360"/>
      </w:pPr>
    </w:lvl>
    <w:lvl w:ilvl="4" w:tplc="E33ADA32">
      <w:start w:val="1"/>
      <w:numFmt w:val="lowerLetter"/>
      <w:lvlText w:val="%5."/>
      <w:lvlJc w:val="left"/>
      <w:pPr>
        <w:ind w:left="3600" w:hanging="360"/>
      </w:pPr>
    </w:lvl>
    <w:lvl w:ilvl="5" w:tplc="6B180044">
      <w:start w:val="1"/>
      <w:numFmt w:val="lowerRoman"/>
      <w:lvlText w:val="%6."/>
      <w:lvlJc w:val="right"/>
      <w:pPr>
        <w:ind w:left="4320" w:hanging="180"/>
      </w:pPr>
    </w:lvl>
    <w:lvl w:ilvl="6" w:tplc="AAC62304">
      <w:start w:val="1"/>
      <w:numFmt w:val="decimal"/>
      <w:lvlText w:val="%7."/>
      <w:lvlJc w:val="left"/>
      <w:pPr>
        <w:ind w:left="5040" w:hanging="360"/>
      </w:pPr>
    </w:lvl>
    <w:lvl w:ilvl="7" w:tplc="9796C1E8">
      <w:start w:val="1"/>
      <w:numFmt w:val="lowerLetter"/>
      <w:lvlText w:val="%8."/>
      <w:lvlJc w:val="left"/>
      <w:pPr>
        <w:ind w:left="5760" w:hanging="360"/>
      </w:pPr>
    </w:lvl>
    <w:lvl w:ilvl="8" w:tplc="6B7AB1EE">
      <w:start w:val="1"/>
      <w:numFmt w:val="lowerRoman"/>
      <w:lvlText w:val="%9."/>
      <w:lvlJc w:val="right"/>
      <w:pPr>
        <w:ind w:left="6480" w:hanging="180"/>
      </w:pPr>
    </w:lvl>
  </w:abstractNum>
  <w:abstractNum w:abstractNumId="3" w15:restartNumberingAfterBreak="0">
    <w:nsid w:val="46EE5603"/>
    <w:multiLevelType w:val="hybridMultilevel"/>
    <w:tmpl w:val="E10408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71412E3"/>
    <w:multiLevelType w:val="hybridMultilevel"/>
    <w:tmpl w:val="73B8F2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07F43D1"/>
    <w:multiLevelType w:val="hybridMultilevel"/>
    <w:tmpl w:val="DD802DF4"/>
    <w:lvl w:ilvl="0" w:tplc="3954B448">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87713461">
    <w:abstractNumId w:val="3"/>
  </w:num>
  <w:num w:numId="2" w16cid:durableId="1162770876">
    <w:abstractNumId w:val="4"/>
  </w:num>
  <w:num w:numId="3" w16cid:durableId="1308319876">
    <w:abstractNumId w:val="0"/>
  </w:num>
  <w:num w:numId="4" w16cid:durableId="742219646">
    <w:abstractNumId w:val="1"/>
  </w:num>
  <w:num w:numId="5" w16cid:durableId="1544707661">
    <w:abstractNumId w:val="5"/>
  </w:num>
  <w:num w:numId="6" w16cid:durableId="273487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hideSpellingErrors/>
  <w:hideGrammaticalErrors/>
  <w:proofState w:spelling="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SxsDQzMzUxNjUztDRT0lEKTi0uzszPAykwrAUAmxGTQiwAAAA="/>
  </w:docVars>
  <w:rsids>
    <w:rsidRoot w:val="00ED2AE3"/>
    <w:rsid w:val="00006EA4"/>
    <w:rsid w:val="0001464E"/>
    <w:rsid w:val="00015971"/>
    <w:rsid w:val="0002111D"/>
    <w:rsid w:val="0003056A"/>
    <w:rsid w:val="00034636"/>
    <w:rsid w:val="00037687"/>
    <w:rsid w:val="00041361"/>
    <w:rsid w:val="000610AA"/>
    <w:rsid w:val="000623AC"/>
    <w:rsid w:val="000627BD"/>
    <w:rsid w:val="00064262"/>
    <w:rsid w:val="00064A6D"/>
    <w:rsid w:val="00066A80"/>
    <w:rsid w:val="00071CC3"/>
    <w:rsid w:val="00075B2F"/>
    <w:rsid w:val="000808AD"/>
    <w:rsid w:val="000848F1"/>
    <w:rsid w:val="0009689E"/>
    <w:rsid w:val="000A3BC3"/>
    <w:rsid w:val="000B1E33"/>
    <w:rsid w:val="000B6D30"/>
    <w:rsid w:val="000C5160"/>
    <w:rsid w:val="000C6CB1"/>
    <w:rsid w:val="000D35CA"/>
    <w:rsid w:val="000D406B"/>
    <w:rsid w:val="000D58E2"/>
    <w:rsid w:val="000E0F26"/>
    <w:rsid w:val="000E11D1"/>
    <w:rsid w:val="000F7452"/>
    <w:rsid w:val="00103FFF"/>
    <w:rsid w:val="00106CBA"/>
    <w:rsid w:val="00107838"/>
    <w:rsid w:val="00111902"/>
    <w:rsid w:val="0011241D"/>
    <w:rsid w:val="001126EF"/>
    <w:rsid w:val="0011421E"/>
    <w:rsid w:val="00115862"/>
    <w:rsid w:val="00117D24"/>
    <w:rsid w:val="001232A6"/>
    <w:rsid w:val="0012653A"/>
    <w:rsid w:val="00136CE9"/>
    <w:rsid w:val="001373FC"/>
    <w:rsid w:val="00161BCB"/>
    <w:rsid w:val="00164DE1"/>
    <w:rsid w:val="00187793"/>
    <w:rsid w:val="0019036D"/>
    <w:rsid w:val="001928EB"/>
    <w:rsid w:val="0019695C"/>
    <w:rsid w:val="001A3678"/>
    <w:rsid w:val="001A5D17"/>
    <w:rsid w:val="001B3CF8"/>
    <w:rsid w:val="001B5B26"/>
    <w:rsid w:val="001C4907"/>
    <w:rsid w:val="001D15F5"/>
    <w:rsid w:val="001D3180"/>
    <w:rsid w:val="001D51CA"/>
    <w:rsid w:val="001E641E"/>
    <w:rsid w:val="001E6714"/>
    <w:rsid w:val="001F06DA"/>
    <w:rsid w:val="002002A5"/>
    <w:rsid w:val="00200538"/>
    <w:rsid w:val="0021376F"/>
    <w:rsid w:val="002152FB"/>
    <w:rsid w:val="002167CD"/>
    <w:rsid w:val="002328EC"/>
    <w:rsid w:val="00235AF6"/>
    <w:rsid w:val="00243E89"/>
    <w:rsid w:val="002441BF"/>
    <w:rsid w:val="0025343D"/>
    <w:rsid w:val="0026105D"/>
    <w:rsid w:val="00263B03"/>
    <w:rsid w:val="0027044F"/>
    <w:rsid w:val="00276980"/>
    <w:rsid w:val="00283A57"/>
    <w:rsid w:val="00283C16"/>
    <w:rsid w:val="002921F1"/>
    <w:rsid w:val="002925BF"/>
    <w:rsid w:val="002A6C0B"/>
    <w:rsid w:val="002B3340"/>
    <w:rsid w:val="002B62C7"/>
    <w:rsid w:val="002C225D"/>
    <w:rsid w:val="002D46CA"/>
    <w:rsid w:val="002E3A75"/>
    <w:rsid w:val="002E6719"/>
    <w:rsid w:val="002E6DA8"/>
    <w:rsid w:val="002F3102"/>
    <w:rsid w:val="002F3CAB"/>
    <w:rsid w:val="002F5488"/>
    <w:rsid w:val="00301C3B"/>
    <w:rsid w:val="00301EFC"/>
    <w:rsid w:val="003024AD"/>
    <w:rsid w:val="003056E0"/>
    <w:rsid w:val="00310903"/>
    <w:rsid w:val="003269E3"/>
    <w:rsid w:val="003278C9"/>
    <w:rsid w:val="003302CD"/>
    <w:rsid w:val="00340401"/>
    <w:rsid w:val="00341790"/>
    <w:rsid w:val="00341984"/>
    <w:rsid w:val="003419B2"/>
    <w:rsid w:val="00341FAE"/>
    <w:rsid w:val="0035089B"/>
    <w:rsid w:val="00351ED5"/>
    <w:rsid w:val="003555D4"/>
    <w:rsid w:val="00361F23"/>
    <w:rsid w:val="00363DBD"/>
    <w:rsid w:val="00364970"/>
    <w:rsid w:val="00366DD9"/>
    <w:rsid w:val="0037058D"/>
    <w:rsid w:val="00371AB3"/>
    <w:rsid w:val="00373608"/>
    <w:rsid w:val="00374E22"/>
    <w:rsid w:val="00380D93"/>
    <w:rsid w:val="00381BB6"/>
    <w:rsid w:val="003829F9"/>
    <w:rsid w:val="00385E01"/>
    <w:rsid w:val="00390714"/>
    <w:rsid w:val="003A2FB7"/>
    <w:rsid w:val="003C1FA2"/>
    <w:rsid w:val="003C5EE6"/>
    <w:rsid w:val="003E572B"/>
    <w:rsid w:val="003F1EF9"/>
    <w:rsid w:val="003F2250"/>
    <w:rsid w:val="003F4B7A"/>
    <w:rsid w:val="004018DD"/>
    <w:rsid w:val="00405B92"/>
    <w:rsid w:val="00407589"/>
    <w:rsid w:val="004075C1"/>
    <w:rsid w:val="004223C0"/>
    <w:rsid w:val="004250BB"/>
    <w:rsid w:val="00436099"/>
    <w:rsid w:val="004430B5"/>
    <w:rsid w:val="004436D3"/>
    <w:rsid w:val="00444470"/>
    <w:rsid w:val="00472501"/>
    <w:rsid w:val="00475F4D"/>
    <w:rsid w:val="00495FB3"/>
    <w:rsid w:val="004971C9"/>
    <w:rsid w:val="004A3511"/>
    <w:rsid w:val="004A3770"/>
    <w:rsid w:val="004A429E"/>
    <w:rsid w:val="004B4E78"/>
    <w:rsid w:val="004B7582"/>
    <w:rsid w:val="004C28CA"/>
    <w:rsid w:val="004D2B9A"/>
    <w:rsid w:val="004D3AC6"/>
    <w:rsid w:val="004E184E"/>
    <w:rsid w:val="004E2F0D"/>
    <w:rsid w:val="004F2100"/>
    <w:rsid w:val="004F2D08"/>
    <w:rsid w:val="0050098E"/>
    <w:rsid w:val="00501B15"/>
    <w:rsid w:val="00501C26"/>
    <w:rsid w:val="00503781"/>
    <w:rsid w:val="005112FD"/>
    <w:rsid w:val="005211E2"/>
    <w:rsid w:val="00522F2C"/>
    <w:rsid w:val="005250EE"/>
    <w:rsid w:val="0052640D"/>
    <w:rsid w:val="00530E39"/>
    <w:rsid w:val="005314A9"/>
    <w:rsid w:val="0053341F"/>
    <w:rsid w:val="00534376"/>
    <w:rsid w:val="00536102"/>
    <w:rsid w:val="00536CAD"/>
    <w:rsid w:val="005504BD"/>
    <w:rsid w:val="0055129B"/>
    <w:rsid w:val="00556813"/>
    <w:rsid w:val="005628BD"/>
    <w:rsid w:val="00562EC7"/>
    <w:rsid w:val="00563290"/>
    <w:rsid w:val="00563BC1"/>
    <w:rsid w:val="00570DE5"/>
    <w:rsid w:val="00572BE2"/>
    <w:rsid w:val="005754C8"/>
    <w:rsid w:val="00575D0F"/>
    <w:rsid w:val="00580319"/>
    <w:rsid w:val="00581FF0"/>
    <w:rsid w:val="00583BDE"/>
    <w:rsid w:val="00590695"/>
    <w:rsid w:val="00593B1A"/>
    <w:rsid w:val="00593D9F"/>
    <w:rsid w:val="00596EBE"/>
    <w:rsid w:val="00597389"/>
    <w:rsid w:val="005A4188"/>
    <w:rsid w:val="005A5F91"/>
    <w:rsid w:val="005A7C60"/>
    <w:rsid w:val="005B2156"/>
    <w:rsid w:val="005B4C42"/>
    <w:rsid w:val="005C1EE2"/>
    <w:rsid w:val="005C469E"/>
    <w:rsid w:val="005D1014"/>
    <w:rsid w:val="005D12C8"/>
    <w:rsid w:val="005D4A63"/>
    <w:rsid w:val="005D682E"/>
    <w:rsid w:val="005E0E69"/>
    <w:rsid w:val="005E13DC"/>
    <w:rsid w:val="005E1D09"/>
    <w:rsid w:val="005F2DB6"/>
    <w:rsid w:val="006015AC"/>
    <w:rsid w:val="00602613"/>
    <w:rsid w:val="0060745D"/>
    <w:rsid w:val="00614CE8"/>
    <w:rsid w:val="006230AC"/>
    <w:rsid w:val="006267F1"/>
    <w:rsid w:val="00647C1D"/>
    <w:rsid w:val="006503EB"/>
    <w:rsid w:val="006531C6"/>
    <w:rsid w:val="006539AF"/>
    <w:rsid w:val="00654F29"/>
    <w:rsid w:val="006621DB"/>
    <w:rsid w:val="006703B5"/>
    <w:rsid w:val="0067117D"/>
    <w:rsid w:val="00671719"/>
    <w:rsid w:val="00672756"/>
    <w:rsid w:val="006762AD"/>
    <w:rsid w:val="00680FF3"/>
    <w:rsid w:val="0068309C"/>
    <w:rsid w:val="00693A5D"/>
    <w:rsid w:val="00695EB3"/>
    <w:rsid w:val="006A2E81"/>
    <w:rsid w:val="006B495B"/>
    <w:rsid w:val="006B5CCB"/>
    <w:rsid w:val="006B7AEE"/>
    <w:rsid w:val="006C764E"/>
    <w:rsid w:val="006D252E"/>
    <w:rsid w:val="006E2181"/>
    <w:rsid w:val="006F112B"/>
    <w:rsid w:val="006F5B22"/>
    <w:rsid w:val="006F7241"/>
    <w:rsid w:val="0070234B"/>
    <w:rsid w:val="0070365B"/>
    <w:rsid w:val="00703718"/>
    <w:rsid w:val="00706138"/>
    <w:rsid w:val="00706DAB"/>
    <w:rsid w:val="00716A91"/>
    <w:rsid w:val="007178DD"/>
    <w:rsid w:val="0072283A"/>
    <w:rsid w:val="0072295C"/>
    <w:rsid w:val="00724A32"/>
    <w:rsid w:val="0072574C"/>
    <w:rsid w:val="0073566D"/>
    <w:rsid w:val="007362B9"/>
    <w:rsid w:val="0075476E"/>
    <w:rsid w:val="00761679"/>
    <w:rsid w:val="0076595A"/>
    <w:rsid w:val="00767C50"/>
    <w:rsid w:val="007773B8"/>
    <w:rsid w:val="00783F3A"/>
    <w:rsid w:val="00785518"/>
    <w:rsid w:val="007A3C41"/>
    <w:rsid w:val="007A40A2"/>
    <w:rsid w:val="007A5F57"/>
    <w:rsid w:val="007C5419"/>
    <w:rsid w:val="007E1E46"/>
    <w:rsid w:val="007E2F9D"/>
    <w:rsid w:val="007E59D9"/>
    <w:rsid w:val="007E62EF"/>
    <w:rsid w:val="007F125C"/>
    <w:rsid w:val="007F4F6B"/>
    <w:rsid w:val="00800965"/>
    <w:rsid w:val="00804932"/>
    <w:rsid w:val="0081377D"/>
    <w:rsid w:val="008166E9"/>
    <w:rsid w:val="008170D6"/>
    <w:rsid w:val="00822D73"/>
    <w:rsid w:val="00823891"/>
    <w:rsid w:val="00826C88"/>
    <w:rsid w:val="00831885"/>
    <w:rsid w:val="00843C69"/>
    <w:rsid w:val="00844840"/>
    <w:rsid w:val="0086243C"/>
    <w:rsid w:val="00863C65"/>
    <w:rsid w:val="00866424"/>
    <w:rsid w:val="00867F86"/>
    <w:rsid w:val="008719A3"/>
    <w:rsid w:val="00874D99"/>
    <w:rsid w:val="0087792B"/>
    <w:rsid w:val="00882305"/>
    <w:rsid w:val="00882399"/>
    <w:rsid w:val="008833F7"/>
    <w:rsid w:val="00885EB5"/>
    <w:rsid w:val="00886D97"/>
    <w:rsid w:val="00891218"/>
    <w:rsid w:val="008B09AE"/>
    <w:rsid w:val="008B21AF"/>
    <w:rsid w:val="008B2ECD"/>
    <w:rsid w:val="008B5165"/>
    <w:rsid w:val="008C1AA3"/>
    <w:rsid w:val="008C3652"/>
    <w:rsid w:val="008C36DE"/>
    <w:rsid w:val="008C4DA4"/>
    <w:rsid w:val="008C51C8"/>
    <w:rsid w:val="008D0B1F"/>
    <w:rsid w:val="008D21F7"/>
    <w:rsid w:val="008D5C3B"/>
    <w:rsid w:val="008D7F9E"/>
    <w:rsid w:val="008E127D"/>
    <w:rsid w:val="008E1ADF"/>
    <w:rsid w:val="008E1CE5"/>
    <w:rsid w:val="008E207A"/>
    <w:rsid w:val="008E3141"/>
    <w:rsid w:val="008E557E"/>
    <w:rsid w:val="008F4A90"/>
    <w:rsid w:val="00901AE0"/>
    <w:rsid w:val="009035FF"/>
    <w:rsid w:val="0091112F"/>
    <w:rsid w:val="00922EED"/>
    <w:rsid w:val="00927E40"/>
    <w:rsid w:val="00936C0B"/>
    <w:rsid w:val="00950010"/>
    <w:rsid w:val="00970D87"/>
    <w:rsid w:val="00971EAC"/>
    <w:rsid w:val="00974967"/>
    <w:rsid w:val="009763AF"/>
    <w:rsid w:val="009855C2"/>
    <w:rsid w:val="009A18DB"/>
    <w:rsid w:val="009A1A05"/>
    <w:rsid w:val="009A4685"/>
    <w:rsid w:val="009A4B7C"/>
    <w:rsid w:val="009A7ABF"/>
    <w:rsid w:val="009B3F0F"/>
    <w:rsid w:val="009C15CB"/>
    <w:rsid w:val="009C2A3A"/>
    <w:rsid w:val="009C51CA"/>
    <w:rsid w:val="009D7021"/>
    <w:rsid w:val="009E63A8"/>
    <w:rsid w:val="009E6B5B"/>
    <w:rsid w:val="009F60E4"/>
    <w:rsid w:val="009F7D44"/>
    <w:rsid w:val="00A073D7"/>
    <w:rsid w:val="00A12689"/>
    <w:rsid w:val="00A13016"/>
    <w:rsid w:val="00A1480B"/>
    <w:rsid w:val="00A17A6C"/>
    <w:rsid w:val="00A21406"/>
    <w:rsid w:val="00A226E6"/>
    <w:rsid w:val="00A22C8E"/>
    <w:rsid w:val="00A3408F"/>
    <w:rsid w:val="00A4251D"/>
    <w:rsid w:val="00A4610F"/>
    <w:rsid w:val="00A502A4"/>
    <w:rsid w:val="00A52AE3"/>
    <w:rsid w:val="00A55118"/>
    <w:rsid w:val="00A6455E"/>
    <w:rsid w:val="00A72A51"/>
    <w:rsid w:val="00A800AB"/>
    <w:rsid w:val="00A85625"/>
    <w:rsid w:val="00A86E32"/>
    <w:rsid w:val="00AA459A"/>
    <w:rsid w:val="00AB3BD3"/>
    <w:rsid w:val="00AB4562"/>
    <w:rsid w:val="00AB5D47"/>
    <w:rsid w:val="00AC6660"/>
    <w:rsid w:val="00AC6E38"/>
    <w:rsid w:val="00AC7617"/>
    <w:rsid w:val="00AC7CB0"/>
    <w:rsid w:val="00AD017C"/>
    <w:rsid w:val="00AD6170"/>
    <w:rsid w:val="00AE2873"/>
    <w:rsid w:val="00AE7549"/>
    <w:rsid w:val="00AF30EC"/>
    <w:rsid w:val="00AF78FB"/>
    <w:rsid w:val="00B05149"/>
    <w:rsid w:val="00B13108"/>
    <w:rsid w:val="00B14A20"/>
    <w:rsid w:val="00B21A8A"/>
    <w:rsid w:val="00B32D8C"/>
    <w:rsid w:val="00B42E88"/>
    <w:rsid w:val="00B43ABB"/>
    <w:rsid w:val="00B4455E"/>
    <w:rsid w:val="00B51939"/>
    <w:rsid w:val="00B64106"/>
    <w:rsid w:val="00B67977"/>
    <w:rsid w:val="00B7111C"/>
    <w:rsid w:val="00B71E9E"/>
    <w:rsid w:val="00B769BD"/>
    <w:rsid w:val="00B77396"/>
    <w:rsid w:val="00B80995"/>
    <w:rsid w:val="00B817E3"/>
    <w:rsid w:val="00B86808"/>
    <w:rsid w:val="00B96CCF"/>
    <w:rsid w:val="00BA3013"/>
    <w:rsid w:val="00BA42B3"/>
    <w:rsid w:val="00BB0105"/>
    <w:rsid w:val="00BB2553"/>
    <w:rsid w:val="00BB7FB4"/>
    <w:rsid w:val="00BC117C"/>
    <w:rsid w:val="00BE3E0E"/>
    <w:rsid w:val="00BF0353"/>
    <w:rsid w:val="00BF167D"/>
    <w:rsid w:val="00BF3635"/>
    <w:rsid w:val="00BF425B"/>
    <w:rsid w:val="00C04F7D"/>
    <w:rsid w:val="00C10F1E"/>
    <w:rsid w:val="00C11DE6"/>
    <w:rsid w:val="00C178E8"/>
    <w:rsid w:val="00C26387"/>
    <w:rsid w:val="00C3119A"/>
    <w:rsid w:val="00C36FBC"/>
    <w:rsid w:val="00C37B4B"/>
    <w:rsid w:val="00C443A2"/>
    <w:rsid w:val="00C54EFE"/>
    <w:rsid w:val="00C6336D"/>
    <w:rsid w:val="00C7123A"/>
    <w:rsid w:val="00C7543A"/>
    <w:rsid w:val="00C8057B"/>
    <w:rsid w:val="00C818E7"/>
    <w:rsid w:val="00C844CC"/>
    <w:rsid w:val="00C86D5F"/>
    <w:rsid w:val="00C87A87"/>
    <w:rsid w:val="00C933BB"/>
    <w:rsid w:val="00C95F83"/>
    <w:rsid w:val="00CA0108"/>
    <w:rsid w:val="00CC44D5"/>
    <w:rsid w:val="00CD107F"/>
    <w:rsid w:val="00CD1DCD"/>
    <w:rsid w:val="00CD612F"/>
    <w:rsid w:val="00CE0C62"/>
    <w:rsid w:val="00CF2227"/>
    <w:rsid w:val="00CF489F"/>
    <w:rsid w:val="00D01806"/>
    <w:rsid w:val="00D04B12"/>
    <w:rsid w:val="00D04D7D"/>
    <w:rsid w:val="00D0646D"/>
    <w:rsid w:val="00D07909"/>
    <w:rsid w:val="00D1190A"/>
    <w:rsid w:val="00D265F3"/>
    <w:rsid w:val="00D324EE"/>
    <w:rsid w:val="00D32564"/>
    <w:rsid w:val="00D32FC0"/>
    <w:rsid w:val="00D37008"/>
    <w:rsid w:val="00D45C24"/>
    <w:rsid w:val="00D56FAB"/>
    <w:rsid w:val="00D62483"/>
    <w:rsid w:val="00D6263C"/>
    <w:rsid w:val="00D75627"/>
    <w:rsid w:val="00D76240"/>
    <w:rsid w:val="00D80F5D"/>
    <w:rsid w:val="00D81830"/>
    <w:rsid w:val="00D8257B"/>
    <w:rsid w:val="00D82A79"/>
    <w:rsid w:val="00D8558E"/>
    <w:rsid w:val="00D8677D"/>
    <w:rsid w:val="00D97D85"/>
    <w:rsid w:val="00DA1C3F"/>
    <w:rsid w:val="00DB4D63"/>
    <w:rsid w:val="00DB6590"/>
    <w:rsid w:val="00DC30BF"/>
    <w:rsid w:val="00DC3271"/>
    <w:rsid w:val="00DD0075"/>
    <w:rsid w:val="00DD2BE3"/>
    <w:rsid w:val="00DD4E61"/>
    <w:rsid w:val="00DE5744"/>
    <w:rsid w:val="00DF2739"/>
    <w:rsid w:val="00DF53BB"/>
    <w:rsid w:val="00DF676A"/>
    <w:rsid w:val="00E0594B"/>
    <w:rsid w:val="00E14627"/>
    <w:rsid w:val="00E14B0C"/>
    <w:rsid w:val="00E17C19"/>
    <w:rsid w:val="00E3153F"/>
    <w:rsid w:val="00E330F2"/>
    <w:rsid w:val="00E3483B"/>
    <w:rsid w:val="00E36466"/>
    <w:rsid w:val="00E40997"/>
    <w:rsid w:val="00E434BC"/>
    <w:rsid w:val="00E46827"/>
    <w:rsid w:val="00E62272"/>
    <w:rsid w:val="00E6626F"/>
    <w:rsid w:val="00E739BE"/>
    <w:rsid w:val="00E75C0B"/>
    <w:rsid w:val="00E77014"/>
    <w:rsid w:val="00E77905"/>
    <w:rsid w:val="00E816F4"/>
    <w:rsid w:val="00E81ABB"/>
    <w:rsid w:val="00E849BB"/>
    <w:rsid w:val="00E90519"/>
    <w:rsid w:val="00E9051F"/>
    <w:rsid w:val="00E90B55"/>
    <w:rsid w:val="00E9717C"/>
    <w:rsid w:val="00EA54DF"/>
    <w:rsid w:val="00EB0A92"/>
    <w:rsid w:val="00EB5522"/>
    <w:rsid w:val="00EC0B33"/>
    <w:rsid w:val="00EC3B2F"/>
    <w:rsid w:val="00EC6283"/>
    <w:rsid w:val="00ED2AE3"/>
    <w:rsid w:val="00ED5E11"/>
    <w:rsid w:val="00ED6473"/>
    <w:rsid w:val="00EE0D64"/>
    <w:rsid w:val="00EE29CF"/>
    <w:rsid w:val="00EF5535"/>
    <w:rsid w:val="00F01151"/>
    <w:rsid w:val="00F018C3"/>
    <w:rsid w:val="00F01C29"/>
    <w:rsid w:val="00F02BBA"/>
    <w:rsid w:val="00F161D3"/>
    <w:rsid w:val="00F214DE"/>
    <w:rsid w:val="00F22005"/>
    <w:rsid w:val="00F23E61"/>
    <w:rsid w:val="00F27B46"/>
    <w:rsid w:val="00F40B06"/>
    <w:rsid w:val="00F456A4"/>
    <w:rsid w:val="00F54D6B"/>
    <w:rsid w:val="00F57394"/>
    <w:rsid w:val="00F575E9"/>
    <w:rsid w:val="00F62AD7"/>
    <w:rsid w:val="00F63DA1"/>
    <w:rsid w:val="00F64691"/>
    <w:rsid w:val="00F70FCA"/>
    <w:rsid w:val="00F91300"/>
    <w:rsid w:val="00F978F7"/>
    <w:rsid w:val="00F97FE3"/>
    <w:rsid w:val="00FA1215"/>
    <w:rsid w:val="00FA594F"/>
    <w:rsid w:val="00FA6C53"/>
    <w:rsid w:val="00FC0061"/>
    <w:rsid w:val="00FC1BBF"/>
    <w:rsid w:val="00FC4B93"/>
    <w:rsid w:val="00FC4E9E"/>
    <w:rsid w:val="00FC5BAD"/>
    <w:rsid w:val="00FC6B4B"/>
    <w:rsid w:val="00FD3BAC"/>
    <w:rsid w:val="00FD41CA"/>
    <w:rsid w:val="00FD5F98"/>
    <w:rsid w:val="0676FE68"/>
    <w:rsid w:val="16C0F36C"/>
    <w:rsid w:val="179DFBC7"/>
    <w:rsid w:val="19228788"/>
    <w:rsid w:val="1B1F0B6A"/>
    <w:rsid w:val="1CC91928"/>
    <w:rsid w:val="1F93A0BE"/>
    <w:rsid w:val="269E3006"/>
    <w:rsid w:val="2791EEE5"/>
    <w:rsid w:val="2FE5B9DA"/>
    <w:rsid w:val="36D10B0E"/>
    <w:rsid w:val="3C8FE48F"/>
    <w:rsid w:val="4E99C174"/>
    <w:rsid w:val="53519ECE"/>
    <w:rsid w:val="5A8776A2"/>
    <w:rsid w:val="5B01E89D"/>
    <w:rsid w:val="606D1FA6"/>
    <w:rsid w:val="60D4AE28"/>
    <w:rsid w:val="63AB309D"/>
    <w:rsid w:val="68390DEA"/>
    <w:rsid w:val="6A3C2E78"/>
    <w:rsid w:val="6B168587"/>
    <w:rsid w:val="71E51E51"/>
    <w:rsid w:val="78165FFA"/>
    <w:rsid w:val="789AC632"/>
    <w:rsid w:val="7ADFE3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A68A"/>
  <w15:chartTrackingRefBased/>
  <w15:docId w15:val="{15C1931D-32B4-48F5-9FF0-412D83B4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111C"/>
    <w:pPr>
      <w:spacing w:after="0" w:line="240" w:lineRule="auto"/>
      <w:ind w:firstLine="284"/>
      <w:jc w:val="both"/>
    </w:pPr>
    <w:rPr>
      <w:rFonts w:ascii="Times New Roman" w:hAnsi="Times New Roman"/>
    </w:rPr>
  </w:style>
  <w:style w:type="paragraph" w:styleId="Nagwek1">
    <w:name w:val="heading 1"/>
    <w:basedOn w:val="Normalny"/>
    <w:next w:val="Normalny"/>
    <w:link w:val="Nagwek1Znak"/>
    <w:uiPriority w:val="9"/>
    <w:qFormat/>
    <w:rsid w:val="005504BD"/>
    <w:pPr>
      <w:keepNext/>
      <w:keepLines/>
      <w:suppressAutoHyphens/>
      <w:spacing w:before="240" w:after="120"/>
      <w:ind w:firstLine="0"/>
      <w:jc w:val="left"/>
      <w:outlineLvl w:val="0"/>
    </w:pPr>
    <w:rPr>
      <w:rFonts w:eastAsiaTheme="majorEastAsia" w:cs="Times New Roman"/>
      <w:b/>
      <w:sz w:val="24"/>
      <w:szCs w:val="32"/>
      <w:lang w:val="en-US"/>
    </w:rPr>
  </w:style>
  <w:style w:type="paragraph" w:styleId="Nagwek2">
    <w:name w:val="heading 2"/>
    <w:basedOn w:val="Normalny"/>
    <w:next w:val="Normalny"/>
    <w:link w:val="Nagwek2Znak"/>
    <w:uiPriority w:val="9"/>
    <w:unhideWhenUsed/>
    <w:qFormat/>
    <w:rsid w:val="0003056A"/>
    <w:pPr>
      <w:keepNext/>
      <w:keepLines/>
      <w:suppressAutoHyphens/>
      <w:spacing w:before="120" w:after="120"/>
      <w:ind w:firstLine="0"/>
      <w:jc w:val="left"/>
      <w:outlineLvl w:val="1"/>
    </w:pPr>
    <w:rPr>
      <w:rFonts w:eastAsiaTheme="majorEastAsia" w:cs="Times New Roman"/>
      <w:b/>
      <w:szCs w:val="2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443A2"/>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43A2"/>
    <w:rPr>
      <w:rFonts w:ascii="Segoe UI" w:hAnsi="Segoe UI" w:cs="Segoe UI"/>
      <w:sz w:val="18"/>
      <w:szCs w:val="18"/>
    </w:rPr>
  </w:style>
  <w:style w:type="table" w:styleId="Tabela-Siatka">
    <w:name w:val="Table Grid"/>
    <w:basedOn w:val="Standardowy"/>
    <w:uiPriority w:val="39"/>
    <w:rsid w:val="00190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rsid w:val="00672756"/>
    <w:pPr>
      <w:numPr>
        <w:numId w:val="5"/>
      </w:numPr>
      <w:ind w:left="426" w:hanging="284"/>
      <w:contextualSpacing/>
    </w:pPr>
  </w:style>
  <w:style w:type="character" w:customStyle="1" w:styleId="Nagwek1Znak">
    <w:name w:val="Nagłówek 1 Znak"/>
    <w:basedOn w:val="Domylnaczcionkaakapitu"/>
    <w:link w:val="Nagwek1"/>
    <w:uiPriority w:val="9"/>
    <w:rsid w:val="005504BD"/>
    <w:rPr>
      <w:rFonts w:ascii="Times New Roman" w:eastAsiaTheme="majorEastAsia" w:hAnsi="Times New Roman" w:cs="Times New Roman"/>
      <w:b/>
      <w:sz w:val="24"/>
      <w:szCs w:val="32"/>
      <w:lang w:val="en-US"/>
    </w:rPr>
  </w:style>
  <w:style w:type="paragraph" w:styleId="Tytu">
    <w:name w:val="Title"/>
    <w:basedOn w:val="Normalny"/>
    <w:next w:val="Normalny"/>
    <w:link w:val="TytuZnak"/>
    <w:uiPriority w:val="10"/>
    <w:qFormat/>
    <w:rsid w:val="00B7111C"/>
    <w:pPr>
      <w:suppressAutoHyphens/>
      <w:spacing w:before="240"/>
      <w:ind w:firstLine="0"/>
      <w:jc w:val="center"/>
    </w:pPr>
    <w:rPr>
      <w:b/>
      <w:sz w:val="24"/>
      <w:lang w:val="en-US"/>
    </w:rPr>
  </w:style>
  <w:style w:type="character" w:customStyle="1" w:styleId="TytuZnak">
    <w:name w:val="Tytuł Znak"/>
    <w:basedOn w:val="Domylnaczcionkaakapitu"/>
    <w:link w:val="Tytu"/>
    <w:uiPriority w:val="10"/>
    <w:rsid w:val="00B7111C"/>
    <w:rPr>
      <w:rFonts w:ascii="Times New Roman" w:hAnsi="Times New Roman"/>
      <w:b/>
      <w:sz w:val="24"/>
      <w:lang w:val="en-US"/>
    </w:rPr>
  </w:style>
  <w:style w:type="paragraph" w:customStyle="1" w:styleId="podpis">
    <w:name w:val="podpis"/>
    <w:basedOn w:val="Normalny"/>
    <w:link w:val="podpisZnak"/>
    <w:rsid w:val="00B7111C"/>
    <w:pPr>
      <w:suppressAutoHyphens/>
      <w:spacing w:before="120" w:after="120"/>
      <w:ind w:firstLine="0"/>
      <w:jc w:val="left"/>
    </w:pPr>
    <w:rPr>
      <w:sz w:val="20"/>
    </w:rPr>
  </w:style>
  <w:style w:type="character" w:styleId="Hipercze">
    <w:name w:val="Hyperlink"/>
    <w:basedOn w:val="Domylnaczcionkaakapitu"/>
    <w:uiPriority w:val="99"/>
    <w:unhideWhenUsed/>
    <w:rsid w:val="00DB6590"/>
    <w:rPr>
      <w:color w:val="0563C1" w:themeColor="hyperlink"/>
      <w:u w:val="single"/>
    </w:rPr>
  </w:style>
  <w:style w:type="character" w:customStyle="1" w:styleId="podpisZnak">
    <w:name w:val="podpis Znak"/>
    <w:basedOn w:val="Domylnaczcionkaakapitu"/>
    <w:link w:val="podpis"/>
    <w:rsid w:val="00B7111C"/>
    <w:rPr>
      <w:rFonts w:ascii="Times New Roman" w:hAnsi="Times New Roman"/>
      <w:sz w:val="20"/>
    </w:rPr>
  </w:style>
  <w:style w:type="paragraph" w:customStyle="1" w:styleId="Default">
    <w:name w:val="Default"/>
    <w:rsid w:val="00FC4B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2Znak">
    <w:name w:val="Nagłówek 2 Znak"/>
    <w:basedOn w:val="Domylnaczcionkaakapitu"/>
    <w:link w:val="Nagwek2"/>
    <w:uiPriority w:val="9"/>
    <w:rsid w:val="0003056A"/>
    <w:rPr>
      <w:rFonts w:ascii="Times New Roman" w:eastAsiaTheme="majorEastAsia" w:hAnsi="Times New Roman" w:cs="Times New Roman"/>
      <w:b/>
      <w:szCs w:val="26"/>
      <w:lang w:val="en-US"/>
    </w:rPr>
  </w:style>
  <w:style w:type="character" w:styleId="Tekstzastpczy">
    <w:name w:val="Placeholder Text"/>
    <w:basedOn w:val="Domylnaczcionkaakapitu"/>
    <w:uiPriority w:val="99"/>
    <w:semiHidden/>
    <w:rsid w:val="00064A6D"/>
    <w:rPr>
      <w:color w:val="808080"/>
    </w:rPr>
  </w:style>
  <w:style w:type="character" w:customStyle="1" w:styleId="rynqvb">
    <w:name w:val="rynqvb"/>
    <w:basedOn w:val="Domylnaczcionkaakapitu"/>
    <w:rsid w:val="006621DB"/>
  </w:style>
  <w:style w:type="character" w:customStyle="1" w:styleId="hwtze">
    <w:name w:val="hwtze"/>
    <w:basedOn w:val="Domylnaczcionkaakapitu"/>
    <w:rsid w:val="00B05149"/>
  </w:style>
  <w:style w:type="character" w:styleId="Pogrubienie">
    <w:name w:val="Strong"/>
    <w:basedOn w:val="Domylnaczcionkaakapitu"/>
    <w:uiPriority w:val="22"/>
    <w:qFormat/>
    <w:rsid w:val="00706DAB"/>
    <w:rPr>
      <w:b/>
      <w:bCs/>
    </w:rPr>
  </w:style>
  <w:style w:type="paragraph" w:styleId="HTML-wstpniesformatowany">
    <w:name w:val="HTML Preformatted"/>
    <w:basedOn w:val="Normalny"/>
    <w:link w:val="HTML-wstpniesformatowanyZnak"/>
    <w:uiPriority w:val="99"/>
    <w:semiHidden/>
    <w:unhideWhenUsed/>
    <w:rsid w:val="0070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eastAsia="pl-PL"/>
    </w:rPr>
  </w:style>
  <w:style w:type="character" w:customStyle="1" w:styleId="HTML-wstpniesformatowanyZnak">
    <w:name w:val="HTML - wstępnie sformatowany Znak"/>
    <w:basedOn w:val="Domylnaczcionkaakapitu"/>
    <w:link w:val="HTML-wstpniesformatowany"/>
    <w:uiPriority w:val="99"/>
    <w:semiHidden/>
    <w:rsid w:val="00706DAB"/>
    <w:rPr>
      <w:rFonts w:ascii="Courier New" w:eastAsia="Times New Roman" w:hAnsi="Courier New" w:cs="Courier New"/>
      <w:sz w:val="20"/>
      <w:szCs w:val="20"/>
      <w:lang w:eastAsia="pl-PL"/>
    </w:rPr>
  </w:style>
  <w:style w:type="character" w:customStyle="1" w:styleId="anchor-text">
    <w:name w:val="anchor-text"/>
    <w:basedOn w:val="Domylnaczcionkaakapitu"/>
    <w:rsid w:val="00A55118"/>
  </w:style>
  <w:style w:type="character" w:customStyle="1" w:styleId="given-name">
    <w:name w:val="given-name"/>
    <w:basedOn w:val="Domylnaczcionkaakapitu"/>
    <w:rsid w:val="00A55118"/>
  </w:style>
  <w:style w:type="character" w:customStyle="1" w:styleId="text">
    <w:name w:val="text"/>
    <w:basedOn w:val="Domylnaczcionkaakapitu"/>
    <w:rsid w:val="00A55118"/>
  </w:style>
  <w:style w:type="character" w:styleId="Uwydatnienie">
    <w:name w:val="Emphasis"/>
    <w:basedOn w:val="Domylnaczcionkaakapitu"/>
    <w:uiPriority w:val="20"/>
    <w:qFormat/>
    <w:rsid w:val="00164DE1"/>
    <w:rPr>
      <w:i/>
      <w:iCs/>
    </w:rPr>
  </w:style>
  <w:style w:type="paragraph" w:customStyle="1" w:styleId="tabele">
    <w:name w:val="tabele"/>
    <w:basedOn w:val="Normalny"/>
    <w:link w:val="tabeleZnak"/>
    <w:qFormat/>
    <w:rsid w:val="00075B2F"/>
    <w:pPr>
      <w:suppressAutoHyphens/>
      <w:ind w:firstLine="0"/>
      <w:jc w:val="center"/>
    </w:pPr>
    <w:rPr>
      <w:rFonts w:eastAsia="Times New Roman" w:cs="Times New Roman"/>
      <w:b/>
      <w:bCs/>
      <w:color w:val="000000"/>
      <w:lang w:eastAsia="pl-PL"/>
    </w:rPr>
  </w:style>
  <w:style w:type="character" w:customStyle="1" w:styleId="tabeleZnak">
    <w:name w:val="tabele Znak"/>
    <w:basedOn w:val="Domylnaczcionkaakapitu"/>
    <w:link w:val="tabele"/>
    <w:rsid w:val="00075B2F"/>
    <w:rPr>
      <w:rFonts w:ascii="Times New Roman" w:eastAsia="Times New Roman" w:hAnsi="Times New Roman" w:cs="Times New Roman"/>
      <w:b/>
      <w:bCs/>
      <w:color w:val="000000"/>
      <w:lang w:eastAsia="pl-PL"/>
    </w:rPr>
  </w:style>
  <w:style w:type="character" w:styleId="Nierozpoznanawzmianka">
    <w:name w:val="Unresolved Mention"/>
    <w:basedOn w:val="Domylnaczcionkaakapitu"/>
    <w:uiPriority w:val="99"/>
    <w:semiHidden/>
    <w:unhideWhenUsed/>
    <w:rsid w:val="00390714"/>
    <w:rPr>
      <w:color w:val="605E5C"/>
      <w:shd w:val="clear" w:color="auto" w:fill="E1DFDD"/>
    </w:rPr>
  </w:style>
  <w:style w:type="character" w:customStyle="1" w:styleId="A3">
    <w:name w:val="A3"/>
    <w:uiPriority w:val="99"/>
    <w:rsid w:val="00CE0C62"/>
    <w:rPr>
      <w:rFonts w:cs="Roboto"/>
      <w:color w:val="000000"/>
      <w:sz w:val="18"/>
      <w:szCs w:val="18"/>
    </w:rPr>
  </w:style>
  <w:style w:type="character" w:customStyle="1" w:styleId="A11">
    <w:name w:val="A11"/>
    <w:uiPriority w:val="99"/>
    <w:rsid w:val="00CE0C62"/>
    <w:rPr>
      <w:rFonts w:cs="Roboto"/>
      <w:color w:val="000000"/>
      <w:sz w:val="11"/>
      <w:szCs w:val="11"/>
    </w:rPr>
  </w:style>
  <w:style w:type="paragraph" w:customStyle="1" w:styleId="Rab1">
    <w:name w:val="R_ab1"/>
    <w:next w:val="Normalny"/>
    <w:autoRedefine/>
    <w:qFormat/>
    <w:rsid w:val="002E6DA8"/>
    <w:pPr>
      <w:suppressAutoHyphens/>
      <w:spacing w:before="120" w:after="0" w:line="240" w:lineRule="auto"/>
      <w:ind w:left="567" w:right="567"/>
      <w:jc w:val="both"/>
    </w:pPr>
    <w:rPr>
      <w:rFonts w:ascii="Times New Roman" w:eastAsia="SimSun" w:hAnsi="Times New Roman" w:cs="Times New Roman"/>
      <w:kern w:val="2"/>
      <w:sz w:val="18"/>
      <w:szCs w:val="20"/>
      <w:lang w:val="en-GB" w:eastAsia="pl-PL"/>
      <w14:ligatures w14:val="standardContextual"/>
    </w:rPr>
  </w:style>
  <w:style w:type="paragraph" w:customStyle="1" w:styleId="Rab2">
    <w:name w:val="R_ab2"/>
    <w:basedOn w:val="Rab1"/>
    <w:next w:val="Normalny"/>
    <w:autoRedefine/>
    <w:qFormat/>
    <w:rsid w:val="002E6DA8"/>
    <w:pPr>
      <w:spacing w:before="60"/>
    </w:pPr>
  </w:style>
  <w:style w:type="paragraph" w:customStyle="1" w:styleId="Rafiliacja">
    <w:name w:val="R_afiliacja"/>
    <w:basedOn w:val="Normalny"/>
    <w:link w:val="RafiliacjaZnak"/>
    <w:qFormat/>
    <w:rsid w:val="002E6DA8"/>
    <w:pPr>
      <w:suppressAutoHyphens/>
      <w:ind w:firstLine="0"/>
      <w:jc w:val="center"/>
    </w:pPr>
    <w:rPr>
      <w:rFonts w:cs="Times New Roman"/>
      <w:i/>
      <w:kern w:val="2"/>
      <w:sz w:val="20"/>
      <w:szCs w:val="28"/>
      <w14:ligatures w14:val="standardContextual"/>
    </w:rPr>
  </w:style>
  <w:style w:type="character" w:customStyle="1" w:styleId="RafiliacjaZnak">
    <w:name w:val="R_afiliacja Znak"/>
    <w:basedOn w:val="Domylnaczcionkaakapitu"/>
    <w:link w:val="Rafiliacja"/>
    <w:rsid w:val="002E6DA8"/>
    <w:rPr>
      <w:rFonts w:ascii="Times New Roman" w:hAnsi="Times New Roman" w:cs="Times New Roman"/>
      <w:i/>
      <w:kern w:val="2"/>
      <w:sz w:val="20"/>
      <w:szCs w:val="28"/>
      <w14:ligatures w14:val="standardContextual"/>
    </w:rPr>
  </w:style>
  <w:style w:type="paragraph" w:customStyle="1" w:styleId="Rauco">
    <w:name w:val="R_au_co"/>
    <w:basedOn w:val="Rafiliacja"/>
    <w:autoRedefine/>
    <w:qFormat/>
    <w:rsid w:val="002E6DA8"/>
    <w:pPr>
      <w:spacing w:before="120"/>
    </w:pPr>
    <w:rPr>
      <w:lang w:val="en-GB"/>
    </w:rPr>
  </w:style>
  <w:style w:type="paragraph" w:customStyle="1" w:styleId="Rn1">
    <w:name w:val="R_n1"/>
    <w:basedOn w:val="Normalny"/>
    <w:link w:val="Rn1Znak"/>
    <w:qFormat/>
    <w:rsid w:val="002E6DA8"/>
    <w:pPr>
      <w:suppressAutoHyphens/>
      <w:spacing w:before="240" w:after="120"/>
      <w:ind w:firstLine="0"/>
    </w:pPr>
    <w:rPr>
      <w:b/>
      <w:kern w:val="2"/>
      <w:sz w:val="24"/>
      <w14:ligatures w14:val="standardContextual"/>
    </w:rPr>
  </w:style>
  <w:style w:type="character" w:customStyle="1" w:styleId="Rn1Znak">
    <w:name w:val="R_n1 Znak"/>
    <w:basedOn w:val="Domylnaczcionkaakapitu"/>
    <w:link w:val="Rn1"/>
    <w:rsid w:val="002E6DA8"/>
    <w:rPr>
      <w:rFonts w:ascii="Times New Roman" w:hAnsi="Times New Roman"/>
      <w:b/>
      <w:kern w:val="2"/>
      <w:sz w:val="24"/>
      <w14:ligatures w14:val="standardContextual"/>
    </w:rPr>
  </w:style>
  <w:style w:type="paragraph" w:customStyle="1" w:styleId="Rn2">
    <w:name w:val="R_n2"/>
    <w:basedOn w:val="Rn1"/>
    <w:link w:val="Rn2Znak"/>
    <w:qFormat/>
    <w:rsid w:val="002E6DA8"/>
    <w:pPr>
      <w:spacing w:before="120"/>
      <w:jc w:val="left"/>
    </w:pPr>
    <w:rPr>
      <w:sz w:val="22"/>
    </w:rPr>
  </w:style>
  <w:style w:type="character" w:customStyle="1" w:styleId="Rn2Znak">
    <w:name w:val="R_n2 Znak"/>
    <w:link w:val="Rn2"/>
    <w:rsid w:val="002E6DA8"/>
    <w:rPr>
      <w:rFonts w:ascii="Times New Roman" w:hAnsi="Times New Roman"/>
      <w:b/>
      <w:kern w:val="2"/>
      <w14:ligatures w14:val="standardContextual"/>
    </w:rPr>
  </w:style>
  <w:style w:type="paragraph" w:customStyle="1" w:styleId="Rtytu">
    <w:name w:val="R_tytuł"/>
    <w:basedOn w:val="Rn2"/>
    <w:link w:val="RtytuZnak"/>
    <w:autoRedefine/>
    <w:qFormat/>
    <w:rsid w:val="002E6DA8"/>
    <w:pPr>
      <w:spacing w:before="240" w:after="0"/>
      <w:jc w:val="center"/>
    </w:pPr>
    <w:rPr>
      <w:sz w:val="24"/>
      <w:szCs w:val="28"/>
    </w:rPr>
  </w:style>
  <w:style w:type="character" w:customStyle="1" w:styleId="RtytuZnak">
    <w:name w:val="R_tytuł Znak"/>
    <w:basedOn w:val="Rn2Znak"/>
    <w:link w:val="Rtytu"/>
    <w:rsid w:val="002E6DA8"/>
    <w:rPr>
      <w:rFonts w:ascii="Times New Roman" w:hAnsi="Times New Roman"/>
      <w:b/>
      <w:kern w:val="2"/>
      <w:sz w:val="24"/>
      <w:szCs w:val="28"/>
      <w14:ligatures w14:val="standardContextual"/>
    </w:rPr>
  </w:style>
  <w:style w:type="paragraph" w:customStyle="1" w:styleId="Rautor">
    <w:name w:val="R_autor"/>
    <w:basedOn w:val="Rtytu"/>
    <w:link w:val="RautorZnak"/>
    <w:autoRedefine/>
    <w:qFormat/>
    <w:rsid w:val="002E6DA8"/>
    <w:pPr>
      <w:spacing w:before="120"/>
    </w:pPr>
    <w:rPr>
      <w:rFonts w:eastAsia="Calibri" w:cs="Times New Roman"/>
      <w:b w:val="0"/>
      <w:i/>
    </w:rPr>
  </w:style>
  <w:style w:type="character" w:customStyle="1" w:styleId="RautorZnak">
    <w:name w:val="R_autor Znak"/>
    <w:link w:val="Rautor"/>
    <w:rsid w:val="002E6DA8"/>
    <w:rPr>
      <w:rFonts w:ascii="Times New Roman" w:eastAsia="Calibri" w:hAnsi="Times New Roman" w:cs="Times New Roman"/>
      <w:i/>
      <w:kern w:val="2"/>
      <w:sz w:val="24"/>
      <w:szCs w:val="28"/>
      <w14:ligatures w14:val="standardContextual"/>
    </w:rPr>
  </w:style>
  <w:style w:type="paragraph" w:customStyle="1" w:styleId="Rlit">
    <w:name w:val="R_lit"/>
    <w:basedOn w:val="Normalny"/>
    <w:link w:val="RlitZnak"/>
    <w:qFormat/>
    <w:rsid w:val="002E6DA8"/>
    <w:pPr>
      <w:ind w:left="425" w:hanging="425"/>
    </w:pPr>
    <w:rPr>
      <w:rFonts w:eastAsia="Times New Roman" w:cs="Times New Roman"/>
      <w:kern w:val="2"/>
      <w:sz w:val="20"/>
      <w:szCs w:val="20"/>
      <w:lang w:val="en-US" w:eastAsia="pl-PL"/>
      <w14:ligatures w14:val="standardContextual"/>
    </w:rPr>
  </w:style>
  <w:style w:type="character" w:customStyle="1" w:styleId="RlitZnak">
    <w:name w:val="R_lit Znak"/>
    <w:basedOn w:val="Domylnaczcionkaakapitu"/>
    <w:link w:val="Rlit"/>
    <w:rsid w:val="002E6DA8"/>
    <w:rPr>
      <w:rFonts w:ascii="Times New Roman" w:eastAsia="Times New Roman" w:hAnsi="Times New Roman" w:cs="Times New Roman"/>
      <w:kern w:val="2"/>
      <w:sz w:val="20"/>
      <w:szCs w:val="20"/>
      <w:lang w:val="en-US" w:eastAsia="pl-PL"/>
      <w14:ligatures w14:val="standardContextual"/>
    </w:rPr>
  </w:style>
  <w:style w:type="paragraph" w:customStyle="1" w:styleId="Rtab">
    <w:name w:val="R_tab"/>
    <w:basedOn w:val="Normalny"/>
    <w:link w:val="RtabZnak"/>
    <w:qFormat/>
    <w:rsid w:val="002E6DA8"/>
    <w:pPr>
      <w:suppressAutoHyphens/>
      <w:spacing w:after="120"/>
      <w:ind w:firstLine="0"/>
      <w:jc w:val="left"/>
    </w:pPr>
    <w:rPr>
      <w:kern w:val="2"/>
      <w:sz w:val="20"/>
      <w14:ligatures w14:val="standardContextual"/>
    </w:rPr>
  </w:style>
  <w:style w:type="character" w:customStyle="1" w:styleId="RtabZnak">
    <w:name w:val="R_tab Znak"/>
    <w:basedOn w:val="Domylnaczcionkaakapitu"/>
    <w:link w:val="Rtab"/>
    <w:rsid w:val="002E6DA8"/>
    <w:rPr>
      <w:rFonts w:ascii="Times New Roman" w:hAnsi="Times New Roman"/>
      <w:kern w:val="2"/>
      <w:sz w:val="20"/>
      <w14:ligatures w14:val="standardContextual"/>
    </w:rPr>
  </w:style>
  <w:style w:type="paragraph" w:customStyle="1" w:styleId="Rn3">
    <w:name w:val="R_n3"/>
    <w:basedOn w:val="Rtab"/>
    <w:link w:val="Rn3Znak"/>
    <w:autoRedefine/>
    <w:qFormat/>
    <w:rsid w:val="002E6DA8"/>
    <w:pPr>
      <w:spacing w:before="120"/>
      <w:jc w:val="both"/>
    </w:pPr>
    <w:rPr>
      <w:i/>
    </w:rPr>
  </w:style>
  <w:style w:type="character" w:customStyle="1" w:styleId="Rn3Znak">
    <w:name w:val="R_n3 Znak"/>
    <w:basedOn w:val="RtabZnak"/>
    <w:link w:val="Rn3"/>
    <w:rsid w:val="002E6DA8"/>
    <w:rPr>
      <w:rFonts w:ascii="Times New Roman" w:hAnsi="Times New Roman"/>
      <w:i/>
      <w:kern w:val="2"/>
      <w:sz w:val="20"/>
      <w14:ligatures w14:val="standardContextual"/>
    </w:rPr>
  </w:style>
  <w:style w:type="paragraph" w:customStyle="1" w:styleId="Rrys">
    <w:name w:val="R_rys"/>
    <w:basedOn w:val="Rafiliacja"/>
    <w:link w:val="RrysZnak"/>
    <w:qFormat/>
    <w:rsid w:val="002E6DA8"/>
    <w:pPr>
      <w:spacing w:before="120"/>
      <w:jc w:val="left"/>
    </w:pPr>
    <w:rPr>
      <w:i w:val="0"/>
    </w:rPr>
  </w:style>
  <w:style w:type="character" w:customStyle="1" w:styleId="RrysZnak">
    <w:name w:val="R_rys Znak"/>
    <w:basedOn w:val="RafiliacjaZnak"/>
    <w:link w:val="Rrys"/>
    <w:rsid w:val="002E6DA8"/>
    <w:rPr>
      <w:rFonts w:ascii="Times New Roman" w:hAnsi="Times New Roman" w:cs="Times New Roman"/>
      <w:i w:val="0"/>
      <w:kern w:val="2"/>
      <w:sz w:val="20"/>
      <w:szCs w:val="28"/>
      <w14:ligatures w14:val="standardContextual"/>
    </w:rPr>
  </w:style>
  <w:style w:type="paragraph" w:styleId="Nagwek">
    <w:name w:val="header"/>
    <w:basedOn w:val="Normalny"/>
    <w:link w:val="NagwekZnak"/>
    <w:uiPriority w:val="99"/>
    <w:unhideWhenUsed/>
    <w:rsid w:val="00E816F4"/>
    <w:pPr>
      <w:tabs>
        <w:tab w:val="center" w:pos="4536"/>
        <w:tab w:val="right" w:pos="9072"/>
      </w:tabs>
    </w:pPr>
  </w:style>
  <w:style w:type="character" w:customStyle="1" w:styleId="NagwekZnak">
    <w:name w:val="Nagłówek Znak"/>
    <w:basedOn w:val="Domylnaczcionkaakapitu"/>
    <w:link w:val="Nagwek"/>
    <w:uiPriority w:val="99"/>
    <w:rsid w:val="00E816F4"/>
    <w:rPr>
      <w:rFonts w:ascii="Times New Roman" w:hAnsi="Times New Roman"/>
    </w:rPr>
  </w:style>
  <w:style w:type="paragraph" w:styleId="Stopka">
    <w:name w:val="footer"/>
    <w:basedOn w:val="Normalny"/>
    <w:link w:val="StopkaZnak"/>
    <w:uiPriority w:val="99"/>
    <w:unhideWhenUsed/>
    <w:rsid w:val="00E816F4"/>
    <w:pPr>
      <w:tabs>
        <w:tab w:val="center" w:pos="4536"/>
        <w:tab w:val="right" w:pos="9072"/>
      </w:tabs>
    </w:pPr>
  </w:style>
  <w:style w:type="character" w:customStyle="1" w:styleId="StopkaZnak">
    <w:name w:val="Stopka Znak"/>
    <w:basedOn w:val="Domylnaczcionkaakapitu"/>
    <w:link w:val="Stopka"/>
    <w:uiPriority w:val="99"/>
    <w:rsid w:val="00E816F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9723">
      <w:bodyDiv w:val="1"/>
      <w:marLeft w:val="0"/>
      <w:marRight w:val="0"/>
      <w:marTop w:val="0"/>
      <w:marBottom w:val="0"/>
      <w:divBdr>
        <w:top w:val="none" w:sz="0" w:space="0" w:color="auto"/>
        <w:left w:val="none" w:sz="0" w:space="0" w:color="auto"/>
        <w:bottom w:val="none" w:sz="0" w:space="0" w:color="auto"/>
        <w:right w:val="none" w:sz="0" w:space="0" w:color="auto"/>
      </w:divBdr>
    </w:div>
    <w:div w:id="165678231">
      <w:bodyDiv w:val="1"/>
      <w:marLeft w:val="0"/>
      <w:marRight w:val="0"/>
      <w:marTop w:val="0"/>
      <w:marBottom w:val="0"/>
      <w:divBdr>
        <w:top w:val="none" w:sz="0" w:space="0" w:color="auto"/>
        <w:left w:val="none" w:sz="0" w:space="0" w:color="auto"/>
        <w:bottom w:val="none" w:sz="0" w:space="0" w:color="auto"/>
        <w:right w:val="none" w:sz="0" w:space="0" w:color="auto"/>
      </w:divBdr>
    </w:div>
    <w:div w:id="170999294">
      <w:bodyDiv w:val="1"/>
      <w:marLeft w:val="0"/>
      <w:marRight w:val="0"/>
      <w:marTop w:val="0"/>
      <w:marBottom w:val="0"/>
      <w:divBdr>
        <w:top w:val="none" w:sz="0" w:space="0" w:color="auto"/>
        <w:left w:val="none" w:sz="0" w:space="0" w:color="auto"/>
        <w:bottom w:val="none" w:sz="0" w:space="0" w:color="auto"/>
        <w:right w:val="none" w:sz="0" w:space="0" w:color="auto"/>
      </w:divBdr>
    </w:div>
    <w:div w:id="341474316">
      <w:bodyDiv w:val="1"/>
      <w:marLeft w:val="0"/>
      <w:marRight w:val="0"/>
      <w:marTop w:val="0"/>
      <w:marBottom w:val="0"/>
      <w:divBdr>
        <w:top w:val="none" w:sz="0" w:space="0" w:color="auto"/>
        <w:left w:val="none" w:sz="0" w:space="0" w:color="auto"/>
        <w:bottom w:val="none" w:sz="0" w:space="0" w:color="auto"/>
        <w:right w:val="none" w:sz="0" w:space="0" w:color="auto"/>
      </w:divBdr>
    </w:div>
    <w:div w:id="540631227">
      <w:bodyDiv w:val="1"/>
      <w:marLeft w:val="0"/>
      <w:marRight w:val="0"/>
      <w:marTop w:val="0"/>
      <w:marBottom w:val="0"/>
      <w:divBdr>
        <w:top w:val="none" w:sz="0" w:space="0" w:color="auto"/>
        <w:left w:val="none" w:sz="0" w:space="0" w:color="auto"/>
        <w:bottom w:val="none" w:sz="0" w:space="0" w:color="auto"/>
        <w:right w:val="none" w:sz="0" w:space="0" w:color="auto"/>
      </w:divBdr>
    </w:div>
    <w:div w:id="558437416">
      <w:bodyDiv w:val="1"/>
      <w:marLeft w:val="0"/>
      <w:marRight w:val="0"/>
      <w:marTop w:val="0"/>
      <w:marBottom w:val="0"/>
      <w:divBdr>
        <w:top w:val="none" w:sz="0" w:space="0" w:color="auto"/>
        <w:left w:val="none" w:sz="0" w:space="0" w:color="auto"/>
        <w:bottom w:val="none" w:sz="0" w:space="0" w:color="auto"/>
        <w:right w:val="none" w:sz="0" w:space="0" w:color="auto"/>
      </w:divBdr>
    </w:div>
    <w:div w:id="642736957">
      <w:bodyDiv w:val="1"/>
      <w:marLeft w:val="0"/>
      <w:marRight w:val="0"/>
      <w:marTop w:val="0"/>
      <w:marBottom w:val="0"/>
      <w:divBdr>
        <w:top w:val="none" w:sz="0" w:space="0" w:color="auto"/>
        <w:left w:val="none" w:sz="0" w:space="0" w:color="auto"/>
        <w:bottom w:val="none" w:sz="0" w:space="0" w:color="auto"/>
        <w:right w:val="none" w:sz="0" w:space="0" w:color="auto"/>
      </w:divBdr>
    </w:div>
    <w:div w:id="647438475">
      <w:bodyDiv w:val="1"/>
      <w:marLeft w:val="0"/>
      <w:marRight w:val="0"/>
      <w:marTop w:val="0"/>
      <w:marBottom w:val="0"/>
      <w:divBdr>
        <w:top w:val="none" w:sz="0" w:space="0" w:color="auto"/>
        <w:left w:val="none" w:sz="0" w:space="0" w:color="auto"/>
        <w:bottom w:val="none" w:sz="0" w:space="0" w:color="auto"/>
        <w:right w:val="none" w:sz="0" w:space="0" w:color="auto"/>
      </w:divBdr>
    </w:div>
    <w:div w:id="661785936">
      <w:bodyDiv w:val="1"/>
      <w:marLeft w:val="0"/>
      <w:marRight w:val="0"/>
      <w:marTop w:val="0"/>
      <w:marBottom w:val="0"/>
      <w:divBdr>
        <w:top w:val="none" w:sz="0" w:space="0" w:color="auto"/>
        <w:left w:val="none" w:sz="0" w:space="0" w:color="auto"/>
        <w:bottom w:val="none" w:sz="0" w:space="0" w:color="auto"/>
        <w:right w:val="none" w:sz="0" w:space="0" w:color="auto"/>
      </w:divBdr>
    </w:div>
    <w:div w:id="678504338">
      <w:bodyDiv w:val="1"/>
      <w:marLeft w:val="0"/>
      <w:marRight w:val="0"/>
      <w:marTop w:val="0"/>
      <w:marBottom w:val="0"/>
      <w:divBdr>
        <w:top w:val="none" w:sz="0" w:space="0" w:color="auto"/>
        <w:left w:val="none" w:sz="0" w:space="0" w:color="auto"/>
        <w:bottom w:val="none" w:sz="0" w:space="0" w:color="auto"/>
        <w:right w:val="none" w:sz="0" w:space="0" w:color="auto"/>
      </w:divBdr>
    </w:div>
    <w:div w:id="684795014">
      <w:bodyDiv w:val="1"/>
      <w:marLeft w:val="0"/>
      <w:marRight w:val="0"/>
      <w:marTop w:val="0"/>
      <w:marBottom w:val="0"/>
      <w:divBdr>
        <w:top w:val="none" w:sz="0" w:space="0" w:color="auto"/>
        <w:left w:val="none" w:sz="0" w:space="0" w:color="auto"/>
        <w:bottom w:val="none" w:sz="0" w:space="0" w:color="auto"/>
        <w:right w:val="none" w:sz="0" w:space="0" w:color="auto"/>
      </w:divBdr>
    </w:div>
    <w:div w:id="770779142">
      <w:bodyDiv w:val="1"/>
      <w:marLeft w:val="0"/>
      <w:marRight w:val="0"/>
      <w:marTop w:val="0"/>
      <w:marBottom w:val="0"/>
      <w:divBdr>
        <w:top w:val="none" w:sz="0" w:space="0" w:color="auto"/>
        <w:left w:val="none" w:sz="0" w:space="0" w:color="auto"/>
        <w:bottom w:val="none" w:sz="0" w:space="0" w:color="auto"/>
        <w:right w:val="none" w:sz="0" w:space="0" w:color="auto"/>
      </w:divBdr>
    </w:div>
    <w:div w:id="850532498">
      <w:bodyDiv w:val="1"/>
      <w:marLeft w:val="0"/>
      <w:marRight w:val="0"/>
      <w:marTop w:val="0"/>
      <w:marBottom w:val="0"/>
      <w:divBdr>
        <w:top w:val="none" w:sz="0" w:space="0" w:color="auto"/>
        <w:left w:val="none" w:sz="0" w:space="0" w:color="auto"/>
        <w:bottom w:val="none" w:sz="0" w:space="0" w:color="auto"/>
        <w:right w:val="none" w:sz="0" w:space="0" w:color="auto"/>
      </w:divBdr>
    </w:div>
    <w:div w:id="1158499052">
      <w:bodyDiv w:val="1"/>
      <w:marLeft w:val="0"/>
      <w:marRight w:val="0"/>
      <w:marTop w:val="0"/>
      <w:marBottom w:val="0"/>
      <w:divBdr>
        <w:top w:val="none" w:sz="0" w:space="0" w:color="auto"/>
        <w:left w:val="none" w:sz="0" w:space="0" w:color="auto"/>
        <w:bottom w:val="none" w:sz="0" w:space="0" w:color="auto"/>
        <w:right w:val="none" w:sz="0" w:space="0" w:color="auto"/>
      </w:divBdr>
    </w:div>
    <w:div w:id="1166093139">
      <w:bodyDiv w:val="1"/>
      <w:marLeft w:val="0"/>
      <w:marRight w:val="0"/>
      <w:marTop w:val="0"/>
      <w:marBottom w:val="0"/>
      <w:divBdr>
        <w:top w:val="none" w:sz="0" w:space="0" w:color="auto"/>
        <w:left w:val="none" w:sz="0" w:space="0" w:color="auto"/>
        <w:bottom w:val="none" w:sz="0" w:space="0" w:color="auto"/>
        <w:right w:val="none" w:sz="0" w:space="0" w:color="auto"/>
      </w:divBdr>
    </w:div>
    <w:div w:id="1275092512">
      <w:bodyDiv w:val="1"/>
      <w:marLeft w:val="0"/>
      <w:marRight w:val="0"/>
      <w:marTop w:val="0"/>
      <w:marBottom w:val="0"/>
      <w:divBdr>
        <w:top w:val="none" w:sz="0" w:space="0" w:color="auto"/>
        <w:left w:val="none" w:sz="0" w:space="0" w:color="auto"/>
        <w:bottom w:val="none" w:sz="0" w:space="0" w:color="auto"/>
        <w:right w:val="none" w:sz="0" w:space="0" w:color="auto"/>
      </w:divBdr>
    </w:div>
    <w:div w:id="1366828162">
      <w:bodyDiv w:val="1"/>
      <w:marLeft w:val="0"/>
      <w:marRight w:val="0"/>
      <w:marTop w:val="0"/>
      <w:marBottom w:val="0"/>
      <w:divBdr>
        <w:top w:val="none" w:sz="0" w:space="0" w:color="auto"/>
        <w:left w:val="none" w:sz="0" w:space="0" w:color="auto"/>
        <w:bottom w:val="none" w:sz="0" w:space="0" w:color="auto"/>
        <w:right w:val="none" w:sz="0" w:space="0" w:color="auto"/>
      </w:divBdr>
    </w:div>
    <w:div w:id="1384216345">
      <w:bodyDiv w:val="1"/>
      <w:marLeft w:val="0"/>
      <w:marRight w:val="0"/>
      <w:marTop w:val="0"/>
      <w:marBottom w:val="0"/>
      <w:divBdr>
        <w:top w:val="none" w:sz="0" w:space="0" w:color="auto"/>
        <w:left w:val="none" w:sz="0" w:space="0" w:color="auto"/>
        <w:bottom w:val="none" w:sz="0" w:space="0" w:color="auto"/>
        <w:right w:val="none" w:sz="0" w:space="0" w:color="auto"/>
      </w:divBdr>
    </w:div>
    <w:div w:id="1524594135">
      <w:bodyDiv w:val="1"/>
      <w:marLeft w:val="0"/>
      <w:marRight w:val="0"/>
      <w:marTop w:val="0"/>
      <w:marBottom w:val="0"/>
      <w:divBdr>
        <w:top w:val="none" w:sz="0" w:space="0" w:color="auto"/>
        <w:left w:val="none" w:sz="0" w:space="0" w:color="auto"/>
        <w:bottom w:val="none" w:sz="0" w:space="0" w:color="auto"/>
        <w:right w:val="none" w:sz="0" w:space="0" w:color="auto"/>
      </w:divBdr>
    </w:div>
    <w:div w:id="1756127528">
      <w:bodyDiv w:val="1"/>
      <w:marLeft w:val="0"/>
      <w:marRight w:val="0"/>
      <w:marTop w:val="0"/>
      <w:marBottom w:val="0"/>
      <w:divBdr>
        <w:top w:val="none" w:sz="0" w:space="0" w:color="auto"/>
        <w:left w:val="none" w:sz="0" w:space="0" w:color="auto"/>
        <w:bottom w:val="none" w:sz="0" w:space="0" w:color="auto"/>
        <w:right w:val="none" w:sz="0" w:space="0" w:color="auto"/>
      </w:divBdr>
    </w:div>
    <w:div w:id="1781610171">
      <w:bodyDiv w:val="1"/>
      <w:marLeft w:val="0"/>
      <w:marRight w:val="0"/>
      <w:marTop w:val="0"/>
      <w:marBottom w:val="0"/>
      <w:divBdr>
        <w:top w:val="none" w:sz="0" w:space="0" w:color="auto"/>
        <w:left w:val="none" w:sz="0" w:space="0" w:color="auto"/>
        <w:bottom w:val="none" w:sz="0" w:space="0" w:color="auto"/>
        <w:right w:val="none" w:sz="0" w:space="0" w:color="auto"/>
      </w:divBdr>
    </w:div>
    <w:div w:id="1929268189">
      <w:bodyDiv w:val="1"/>
      <w:marLeft w:val="0"/>
      <w:marRight w:val="0"/>
      <w:marTop w:val="0"/>
      <w:marBottom w:val="0"/>
      <w:divBdr>
        <w:top w:val="none" w:sz="0" w:space="0" w:color="auto"/>
        <w:left w:val="none" w:sz="0" w:space="0" w:color="auto"/>
        <w:bottom w:val="none" w:sz="0" w:space="0" w:color="auto"/>
        <w:right w:val="none" w:sz="0" w:space="0" w:color="auto"/>
      </w:divBdr>
    </w:div>
    <w:div w:id="2021656666">
      <w:bodyDiv w:val="1"/>
      <w:marLeft w:val="0"/>
      <w:marRight w:val="0"/>
      <w:marTop w:val="0"/>
      <w:marBottom w:val="0"/>
      <w:divBdr>
        <w:top w:val="none" w:sz="0" w:space="0" w:color="auto"/>
        <w:left w:val="none" w:sz="0" w:space="0" w:color="auto"/>
        <w:bottom w:val="none" w:sz="0" w:space="0" w:color="auto"/>
        <w:right w:val="none" w:sz="0" w:space="0" w:color="auto"/>
      </w:divBdr>
    </w:div>
    <w:div w:id="210884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17A8D5-F36F-4ADF-8C96-12A1001FB068}">
  <we:reference id="74296acf-ff86-450c-9340-d30ee71775ae" version="1.0.5.0" store="EXCatalog" storeType="EXCatalog"/>
  <we:alternateReferences>
    <we:reference id="WA200001482" version="1.0.5.0" store="pl-PL"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1b302d-0ea5-4e79-b1d3-ad963b46b967" xsi:nil="true"/>
    <lcf76f155ced4ddcb4097134ff3c332f xmlns="75e7f170-edfc-4bae-9554-58033afa89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81B5D5F36634EA397624C8ABF728D" ma:contentTypeVersion="14" ma:contentTypeDescription="Create a new document." ma:contentTypeScope="" ma:versionID="620383674bc10a010b16a885c7f98832">
  <xsd:schema xmlns:xsd="http://www.w3.org/2001/XMLSchema" xmlns:xs="http://www.w3.org/2001/XMLSchema" xmlns:p="http://schemas.microsoft.com/office/2006/metadata/properties" xmlns:ns2="75e7f170-edfc-4bae-9554-58033afa89e5" xmlns:ns3="1f1b302d-0ea5-4e79-b1d3-ad963b46b967" targetNamespace="http://schemas.microsoft.com/office/2006/metadata/properties" ma:root="true" ma:fieldsID="e3b863be6b74ff475f3df9d67445f710" ns2:_="" ns3:_="">
    <xsd:import namespace="75e7f170-edfc-4bae-9554-58033afa89e5"/>
    <xsd:import namespace="1f1b302d-0ea5-4e79-b1d3-ad963b46b9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7f170-edfc-4bae-9554-58033afa8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da77310-f3de-42f9-adc8-0cacd17274d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1b302d-0ea5-4e79-b1d3-ad963b46b9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89d3e1c-e3e6-4aa5-a38c-2bb8b953c004}" ma:internalName="TaxCatchAll" ma:showField="CatchAllData" ma:web="1f1b302d-0ea5-4e79-b1d3-ad963b46b9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01F5-A977-4083-B138-04799534AB70}">
  <ds:schemaRefs>
    <ds:schemaRef ds:uri="http://schemas.microsoft.com/sharepoint/v3/contenttype/forms"/>
  </ds:schemaRefs>
</ds:datastoreItem>
</file>

<file path=customXml/itemProps2.xml><?xml version="1.0" encoding="utf-8"?>
<ds:datastoreItem xmlns:ds="http://schemas.openxmlformats.org/officeDocument/2006/customXml" ds:itemID="{D80BC424-7F90-46DD-91F8-061E7B45D97A}">
  <ds:schemaRefs>
    <ds:schemaRef ds:uri="http://schemas.microsoft.com/office/2006/metadata/properties"/>
    <ds:schemaRef ds:uri="http://schemas.microsoft.com/office/infopath/2007/PartnerControls"/>
    <ds:schemaRef ds:uri="1f1b302d-0ea5-4e79-b1d3-ad963b46b967"/>
    <ds:schemaRef ds:uri="75e7f170-edfc-4bae-9554-58033afa89e5"/>
  </ds:schemaRefs>
</ds:datastoreItem>
</file>

<file path=customXml/itemProps3.xml><?xml version="1.0" encoding="utf-8"?>
<ds:datastoreItem xmlns:ds="http://schemas.openxmlformats.org/officeDocument/2006/customXml" ds:itemID="{772CBC85-94B7-443B-8FBB-599F208FE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7f170-edfc-4bae-9554-58033afa89e5"/>
    <ds:schemaRef ds:uri="1f1b302d-0ea5-4e79-b1d3-ad963b46b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5137</Words>
  <Characters>30827</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piotr.keskiewicz@pwr.edu.pl</dc:creator>
  <cp:keywords/>
  <dc:description/>
  <cp:lastModifiedBy>Janusz Dabrowski NA</cp:lastModifiedBy>
  <cp:revision>11</cp:revision>
  <cp:lastPrinted>2025-12-28T16:29:00Z</cp:lastPrinted>
  <dcterms:created xsi:type="dcterms:W3CDTF">2025-12-28T15:52:00Z</dcterms:created>
  <dcterms:modified xsi:type="dcterms:W3CDTF">2025-12-29T14:39:00Z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0x010100B6A81B5D5F36634EA397624C8ABF728D</vt:lpwstr>
  </property>
  <property fmtid="{D5CDD505-2E9C-101B-9397-08002B2CF9AE}" pid="3" name="MediaServiceImageTags">
    <vt:lpwstr/>
  </property>
</Properties>
</file>