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0" w:type="dxa"/>
          <w:right w:w="0" w:type="dxa"/>
        </w:tblCellMar>
        <w:tblLook w:val="04A0" w:firstRow="1" w:lastRow="0" w:firstColumn="1" w:lastColumn="0" w:noHBand="0" w:noVBand="1"/>
      </w:tblPr>
      <w:tblGrid>
        <w:gridCol w:w="709"/>
        <w:gridCol w:w="992"/>
        <w:gridCol w:w="6304"/>
        <w:gridCol w:w="1634"/>
      </w:tblGrid>
      <w:tr w:rsidR="007B19A9" w:rsidRPr="00BF6059" w14:paraId="704EDDF6" w14:textId="77777777" w:rsidTr="006C42BF">
        <w:trPr>
          <w:trHeight w:hRule="exact" w:val="142"/>
        </w:trPr>
        <w:tc>
          <w:tcPr>
            <w:tcW w:w="709" w:type="dxa"/>
            <w:vMerge w:val="restart"/>
            <w:vAlign w:val="center"/>
          </w:tcPr>
          <w:p w14:paraId="6C4B7AAA" w14:textId="77777777" w:rsidR="007B19A9" w:rsidRPr="00BF6059" w:rsidRDefault="007B19A9" w:rsidP="007B19A9">
            <w:pPr>
              <w:ind w:firstLine="0"/>
              <w:rPr>
                <w:lang w:val="en-GB"/>
              </w:rPr>
            </w:pPr>
            <w:bookmarkStart w:id="0" w:name="_Hlk184284483"/>
            <w:bookmarkStart w:id="1" w:name="_Hlk145412337"/>
            <w:bookmarkStart w:id="2" w:name="_Hlk103340665"/>
            <w:bookmarkStart w:id="3" w:name="_Hlk24804592"/>
            <w:bookmarkEnd w:id="0"/>
            <w:bookmarkEnd w:id="1"/>
            <w:bookmarkEnd w:id="2"/>
            <w:r w:rsidRPr="00BF6059">
              <w:rPr>
                <w:rFonts w:ascii="Calibri" w:hAnsi="Calibri"/>
                <w:noProof/>
                <w:lang w:val="en-GB"/>
              </w:rPr>
              <w:drawing>
                <wp:anchor distT="0" distB="0" distL="114300" distR="114300" simplePos="0" relativeHeight="251659264" behindDoc="0" locked="0" layoutInCell="1" allowOverlap="1" wp14:anchorId="0ACFDF0B" wp14:editId="63AC5D85">
                  <wp:simplePos x="0" y="0"/>
                  <wp:positionH relativeFrom="column">
                    <wp:posOffset>0</wp:posOffset>
                  </wp:positionH>
                  <wp:positionV relativeFrom="paragraph">
                    <wp:posOffset>335915</wp:posOffset>
                  </wp:positionV>
                  <wp:extent cx="431800" cy="425450"/>
                  <wp:effectExtent l="0" t="0" r="6350" b="0"/>
                  <wp:wrapNone/>
                  <wp:docPr id="14455592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800" cy="425450"/>
                          </a:xfrm>
                          <a:prstGeom prst="rect">
                            <a:avLst/>
                          </a:prstGeom>
                          <a:noFill/>
                        </pic:spPr>
                      </pic:pic>
                    </a:graphicData>
                  </a:graphic>
                  <wp14:sizeRelH relativeFrom="page">
                    <wp14:pctWidth>0</wp14:pctWidth>
                  </wp14:sizeRelH>
                  <wp14:sizeRelV relativeFrom="page">
                    <wp14:pctHeight>0</wp14:pctHeight>
                  </wp14:sizeRelV>
                </wp:anchor>
              </w:drawing>
            </w:r>
          </w:p>
        </w:tc>
        <w:tc>
          <w:tcPr>
            <w:tcW w:w="8930" w:type="dxa"/>
            <w:gridSpan w:val="3"/>
            <w:vAlign w:val="center"/>
          </w:tcPr>
          <w:p w14:paraId="26ADB03D" w14:textId="77777777" w:rsidR="007B19A9" w:rsidRPr="00BF6059" w:rsidRDefault="007B19A9" w:rsidP="007B19A9">
            <w:pPr>
              <w:ind w:firstLine="0"/>
              <w:jc w:val="center"/>
              <w:rPr>
                <w:lang w:val="en-GB"/>
              </w:rPr>
            </w:pPr>
          </w:p>
        </w:tc>
      </w:tr>
      <w:tr w:rsidR="007B19A9" w:rsidRPr="00BF6059" w14:paraId="19DCD636" w14:textId="77777777" w:rsidTr="006C42BF">
        <w:trPr>
          <w:trHeight w:hRule="exact" w:val="283"/>
        </w:trPr>
        <w:tc>
          <w:tcPr>
            <w:tcW w:w="709" w:type="dxa"/>
            <w:vMerge/>
          </w:tcPr>
          <w:p w14:paraId="1CA6235A" w14:textId="77777777" w:rsidR="007B19A9" w:rsidRPr="00BF6059" w:rsidRDefault="007B19A9" w:rsidP="007B19A9">
            <w:pPr>
              <w:ind w:firstLine="0"/>
              <w:jc w:val="center"/>
              <w:rPr>
                <w:lang w:val="en-GB"/>
              </w:rPr>
            </w:pPr>
          </w:p>
        </w:tc>
        <w:tc>
          <w:tcPr>
            <w:tcW w:w="8930" w:type="dxa"/>
            <w:gridSpan w:val="3"/>
            <w:tcBorders>
              <w:bottom w:val="single" w:sz="2" w:space="0" w:color="auto"/>
            </w:tcBorders>
            <w:vAlign w:val="center"/>
          </w:tcPr>
          <w:p w14:paraId="2CA6E646" w14:textId="77777777" w:rsidR="007B19A9" w:rsidRPr="00BF6059" w:rsidRDefault="007B19A9" w:rsidP="007B19A9">
            <w:pPr>
              <w:ind w:firstLine="0"/>
              <w:jc w:val="center"/>
              <w:rPr>
                <w:lang w:val="en-GB"/>
              </w:rPr>
            </w:pPr>
            <w:proofErr w:type="spellStart"/>
            <w:r w:rsidRPr="00BF6059">
              <w:rPr>
                <w:b/>
                <w:sz w:val="20"/>
                <w:lang w:val="en-GB"/>
              </w:rPr>
              <w:t>Rocznik</w:t>
            </w:r>
            <w:proofErr w:type="spellEnd"/>
            <w:r w:rsidRPr="00BF6059">
              <w:rPr>
                <w:b/>
                <w:sz w:val="20"/>
                <w:lang w:val="en-GB"/>
              </w:rPr>
              <w:t xml:space="preserve"> </w:t>
            </w:r>
            <w:proofErr w:type="spellStart"/>
            <w:r w:rsidRPr="00BF6059">
              <w:rPr>
                <w:b/>
                <w:sz w:val="20"/>
                <w:lang w:val="en-GB"/>
              </w:rPr>
              <w:t>Ochrona</w:t>
            </w:r>
            <w:proofErr w:type="spellEnd"/>
            <w:r w:rsidRPr="00BF6059">
              <w:rPr>
                <w:b/>
                <w:sz w:val="20"/>
                <w:lang w:val="en-GB"/>
              </w:rPr>
              <w:t xml:space="preserve"> </w:t>
            </w:r>
            <w:proofErr w:type="spellStart"/>
            <w:r w:rsidRPr="00BF6059">
              <w:rPr>
                <w:b/>
                <w:sz w:val="20"/>
                <w:lang w:val="en-GB"/>
              </w:rPr>
              <w:t>Środowiska</w:t>
            </w:r>
            <w:proofErr w:type="spellEnd"/>
          </w:p>
        </w:tc>
      </w:tr>
      <w:tr w:rsidR="007B19A9" w:rsidRPr="00BF6059" w14:paraId="08D659B1" w14:textId="77777777" w:rsidTr="006C42BF">
        <w:trPr>
          <w:trHeight w:hRule="exact" w:val="283"/>
        </w:trPr>
        <w:tc>
          <w:tcPr>
            <w:tcW w:w="709" w:type="dxa"/>
            <w:vMerge/>
          </w:tcPr>
          <w:p w14:paraId="481293BC" w14:textId="77777777" w:rsidR="007B19A9" w:rsidRPr="00BF6059" w:rsidRDefault="007B19A9" w:rsidP="007B19A9">
            <w:pPr>
              <w:ind w:firstLine="0"/>
              <w:jc w:val="center"/>
              <w:rPr>
                <w:lang w:val="en-GB"/>
              </w:rPr>
            </w:pPr>
          </w:p>
        </w:tc>
        <w:tc>
          <w:tcPr>
            <w:tcW w:w="992" w:type="dxa"/>
            <w:tcBorders>
              <w:top w:val="single" w:sz="2" w:space="0" w:color="auto"/>
              <w:bottom w:val="single" w:sz="2" w:space="0" w:color="auto"/>
            </w:tcBorders>
            <w:vAlign w:val="center"/>
          </w:tcPr>
          <w:p w14:paraId="0BBA5D08" w14:textId="77777777" w:rsidR="007B19A9" w:rsidRPr="00BF6059" w:rsidRDefault="007B19A9" w:rsidP="007B19A9">
            <w:pPr>
              <w:ind w:firstLine="0"/>
              <w:rPr>
                <w:kern w:val="18"/>
                <w:sz w:val="18"/>
                <w:lang w:val="en-GB"/>
              </w:rPr>
            </w:pPr>
            <w:r w:rsidRPr="00BF6059">
              <w:rPr>
                <w:kern w:val="18"/>
                <w:sz w:val="18"/>
                <w:lang w:val="en-GB"/>
              </w:rPr>
              <w:t>Volume 27</w:t>
            </w:r>
          </w:p>
        </w:tc>
        <w:tc>
          <w:tcPr>
            <w:tcW w:w="6304" w:type="dxa"/>
            <w:tcBorders>
              <w:top w:val="single" w:sz="2" w:space="0" w:color="auto"/>
              <w:bottom w:val="single" w:sz="2" w:space="0" w:color="auto"/>
            </w:tcBorders>
            <w:vAlign w:val="center"/>
          </w:tcPr>
          <w:p w14:paraId="078FA532" w14:textId="77777777" w:rsidR="007B19A9" w:rsidRPr="00BF6059" w:rsidRDefault="007B19A9" w:rsidP="007B19A9">
            <w:pPr>
              <w:tabs>
                <w:tab w:val="left" w:pos="3057"/>
              </w:tabs>
              <w:ind w:left="141" w:firstLine="0"/>
              <w:rPr>
                <w:kern w:val="18"/>
                <w:sz w:val="18"/>
                <w:lang w:val="en-GB"/>
              </w:rPr>
            </w:pPr>
            <w:r w:rsidRPr="00BF6059">
              <w:rPr>
                <w:kern w:val="18"/>
                <w:sz w:val="18"/>
                <w:lang w:val="en-GB"/>
              </w:rPr>
              <w:t>Year 2025</w:t>
            </w:r>
            <w:r w:rsidRPr="00BF6059">
              <w:rPr>
                <w:kern w:val="18"/>
                <w:sz w:val="18"/>
                <w:lang w:val="en-GB"/>
              </w:rPr>
              <w:tab/>
              <w:t>ISSN 2720-7501</w:t>
            </w:r>
          </w:p>
        </w:tc>
        <w:tc>
          <w:tcPr>
            <w:tcW w:w="1634" w:type="dxa"/>
            <w:tcBorders>
              <w:top w:val="single" w:sz="2" w:space="0" w:color="auto"/>
              <w:bottom w:val="single" w:sz="2" w:space="0" w:color="auto"/>
            </w:tcBorders>
            <w:vAlign w:val="center"/>
          </w:tcPr>
          <w:p w14:paraId="2CC125DD" w14:textId="4C43CC9D" w:rsidR="007B19A9" w:rsidRPr="00BF6059" w:rsidRDefault="007B19A9" w:rsidP="007B19A9">
            <w:pPr>
              <w:ind w:firstLine="0"/>
              <w:jc w:val="right"/>
              <w:rPr>
                <w:sz w:val="18"/>
                <w:lang w:val="en-GB"/>
              </w:rPr>
            </w:pPr>
            <w:r w:rsidRPr="00BF6059">
              <w:rPr>
                <w:sz w:val="18"/>
                <w:lang w:val="en-GB"/>
              </w:rPr>
              <w:t xml:space="preserve">pp. </w:t>
            </w:r>
            <w:r w:rsidR="0079525D">
              <w:rPr>
                <w:sz w:val="18"/>
                <w:lang w:val="en-GB"/>
              </w:rPr>
              <w:t>799</w:t>
            </w:r>
            <w:r w:rsidRPr="00BF6059">
              <w:rPr>
                <w:sz w:val="18"/>
                <w:lang w:val="en-GB"/>
              </w:rPr>
              <w:t>-</w:t>
            </w:r>
            <w:r w:rsidR="0079525D">
              <w:rPr>
                <w:sz w:val="18"/>
                <w:lang w:val="en-GB"/>
              </w:rPr>
              <w:t>815</w:t>
            </w:r>
            <w:r w:rsidRPr="00BF6059">
              <w:rPr>
                <w:sz w:val="18"/>
                <w:lang w:val="en-GB"/>
              </w:rPr>
              <w:t xml:space="preserve"> </w:t>
            </w:r>
          </w:p>
        </w:tc>
      </w:tr>
      <w:tr w:rsidR="007B19A9" w:rsidRPr="00BF6059" w14:paraId="0275BF76" w14:textId="77777777" w:rsidTr="006C42BF">
        <w:trPr>
          <w:trHeight w:hRule="exact" w:val="283"/>
        </w:trPr>
        <w:tc>
          <w:tcPr>
            <w:tcW w:w="709" w:type="dxa"/>
          </w:tcPr>
          <w:p w14:paraId="223B9CF1" w14:textId="77777777" w:rsidR="007B19A9" w:rsidRPr="00BF6059" w:rsidRDefault="007B19A9" w:rsidP="007B19A9">
            <w:pPr>
              <w:ind w:firstLine="0"/>
              <w:jc w:val="center"/>
              <w:rPr>
                <w:lang w:val="en-GB"/>
              </w:rPr>
            </w:pPr>
          </w:p>
        </w:tc>
        <w:tc>
          <w:tcPr>
            <w:tcW w:w="8930" w:type="dxa"/>
            <w:gridSpan w:val="3"/>
            <w:tcBorders>
              <w:top w:val="single" w:sz="2" w:space="0" w:color="auto"/>
              <w:bottom w:val="single" w:sz="2" w:space="0" w:color="auto"/>
            </w:tcBorders>
            <w:vAlign w:val="center"/>
          </w:tcPr>
          <w:p w14:paraId="64008185" w14:textId="36BE1001" w:rsidR="007B19A9" w:rsidRPr="00BF6059" w:rsidRDefault="007B19A9" w:rsidP="007B19A9">
            <w:pPr>
              <w:tabs>
                <w:tab w:val="right" w:pos="8928"/>
              </w:tabs>
              <w:ind w:firstLine="0"/>
              <w:rPr>
                <w:sz w:val="18"/>
                <w:lang w:val="en-GB"/>
              </w:rPr>
            </w:pPr>
            <w:r w:rsidRPr="00BF6059">
              <w:rPr>
                <w:sz w:val="18"/>
                <w:lang w:val="en-GB"/>
              </w:rPr>
              <w:t>https://doi.org/10.54740/ros.2025.0</w:t>
            </w:r>
            <w:r w:rsidR="0079525D">
              <w:rPr>
                <w:sz w:val="18"/>
                <w:lang w:val="en-GB"/>
              </w:rPr>
              <w:t>64</w:t>
            </w:r>
            <w:r w:rsidRPr="00BF6059">
              <w:rPr>
                <w:sz w:val="18"/>
                <w:lang w:val="en-GB"/>
              </w:rPr>
              <w:tab/>
              <w:t>open access</w:t>
            </w:r>
          </w:p>
        </w:tc>
      </w:tr>
      <w:tr w:rsidR="007B19A9" w:rsidRPr="00BF6059" w14:paraId="511AC3A1" w14:textId="77777777" w:rsidTr="006C42BF">
        <w:trPr>
          <w:trHeight w:hRule="exact" w:val="283"/>
        </w:trPr>
        <w:tc>
          <w:tcPr>
            <w:tcW w:w="709" w:type="dxa"/>
          </w:tcPr>
          <w:p w14:paraId="7A3EB3CE" w14:textId="77777777" w:rsidR="007B19A9" w:rsidRPr="00BF6059" w:rsidRDefault="007B19A9" w:rsidP="007B19A9">
            <w:pPr>
              <w:ind w:firstLine="0"/>
              <w:jc w:val="center"/>
              <w:rPr>
                <w:lang w:val="en-GB"/>
              </w:rPr>
            </w:pPr>
          </w:p>
        </w:tc>
        <w:tc>
          <w:tcPr>
            <w:tcW w:w="8930" w:type="dxa"/>
            <w:gridSpan w:val="3"/>
            <w:tcBorders>
              <w:top w:val="single" w:sz="2" w:space="0" w:color="auto"/>
            </w:tcBorders>
            <w:vAlign w:val="center"/>
          </w:tcPr>
          <w:p w14:paraId="5284F0E8" w14:textId="5B441335" w:rsidR="007B19A9" w:rsidRPr="00BF6059" w:rsidRDefault="007B19A9" w:rsidP="007B19A9">
            <w:pPr>
              <w:tabs>
                <w:tab w:val="left" w:pos="3684"/>
                <w:tab w:val="right" w:pos="8928"/>
              </w:tabs>
              <w:ind w:firstLine="0"/>
              <w:rPr>
                <w:sz w:val="18"/>
                <w:lang w:val="en-GB"/>
              </w:rPr>
            </w:pPr>
            <w:r w:rsidRPr="00BF6059">
              <w:rPr>
                <w:sz w:val="18"/>
                <w:lang w:val="en-GB"/>
              </w:rPr>
              <w:t xml:space="preserve">Received: </w:t>
            </w:r>
            <w:r w:rsidR="00495DE8" w:rsidRPr="00BF6059">
              <w:rPr>
                <w:sz w:val="18"/>
                <w:lang w:val="en-GB"/>
              </w:rPr>
              <w:t>December</w:t>
            </w:r>
            <w:r w:rsidRPr="00BF6059">
              <w:rPr>
                <w:sz w:val="18"/>
                <w:lang w:val="en-GB"/>
              </w:rPr>
              <w:t xml:space="preserve"> 2025</w:t>
            </w:r>
            <w:r w:rsidRPr="00BF6059">
              <w:rPr>
                <w:sz w:val="18"/>
                <w:lang w:val="en-GB"/>
              </w:rPr>
              <w:tab/>
              <w:t>Accepted: December 2025</w:t>
            </w:r>
            <w:r w:rsidRPr="00BF6059">
              <w:rPr>
                <w:sz w:val="18"/>
                <w:lang w:val="en-GB"/>
              </w:rPr>
              <w:tab/>
              <w:t>Published: December 2025</w:t>
            </w:r>
          </w:p>
        </w:tc>
      </w:tr>
    </w:tbl>
    <w:bookmarkEnd w:id="3"/>
    <w:p w14:paraId="57080D38" w14:textId="5EB7774B" w:rsidR="00C239D0" w:rsidRPr="00C239D0" w:rsidRDefault="00C239D0" w:rsidP="00C239D0">
      <w:pPr>
        <w:pStyle w:val="Rtytu"/>
        <w:rPr>
          <w:lang w:val="en-GB"/>
        </w:rPr>
      </w:pPr>
      <w:r w:rsidRPr="00C239D0">
        <w:rPr>
          <w:lang w:val="en-GB"/>
        </w:rPr>
        <w:t xml:space="preserve">The </w:t>
      </w:r>
      <w:r>
        <w:rPr>
          <w:lang w:val="en-GB"/>
        </w:rPr>
        <w:t>I</w:t>
      </w:r>
      <w:r w:rsidRPr="00C239D0">
        <w:rPr>
          <w:lang w:val="en-GB"/>
        </w:rPr>
        <w:t xml:space="preserve">mportance of </w:t>
      </w:r>
      <w:r>
        <w:rPr>
          <w:lang w:val="en-GB"/>
        </w:rPr>
        <w:t>E</w:t>
      </w:r>
      <w:r w:rsidRPr="00C239D0">
        <w:rPr>
          <w:lang w:val="en-GB"/>
        </w:rPr>
        <w:t xml:space="preserve">nvironmental </w:t>
      </w:r>
      <w:r>
        <w:rPr>
          <w:lang w:val="en-GB"/>
        </w:rPr>
        <w:t>P</w:t>
      </w:r>
      <w:r w:rsidRPr="00C239D0">
        <w:rPr>
          <w:lang w:val="en-GB"/>
        </w:rPr>
        <w:t xml:space="preserve">rotection in </w:t>
      </w:r>
      <w:r>
        <w:rPr>
          <w:lang w:val="en-GB"/>
        </w:rPr>
        <w:t>I</w:t>
      </w:r>
      <w:r w:rsidRPr="00C239D0">
        <w:rPr>
          <w:lang w:val="en-GB"/>
        </w:rPr>
        <w:t xml:space="preserve">dentifying </w:t>
      </w:r>
      <w:r>
        <w:rPr>
          <w:lang w:val="en-GB"/>
        </w:rPr>
        <w:t>C</w:t>
      </w:r>
      <w:r w:rsidRPr="00C239D0">
        <w:rPr>
          <w:lang w:val="en-GB"/>
        </w:rPr>
        <w:t xml:space="preserve">onsumer </w:t>
      </w:r>
      <w:proofErr w:type="spellStart"/>
      <w:r>
        <w:rPr>
          <w:lang w:val="en-GB"/>
        </w:rPr>
        <w:t>B</w:t>
      </w:r>
      <w:r w:rsidRPr="00C239D0">
        <w:rPr>
          <w:lang w:val="en-GB"/>
        </w:rPr>
        <w:t>ehavior</w:t>
      </w:r>
      <w:proofErr w:type="spellEnd"/>
      <w:r w:rsidRPr="00C239D0">
        <w:rPr>
          <w:lang w:val="en-GB"/>
        </w:rPr>
        <w:t xml:space="preserve"> </w:t>
      </w:r>
      <w:r>
        <w:rPr>
          <w:lang w:val="en-GB"/>
        </w:rPr>
        <w:t>A</w:t>
      </w:r>
      <w:r w:rsidRPr="00C239D0">
        <w:rPr>
          <w:lang w:val="en-GB"/>
        </w:rPr>
        <w:t xml:space="preserve">mong </w:t>
      </w:r>
      <w:r w:rsidR="00191A53">
        <w:rPr>
          <w:lang w:val="en-GB"/>
        </w:rPr>
        <w:t>the</w:t>
      </w:r>
      <w:r w:rsidR="00EE13DC">
        <w:rPr>
          <w:lang w:val="en-GB"/>
        </w:rPr>
        <w:t> </w:t>
      </w:r>
      <w:r>
        <w:rPr>
          <w:lang w:val="en-GB"/>
        </w:rPr>
        <w:t>Y</w:t>
      </w:r>
      <w:r w:rsidRPr="00C239D0">
        <w:rPr>
          <w:lang w:val="en-GB"/>
        </w:rPr>
        <w:t xml:space="preserve">oung </w:t>
      </w:r>
      <w:r>
        <w:rPr>
          <w:lang w:val="en-GB"/>
        </w:rPr>
        <w:t>P</w:t>
      </w:r>
      <w:r w:rsidRPr="00C239D0">
        <w:rPr>
          <w:lang w:val="en-GB"/>
        </w:rPr>
        <w:t xml:space="preserve">opulation in the </w:t>
      </w:r>
      <w:r>
        <w:rPr>
          <w:lang w:val="en-GB"/>
        </w:rPr>
        <w:t>A</w:t>
      </w:r>
      <w:r w:rsidRPr="00C239D0">
        <w:rPr>
          <w:lang w:val="en-GB"/>
        </w:rPr>
        <w:t xml:space="preserve">rea of </w:t>
      </w:r>
      <w:r>
        <w:rPr>
          <w:lang w:val="en-GB"/>
        </w:rPr>
        <w:t>S</w:t>
      </w:r>
      <w:r w:rsidRPr="00C239D0">
        <w:rPr>
          <w:lang w:val="en-GB"/>
        </w:rPr>
        <w:t xml:space="preserve">ustainable </w:t>
      </w:r>
      <w:r>
        <w:rPr>
          <w:lang w:val="en-GB"/>
        </w:rPr>
        <w:t>E</w:t>
      </w:r>
      <w:r w:rsidRPr="00C239D0">
        <w:rPr>
          <w:lang w:val="en-GB"/>
        </w:rPr>
        <w:t xml:space="preserve">nergy </w:t>
      </w:r>
      <w:r>
        <w:rPr>
          <w:lang w:val="en-GB"/>
        </w:rPr>
        <w:t>D</w:t>
      </w:r>
      <w:r w:rsidRPr="00C239D0">
        <w:rPr>
          <w:lang w:val="en-GB"/>
        </w:rPr>
        <w:t>evelopment</w:t>
      </w:r>
    </w:p>
    <w:p w14:paraId="3569E628" w14:textId="47551F93" w:rsidR="00C239D0" w:rsidRPr="00C239D0" w:rsidRDefault="00C239D0" w:rsidP="00C239D0">
      <w:pPr>
        <w:pStyle w:val="Rautor"/>
        <w:rPr>
          <w:lang w:val="en-GB"/>
        </w:rPr>
      </w:pPr>
      <w:r w:rsidRPr="00C239D0">
        <w:rPr>
          <w:lang w:val="en-GB"/>
        </w:rPr>
        <w:t>Marcin Olkiewicz</w:t>
      </w:r>
      <w:r w:rsidRPr="00C239D0">
        <w:rPr>
          <w:vertAlign w:val="superscript"/>
          <w:lang w:val="en-GB"/>
        </w:rPr>
        <w:t>1*</w:t>
      </w:r>
      <w:r>
        <w:rPr>
          <w:lang w:val="en-GB"/>
        </w:rPr>
        <w:t xml:space="preserve">, </w:t>
      </w:r>
      <w:r w:rsidRPr="00C239D0">
        <w:rPr>
          <w:lang w:val="en-GB"/>
        </w:rPr>
        <w:t>Joanna Alicja Dyczkowska</w:t>
      </w:r>
      <w:r w:rsidRPr="00C239D0">
        <w:rPr>
          <w:vertAlign w:val="superscript"/>
          <w:lang w:val="en-GB"/>
        </w:rPr>
        <w:t>2</w:t>
      </w:r>
    </w:p>
    <w:p w14:paraId="366B29F1" w14:textId="24ADE43F" w:rsidR="00C239D0" w:rsidRPr="00C239D0" w:rsidRDefault="00C239D0" w:rsidP="00C239D0">
      <w:pPr>
        <w:pStyle w:val="Rafiliacja"/>
        <w:rPr>
          <w:lang w:val="en-GB"/>
        </w:rPr>
      </w:pPr>
      <w:r w:rsidRPr="00C239D0">
        <w:rPr>
          <w:vertAlign w:val="superscript"/>
          <w:lang w:val="en-GB"/>
        </w:rPr>
        <w:t>1</w:t>
      </w:r>
      <w:r w:rsidRPr="00C239D0">
        <w:rPr>
          <w:lang w:val="en-GB"/>
        </w:rPr>
        <w:t xml:space="preserve">Faculty of Economic Sciences, </w:t>
      </w:r>
      <w:proofErr w:type="spellStart"/>
      <w:r w:rsidRPr="00C239D0">
        <w:rPr>
          <w:lang w:val="en-GB"/>
        </w:rPr>
        <w:t>Koszalin</w:t>
      </w:r>
      <w:proofErr w:type="spellEnd"/>
      <w:r w:rsidRPr="00C239D0">
        <w:rPr>
          <w:lang w:val="en-GB"/>
        </w:rPr>
        <w:t xml:space="preserve"> University of Technology, Poland </w:t>
      </w:r>
      <w:r>
        <w:rPr>
          <w:lang w:val="en-GB"/>
        </w:rPr>
        <w:br/>
      </w:r>
      <w:r w:rsidRPr="00C239D0">
        <w:rPr>
          <w:lang w:val="en-GB"/>
        </w:rPr>
        <w:t>https://orcid.org/0000-0001-6181-6829</w:t>
      </w:r>
    </w:p>
    <w:p w14:paraId="21E545E3" w14:textId="0A3F2113" w:rsidR="00C239D0" w:rsidRPr="00C239D0" w:rsidRDefault="00C239D0" w:rsidP="00C239D0">
      <w:pPr>
        <w:pStyle w:val="Rafiliacja"/>
        <w:rPr>
          <w:lang w:val="en-GB"/>
        </w:rPr>
      </w:pPr>
      <w:r w:rsidRPr="00C239D0">
        <w:rPr>
          <w:vertAlign w:val="superscript"/>
          <w:lang w:val="en-GB"/>
        </w:rPr>
        <w:t>2</w:t>
      </w:r>
      <w:r w:rsidRPr="00C239D0">
        <w:rPr>
          <w:lang w:val="en-GB"/>
        </w:rPr>
        <w:t xml:space="preserve">Faculty of Economic Sciences, </w:t>
      </w:r>
      <w:proofErr w:type="spellStart"/>
      <w:r w:rsidRPr="00C239D0">
        <w:rPr>
          <w:lang w:val="en-GB"/>
        </w:rPr>
        <w:t>Koszalin</w:t>
      </w:r>
      <w:proofErr w:type="spellEnd"/>
      <w:r w:rsidRPr="00C239D0">
        <w:rPr>
          <w:lang w:val="en-GB"/>
        </w:rPr>
        <w:t xml:space="preserve"> University of Technology, Poland </w:t>
      </w:r>
      <w:r>
        <w:rPr>
          <w:lang w:val="en-GB"/>
        </w:rPr>
        <w:br/>
      </w:r>
      <w:r w:rsidRPr="00C239D0">
        <w:rPr>
          <w:lang w:val="en-GB"/>
        </w:rPr>
        <w:t>https://orcid.org/0000-0001-9866-3897</w:t>
      </w:r>
    </w:p>
    <w:p w14:paraId="37401E17" w14:textId="701FB55C" w:rsidR="00C239D0" w:rsidRPr="00C239D0" w:rsidRDefault="00267871" w:rsidP="00C239D0">
      <w:pPr>
        <w:pStyle w:val="Rauco"/>
      </w:pPr>
      <w:r w:rsidRPr="00267871">
        <w:t>corresponding author</w:t>
      </w:r>
      <w:r w:rsidR="00191A53">
        <w:t>'</w:t>
      </w:r>
      <w:r w:rsidRPr="00267871">
        <w:t xml:space="preserve">s e-mail: </w:t>
      </w:r>
      <w:r w:rsidR="00C239D0" w:rsidRPr="00C239D0">
        <w:t>marcin.olkiewicz@tu.koszalin.pl</w:t>
      </w:r>
    </w:p>
    <w:p w14:paraId="495E13A8" w14:textId="5A30CA21" w:rsidR="00C239D0" w:rsidRPr="00C239D0" w:rsidRDefault="00C239D0" w:rsidP="00C239D0">
      <w:pPr>
        <w:pStyle w:val="Rab1"/>
      </w:pPr>
      <w:r w:rsidRPr="00C239D0">
        <w:rPr>
          <w:b/>
          <w:bCs/>
        </w:rPr>
        <w:t>Abstract:</w:t>
      </w:r>
      <w:r w:rsidRPr="00C239D0">
        <w:t xml:space="preserve"> Consumer </w:t>
      </w:r>
      <w:proofErr w:type="spellStart"/>
      <w:r w:rsidRPr="00C239D0">
        <w:t>behaviors</w:t>
      </w:r>
      <w:proofErr w:type="spellEnd"/>
      <w:r w:rsidRPr="00C239D0">
        <w:t xml:space="preserve"> determine, among other things, the scale and pace of consumption in the market, including the energy sector. The manner in which purchasing decisions are executed may have significant implications for the future, particularly in terms of environmental protection and the utilization of natural resource sources. Th</w:t>
      </w:r>
      <w:r w:rsidR="00191A53">
        <w:t>is article aim</w:t>
      </w:r>
      <w:r w:rsidRPr="00C239D0">
        <w:t xml:space="preserve">s to identify and </w:t>
      </w:r>
      <w:proofErr w:type="spellStart"/>
      <w:r w:rsidRPr="00C239D0">
        <w:t>analyze</w:t>
      </w:r>
      <w:proofErr w:type="spellEnd"/>
      <w:r w:rsidRPr="00C239D0">
        <w:t xml:space="preserve"> the factors shaping the consumer </w:t>
      </w:r>
      <w:proofErr w:type="spellStart"/>
      <w:r w:rsidRPr="00C239D0">
        <w:t>behaviors</w:t>
      </w:r>
      <w:proofErr w:type="spellEnd"/>
      <w:r w:rsidRPr="00C239D0">
        <w:t xml:space="preserve"> of the younger generation </w:t>
      </w:r>
      <w:r w:rsidR="00191A53">
        <w:t>from</w:t>
      </w:r>
      <w:r w:rsidRPr="00C239D0">
        <w:t xml:space="preserve"> the perspective of environmental awareness. Results of a survey conducted using the CAWI method among 98 young respondents revealed variability in the perceived importance of factors influencing conscious consumption. The importance attributed to factors that act as triggers for decision-making (opinions of friends, family, etc.) differed from that assigned to factors determining the actual purchase (ecology, quality, purchase price, etc.). Nevertheless, the economic aspect (51.7%) exerted the greatest influence on purchasing decisions. An important observation is the indication of responsible decision-making, as the majority of the younger generation tends to focus on devices that provide energy in accordance with renewable energy sources (RES). When evaluating various forms of energy acquisition, 42% of respondents expressed a strong preference for photovoltaic panels, while 40% indicated that they would not purchase a universal combustion furnace. </w:t>
      </w:r>
    </w:p>
    <w:p w14:paraId="3924FF1B" w14:textId="543B0498" w:rsidR="00C239D0" w:rsidRPr="00C239D0" w:rsidRDefault="00C239D0" w:rsidP="007B19A9">
      <w:pPr>
        <w:pStyle w:val="Rab2"/>
      </w:pPr>
      <w:r w:rsidRPr="00C239D0">
        <w:rPr>
          <w:b/>
          <w:bCs/>
        </w:rPr>
        <w:t>Keywords:</w:t>
      </w:r>
      <w:r w:rsidRPr="00C239D0">
        <w:t xml:space="preserve"> consumer </w:t>
      </w:r>
      <w:proofErr w:type="spellStart"/>
      <w:r w:rsidRPr="00C239D0">
        <w:t>behaviors</w:t>
      </w:r>
      <w:proofErr w:type="spellEnd"/>
      <w:r>
        <w:t>,</w:t>
      </w:r>
      <w:r w:rsidRPr="00C239D0">
        <w:t xml:space="preserve"> young consumer generation</w:t>
      </w:r>
      <w:r>
        <w:t>,</w:t>
      </w:r>
      <w:r w:rsidRPr="00C239D0">
        <w:t xml:space="preserve"> sustainable energy development</w:t>
      </w:r>
      <w:r>
        <w:t>,</w:t>
      </w:r>
      <w:r w:rsidRPr="00C239D0">
        <w:t xml:space="preserve"> </w:t>
      </w:r>
      <w:r w:rsidR="007B19A9">
        <w:br/>
      </w:r>
      <w:r w:rsidRPr="00C239D0">
        <w:t>environmentally responsiveness</w:t>
      </w:r>
    </w:p>
    <w:p w14:paraId="5B5B77F0" w14:textId="494C7DCB" w:rsidR="00C239D0" w:rsidRPr="00C239D0" w:rsidRDefault="00C239D0" w:rsidP="00C239D0">
      <w:pPr>
        <w:pStyle w:val="Rn1"/>
        <w:rPr>
          <w:lang w:val="en-GB"/>
        </w:rPr>
      </w:pPr>
      <w:r>
        <w:rPr>
          <w:lang w:val="en-GB"/>
        </w:rPr>
        <w:t xml:space="preserve">1. </w:t>
      </w:r>
      <w:r w:rsidRPr="00C239D0">
        <w:rPr>
          <w:lang w:val="en-GB"/>
        </w:rPr>
        <w:t>Introduction</w:t>
      </w:r>
    </w:p>
    <w:p w14:paraId="5F1516D1" w14:textId="77777777" w:rsidR="00C239D0" w:rsidRPr="00C239D0" w:rsidRDefault="00C239D0" w:rsidP="00C239D0">
      <w:pPr>
        <w:rPr>
          <w:lang w:val="en-GB"/>
        </w:rPr>
      </w:pPr>
      <w:r w:rsidRPr="00C239D0">
        <w:rPr>
          <w:lang w:val="en-GB"/>
        </w:rPr>
        <w:t xml:space="preserve">Consumer </w:t>
      </w:r>
      <w:proofErr w:type="spellStart"/>
      <w:r w:rsidRPr="00C239D0">
        <w:rPr>
          <w:lang w:val="en-GB"/>
        </w:rPr>
        <w:t>behaviors</w:t>
      </w:r>
      <w:proofErr w:type="spellEnd"/>
      <w:r w:rsidRPr="00C239D0">
        <w:rPr>
          <w:lang w:val="en-GB"/>
        </w:rPr>
        <w:t xml:space="preserve">, particularly in the areas of environmental protection, sustainable energy development, and eco-friendly purchasing, attract the interest of both researchers and entities offering products or services in this domain. Literature analysis and numerous studies indicate differences in the </w:t>
      </w:r>
      <w:proofErr w:type="spellStart"/>
      <w:r w:rsidRPr="00C239D0">
        <w:rPr>
          <w:lang w:val="en-GB"/>
        </w:rPr>
        <w:t>behaviors</w:t>
      </w:r>
      <w:proofErr w:type="spellEnd"/>
      <w:r w:rsidRPr="00C239D0">
        <w:rPr>
          <w:lang w:val="en-GB"/>
        </w:rPr>
        <w:t xml:space="preserve"> of younger and older consumer generations (Błoński et al. 2023). Young consumers have different perspectives regarding media usage, purchasing methods, financing, adoption of innovations, and environmental considerations (Gupta &amp; Agrawal 2018, Joshi &amp; Rahman 2015). Therefore, understanding the factors and their influence (determinants) on the consumption process, especially among the younger generation, is crucial, as it enables entities to plan development strategies and shape sales policies or mobile communication tools in line with identified needs. It should be noted, however, that research results do not always reflect individual consumer </w:t>
      </w:r>
      <w:proofErr w:type="spellStart"/>
      <w:r w:rsidRPr="00C239D0">
        <w:rPr>
          <w:lang w:val="en-GB"/>
        </w:rPr>
        <w:t>behaviors</w:t>
      </w:r>
      <w:proofErr w:type="spellEnd"/>
      <w:r w:rsidRPr="00C239D0">
        <w:rPr>
          <w:lang w:val="en-GB"/>
        </w:rPr>
        <w:t xml:space="preserve">, as they are generalized depending on the sample size, yet they still indicate certain </w:t>
      </w:r>
      <w:proofErr w:type="spellStart"/>
      <w:r w:rsidRPr="00C239D0">
        <w:rPr>
          <w:lang w:val="en-GB"/>
        </w:rPr>
        <w:t>behavioral</w:t>
      </w:r>
      <w:proofErr w:type="spellEnd"/>
      <w:r w:rsidRPr="00C239D0">
        <w:rPr>
          <w:lang w:val="en-GB"/>
        </w:rPr>
        <w:t xml:space="preserve"> patterns and tendencies of specific generations. On a global scale, changes in Poland are becoming visible in the market for energy-supplying devices, confirming growing interest and demand for products such as solar panels, heat pumps, or wind turbines. It is also worth mentioning that energy devices like electric vehicles or electric scooters contribute to sustainable energy development and environmental protection. Conscious consumption, supported by appropriate purchasing capabilities, raises the standard of living and shapes trends across generations (</w:t>
      </w:r>
      <w:proofErr w:type="spellStart"/>
      <w:r w:rsidRPr="00C239D0">
        <w:rPr>
          <w:lang w:val="en-GB"/>
        </w:rPr>
        <w:t>Moisander</w:t>
      </w:r>
      <w:proofErr w:type="spellEnd"/>
      <w:r w:rsidRPr="00C239D0">
        <w:rPr>
          <w:lang w:val="en-GB"/>
        </w:rPr>
        <w:t xml:space="preserve"> 2007). The young consumer society, shaped by the digital revolution and globalization, establishes its requirements and expectations, diverging from the standard approach to consumption and market </w:t>
      </w:r>
      <w:proofErr w:type="spellStart"/>
      <w:r w:rsidRPr="00C239D0">
        <w:rPr>
          <w:lang w:val="en-GB"/>
        </w:rPr>
        <w:t>behaviors</w:t>
      </w:r>
      <w:proofErr w:type="spellEnd"/>
      <w:r w:rsidRPr="00C239D0">
        <w:rPr>
          <w:lang w:val="en-GB"/>
        </w:rPr>
        <w:t xml:space="preserve"> compared to older generations.</w:t>
      </w:r>
    </w:p>
    <w:p w14:paraId="47192797" w14:textId="77777777" w:rsidR="00C239D0" w:rsidRPr="00C239D0" w:rsidRDefault="00C239D0" w:rsidP="00C239D0">
      <w:pPr>
        <w:rPr>
          <w:lang w:val="en-GB"/>
        </w:rPr>
      </w:pPr>
      <w:r w:rsidRPr="00C239D0">
        <w:rPr>
          <w:lang w:val="en-GB"/>
        </w:rPr>
        <w:t xml:space="preserve">The research aim of the article is to identify and assess the consumption </w:t>
      </w:r>
      <w:proofErr w:type="spellStart"/>
      <w:r w:rsidRPr="00C239D0">
        <w:rPr>
          <w:lang w:val="en-GB"/>
        </w:rPr>
        <w:t>behaviors</w:t>
      </w:r>
      <w:proofErr w:type="spellEnd"/>
      <w:r w:rsidRPr="00C239D0">
        <w:rPr>
          <w:lang w:val="en-GB"/>
        </w:rPr>
        <w:t xml:space="preserve"> of the young population in the context of sustainable energy development. Based on this aim, the following research hypotheses were formulated:</w:t>
      </w:r>
    </w:p>
    <w:p w14:paraId="2B10B9A1" w14:textId="06AC655C" w:rsidR="00C239D0" w:rsidRPr="000F5EB5" w:rsidRDefault="00C239D0" w:rsidP="00C239D0">
      <w:pPr>
        <w:pStyle w:val="Akapitzlist"/>
        <w:numPr>
          <w:ilvl w:val="0"/>
          <w:numId w:val="1"/>
        </w:numPr>
        <w:ind w:left="588"/>
        <w:rPr>
          <w:spacing w:val="-4"/>
          <w:lang w:val="en-GB"/>
        </w:rPr>
      </w:pPr>
      <w:r w:rsidRPr="000F5EB5">
        <w:rPr>
          <w:spacing w:val="-4"/>
          <w:lang w:val="en-GB"/>
        </w:rPr>
        <w:t>H1. Younger generations tend to consume devices that enable the use of various forms of energy generation.</w:t>
      </w:r>
    </w:p>
    <w:p w14:paraId="3BAE0CF0" w14:textId="1EB92A91" w:rsidR="00C239D0" w:rsidRPr="00C239D0" w:rsidRDefault="00C239D0" w:rsidP="00C239D0">
      <w:pPr>
        <w:pStyle w:val="Akapitzlist"/>
        <w:numPr>
          <w:ilvl w:val="0"/>
          <w:numId w:val="1"/>
        </w:numPr>
        <w:ind w:left="588"/>
        <w:rPr>
          <w:lang w:val="en-GB"/>
        </w:rPr>
      </w:pPr>
      <w:r w:rsidRPr="00C239D0">
        <w:rPr>
          <w:lang w:val="en-GB"/>
        </w:rPr>
        <w:t>H2. The young consumer society, despite being aware of the need to care for the natural environment, does not focus on actions that guarantee this success.</w:t>
      </w:r>
    </w:p>
    <w:p w14:paraId="1F33168D" w14:textId="40A2CEFA" w:rsidR="00C239D0" w:rsidRPr="00C239D0" w:rsidRDefault="00C239D0" w:rsidP="00C239D0">
      <w:pPr>
        <w:pStyle w:val="Akapitzlist"/>
        <w:numPr>
          <w:ilvl w:val="0"/>
          <w:numId w:val="1"/>
        </w:numPr>
        <w:ind w:left="588"/>
        <w:rPr>
          <w:lang w:val="en-GB"/>
        </w:rPr>
      </w:pPr>
      <w:r w:rsidRPr="00C239D0">
        <w:rPr>
          <w:lang w:val="en-GB"/>
        </w:rPr>
        <w:t>H3. The young consumer society makes purchasing decisions consciously, in accordance with contemporary trends, regarding sustainable energy development.</w:t>
      </w:r>
    </w:p>
    <w:p w14:paraId="05F4DE04" w14:textId="0DA8078F" w:rsidR="00C239D0" w:rsidRPr="00C239D0" w:rsidRDefault="00C239D0" w:rsidP="00C239D0">
      <w:pPr>
        <w:rPr>
          <w:lang w:val="en-GB"/>
        </w:rPr>
      </w:pPr>
      <w:r w:rsidRPr="00C239D0">
        <w:rPr>
          <w:lang w:val="en-GB"/>
        </w:rPr>
        <w:lastRenderedPageBreak/>
        <w:t xml:space="preserve">The research process was based on the following stages: analysis of the literature on consumer </w:t>
      </w:r>
      <w:proofErr w:type="spellStart"/>
      <w:r w:rsidRPr="00C239D0">
        <w:rPr>
          <w:lang w:val="en-GB"/>
        </w:rPr>
        <w:t>behavior</w:t>
      </w:r>
      <w:proofErr w:type="spellEnd"/>
      <w:r w:rsidRPr="00C239D0">
        <w:rPr>
          <w:lang w:val="en-GB"/>
        </w:rPr>
        <w:t xml:space="preserve">, along with the identification of the young consumer society and sustainable energy development. Next, the factors determining and stimulating the purchasing process were identified. This allowed for the identification and assessment of preferences in energy-supplying devices and awareness of social responsibility for natural resources. Additionally, the study identified which elements and purchasing conveniences could be utilized by respondents during the consumption process. </w:t>
      </w:r>
    </w:p>
    <w:p w14:paraId="1DF5FB2C" w14:textId="20C4155E" w:rsidR="00C239D0" w:rsidRPr="00C239D0" w:rsidRDefault="00C239D0" w:rsidP="00C239D0">
      <w:pPr>
        <w:pStyle w:val="Rn1"/>
        <w:rPr>
          <w:lang w:val="en-GB"/>
        </w:rPr>
      </w:pPr>
      <w:r>
        <w:rPr>
          <w:lang w:val="en-GB"/>
        </w:rPr>
        <w:t xml:space="preserve">2. </w:t>
      </w:r>
      <w:r w:rsidR="00D953CE" w:rsidRPr="00D953CE">
        <w:rPr>
          <w:lang w:val="en-GB"/>
        </w:rPr>
        <w:t xml:space="preserve">Literature </w:t>
      </w:r>
      <w:r w:rsidR="00126989">
        <w:rPr>
          <w:lang w:val="en-GB"/>
        </w:rPr>
        <w:t>R</w:t>
      </w:r>
      <w:r w:rsidR="00D953CE" w:rsidRPr="00D953CE">
        <w:rPr>
          <w:lang w:val="en-GB"/>
        </w:rPr>
        <w:t>eview</w:t>
      </w:r>
    </w:p>
    <w:p w14:paraId="00B197E9" w14:textId="03AE2EDE" w:rsidR="00C239D0" w:rsidRPr="00C239D0" w:rsidRDefault="00C239D0" w:rsidP="00C239D0">
      <w:pPr>
        <w:pStyle w:val="Rn2"/>
        <w:rPr>
          <w:lang w:val="en-GB"/>
        </w:rPr>
      </w:pPr>
      <w:r>
        <w:rPr>
          <w:lang w:val="en-GB"/>
        </w:rPr>
        <w:t xml:space="preserve">2.1. </w:t>
      </w:r>
      <w:r w:rsidRPr="00C239D0">
        <w:rPr>
          <w:lang w:val="en-GB"/>
        </w:rPr>
        <w:t xml:space="preserve">Consumer </w:t>
      </w:r>
      <w:proofErr w:type="spellStart"/>
      <w:r w:rsidRPr="00C239D0">
        <w:rPr>
          <w:lang w:val="en-GB"/>
        </w:rPr>
        <w:t>Behaviors</w:t>
      </w:r>
      <w:proofErr w:type="spellEnd"/>
      <w:r w:rsidRPr="00C239D0">
        <w:rPr>
          <w:lang w:val="en-GB"/>
        </w:rPr>
        <w:t xml:space="preserve"> – Selected Issues</w:t>
      </w:r>
    </w:p>
    <w:p w14:paraId="381D7FB7" w14:textId="2C324443" w:rsidR="00C239D0" w:rsidRPr="00C239D0" w:rsidRDefault="00C239D0" w:rsidP="00C239D0">
      <w:pPr>
        <w:rPr>
          <w:lang w:val="en-GB"/>
        </w:rPr>
      </w:pPr>
      <w:r w:rsidRPr="00C239D0">
        <w:rPr>
          <w:lang w:val="en-GB"/>
        </w:rPr>
        <w:t xml:space="preserve">The contemporary consumer market represents an intriguing area of research (Jarosz 2006, </w:t>
      </w:r>
      <w:proofErr w:type="spellStart"/>
      <w:r w:rsidRPr="00C239D0">
        <w:rPr>
          <w:lang w:val="en-GB"/>
        </w:rPr>
        <w:t>Dąbrowska</w:t>
      </w:r>
      <w:proofErr w:type="spellEnd"/>
      <w:r w:rsidRPr="00C239D0">
        <w:rPr>
          <w:lang w:val="en-GB"/>
        </w:rPr>
        <w:t xml:space="preserve"> 2015), as purchasing decisions resulting from the conscious and active participation of different generations reflect their values, attitudes, expectations, requirements, and needs, while also identifying factors influencing changes in consumer and market </w:t>
      </w:r>
      <w:proofErr w:type="spellStart"/>
      <w:r w:rsidRPr="00C239D0">
        <w:rPr>
          <w:lang w:val="en-GB"/>
        </w:rPr>
        <w:t>behaviors</w:t>
      </w:r>
      <w:proofErr w:type="spellEnd"/>
      <w:r w:rsidRPr="00C239D0">
        <w:rPr>
          <w:lang w:val="en-GB"/>
        </w:rPr>
        <w:t xml:space="preserve"> (Borgardt 2017). The transformation of consumer attitudes is shaped in two primary ways. On one hand, it results from external (environmental) market changes – such as socio-economic, geopolitical, technological, and cultural developments – while on the other, it stems from evolving needs and expectations aimed at increasing consumer satisfaction in purchasing processes. Consumption, understood as the phenomenon (process) of acquiring goods or services to satisfy needs and shape macroeconomic </w:t>
      </w:r>
      <w:proofErr w:type="spellStart"/>
      <w:r w:rsidRPr="00C239D0">
        <w:rPr>
          <w:lang w:val="en-GB"/>
        </w:rPr>
        <w:t>behaviors</w:t>
      </w:r>
      <w:proofErr w:type="spellEnd"/>
      <w:r w:rsidRPr="00C239D0">
        <w:rPr>
          <w:lang w:val="en-GB"/>
        </w:rPr>
        <w:t xml:space="preserve">, is </w:t>
      </w:r>
      <w:proofErr w:type="spellStart"/>
      <w:r w:rsidRPr="00C239D0">
        <w:rPr>
          <w:lang w:val="en-GB"/>
        </w:rPr>
        <w:t>analyzed</w:t>
      </w:r>
      <w:proofErr w:type="spellEnd"/>
      <w:r w:rsidRPr="00C239D0">
        <w:rPr>
          <w:lang w:val="en-GB"/>
        </w:rPr>
        <w:t xml:space="preserve"> from the perspective of various disciplines, including economics, philosophy, psychology, and sociology. In other words, consumption has become a medium for market communication within both consumerism (activities strengthening competitiveness, globalization, and the free market, shaping trends, and fostering the emergence and implementation of innovations and advanced technologies) and </w:t>
      </w:r>
      <w:proofErr w:type="spellStart"/>
      <w:r w:rsidRPr="00C239D0">
        <w:rPr>
          <w:lang w:val="en-GB"/>
        </w:rPr>
        <w:t>consumptionism</w:t>
      </w:r>
      <w:proofErr w:type="spellEnd"/>
      <w:r w:rsidRPr="00C239D0">
        <w:rPr>
          <w:lang w:val="en-GB"/>
        </w:rPr>
        <w:t xml:space="preserve"> (a social system based on emotions, needs, desires, attitudes, concern for personal potential, and living standards – quality of life, etc.) (Furmanek 2010, Roach et al. 2019), engaging all market stakeholders. The information obtained allows entities to shape, within their own beliefs – arising from economic analysis, strategic goals, emotions, and other factors – their field of decision-making activity in purchasing processes (</w:t>
      </w:r>
      <w:proofErr w:type="spellStart"/>
      <w:r w:rsidRPr="00C239D0">
        <w:rPr>
          <w:lang w:val="en-GB"/>
        </w:rPr>
        <w:t>Garczarek-Bąk</w:t>
      </w:r>
      <w:proofErr w:type="spellEnd"/>
      <w:r w:rsidRPr="00C239D0">
        <w:rPr>
          <w:lang w:val="en-GB"/>
        </w:rPr>
        <w:t xml:space="preserve"> 2016). It should be emphasized that decision-making processes are influenced by several interrelated components, including (</w:t>
      </w:r>
      <w:proofErr w:type="spellStart"/>
      <w:r w:rsidRPr="00C239D0">
        <w:rPr>
          <w:lang w:val="en-GB"/>
        </w:rPr>
        <w:t>Taranko</w:t>
      </w:r>
      <w:proofErr w:type="spellEnd"/>
      <w:r w:rsidRPr="00C239D0">
        <w:rPr>
          <w:lang w:val="en-GB"/>
        </w:rPr>
        <w:t xml:space="preserve"> 2016)</w:t>
      </w:r>
      <w:r w:rsidR="00D50DB0">
        <w:rPr>
          <w:lang w:val="en-GB"/>
        </w:rPr>
        <w:t>:</w:t>
      </w:r>
    </w:p>
    <w:p w14:paraId="5EB9608D" w14:textId="607B7246" w:rsidR="00C239D0" w:rsidRPr="00C239D0" w:rsidRDefault="00C239D0" w:rsidP="00C239D0">
      <w:pPr>
        <w:pStyle w:val="Akapitzlist"/>
        <w:numPr>
          <w:ilvl w:val="0"/>
          <w:numId w:val="2"/>
        </w:numPr>
        <w:ind w:left="602"/>
        <w:rPr>
          <w:lang w:val="en-GB"/>
        </w:rPr>
      </w:pPr>
      <w:r w:rsidRPr="00C239D0">
        <w:rPr>
          <w:lang w:val="en-GB"/>
        </w:rPr>
        <w:t>Cognitive aspect – related to the knowledge shaping the evaluation of a given phenomenon, good, or service, determined by beliefs, direct observations, experiences, and information (from media, advisors, social networks, etc.),</w:t>
      </w:r>
    </w:p>
    <w:p w14:paraId="08B9FB0F" w14:textId="282EFEB9" w:rsidR="00C239D0" w:rsidRPr="00C239D0" w:rsidRDefault="00C239D0" w:rsidP="00C239D0">
      <w:pPr>
        <w:pStyle w:val="Akapitzlist"/>
        <w:numPr>
          <w:ilvl w:val="0"/>
          <w:numId w:val="2"/>
        </w:numPr>
        <w:ind w:left="602"/>
        <w:rPr>
          <w:lang w:val="en-GB"/>
        </w:rPr>
      </w:pPr>
      <w:proofErr w:type="spellStart"/>
      <w:r w:rsidRPr="00C239D0">
        <w:rPr>
          <w:lang w:val="en-GB"/>
        </w:rPr>
        <w:t>Behavioral</w:t>
      </w:r>
      <w:proofErr w:type="spellEnd"/>
      <w:r w:rsidRPr="00C239D0">
        <w:rPr>
          <w:lang w:val="en-GB"/>
        </w:rPr>
        <w:t xml:space="preserve"> aspect – defining conscious or unconscious (subconscious) investment attitudes arising from rationality, necessity, or habit,</w:t>
      </w:r>
    </w:p>
    <w:p w14:paraId="61E12F43" w14:textId="0E358D50" w:rsidR="00C239D0" w:rsidRPr="00C239D0" w:rsidRDefault="00C239D0" w:rsidP="00C239D0">
      <w:pPr>
        <w:pStyle w:val="Akapitzlist"/>
        <w:numPr>
          <w:ilvl w:val="0"/>
          <w:numId w:val="2"/>
        </w:numPr>
        <w:ind w:left="602"/>
        <w:rPr>
          <w:lang w:val="en-GB"/>
        </w:rPr>
      </w:pPr>
      <w:r w:rsidRPr="00C239D0">
        <w:rPr>
          <w:lang w:val="en-GB"/>
        </w:rPr>
        <w:t>Emotional aspect – generating and shaping emotions and feelings—positive, negative, or ambivalent</w:t>
      </w:r>
      <w:r w:rsidR="008D1C8F">
        <w:rPr>
          <w:lang w:val="en-GB"/>
        </w:rPr>
        <w:t xml:space="preserve"> </w:t>
      </w:r>
      <w:r w:rsidR="008D1C8F">
        <w:rPr>
          <w:lang w:val="en-GB"/>
        </w:rPr>
        <w:br/>
        <w:t xml:space="preserve">– </w:t>
      </w:r>
      <w:r w:rsidRPr="00C239D0">
        <w:rPr>
          <w:lang w:val="en-GB"/>
        </w:rPr>
        <w:t>that directly determine purchasing attitudes.</w:t>
      </w:r>
    </w:p>
    <w:p w14:paraId="73E11FC5" w14:textId="77777777" w:rsidR="00C239D0" w:rsidRDefault="00C239D0" w:rsidP="00C239D0">
      <w:pPr>
        <w:ind w:firstLine="0"/>
        <w:rPr>
          <w:lang w:val="en-GB"/>
        </w:rPr>
      </w:pPr>
    </w:p>
    <w:p w14:paraId="16DEFBC1" w14:textId="5FA95F44" w:rsidR="00C239D0" w:rsidRPr="008D1C8F" w:rsidRDefault="00C239D0" w:rsidP="00C239D0">
      <w:pPr>
        <w:rPr>
          <w:spacing w:val="-2"/>
          <w:lang w:val="en-GB"/>
        </w:rPr>
      </w:pPr>
      <w:r w:rsidRPr="008D1C8F">
        <w:rPr>
          <w:spacing w:val="-2"/>
          <w:lang w:val="en-GB"/>
        </w:rPr>
        <w:t xml:space="preserve">Considering the variability, scale, and development of consumer purchasing </w:t>
      </w:r>
      <w:proofErr w:type="spellStart"/>
      <w:r w:rsidRPr="008D1C8F">
        <w:rPr>
          <w:spacing w:val="-2"/>
          <w:lang w:val="en-GB"/>
        </w:rPr>
        <w:t>behavior</w:t>
      </w:r>
      <w:proofErr w:type="spellEnd"/>
      <w:r w:rsidRPr="008D1C8F">
        <w:rPr>
          <w:spacing w:val="-2"/>
          <w:lang w:val="en-GB"/>
        </w:rPr>
        <w:t xml:space="preserve">, researchers have proposed various classifications of determinants influencing buyer </w:t>
      </w:r>
      <w:proofErr w:type="spellStart"/>
      <w:r w:rsidRPr="008D1C8F">
        <w:rPr>
          <w:spacing w:val="-2"/>
          <w:lang w:val="en-GB"/>
        </w:rPr>
        <w:t>behavior</w:t>
      </w:r>
      <w:proofErr w:type="spellEnd"/>
      <w:r w:rsidRPr="008D1C8F">
        <w:rPr>
          <w:spacing w:val="-2"/>
          <w:lang w:val="en-GB"/>
        </w:rPr>
        <w:t>. The most frequently identified factors include (Błoński et al. 2023, Sobczyk 2018, Mazurek-</w:t>
      </w:r>
      <w:proofErr w:type="spellStart"/>
      <w:r w:rsidRPr="008D1C8F">
        <w:rPr>
          <w:spacing w:val="-2"/>
          <w:lang w:val="en-GB"/>
        </w:rPr>
        <w:t>Łopacińska</w:t>
      </w:r>
      <w:proofErr w:type="spellEnd"/>
      <w:r w:rsidRPr="008D1C8F">
        <w:rPr>
          <w:spacing w:val="-2"/>
          <w:lang w:val="en-GB"/>
        </w:rPr>
        <w:t xml:space="preserve"> &amp; Sobocińska 2018, </w:t>
      </w:r>
      <w:proofErr w:type="spellStart"/>
      <w:r w:rsidRPr="008D1C8F">
        <w:rPr>
          <w:spacing w:val="-2"/>
          <w:lang w:val="en-GB"/>
        </w:rPr>
        <w:t>Fandrejewska</w:t>
      </w:r>
      <w:proofErr w:type="spellEnd"/>
      <w:r w:rsidRPr="008D1C8F">
        <w:rPr>
          <w:spacing w:val="-2"/>
          <w:lang w:val="en-GB"/>
        </w:rPr>
        <w:t xml:space="preserve"> 2017)</w:t>
      </w:r>
      <w:r w:rsidR="00D50DB0" w:rsidRPr="008D1C8F">
        <w:rPr>
          <w:spacing w:val="-2"/>
          <w:lang w:val="en-GB"/>
        </w:rPr>
        <w:t>:</w:t>
      </w:r>
    </w:p>
    <w:p w14:paraId="036CC97F" w14:textId="78C2A857" w:rsidR="00C239D0" w:rsidRPr="00C239D0" w:rsidRDefault="00C239D0" w:rsidP="00C239D0">
      <w:pPr>
        <w:pStyle w:val="Akapitzlist"/>
        <w:numPr>
          <w:ilvl w:val="0"/>
          <w:numId w:val="3"/>
        </w:numPr>
        <w:ind w:left="588"/>
        <w:rPr>
          <w:lang w:val="en-GB"/>
        </w:rPr>
      </w:pPr>
      <w:r w:rsidRPr="00C239D0">
        <w:rPr>
          <w:lang w:val="en-GB"/>
        </w:rPr>
        <w:t>Demographic – age, gender, education, place of residence, etc.</w:t>
      </w:r>
      <w:r w:rsidR="00191A53">
        <w:rPr>
          <w:lang w:val="en-GB"/>
        </w:rPr>
        <w:t>,</w:t>
      </w:r>
    </w:p>
    <w:p w14:paraId="7F7AD151" w14:textId="62403744" w:rsidR="00C239D0" w:rsidRPr="00C239D0" w:rsidRDefault="00C239D0" w:rsidP="00C239D0">
      <w:pPr>
        <w:pStyle w:val="Akapitzlist"/>
        <w:numPr>
          <w:ilvl w:val="0"/>
          <w:numId w:val="3"/>
        </w:numPr>
        <w:ind w:left="588"/>
        <w:rPr>
          <w:lang w:val="en-GB"/>
        </w:rPr>
      </w:pPr>
      <w:r w:rsidRPr="00C239D0">
        <w:rPr>
          <w:lang w:val="en-GB"/>
        </w:rPr>
        <w:t>Economic – purchasing power,</w:t>
      </w:r>
    </w:p>
    <w:p w14:paraId="25BD1BDF" w14:textId="418EE7E3" w:rsidR="00C239D0" w:rsidRPr="00C239D0" w:rsidRDefault="00C239D0" w:rsidP="00C239D0">
      <w:pPr>
        <w:pStyle w:val="Akapitzlist"/>
        <w:numPr>
          <w:ilvl w:val="0"/>
          <w:numId w:val="3"/>
        </w:numPr>
        <w:ind w:left="588"/>
        <w:rPr>
          <w:lang w:val="en-GB"/>
        </w:rPr>
      </w:pPr>
      <w:r w:rsidRPr="00C239D0">
        <w:rPr>
          <w:lang w:val="en-GB"/>
        </w:rPr>
        <w:t>Social – affiliation, culture, social values,</w:t>
      </w:r>
    </w:p>
    <w:p w14:paraId="62E2EED6" w14:textId="41B41F8E" w:rsidR="00C239D0" w:rsidRPr="00C239D0" w:rsidRDefault="00C239D0" w:rsidP="00C239D0">
      <w:pPr>
        <w:pStyle w:val="Akapitzlist"/>
        <w:numPr>
          <w:ilvl w:val="0"/>
          <w:numId w:val="3"/>
        </w:numPr>
        <w:ind w:left="588"/>
        <w:rPr>
          <w:lang w:val="en-GB"/>
        </w:rPr>
      </w:pPr>
      <w:r w:rsidRPr="00C239D0">
        <w:rPr>
          <w:lang w:val="en-GB"/>
        </w:rPr>
        <w:t>Technological – internet, mobile devices, digitalization, innovations, new technologies,</w:t>
      </w:r>
    </w:p>
    <w:p w14:paraId="36F163C1" w14:textId="3C56825F" w:rsidR="00C239D0" w:rsidRPr="00C239D0" w:rsidRDefault="00C239D0" w:rsidP="00C239D0">
      <w:pPr>
        <w:pStyle w:val="Akapitzlist"/>
        <w:numPr>
          <w:ilvl w:val="0"/>
          <w:numId w:val="3"/>
        </w:numPr>
        <w:ind w:left="588"/>
        <w:rPr>
          <w:lang w:val="en-GB"/>
        </w:rPr>
      </w:pPr>
      <w:r w:rsidRPr="00C239D0">
        <w:rPr>
          <w:lang w:val="en-GB"/>
        </w:rPr>
        <w:t>Psychological – emotions, motivation, perception, learning process,</w:t>
      </w:r>
    </w:p>
    <w:p w14:paraId="658CBF0C" w14:textId="6F51E18A" w:rsidR="00C239D0" w:rsidRPr="00C239D0" w:rsidRDefault="00C239D0" w:rsidP="00C239D0">
      <w:pPr>
        <w:pStyle w:val="Akapitzlist"/>
        <w:numPr>
          <w:ilvl w:val="0"/>
          <w:numId w:val="3"/>
        </w:numPr>
        <w:ind w:left="588"/>
        <w:rPr>
          <w:lang w:val="en-GB"/>
        </w:rPr>
      </w:pPr>
      <w:r w:rsidRPr="00C239D0">
        <w:rPr>
          <w:lang w:val="en-GB"/>
        </w:rPr>
        <w:t>Legal – legal conditions, consumer rights, cybersecurity.</w:t>
      </w:r>
    </w:p>
    <w:p w14:paraId="5CEAB225" w14:textId="77777777" w:rsidR="00C239D0" w:rsidRDefault="00C239D0" w:rsidP="00C239D0">
      <w:pPr>
        <w:ind w:firstLine="0"/>
        <w:rPr>
          <w:lang w:val="en-GB"/>
        </w:rPr>
      </w:pPr>
    </w:p>
    <w:p w14:paraId="638A2AB1" w14:textId="03F4AF03" w:rsidR="00C239D0" w:rsidRPr="00C239D0" w:rsidRDefault="00C239D0" w:rsidP="00C239D0">
      <w:pPr>
        <w:rPr>
          <w:lang w:val="en-GB"/>
        </w:rPr>
      </w:pPr>
      <w:r w:rsidRPr="00C239D0">
        <w:rPr>
          <w:lang w:val="en-GB"/>
        </w:rPr>
        <w:t xml:space="preserve">Researchers </w:t>
      </w:r>
      <w:proofErr w:type="spellStart"/>
      <w:r w:rsidRPr="00C239D0">
        <w:rPr>
          <w:lang w:val="en-GB"/>
        </w:rPr>
        <w:t>analyze</w:t>
      </w:r>
      <w:proofErr w:type="spellEnd"/>
      <w:r w:rsidRPr="00C239D0">
        <w:rPr>
          <w:lang w:val="en-GB"/>
        </w:rPr>
        <w:t xml:space="preserve"> consumer </w:t>
      </w:r>
      <w:proofErr w:type="spellStart"/>
      <w:r w:rsidRPr="00C239D0">
        <w:rPr>
          <w:lang w:val="en-GB"/>
        </w:rPr>
        <w:t>behavior</w:t>
      </w:r>
      <w:proofErr w:type="spellEnd"/>
      <w:r w:rsidRPr="00C239D0">
        <w:rPr>
          <w:lang w:val="en-GB"/>
        </w:rPr>
        <w:t xml:space="preserve"> determinants in diverse ways, enabling them to identify and study trends (</w:t>
      </w:r>
      <w:proofErr w:type="spellStart"/>
      <w:r w:rsidRPr="00C239D0">
        <w:rPr>
          <w:lang w:val="en-GB"/>
        </w:rPr>
        <w:t>Kucner</w:t>
      </w:r>
      <w:proofErr w:type="spellEnd"/>
      <w:r w:rsidRPr="00C239D0">
        <w:rPr>
          <w:lang w:val="en-GB"/>
        </w:rPr>
        <w:t xml:space="preserve"> et al. 2018), typologies of consumer attitudes (Kotler et al. 2024), and construct models of consumer </w:t>
      </w:r>
      <w:proofErr w:type="spellStart"/>
      <w:r w:rsidRPr="00C239D0">
        <w:rPr>
          <w:lang w:val="en-GB"/>
        </w:rPr>
        <w:t>behavior</w:t>
      </w:r>
      <w:proofErr w:type="spellEnd"/>
      <w:r w:rsidRPr="00C239D0">
        <w:rPr>
          <w:lang w:val="en-GB"/>
        </w:rPr>
        <w:t>, such as the Howard-Sheth Model or the Nicosia Model (</w:t>
      </w:r>
      <w:proofErr w:type="spellStart"/>
      <w:r w:rsidRPr="00C239D0">
        <w:rPr>
          <w:lang w:val="en-GB"/>
        </w:rPr>
        <w:t>Aziewicz</w:t>
      </w:r>
      <w:proofErr w:type="spellEnd"/>
      <w:r w:rsidRPr="00C239D0">
        <w:rPr>
          <w:lang w:val="en-GB"/>
        </w:rPr>
        <w:t xml:space="preserve"> 2023). The number of factors (variables), both significant and insignificant, that influence consumer </w:t>
      </w:r>
      <w:proofErr w:type="spellStart"/>
      <w:r w:rsidRPr="00C239D0">
        <w:rPr>
          <w:lang w:val="en-GB"/>
        </w:rPr>
        <w:t>behavior</w:t>
      </w:r>
      <w:proofErr w:type="spellEnd"/>
      <w:r w:rsidRPr="00C239D0">
        <w:rPr>
          <w:lang w:val="en-GB"/>
        </w:rPr>
        <w:t xml:space="preserve"> to varying degrees is substantial, allowing for in-depth scientific exploration of this phenomenon. In their analysis, the authors sought to demonstrate – illustrated in Figure 1 – that consumer </w:t>
      </w:r>
      <w:proofErr w:type="spellStart"/>
      <w:r w:rsidRPr="00C239D0">
        <w:rPr>
          <w:lang w:val="en-GB"/>
        </w:rPr>
        <w:t>behaviors</w:t>
      </w:r>
      <w:proofErr w:type="spellEnd"/>
      <w:r w:rsidRPr="00C239D0">
        <w:rPr>
          <w:lang w:val="en-GB"/>
        </w:rPr>
        <w:t xml:space="preserve"> evolve over time under the varying influence of key factors.</w:t>
      </w:r>
    </w:p>
    <w:p w14:paraId="4694A164" w14:textId="6296EF85" w:rsidR="00C239D0" w:rsidRDefault="00C239D0" w:rsidP="00C239D0">
      <w:pPr>
        <w:ind w:firstLine="0"/>
        <w:rPr>
          <w:lang w:val="en-GB"/>
        </w:rPr>
      </w:pPr>
    </w:p>
    <w:p w14:paraId="6E7695DB" w14:textId="47648BAA" w:rsidR="00C81AF6" w:rsidRPr="00C239D0" w:rsidRDefault="00827E74" w:rsidP="00C81AF6">
      <w:pPr>
        <w:ind w:firstLine="0"/>
        <w:jc w:val="center"/>
        <w:rPr>
          <w:lang w:val="en-GB"/>
        </w:rPr>
      </w:pPr>
      <w:r>
        <w:rPr>
          <w:noProof/>
          <w:lang w:eastAsia="pl-PL"/>
        </w:rPr>
        <w:object w:dxaOrig="9583" w:dyaOrig="5394" w14:anchorId="4697AE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85pt;height:326.5pt" o:ole="">
            <v:imagedata r:id="rId8" o:title="" croptop="3155f" cropbottom="2549f" cropleft="3964f" cropright="12437f"/>
          </v:shape>
          <o:OLEObject Type="Embed" ProgID="PowerPoint.Slide.12" ShapeID="_x0000_i1025" DrawAspect="Content" ObjectID="_1827557049" r:id="rId9"/>
        </w:object>
      </w:r>
    </w:p>
    <w:p w14:paraId="4F00520B" w14:textId="77777777" w:rsidR="00C239D0" w:rsidRPr="00C239D0" w:rsidRDefault="00C239D0" w:rsidP="00C239D0">
      <w:pPr>
        <w:pStyle w:val="Rrys"/>
        <w:rPr>
          <w:lang w:val="en-GB"/>
        </w:rPr>
      </w:pPr>
      <w:r w:rsidRPr="00D50DB0">
        <w:rPr>
          <w:b/>
          <w:bCs/>
          <w:lang w:val="en-GB"/>
        </w:rPr>
        <w:t>Fig. 1.</w:t>
      </w:r>
      <w:r w:rsidRPr="00C239D0">
        <w:rPr>
          <w:lang w:val="en-GB"/>
        </w:rPr>
        <w:t xml:space="preserve"> Evolution in selected areas of consumer trends</w:t>
      </w:r>
    </w:p>
    <w:p w14:paraId="6D8B7BFA" w14:textId="77777777" w:rsidR="00C239D0" w:rsidRDefault="00C239D0" w:rsidP="00C239D0">
      <w:pPr>
        <w:ind w:firstLine="0"/>
        <w:rPr>
          <w:lang w:val="en-GB"/>
        </w:rPr>
      </w:pPr>
    </w:p>
    <w:p w14:paraId="5A584C3B" w14:textId="1FE9F5E8" w:rsidR="00C239D0" w:rsidRPr="00C239D0" w:rsidRDefault="00C239D0" w:rsidP="00C239D0">
      <w:pPr>
        <w:rPr>
          <w:lang w:val="en-GB"/>
        </w:rPr>
      </w:pPr>
      <w:r w:rsidRPr="00C239D0">
        <w:rPr>
          <w:lang w:val="en-GB"/>
        </w:rPr>
        <w:t xml:space="preserve">In summary, it is worth emphasizing that the development of consumption began to accelerate after the Industrial Revolution and continues to this day. Technological advancements, the ability to reach potential customers worldwide, globalization, improvements in product quality, and various forms of marketing have all contributed to the diversification of purchasing impulsiveness (Reshetnikova et al. 2021, Roszkowska 2001, </w:t>
      </w:r>
      <w:proofErr w:type="spellStart"/>
      <w:r w:rsidRPr="00C239D0">
        <w:rPr>
          <w:lang w:val="en-GB"/>
        </w:rPr>
        <w:t>Olkiewicz</w:t>
      </w:r>
      <w:proofErr w:type="spellEnd"/>
      <w:r w:rsidRPr="00C239D0">
        <w:rPr>
          <w:lang w:val="en-GB"/>
        </w:rPr>
        <w:t xml:space="preserve"> et al. 2019), which now varies depending on consumer segments, particularly generational affiliation (Paczka 2020).</w:t>
      </w:r>
    </w:p>
    <w:p w14:paraId="08716448" w14:textId="302B4011" w:rsidR="00C239D0" w:rsidRPr="00C239D0" w:rsidRDefault="00C81AF6" w:rsidP="00C81AF6">
      <w:pPr>
        <w:pStyle w:val="Rn2"/>
        <w:rPr>
          <w:lang w:val="en-GB"/>
        </w:rPr>
      </w:pPr>
      <w:r>
        <w:rPr>
          <w:lang w:val="en-GB"/>
        </w:rPr>
        <w:t xml:space="preserve">2.2. </w:t>
      </w:r>
      <w:r w:rsidR="00C239D0" w:rsidRPr="00C239D0">
        <w:rPr>
          <w:lang w:val="en-GB"/>
        </w:rPr>
        <w:t>Young consumer soc</w:t>
      </w:r>
      <w:r w:rsidR="00191A53">
        <w:rPr>
          <w:lang w:val="en-GB"/>
        </w:rPr>
        <w:t>i</w:t>
      </w:r>
      <w:r w:rsidR="00C239D0" w:rsidRPr="00C239D0">
        <w:rPr>
          <w:lang w:val="en-GB"/>
        </w:rPr>
        <w:t>ety</w:t>
      </w:r>
    </w:p>
    <w:p w14:paraId="0120C067" w14:textId="77086CA5" w:rsidR="00C239D0" w:rsidRPr="00C239D0" w:rsidRDefault="00C239D0" w:rsidP="00C81AF6">
      <w:pPr>
        <w:rPr>
          <w:lang w:val="en-GB"/>
        </w:rPr>
      </w:pPr>
      <w:r w:rsidRPr="00C239D0">
        <w:rPr>
          <w:lang w:val="en-GB"/>
        </w:rPr>
        <w:t>Modern society, benefiting from globalization, digitalization, free market mechanisms, and the pursuit of standardization and quality of products and services, places changing expectations and demands on economic entities. The attitude toward consumption, identified in the form of demand, influences the economic development of market stakeholders and the country. There are many classifications identifying stakeholders: internal and external (</w:t>
      </w:r>
      <w:proofErr w:type="spellStart"/>
      <w:r w:rsidRPr="00C239D0">
        <w:rPr>
          <w:lang w:val="en-GB"/>
        </w:rPr>
        <w:t>Korneta</w:t>
      </w:r>
      <w:proofErr w:type="spellEnd"/>
      <w:r w:rsidRPr="00C239D0">
        <w:rPr>
          <w:lang w:val="en-GB"/>
        </w:rPr>
        <w:t xml:space="preserve"> &amp; </w:t>
      </w:r>
      <w:proofErr w:type="spellStart"/>
      <w:r w:rsidRPr="00C239D0">
        <w:rPr>
          <w:lang w:val="en-GB"/>
        </w:rPr>
        <w:t>Lotko</w:t>
      </w:r>
      <w:proofErr w:type="spellEnd"/>
      <w:r w:rsidRPr="00C239D0">
        <w:rPr>
          <w:lang w:val="en-GB"/>
        </w:rPr>
        <w:t xml:space="preserve"> 2021, Freeman et al. 2007, </w:t>
      </w:r>
      <w:proofErr w:type="spellStart"/>
      <w:r w:rsidRPr="00C239D0">
        <w:rPr>
          <w:lang w:val="en-GB"/>
        </w:rPr>
        <w:t>Kostera</w:t>
      </w:r>
      <w:proofErr w:type="spellEnd"/>
      <w:r w:rsidRPr="00C239D0">
        <w:rPr>
          <w:lang w:val="en-GB"/>
        </w:rPr>
        <w:t xml:space="preserve"> &amp; Śliwa 2012, Werther &amp; Chandler 2011), society, shareholders, employees, customers, prosumers, suppliers, government, as well as local, regional, national, and international (</w:t>
      </w:r>
      <w:proofErr w:type="spellStart"/>
      <w:r w:rsidRPr="00C239D0">
        <w:rPr>
          <w:lang w:val="en-GB"/>
        </w:rPr>
        <w:t>Garoui</w:t>
      </w:r>
      <w:proofErr w:type="spellEnd"/>
      <w:r w:rsidRPr="00C239D0">
        <w:rPr>
          <w:lang w:val="en-GB"/>
        </w:rPr>
        <w:t xml:space="preserve"> &amp; </w:t>
      </w:r>
      <w:proofErr w:type="spellStart"/>
      <w:r w:rsidRPr="00C239D0">
        <w:rPr>
          <w:lang w:val="en-GB"/>
        </w:rPr>
        <w:t>Jarboui</w:t>
      </w:r>
      <w:proofErr w:type="spellEnd"/>
      <w:r w:rsidRPr="00C239D0">
        <w:rPr>
          <w:lang w:val="en-GB"/>
        </w:rPr>
        <w:t xml:space="preserve"> 2012). However, it should be remembered that the impact of individual groups may have different aspects, such as organizational, social, or economic. This means that the increase in interest and the level of consumption activities may affect and influence various spheres of quality of life, economic development (of business entities) (Lenort et al. 2019), the state of the natural environment, etc., in other words, every sphere of human life and activity. In other words, a person, as an entity purchasing a given good or service, becomes one of the main links in the value chain (economic, cultural, social, or organizational). However, the literature indicates that it is not always necessary to be a buyer to play a relevant role in the consumer process. It is enough to be an initiator (an entity suggesting a purchase transaction), an advisor (an entity influencing the final purchasing decision), or sometimes a decision-maker (an entity approving or making the final purchasing decision) (</w:t>
      </w:r>
      <w:proofErr w:type="spellStart"/>
      <w:r w:rsidRPr="00C239D0">
        <w:rPr>
          <w:lang w:val="en-GB"/>
        </w:rPr>
        <w:t>Janoś</w:t>
      </w:r>
      <w:proofErr w:type="spellEnd"/>
      <w:r w:rsidRPr="00C239D0">
        <w:rPr>
          <w:lang w:val="en-GB"/>
        </w:rPr>
        <w:t xml:space="preserve">-Kresło &amp; Mróz 2015, </w:t>
      </w:r>
      <w:proofErr w:type="spellStart"/>
      <w:r w:rsidRPr="00C239D0">
        <w:rPr>
          <w:lang w:val="en-GB"/>
        </w:rPr>
        <w:t>Perchla-Włosik</w:t>
      </w:r>
      <w:proofErr w:type="spellEnd"/>
      <w:r w:rsidRPr="00C239D0">
        <w:rPr>
          <w:lang w:val="en-GB"/>
        </w:rPr>
        <w:t xml:space="preserve"> &amp; </w:t>
      </w:r>
      <w:proofErr w:type="spellStart"/>
      <w:r w:rsidRPr="00C239D0">
        <w:rPr>
          <w:lang w:val="en-GB"/>
        </w:rPr>
        <w:t>Wardzała</w:t>
      </w:r>
      <w:proofErr w:type="spellEnd"/>
      <w:r w:rsidRPr="00C239D0">
        <w:rPr>
          <w:lang w:val="en-GB"/>
        </w:rPr>
        <w:t xml:space="preserve"> 2015). Identifying the entity of the purchasing process is therefore not so easy, as the literature also uses terms such as customer (an entity expressing purchasing interest), consumer (the buyer of goods or services, remains affected by the product), prosumer (an entity making a purchase and oriented toward increasing consumption, indicating potential improvements enhancing purchasing satisfaction), user (an entity benefiting from the effects of purchase transactions), or purchaser (an entity making a purchase but not necessarily using the acquired </w:t>
      </w:r>
      <w:r w:rsidRPr="00C239D0">
        <w:rPr>
          <w:lang w:val="en-GB"/>
        </w:rPr>
        <w:lastRenderedPageBreak/>
        <w:t>good or service) (</w:t>
      </w:r>
      <w:proofErr w:type="spellStart"/>
      <w:r w:rsidRPr="00C239D0">
        <w:rPr>
          <w:lang w:val="en-GB"/>
        </w:rPr>
        <w:t>Olkiewicz</w:t>
      </w:r>
      <w:proofErr w:type="spellEnd"/>
      <w:r w:rsidRPr="00C239D0">
        <w:rPr>
          <w:lang w:val="en-GB"/>
        </w:rPr>
        <w:t xml:space="preserve"> 2020). Such terminological diversity has led to the adoption of the term consumers for the purposes of this study, as this concept identifies an entity that purchases goods or services for a specific price, at a specific time, and of a specific quality. From an economic point of view (Samson 2013), the consumer is also identified as a user shaping the demand–supply function, combining the characteristics of a</w:t>
      </w:r>
      <w:r w:rsidR="000E23F9">
        <w:rPr>
          <w:lang w:val="en-GB"/>
        </w:rPr>
        <w:t> </w:t>
      </w:r>
      <w:r w:rsidRPr="00C239D0">
        <w:rPr>
          <w:lang w:val="en-GB"/>
        </w:rPr>
        <w:t>customer, purchaser, and user (Samson 2013). In the legal aspect, Article 22 of the Civil Code defines a consumer as a natural person who performs a legal act with an entrepreneur that is not directly related to their business or professional activity (KC 2025). Both national (PK 2024) and international consumer rights have been defined (</w:t>
      </w:r>
      <w:proofErr w:type="spellStart"/>
      <w:r w:rsidRPr="00C239D0">
        <w:rPr>
          <w:lang w:val="en-GB"/>
        </w:rPr>
        <w:t>TofUE</w:t>
      </w:r>
      <w:proofErr w:type="spellEnd"/>
      <w:r w:rsidRPr="00C239D0">
        <w:rPr>
          <w:lang w:val="en-GB"/>
        </w:rPr>
        <w:t xml:space="preserve"> 2004). This means that consumers are active, conscious participants in the market, and their needs reflect individual values, emotions, beliefs, and interests. The young consumer society, as a part of the broader population, is characterized by different values, beliefs, potential, expectations, and requirements than other generations, although some shared values may exist. This often results from purchasing power, lifestyle, and quality of life within specific time frames, and particularly from the age of the population. The ability to identify generational differences has become increasingly important, as these are distinct groups of individuals born within a given period who grew up and matured within the same cultural, political, economic, and social environment, sharing similar experiences of civilizational change and subjective similarities (</w:t>
      </w:r>
      <w:proofErr w:type="spellStart"/>
      <w:r w:rsidRPr="00C239D0">
        <w:rPr>
          <w:lang w:val="en-GB"/>
        </w:rPr>
        <w:t>Barczykowska</w:t>
      </w:r>
      <w:proofErr w:type="spellEnd"/>
      <w:r w:rsidRPr="00C239D0">
        <w:rPr>
          <w:lang w:val="en-GB"/>
        </w:rPr>
        <w:t xml:space="preserve"> &amp; Pawełek 2021, Rogozińska-</w:t>
      </w:r>
      <w:proofErr w:type="spellStart"/>
      <w:r w:rsidRPr="00C239D0">
        <w:rPr>
          <w:lang w:val="en-GB"/>
        </w:rPr>
        <w:t>Pawełczyk</w:t>
      </w:r>
      <w:proofErr w:type="spellEnd"/>
      <w:r w:rsidRPr="00C239D0">
        <w:rPr>
          <w:lang w:val="en-GB"/>
        </w:rPr>
        <w:t xml:space="preserve"> et al. 2019). </w:t>
      </w:r>
      <w:r w:rsidRPr="000E23F9">
        <w:rPr>
          <w:spacing w:val="-2"/>
          <w:lang w:val="en-GB"/>
        </w:rPr>
        <w:t>A review of the literature indicates a generational classification that is widely accepted and frequently referenced by researchers, allowing for extensive studies and analyses. The classification includes (</w:t>
      </w:r>
      <w:proofErr w:type="spellStart"/>
      <w:r w:rsidRPr="000E23F9">
        <w:rPr>
          <w:spacing w:val="-2"/>
          <w:lang w:val="en-GB"/>
        </w:rPr>
        <w:t>Rauvola</w:t>
      </w:r>
      <w:proofErr w:type="spellEnd"/>
      <w:r w:rsidRPr="000E23F9">
        <w:rPr>
          <w:spacing w:val="-2"/>
          <w:lang w:val="en-GB"/>
        </w:rPr>
        <w:t xml:space="preserve"> 2019, </w:t>
      </w:r>
      <w:proofErr w:type="spellStart"/>
      <w:r w:rsidRPr="000E23F9">
        <w:rPr>
          <w:spacing w:val="-2"/>
          <w:lang w:val="en-GB"/>
        </w:rPr>
        <w:t>Gruchoła</w:t>
      </w:r>
      <w:proofErr w:type="spellEnd"/>
      <w:r w:rsidRPr="000E23F9">
        <w:rPr>
          <w:spacing w:val="-2"/>
          <w:lang w:val="en-GB"/>
        </w:rPr>
        <w:t xml:space="preserve"> 2016, Costanza et al. 2023, Appelbaum et al. 2005, Twenge 2023, Costanza et al. 2012)</w:t>
      </w:r>
      <w:r w:rsidR="00D50DB0" w:rsidRPr="000E23F9">
        <w:rPr>
          <w:spacing w:val="-2"/>
          <w:lang w:val="en-GB"/>
        </w:rPr>
        <w:t>:</w:t>
      </w:r>
    </w:p>
    <w:p w14:paraId="6081E344" w14:textId="78AA8FD6" w:rsidR="00C239D0" w:rsidRPr="00C81AF6" w:rsidRDefault="00C239D0" w:rsidP="00C81AF6">
      <w:pPr>
        <w:pStyle w:val="Akapitzlist"/>
        <w:numPr>
          <w:ilvl w:val="0"/>
          <w:numId w:val="4"/>
        </w:numPr>
        <w:ind w:left="644"/>
        <w:rPr>
          <w:lang w:val="en-GB"/>
        </w:rPr>
      </w:pPr>
      <w:r w:rsidRPr="00C81AF6">
        <w:rPr>
          <w:lang w:val="en-GB"/>
        </w:rPr>
        <w:t>Lost Generation – individuals born between 1833 and 1900.</w:t>
      </w:r>
    </w:p>
    <w:p w14:paraId="71F89C37" w14:textId="74B82B91" w:rsidR="00C239D0" w:rsidRPr="00C81AF6" w:rsidRDefault="00C239D0" w:rsidP="00C81AF6">
      <w:pPr>
        <w:pStyle w:val="Akapitzlist"/>
        <w:numPr>
          <w:ilvl w:val="0"/>
          <w:numId w:val="4"/>
        </w:numPr>
        <w:ind w:left="644"/>
        <w:rPr>
          <w:lang w:val="en-GB"/>
        </w:rPr>
      </w:pPr>
      <w:r w:rsidRPr="00C81AF6">
        <w:rPr>
          <w:lang w:val="en-GB"/>
        </w:rPr>
        <w:t xml:space="preserve">Greatest Generation (also referred to as </w:t>
      </w:r>
      <w:r w:rsidR="00191A53">
        <w:rPr>
          <w:lang w:val="en-GB"/>
        </w:rPr>
        <w:t>"</w:t>
      </w:r>
      <w:r w:rsidRPr="00C81AF6">
        <w:rPr>
          <w:lang w:val="en-GB"/>
        </w:rPr>
        <w:t>the Great Depression Generation</w:t>
      </w:r>
      <w:r w:rsidR="00191A53">
        <w:rPr>
          <w:lang w:val="en-GB"/>
        </w:rPr>
        <w:t>"</w:t>
      </w:r>
      <w:r w:rsidRPr="00C81AF6">
        <w:rPr>
          <w:lang w:val="en-GB"/>
        </w:rPr>
        <w:t xml:space="preserve"> or </w:t>
      </w:r>
      <w:r w:rsidR="00191A53">
        <w:rPr>
          <w:lang w:val="en-GB"/>
        </w:rPr>
        <w:t>"</w:t>
      </w:r>
      <w:r w:rsidRPr="00C81AF6">
        <w:rPr>
          <w:lang w:val="en-GB"/>
        </w:rPr>
        <w:t>the Grand Generation</w:t>
      </w:r>
      <w:r w:rsidR="00191A53">
        <w:rPr>
          <w:lang w:val="en-GB"/>
        </w:rPr>
        <w:t>"</w:t>
      </w:r>
      <w:r w:rsidRPr="00C81AF6">
        <w:rPr>
          <w:lang w:val="en-GB"/>
        </w:rPr>
        <w:t>) – individuals born between 1901 and 1924.</w:t>
      </w:r>
    </w:p>
    <w:p w14:paraId="698DE097" w14:textId="6B41AECC" w:rsidR="00C239D0" w:rsidRPr="00C81AF6" w:rsidRDefault="00C239D0" w:rsidP="00C81AF6">
      <w:pPr>
        <w:pStyle w:val="Akapitzlist"/>
        <w:numPr>
          <w:ilvl w:val="0"/>
          <w:numId w:val="4"/>
        </w:numPr>
        <w:ind w:left="644"/>
        <w:rPr>
          <w:lang w:val="en-GB"/>
        </w:rPr>
      </w:pPr>
      <w:r w:rsidRPr="00C81AF6">
        <w:rPr>
          <w:lang w:val="en-GB"/>
        </w:rPr>
        <w:t xml:space="preserve">Traditionalist Generation (also referred to as </w:t>
      </w:r>
      <w:r w:rsidR="00191A53">
        <w:rPr>
          <w:lang w:val="en-GB"/>
        </w:rPr>
        <w:t>"</w:t>
      </w:r>
      <w:r w:rsidRPr="00C81AF6">
        <w:rPr>
          <w:lang w:val="en-GB"/>
        </w:rPr>
        <w:t>the World War II Generation,</w:t>
      </w:r>
      <w:r w:rsidR="00191A53">
        <w:rPr>
          <w:lang w:val="en-GB"/>
        </w:rPr>
        <w:t>" "</w:t>
      </w:r>
      <w:r w:rsidRPr="00C81AF6">
        <w:rPr>
          <w:lang w:val="en-GB"/>
        </w:rPr>
        <w:t>the Silent Generation,</w:t>
      </w:r>
      <w:r w:rsidR="00191A53">
        <w:rPr>
          <w:lang w:val="en-GB"/>
        </w:rPr>
        <w:t>"</w:t>
      </w:r>
      <w:r w:rsidRPr="00C81AF6">
        <w:rPr>
          <w:lang w:val="en-GB"/>
        </w:rPr>
        <w:t xml:space="preserve"> or </w:t>
      </w:r>
      <w:r w:rsidR="00191A53">
        <w:rPr>
          <w:lang w:val="en-GB"/>
        </w:rPr>
        <w:t>"</w:t>
      </w:r>
      <w:r w:rsidRPr="00C81AF6">
        <w:rPr>
          <w:lang w:val="en-GB"/>
        </w:rPr>
        <w:t>the Quiet Generation</w:t>
      </w:r>
      <w:r w:rsidR="00191A53">
        <w:rPr>
          <w:lang w:val="en-GB"/>
        </w:rPr>
        <w:t>"</w:t>
      </w:r>
      <w:r w:rsidRPr="00C81AF6">
        <w:rPr>
          <w:lang w:val="en-GB"/>
        </w:rPr>
        <w:t>) – individuals born between 1925 and 1945.</w:t>
      </w:r>
    </w:p>
    <w:p w14:paraId="02EDEF61" w14:textId="27D8B71C" w:rsidR="00C239D0" w:rsidRPr="00C81AF6" w:rsidRDefault="00C239D0" w:rsidP="00C81AF6">
      <w:pPr>
        <w:pStyle w:val="Akapitzlist"/>
        <w:numPr>
          <w:ilvl w:val="0"/>
          <w:numId w:val="4"/>
        </w:numPr>
        <w:ind w:left="644"/>
        <w:rPr>
          <w:lang w:val="en-GB"/>
        </w:rPr>
      </w:pPr>
      <w:r w:rsidRPr="00C81AF6">
        <w:rPr>
          <w:lang w:val="en-GB"/>
        </w:rPr>
        <w:t xml:space="preserve">Baby Boomer Generation (also referred to as </w:t>
      </w:r>
      <w:r w:rsidR="00191A53">
        <w:rPr>
          <w:lang w:val="en-GB"/>
        </w:rPr>
        <w:t>"</w:t>
      </w:r>
      <w:r w:rsidRPr="00C81AF6">
        <w:rPr>
          <w:lang w:val="en-GB"/>
        </w:rPr>
        <w:t>Boomers</w:t>
      </w:r>
      <w:r w:rsidR="00191A53">
        <w:rPr>
          <w:lang w:val="en-GB"/>
        </w:rPr>
        <w:t>"</w:t>
      </w:r>
      <w:r w:rsidRPr="00C81AF6">
        <w:rPr>
          <w:lang w:val="en-GB"/>
        </w:rPr>
        <w:t xml:space="preserve"> or </w:t>
      </w:r>
      <w:r w:rsidR="00191A53">
        <w:rPr>
          <w:lang w:val="en-GB"/>
        </w:rPr>
        <w:t>"</w:t>
      </w:r>
      <w:r w:rsidRPr="00C81AF6">
        <w:rPr>
          <w:lang w:val="en-GB"/>
        </w:rPr>
        <w:t>BB Generation</w:t>
      </w:r>
      <w:r w:rsidR="00191A53">
        <w:rPr>
          <w:lang w:val="en-GB"/>
        </w:rPr>
        <w:t>"</w:t>
      </w:r>
      <w:r w:rsidRPr="00C81AF6">
        <w:rPr>
          <w:lang w:val="en-GB"/>
        </w:rPr>
        <w:t>) – individuals born between 1946 and 1964.</w:t>
      </w:r>
    </w:p>
    <w:p w14:paraId="7D050CA3" w14:textId="7231E9A0" w:rsidR="00C239D0" w:rsidRPr="00C81AF6" w:rsidRDefault="00C239D0" w:rsidP="00C81AF6">
      <w:pPr>
        <w:pStyle w:val="Akapitzlist"/>
        <w:numPr>
          <w:ilvl w:val="0"/>
          <w:numId w:val="4"/>
        </w:numPr>
        <w:ind w:left="644"/>
        <w:rPr>
          <w:lang w:val="en-GB"/>
        </w:rPr>
      </w:pPr>
      <w:r w:rsidRPr="00C81AF6">
        <w:rPr>
          <w:lang w:val="en-GB"/>
        </w:rPr>
        <w:t xml:space="preserve">Generation X (also referred to as </w:t>
      </w:r>
      <w:r w:rsidR="00191A53">
        <w:rPr>
          <w:lang w:val="en-GB"/>
        </w:rPr>
        <w:t>"</w:t>
      </w:r>
      <w:r w:rsidRPr="00C81AF6">
        <w:rPr>
          <w:lang w:val="en-GB"/>
        </w:rPr>
        <w:t>the Activist Generation</w:t>
      </w:r>
      <w:r w:rsidR="00191A53">
        <w:rPr>
          <w:lang w:val="en-GB"/>
        </w:rPr>
        <w:t>"</w:t>
      </w:r>
      <w:r w:rsidRPr="00C81AF6">
        <w:rPr>
          <w:lang w:val="en-GB"/>
        </w:rPr>
        <w:t>) – individuals born between 1965 and 1980.</w:t>
      </w:r>
    </w:p>
    <w:p w14:paraId="45C2D675" w14:textId="4C9C8222" w:rsidR="00C239D0" w:rsidRPr="00C81AF6" w:rsidRDefault="00C239D0" w:rsidP="00C81AF6">
      <w:pPr>
        <w:pStyle w:val="Akapitzlist"/>
        <w:numPr>
          <w:ilvl w:val="0"/>
          <w:numId w:val="4"/>
        </w:numPr>
        <w:ind w:left="644"/>
        <w:rPr>
          <w:lang w:val="en-GB"/>
        </w:rPr>
      </w:pPr>
      <w:r w:rsidRPr="00C81AF6">
        <w:rPr>
          <w:lang w:val="en-GB"/>
        </w:rPr>
        <w:t xml:space="preserve">Generation Y (also referred to as </w:t>
      </w:r>
      <w:r w:rsidR="00191A53">
        <w:rPr>
          <w:lang w:val="en-GB"/>
        </w:rPr>
        <w:t>"</w:t>
      </w:r>
      <w:r w:rsidRPr="00C81AF6">
        <w:rPr>
          <w:lang w:val="en-GB"/>
        </w:rPr>
        <w:t>the Millennial Generation,</w:t>
      </w:r>
      <w:r w:rsidR="00191A53">
        <w:rPr>
          <w:lang w:val="en-GB"/>
        </w:rPr>
        <w:t>" "</w:t>
      </w:r>
      <w:r w:rsidRPr="00C81AF6">
        <w:rPr>
          <w:lang w:val="en-GB"/>
        </w:rPr>
        <w:t>Millennials,</w:t>
      </w:r>
      <w:r w:rsidR="00191A53">
        <w:rPr>
          <w:lang w:val="en-GB"/>
        </w:rPr>
        <w:t>"</w:t>
      </w:r>
      <w:r w:rsidRPr="00C81AF6">
        <w:rPr>
          <w:lang w:val="en-GB"/>
        </w:rPr>
        <w:t xml:space="preserve"> or </w:t>
      </w:r>
      <w:r w:rsidR="00191A53">
        <w:rPr>
          <w:lang w:val="en-GB"/>
        </w:rPr>
        <w:t>"</w:t>
      </w:r>
      <w:r w:rsidRPr="00C81AF6">
        <w:rPr>
          <w:lang w:val="en-GB"/>
        </w:rPr>
        <w:t>Digital Natives</w:t>
      </w:r>
      <w:r w:rsidR="00191A53">
        <w:rPr>
          <w:lang w:val="en-GB"/>
        </w:rPr>
        <w:t>"</w:t>
      </w:r>
      <w:r w:rsidRPr="00C81AF6">
        <w:rPr>
          <w:lang w:val="en-GB"/>
        </w:rPr>
        <w:t xml:space="preserve">) </w:t>
      </w:r>
      <w:r w:rsidR="0015238F">
        <w:rPr>
          <w:lang w:val="en-GB"/>
        </w:rPr>
        <w:br/>
      </w:r>
      <w:r w:rsidRPr="00C81AF6">
        <w:rPr>
          <w:lang w:val="en-GB"/>
        </w:rPr>
        <w:t>– individuals born between 1981 and 2000.</w:t>
      </w:r>
    </w:p>
    <w:p w14:paraId="5EAA200B" w14:textId="4243A5A7" w:rsidR="00C239D0" w:rsidRPr="00C81AF6" w:rsidRDefault="00C239D0" w:rsidP="00C81AF6">
      <w:pPr>
        <w:pStyle w:val="Akapitzlist"/>
        <w:numPr>
          <w:ilvl w:val="0"/>
          <w:numId w:val="4"/>
        </w:numPr>
        <w:ind w:left="644"/>
        <w:rPr>
          <w:lang w:val="en-GB"/>
        </w:rPr>
      </w:pPr>
      <w:r w:rsidRPr="00C81AF6">
        <w:rPr>
          <w:lang w:val="en-GB"/>
        </w:rPr>
        <w:t xml:space="preserve">Generation Z (also referred to as </w:t>
      </w:r>
      <w:r w:rsidR="00191A53">
        <w:rPr>
          <w:lang w:val="en-GB"/>
        </w:rPr>
        <w:t>"</w:t>
      </w:r>
      <w:proofErr w:type="spellStart"/>
      <w:r w:rsidRPr="00C81AF6">
        <w:rPr>
          <w:lang w:val="en-GB"/>
        </w:rPr>
        <w:t>iGen</w:t>
      </w:r>
      <w:proofErr w:type="spellEnd"/>
      <w:r w:rsidRPr="00C81AF6">
        <w:rPr>
          <w:lang w:val="en-GB"/>
        </w:rPr>
        <w:t>,</w:t>
      </w:r>
      <w:r w:rsidR="00191A53">
        <w:rPr>
          <w:lang w:val="en-GB"/>
        </w:rPr>
        <w:t>" "</w:t>
      </w:r>
      <w:r w:rsidRPr="00C81AF6">
        <w:rPr>
          <w:lang w:val="en-GB"/>
        </w:rPr>
        <w:t>the Multitasking Generation,</w:t>
      </w:r>
      <w:r w:rsidR="00191A53">
        <w:rPr>
          <w:lang w:val="en-GB"/>
        </w:rPr>
        <w:t>"</w:t>
      </w:r>
      <w:r w:rsidRPr="00C81AF6">
        <w:rPr>
          <w:lang w:val="en-GB"/>
        </w:rPr>
        <w:t xml:space="preserve"> or </w:t>
      </w:r>
      <w:r w:rsidR="00191A53">
        <w:rPr>
          <w:lang w:val="en-GB"/>
        </w:rPr>
        <w:t>"</w:t>
      </w:r>
      <w:r w:rsidRPr="00C81AF6">
        <w:rPr>
          <w:lang w:val="en-GB"/>
        </w:rPr>
        <w:t>Zoomers</w:t>
      </w:r>
      <w:r w:rsidR="00191A53">
        <w:rPr>
          <w:lang w:val="en-GB"/>
        </w:rPr>
        <w:t>"</w:t>
      </w:r>
      <w:r w:rsidRPr="00C81AF6">
        <w:rPr>
          <w:lang w:val="en-GB"/>
        </w:rPr>
        <w:t>) – individuals born between 2001 and 2013.</w:t>
      </w:r>
    </w:p>
    <w:p w14:paraId="3F9C2229" w14:textId="795A25CF" w:rsidR="00C239D0" w:rsidRPr="00C81AF6" w:rsidRDefault="00C239D0" w:rsidP="00C81AF6">
      <w:pPr>
        <w:pStyle w:val="Akapitzlist"/>
        <w:numPr>
          <w:ilvl w:val="0"/>
          <w:numId w:val="4"/>
        </w:numPr>
        <w:ind w:left="644"/>
        <w:rPr>
          <w:lang w:val="en-GB"/>
        </w:rPr>
      </w:pPr>
      <w:r w:rsidRPr="00C81AF6">
        <w:rPr>
          <w:lang w:val="en-GB"/>
        </w:rPr>
        <w:t xml:space="preserve">Generation Alpha (also referred to as </w:t>
      </w:r>
      <w:r w:rsidR="00191A53">
        <w:rPr>
          <w:lang w:val="en-GB"/>
        </w:rPr>
        <w:t>"</w:t>
      </w:r>
      <w:r w:rsidRPr="00C81AF6">
        <w:rPr>
          <w:lang w:val="en-GB"/>
        </w:rPr>
        <w:t>Generation Alpha</w:t>
      </w:r>
      <w:r w:rsidR="00191A53">
        <w:rPr>
          <w:lang w:val="en-GB"/>
        </w:rPr>
        <w:t>"</w:t>
      </w:r>
      <w:r w:rsidRPr="00C81AF6">
        <w:rPr>
          <w:lang w:val="en-GB"/>
        </w:rPr>
        <w:t>) – individuals born between 2014 and 2025.</w:t>
      </w:r>
    </w:p>
    <w:p w14:paraId="63D74267" w14:textId="7C04774F" w:rsidR="00C239D0" w:rsidRPr="00C81AF6" w:rsidRDefault="00C239D0" w:rsidP="00C81AF6">
      <w:pPr>
        <w:pStyle w:val="Akapitzlist"/>
        <w:numPr>
          <w:ilvl w:val="0"/>
          <w:numId w:val="4"/>
        </w:numPr>
        <w:ind w:left="644"/>
        <w:rPr>
          <w:lang w:val="en-GB"/>
        </w:rPr>
      </w:pPr>
      <w:r w:rsidRPr="00C81AF6">
        <w:rPr>
          <w:lang w:val="en-GB"/>
        </w:rPr>
        <w:t xml:space="preserve">Generation Beta (also referred to as </w:t>
      </w:r>
      <w:r w:rsidR="00191A53">
        <w:rPr>
          <w:lang w:val="en-GB"/>
        </w:rPr>
        <w:t>"</w:t>
      </w:r>
      <w:r w:rsidRPr="00C81AF6">
        <w:rPr>
          <w:lang w:val="en-GB"/>
        </w:rPr>
        <w:t>Generation Beta</w:t>
      </w:r>
      <w:r w:rsidR="00191A53">
        <w:rPr>
          <w:lang w:val="en-GB"/>
        </w:rPr>
        <w:t>"</w:t>
      </w:r>
      <w:r w:rsidRPr="00C81AF6">
        <w:rPr>
          <w:lang w:val="en-GB"/>
        </w:rPr>
        <w:t>) – individuals born from 2025 onward.</w:t>
      </w:r>
    </w:p>
    <w:p w14:paraId="43B1077B" w14:textId="77777777" w:rsidR="00C81AF6" w:rsidRDefault="00C81AF6" w:rsidP="00C239D0">
      <w:pPr>
        <w:ind w:firstLine="0"/>
        <w:rPr>
          <w:lang w:val="en-GB"/>
        </w:rPr>
      </w:pPr>
    </w:p>
    <w:p w14:paraId="541B5C82" w14:textId="03E32E40" w:rsidR="00C239D0" w:rsidRPr="00C239D0" w:rsidRDefault="00C239D0" w:rsidP="00C81AF6">
      <w:pPr>
        <w:rPr>
          <w:lang w:val="en-GB"/>
        </w:rPr>
      </w:pPr>
      <w:r w:rsidRPr="00C239D0">
        <w:rPr>
          <w:lang w:val="en-GB"/>
        </w:rPr>
        <w:t xml:space="preserve">The knowledge developed about generational groups, despite its usefulness, has a generalizing character and may lead to overinterpretation or even stereotyping. Therefore, it is crucial to </w:t>
      </w:r>
      <w:r w:rsidR="00191A53">
        <w:rPr>
          <w:lang w:val="en-GB"/>
        </w:rPr>
        <w:t>correct</w:t>
      </w:r>
      <w:r w:rsidRPr="00C239D0">
        <w:rPr>
          <w:lang w:val="en-GB"/>
        </w:rPr>
        <w:t xml:space="preserve">ly identify the common values, traits, and norms of individual age groups, despite existing individual differences. For the purposes of this study, the young consumer society has been defined as comprising Generation </w:t>
      </w:r>
      <w:r w:rsidR="00191A53">
        <w:rPr>
          <w:lang w:val="en-GB"/>
        </w:rPr>
        <w:t>"</w:t>
      </w:r>
      <w:r w:rsidRPr="00C239D0">
        <w:rPr>
          <w:lang w:val="en-GB"/>
        </w:rPr>
        <w:t>Y</w:t>
      </w:r>
      <w:r w:rsidR="00191A53">
        <w:rPr>
          <w:lang w:val="en-GB"/>
        </w:rPr>
        <w:t>"</w:t>
      </w:r>
      <w:r w:rsidRPr="00C239D0">
        <w:rPr>
          <w:lang w:val="en-GB"/>
        </w:rPr>
        <w:t xml:space="preserve"> and Generation </w:t>
      </w:r>
      <w:r w:rsidR="00191A53">
        <w:rPr>
          <w:lang w:val="en-GB"/>
        </w:rPr>
        <w:t>"</w:t>
      </w:r>
      <w:r w:rsidRPr="00C239D0">
        <w:rPr>
          <w:lang w:val="en-GB"/>
        </w:rPr>
        <w:t>Z,</w:t>
      </w:r>
      <w:r w:rsidR="00191A53">
        <w:rPr>
          <w:lang w:val="en-GB"/>
        </w:rPr>
        <w:t>"</w:t>
      </w:r>
      <w:r w:rsidRPr="00C239D0">
        <w:rPr>
          <w:lang w:val="en-GB"/>
        </w:rPr>
        <w:t xml:space="preserve"> as these groups will, in the near future, determine the directions of development, including in the areas of energy and environmental protection. Table 1 presents selected areas of identification of the </w:t>
      </w:r>
      <w:proofErr w:type="spellStart"/>
      <w:r w:rsidRPr="00C239D0">
        <w:rPr>
          <w:lang w:val="en-GB"/>
        </w:rPr>
        <w:t>analyzed</w:t>
      </w:r>
      <w:proofErr w:type="spellEnd"/>
      <w:r w:rsidRPr="00C239D0">
        <w:rPr>
          <w:lang w:val="en-GB"/>
        </w:rPr>
        <w:t xml:space="preserve"> groups within the young consumer society.</w:t>
      </w:r>
    </w:p>
    <w:p w14:paraId="38B8C111" w14:textId="4D4CAF5B" w:rsidR="00C239D0" w:rsidRPr="00C239D0" w:rsidRDefault="00C239D0" w:rsidP="00C81AF6">
      <w:pPr>
        <w:rPr>
          <w:lang w:val="en-GB"/>
        </w:rPr>
      </w:pPr>
      <w:r w:rsidRPr="00C239D0">
        <w:rPr>
          <w:lang w:val="en-GB"/>
        </w:rPr>
        <w:t xml:space="preserve">Individuals belonging to Generation </w:t>
      </w:r>
      <w:r w:rsidR="00191A53">
        <w:rPr>
          <w:lang w:val="en-GB"/>
        </w:rPr>
        <w:t>"</w:t>
      </w:r>
      <w:r w:rsidRPr="00C239D0">
        <w:rPr>
          <w:lang w:val="en-GB"/>
        </w:rPr>
        <w:t>Y</w:t>
      </w:r>
      <w:r w:rsidR="00191A53">
        <w:rPr>
          <w:lang w:val="en-GB"/>
        </w:rPr>
        <w:t>"</w:t>
      </w:r>
      <w:r w:rsidRPr="00C239D0">
        <w:rPr>
          <w:lang w:val="en-GB"/>
        </w:rPr>
        <w:t xml:space="preserve"> were born during the digital revolution and are therefore often referred to as </w:t>
      </w:r>
      <w:r w:rsidR="00191A53">
        <w:rPr>
          <w:lang w:val="en-GB"/>
        </w:rPr>
        <w:t>"</w:t>
      </w:r>
      <w:r w:rsidRPr="00C239D0">
        <w:rPr>
          <w:lang w:val="en-GB"/>
        </w:rPr>
        <w:t>digital natives.</w:t>
      </w:r>
      <w:r w:rsidR="00191A53">
        <w:rPr>
          <w:lang w:val="en-GB"/>
        </w:rPr>
        <w:t>"</w:t>
      </w:r>
      <w:r w:rsidRPr="00C239D0">
        <w:rPr>
          <w:lang w:val="en-GB"/>
        </w:rPr>
        <w:t xml:space="preserve"> This social group marks a life transition between </w:t>
      </w:r>
      <w:r w:rsidR="00191A53">
        <w:rPr>
          <w:lang w:val="en-GB"/>
        </w:rPr>
        <w:t>"</w:t>
      </w:r>
      <w:r w:rsidRPr="00C239D0">
        <w:rPr>
          <w:lang w:val="en-GB"/>
        </w:rPr>
        <w:t>before</w:t>
      </w:r>
      <w:r w:rsidR="00191A53">
        <w:rPr>
          <w:lang w:val="en-GB"/>
        </w:rPr>
        <w:t>"</w:t>
      </w:r>
      <w:r w:rsidRPr="00C239D0">
        <w:rPr>
          <w:lang w:val="en-GB"/>
        </w:rPr>
        <w:t xml:space="preserve"> and </w:t>
      </w:r>
      <w:r w:rsidR="00191A53">
        <w:rPr>
          <w:lang w:val="en-GB"/>
        </w:rPr>
        <w:t>"</w:t>
      </w:r>
      <w:r w:rsidRPr="00C239D0">
        <w:rPr>
          <w:lang w:val="en-GB"/>
        </w:rPr>
        <w:t>after</w:t>
      </w:r>
      <w:r w:rsidR="00191A53">
        <w:rPr>
          <w:lang w:val="en-GB"/>
        </w:rPr>
        <w:t>"</w:t>
      </w:r>
      <w:r w:rsidRPr="00C239D0">
        <w:rPr>
          <w:lang w:val="en-GB"/>
        </w:rPr>
        <w:t xml:space="preserve"> the digital revolution. It is noted that this generation, through participation in rapid technological development – which initiated new forms of mobile communication, the beginnings of globalization, and increasingly intense competition – has significantly influenced the shape, pace, and manner of personal development (</w:t>
      </w:r>
      <w:r w:rsidRPr="0015238F">
        <w:rPr>
          <w:spacing w:val="-2"/>
          <w:lang w:val="en-GB"/>
        </w:rPr>
        <w:t xml:space="preserve">Plichta &amp; </w:t>
      </w:r>
      <w:proofErr w:type="spellStart"/>
      <w:r w:rsidRPr="0015238F">
        <w:rPr>
          <w:spacing w:val="-2"/>
          <w:lang w:val="en-GB"/>
        </w:rPr>
        <w:t>Pyżalski</w:t>
      </w:r>
      <w:proofErr w:type="spellEnd"/>
      <w:r w:rsidRPr="0015238F">
        <w:rPr>
          <w:spacing w:val="-2"/>
          <w:lang w:val="en-GB"/>
        </w:rPr>
        <w:t xml:space="preserve"> 2013, Hennelly &amp; Schurman 2023, Korczyk-Ulman 2023, </w:t>
      </w:r>
      <w:proofErr w:type="spellStart"/>
      <w:r w:rsidRPr="0015238F">
        <w:rPr>
          <w:spacing w:val="-2"/>
          <w:lang w:val="en-GB"/>
        </w:rPr>
        <w:t>Suvalova</w:t>
      </w:r>
      <w:proofErr w:type="spellEnd"/>
      <w:r w:rsidRPr="0015238F">
        <w:rPr>
          <w:spacing w:val="-2"/>
          <w:lang w:val="en-GB"/>
        </w:rPr>
        <w:t xml:space="preserve"> et al. 2021, </w:t>
      </w:r>
      <w:proofErr w:type="spellStart"/>
      <w:r w:rsidRPr="0015238F">
        <w:rPr>
          <w:spacing w:val="-2"/>
          <w:lang w:val="en-GB"/>
        </w:rPr>
        <w:t>Parzonko</w:t>
      </w:r>
      <w:proofErr w:type="spellEnd"/>
      <w:r w:rsidRPr="0015238F">
        <w:rPr>
          <w:spacing w:val="-2"/>
          <w:lang w:val="en-GB"/>
        </w:rPr>
        <w:t xml:space="preserve"> 2015, Drzewiecki &amp;</w:t>
      </w:r>
      <w:r w:rsidR="0015238F">
        <w:rPr>
          <w:spacing w:val="-2"/>
          <w:lang w:val="en-GB"/>
        </w:rPr>
        <w:t> </w:t>
      </w:r>
      <w:proofErr w:type="spellStart"/>
      <w:r w:rsidRPr="0015238F">
        <w:rPr>
          <w:spacing w:val="-2"/>
          <w:lang w:val="en-GB"/>
        </w:rPr>
        <w:t>Głębicka</w:t>
      </w:r>
      <w:proofErr w:type="spellEnd"/>
      <w:r w:rsidRPr="0015238F">
        <w:rPr>
          <w:spacing w:val="-2"/>
          <w:lang w:val="en-GB"/>
        </w:rPr>
        <w:t xml:space="preserve">-Giza 2018, Rudolph et al. 2018, Czarnecka 2018, </w:t>
      </w:r>
      <w:proofErr w:type="spellStart"/>
      <w:r w:rsidRPr="0015238F">
        <w:rPr>
          <w:spacing w:val="-2"/>
          <w:lang w:val="en-GB"/>
        </w:rPr>
        <w:t>Biesbroek</w:t>
      </w:r>
      <w:proofErr w:type="spellEnd"/>
      <w:r w:rsidRPr="0015238F">
        <w:rPr>
          <w:spacing w:val="-2"/>
          <w:lang w:val="en-GB"/>
        </w:rPr>
        <w:t xml:space="preserve"> et al. 2010, Hagen et al. 2016, Cecchin et al. 2021, Hariram et al. 2023). </w:t>
      </w:r>
      <w:r w:rsidRPr="00C239D0">
        <w:rPr>
          <w:lang w:val="en-GB"/>
        </w:rPr>
        <w:t xml:space="preserve">Access to the Internet and social media platforms (Facebook, followed by YouTube and Instagram) has become the primary source of information about products, services, and brand creation. Access to ubiquitous knowledge has fostered a highly empathetic and progressive society with strong ambitions and proactive engagement in achieving personal goals. It is also observed that this generation is the first to integrate their moral values into the workplace; they often choose to work only in environments that align with their socio-political values, even at the expense of lower compensation (Korczyk-Ulman 2023, </w:t>
      </w:r>
      <w:proofErr w:type="spellStart"/>
      <w:r w:rsidRPr="00C239D0">
        <w:rPr>
          <w:lang w:val="en-GB"/>
        </w:rPr>
        <w:t>Suvalova</w:t>
      </w:r>
      <w:proofErr w:type="spellEnd"/>
      <w:r w:rsidRPr="00C239D0">
        <w:rPr>
          <w:lang w:val="en-GB"/>
        </w:rPr>
        <w:t xml:space="preserve"> et al. 2021).</w:t>
      </w:r>
    </w:p>
    <w:p w14:paraId="22D37ADA" w14:textId="77777777" w:rsidR="00C239D0" w:rsidRPr="00C239D0" w:rsidRDefault="00C239D0" w:rsidP="00C239D0">
      <w:pPr>
        <w:ind w:firstLine="0"/>
        <w:rPr>
          <w:lang w:val="en-GB"/>
        </w:rPr>
      </w:pPr>
    </w:p>
    <w:p w14:paraId="261CB039" w14:textId="649C703C" w:rsidR="00C239D0" w:rsidRPr="00C239D0" w:rsidRDefault="00C239D0" w:rsidP="00C81AF6">
      <w:pPr>
        <w:pStyle w:val="Rtab"/>
        <w:rPr>
          <w:lang w:val="en-GB"/>
        </w:rPr>
      </w:pPr>
      <w:r w:rsidRPr="00C81AF6">
        <w:rPr>
          <w:b/>
          <w:bCs/>
          <w:lang w:val="en-GB"/>
        </w:rPr>
        <w:lastRenderedPageBreak/>
        <w:t>Tab</w:t>
      </w:r>
      <w:r w:rsidR="00C81AF6" w:rsidRPr="00C81AF6">
        <w:rPr>
          <w:b/>
          <w:bCs/>
          <w:lang w:val="en-GB"/>
        </w:rPr>
        <w:t>le</w:t>
      </w:r>
      <w:r w:rsidRPr="00C81AF6">
        <w:rPr>
          <w:b/>
          <w:bCs/>
          <w:lang w:val="en-GB"/>
        </w:rPr>
        <w:t xml:space="preserve"> 1.</w:t>
      </w:r>
      <w:r w:rsidRPr="00C239D0">
        <w:rPr>
          <w:lang w:val="en-GB"/>
        </w:rPr>
        <w:t xml:space="preserve"> Characteristics of the Young Consumer Generation (</w:t>
      </w:r>
      <w:proofErr w:type="spellStart"/>
      <w:r w:rsidRPr="00C239D0">
        <w:rPr>
          <w:lang w:val="en-GB"/>
        </w:rPr>
        <w:t>Cochoy</w:t>
      </w:r>
      <w:proofErr w:type="spellEnd"/>
      <w:r w:rsidRPr="00C239D0">
        <w:rPr>
          <w:lang w:val="en-GB"/>
        </w:rPr>
        <w:t xml:space="preserve"> et al. 2020, Jankowiak &amp; Czerwińska-</w:t>
      </w:r>
      <w:proofErr w:type="spellStart"/>
      <w:r w:rsidRPr="00C239D0">
        <w:rPr>
          <w:lang w:val="en-GB"/>
        </w:rPr>
        <w:t>Lubszczyk</w:t>
      </w:r>
      <w:proofErr w:type="spellEnd"/>
      <w:r w:rsidRPr="00C239D0">
        <w:rPr>
          <w:lang w:val="en-GB"/>
        </w:rPr>
        <w:t>, 2024, Morris 2021, Muszyńska 2020)</w:t>
      </w:r>
    </w:p>
    <w:tbl>
      <w:tblPr>
        <w:tblStyle w:val="Tabela-Siatka"/>
        <w:tblW w:w="0" w:type="auto"/>
        <w:jc w:val="right"/>
        <w:tblLayout w:type="fixed"/>
        <w:tblLook w:val="04A0" w:firstRow="1" w:lastRow="0" w:firstColumn="1" w:lastColumn="0" w:noHBand="0" w:noVBand="1"/>
      </w:tblPr>
      <w:tblGrid>
        <w:gridCol w:w="1652"/>
        <w:gridCol w:w="4018"/>
        <w:gridCol w:w="3903"/>
      </w:tblGrid>
      <w:tr w:rsidR="00C81AF6" w:rsidRPr="00A4189F" w14:paraId="339C74AF" w14:textId="77777777" w:rsidTr="000A1721">
        <w:trPr>
          <w:trHeight w:val="397"/>
          <w:jc w:val="right"/>
        </w:trPr>
        <w:tc>
          <w:tcPr>
            <w:tcW w:w="1652" w:type="dxa"/>
            <w:tcBorders>
              <w:top w:val="nil"/>
              <w:left w:val="nil"/>
            </w:tcBorders>
          </w:tcPr>
          <w:p w14:paraId="2845B64A" w14:textId="77777777" w:rsidR="00C81AF6" w:rsidRPr="00C81AF6" w:rsidRDefault="00C81AF6" w:rsidP="00C81AF6">
            <w:pPr>
              <w:ind w:firstLine="0"/>
              <w:contextualSpacing/>
              <w:rPr>
                <w:bCs/>
              </w:rPr>
            </w:pPr>
          </w:p>
        </w:tc>
        <w:tc>
          <w:tcPr>
            <w:tcW w:w="4018" w:type="dxa"/>
            <w:vAlign w:val="center"/>
          </w:tcPr>
          <w:p w14:paraId="156EFBD8" w14:textId="77777777" w:rsidR="00C81AF6" w:rsidRPr="00C81AF6" w:rsidRDefault="00C81AF6" w:rsidP="00C81AF6">
            <w:pPr>
              <w:ind w:firstLine="0"/>
              <w:contextualSpacing/>
              <w:jc w:val="center"/>
              <w:rPr>
                <w:rFonts w:eastAsia="Palatino Linotype" w:cs="Palatino Linotype"/>
                <w:bCs/>
              </w:rPr>
            </w:pPr>
            <w:proofErr w:type="spellStart"/>
            <w:r w:rsidRPr="00C81AF6">
              <w:rPr>
                <w:rFonts w:eastAsia="Palatino Linotype" w:cs="Palatino Linotype"/>
                <w:bCs/>
              </w:rPr>
              <w:t>Generation</w:t>
            </w:r>
            <w:proofErr w:type="spellEnd"/>
            <w:r w:rsidRPr="00C81AF6">
              <w:rPr>
                <w:rFonts w:eastAsia="Palatino Linotype" w:cs="Palatino Linotype"/>
                <w:bCs/>
              </w:rPr>
              <w:t xml:space="preserve"> Y</w:t>
            </w:r>
          </w:p>
        </w:tc>
        <w:tc>
          <w:tcPr>
            <w:tcW w:w="3903" w:type="dxa"/>
            <w:vAlign w:val="center"/>
          </w:tcPr>
          <w:p w14:paraId="5DC04178" w14:textId="77777777" w:rsidR="00C81AF6" w:rsidRPr="00C81AF6" w:rsidRDefault="00C81AF6" w:rsidP="00C81AF6">
            <w:pPr>
              <w:ind w:firstLine="0"/>
              <w:contextualSpacing/>
              <w:jc w:val="center"/>
              <w:rPr>
                <w:bCs/>
              </w:rPr>
            </w:pPr>
            <w:proofErr w:type="spellStart"/>
            <w:r w:rsidRPr="00C81AF6">
              <w:rPr>
                <w:rFonts w:eastAsia="Palatino Linotype" w:cs="Palatino Linotype"/>
                <w:bCs/>
              </w:rPr>
              <w:t>Generation</w:t>
            </w:r>
            <w:proofErr w:type="spellEnd"/>
            <w:r w:rsidRPr="00C81AF6">
              <w:rPr>
                <w:bCs/>
              </w:rPr>
              <w:t xml:space="preserve"> Z</w:t>
            </w:r>
          </w:p>
        </w:tc>
      </w:tr>
      <w:tr w:rsidR="00C81AF6" w:rsidRPr="00215C77" w14:paraId="7BC2A25E" w14:textId="77777777" w:rsidTr="000A1721">
        <w:trPr>
          <w:trHeight w:val="1037"/>
          <w:jc w:val="right"/>
        </w:trPr>
        <w:tc>
          <w:tcPr>
            <w:tcW w:w="1652" w:type="dxa"/>
            <w:vAlign w:val="center"/>
          </w:tcPr>
          <w:p w14:paraId="14351A1F" w14:textId="77777777" w:rsidR="00C81AF6" w:rsidRPr="00C81AF6" w:rsidRDefault="00C81AF6" w:rsidP="00C81AF6">
            <w:pPr>
              <w:ind w:firstLine="0"/>
              <w:contextualSpacing/>
              <w:jc w:val="left"/>
              <w:rPr>
                <w:bCs/>
              </w:rPr>
            </w:pPr>
            <w:proofErr w:type="spellStart"/>
            <w:r w:rsidRPr="00C81AF6">
              <w:rPr>
                <w:rFonts w:eastAsia="Palatino Linotype" w:cs="Palatino Linotype"/>
                <w:bCs/>
              </w:rPr>
              <w:t>Characteristic</w:t>
            </w:r>
            <w:proofErr w:type="spellEnd"/>
            <w:r w:rsidRPr="00C81AF6">
              <w:rPr>
                <w:rFonts w:eastAsia="Palatino Linotype" w:cs="Palatino Linotype"/>
                <w:bCs/>
              </w:rPr>
              <w:t xml:space="preserve"> </w:t>
            </w:r>
            <w:proofErr w:type="spellStart"/>
            <w:r w:rsidRPr="00C81AF6">
              <w:rPr>
                <w:rFonts w:eastAsia="Palatino Linotype" w:cs="Palatino Linotype"/>
                <w:bCs/>
              </w:rPr>
              <w:t>Features</w:t>
            </w:r>
            <w:proofErr w:type="spellEnd"/>
          </w:p>
        </w:tc>
        <w:tc>
          <w:tcPr>
            <w:tcW w:w="4018" w:type="dxa"/>
          </w:tcPr>
          <w:p w14:paraId="5437C1BF" w14:textId="77777777" w:rsidR="00C81AF6" w:rsidRPr="00C81AF6" w:rsidRDefault="00C81AF6" w:rsidP="00C81AF6">
            <w:pPr>
              <w:ind w:firstLine="0"/>
              <w:contextualSpacing/>
              <w:jc w:val="left"/>
              <w:rPr>
                <w:bCs/>
                <w:lang w:val="en-GB"/>
              </w:rPr>
            </w:pPr>
            <w:r w:rsidRPr="00C81AF6">
              <w:rPr>
                <w:bCs/>
                <w:lang w:val="en-GB"/>
              </w:rPr>
              <w:t xml:space="preserve">- </w:t>
            </w:r>
            <w:r w:rsidRPr="00C81AF6">
              <w:rPr>
                <w:rFonts w:eastAsia="Palatino Linotype" w:cs="Palatino Linotype"/>
                <w:bCs/>
                <w:lang w:val="en-GB"/>
              </w:rPr>
              <w:t>ambitious</w:t>
            </w:r>
          </w:p>
          <w:p w14:paraId="7A1095D9" w14:textId="77777777" w:rsidR="00C81AF6" w:rsidRPr="00C81AF6" w:rsidRDefault="00C81AF6" w:rsidP="00C81AF6">
            <w:pPr>
              <w:ind w:firstLine="0"/>
              <w:contextualSpacing/>
              <w:jc w:val="left"/>
              <w:rPr>
                <w:bCs/>
                <w:lang w:val="en-GB"/>
              </w:rPr>
            </w:pPr>
            <w:r w:rsidRPr="00C81AF6">
              <w:rPr>
                <w:bCs/>
                <w:lang w:val="en-GB"/>
              </w:rPr>
              <w:t xml:space="preserve">- </w:t>
            </w:r>
            <w:r w:rsidRPr="00C81AF6">
              <w:rPr>
                <w:rFonts w:eastAsia="Palatino Linotype" w:cs="Palatino Linotype"/>
                <w:bCs/>
                <w:lang w:val="en-GB"/>
              </w:rPr>
              <w:t>focused on their achievements</w:t>
            </w:r>
          </w:p>
          <w:p w14:paraId="6951A163" w14:textId="77777777" w:rsidR="00C81AF6" w:rsidRPr="00C81AF6" w:rsidRDefault="00C81AF6" w:rsidP="00C81AF6">
            <w:pPr>
              <w:ind w:firstLine="0"/>
              <w:contextualSpacing/>
              <w:jc w:val="left"/>
              <w:rPr>
                <w:bCs/>
                <w:lang w:val="en-GB"/>
              </w:rPr>
            </w:pPr>
            <w:r w:rsidRPr="00C81AF6">
              <w:rPr>
                <w:bCs/>
                <w:lang w:val="en-GB"/>
              </w:rPr>
              <w:t xml:space="preserve">- </w:t>
            </w:r>
            <w:r w:rsidRPr="00C81AF6">
              <w:rPr>
                <w:rFonts w:eastAsia="Palatino Linotype" w:cs="Palatino Linotype"/>
                <w:bCs/>
                <w:lang w:val="en-GB"/>
              </w:rPr>
              <w:t>socially conscious</w:t>
            </w:r>
          </w:p>
        </w:tc>
        <w:tc>
          <w:tcPr>
            <w:tcW w:w="3903" w:type="dxa"/>
          </w:tcPr>
          <w:p w14:paraId="7BA94108" w14:textId="77777777" w:rsidR="00C81AF6" w:rsidRPr="00C81AF6" w:rsidRDefault="00C81AF6" w:rsidP="00C81AF6">
            <w:pPr>
              <w:ind w:firstLine="0"/>
              <w:contextualSpacing/>
              <w:jc w:val="left"/>
              <w:rPr>
                <w:bCs/>
                <w:lang w:val="en-GB"/>
              </w:rPr>
            </w:pPr>
            <w:r w:rsidRPr="00C81AF6">
              <w:rPr>
                <w:bCs/>
                <w:lang w:val="en-GB"/>
              </w:rPr>
              <w:t xml:space="preserve">- </w:t>
            </w:r>
            <w:r w:rsidRPr="00C81AF6">
              <w:rPr>
                <w:rFonts w:eastAsia="Palatino Linotype" w:cs="Palatino Linotype"/>
                <w:bCs/>
                <w:lang w:val="en-GB"/>
              </w:rPr>
              <w:t>progressive</w:t>
            </w:r>
          </w:p>
          <w:p w14:paraId="2730C997" w14:textId="77777777" w:rsidR="00C81AF6" w:rsidRPr="00C81AF6" w:rsidRDefault="00C81AF6" w:rsidP="00C81AF6">
            <w:pPr>
              <w:ind w:firstLine="0"/>
              <w:contextualSpacing/>
              <w:jc w:val="left"/>
              <w:rPr>
                <w:bCs/>
                <w:lang w:val="en-GB"/>
              </w:rPr>
            </w:pPr>
            <w:r w:rsidRPr="00C81AF6">
              <w:rPr>
                <w:bCs/>
                <w:lang w:val="en-GB"/>
              </w:rPr>
              <w:t xml:space="preserve">- </w:t>
            </w:r>
            <w:r w:rsidRPr="00C81AF6">
              <w:rPr>
                <w:rFonts w:eastAsia="Palatino Linotype" w:cs="Palatino Linotype"/>
                <w:bCs/>
                <w:lang w:val="en-GB"/>
              </w:rPr>
              <w:t>entrepreneurial</w:t>
            </w:r>
          </w:p>
          <w:p w14:paraId="15B27F19" w14:textId="262B86AB" w:rsidR="00C81AF6" w:rsidRPr="00C81AF6" w:rsidRDefault="00C81AF6" w:rsidP="00C81AF6">
            <w:pPr>
              <w:ind w:firstLine="0"/>
              <w:contextualSpacing/>
              <w:jc w:val="left"/>
              <w:rPr>
                <w:bCs/>
                <w:lang w:val="en-GB"/>
              </w:rPr>
            </w:pPr>
            <w:r w:rsidRPr="00C81AF6">
              <w:rPr>
                <w:bCs/>
                <w:lang w:val="en-GB"/>
              </w:rPr>
              <w:t xml:space="preserve">- </w:t>
            </w:r>
            <w:r w:rsidRPr="00C81AF6">
              <w:rPr>
                <w:rFonts w:eastAsia="Palatino Linotype" w:cs="Palatino Linotype"/>
                <w:bCs/>
                <w:lang w:val="en-GB"/>
              </w:rPr>
              <w:t xml:space="preserve">less goal-oriented </w:t>
            </w:r>
            <w:r w:rsidR="00827E74">
              <w:rPr>
                <w:rFonts w:eastAsia="Palatino Linotype" w:cs="Palatino Linotype"/>
                <w:bCs/>
                <w:lang w:val="en-GB"/>
              </w:rPr>
              <w:br/>
            </w:r>
            <w:r w:rsidRPr="00C81AF6">
              <w:rPr>
                <w:rFonts w:eastAsia="Palatino Linotype" w:cs="Palatino Linotype"/>
                <w:bCs/>
                <w:lang w:val="en-GB"/>
              </w:rPr>
              <w:t>(compared to other generations)</w:t>
            </w:r>
          </w:p>
        </w:tc>
      </w:tr>
      <w:tr w:rsidR="00C81AF6" w:rsidRPr="00215C77" w14:paraId="4ADAFDD9" w14:textId="77777777" w:rsidTr="000A1721">
        <w:trPr>
          <w:trHeight w:val="2084"/>
          <w:jc w:val="right"/>
        </w:trPr>
        <w:tc>
          <w:tcPr>
            <w:tcW w:w="1652" w:type="dxa"/>
            <w:vAlign w:val="center"/>
          </w:tcPr>
          <w:p w14:paraId="74DBEA81" w14:textId="77777777" w:rsidR="00C81AF6" w:rsidRPr="00C81AF6" w:rsidRDefault="00C81AF6" w:rsidP="00C81AF6">
            <w:pPr>
              <w:ind w:firstLine="0"/>
              <w:contextualSpacing/>
              <w:jc w:val="left"/>
              <w:rPr>
                <w:bCs/>
              </w:rPr>
            </w:pPr>
            <w:proofErr w:type="spellStart"/>
            <w:r w:rsidRPr="00C81AF6">
              <w:rPr>
                <w:rFonts w:eastAsia="Palatino Linotype" w:cs="Palatino Linotype"/>
                <w:bCs/>
              </w:rPr>
              <w:t>Values</w:t>
            </w:r>
            <w:proofErr w:type="spellEnd"/>
            <w:r w:rsidRPr="00C81AF6">
              <w:rPr>
                <w:rFonts w:eastAsia="Palatino Linotype" w:cs="Palatino Linotype"/>
                <w:bCs/>
              </w:rPr>
              <w:t xml:space="preserve"> </w:t>
            </w:r>
            <w:proofErr w:type="spellStart"/>
            <w:r w:rsidRPr="00C81AF6">
              <w:rPr>
                <w:rFonts w:eastAsia="Palatino Linotype" w:cs="Palatino Linotype"/>
                <w:bCs/>
              </w:rPr>
              <w:t>Held</w:t>
            </w:r>
            <w:proofErr w:type="spellEnd"/>
          </w:p>
        </w:tc>
        <w:tc>
          <w:tcPr>
            <w:tcW w:w="4018" w:type="dxa"/>
          </w:tcPr>
          <w:p w14:paraId="33C04888" w14:textId="79175E74" w:rsidR="00C81AF6" w:rsidRPr="00C81AF6" w:rsidRDefault="00C81AF6" w:rsidP="00C81AF6">
            <w:pPr>
              <w:ind w:firstLine="0"/>
              <w:contextualSpacing/>
              <w:jc w:val="left"/>
              <w:rPr>
                <w:bCs/>
                <w:lang w:val="en-GB"/>
              </w:rPr>
            </w:pPr>
            <w:r w:rsidRPr="00C81AF6">
              <w:rPr>
                <w:bCs/>
                <w:lang w:val="en-GB"/>
              </w:rPr>
              <w:t xml:space="preserve">- </w:t>
            </w:r>
            <w:r w:rsidRPr="00C81AF6">
              <w:rPr>
                <w:rFonts w:eastAsia="Palatino Linotype" w:cs="Palatino Linotype"/>
                <w:bCs/>
                <w:lang w:val="en-GB"/>
              </w:rPr>
              <w:t>expect opportunities to use technology to</w:t>
            </w:r>
            <w:r w:rsidR="000A1721">
              <w:rPr>
                <w:rFonts w:eastAsia="Palatino Linotype" w:cs="Palatino Linotype"/>
                <w:bCs/>
                <w:lang w:val="en-GB"/>
              </w:rPr>
              <w:t> </w:t>
            </w:r>
            <w:r w:rsidRPr="00C81AF6">
              <w:rPr>
                <w:rFonts w:eastAsia="Palatino Linotype" w:cs="Palatino Linotype"/>
                <w:bCs/>
                <w:lang w:val="en-GB"/>
              </w:rPr>
              <w:t>facilitate work and increase efficiency</w:t>
            </w:r>
          </w:p>
          <w:p w14:paraId="72AB5202" w14:textId="77777777" w:rsidR="00C81AF6" w:rsidRPr="00C81AF6" w:rsidRDefault="00C81AF6" w:rsidP="00C81AF6">
            <w:pPr>
              <w:ind w:firstLine="0"/>
              <w:contextualSpacing/>
              <w:jc w:val="left"/>
              <w:rPr>
                <w:bCs/>
                <w:lang w:val="en-GB"/>
              </w:rPr>
            </w:pPr>
            <w:r w:rsidRPr="00C81AF6">
              <w:rPr>
                <w:bCs/>
                <w:lang w:val="en-GB"/>
              </w:rPr>
              <w:t xml:space="preserve">- </w:t>
            </w:r>
            <w:r w:rsidRPr="00C81AF6">
              <w:rPr>
                <w:rFonts w:eastAsia="Palatino Linotype" w:cs="Palatino Linotype"/>
                <w:bCs/>
                <w:lang w:val="en-GB"/>
              </w:rPr>
              <w:t>seek jobs that allow them to apply their creative skills</w:t>
            </w:r>
          </w:p>
          <w:p w14:paraId="3176174E" w14:textId="77777777" w:rsidR="00C81AF6" w:rsidRPr="00C81AF6" w:rsidRDefault="00C81AF6" w:rsidP="00C81AF6">
            <w:pPr>
              <w:ind w:firstLine="0"/>
              <w:contextualSpacing/>
              <w:jc w:val="left"/>
              <w:rPr>
                <w:bCs/>
                <w:lang w:val="en-GB"/>
              </w:rPr>
            </w:pPr>
            <w:r w:rsidRPr="00C81AF6">
              <w:rPr>
                <w:bCs/>
                <w:lang w:val="en-GB"/>
              </w:rPr>
              <w:t xml:space="preserve">- </w:t>
            </w:r>
            <w:r w:rsidRPr="00C81AF6">
              <w:rPr>
                <w:rFonts w:eastAsia="Palatino Linotype" w:cs="Palatino Linotype"/>
                <w:bCs/>
                <w:lang w:val="en-GB"/>
              </w:rPr>
              <w:t>expect work that enables personal and professional development</w:t>
            </w:r>
            <w:r w:rsidRPr="00C81AF6">
              <w:rPr>
                <w:bCs/>
                <w:lang w:val="en-GB"/>
              </w:rPr>
              <w:t xml:space="preserve"> </w:t>
            </w:r>
          </w:p>
        </w:tc>
        <w:tc>
          <w:tcPr>
            <w:tcW w:w="3903" w:type="dxa"/>
          </w:tcPr>
          <w:p w14:paraId="1A68D97D" w14:textId="77777777" w:rsidR="00C81AF6" w:rsidRPr="00C81AF6" w:rsidRDefault="00C81AF6" w:rsidP="00C81AF6">
            <w:pPr>
              <w:ind w:firstLine="0"/>
              <w:contextualSpacing/>
              <w:jc w:val="left"/>
              <w:rPr>
                <w:bCs/>
                <w:lang w:val="en-GB"/>
              </w:rPr>
            </w:pPr>
            <w:r w:rsidRPr="00C81AF6">
              <w:rPr>
                <w:bCs/>
                <w:lang w:val="en-GB"/>
              </w:rPr>
              <w:t xml:space="preserve">- </w:t>
            </w:r>
            <w:r w:rsidRPr="00C81AF6">
              <w:rPr>
                <w:rFonts w:eastAsia="Palatino Linotype" w:cs="Palatino Linotype"/>
                <w:bCs/>
                <w:lang w:val="en-GB"/>
              </w:rPr>
              <w:t>expect honesty and authenticity</w:t>
            </w:r>
          </w:p>
          <w:p w14:paraId="436C5532" w14:textId="77777777" w:rsidR="00C81AF6" w:rsidRPr="00C81AF6" w:rsidRDefault="00C81AF6" w:rsidP="00C81AF6">
            <w:pPr>
              <w:ind w:firstLine="0"/>
              <w:contextualSpacing/>
              <w:jc w:val="left"/>
              <w:rPr>
                <w:bCs/>
                <w:lang w:val="en-GB"/>
              </w:rPr>
            </w:pPr>
            <w:r w:rsidRPr="00C81AF6">
              <w:rPr>
                <w:bCs/>
                <w:lang w:val="en-GB"/>
              </w:rPr>
              <w:t>-</w:t>
            </w:r>
            <w:r w:rsidRPr="00C81AF6">
              <w:rPr>
                <w:rFonts w:eastAsia="Palatino Linotype" w:cs="Palatino Linotype"/>
                <w:bCs/>
                <w:lang w:val="en-GB"/>
              </w:rPr>
              <w:t xml:space="preserve"> value connection and communication between coworkers as well as between employer and employee</w:t>
            </w:r>
          </w:p>
          <w:p w14:paraId="2E0D2F44" w14:textId="77777777" w:rsidR="00C81AF6" w:rsidRPr="00C81AF6" w:rsidRDefault="00C81AF6" w:rsidP="00C81AF6">
            <w:pPr>
              <w:ind w:firstLine="0"/>
              <w:contextualSpacing/>
              <w:jc w:val="left"/>
              <w:rPr>
                <w:bCs/>
                <w:lang w:val="en-GB"/>
              </w:rPr>
            </w:pPr>
            <w:r w:rsidRPr="00C81AF6">
              <w:rPr>
                <w:bCs/>
                <w:lang w:val="en-GB"/>
              </w:rPr>
              <w:t xml:space="preserve">- </w:t>
            </w:r>
            <w:r w:rsidRPr="00C81AF6">
              <w:rPr>
                <w:rFonts w:eastAsia="Palatino Linotype" w:cs="Palatino Linotype"/>
                <w:bCs/>
                <w:lang w:val="en-GB"/>
              </w:rPr>
              <w:t>appreciate interpersonal interactions, but due to growing up in the digital era, they often struggle to build relationships in person</w:t>
            </w:r>
          </w:p>
        </w:tc>
      </w:tr>
      <w:tr w:rsidR="00C81AF6" w:rsidRPr="00A4189F" w14:paraId="3D16AF5B" w14:textId="77777777" w:rsidTr="000A1721">
        <w:trPr>
          <w:trHeight w:val="1316"/>
          <w:jc w:val="right"/>
        </w:trPr>
        <w:tc>
          <w:tcPr>
            <w:tcW w:w="1652" w:type="dxa"/>
            <w:vAlign w:val="center"/>
          </w:tcPr>
          <w:p w14:paraId="4E4945DF" w14:textId="172773EC" w:rsidR="00C81AF6" w:rsidRPr="00C81AF6" w:rsidRDefault="00C81AF6" w:rsidP="00C81AF6">
            <w:pPr>
              <w:ind w:firstLine="0"/>
              <w:contextualSpacing/>
              <w:jc w:val="left"/>
              <w:rPr>
                <w:bCs/>
              </w:rPr>
            </w:pPr>
            <w:proofErr w:type="spellStart"/>
            <w:r w:rsidRPr="00C81AF6">
              <w:rPr>
                <w:rFonts w:eastAsia="Palatino Linotype" w:cs="Palatino Linotype"/>
                <w:bCs/>
              </w:rPr>
              <w:t>Approach</w:t>
            </w:r>
            <w:proofErr w:type="spellEnd"/>
            <w:r w:rsidRPr="00C81AF6">
              <w:rPr>
                <w:rFonts w:eastAsia="Palatino Linotype" w:cs="Palatino Linotype"/>
                <w:bCs/>
              </w:rPr>
              <w:t xml:space="preserve"> to</w:t>
            </w:r>
            <w:r w:rsidR="00827E74">
              <w:rPr>
                <w:rFonts w:eastAsia="Palatino Linotype" w:cs="Palatino Linotype"/>
                <w:bCs/>
              </w:rPr>
              <w:t> </w:t>
            </w:r>
            <w:proofErr w:type="spellStart"/>
            <w:r w:rsidRPr="00C81AF6">
              <w:rPr>
                <w:rFonts w:eastAsia="Palatino Linotype" w:cs="Palatino Linotype"/>
                <w:bCs/>
              </w:rPr>
              <w:t>Work</w:t>
            </w:r>
            <w:proofErr w:type="spellEnd"/>
            <w:r w:rsidRPr="00C81AF6">
              <w:rPr>
                <w:bCs/>
              </w:rPr>
              <w:t xml:space="preserve"> </w:t>
            </w:r>
          </w:p>
        </w:tc>
        <w:tc>
          <w:tcPr>
            <w:tcW w:w="4018" w:type="dxa"/>
          </w:tcPr>
          <w:p w14:paraId="6C0A6642" w14:textId="77777777" w:rsidR="00C81AF6" w:rsidRPr="00C81AF6" w:rsidRDefault="00C81AF6" w:rsidP="00C81AF6">
            <w:pPr>
              <w:ind w:firstLine="0"/>
              <w:contextualSpacing/>
              <w:jc w:val="left"/>
              <w:rPr>
                <w:bCs/>
                <w:lang w:val="en-GB"/>
              </w:rPr>
            </w:pPr>
            <w:r w:rsidRPr="00C81AF6">
              <w:rPr>
                <w:bCs/>
                <w:lang w:val="en-GB"/>
              </w:rPr>
              <w:t xml:space="preserve">- </w:t>
            </w:r>
            <w:r w:rsidRPr="00C81AF6">
              <w:rPr>
                <w:rFonts w:eastAsia="Palatino Linotype" w:cs="Palatino Linotype"/>
                <w:bCs/>
                <w:lang w:val="en-GB"/>
              </w:rPr>
              <w:t>eager to learn new things</w:t>
            </w:r>
          </w:p>
          <w:p w14:paraId="6601E18B" w14:textId="77777777" w:rsidR="00C81AF6" w:rsidRPr="00C81AF6" w:rsidRDefault="00C81AF6" w:rsidP="00C81AF6">
            <w:pPr>
              <w:ind w:firstLine="0"/>
              <w:contextualSpacing/>
              <w:jc w:val="left"/>
              <w:rPr>
                <w:bCs/>
                <w:lang w:val="en-GB"/>
              </w:rPr>
            </w:pPr>
            <w:r w:rsidRPr="00C81AF6">
              <w:rPr>
                <w:bCs/>
                <w:lang w:val="en-GB"/>
              </w:rPr>
              <w:t xml:space="preserve">- </w:t>
            </w:r>
            <w:r w:rsidRPr="00C81AF6">
              <w:rPr>
                <w:rFonts w:eastAsia="Palatino Linotype" w:cs="Palatino Linotype"/>
                <w:bCs/>
                <w:lang w:val="en-GB"/>
              </w:rPr>
              <w:t>expect mentoring to achieve a permanent position in the company</w:t>
            </w:r>
          </w:p>
          <w:p w14:paraId="71367D2A" w14:textId="77777777" w:rsidR="00C81AF6" w:rsidRPr="00C81AF6" w:rsidRDefault="00C81AF6" w:rsidP="00C81AF6">
            <w:pPr>
              <w:ind w:firstLine="0"/>
              <w:contextualSpacing/>
              <w:jc w:val="left"/>
              <w:rPr>
                <w:bCs/>
                <w:lang w:val="en-GB"/>
              </w:rPr>
            </w:pPr>
            <w:r w:rsidRPr="00C81AF6">
              <w:rPr>
                <w:bCs/>
                <w:lang w:val="en-GB"/>
              </w:rPr>
              <w:t xml:space="preserve">- </w:t>
            </w:r>
            <w:r w:rsidRPr="00C81AF6">
              <w:rPr>
                <w:rFonts w:eastAsia="Palatino Linotype" w:cs="Palatino Linotype"/>
                <w:bCs/>
                <w:lang w:val="en-GB"/>
              </w:rPr>
              <w:t>focused on personal development</w:t>
            </w:r>
          </w:p>
        </w:tc>
        <w:tc>
          <w:tcPr>
            <w:tcW w:w="3903" w:type="dxa"/>
          </w:tcPr>
          <w:p w14:paraId="526CB522" w14:textId="77777777" w:rsidR="00C81AF6" w:rsidRPr="00C81AF6" w:rsidRDefault="00C81AF6" w:rsidP="00C81AF6">
            <w:pPr>
              <w:ind w:firstLine="0"/>
              <w:contextualSpacing/>
              <w:jc w:val="left"/>
              <w:rPr>
                <w:bCs/>
                <w:lang w:val="en-GB"/>
              </w:rPr>
            </w:pPr>
            <w:r w:rsidRPr="00C81AF6">
              <w:rPr>
                <w:bCs/>
                <w:lang w:val="en-GB"/>
              </w:rPr>
              <w:t xml:space="preserve">- </w:t>
            </w:r>
            <w:r w:rsidRPr="00C81AF6">
              <w:rPr>
                <w:rFonts w:eastAsia="Palatino Linotype" w:cs="Palatino Linotype"/>
                <w:bCs/>
                <w:lang w:val="en-GB"/>
              </w:rPr>
              <w:t>expect flexibility in the workplace</w:t>
            </w:r>
          </w:p>
          <w:p w14:paraId="2F6DC360" w14:textId="77777777" w:rsidR="00C81AF6" w:rsidRPr="00C81AF6" w:rsidRDefault="00C81AF6" w:rsidP="00C81AF6">
            <w:pPr>
              <w:ind w:firstLine="0"/>
              <w:contextualSpacing/>
              <w:jc w:val="left"/>
              <w:rPr>
                <w:bCs/>
                <w:lang w:val="en-GB"/>
              </w:rPr>
            </w:pPr>
            <w:r w:rsidRPr="00C81AF6">
              <w:rPr>
                <w:bCs/>
                <w:lang w:val="en-GB"/>
              </w:rPr>
              <w:t xml:space="preserve">- </w:t>
            </w:r>
            <w:r w:rsidRPr="00C81AF6">
              <w:rPr>
                <w:rFonts w:eastAsia="Palatino Linotype" w:cs="Palatino Linotype"/>
                <w:bCs/>
                <w:lang w:val="en-GB"/>
              </w:rPr>
              <w:t>curious about new solutions</w:t>
            </w:r>
          </w:p>
          <w:p w14:paraId="20ED148A" w14:textId="77777777" w:rsidR="00C81AF6" w:rsidRPr="00C81AF6" w:rsidRDefault="00C81AF6" w:rsidP="00C81AF6">
            <w:pPr>
              <w:ind w:firstLine="0"/>
              <w:contextualSpacing/>
              <w:jc w:val="left"/>
              <w:rPr>
                <w:bCs/>
                <w:lang w:val="en-GB"/>
              </w:rPr>
            </w:pPr>
            <w:r w:rsidRPr="00C81AF6">
              <w:rPr>
                <w:bCs/>
                <w:lang w:val="en-GB"/>
              </w:rPr>
              <w:t xml:space="preserve">- </w:t>
            </w:r>
            <w:r w:rsidRPr="00C81AF6">
              <w:rPr>
                <w:rFonts w:eastAsia="Palatino Linotype" w:cs="Palatino Linotype"/>
                <w:bCs/>
                <w:lang w:val="en-GB"/>
              </w:rPr>
              <w:t>willing to work in multiple positions to find the right career path and role</w:t>
            </w:r>
          </w:p>
          <w:p w14:paraId="4239C3BB" w14:textId="77777777" w:rsidR="00C81AF6" w:rsidRPr="00C81AF6" w:rsidRDefault="00C81AF6" w:rsidP="00C81AF6">
            <w:pPr>
              <w:ind w:firstLine="0"/>
              <w:contextualSpacing/>
              <w:jc w:val="left"/>
              <w:rPr>
                <w:bCs/>
                <w:lang w:val="en-GB"/>
              </w:rPr>
            </w:pPr>
            <w:r w:rsidRPr="00C81AF6">
              <w:rPr>
                <w:bCs/>
                <w:lang w:val="en-GB"/>
              </w:rPr>
              <w:t xml:space="preserve">- </w:t>
            </w:r>
            <w:r w:rsidRPr="00C81AF6">
              <w:rPr>
                <w:rFonts w:eastAsia="Palatino Linotype" w:cs="Palatino Linotype"/>
                <w:bCs/>
                <w:lang w:val="en-GB"/>
              </w:rPr>
              <w:t>offer unconventional solutions</w:t>
            </w:r>
          </w:p>
        </w:tc>
      </w:tr>
      <w:tr w:rsidR="00C81AF6" w:rsidRPr="00215C77" w14:paraId="71246642" w14:textId="77777777" w:rsidTr="000A1721">
        <w:trPr>
          <w:trHeight w:val="1150"/>
          <w:jc w:val="right"/>
        </w:trPr>
        <w:tc>
          <w:tcPr>
            <w:tcW w:w="1652" w:type="dxa"/>
            <w:vAlign w:val="center"/>
          </w:tcPr>
          <w:p w14:paraId="2A520868" w14:textId="5F96E2EC" w:rsidR="00C81AF6" w:rsidRPr="00C81AF6" w:rsidRDefault="00C81AF6" w:rsidP="00C81AF6">
            <w:pPr>
              <w:ind w:firstLine="0"/>
              <w:contextualSpacing/>
              <w:jc w:val="left"/>
              <w:rPr>
                <w:rFonts w:eastAsia="Palatino Linotype" w:cs="Palatino Linotype"/>
                <w:bCs/>
              </w:rPr>
            </w:pPr>
            <w:proofErr w:type="spellStart"/>
            <w:r w:rsidRPr="00C81AF6">
              <w:rPr>
                <w:rFonts w:eastAsia="Palatino Linotype" w:cs="Palatino Linotype"/>
                <w:bCs/>
              </w:rPr>
              <w:t>Expectations</w:t>
            </w:r>
            <w:proofErr w:type="spellEnd"/>
            <w:r w:rsidRPr="00C81AF6">
              <w:rPr>
                <w:rFonts w:eastAsia="Palatino Linotype" w:cs="Palatino Linotype"/>
                <w:bCs/>
              </w:rPr>
              <w:t xml:space="preserve"> </w:t>
            </w:r>
            <w:proofErr w:type="spellStart"/>
            <w:r w:rsidRPr="00C81AF6">
              <w:rPr>
                <w:rFonts w:eastAsia="Palatino Linotype" w:cs="Palatino Linotype"/>
                <w:bCs/>
              </w:rPr>
              <w:t>Toward</w:t>
            </w:r>
            <w:proofErr w:type="spellEnd"/>
            <w:r w:rsidRPr="00C81AF6">
              <w:rPr>
                <w:rFonts w:eastAsia="Palatino Linotype" w:cs="Palatino Linotype"/>
                <w:bCs/>
              </w:rPr>
              <w:t xml:space="preserve"> </w:t>
            </w:r>
            <w:r w:rsidR="00827E74">
              <w:rPr>
                <w:rFonts w:eastAsia="Palatino Linotype" w:cs="Palatino Linotype"/>
                <w:bCs/>
              </w:rPr>
              <w:br/>
            </w:r>
            <w:r w:rsidRPr="00C81AF6">
              <w:rPr>
                <w:rFonts w:eastAsia="Palatino Linotype" w:cs="Palatino Linotype"/>
                <w:bCs/>
              </w:rPr>
              <w:t xml:space="preserve">the </w:t>
            </w:r>
            <w:proofErr w:type="spellStart"/>
            <w:r w:rsidRPr="00C81AF6">
              <w:rPr>
                <w:rFonts w:eastAsia="Palatino Linotype" w:cs="Palatino Linotype"/>
                <w:bCs/>
              </w:rPr>
              <w:t>Employer</w:t>
            </w:r>
            <w:proofErr w:type="spellEnd"/>
          </w:p>
        </w:tc>
        <w:tc>
          <w:tcPr>
            <w:tcW w:w="4018" w:type="dxa"/>
          </w:tcPr>
          <w:p w14:paraId="28194929" w14:textId="6EDA21F7" w:rsidR="00C81AF6" w:rsidRPr="00C81AF6" w:rsidRDefault="00C81AF6" w:rsidP="00C81AF6">
            <w:pPr>
              <w:ind w:firstLine="0"/>
              <w:contextualSpacing/>
              <w:jc w:val="left"/>
              <w:rPr>
                <w:bCs/>
                <w:lang w:val="en-GB"/>
              </w:rPr>
            </w:pPr>
            <w:r w:rsidRPr="00C81AF6">
              <w:rPr>
                <w:bCs/>
                <w:lang w:val="en-GB"/>
              </w:rPr>
              <w:t xml:space="preserve">- </w:t>
            </w:r>
            <w:r w:rsidRPr="00C81AF6">
              <w:rPr>
                <w:rFonts w:eastAsia="Palatino Linotype" w:cs="Palatino Linotype"/>
                <w:bCs/>
                <w:lang w:val="en-GB"/>
              </w:rPr>
              <w:t>the employer should act as a mentor</w:t>
            </w:r>
          </w:p>
          <w:p w14:paraId="6D187964" w14:textId="77777777" w:rsidR="00C81AF6" w:rsidRPr="00C81AF6" w:rsidRDefault="00C81AF6" w:rsidP="00C81AF6">
            <w:pPr>
              <w:ind w:firstLine="0"/>
              <w:contextualSpacing/>
              <w:jc w:val="left"/>
              <w:rPr>
                <w:bCs/>
                <w:lang w:val="en-GB"/>
              </w:rPr>
            </w:pPr>
            <w:r w:rsidRPr="00C81AF6">
              <w:rPr>
                <w:bCs/>
                <w:lang w:val="en-GB"/>
              </w:rPr>
              <w:t xml:space="preserve">- </w:t>
            </w:r>
            <w:r w:rsidRPr="00C81AF6">
              <w:rPr>
                <w:rFonts w:eastAsia="Palatino Linotype" w:cs="Palatino Linotype"/>
                <w:bCs/>
                <w:lang w:val="en-GB"/>
              </w:rPr>
              <w:t>the employer should be flexible regarding scheduling</w:t>
            </w:r>
          </w:p>
          <w:p w14:paraId="5EF5E6D0" w14:textId="77777777" w:rsidR="00C81AF6" w:rsidRPr="00C81AF6" w:rsidRDefault="00C81AF6" w:rsidP="00C81AF6">
            <w:pPr>
              <w:ind w:firstLine="0"/>
              <w:contextualSpacing/>
              <w:jc w:val="left"/>
              <w:rPr>
                <w:bCs/>
                <w:lang w:val="en-GB"/>
              </w:rPr>
            </w:pPr>
            <w:r w:rsidRPr="00C81AF6">
              <w:rPr>
                <w:bCs/>
                <w:lang w:val="en-GB"/>
              </w:rPr>
              <w:t xml:space="preserve">- </w:t>
            </w:r>
            <w:r w:rsidRPr="00C81AF6">
              <w:rPr>
                <w:rFonts w:eastAsia="Palatino Linotype" w:cs="Palatino Linotype"/>
                <w:bCs/>
                <w:lang w:val="en-GB"/>
              </w:rPr>
              <w:t>the employer should provide immediate feedback</w:t>
            </w:r>
          </w:p>
        </w:tc>
        <w:tc>
          <w:tcPr>
            <w:tcW w:w="3903" w:type="dxa"/>
          </w:tcPr>
          <w:p w14:paraId="1AA4B293" w14:textId="7B663E2A" w:rsidR="00C81AF6" w:rsidRPr="00C81AF6" w:rsidRDefault="00C81AF6" w:rsidP="00C81AF6">
            <w:pPr>
              <w:ind w:firstLine="0"/>
              <w:contextualSpacing/>
              <w:jc w:val="left"/>
              <w:rPr>
                <w:bCs/>
                <w:lang w:val="en-GB"/>
              </w:rPr>
            </w:pPr>
            <w:r w:rsidRPr="00C81AF6">
              <w:rPr>
                <w:bCs/>
                <w:lang w:val="en-GB"/>
              </w:rPr>
              <w:t xml:space="preserve">- </w:t>
            </w:r>
            <w:r w:rsidRPr="00C81AF6">
              <w:rPr>
                <w:rFonts w:eastAsia="Palatino Linotype" w:cs="Palatino Linotype"/>
                <w:bCs/>
                <w:lang w:val="en-GB"/>
              </w:rPr>
              <w:t>the employer should allow independence and</w:t>
            </w:r>
            <w:r w:rsidR="0015238F">
              <w:rPr>
                <w:rFonts w:eastAsia="Palatino Linotype" w:cs="Palatino Linotype"/>
                <w:bCs/>
                <w:lang w:val="en-GB"/>
              </w:rPr>
              <w:t> </w:t>
            </w:r>
            <w:r w:rsidRPr="00C81AF6">
              <w:rPr>
                <w:rFonts w:eastAsia="Palatino Linotype" w:cs="Palatino Linotype"/>
                <w:bCs/>
                <w:lang w:val="en-GB"/>
              </w:rPr>
              <w:t>autonomy</w:t>
            </w:r>
          </w:p>
          <w:p w14:paraId="3B63724A" w14:textId="77777777" w:rsidR="00C81AF6" w:rsidRPr="00C81AF6" w:rsidRDefault="00C81AF6" w:rsidP="00C81AF6">
            <w:pPr>
              <w:ind w:firstLine="0"/>
              <w:contextualSpacing/>
              <w:jc w:val="left"/>
              <w:rPr>
                <w:bCs/>
                <w:lang w:val="en-GB"/>
              </w:rPr>
            </w:pPr>
            <w:r w:rsidRPr="00C81AF6">
              <w:rPr>
                <w:bCs/>
                <w:lang w:val="en-GB"/>
              </w:rPr>
              <w:t xml:space="preserve">- </w:t>
            </w:r>
            <w:r w:rsidRPr="00C81AF6">
              <w:rPr>
                <w:rFonts w:eastAsia="Palatino Linotype" w:cs="Palatino Linotype"/>
                <w:bCs/>
                <w:lang w:val="en-GB"/>
              </w:rPr>
              <w:t>the employer should ensure a balance between personal and professional life</w:t>
            </w:r>
          </w:p>
        </w:tc>
      </w:tr>
      <w:tr w:rsidR="00C81AF6" w:rsidRPr="00A4189F" w14:paraId="5BAA0782" w14:textId="77777777" w:rsidTr="000A1721">
        <w:trPr>
          <w:trHeight w:val="1302"/>
          <w:jc w:val="right"/>
        </w:trPr>
        <w:tc>
          <w:tcPr>
            <w:tcW w:w="1652" w:type="dxa"/>
            <w:vAlign w:val="center"/>
          </w:tcPr>
          <w:p w14:paraId="1C73E8F7" w14:textId="3A8C6ECC" w:rsidR="00C81AF6" w:rsidRPr="00C81AF6" w:rsidRDefault="00C81AF6" w:rsidP="00C81AF6">
            <w:pPr>
              <w:ind w:firstLine="0"/>
              <w:contextualSpacing/>
              <w:jc w:val="left"/>
              <w:rPr>
                <w:rFonts w:eastAsia="Palatino Linotype" w:cs="Palatino Linotype"/>
                <w:bCs/>
              </w:rPr>
            </w:pPr>
            <w:proofErr w:type="spellStart"/>
            <w:r w:rsidRPr="00C81AF6">
              <w:rPr>
                <w:rFonts w:eastAsia="Palatino Linotype" w:cs="Palatino Linotype"/>
                <w:bCs/>
              </w:rPr>
              <w:t>Motivating</w:t>
            </w:r>
            <w:proofErr w:type="spellEnd"/>
            <w:r w:rsidRPr="00C81AF6">
              <w:rPr>
                <w:rFonts w:eastAsia="Palatino Linotype" w:cs="Palatino Linotype"/>
                <w:bCs/>
              </w:rPr>
              <w:t xml:space="preserve"> </w:t>
            </w:r>
            <w:r w:rsidR="00827E74">
              <w:rPr>
                <w:rFonts w:eastAsia="Palatino Linotype" w:cs="Palatino Linotype"/>
                <w:bCs/>
              </w:rPr>
              <w:br/>
            </w:r>
            <w:proofErr w:type="spellStart"/>
            <w:r w:rsidRPr="00C81AF6">
              <w:rPr>
                <w:rFonts w:eastAsia="Palatino Linotype" w:cs="Palatino Linotype"/>
                <w:bCs/>
              </w:rPr>
              <w:t>Factors</w:t>
            </w:r>
            <w:proofErr w:type="spellEnd"/>
            <w:r w:rsidRPr="00C81AF6">
              <w:rPr>
                <w:rFonts w:eastAsia="Palatino Linotype" w:cs="Palatino Linotype"/>
                <w:bCs/>
              </w:rPr>
              <w:t xml:space="preserve"> </w:t>
            </w:r>
            <w:proofErr w:type="spellStart"/>
            <w:r w:rsidRPr="00C81AF6">
              <w:rPr>
                <w:rFonts w:eastAsia="Palatino Linotype" w:cs="Palatino Linotype"/>
                <w:bCs/>
              </w:rPr>
              <w:t>at</w:t>
            </w:r>
            <w:proofErr w:type="spellEnd"/>
            <w:r w:rsidRPr="00C81AF6">
              <w:rPr>
                <w:rFonts w:eastAsia="Palatino Linotype" w:cs="Palatino Linotype"/>
                <w:bCs/>
              </w:rPr>
              <w:t xml:space="preserve"> </w:t>
            </w:r>
            <w:proofErr w:type="spellStart"/>
            <w:r w:rsidRPr="00C81AF6">
              <w:rPr>
                <w:rFonts w:eastAsia="Palatino Linotype" w:cs="Palatino Linotype"/>
                <w:bCs/>
              </w:rPr>
              <w:t>Work</w:t>
            </w:r>
            <w:proofErr w:type="spellEnd"/>
          </w:p>
        </w:tc>
        <w:tc>
          <w:tcPr>
            <w:tcW w:w="4018" w:type="dxa"/>
          </w:tcPr>
          <w:p w14:paraId="25BD104B" w14:textId="77777777" w:rsidR="00C81AF6" w:rsidRPr="00C81AF6" w:rsidRDefault="00C81AF6" w:rsidP="00C81AF6">
            <w:pPr>
              <w:ind w:firstLine="0"/>
              <w:contextualSpacing/>
              <w:jc w:val="left"/>
              <w:rPr>
                <w:bCs/>
                <w:lang w:val="en-GB"/>
              </w:rPr>
            </w:pPr>
            <w:r w:rsidRPr="00C81AF6">
              <w:rPr>
                <w:bCs/>
                <w:lang w:val="en-GB"/>
              </w:rPr>
              <w:t xml:space="preserve">- </w:t>
            </w:r>
            <w:r w:rsidRPr="00C81AF6">
              <w:rPr>
                <w:rFonts w:eastAsia="Palatino Linotype" w:cs="Palatino Linotype"/>
                <w:bCs/>
                <w:lang w:val="en-GB"/>
              </w:rPr>
              <w:t>responsibility, diligence</w:t>
            </w:r>
          </w:p>
          <w:p w14:paraId="6126C870" w14:textId="77777777" w:rsidR="00C81AF6" w:rsidRPr="00C81AF6" w:rsidRDefault="00C81AF6" w:rsidP="00C81AF6">
            <w:pPr>
              <w:ind w:firstLine="0"/>
              <w:contextualSpacing/>
              <w:jc w:val="left"/>
              <w:rPr>
                <w:bCs/>
                <w:lang w:val="en-GB"/>
              </w:rPr>
            </w:pPr>
            <w:r w:rsidRPr="00C81AF6">
              <w:rPr>
                <w:bCs/>
                <w:lang w:val="en-GB"/>
              </w:rPr>
              <w:t xml:space="preserve">- </w:t>
            </w:r>
            <w:r w:rsidRPr="00C81AF6">
              <w:rPr>
                <w:rFonts w:eastAsia="Palatino Linotype" w:cs="Palatino Linotype"/>
                <w:bCs/>
                <w:lang w:val="en-GB"/>
              </w:rPr>
              <w:t>need for guidance from a supervisor (e.g., manager)</w:t>
            </w:r>
          </w:p>
          <w:p w14:paraId="27E45D8F" w14:textId="1ABB68AF" w:rsidR="00C81AF6" w:rsidRPr="00C81AF6" w:rsidRDefault="00C81AF6" w:rsidP="00C81AF6">
            <w:pPr>
              <w:ind w:firstLine="0"/>
              <w:contextualSpacing/>
              <w:jc w:val="left"/>
              <w:rPr>
                <w:bCs/>
                <w:lang w:val="en-GB"/>
              </w:rPr>
            </w:pPr>
            <w:r w:rsidRPr="00C81AF6">
              <w:rPr>
                <w:bCs/>
                <w:lang w:val="en-GB"/>
              </w:rPr>
              <w:t xml:space="preserve">- </w:t>
            </w:r>
            <w:r w:rsidRPr="00C81AF6">
              <w:rPr>
                <w:rFonts w:eastAsia="Palatino Linotype" w:cs="Palatino Linotype"/>
                <w:bCs/>
                <w:lang w:val="en-GB"/>
              </w:rPr>
              <w:t>focus on personal development and interests rather than the company</w:t>
            </w:r>
            <w:r w:rsidR="00191A53">
              <w:rPr>
                <w:rFonts w:eastAsia="Palatino Linotype" w:cs="Palatino Linotype"/>
                <w:bCs/>
                <w:lang w:val="en-GB"/>
              </w:rPr>
              <w:t>'</w:t>
            </w:r>
            <w:r w:rsidRPr="00C81AF6">
              <w:rPr>
                <w:rFonts w:eastAsia="Palatino Linotype" w:cs="Palatino Linotype"/>
                <w:bCs/>
                <w:lang w:val="en-GB"/>
              </w:rPr>
              <w:t>s interests</w:t>
            </w:r>
          </w:p>
        </w:tc>
        <w:tc>
          <w:tcPr>
            <w:tcW w:w="3903" w:type="dxa"/>
          </w:tcPr>
          <w:p w14:paraId="7EE60DDD" w14:textId="77777777" w:rsidR="00C81AF6" w:rsidRPr="00C81AF6" w:rsidRDefault="00C81AF6" w:rsidP="00C81AF6">
            <w:pPr>
              <w:ind w:firstLine="0"/>
              <w:contextualSpacing/>
              <w:jc w:val="left"/>
              <w:rPr>
                <w:bCs/>
                <w:lang w:val="en-GB"/>
              </w:rPr>
            </w:pPr>
            <w:r w:rsidRPr="00C81AF6">
              <w:rPr>
                <w:bCs/>
                <w:lang w:val="en-GB"/>
              </w:rPr>
              <w:t xml:space="preserve">- </w:t>
            </w:r>
            <w:r w:rsidRPr="00C81AF6">
              <w:rPr>
                <w:rFonts w:eastAsia="Palatino Linotype" w:cs="Palatino Linotype"/>
                <w:bCs/>
                <w:lang w:val="en-GB"/>
              </w:rPr>
              <w:t>individuality</w:t>
            </w:r>
          </w:p>
          <w:p w14:paraId="5AAECC19" w14:textId="77777777" w:rsidR="00C81AF6" w:rsidRPr="00C81AF6" w:rsidRDefault="00C81AF6" w:rsidP="00C81AF6">
            <w:pPr>
              <w:ind w:firstLine="0"/>
              <w:contextualSpacing/>
              <w:jc w:val="left"/>
              <w:rPr>
                <w:bCs/>
                <w:lang w:val="en-GB"/>
              </w:rPr>
            </w:pPr>
            <w:r w:rsidRPr="00C81AF6">
              <w:rPr>
                <w:bCs/>
                <w:lang w:val="en-GB"/>
              </w:rPr>
              <w:t xml:space="preserve">- </w:t>
            </w:r>
            <w:r w:rsidRPr="00C81AF6">
              <w:rPr>
                <w:rFonts w:eastAsia="Palatino Linotype" w:cs="Palatino Linotype"/>
                <w:bCs/>
                <w:lang w:val="en-GB"/>
              </w:rPr>
              <w:t>creativity</w:t>
            </w:r>
          </w:p>
          <w:p w14:paraId="7ED8BBD0" w14:textId="77777777" w:rsidR="00C81AF6" w:rsidRPr="00C81AF6" w:rsidRDefault="00C81AF6" w:rsidP="00C81AF6">
            <w:pPr>
              <w:ind w:firstLine="0"/>
              <w:contextualSpacing/>
              <w:jc w:val="left"/>
              <w:rPr>
                <w:bCs/>
                <w:lang w:val="en-GB"/>
              </w:rPr>
            </w:pPr>
            <w:r w:rsidRPr="00C81AF6">
              <w:rPr>
                <w:bCs/>
                <w:lang w:val="en-GB"/>
              </w:rPr>
              <w:t xml:space="preserve">- </w:t>
            </w:r>
            <w:r w:rsidRPr="00C81AF6">
              <w:rPr>
                <w:rFonts w:eastAsia="Palatino Linotype" w:cs="Palatino Linotype"/>
                <w:bCs/>
                <w:lang w:val="en-GB"/>
              </w:rPr>
              <w:t>diversity</w:t>
            </w:r>
          </w:p>
        </w:tc>
      </w:tr>
      <w:tr w:rsidR="00C81AF6" w:rsidRPr="00215C77" w14:paraId="65AE5B47" w14:textId="77777777" w:rsidTr="000A1721">
        <w:trPr>
          <w:trHeight w:val="1554"/>
          <w:jc w:val="right"/>
        </w:trPr>
        <w:tc>
          <w:tcPr>
            <w:tcW w:w="1652" w:type="dxa"/>
            <w:vAlign w:val="center"/>
          </w:tcPr>
          <w:p w14:paraId="24EEE443" w14:textId="77777777" w:rsidR="00C81AF6" w:rsidRPr="00C81AF6" w:rsidRDefault="00C81AF6" w:rsidP="00C81AF6">
            <w:pPr>
              <w:ind w:firstLine="0"/>
              <w:contextualSpacing/>
              <w:jc w:val="left"/>
              <w:rPr>
                <w:bCs/>
              </w:rPr>
            </w:pPr>
            <w:proofErr w:type="spellStart"/>
            <w:r w:rsidRPr="00C81AF6">
              <w:rPr>
                <w:rFonts w:eastAsia="Palatino Linotype" w:cs="Palatino Linotype"/>
                <w:bCs/>
              </w:rPr>
              <w:t>Communication</w:t>
            </w:r>
            <w:proofErr w:type="spellEnd"/>
            <w:r w:rsidRPr="00C81AF6">
              <w:rPr>
                <w:rFonts w:eastAsia="Palatino Linotype" w:cs="Palatino Linotype"/>
                <w:bCs/>
              </w:rPr>
              <w:t xml:space="preserve"> Style</w:t>
            </w:r>
          </w:p>
        </w:tc>
        <w:tc>
          <w:tcPr>
            <w:tcW w:w="4018" w:type="dxa"/>
          </w:tcPr>
          <w:p w14:paraId="7BB7B69A" w14:textId="77777777" w:rsidR="00C81AF6" w:rsidRPr="00C81AF6" w:rsidRDefault="00C81AF6" w:rsidP="00C81AF6">
            <w:pPr>
              <w:ind w:firstLine="0"/>
              <w:contextualSpacing/>
              <w:jc w:val="left"/>
              <w:rPr>
                <w:bCs/>
                <w:lang w:val="en-GB"/>
              </w:rPr>
            </w:pPr>
            <w:r w:rsidRPr="00C81AF6">
              <w:rPr>
                <w:bCs/>
                <w:lang w:val="en-GB"/>
              </w:rPr>
              <w:t xml:space="preserve">- </w:t>
            </w:r>
            <w:r w:rsidRPr="00C81AF6">
              <w:rPr>
                <w:rFonts w:eastAsia="Palatino Linotype" w:cs="Palatino Linotype"/>
                <w:bCs/>
                <w:lang w:val="en-GB"/>
              </w:rPr>
              <w:t>instant messages</w:t>
            </w:r>
          </w:p>
          <w:p w14:paraId="51E53119" w14:textId="05ABF1F6" w:rsidR="00C81AF6" w:rsidRPr="00C81AF6" w:rsidRDefault="00C81AF6" w:rsidP="00C81AF6">
            <w:pPr>
              <w:ind w:firstLine="0"/>
              <w:contextualSpacing/>
              <w:jc w:val="left"/>
              <w:rPr>
                <w:bCs/>
                <w:lang w:val="en-GB"/>
              </w:rPr>
            </w:pPr>
            <w:r w:rsidRPr="00C81AF6">
              <w:rPr>
                <w:bCs/>
                <w:lang w:val="en-GB"/>
              </w:rPr>
              <w:t xml:space="preserve">- </w:t>
            </w:r>
            <w:r w:rsidRPr="00C81AF6">
              <w:rPr>
                <w:rFonts w:eastAsia="Palatino Linotype" w:cs="Palatino Linotype"/>
                <w:bCs/>
                <w:lang w:val="en-GB"/>
              </w:rPr>
              <w:t>e</w:t>
            </w:r>
            <w:r w:rsidR="00191A53">
              <w:rPr>
                <w:rFonts w:eastAsia="Palatino Linotype" w:cs="Palatino Linotype"/>
                <w:bCs/>
                <w:lang w:val="en-GB"/>
              </w:rPr>
              <w:t>-</w:t>
            </w:r>
            <w:r w:rsidRPr="00C81AF6">
              <w:rPr>
                <w:rFonts w:eastAsia="Palatino Linotype" w:cs="Palatino Linotype"/>
                <w:bCs/>
                <w:lang w:val="en-GB"/>
              </w:rPr>
              <w:t>mails</w:t>
            </w:r>
          </w:p>
          <w:p w14:paraId="60996F5C" w14:textId="77777777" w:rsidR="00C81AF6" w:rsidRPr="00C81AF6" w:rsidRDefault="00C81AF6" w:rsidP="00C81AF6">
            <w:pPr>
              <w:ind w:firstLine="0"/>
              <w:contextualSpacing/>
              <w:jc w:val="left"/>
              <w:rPr>
                <w:bCs/>
                <w:lang w:val="en-GB"/>
              </w:rPr>
            </w:pPr>
            <w:r w:rsidRPr="00C81AF6">
              <w:rPr>
                <w:bCs/>
                <w:lang w:val="en-GB"/>
              </w:rPr>
              <w:t>- SMS</w:t>
            </w:r>
          </w:p>
          <w:p w14:paraId="7952101C" w14:textId="77777777" w:rsidR="00C81AF6" w:rsidRPr="00C81AF6" w:rsidRDefault="00C81AF6" w:rsidP="00C81AF6">
            <w:pPr>
              <w:ind w:firstLine="0"/>
              <w:contextualSpacing/>
              <w:jc w:val="left"/>
              <w:rPr>
                <w:bCs/>
                <w:lang w:val="en-GB"/>
              </w:rPr>
            </w:pPr>
            <w:r w:rsidRPr="00C81AF6">
              <w:rPr>
                <w:bCs/>
                <w:lang w:val="en-GB"/>
              </w:rPr>
              <w:t>- MMS</w:t>
            </w:r>
          </w:p>
        </w:tc>
        <w:tc>
          <w:tcPr>
            <w:tcW w:w="3903" w:type="dxa"/>
          </w:tcPr>
          <w:p w14:paraId="5C40ED65" w14:textId="77777777" w:rsidR="00C81AF6" w:rsidRPr="00C81AF6" w:rsidRDefault="00C81AF6" w:rsidP="00C81AF6">
            <w:pPr>
              <w:ind w:firstLine="0"/>
              <w:contextualSpacing/>
              <w:jc w:val="left"/>
              <w:rPr>
                <w:bCs/>
                <w:lang w:val="en-GB"/>
              </w:rPr>
            </w:pPr>
            <w:r w:rsidRPr="00C81AF6">
              <w:rPr>
                <w:bCs/>
                <w:lang w:val="en-GB"/>
              </w:rPr>
              <w:t xml:space="preserve">- </w:t>
            </w:r>
            <w:r w:rsidRPr="00C81AF6">
              <w:rPr>
                <w:rFonts w:eastAsia="Palatino Linotype" w:cs="Palatino Linotype"/>
                <w:bCs/>
                <w:lang w:val="en-GB"/>
              </w:rPr>
              <w:t>instant messages</w:t>
            </w:r>
          </w:p>
          <w:p w14:paraId="41E012D5" w14:textId="306E226A" w:rsidR="00C81AF6" w:rsidRPr="00C81AF6" w:rsidRDefault="00C81AF6" w:rsidP="00C81AF6">
            <w:pPr>
              <w:ind w:firstLine="0"/>
              <w:contextualSpacing/>
              <w:jc w:val="left"/>
              <w:rPr>
                <w:bCs/>
                <w:lang w:val="en-GB"/>
              </w:rPr>
            </w:pPr>
            <w:r w:rsidRPr="00C81AF6">
              <w:rPr>
                <w:bCs/>
                <w:lang w:val="en-GB"/>
              </w:rPr>
              <w:t xml:space="preserve">- </w:t>
            </w:r>
            <w:r w:rsidRPr="00C81AF6">
              <w:rPr>
                <w:rFonts w:eastAsia="Palatino Linotype" w:cs="Palatino Linotype"/>
                <w:bCs/>
                <w:lang w:val="en-GB"/>
              </w:rPr>
              <w:t>e</w:t>
            </w:r>
            <w:r w:rsidR="00191A53">
              <w:rPr>
                <w:rFonts w:eastAsia="Palatino Linotype" w:cs="Palatino Linotype"/>
                <w:bCs/>
                <w:lang w:val="en-GB"/>
              </w:rPr>
              <w:t>-</w:t>
            </w:r>
            <w:r w:rsidRPr="00C81AF6">
              <w:rPr>
                <w:rFonts w:eastAsia="Palatino Linotype" w:cs="Palatino Linotype"/>
                <w:bCs/>
                <w:lang w:val="en-GB"/>
              </w:rPr>
              <w:t>mails</w:t>
            </w:r>
          </w:p>
          <w:p w14:paraId="4C3F58BC" w14:textId="77777777" w:rsidR="00C81AF6" w:rsidRPr="00C81AF6" w:rsidRDefault="00C81AF6" w:rsidP="00C81AF6">
            <w:pPr>
              <w:ind w:firstLine="0"/>
              <w:contextualSpacing/>
              <w:jc w:val="left"/>
              <w:rPr>
                <w:bCs/>
                <w:lang w:val="en-GB"/>
              </w:rPr>
            </w:pPr>
            <w:r w:rsidRPr="00C81AF6">
              <w:rPr>
                <w:bCs/>
                <w:lang w:val="en-GB"/>
              </w:rPr>
              <w:t>- SMS</w:t>
            </w:r>
          </w:p>
          <w:p w14:paraId="353BF898" w14:textId="77777777" w:rsidR="00C81AF6" w:rsidRPr="00C81AF6" w:rsidRDefault="00C81AF6" w:rsidP="00C81AF6">
            <w:pPr>
              <w:ind w:firstLine="0"/>
              <w:contextualSpacing/>
              <w:jc w:val="left"/>
              <w:rPr>
                <w:bCs/>
                <w:lang w:val="en-GB"/>
              </w:rPr>
            </w:pPr>
            <w:r w:rsidRPr="00C81AF6">
              <w:rPr>
                <w:bCs/>
                <w:lang w:val="en-GB"/>
              </w:rPr>
              <w:t>- MMS</w:t>
            </w:r>
          </w:p>
          <w:p w14:paraId="58BC9FF5" w14:textId="77777777" w:rsidR="00C81AF6" w:rsidRPr="00C81AF6" w:rsidRDefault="00C81AF6" w:rsidP="00C81AF6">
            <w:pPr>
              <w:ind w:firstLine="0"/>
              <w:contextualSpacing/>
              <w:jc w:val="left"/>
              <w:rPr>
                <w:bCs/>
                <w:lang w:val="en-GB"/>
              </w:rPr>
            </w:pPr>
            <w:r w:rsidRPr="00C81AF6">
              <w:rPr>
                <w:bCs/>
                <w:lang w:val="en-GB"/>
              </w:rPr>
              <w:t xml:space="preserve">- </w:t>
            </w:r>
            <w:r w:rsidRPr="00C81AF6">
              <w:rPr>
                <w:rFonts w:eastAsia="Palatino Linotype" w:cs="Palatino Linotype"/>
                <w:bCs/>
                <w:lang w:val="en-GB"/>
              </w:rPr>
              <w:t>messaging apps</w:t>
            </w:r>
          </w:p>
          <w:p w14:paraId="57515172" w14:textId="77777777" w:rsidR="00C81AF6" w:rsidRPr="00C81AF6" w:rsidRDefault="00C81AF6" w:rsidP="00C81AF6">
            <w:pPr>
              <w:ind w:firstLine="0"/>
              <w:contextualSpacing/>
              <w:jc w:val="left"/>
              <w:rPr>
                <w:bCs/>
                <w:lang w:val="en-GB"/>
              </w:rPr>
            </w:pPr>
            <w:r w:rsidRPr="00C81AF6">
              <w:rPr>
                <w:bCs/>
                <w:lang w:val="en-GB"/>
              </w:rPr>
              <w:t xml:space="preserve">- </w:t>
            </w:r>
            <w:r w:rsidRPr="00C81AF6">
              <w:rPr>
                <w:rFonts w:eastAsia="Palatino Linotype" w:cs="Palatino Linotype"/>
                <w:bCs/>
                <w:lang w:val="en-GB"/>
              </w:rPr>
              <w:t>social media</w:t>
            </w:r>
          </w:p>
        </w:tc>
      </w:tr>
    </w:tbl>
    <w:p w14:paraId="6A9544B5" w14:textId="77777777" w:rsidR="00C81AF6" w:rsidRDefault="00C81AF6" w:rsidP="00C239D0">
      <w:pPr>
        <w:ind w:firstLine="0"/>
        <w:rPr>
          <w:lang w:val="en-GB"/>
        </w:rPr>
      </w:pPr>
    </w:p>
    <w:p w14:paraId="56F81F60" w14:textId="3485BD14" w:rsidR="00C239D0" w:rsidRPr="00C239D0" w:rsidRDefault="00C239D0" w:rsidP="00C81AF6">
      <w:pPr>
        <w:rPr>
          <w:lang w:val="en-GB"/>
        </w:rPr>
      </w:pPr>
      <w:r w:rsidRPr="00C239D0">
        <w:rPr>
          <w:lang w:val="en-GB"/>
        </w:rPr>
        <w:t xml:space="preserve">Another group within the young consumer generation is Generation </w:t>
      </w:r>
      <w:r w:rsidR="00191A53">
        <w:rPr>
          <w:lang w:val="en-GB"/>
        </w:rPr>
        <w:t>"</w:t>
      </w:r>
      <w:r w:rsidRPr="00C239D0">
        <w:rPr>
          <w:lang w:val="en-GB"/>
        </w:rPr>
        <w:t>Z</w:t>
      </w:r>
      <w:r w:rsidR="00191A53">
        <w:rPr>
          <w:lang w:val="en-GB"/>
        </w:rPr>
        <w:t>".</w:t>
      </w:r>
      <w:r w:rsidRPr="00C239D0">
        <w:rPr>
          <w:lang w:val="en-GB"/>
        </w:rPr>
        <w:t xml:space="preserve"> This social group, mastering and focusing on digital technology, leverages its capabilities particularly for information exchange, communication, and knowledge acquisition – using social media platforms or portals such as Facebook, Twitter, Instagram, and YouTube. This generation may experience difficulties in establishing direct, in-person interpersonal relationships, as </w:t>
      </w:r>
      <w:r w:rsidR="00191A53">
        <w:rPr>
          <w:lang w:val="en-GB"/>
        </w:rPr>
        <w:t>"</w:t>
      </w:r>
      <w:r w:rsidRPr="00C239D0">
        <w:rPr>
          <w:lang w:val="en-GB"/>
        </w:rPr>
        <w:t>online life</w:t>
      </w:r>
      <w:r w:rsidR="00191A53">
        <w:rPr>
          <w:lang w:val="en-GB"/>
        </w:rPr>
        <w:t>"</w:t>
      </w:r>
      <w:r w:rsidRPr="00C239D0">
        <w:rPr>
          <w:lang w:val="en-GB"/>
        </w:rPr>
        <w:t xml:space="preserve"> in some ways shapes their functioning in reality. This is largely influenced by advertising and digital environment advisors or initiators (</w:t>
      </w:r>
      <w:proofErr w:type="spellStart"/>
      <w:r w:rsidRPr="00C239D0">
        <w:rPr>
          <w:lang w:val="en-GB"/>
        </w:rPr>
        <w:t>Parzonko</w:t>
      </w:r>
      <w:proofErr w:type="spellEnd"/>
      <w:r w:rsidRPr="00C239D0">
        <w:rPr>
          <w:lang w:val="en-GB"/>
        </w:rPr>
        <w:t xml:space="preserve"> 2015), such as influencers and YouTubers (Drzewiecki &amp; </w:t>
      </w:r>
      <w:proofErr w:type="spellStart"/>
      <w:r w:rsidRPr="00C239D0">
        <w:rPr>
          <w:lang w:val="en-GB"/>
        </w:rPr>
        <w:t>Głębicka</w:t>
      </w:r>
      <w:proofErr w:type="spellEnd"/>
      <w:r w:rsidRPr="00C239D0">
        <w:rPr>
          <w:lang w:val="en-GB"/>
        </w:rPr>
        <w:t xml:space="preserve">-Giza 2018). For Generation </w:t>
      </w:r>
      <w:r w:rsidR="00191A53">
        <w:rPr>
          <w:lang w:val="en-GB"/>
        </w:rPr>
        <w:t>"</w:t>
      </w:r>
      <w:r w:rsidRPr="00C239D0">
        <w:rPr>
          <w:lang w:val="en-GB"/>
        </w:rPr>
        <w:t>Z</w:t>
      </w:r>
      <w:r w:rsidR="00191A53">
        <w:rPr>
          <w:lang w:val="en-GB"/>
        </w:rPr>
        <w:t>",</w:t>
      </w:r>
      <w:r w:rsidRPr="00C239D0">
        <w:rPr>
          <w:lang w:val="en-GB"/>
        </w:rPr>
        <w:t xml:space="preserve"> access to the Internet, the volume and speed of information received, and the actions they undertake shape a lifestyle characterized by frequent changes in the pursuit of success and achieving optimal results (Rudolph et al. 2018). Exclusivity and prestige serve as indicators of their social status. This generation is conscious, often described as entitled, and seeks to utilize innovations, luxury (branded) products, and economically justified solutions, including those related to the energy sector (Czarnecka 2018).</w:t>
      </w:r>
    </w:p>
    <w:p w14:paraId="07D885B6" w14:textId="493F5FCE" w:rsidR="00C239D0" w:rsidRPr="00C239D0" w:rsidRDefault="00C81AF6" w:rsidP="00C81AF6">
      <w:pPr>
        <w:pStyle w:val="Rn2"/>
        <w:rPr>
          <w:lang w:val="en-GB"/>
        </w:rPr>
      </w:pPr>
      <w:r>
        <w:rPr>
          <w:lang w:val="en-GB"/>
        </w:rPr>
        <w:t xml:space="preserve">2.3. </w:t>
      </w:r>
      <w:r w:rsidR="00C239D0" w:rsidRPr="00C239D0">
        <w:rPr>
          <w:lang w:val="en-GB"/>
        </w:rPr>
        <w:t>Sustainable Energy Development</w:t>
      </w:r>
    </w:p>
    <w:p w14:paraId="188E56CF" w14:textId="7526D64B" w:rsidR="00C239D0" w:rsidRPr="00C239D0" w:rsidRDefault="00C239D0" w:rsidP="00C81AF6">
      <w:pPr>
        <w:rPr>
          <w:lang w:val="en-GB"/>
        </w:rPr>
      </w:pPr>
      <w:r w:rsidRPr="00C239D0">
        <w:rPr>
          <w:lang w:val="en-GB"/>
        </w:rPr>
        <w:t>In the second half of the 20th century, the European Union introduced climate policy changes among its member states. All directives were outlined in the European Climate Change Programme, adopted in June 2001. EU countries implement environmental policies based on sustainable development, which has resulted in improvements in environmental indicators (</w:t>
      </w:r>
      <w:proofErr w:type="spellStart"/>
      <w:r w:rsidRPr="00C239D0">
        <w:rPr>
          <w:lang w:val="en-GB"/>
        </w:rPr>
        <w:t>Biesbroek</w:t>
      </w:r>
      <w:proofErr w:type="spellEnd"/>
      <w:r w:rsidRPr="00C239D0">
        <w:rPr>
          <w:lang w:val="en-GB"/>
        </w:rPr>
        <w:t xml:space="preserve"> et al. 2010, Hagen et al. 2016). The concept of </w:t>
      </w:r>
      <w:r w:rsidRPr="00C239D0">
        <w:rPr>
          <w:lang w:val="en-GB"/>
        </w:rPr>
        <w:lastRenderedPageBreak/>
        <w:t xml:space="preserve">sustainable development is a component of not only international policy but also the policies of individual countries (Cecchin et al. 2021, Hariram et al. 2023). In Poland, it is reflected in the Environmental Protection Law. This document defines sustainable development as socio-economic development aimed at balancing access to the environment for different societies or their citizens (POŚ 2001). At the enterprise level, sustainable development involves striving for balance in operations by integrating economic, ecological, and social objectives (Mishra et al. 2010, </w:t>
      </w:r>
      <w:proofErr w:type="spellStart"/>
      <w:r w:rsidRPr="00C239D0">
        <w:rPr>
          <w:lang w:val="en-GB"/>
        </w:rPr>
        <w:t>Olkiewicz</w:t>
      </w:r>
      <w:proofErr w:type="spellEnd"/>
      <w:r w:rsidRPr="00C239D0">
        <w:rPr>
          <w:lang w:val="en-GB"/>
        </w:rPr>
        <w:t xml:space="preserve"> &amp; Wolniak 2020). This integration is reflected in the efficient production of socially desirable goods and services while simultaneously reducing the consumption of natural resources and ensuring the </w:t>
      </w:r>
      <w:proofErr w:type="spellStart"/>
      <w:r w:rsidRPr="00C239D0">
        <w:rPr>
          <w:lang w:val="en-GB"/>
        </w:rPr>
        <w:t>fulfillment</w:t>
      </w:r>
      <w:proofErr w:type="spellEnd"/>
      <w:r w:rsidRPr="00C239D0">
        <w:rPr>
          <w:lang w:val="en-GB"/>
        </w:rPr>
        <w:t xml:space="preserve"> of expectations of various stakeholder groups associated with the enterprise (Biermann et al. 2022).</w:t>
      </w:r>
    </w:p>
    <w:p w14:paraId="27A505D0" w14:textId="77777777" w:rsidR="00C239D0" w:rsidRDefault="00C239D0" w:rsidP="00C81AF6">
      <w:pPr>
        <w:rPr>
          <w:lang w:val="en-GB"/>
        </w:rPr>
      </w:pPr>
      <w:r w:rsidRPr="00C239D0">
        <w:rPr>
          <w:lang w:val="en-GB"/>
        </w:rPr>
        <w:t>The processes of meeting energy demand are accompanied by the emission of greenhouse gases (</w:t>
      </w:r>
      <w:proofErr w:type="spellStart"/>
      <w:r w:rsidRPr="00C239D0">
        <w:rPr>
          <w:lang w:val="en-GB"/>
        </w:rPr>
        <w:t>Maraveas</w:t>
      </w:r>
      <w:proofErr w:type="spellEnd"/>
      <w:r w:rsidRPr="00C239D0">
        <w:rPr>
          <w:lang w:val="en-GB"/>
        </w:rPr>
        <w:t xml:space="preserve"> et al. 2023). According to data from the Polish Power Grid (Polskie Sieci </w:t>
      </w:r>
      <w:proofErr w:type="spellStart"/>
      <w:r w:rsidRPr="00C239D0">
        <w:rPr>
          <w:lang w:val="en-GB"/>
        </w:rPr>
        <w:t>Elektroenergetyczne</w:t>
      </w:r>
      <w:proofErr w:type="spellEnd"/>
      <w:r w:rsidRPr="00C239D0">
        <w:rPr>
          <w:lang w:val="en-GB"/>
        </w:rPr>
        <w:t>), electricity production in Poland in 2024 amounted to 166,990 GWh, which is 2.05% higher than the previous year. Domestic consumption was 0.86% higher year-on-year, reaching 168,956 GWh (Figure 2).</w:t>
      </w:r>
    </w:p>
    <w:p w14:paraId="545421CA" w14:textId="77777777" w:rsidR="00CB7716" w:rsidRPr="00C239D0" w:rsidRDefault="00CB7716" w:rsidP="00C81AF6">
      <w:pPr>
        <w:rPr>
          <w:lang w:val="en-GB"/>
        </w:rPr>
      </w:pPr>
    </w:p>
    <w:p w14:paraId="00DCC266" w14:textId="55F7C01F" w:rsidR="00C239D0" w:rsidRPr="00C239D0" w:rsidRDefault="00CB7716" w:rsidP="00CB7716">
      <w:pPr>
        <w:ind w:firstLine="0"/>
        <w:jc w:val="center"/>
        <w:rPr>
          <w:lang w:val="en-GB"/>
        </w:rPr>
      </w:pPr>
      <w:r>
        <w:rPr>
          <w:noProof/>
        </w:rPr>
        <w:drawing>
          <wp:inline distT="0" distB="0" distL="0" distR="0" wp14:anchorId="1C923CEE" wp14:editId="5E71DF6C">
            <wp:extent cx="5114290" cy="2924175"/>
            <wp:effectExtent l="0" t="0" r="10160" b="9525"/>
            <wp:docPr id="1517750051" name="Wykres 1">
              <a:extLst xmlns:a="http://schemas.openxmlformats.org/drawingml/2006/main">
                <a:ext uri="{FF2B5EF4-FFF2-40B4-BE49-F238E27FC236}">
                  <a16:creationId xmlns:a16="http://schemas.microsoft.com/office/drawing/2014/main" id="{16CD0DBF-D648-4054-8F12-4C9C6D018E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01A819F" w14:textId="0FA67EEE" w:rsidR="00C239D0" w:rsidRPr="00C239D0" w:rsidRDefault="00C239D0" w:rsidP="006F4EA3">
      <w:pPr>
        <w:pStyle w:val="Rrys"/>
        <w:rPr>
          <w:lang w:val="en-GB"/>
        </w:rPr>
      </w:pPr>
      <w:r w:rsidRPr="006F4EA3">
        <w:rPr>
          <w:b/>
          <w:bCs/>
          <w:lang w:val="en-GB"/>
        </w:rPr>
        <w:t>Fig. 2.</w:t>
      </w:r>
      <w:r w:rsidRPr="00C239D0">
        <w:rPr>
          <w:lang w:val="en-GB"/>
        </w:rPr>
        <w:t xml:space="preserve"> Electricity Production and Demand in 2018</w:t>
      </w:r>
      <w:r w:rsidR="00CB7716">
        <w:rPr>
          <w:lang w:val="en-GB"/>
        </w:rPr>
        <w:t>-</w:t>
      </w:r>
      <w:r w:rsidRPr="00C239D0">
        <w:rPr>
          <w:lang w:val="en-GB"/>
        </w:rPr>
        <w:t>2024 [GWh] (PSE 2021)</w:t>
      </w:r>
    </w:p>
    <w:p w14:paraId="41898AA9" w14:textId="77777777" w:rsidR="006F4EA3" w:rsidRDefault="006F4EA3" w:rsidP="00C239D0">
      <w:pPr>
        <w:ind w:firstLine="0"/>
        <w:rPr>
          <w:lang w:val="en-GB"/>
        </w:rPr>
      </w:pPr>
    </w:p>
    <w:p w14:paraId="03EB7DF1" w14:textId="00F491C9" w:rsidR="00C239D0" w:rsidRDefault="00C239D0" w:rsidP="006F4EA3">
      <w:pPr>
        <w:rPr>
          <w:lang w:val="en-GB"/>
        </w:rPr>
      </w:pPr>
      <w:r w:rsidRPr="00C239D0">
        <w:rPr>
          <w:lang w:val="en-GB"/>
        </w:rPr>
        <w:t xml:space="preserve">Electricity production in 2024 was lower than domestic consumption. As a result, the foreign trade balance was positive, amounting to 1,966 GWh. Electricity is primarily generated in conventional power plants. In 2024, production in these facilities reached 124,781 GWh, representing nearly 75% of total electricity production. The remainder came from wind power plants and other renewable energy sources, </w:t>
      </w:r>
      <w:proofErr w:type="spellStart"/>
      <w:r w:rsidRPr="00C239D0">
        <w:rPr>
          <w:lang w:val="en-GB"/>
        </w:rPr>
        <w:t>totaling</w:t>
      </w:r>
      <w:proofErr w:type="spellEnd"/>
      <w:r w:rsidRPr="00C239D0">
        <w:rPr>
          <w:lang w:val="en-GB"/>
        </w:rPr>
        <w:t xml:space="preserve"> 42,208 GWh. The most important fuel for electricity generation in 2024 was hard coal, with a share of 41.4%, followed by lignite at 21.5%. Renewable energy sources produced 42,208 GWh, with their share increasing to 25.3%.</w:t>
      </w:r>
    </w:p>
    <w:p w14:paraId="1D666EE5" w14:textId="77777777" w:rsidR="00764996" w:rsidRPr="00C239D0" w:rsidRDefault="00764996" w:rsidP="00764996">
      <w:pPr>
        <w:rPr>
          <w:lang w:val="en-GB"/>
        </w:rPr>
      </w:pPr>
      <w:r w:rsidRPr="00C239D0">
        <w:rPr>
          <w:lang w:val="en-GB"/>
        </w:rPr>
        <w:t>The percentage share of installed capacity from conventional and renewable sources does not correspond to their percentage share in electricity production. Renewable sources account for 44.08% of installed capacity, yet only 25.3% of total production.</w:t>
      </w:r>
    </w:p>
    <w:p w14:paraId="7DB8FABD" w14:textId="5E6828A9" w:rsidR="00764996" w:rsidRPr="00C239D0" w:rsidRDefault="00764996" w:rsidP="00764996">
      <w:pPr>
        <w:rPr>
          <w:lang w:val="en-GB"/>
        </w:rPr>
      </w:pPr>
      <w:r w:rsidRPr="00C239D0">
        <w:rPr>
          <w:lang w:val="en-GB"/>
        </w:rPr>
        <w:t>The primary contributor to greenhouse gases is carbon dioxide (CO₂), emitted especially in the energy sector, but also in other areas of production and service provision (da Fonseca-Soares et al. 2024</w:t>
      </w:r>
      <w:r w:rsidR="00852C49">
        <w:rPr>
          <w:lang w:val="en-GB"/>
        </w:rPr>
        <w:t>,</w:t>
      </w:r>
      <w:r w:rsidRPr="00C239D0">
        <w:rPr>
          <w:lang w:val="en-GB"/>
        </w:rPr>
        <w:t xml:space="preserve"> </w:t>
      </w:r>
      <w:proofErr w:type="spellStart"/>
      <w:r w:rsidRPr="00C239D0">
        <w:rPr>
          <w:lang w:val="en-GB"/>
        </w:rPr>
        <w:t>Gabryelewicz</w:t>
      </w:r>
      <w:proofErr w:type="spellEnd"/>
      <w:r w:rsidRPr="00C239D0">
        <w:rPr>
          <w:lang w:val="en-GB"/>
        </w:rPr>
        <w:t xml:space="preserve"> et al. 2021). Environmental use should be conducted in a manner that maximizes the net benefits of economic development while simultaneously protecting and ensuring the regeneration of the utility and quality of natural resources over the long term. Greenhouse gas emissions have been reduced, and the energy intensity of the economy has been minimized, achievements made possible by changes in the energy and industrial sectors (</w:t>
      </w:r>
      <w:proofErr w:type="spellStart"/>
      <w:r w:rsidRPr="00C239D0">
        <w:rPr>
          <w:lang w:val="en-GB"/>
        </w:rPr>
        <w:t>Miklautsch</w:t>
      </w:r>
      <w:proofErr w:type="spellEnd"/>
      <w:r w:rsidRPr="00C239D0">
        <w:rPr>
          <w:lang w:val="en-GB"/>
        </w:rPr>
        <w:t xml:space="preserve"> &amp; </w:t>
      </w:r>
      <w:proofErr w:type="spellStart"/>
      <w:r w:rsidRPr="00C239D0">
        <w:rPr>
          <w:lang w:val="en-GB"/>
        </w:rPr>
        <w:t>Woschank</w:t>
      </w:r>
      <w:proofErr w:type="spellEnd"/>
      <w:r w:rsidRPr="00C239D0">
        <w:rPr>
          <w:lang w:val="en-GB"/>
        </w:rPr>
        <w:t xml:space="preserve"> 2022). By 2040, an almost entirely new power system will be constructed, with a</w:t>
      </w:r>
      <w:r w:rsidR="0015238F">
        <w:rPr>
          <w:lang w:val="en-GB"/>
        </w:rPr>
        <w:t> </w:t>
      </w:r>
      <w:r w:rsidRPr="00C239D0">
        <w:rPr>
          <w:lang w:val="en-GB"/>
        </w:rPr>
        <w:t xml:space="preserve">strong foundation in low- and zero-emission energy sources. Forecasting for Poland in 2050 is challenging due to the dynamic nature of changes in the country (Rybak et al. 2022). Nevertheless, there is a requirement to develop a plan that accounts for climate specifics and the EU obligation to prepare long-term assumptions. Within the European Union, the PRIMES program is responsible for assessing the impacts of selected energy sector programs (Höglund-Isaksson et al. 2023). PRIMES forecasts that by 2050, CO₂ emissions in Poland will be reduced by half, from 13,000,000 Mg/year to 5,000,000 Mg/year. In connection with the modernization </w:t>
      </w:r>
      <w:r w:rsidRPr="00C239D0">
        <w:rPr>
          <w:lang w:val="en-GB"/>
        </w:rPr>
        <w:lastRenderedPageBreak/>
        <w:t>and technological reconstruction of Poland</w:t>
      </w:r>
      <w:r w:rsidR="00191A53">
        <w:rPr>
          <w:lang w:val="en-GB"/>
        </w:rPr>
        <w:t>'</w:t>
      </w:r>
      <w:r w:rsidRPr="00C239D0">
        <w:rPr>
          <w:lang w:val="en-GB"/>
        </w:rPr>
        <w:t xml:space="preserve">s power sector, the share of hard coal in electricity production will be reduced from the current 42% to 28% by 2050, and the role of lignite will also be diminished (Fotiou et al. 2023, </w:t>
      </w:r>
      <w:proofErr w:type="spellStart"/>
      <w:r w:rsidRPr="00C239D0">
        <w:rPr>
          <w:lang w:val="en-GB"/>
        </w:rPr>
        <w:t>Bluszcz</w:t>
      </w:r>
      <w:proofErr w:type="spellEnd"/>
      <w:r w:rsidRPr="00C239D0">
        <w:rPr>
          <w:lang w:val="en-GB"/>
        </w:rPr>
        <w:t xml:space="preserve"> et al. 2025).</w:t>
      </w:r>
    </w:p>
    <w:p w14:paraId="37F7267D" w14:textId="77777777" w:rsidR="009435BE" w:rsidRPr="00C239D0" w:rsidRDefault="009435BE" w:rsidP="006F4EA3">
      <w:pPr>
        <w:rPr>
          <w:lang w:val="en-GB"/>
        </w:rPr>
      </w:pPr>
    </w:p>
    <w:p w14:paraId="7C4B48F9" w14:textId="48BA8156" w:rsidR="00C239D0" w:rsidRPr="00C239D0" w:rsidRDefault="009435BE" w:rsidP="009435BE">
      <w:pPr>
        <w:ind w:firstLine="0"/>
        <w:jc w:val="center"/>
        <w:rPr>
          <w:lang w:val="en-GB"/>
        </w:rPr>
      </w:pPr>
      <w:r>
        <w:rPr>
          <w:noProof/>
        </w:rPr>
        <w:drawing>
          <wp:inline distT="0" distB="0" distL="0" distR="0" wp14:anchorId="3600A8C5" wp14:editId="6B248297">
            <wp:extent cx="4479631" cy="2764171"/>
            <wp:effectExtent l="0" t="0" r="16510" b="17145"/>
            <wp:docPr id="1626661322" name="Wykres 1">
              <a:extLst xmlns:a="http://schemas.openxmlformats.org/drawingml/2006/main">
                <a:ext uri="{FF2B5EF4-FFF2-40B4-BE49-F238E27FC236}">
                  <a16:creationId xmlns:a16="http://schemas.microsoft.com/office/drawing/2014/main" id="{37D009B6-3D72-4A5A-8A39-FE58965046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F3B6669" w14:textId="77777777" w:rsidR="00C239D0" w:rsidRPr="00C239D0" w:rsidRDefault="00C239D0" w:rsidP="006F4EA3">
      <w:pPr>
        <w:pStyle w:val="Rrys"/>
        <w:rPr>
          <w:lang w:val="en-GB"/>
        </w:rPr>
      </w:pPr>
      <w:r w:rsidRPr="006F4EA3">
        <w:rPr>
          <w:b/>
          <w:bCs/>
          <w:lang w:val="en-GB"/>
        </w:rPr>
        <w:t>Fig. 3.</w:t>
      </w:r>
      <w:r w:rsidRPr="00C239D0">
        <w:rPr>
          <w:lang w:val="en-GB"/>
        </w:rPr>
        <w:t xml:space="preserve"> Electricity Structure in 2024</w:t>
      </w:r>
    </w:p>
    <w:p w14:paraId="329897F8" w14:textId="77777777" w:rsidR="006F4EA3" w:rsidRDefault="006F4EA3" w:rsidP="00C239D0">
      <w:pPr>
        <w:ind w:firstLine="0"/>
        <w:rPr>
          <w:lang w:val="en-GB"/>
        </w:rPr>
      </w:pPr>
    </w:p>
    <w:p w14:paraId="2BF56A58" w14:textId="1A871B04" w:rsidR="00C239D0" w:rsidRPr="00C239D0" w:rsidRDefault="00C239D0" w:rsidP="006F4EA3">
      <w:pPr>
        <w:rPr>
          <w:lang w:val="en-GB"/>
        </w:rPr>
      </w:pPr>
      <w:r w:rsidRPr="00C239D0">
        <w:rPr>
          <w:lang w:val="en-GB"/>
        </w:rPr>
        <w:t xml:space="preserve">An increase in the importance of renewable energy sources (RES) in the structure of national primary energy demand is anticipated, resulting from the dynamic development of large-scale wind power plants as well as distributed electricity and heat generation from renewable sources </w:t>
      </w:r>
      <w:r w:rsidR="00191A53">
        <w:rPr>
          <w:lang w:val="en-GB"/>
        </w:rPr>
        <w:t>(</w:t>
      </w:r>
      <w:r w:rsidRPr="00C239D0">
        <w:rPr>
          <w:lang w:val="en-GB"/>
        </w:rPr>
        <w:t>Fonseca-Soares et al. 2024</w:t>
      </w:r>
      <w:r w:rsidR="00191A53">
        <w:rPr>
          <w:lang w:val="en-GB"/>
        </w:rPr>
        <w:t>,</w:t>
      </w:r>
      <w:r w:rsidRPr="00C239D0">
        <w:rPr>
          <w:lang w:val="en-GB"/>
        </w:rPr>
        <w:t xml:space="preserve"> Mammadov et al. 2022). Poland intends to </w:t>
      </w:r>
      <w:proofErr w:type="spellStart"/>
      <w:r w:rsidRPr="00C239D0">
        <w:rPr>
          <w:lang w:val="en-GB"/>
        </w:rPr>
        <w:t>fulfill</w:t>
      </w:r>
      <w:proofErr w:type="spellEnd"/>
      <w:r w:rsidRPr="00C239D0">
        <w:rPr>
          <w:lang w:val="en-GB"/>
        </w:rPr>
        <w:t xml:space="preserve"> EU obligations regarding the share of RES in final energy consumption. By utilizing the existing strategic potential in renewable energy based on RES, which operate across many regions of the country but do not engage in joint economic activities in energy production from RES regulated by the Renewable Energy Sources Act, Poland aims to strengthen its renewable energy sector. Technological solutions considered the most sustainable are RES installations, characterized by not depleting available energy sources. However, the use of RES depends on various boundary conditions, including (</w:t>
      </w:r>
      <w:proofErr w:type="spellStart"/>
      <w:r w:rsidRPr="00C239D0">
        <w:rPr>
          <w:lang w:val="en-GB"/>
        </w:rPr>
        <w:t>Razmjoo</w:t>
      </w:r>
      <w:proofErr w:type="spellEnd"/>
      <w:r w:rsidRPr="00C239D0">
        <w:rPr>
          <w:lang w:val="en-GB"/>
        </w:rPr>
        <w:t xml:space="preserve"> et al. 2021)</w:t>
      </w:r>
      <w:r w:rsidR="00D50DB0">
        <w:rPr>
          <w:lang w:val="en-GB"/>
        </w:rPr>
        <w:t>:</w:t>
      </w:r>
    </w:p>
    <w:p w14:paraId="00FD8752" w14:textId="1C6ABBF2" w:rsidR="00C239D0" w:rsidRPr="006F4EA3" w:rsidRDefault="00C239D0" w:rsidP="006F4EA3">
      <w:pPr>
        <w:pStyle w:val="Akapitzlist"/>
        <w:numPr>
          <w:ilvl w:val="0"/>
          <w:numId w:val="5"/>
        </w:numPr>
        <w:ind w:left="644"/>
        <w:rPr>
          <w:lang w:val="en-GB"/>
        </w:rPr>
      </w:pPr>
      <w:r w:rsidRPr="006F4EA3">
        <w:rPr>
          <w:lang w:val="en-GB"/>
        </w:rPr>
        <w:t>access to energy resources,</w:t>
      </w:r>
    </w:p>
    <w:p w14:paraId="193CF4A3" w14:textId="659C2280" w:rsidR="00C239D0" w:rsidRPr="006F4EA3" w:rsidRDefault="00C239D0" w:rsidP="006F4EA3">
      <w:pPr>
        <w:pStyle w:val="Akapitzlist"/>
        <w:numPr>
          <w:ilvl w:val="0"/>
          <w:numId w:val="5"/>
        </w:numPr>
        <w:ind w:left="644"/>
        <w:rPr>
          <w:lang w:val="en-GB"/>
        </w:rPr>
      </w:pPr>
      <w:r w:rsidRPr="006F4EA3">
        <w:rPr>
          <w:lang w:val="en-GB"/>
        </w:rPr>
        <w:t>the scale of regional energy demand,</w:t>
      </w:r>
    </w:p>
    <w:p w14:paraId="5281CC42" w14:textId="6F2DBDCE" w:rsidR="00C239D0" w:rsidRPr="006F4EA3" w:rsidRDefault="00C239D0" w:rsidP="006F4EA3">
      <w:pPr>
        <w:pStyle w:val="Akapitzlist"/>
        <w:numPr>
          <w:ilvl w:val="0"/>
          <w:numId w:val="5"/>
        </w:numPr>
        <w:ind w:left="644"/>
        <w:rPr>
          <w:lang w:val="en-GB"/>
        </w:rPr>
      </w:pPr>
      <w:r w:rsidRPr="006F4EA3">
        <w:rPr>
          <w:lang w:val="en-GB"/>
        </w:rPr>
        <w:t>production capacities.</w:t>
      </w:r>
    </w:p>
    <w:p w14:paraId="21D6F152" w14:textId="77777777" w:rsidR="006F4EA3" w:rsidRDefault="006F4EA3" w:rsidP="00C239D0">
      <w:pPr>
        <w:ind w:firstLine="0"/>
        <w:rPr>
          <w:lang w:val="en-GB"/>
        </w:rPr>
      </w:pPr>
    </w:p>
    <w:p w14:paraId="5885EA69" w14:textId="4C2427C4" w:rsidR="00C239D0" w:rsidRPr="00C239D0" w:rsidRDefault="00C239D0" w:rsidP="006F4EA3">
      <w:pPr>
        <w:rPr>
          <w:lang w:val="en-GB"/>
        </w:rPr>
      </w:pPr>
      <w:r w:rsidRPr="00C239D0">
        <w:rPr>
          <w:lang w:val="en-GB"/>
        </w:rPr>
        <w:t>The slowest rate of development among renewable energy sources (RES) is observed in biomass and hydropower, which is due to their already significant share in the national energy balance (Harper et al. 2022). The highest positions in estimated average annual growth rates are occupied by those renewable energy carriers that are only beginning to establish themselves in the RES sector, consistent with trends observed in other EU member states. Production capacity depends on geographical location. The success of a solar collector (Kuczynski et al. 2021) and photovoltaic installation is conditioned by the solar irradiation of a given area (</w:t>
      </w:r>
      <w:proofErr w:type="spellStart"/>
      <w:r w:rsidRPr="00C239D0">
        <w:rPr>
          <w:lang w:val="en-GB"/>
        </w:rPr>
        <w:t>Chamier-Gliszczynski</w:t>
      </w:r>
      <w:proofErr w:type="spellEnd"/>
      <w:r w:rsidRPr="00C239D0">
        <w:rPr>
          <w:lang w:val="en-GB"/>
        </w:rPr>
        <w:t xml:space="preserve"> et al. 2023). Hydropower relies on water resources, making terrain with abundant rivers a key factor. Geothermal installations depend on local geological conditions, specifically the type of soil. Wind energy is influenced by the location of installations and the wind conditions in the selected area. Biomass energy, in turn, is dependent on economic conditions (Spiru 2023).</w:t>
      </w:r>
    </w:p>
    <w:p w14:paraId="247EABFE" w14:textId="221676B4" w:rsidR="00C239D0" w:rsidRPr="00C239D0" w:rsidRDefault="00C239D0" w:rsidP="006F4EA3">
      <w:pPr>
        <w:rPr>
          <w:lang w:val="en-GB"/>
        </w:rPr>
      </w:pPr>
      <w:r w:rsidRPr="00C239D0">
        <w:rPr>
          <w:lang w:val="en-GB"/>
        </w:rPr>
        <w:t>Additionally, improving the energy efficiency of district heating systems is based on several key measures. These include the use of heat storage, modernization of networks</w:t>
      </w:r>
      <w:r w:rsidR="00191A53">
        <w:rPr>
          <w:lang w:val="en-GB"/>
        </w:rPr>
        <w:t>,</w:t>
      </w:r>
      <w:r w:rsidRPr="00C239D0">
        <w:rPr>
          <w:lang w:val="en-GB"/>
        </w:rPr>
        <w:t xml:space="preserve"> and connection of new buildings, investments in installations that reduce emissions, and low-temperature networks. Cogeneration and trigeneration increase efficiency, while digitalization and weather-based automation optimize system operations. The use of industrial waste heat and investment in renewable energy sources (RES), such as biomass and solar energy, are also important. These actions support the transformation toward low-emission heating systems. Polish authorities plan to guide the transformation of the heating sector through three key documents: the Strategy for District Heating until 2030 (with a perspective to 2040) (RM 2023), Poland</w:t>
      </w:r>
      <w:r w:rsidR="00191A53">
        <w:rPr>
          <w:lang w:val="en-GB"/>
        </w:rPr>
        <w:t>'</w:t>
      </w:r>
      <w:r w:rsidRPr="00C239D0">
        <w:rPr>
          <w:lang w:val="en-GB"/>
        </w:rPr>
        <w:t>s Energy Policy until 2040 (PEP 2021), and the National Energy and Climate Plan for 2021–2030 (</w:t>
      </w:r>
      <w:proofErr w:type="spellStart"/>
      <w:r w:rsidRPr="00C239D0">
        <w:rPr>
          <w:lang w:val="en-GB"/>
        </w:rPr>
        <w:t>KPEiK</w:t>
      </w:r>
      <w:proofErr w:type="spellEnd"/>
      <w:r w:rsidRPr="00C239D0">
        <w:rPr>
          <w:lang w:val="en-GB"/>
        </w:rPr>
        <w:t xml:space="preserve"> 2019). A particularly significant document is PEP 2040, which is based on three key pillars of the energy transition. The first pillar assumes </w:t>
      </w:r>
      <w:r w:rsidRPr="00C239D0">
        <w:rPr>
          <w:lang w:val="en-GB"/>
        </w:rPr>
        <w:lastRenderedPageBreak/>
        <w:t>that the process must simultaneously eliminate energy poverty and replace jobs related to fossil fuel extraction with new employment in the renewable energy sector (RES) and nuclear energy, including in district heating. The second pillar promotes the creation of a zero-emission energy system, in which local and municipal energy plays an important role, potentially stimulating prosumer heat production, similar to electricity generation. The third pillar emphasizes air quality, necessitating the modernization of heating systems, particularly those based on domestic stoves. Ultimately, PEP 2040 envisions a comprehensive modernization of Polish district heating through greater use of RES. In the urban heating sector, three directives are particularly critical: the Energy Efficiency Directive (EED) (EED 2012), the Renewable Energy Directive (RED III) (RED 2018), and the Energy Performance of Buildings Directive (EPBD) (EPBD 2024).</w:t>
      </w:r>
    </w:p>
    <w:p w14:paraId="2A98EDB1" w14:textId="1288ECEA" w:rsidR="00C239D0" w:rsidRPr="00C239D0" w:rsidRDefault="00C239D0" w:rsidP="006F4EA3">
      <w:pPr>
        <w:rPr>
          <w:lang w:val="en-GB"/>
        </w:rPr>
      </w:pPr>
      <w:r w:rsidRPr="00C239D0">
        <w:rPr>
          <w:lang w:val="en-GB"/>
        </w:rPr>
        <w:t>Increasing the role of cogeneration and renewable energy sources (RES), such as biomass and geothermal energy, is crucial for meeting emission standards and achieving Poland</w:t>
      </w:r>
      <w:r w:rsidR="00191A53">
        <w:rPr>
          <w:lang w:val="en-GB"/>
        </w:rPr>
        <w:t>'</w:t>
      </w:r>
      <w:r w:rsidRPr="00C239D0">
        <w:rPr>
          <w:lang w:val="en-GB"/>
        </w:rPr>
        <w:t>s energy targets. Cogeneration allows for the simultaneous production of heat and electricity, improving efficiency, stabilizing energy prices, and enhancing energy security. Equally important are investments in energy storage technologies and network modernization, which enable better management of variable sources like RES. Poland possesses significant renewable energy potential.</w:t>
      </w:r>
    </w:p>
    <w:p w14:paraId="47E35E8A" w14:textId="77777777" w:rsidR="00C239D0" w:rsidRPr="00C239D0" w:rsidRDefault="00C239D0" w:rsidP="006F4EA3">
      <w:pPr>
        <w:rPr>
          <w:lang w:val="en-GB"/>
        </w:rPr>
      </w:pPr>
      <w:r w:rsidRPr="00C239D0">
        <w:rPr>
          <w:lang w:val="en-GB"/>
        </w:rPr>
        <w:t>The study was based on the sustainable development index and its key pillars, using the following formula:</w:t>
      </w:r>
    </w:p>
    <w:p w14:paraId="0D03596D" w14:textId="0475E7AD" w:rsidR="006F4EA3" w:rsidRPr="00D50DB0" w:rsidRDefault="00D50DB0" w:rsidP="006F4EA3">
      <w:pPr>
        <w:pStyle w:val="MDPI21heading1"/>
        <w:ind w:left="0"/>
        <w:jc w:val="both"/>
        <w:rPr>
          <w:b w:val="0"/>
          <w:bCs/>
          <w:color w:val="auto"/>
          <w:lang w:val="pl-PL"/>
        </w:rPr>
      </w:pPr>
      <m:oMathPara>
        <m:oMath>
          <m:r>
            <m:rPr>
              <m:sty m:val="bi"/>
            </m:rPr>
            <w:rPr>
              <w:rFonts w:ascii="Cambria Math" w:hAnsi="Cambria Math"/>
              <w:color w:val="auto"/>
              <w:lang w:val="pl-PL"/>
            </w:rPr>
            <m:t>Zri=Ei+Si+Śri=</m:t>
          </m:r>
          <m:f>
            <m:fPr>
              <m:ctrlPr>
                <w:rPr>
                  <w:rFonts w:ascii="Cambria Math" w:hAnsi="Cambria Math"/>
                  <w:b w:val="0"/>
                  <w:bCs/>
                  <w:i/>
                  <w:color w:val="auto"/>
                  <w:lang w:val="pl-PL"/>
                </w:rPr>
              </m:ctrlPr>
            </m:fPr>
            <m:num>
              <m:r>
                <m:rPr>
                  <m:sty m:val="bi"/>
                </m:rPr>
                <w:rPr>
                  <w:rFonts w:ascii="Cambria Math" w:hAnsi="Cambria Math"/>
                  <w:color w:val="auto"/>
                  <w:lang w:val="pl-PL"/>
                </w:rPr>
                <m:t>1</m:t>
              </m:r>
            </m:num>
            <m:den>
              <m:r>
                <m:rPr>
                  <m:sty m:val="bi"/>
                </m:rPr>
                <w:rPr>
                  <w:rFonts w:ascii="Cambria Math" w:hAnsi="Cambria Math"/>
                  <w:color w:val="auto"/>
                  <w:lang w:val="pl-PL"/>
                </w:rPr>
                <m:t>n</m:t>
              </m:r>
            </m:den>
          </m:f>
          <m:nary>
            <m:naryPr>
              <m:chr m:val="∑"/>
              <m:limLoc m:val="undOvr"/>
              <m:ctrlPr>
                <w:rPr>
                  <w:rFonts w:ascii="Cambria Math" w:hAnsi="Cambria Math"/>
                  <w:b w:val="0"/>
                  <w:bCs/>
                  <w:i/>
                  <w:color w:val="auto"/>
                  <w:lang w:val="pl-PL"/>
                </w:rPr>
              </m:ctrlPr>
            </m:naryPr>
            <m:sub>
              <m:r>
                <m:rPr>
                  <m:sty m:val="bi"/>
                </m:rPr>
                <w:rPr>
                  <w:rFonts w:ascii="Cambria Math" w:hAnsi="Cambria Math"/>
                  <w:color w:val="auto"/>
                  <w:lang w:val="pl-PL"/>
                </w:rPr>
                <m:t>i=j</m:t>
              </m:r>
            </m:sub>
            <m:sup>
              <m:r>
                <m:rPr>
                  <m:sty m:val="bi"/>
                </m:rPr>
                <w:rPr>
                  <w:rFonts w:ascii="Cambria Math" w:hAnsi="Cambria Math"/>
                  <w:color w:val="auto"/>
                  <w:lang w:val="pl-PL"/>
                </w:rPr>
                <m:t>n</m:t>
              </m:r>
            </m:sup>
            <m:e>
              <m:r>
                <m:rPr>
                  <m:sty m:val="bi"/>
                </m:rPr>
                <w:rPr>
                  <w:rFonts w:ascii="Cambria Math" w:hAnsi="Cambria Math"/>
                  <w:color w:val="auto"/>
                  <w:lang w:val="pl-PL"/>
                </w:rPr>
                <m:t>Zij</m:t>
              </m:r>
            </m:e>
          </m:nary>
        </m:oMath>
      </m:oMathPara>
    </w:p>
    <w:p w14:paraId="621566F4" w14:textId="77777777" w:rsidR="00C239D0" w:rsidRPr="00C239D0" w:rsidRDefault="00C239D0" w:rsidP="00C239D0">
      <w:pPr>
        <w:ind w:firstLine="0"/>
        <w:rPr>
          <w:lang w:val="en-GB"/>
        </w:rPr>
      </w:pPr>
      <w:r w:rsidRPr="00C239D0">
        <w:rPr>
          <w:lang w:val="en-GB"/>
        </w:rPr>
        <w:t xml:space="preserve">where: </w:t>
      </w:r>
    </w:p>
    <w:p w14:paraId="6A1B8178" w14:textId="77777777" w:rsidR="00C239D0" w:rsidRPr="00C239D0" w:rsidRDefault="00C239D0" w:rsidP="00C239D0">
      <w:pPr>
        <w:ind w:firstLine="0"/>
        <w:rPr>
          <w:lang w:val="en-GB"/>
        </w:rPr>
      </w:pPr>
      <w:proofErr w:type="spellStart"/>
      <w:r w:rsidRPr="00C239D0">
        <w:rPr>
          <w:lang w:val="en-GB"/>
        </w:rPr>
        <w:t>Zri</w:t>
      </w:r>
      <w:proofErr w:type="spellEnd"/>
      <w:r w:rsidRPr="00C239D0">
        <w:rPr>
          <w:lang w:val="en-GB"/>
        </w:rPr>
        <w:t xml:space="preserve"> – Sustainable development index in the j-</w:t>
      </w:r>
      <w:proofErr w:type="spellStart"/>
      <w:r w:rsidRPr="00C239D0">
        <w:rPr>
          <w:lang w:val="en-GB"/>
        </w:rPr>
        <w:t>th</w:t>
      </w:r>
      <w:proofErr w:type="spellEnd"/>
      <w:r w:rsidRPr="00C239D0">
        <w:rPr>
          <w:lang w:val="en-GB"/>
        </w:rPr>
        <w:t xml:space="preserve"> year,</w:t>
      </w:r>
    </w:p>
    <w:p w14:paraId="3C42C8D6" w14:textId="77777777" w:rsidR="00C239D0" w:rsidRPr="00C239D0" w:rsidRDefault="00C239D0" w:rsidP="00C239D0">
      <w:pPr>
        <w:ind w:firstLine="0"/>
        <w:rPr>
          <w:lang w:val="en-GB"/>
        </w:rPr>
      </w:pPr>
      <w:r w:rsidRPr="00C239D0">
        <w:rPr>
          <w:lang w:val="en-GB"/>
        </w:rPr>
        <w:t xml:space="preserve">Ei – Economic development index in the </w:t>
      </w:r>
      <w:proofErr w:type="spellStart"/>
      <w:r w:rsidRPr="00C239D0">
        <w:rPr>
          <w:lang w:val="en-GB"/>
        </w:rPr>
        <w:t>i-th</w:t>
      </w:r>
      <w:proofErr w:type="spellEnd"/>
      <w:r w:rsidRPr="00C239D0">
        <w:rPr>
          <w:lang w:val="en-GB"/>
        </w:rPr>
        <w:t xml:space="preserve"> year,</w:t>
      </w:r>
    </w:p>
    <w:p w14:paraId="691F9753" w14:textId="77777777" w:rsidR="00C239D0" w:rsidRPr="00C239D0" w:rsidRDefault="00C239D0" w:rsidP="00C239D0">
      <w:pPr>
        <w:ind w:firstLine="0"/>
        <w:rPr>
          <w:lang w:val="en-GB"/>
        </w:rPr>
      </w:pPr>
      <w:r w:rsidRPr="00C239D0">
        <w:rPr>
          <w:lang w:val="en-GB"/>
        </w:rPr>
        <w:t xml:space="preserve">Si – Social development index in the </w:t>
      </w:r>
      <w:proofErr w:type="spellStart"/>
      <w:r w:rsidRPr="00C239D0">
        <w:rPr>
          <w:lang w:val="en-GB"/>
        </w:rPr>
        <w:t>i-th</w:t>
      </w:r>
      <w:proofErr w:type="spellEnd"/>
      <w:r w:rsidRPr="00C239D0">
        <w:rPr>
          <w:lang w:val="en-GB"/>
        </w:rPr>
        <w:t xml:space="preserve"> year,</w:t>
      </w:r>
    </w:p>
    <w:p w14:paraId="7BFD4655" w14:textId="77777777" w:rsidR="00C239D0" w:rsidRPr="00C239D0" w:rsidRDefault="00C239D0" w:rsidP="00C239D0">
      <w:pPr>
        <w:ind w:firstLine="0"/>
        <w:rPr>
          <w:lang w:val="en-GB"/>
        </w:rPr>
      </w:pPr>
      <w:proofErr w:type="spellStart"/>
      <w:r w:rsidRPr="00C239D0">
        <w:rPr>
          <w:lang w:val="en-GB"/>
        </w:rPr>
        <w:t>Śri</w:t>
      </w:r>
      <w:proofErr w:type="spellEnd"/>
      <w:r w:rsidRPr="00C239D0">
        <w:rPr>
          <w:lang w:val="en-GB"/>
        </w:rPr>
        <w:t xml:space="preserve"> – Environmental development index in the </w:t>
      </w:r>
      <w:proofErr w:type="spellStart"/>
      <w:r w:rsidRPr="00C239D0">
        <w:rPr>
          <w:lang w:val="en-GB"/>
        </w:rPr>
        <w:t>i-th</w:t>
      </w:r>
      <w:proofErr w:type="spellEnd"/>
      <w:r w:rsidRPr="00C239D0">
        <w:rPr>
          <w:lang w:val="en-GB"/>
        </w:rPr>
        <w:t xml:space="preserve"> year, n – number of indicators in the model,</w:t>
      </w:r>
    </w:p>
    <w:p w14:paraId="3E801C65" w14:textId="77777777" w:rsidR="00C239D0" w:rsidRPr="00C239D0" w:rsidRDefault="00C239D0" w:rsidP="00C239D0">
      <w:pPr>
        <w:ind w:firstLine="0"/>
        <w:rPr>
          <w:lang w:val="en-GB"/>
        </w:rPr>
      </w:pPr>
      <w:r w:rsidRPr="00C239D0">
        <w:rPr>
          <w:lang w:val="en-GB"/>
        </w:rPr>
        <w:t>Zij – denotes the normalized value of the j-</w:t>
      </w:r>
      <w:proofErr w:type="spellStart"/>
      <w:r w:rsidRPr="00C239D0">
        <w:rPr>
          <w:lang w:val="en-GB"/>
        </w:rPr>
        <w:t>th</w:t>
      </w:r>
      <w:proofErr w:type="spellEnd"/>
      <w:r w:rsidRPr="00C239D0">
        <w:rPr>
          <w:lang w:val="en-GB"/>
        </w:rPr>
        <w:t xml:space="preserve"> variable in the </w:t>
      </w:r>
      <w:proofErr w:type="spellStart"/>
      <w:r w:rsidRPr="00C239D0">
        <w:rPr>
          <w:lang w:val="en-GB"/>
        </w:rPr>
        <w:t>i-th</w:t>
      </w:r>
      <w:proofErr w:type="spellEnd"/>
      <w:r w:rsidRPr="00C239D0">
        <w:rPr>
          <w:lang w:val="en-GB"/>
        </w:rPr>
        <w:t xml:space="preserve"> year.</w:t>
      </w:r>
    </w:p>
    <w:p w14:paraId="53CE2FB9" w14:textId="77777777" w:rsidR="00C239D0" w:rsidRPr="00C239D0" w:rsidRDefault="00C239D0" w:rsidP="00C239D0">
      <w:pPr>
        <w:ind w:firstLine="0"/>
        <w:rPr>
          <w:lang w:val="en-GB"/>
        </w:rPr>
      </w:pPr>
    </w:p>
    <w:p w14:paraId="2809AEAA" w14:textId="480C475E" w:rsidR="00C239D0" w:rsidRPr="00C239D0" w:rsidRDefault="005B7294" w:rsidP="006322C6">
      <w:pPr>
        <w:ind w:firstLine="0"/>
        <w:jc w:val="center"/>
        <w:rPr>
          <w:lang w:val="en-GB"/>
        </w:rPr>
      </w:pPr>
      <w:r>
        <w:rPr>
          <w:noProof/>
        </w:rPr>
        <w:drawing>
          <wp:inline distT="0" distB="0" distL="0" distR="0" wp14:anchorId="1A1AA9FB" wp14:editId="0BF7CAF1">
            <wp:extent cx="4479631" cy="2757448"/>
            <wp:effectExtent l="0" t="0" r="16510" b="5080"/>
            <wp:docPr id="69388528" name="Wykres 1">
              <a:extLst xmlns:a="http://schemas.openxmlformats.org/drawingml/2006/main">
                <a:ext uri="{FF2B5EF4-FFF2-40B4-BE49-F238E27FC236}">
                  <a16:creationId xmlns:a16="http://schemas.microsoft.com/office/drawing/2014/main" id="{DD0C7450-FB05-45B9-8A80-27879F8803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67E7D29" w14:textId="38FADB1A" w:rsidR="00C239D0" w:rsidRPr="00C239D0" w:rsidRDefault="00C239D0" w:rsidP="006F4EA3">
      <w:pPr>
        <w:pStyle w:val="Rrys"/>
        <w:rPr>
          <w:lang w:val="en-GB"/>
        </w:rPr>
      </w:pPr>
      <w:r w:rsidRPr="006F4EA3">
        <w:rPr>
          <w:b/>
          <w:bCs/>
          <w:lang w:val="en-GB"/>
        </w:rPr>
        <w:t>Fig. 4.</w:t>
      </w:r>
      <w:r w:rsidRPr="00C239D0">
        <w:rPr>
          <w:lang w:val="en-GB"/>
        </w:rPr>
        <w:t xml:space="preserve"> Fuel consumption for renewable electricity generation</w:t>
      </w:r>
    </w:p>
    <w:p w14:paraId="56013A84" w14:textId="77777777" w:rsidR="006F4EA3" w:rsidRDefault="006F4EA3" w:rsidP="00C239D0">
      <w:pPr>
        <w:ind w:firstLine="0"/>
        <w:rPr>
          <w:lang w:val="en-GB"/>
        </w:rPr>
      </w:pPr>
    </w:p>
    <w:p w14:paraId="0D9459BA" w14:textId="20149895" w:rsidR="00C239D0" w:rsidRPr="00C239D0" w:rsidRDefault="00C239D0" w:rsidP="006F4EA3">
      <w:pPr>
        <w:rPr>
          <w:lang w:val="en-GB"/>
        </w:rPr>
      </w:pPr>
      <w:r w:rsidRPr="00C239D0">
        <w:rPr>
          <w:lang w:val="en-GB"/>
        </w:rPr>
        <w:t>Achieving the EU targets for renewable energy will require gross electricity production from RES in 2020 at approximately 31 TWh, representing 18.4% of total production, and in 2030 at 39.5 TWh, which corresponds to about 18.2% of total production. The largest share will come from wind power plants – in 2030, around 18</w:t>
      </w:r>
      <w:r w:rsidR="0072775A">
        <w:rPr>
          <w:lang w:val="en-GB"/>
        </w:rPr>
        <w:t> </w:t>
      </w:r>
      <w:r w:rsidRPr="00C239D0">
        <w:rPr>
          <w:lang w:val="en-GB"/>
        </w:rPr>
        <w:t>TWh, accounting for approximately 8.2% of the projected total gross production.</w:t>
      </w:r>
    </w:p>
    <w:p w14:paraId="0F42E128" w14:textId="7D781752" w:rsidR="00C239D0" w:rsidRPr="00C239D0" w:rsidRDefault="006F4EA3" w:rsidP="006F4EA3">
      <w:pPr>
        <w:pStyle w:val="Rn1"/>
        <w:rPr>
          <w:lang w:val="en-GB"/>
        </w:rPr>
      </w:pPr>
      <w:r>
        <w:rPr>
          <w:lang w:val="en-GB"/>
        </w:rPr>
        <w:t xml:space="preserve">3. </w:t>
      </w:r>
      <w:r w:rsidR="00C239D0" w:rsidRPr="00C239D0">
        <w:rPr>
          <w:lang w:val="en-GB"/>
        </w:rPr>
        <w:t>Materials and Methods</w:t>
      </w:r>
    </w:p>
    <w:p w14:paraId="13C471EF" w14:textId="3EF73749" w:rsidR="00C239D0" w:rsidRDefault="00C239D0" w:rsidP="006F4EA3">
      <w:pPr>
        <w:rPr>
          <w:lang w:val="en-GB"/>
        </w:rPr>
      </w:pPr>
      <w:r w:rsidRPr="00C239D0">
        <w:rPr>
          <w:lang w:val="en-GB"/>
        </w:rPr>
        <w:t xml:space="preserve">The aim of the study was to identify and assess the consumption </w:t>
      </w:r>
      <w:proofErr w:type="spellStart"/>
      <w:r w:rsidRPr="00C239D0">
        <w:rPr>
          <w:lang w:val="en-GB"/>
        </w:rPr>
        <w:t>behaviors</w:t>
      </w:r>
      <w:proofErr w:type="spellEnd"/>
      <w:r w:rsidRPr="00C239D0">
        <w:rPr>
          <w:lang w:val="en-GB"/>
        </w:rPr>
        <w:t xml:space="preserve"> of the young population in the context of concern for sustainable energy development. The term </w:t>
      </w:r>
      <w:r w:rsidR="00191A53">
        <w:rPr>
          <w:lang w:val="en-GB"/>
        </w:rPr>
        <w:t>"</w:t>
      </w:r>
      <w:r w:rsidRPr="00C239D0">
        <w:rPr>
          <w:lang w:val="en-GB"/>
        </w:rPr>
        <w:t>concern</w:t>
      </w:r>
      <w:r w:rsidR="00191A53">
        <w:rPr>
          <w:lang w:val="en-GB"/>
        </w:rPr>
        <w:t>"</w:t>
      </w:r>
      <w:r w:rsidRPr="00C239D0">
        <w:rPr>
          <w:lang w:val="en-GB"/>
        </w:rPr>
        <w:t xml:space="preserve"> should be understood as recognizing the current state of awareness of existing threats and ongoing pro-environmental actions, particularly in the area of energy sources. The empirical study was conducted in Poland between September and October </w:t>
      </w:r>
      <w:r w:rsidRPr="00C239D0">
        <w:rPr>
          <w:lang w:val="en-GB"/>
        </w:rPr>
        <w:lastRenderedPageBreak/>
        <w:t>2025 using the CAWI method (Computer</w:t>
      </w:r>
      <w:r w:rsidR="00191A53">
        <w:rPr>
          <w:lang w:val="en-GB"/>
        </w:rPr>
        <w:t>-</w:t>
      </w:r>
      <w:r w:rsidRPr="00C239D0">
        <w:rPr>
          <w:lang w:val="en-GB"/>
        </w:rPr>
        <w:t>Assisted Web Interview). The questionnaire included 15 closed-ended questions (excluding demographic questions) with single- and multiple-choice response options, as well as a 7-point rating scale. In total, 98 completed questionnaires were obtained; all respondents answered every question, which were subsequently subjected to further analysis. The study targeted respondents representing the young consumer society, classified as Generation Y and Generation Z. The characteristics of the study sample are presented in Table 2</w:t>
      </w:r>
      <w:r w:rsidR="00D50DB0">
        <w:rPr>
          <w:lang w:val="en-GB"/>
        </w:rPr>
        <w:t>.</w:t>
      </w:r>
    </w:p>
    <w:p w14:paraId="4A3D77DA" w14:textId="77777777" w:rsidR="006F4EA3" w:rsidRPr="00C239D0" w:rsidRDefault="006F4EA3" w:rsidP="006F4EA3">
      <w:pPr>
        <w:ind w:firstLine="0"/>
        <w:rPr>
          <w:lang w:val="en-GB"/>
        </w:rPr>
      </w:pPr>
    </w:p>
    <w:p w14:paraId="72538C5A" w14:textId="0D9B947E" w:rsidR="00C239D0" w:rsidRPr="00C239D0" w:rsidRDefault="00C239D0" w:rsidP="006F4EA3">
      <w:pPr>
        <w:pStyle w:val="Rtab"/>
        <w:rPr>
          <w:lang w:val="en-GB"/>
        </w:rPr>
      </w:pPr>
      <w:r w:rsidRPr="006F4EA3">
        <w:rPr>
          <w:b/>
          <w:bCs/>
          <w:lang w:val="en-GB"/>
        </w:rPr>
        <w:t>Tab</w:t>
      </w:r>
      <w:r w:rsidR="006F4EA3" w:rsidRPr="006F4EA3">
        <w:rPr>
          <w:b/>
          <w:bCs/>
          <w:lang w:val="en-GB"/>
        </w:rPr>
        <w:t>le</w:t>
      </w:r>
      <w:r w:rsidRPr="006F4EA3">
        <w:rPr>
          <w:b/>
          <w:bCs/>
          <w:lang w:val="en-GB"/>
        </w:rPr>
        <w:t xml:space="preserve"> 2.</w:t>
      </w:r>
      <w:r w:rsidRPr="00C239D0">
        <w:rPr>
          <w:lang w:val="en-GB"/>
        </w:rPr>
        <w:t xml:space="preserve"> Identification of respondents</w:t>
      </w:r>
    </w:p>
    <w:tbl>
      <w:tblPr>
        <w:tblW w:w="9503" w:type="dxa"/>
        <w:jc w:val="center"/>
        <w:tblCellMar>
          <w:left w:w="70" w:type="dxa"/>
          <w:right w:w="70" w:type="dxa"/>
        </w:tblCellMar>
        <w:tblLook w:val="04A0" w:firstRow="1" w:lastRow="0" w:firstColumn="1" w:lastColumn="0" w:noHBand="0" w:noVBand="1"/>
      </w:tblPr>
      <w:tblGrid>
        <w:gridCol w:w="1843"/>
        <w:gridCol w:w="4673"/>
        <w:gridCol w:w="1423"/>
        <w:gridCol w:w="1564"/>
      </w:tblGrid>
      <w:tr w:rsidR="006F4EA3" w:rsidRPr="006F4EA3" w14:paraId="3723EEC1" w14:textId="77777777" w:rsidTr="00D50DB0">
        <w:trPr>
          <w:trHeight w:val="268"/>
          <w:jc w:val="center"/>
        </w:trPr>
        <w:tc>
          <w:tcPr>
            <w:tcW w:w="6516"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532929A0" w14:textId="77777777" w:rsidR="006F4EA3" w:rsidRPr="006F4EA3" w:rsidRDefault="006F4EA3" w:rsidP="006F4EA3">
            <w:pPr>
              <w:ind w:firstLine="0"/>
              <w:jc w:val="center"/>
              <w:rPr>
                <w:rFonts w:eastAsia="Times New Roman" w:cs="Times New Roman"/>
                <w:color w:val="000000"/>
                <w:lang w:val="en-GB" w:eastAsia="pl-PL"/>
              </w:rPr>
            </w:pPr>
            <w:r w:rsidRPr="006F4EA3">
              <w:rPr>
                <w:rFonts w:eastAsia="Times New Roman" w:cs="Times New Roman"/>
                <w:color w:val="000000"/>
                <w:lang w:val="en-GB" w:eastAsia="pl-PL"/>
              </w:rPr>
              <w:t>Specification</w:t>
            </w:r>
          </w:p>
        </w:tc>
        <w:tc>
          <w:tcPr>
            <w:tcW w:w="2987" w:type="dxa"/>
            <w:gridSpan w:val="2"/>
            <w:tcBorders>
              <w:top w:val="single" w:sz="4" w:space="0" w:color="auto"/>
              <w:left w:val="nil"/>
              <w:bottom w:val="single" w:sz="4" w:space="0" w:color="auto"/>
              <w:right w:val="single" w:sz="4" w:space="0" w:color="auto"/>
            </w:tcBorders>
            <w:noWrap/>
            <w:vAlign w:val="center"/>
            <w:hideMark/>
          </w:tcPr>
          <w:p w14:paraId="6D2ECAB8" w14:textId="77777777" w:rsidR="006F4EA3" w:rsidRPr="006F4EA3" w:rsidRDefault="006F4EA3" w:rsidP="006F4EA3">
            <w:pPr>
              <w:ind w:firstLine="0"/>
              <w:jc w:val="center"/>
              <w:rPr>
                <w:rFonts w:eastAsia="Times New Roman" w:cs="Times New Roman"/>
                <w:color w:val="000000"/>
                <w:lang w:val="en-GB" w:eastAsia="pl-PL"/>
              </w:rPr>
            </w:pPr>
            <w:r w:rsidRPr="006F4EA3">
              <w:rPr>
                <w:rFonts w:eastAsia="Times New Roman" w:cs="Times New Roman"/>
                <w:color w:val="000000"/>
                <w:lang w:val="en-GB" w:eastAsia="pl-PL"/>
              </w:rPr>
              <w:t>Respondents</w:t>
            </w:r>
          </w:p>
        </w:tc>
      </w:tr>
      <w:tr w:rsidR="006F4EA3" w:rsidRPr="006F4EA3" w14:paraId="3A529672" w14:textId="77777777" w:rsidTr="00D50DB0">
        <w:trPr>
          <w:trHeight w:val="268"/>
          <w:jc w:val="center"/>
        </w:trPr>
        <w:tc>
          <w:tcPr>
            <w:tcW w:w="6516" w:type="dxa"/>
            <w:gridSpan w:val="2"/>
            <w:vMerge/>
            <w:tcBorders>
              <w:top w:val="single" w:sz="4" w:space="0" w:color="auto"/>
              <w:left w:val="single" w:sz="4" w:space="0" w:color="auto"/>
              <w:bottom w:val="single" w:sz="4" w:space="0" w:color="auto"/>
              <w:right w:val="single" w:sz="4" w:space="0" w:color="auto"/>
            </w:tcBorders>
            <w:vAlign w:val="center"/>
            <w:hideMark/>
          </w:tcPr>
          <w:p w14:paraId="788B29F7" w14:textId="77777777" w:rsidR="006F4EA3" w:rsidRPr="006F4EA3" w:rsidRDefault="006F4EA3" w:rsidP="006F4EA3">
            <w:pPr>
              <w:ind w:firstLine="0"/>
              <w:jc w:val="center"/>
              <w:rPr>
                <w:rFonts w:eastAsia="Times New Roman" w:cs="Times New Roman"/>
                <w:color w:val="000000"/>
                <w:lang w:val="en-GB" w:eastAsia="pl-PL"/>
              </w:rPr>
            </w:pPr>
          </w:p>
        </w:tc>
        <w:tc>
          <w:tcPr>
            <w:tcW w:w="1423" w:type="dxa"/>
            <w:tcBorders>
              <w:top w:val="nil"/>
              <w:left w:val="nil"/>
              <w:bottom w:val="single" w:sz="4" w:space="0" w:color="auto"/>
              <w:right w:val="single" w:sz="4" w:space="0" w:color="auto"/>
            </w:tcBorders>
            <w:noWrap/>
            <w:vAlign w:val="center"/>
            <w:hideMark/>
          </w:tcPr>
          <w:p w14:paraId="0DD5F05B" w14:textId="77777777" w:rsidR="006F4EA3" w:rsidRPr="006F4EA3" w:rsidRDefault="006F4EA3" w:rsidP="00D50DB0">
            <w:pPr>
              <w:ind w:firstLine="0"/>
              <w:jc w:val="center"/>
              <w:rPr>
                <w:rFonts w:eastAsia="Times New Roman" w:cs="Times New Roman"/>
                <w:color w:val="000000"/>
                <w:lang w:val="en-GB" w:eastAsia="pl-PL"/>
              </w:rPr>
            </w:pPr>
            <w:r w:rsidRPr="006F4EA3">
              <w:rPr>
                <w:rFonts w:eastAsia="Times New Roman" w:cs="Times New Roman"/>
                <w:color w:val="000000"/>
                <w:lang w:val="en-GB" w:eastAsia="pl-PL"/>
              </w:rPr>
              <w:t>Number</w:t>
            </w:r>
          </w:p>
        </w:tc>
        <w:tc>
          <w:tcPr>
            <w:tcW w:w="1564" w:type="dxa"/>
            <w:tcBorders>
              <w:top w:val="nil"/>
              <w:left w:val="nil"/>
              <w:bottom w:val="single" w:sz="4" w:space="0" w:color="auto"/>
              <w:right w:val="single" w:sz="4" w:space="0" w:color="auto"/>
            </w:tcBorders>
            <w:noWrap/>
            <w:vAlign w:val="center"/>
            <w:hideMark/>
          </w:tcPr>
          <w:p w14:paraId="63727DD7" w14:textId="77777777" w:rsidR="006F4EA3" w:rsidRPr="006F4EA3" w:rsidRDefault="006F4EA3" w:rsidP="00D50DB0">
            <w:pPr>
              <w:ind w:firstLine="0"/>
              <w:jc w:val="center"/>
              <w:rPr>
                <w:rFonts w:eastAsia="Times New Roman" w:cs="Times New Roman"/>
                <w:color w:val="000000"/>
                <w:lang w:val="en-GB" w:eastAsia="pl-PL"/>
              </w:rPr>
            </w:pPr>
            <w:proofErr w:type="spellStart"/>
            <w:r w:rsidRPr="006F4EA3">
              <w:rPr>
                <w:rFonts w:eastAsia="Times New Roman" w:cs="Times New Roman"/>
                <w:color w:val="000000"/>
                <w:lang w:val="en-GB" w:eastAsia="pl-PL"/>
              </w:rPr>
              <w:t>Procent</w:t>
            </w:r>
            <w:proofErr w:type="spellEnd"/>
          </w:p>
        </w:tc>
      </w:tr>
      <w:tr w:rsidR="006F4EA3" w:rsidRPr="006F4EA3" w14:paraId="3B1769B5" w14:textId="77777777" w:rsidTr="00D50DB0">
        <w:trPr>
          <w:trHeight w:val="283"/>
          <w:jc w:val="center"/>
        </w:trPr>
        <w:tc>
          <w:tcPr>
            <w:tcW w:w="1843" w:type="dxa"/>
            <w:vMerge w:val="restart"/>
            <w:tcBorders>
              <w:top w:val="nil"/>
              <w:left w:val="single" w:sz="4" w:space="0" w:color="auto"/>
              <w:bottom w:val="single" w:sz="4" w:space="0" w:color="auto"/>
              <w:right w:val="single" w:sz="4" w:space="0" w:color="auto"/>
            </w:tcBorders>
            <w:vAlign w:val="center"/>
            <w:hideMark/>
          </w:tcPr>
          <w:p w14:paraId="0D625820" w14:textId="00B2EABA" w:rsidR="006F4EA3" w:rsidRPr="006F4EA3" w:rsidRDefault="006F4EA3" w:rsidP="006F4EA3">
            <w:pPr>
              <w:ind w:firstLine="0"/>
              <w:jc w:val="left"/>
              <w:rPr>
                <w:rFonts w:eastAsia="Times New Roman" w:cs="Times New Roman"/>
                <w:color w:val="000000"/>
                <w:lang w:val="en-GB" w:eastAsia="pl-PL"/>
              </w:rPr>
            </w:pPr>
            <w:r w:rsidRPr="006F4EA3">
              <w:rPr>
                <w:rFonts w:eastAsia="Times New Roman" w:cs="Times New Roman"/>
                <w:color w:val="000000"/>
                <w:lang w:val="en-GB" w:eastAsia="pl-PL"/>
              </w:rPr>
              <w:t xml:space="preserve">Gender </w:t>
            </w:r>
            <w:r w:rsidR="00D50DB0">
              <w:rPr>
                <w:rFonts w:eastAsia="Times New Roman" w:cs="Times New Roman"/>
                <w:color w:val="000000"/>
                <w:lang w:val="en-GB" w:eastAsia="pl-PL"/>
              </w:rPr>
              <w:br/>
            </w:r>
            <w:r w:rsidRPr="006F4EA3">
              <w:rPr>
                <w:rFonts w:eastAsia="Times New Roman" w:cs="Times New Roman"/>
                <w:color w:val="000000"/>
                <w:lang w:val="en-GB" w:eastAsia="pl-PL"/>
              </w:rPr>
              <w:t>of respondents</w:t>
            </w:r>
          </w:p>
        </w:tc>
        <w:tc>
          <w:tcPr>
            <w:tcW w:w="4673" w:type="dxa"/>
            <w:tcBorders>
              <w:top w:val="single" w:sz="4" w:space="0" w:color="auto"/>
              <w:left w:val="nil"/>
              <w:bottom w:val="single" w:sz="4" w:space="0" w:color="auto"/>
              <w:right w:val="single" w:sz="4" w:space="0" w:color="auto"/>
            </w:tcBorders>
            <w:noWrap/>
            <w:vAlign w:val="center"/>
            <w:hideMark/>
          </w:tcPr>
          <w:p w14:paraId="10DB8CC2" w14:textId="77777777" w:rsidR="006F4EA3" w:rsidRPr="006F4EA3" w:rsidRDefault="006F4EA3" w:rsidP="00D50DB0">
            <w:pPr>
              <w:ind w:firstLine="0"/>
              <w:jc w:val="left"/>
              <w:rPr>
                <w:rFonts w:eastAsia="Times New Roman" w:cs="Times New Roman"/>
                <w:color w:val="000000"/>
                <w:lang w:val="en-GB" w:eastAsia="pl-PL"/>
              </w:rPr>
            </w:pPr>
            <w:r w:rsidRPr="006F4EA3">
              <w:rPr>
                <w:rFonts w:eastAsia="Times New Roman" w:cs="Times New Roman"/>
                <w:color w:val="000000"/>
                <w:lang w:val="en-GB" w:eastAsia="pl-PL"/>
              </w:rPr>
              <w:t>Female</w:t>
            </w:r>
          </w:p>
        </w:tc>
        <w:tc>
          <w:tcPr>
            <w:tcW w:w="1423" w:type="dxa"/>
            <w:tcBorders>
              <w:top w:val="single" w:sz="4" w:space="0" w:color="auto"/>
              <w:left w:val="single" w:sz="4" w:space="0" w:color="auto"/>
              <w:bottom w:val="single" w:sz="4" w:space="0" w:color="auto"/>
              <w:right w:val="single" w:sz="4" w:space="0" w:color="auto"/>
            </w:tcBorders>
            <w:noWrap/>
            <w:vAlign w:val="center"/>
            <w:hideMark/>
          </w:tcPr>
          <w:p w14:paraId="51B3ACBE" w14:textId="77777777" w:rsidR="006F4EA3" w:rsidRPr="006F4EA3" w:rsidRDefault="006F4EA3" w:rsidP="00D50DB0">
            <w:pPr>
              <w:ind w:right="461" w:firstLine="0"/>
              <w:jc w:val="right"/>
              <w:rPr>
                <w:rFonts w:eastAsia="Times New Roman" w:cs="Times New Roman"/>
                <w:color w:val="000000"/>
                <w:lang w:val="en-GB" w:eastAsia="pl-PL"/>
              </w:rPr>
            </w:pPr>
            <w:r w:rsidRPr="006F4EA3">
              <w:rPr>
                <w:rFonts w:eastAsia="Times New Roman" w:cs="Times New Roman"/>
                <w:color w:val="000000"/>
                <w:lang w:val="en-GB" w:eastAsia="pl-PL"/>
              </w:rPr>
              <w:t>45</w:t>
            </w:r>
          </w:p>
        </w:tc>
        <w:tc>
          <w:tcPr>
            <w:tcW w:w="1564" w:type="dxa"/>
            <w:tcBorders>
              <w:top w:val="single" w:sz="4" w:space="0" w:color="auto"/>
              <w:left w:val="single" w:sz="4" w:space="0" w:color="auto"/>
              <w:bottom w:val="single" w:sz="4" w:space="0" w:color="auto"/>
              <w:right w:val="single" w:sz="4" w:space="0" w:color="auto"/>
            </w:tcBorders>
            <w:noWrap/>
            <w:vAlign w:val="center"/>
            <w:hideMark/>
          </w:tcPr>
          <w:p w14:paraId="74F6CCB0" w14:textId="77777777" w:rsidR="006F4EA3" w:rsidRPr="006F4EA3" w:rsidRDefault="006F4EA3" w:rsidP="00D50DB0">
            <w:pPr>
              <w:ind w:right="505" w:firstLine="0"/>
              <w:jc w:val="right"/>
              <w:rPr>
                <w:rFonts w:eastAsia="Times New Roman" w:cs="Times New Roman"/>
                <w:color w:val="000000"/>
                <w:lang w:val="en-GB" w:eastAsia="pl-PL"/>
              </w:rPr>
            </w:pPr>
            <w:r w:rsidRPr="006F4EA3">
              <w:rPr>
                <w:rFonts w:eastAsia="Times New Roman" w:cs="Times New Roman"/>
                <w:color w:val="000000"/>
                <w:lang w:val="en-GB" w:eastAsia="pl-PL"/>
              </w:rPr>
              <w:t>45.9</w:t>
            </w:r>
          </w:p>
        </w:tc>
      </w:tr>
      <w:tr w:rsidR="006F4EA3" w:rsidRPr="006F4EA3" w14:paraId="4A1BBE96" w14:textId="77777777" w:rsidTr="00D50DB0">
        <w:trPr>
          <w:trHeight w:val="283"/>
          <w:jc w:val="center"/>
        </w:trPr>
        <w:tc>
          <w:tcPr>
            <w:tcW w:w="1843" w:type="dxa"/>
            <w:vMerge/>
            <w:tcBorders>
              <w:top w:val="nil"/>
              <w:left w:val="single" w:sz="4" w:space="0" w:color="auto"/>
              <w:bottom w:val="single" w:sz="4" w:space="0" w:color="auto"/>
              <w:right w:val="single" w:sz="4" w:space="0" w:color="auto"/>
            </w:tcBorders>
            <w:vAlign w:val="center"/>
            <w:hideMark/>
          </w:tcPr>
          <w:p w14:paraId="0C3F22A4" w14:textId="77777777" w:rsidR="006F4EA3" w:rsidRPr="006F4EA3" w:rsidRDefault="006F4EA3" w:rsidP="006F4EA3">
            <w:pPr>
              <w:ind w:firstLine="0"/>
              <w:jc w:val="left"/>
              <w:rPr>
                <w:rFonts w:eastAsia="Times New Roman" w:cs="Times New Roman"/>
                <w:color w:val="000000"/>
                <w:lang w:val="en-GB" w:eastAsia="pl-PL"/>
              </w:rPr>
            </w:pPr>
          </w:p>
        </w:tc>
        <w:tc>
          <w:tcPr>
            <w:tcW w:w="4673" w:type="dxa"/>
            <w:tcBorders>
              <w:top w:val="single" w:sz="4" w:space="0" w:color="auto"/>
              <w:left w:val="nil"/>
              <w:bottom w:val="single" w:sz="4" w:space="0" w:color="auto"/>
              <w:right w:val="single" w:sz="4" w:space="0" w:color="auto"/>
            </w:tcBorders>
            <w:noWrap/>
            <w:vAlign w:val="center"/>
            <w:hideMark/>
          </w:tcPr>
          <w:p w14:paraId="6D20B7E8" w14:textId="77777777" w:rsidR="006F4EA3" w:rsidRPr="006F4EA3" w:rsidRDefault="006F4EA3" w:rsidP="00D50DB0">
            <w:pPr>
              <w:ind w:firstLine="0"/>
              <w:jc w:val="left"/>
              <w:rPr>
                <w:rFonts w:eastAsia="Times New Roman" w:cs="Times New Roman"/>
                <w:color w:val="000000"/>
                <w:lang w:val="en-GB" w:eastAsia="pl-PL"/>
              </w:rPr>
            </w:pPr>
            <w:r w:rsidRPr="006F4EA3">
              <w:rPr>
                <w:rFonts w:eastAsia="Times New Roman" w:cs="Times New Roman"/>
                <w:color w:val="000000"/>
                <w:lang w:val="en-GB" w:eastAsia="pl-PL"/>
              </w:rPr>
              <w:t>Male</w:t>
            </w:r>
          </w:p>
        </w:tc>
        <w:tc>
          <w:tcPr>
            <w:tcW w:w="1423" w:type="dxa"/>
            <w:tcBorders>
              <w:top w:val="single" w:sz="4" w:space="0" w:color="auto"/>
              <w:left w:val="single" w:sz="4" w:space="0" w:color="auto"/>
              <w:bottom w:val="single" w:sz="4" w:space="0" w:color="auto"/>
              <w:right w:val="single" w:sz="4" w:space="0" w:color="auto"/>
            </w:tcBorders>
            <w:noWrap/>
            <w:vAlign w:val="center"/>
            <w:hideMark/>
          </w:tcPr>
          <w:p w14:paraId="1B3C2051" w14:textId="77777777" w:rsidR="006F4EA3" w:rsidRPr="006F4EA3" w:rsidRDefault="006F4EA3" w:rsidP="00D50DB0">
            <w:pPr>
              <w:ind w:right="461" w:firstLine="0"/>
              <w:jc w:val="right"/>
              <w:rPr>
                <w:rFonts w:eastAsia="Times New Roman" w:cs="Times New Roman"/>
                <w:color w:val="000000"/>
                <w:lang w:val="en-GB" w:eastAsia="pl-PL"/>
              </w:rPr>
            </w:pPr>
            <w:r w:rsidRPr="006F4EA3">
              <w:rPr>
                <w:rFonts w:eastAsia="Times New Roman" w:cs="Times New Roman"/>
                <w:color w:val="000000"/>
                <w:lang w:val="en-GB" w:eastAsia="pl-PL"/>
              </w:rPr>
              <w:t>53</w:t>
            </w:r>
          </w:p>
        </w:tc>
        <w:tc>
          <w:tcPr>
            <w:tcW w:w="1564" w:type="dxa"/>
            <w:tcBorders>
              <w:top w:val="single" w:sz="4" w:space="0" w:color="auto"/>
              <w:left w:val="single" w:sz="4" w:space="0" w:color="auto"/>
              <w:bottom w:val="single" w:sz="4" w:space="0" w:color="auto"/>
              <w:right w:val="single" w:sz="4" w:space="0" w:color="auto"/>
            </w:tcBorders>
            <w:noWrap/>
            <w:vAlign w:val="center"/>
            <w:hideMark/>
          </w:tcPr>
          <w:p w14:paraId="6CB07F97" w14:textId="77777777" w:rsidR="006F4EA3" w:rsidRPr="006F4EA3" w:rsidRDefault="006F4EA3" w:rsidP="00D50DB0">
            <w:pPr>
              <w:ind w:right="505" w:firstLine="0"/>
              <w:jc w:val="right"/>
              <w:rPr>
                <w:rFonts w:eastAsia="Times New Roman" w:cs="Times New Roman"/>
                <w:color w:val="000000"/>
                <w:lang w:val="en-GB" w:eastAsia="pl-PL"/>
              </w:rPr>
            </w:pPr>
            <w:r w:rsidRPr="006F4EA3">
              <w:rPr>
                <w:rFonts w:eastAsia="Times New Roman" w:cs="Times New Roman"/>
                <w:color w:val="000000"/>
                <w:lang w:val="en-GB" w:eastAsia="pl-PL"/>
              </w:rPr>
              <w:t>54.1</w:t>
            </w:r>
          </w:p>
        </w:tc>
      </w:tr>
      <w:tr w:rsidR="006F4EA3" w:rsidRPr="006F4EA3" w14:paraId="56561575" w14:textId="77777777" w:rsidTr="00D50DB0">
        <w:trPr>
          <w:trHeight w:val="283"/>
          <w:jc w:val="center"/>
        </w:trPr>
        <w:tc>
          <w:tcPr>
            <w:tcW w:w="1843" w:type="dxa"/>
            <w:vMerge w:val="restart"/>
            <w:tcBorders>
              <w:top w:val="nil"/>
              <w:left w:val="single" w:sz="4" w:space="0" w:color="auto"/>
              <w:bottom w:val="single" w:sz="4" w:space="0" w:color="auto"/>
              <w:right w:val="single" w:sz="4" w:space="0" w:color="auto"/>
            </w:tcBorders>
            <w:noWrap/>
            <w:vAlign w:val="center"/>
            <w:hideMark/>
          </w:tcPr>
          <w:p w14:paraId="256B6EB7" w14:textId="77777777" w:rsidR="006F4EA3" w:rsidRPr="006F4EA3" w:rsidRDefault="006F4EA3" w:rsidP="006F4EA3">
            <w:pPr>
              <w:ind w:firstLine="0"/>
              <w:jc w:val="left"/>
              <w:rPr>
                <w:rFonts w:eastAsia="Times New Roman" w:cs="Times New Roman"/>
                <w:color w:val="000000"/>
                <w:lang w:val="en-GB" w:eastAsia="pl-PL"/>
              </w:rPr>
            </w:pPr>
            <w:r w:rsidRPr="006F4EA3">
              <w:rPr>
                <w:rFonts w:eastAsia="Times New Roman" w:cs="Times New Roman"/>
                <w:color w:val="000000"/>
                <w:lang w:val="en-GB" w:eastAsia="pl-PL"/>
              </w:rPr>
              <w:t>Residence</w:t>
            </w:r>
          </w:p>
        </w:tc>
        <w:tc>
          <w:tcPr>
            <w:tcW w:w="4673" w:type="dxa"/>
            <w:tcBorders>
              <w:top w:val="single" w:sz="4" w:space="0" w:color="auto"/>
              <w:left w:val="nil"/>
              <w:bottom w:val="single" w:sz="4" w:space="0" w:color="auto"/>
              <w:right w:val="single" w:sz="4" w:space="0" w:color="auto"/>
            </w:tcBorders>
            <w:noWrap/>
            <w:vAlign w:val="center"/>
            <w:hideMark/>
          </w:tcPr>
          <w:p w14:paraId="25831D60" w14:textId="77777777" w:rsidR="006F4EA3" w:rsidRPr="006F4EA3" w:rsidRDefault="006F4EA3" w:rsidP="00D50DB0">
            <w:pPr>
              <w:ind w:firstLine="0"/>
              <w:jc w:val="left"/>
              <w:rPr>
                <w:rFonts w:eastAsia="Times New Roman" w:cs="Times New Roman"/>
                <w:color w:val="000000"/>
                <w:lang w:val="en-GB" w:eastAsia="pl-PL"/>
              </w:rPr>
            </w:pPr>
            <w:r w:rsidRPr="006F4EA3">
              <w:rPr>
                <w:rFonts w:eastAsia="Times New Roman" w:cs="Times New Roman"/>
                <w:color w:val="000000"/>
                <w:lang w:val="en-GB" w:eastAsia="pl-PL"/>
              </w:rPr>
              <w:t>Village</w:t>
            </w:r>
          </w:p>
        </w:tc>
        <w:tc>
          <w:tcPr>
            <w:tcW w:w="1423" w:type="dxa"/>
            <w:tcBorders>
              <w:top w:val="single" w:sz="4" w:space="0" w:color="auto"/>
              <w:left w:val="single" w:sz="4" w:space="0" w:color="auto"/>
              <w:bottom w:val="single" w:sz="4" w:space="0" w:color="auto"/>
              <w:right w:val="single" w:sz="4" w:space="0" w:color="auto"/>
            </w:tcBorders>
            <w:noWrap/>
            <w:vAlign w:val="center"/>
            <w:hideMark/>
          </w:tcPr>
          <w:p w14:paraId="320ABCE0" w14:textId="77777777" w:rsidR="006F4EA3" w:rsidRPr="006F4EA3" w:rsidRDefault="006F4EA3" w:rsidP="00D50DB0">
            <w:pPr>
              <w:ind w:right="461" w:firstLine="0"/>
              <w:jc w:val="right"/>
              <w:rPr>
                <w:rFonts w:eastAsia="Times New Roman" w:cs="Times New Roman"/>
                <w:color w:val="000000"/>
                <w:lang w:val="en-GB" w:eastAsia="pl-PL"/>
              </w:rPr>
            </w:pPr>
            <w:r w:rsidRPr="006F4EA3">
              <w:rPr>
                <w:rFonts w:eastAsia="Times New Roman" w:cs="Times New Roman"/>
                <w:color w:val="000000"/>
                <w:lang w:val="en-GB" w:eastAsia="pl-PL"/>
              </w:rPr>
              <w:t>21</w:t>
            </w:r>
          </w:p>
        </w:tc>
        <w:tc>
          <w:tcPr>
            <w:tcW w:w="1564" w:type="dxa"/>
            <w:tcBorders>
              <w:top w:val="single" w:sz="4" w:space="0" w:color="auto"/>
              <w:left w:val="single" w:sz="4" w:space="0" w:color="auto"/>
              <w:bottom w:val="single" w:sz="4" w:space="0" w:color="auto"/>
              <w:right w:val="single" w:sz="4" w:space="0" w:color="auto"/>
            </w:tcBorders>
            <w:noWrap/>
            <w:vAlign w:val="center"/>
            <w:hideMark/>
          </w:tcPr>
          <w:p w14:paraId="60FC9E69" w14:textId="77777777" w:rsidR="006F4EA3" w:rsidRPr="006F4EA3" w:rsidRDefault="006F4EA3" w:rsidP="00D50DB0">
            <w:pPr>
              <w:ind w:right="505" w:firstLine="0"/>
              <w:jc w:val="right"/>
              <w:rPr>
                <w:rFonts w:eastAsia="Times New Roman" w:cs="Times New Roman"/>
                <w:color w:val="000000"/>
                <w:lang w:val="en-GB" w:eastAsia="pl-PL"/>
              </w:rPr>
            </w:pPr>
            <w:r w:rsidRPr="006F4EA3">
              <w:rPr>
                <w:rFonts w:eastAsia="Times New Roman" w:cs="Times New Roman"/>
                <w:color w:val="000000"/>
                <w:lang w:val="en-GB" w:eastAsia="pl-PL"/>
              </w:rPr>
              <w:t>21.4</w:t>
            </w:r>
          </w:p>
        </w:tc>
      </w:tr>
      <w:tr w:rsidR="006F4EA3" w:rsidRPr="006F4EA3" w14:paraId="591C297D" w14:textId="77777777" w:rsidTr="00D50DB0">
        <w:trPr>
          <w:trHeight w:val="283"/>
          <w:jc w:val="center"/>
        </w:trPr>
        <w:tc>
          <w:tcPr>
            <w:tcW w:w="1843" w:type="dxa"/>
            <w:vMerge/>
            <w:tcBorders>
              <w:top w:val="nil"/>
              <w:left w:val="single" w:sz="4" w:space="0" w:color="auto"/>
              <w:bottom w:val="single" w:sz="4" w:space="0" w:color="auto"/>
              <w:right w:val="single" w:sz="4" w:space="0" w:color="auto"/>
            </w:tcBorders>
            <w:vAlign w:val="center"/>
            <w:hideMark/>
          </w:tcPr>
          <w:p w14:paraId="3F821840" w14:textId="77777777" w:rsidR="006F4EA3" w:rsidRPr="006F4EA3" w:rsidRDefault="006F4EA3" w:rsidP="006F4EA3">
            <w:pPr>
              <w:ind w:firstLine="0"/>
              <w:jc w:val="left"/>
              <w:rPr>
                <w:rFonts w:eastAsia="Times New Roman" w:cs="Times New Roman"/>
                <w:color w:val="000000"/>
                <w:lang w:val="en-GB" w:eastAsia="pl-PL"/>
              </w:rPr>
            </w:pPr>
          </w:p>
        </w:tc>
        <w:tc>
          <w:tcPr>
            <w:tcW w:w="4673" w:type="dxa"/>
            <w:tcBorders>
              <w:top w:val="single" w:sz="4" w:space="0" w:color="auto"/>
              <w:left w:val="nil"/>
              <w:bottom w:val="single" w:sz="4" w:space="0" w:color="auto"/>
              <w:right w:val="single" w:sz="4" w:space="0" w:color="auto"/>
            </w:tcBorders>
            <w:noWrap/>
            <w:vAlign w:val="center"/>
            <w:hideMark/>
          </w:tcPr>
          <w:p w14:paraId="7CE9148E" w14:textId="2D10CA4E" w:rsidR="006F4EA3" w:rsidRPr="006F4EA3" w:rsidRDefault="006F4EA3" w:rsidP="00D50DB0">
            <w:pPr>
              <w:ind w:firstLine="0"/>
              <w:jc w:val="left"/>
              <w:rPr>
                <w:rFonts w:eastAsia="Times New Roman" w:cs="Times New Roman"/>
                <w:color w:val="000000"/>
                <w:lang w:val="en-GB" w:eastAsia="pl-PL"/>
              </w:rPr>
            </w:pPr>
            <w:r w:rsidRPr="006F4EA3">
              <w:rPr>
                <w:rFonts w:eastAsia="Times New Roman" w:cs="Times New Roman"/>
                <w:color w:val="000000"/>
                <w:lang w:val="en-GB" w:eastAsia="pl-PL"/>
              </w:rPr>
              <w:t xml:space="preserve">City </w:t>
            </w:r>
            <w:r w:rsidR="00191A53">
              <w:rPr>
                <w:rFonts w:eastAsia="Times New Roman" w:cs="Times New Roman"/>
                <w:color w:val="000000"/>
                <w:lang w:val="en-GB" w:eastAsia="pl-PL"/>
              </w:rPr>
              <w:t xml:space="preserve">with </w:t>
            </w:r>
            <w:r w:rsidRPr="006F4EA3">
              <w:rPr>
                <w:rFonts w:eastAsia="Times New Roman" w:cs="Times New Roman"/>
                <w:color w:val="000000"/>
                <w:lang w:val="en-GB" w:eastAsia="pl-PL"/>
              </w:rPr>
              <w:t>up to 5,000 inhabitants</w:t>
            </w:r>
          </w:p>
        </w:tc>
        <w:tc>
          <w:tcPr>
            <w:tcW w:w="1423" w:type="dxa"/>
            <w:tcBorders>
              <w:top w:val="single" w:sz="4" w:space="0" w:color="auto"/>
              <w:left w:val="single" w:sz="4" w:space="0" w:color="auto"/>
              <w:bottom w:val="single" w:sz="4" w:space="0" w:color="auto"/>
              <w:right w:val="single" w:sz="4" w:space="0" w:color="auto"/>
            </w:tcBorders>
            <w:noWrap/>
            <w:vAlign w:val="center"/>
            <w:hideMark/>
          </w:tcPr>
          <w:p w14:paraId="14C68C77" w14:textId="77777777" w:rsidR="006F4EA3" w:rsidRPr="006F4EA3" w:rsidRDefault="006F4EA3" w:rsidP="00D50DB0">
            <w:pPr>
              <w:ind w:right="461" w:firstLine="0"/>
              <w:jc w:val="right"/>
              <w:rPr>
                <w:rFonts w:eastAsia="Times New Roman" w:cs="Times New Roman"/>
                <w:color w:val="000000"/>
                <w:lang w:val="en-GB" w:eastAsia="pl-PL"/>
              </w:rPr>
            </w:pPr>
            <w:r w:rsidRPr="006F4EA3">
              <w:rPr>
                <w:rFonts w:eastAsia="Times New Roman" w:cs="Times New Roman"/>
                <w:color w:val="000000"/>
                <w:lang w:val="en-GB" w:eastAsia="pl-PL"/>
              </w:rPr>
              <w:t>3</w:t>
            </w:r>
          </w:p>
        </w:tc>
        <w:tc>
          <w:tcPr>
            <w:tcW w:w="1564" w:type="dxa"/>
            <w:tcBorders>
              <w:top w:val="single" w:sz="4" w:space="0" w:color="auto"/>
              <w:left w:val="single" w:sz="4" w:space="0" w:color="auto"/>
              <w:bottom w:val="single" w:sz="4" w:space="0" w:color="auto"/>
              <w:right w:val="single" w:sz="4" w:space="0" w:color="auto"/>
            </w:tcBorders>
            <w:noWrap/>
            <w:vAlign w:val="center"/>
            <w:hideMark/>
          </w:tcPr>
          <w:p w14:paraId="200774E5" w14:textId="77777777" w:rsidR="006F4EA3" w:rsidRPr="006F4EA3" w:rsidRDefault="006F4EA3" w:rsidP="00D50DB0">
            <w:pPr>
              <w:ind w:right="505" w:firstLine="0"/>
              <w:jc w:val="right"/>
              <w:rPr>
                <w:rFonts w:eastAsia="Times New Roman" w:cs="Times New Roman"/>
                <w:color w:val="000000"/>
                <w:lang w:val="en-GB" w:eastAsia="pl-PL"/>
              </w:rPr>
            </w:pPr>
            <w:r w:rsidRPr="006F4EA3">
              <w:rPr>
                <w:rFonts w:eastAsia="Times New Roman" w:cs="Times New Roman"/>
                <w:color w:val="000000"/>
                <w:lang w:val="en-GB" w:eastAsia="pl-PL"/>
              </w:rPr>
              <w:t>3.1</w:t>
            </w:r>
          </w:p>
        </w:tc>
      </w:tr>
      <w:tr w:rsidR="006F4EA3" w:rsidRPr="006F4EA3" w14:paraId="35EA264A" w14:textId="77777777" w:rsidTr="00D50DB0">
        <w:trPr>
          <w:trHeight w:val="283"/>
          <w:jc w:val="center"/>
        </w:trPr>
        <w:tc>
          <w:tcPr>
            <w:tcW w:w="1843" w:type="dxa"/>
            <w:vMerge/>
            <w:tcBorders>
              <w:top w:val="nil"/>
              <w:left w:val="single" w:sz="4" w:space="0" w:color="auto"/>
              <w:bottom w:val="single" w:sz="4" w:space="0" w:color="auto"/>
              <w:right w:val="single" w:sz="4" w:space="0" w:color="auto"/>
            </w:tcBorders>
            <w:vAlign w:val="center"/>
            <w:hideMark/>
          </w:tcPr>
          <w:p w14:paraId="2870985F" w14:textId="77777777" w:rsidR="006F4EA3" w:rsidRPr="006F4EA3" w:rsidRDefault="006F4EA3" w:rsidP="006F4EA3">
            <w:pPr>
              <w:ind w:firstLine="0"/>
              <w:jc w:val="left"/>
              <w:rPr>
                <w:rFonts w:eastAsia="Times New Roman" w:cs="Times New Roman"/>
                <w:color w:val="000000"/>
                <w:lang w:val="en-GB" w:eastAsia="pl-PL"/>
              </w:rPr>
            </w:pPr>
          </w:p>
        </w:tc>
        <w:tc>
          <w:tcPr>
            <w:tcW w:w="4673" w:type="dxa"/>
            <w:tcBorders>
              <w:top w:val="single" w:sz="4" w:space="0" w:color="auto"/>
              <w:left w:val="nil"/>
              <w:bottom w:val="single" w:sz="4" w:space="0" w:color="auto"/>
              <w:right w:val="single" w:sz="4" w:space="0" w:color="auto"/>
            </w:tcBorders>
            <w:noWrap/>
            <w:vAlign w:val="center"/>
            <w:hideMark/>
          </w:tcPr>
          <w:p w14:paraId="029246F0" w14:textId="77777777" w:rsidR="006F4EA3" w:rsidRPr="006F4EA3" w:rsidRDefault="006F4EA3" w:rsidP="00D50DB0">
            <w:pPr>
              <w:ind w:firstLine="0"/>
              <w:jc w:val="left"/>
              <w:rPr>
                <w:rFonts w:eastAsia="Times New Roman" w:cs="Times New Roman"/>
                <w:color w:val="000000"/>
                <w:lang w:val="en-GB" w:eastAsia="pl-PL"/>
              </w:rPr>
            </w:pPr>
            <w:r w:rsidRPr="006F4EA3">
              <w:rPr>
                <w:rFonts w:eastAsia="Times New Roman" w:cs="Times New Roman"/>
                <w:color w:val="000000"/>
                <w:lang w:val="en-GB" w:eastAsia="pl-PL"/>
              </w:rPr>
              <w:t>City 5,001 to 10,000 inhabitants</w:t>
            </w:r>
          </w:p>
        </w:tc>
        <w:tc>
          <w:tcPr>
            <w:tcW w:w="1423" w:type="dxa"/>
            <w:tcBorders>
              <w:top w:val="single" w:sz="4" w:space="0" w:color="auto"/>
              <w:left w:val="single" w:sz="4" w:space="0" w:color="auto"/>
              <w:bottom w:val="single" w:sz="4" w:space="0" w:color="auto"/>
              <w:right w:val="single" w:sz="4" w:space="0" w:color="auto"/>
            </w:tcBorders>
            <w:noWrap/>
            <w:vAlign w:val="center"/>
            <w:hideMark/>
          </w:tcPr>
          <w:p w14:paraId="40B8112C" w14:textId="77777777" w:rsidR="006F4EA3" w:rsidRPr="006F4EA3" w:rsidRDefault="006F4EA3" w:rsidP="00D50DB0">
            <w:pPr>
              <w:ind w:right="461" w:firstLine="0"/>
              <w:jc w:val="right"/>
              <w:rPr>
                <w:rFonts w:eastAsia="Times New Roman" w:cs="Times New Roman"/>
                <w:color w:val="000000"/>
                <w:lang w:val="en-GB" w:eastAsia="pl-PL"/>
              </w:rPr>
            </w:pPr>
            <w:r w:rsidRPr="006F4EA3">
              <w:rPr>
                <w:rFonts w:eastAsia="Times New Roman" w:cs="Times New Roman"/>
                <w:color w:val="000000"/>
                <w:lang w:val="en-GB" w:eastAsia="pl-PL"/>
              </w:rPr>
              <w:t>9</w:t>
            </w:r>
          </w:p>
        </w:tc>
        <w:tc>
          <w:tcPr>
            <w:tcW w:w="1564" w:type="dxa"/>
            <w:tcBorders>
              <w:top w:val="single" w:sz="4" w:space="0" w:color="auto"/>
              <w:left w:val="single" w:sz="4" w:space="0" w:color="auto"/>
              <w:bottom w:val="single" w:sz="4" w:space="0" w:color="auto"/>
              <w:right w:val="single" w:sz="4" w:space="0" w:color="auto"/>
            </w:tcBorders>
            <w:noWrap/>
            <w:vAlign w:val="center"/>
            <w:hideMark/>
          </w:tcPr>
          <w:p w14:paraId="7077905D" w14:textId="77777777" w:rsidR="006F4EA3" w:rsidRPr="006F4EA3" w:rsidRDefault="006F4EA3" w:rsidP="00D50DB0">
            <w:pPr>
              <w:ind w:right="505" w:firstLine="0"/>
              <w:jc w:val="right"/>
              <w:rPr>
                <w:rFonts w:eastAsia="Times New Roman" w:cs="Times New Roman"/>
                <w:color w:val="000000"/>
                <w:lang w:val="en-GB" w:eastAsia="pl-PL"/>
              </w:rPr>
            </w:pPr>
            <w:r w:rsidRPr="006F4EA3">
              <w:rPr>
                <w:rFonts w:eastAsia="Times New Roman" w:cs="Times New Roman"/>
                <w:color w:val="000000"/>
                <w:lang w:val="en-GB" w:eastAsia="pl-PL"/>
              </w:rPr>
              <w:t>9.2</w:t>
            </w:r>
          </w:p>
        </w:tc>
      </w:tr>
      <w:tr w:rsidR="006F4EA3" w:rsidRPr="006F4EA3" w14:paraId="64B62D19" w14:textId="77777777" w:rsidTr="00D50DB0">
        <w:trPr>
          <w:trHeight w:val="283"/>
          <w:jc w:val="center"/>
        </w:trPr>
        <w:tc>
          <w:tcPr>
            <w:tcW w:w="1843" w:type="dxa"/>
            <w:vMerge/>
            <w:tcBorders>
              <w:top w:val="nil"/>
              <w:left w:val="single" w:sz="4" w:space="0" w:color="auto"/>
              <w:bottom w:val="single" w:sz="4" w:space="0" w:color="auto"/>
              <w:right w:val="single" w:sz="4" w:space="0" w:color="auto"/>
            </w:tcBorders>
            <w:vAlign w:val="center"/>
            <w:hideMark/>
          </w:tcPr>
          <w:p w14:paraId="72CBAAF0" w14:textId="77777777" w:rsidR="006F4EA3" w:rsidRPr="006F4EA3" w:rsidRDefault="006F4EA3" w:rsidP="006F4EA3">
            <w:pPr>
              <w:ind w:firstLine="0"/>
              <w:jc w:val="left"/>
              <w:rPr>
                <w:rFonts w:eastAsia="Times New Roman" w:cs="Times New Roman"/>
                <w:color w:val="000000"/>
                <w:lang w:val="en-GB" w:eastAsia="pl-PL"/>
              </w:rPr>
            </w:pPr>
          </w:p>
        </w:tc>
        <w:tc>
          <w:tcPr>
            <w:tcW w:w="4673" w:type="dxa"/>
            <w:tcBorders>
              <w:top w:val="single" w:sz="4" w:space="0" w:color="auto"/>
              <w:left w:val="nil"/>
              <w:bottom w:val="single" w:sz="4" w:space="0" w:color="auto"/>
              <w:right w:val="single" w:sz="4" w:space="0" w:color="auto"/>
            </w:tcBorders>
            <w:noWrap/>
            <w:vAlign w:val="center"/>
            <w:hideMark/>
          </w:tcPr>
          <w:p w14:paraId="0A69B306" w14:textId="77777777" w:rsidR="006F4EA3" w:rsidRPr="006F4EA3" w:rsidRDefault="006F4EA3" w:rsidP="00D50DB0">
            <w:pPr>
              <w:ind w:firstLine="0"/>
              <w:jc w:val="left"/>
              <w:rPr>
                <w:rFonts w:eastAsia="Times New Roman" w:cs="Times New Roman"/>
                <w:color w:val="000000"/>
                <w:lang w:val="en-GB" w:eastAsia="pl-PL"/>
              </w:rPr>
            </w:pPr>
            <w:r w:rsidRPr="006F4EA3">
              <w:rPr>
                <w:rFonts w:eastAsia="Times New Roman" w:cs="Times New Roman"/>
                <w:color w:val="000000"/>
                <w:lang w:val="en-GB" w:eastAsia="pl-PL"/>
              </w:rPr>
              <w:t>City 10,000 to 20,000 inhabitants</w:t>
            </w:r>
          </w:p>
        </w:tc>
        <w:tc>
          <w:tcPr>
            <w:tcW w:w="1423" w:type="dxa"/>
            <w:tcBorders>
              <w:top w:val="single" w:sz="4" w:space="0" w:color="auto"/>
              <w:left w:val="single" w:sz="4" w:space="0" w:color="auto"/>
              <w:bottom w:val="single" w:sz="4" w:space="0" w:color="auto"/>
              <w:right w:val="single" w:sz="4" w:space="0" w:color="auto"/>
            </w:tcBorders>
            <w:noWrap/>
            <w:vAlign w:val="center"/>
            <w:hideMark/>
          </w:tcPr>
          <w:p w14:paraId="1405AE25" w14:textId="77777777" w:rsidR="006F4EA3" w:rsidRPr="006F4EA3" w:rsidRDefault="006F4EA3" w:rsidP="00D50DB0">
            <w:pPr>
              <w:ind w:right="461" w:firstLine="0"/>
              <w:jc w:val="right"/>
              <w:rPr>
                <w:rFonts w:eastAsia="Times New Roman" w:cs="Times New Roman"/>
                <w:color w:val="000000"/>
                <w:lang w:val="en-GB" w:eastAsia="pl-PL"/>
              </w:rPr>
            </w:pPr>
            <w:r w:rsidRPr="006F4EA3">
              <w:rPr>
                <w:rFonts w:eastAsia="Times New Roman" w:cs="Times New Roman"/>
                <w:color w:val="000000"/>
                <w:lang w:val="en-GB" w:eastAsia="pl-PL"/>
              </w:rPr>
              <w:t>9</w:t>
            </w:r>
          </w:p>
        </w:tc>
        <w:tc>
          <w:tcPr>
            <w:tcW w:w="1564" w:type="dxa"/>
            <w:tcBorders>
              <w:top w:val="single" w:sz="4" w:space="0" w:color="auto"/>
              <w:left w:val="single" w:sz="4" w:space="0" w:color="auto"/>
              <w:bottom w:val="single" w:sz="4" w:space="0" w:color="auto"/>
              <w:right w:val="single" w:sz="4" w:space="0" w:color="auto"/>
            </w:tcBorders>
            <w:noWrap/>
            <w:vAlign w:val="center"/>
            <w:hideMark/>
          </w:tcPr>
          <w:p w14:paraId="38F6876D" w14:textId="77777777" w:rsidR="006F4EA3" w:rsidRPr="006F4EA3" w:rsidRDefault="006F4EA3" w:rsidP="00D50DB0">
            <w:pPr>
              <w:ind w:right="505" w:firstLine="0"/>
              <w:jc w:val="right"/>
              <w:rPr>
                <w:rFonts w:eastAsia="Times New Roman" w:cs="Times New Roman"/>
                <w:color w:val="000000"/>
                <w:lang w:val="en-GB" w:eastAsia="pl-PL"/>
              </w:rPr>
            </w:pPr>
            <w:r w:rsidRPr="006F4EA3">
              <w:rPr>
                <w:rFonts w:eastAsia="Times New Roman" w:cs="Times New Roman"/>
                <w:color w:val="000000"/>
                <w:lang w:val="en-GB" w:eastAsia="pl-PL"/>
              </w:rPr>
              <w:t>9.2</w:t>
            </w:r>
          </w:p>
        </w:tc>
      </w:tr>
      <w:tr w:rsidR="006F4EA3" w:rsidRPr="006F4EA3" w14:paraId="3DFFC959" w14:textId="77777777" w:rsidTr="00D50DB0">
        <w:trPr>
          <w:trHeight w:val="283"/>
          <w:jc w:val="center"/>
        </w:trPr>
        <w:tc>
          <w:tcPr>
            <w:tcW w:w="1843" w:type="dxa"/>
            <w:vMerge/>
            <w:tcBorders>
              <w:top w:val="nil"/>
              <w:left w:val="single" w:sz="4" w:space="0" w:color="auto"/>
              <w:bottom w:val="single" w:sz="4" w:space="0" w:color="auto"/>
              <w:right w:val="single" w:sz="4" w:space="0" w:color="auto"/>
            </w:tcBorders>
            <w:vAlign w:val="center"/>
            <w:hideMark/>
          </w:tcPr>
          <w:p w14:paraId="3BED0361" w14:textId="77777777" w:rsidR="006F4EA3" w:rsidRPr="006F4EA3" w:rsidRDefault="006F4EA3" w:rsidP="006F4EA3">
            <w:pPr>
              <w:ind w:firstLine="0"/>
              <w:jc w:val="left"/>
              <w:rPr>
                <w:rFonts w:eastAsia="Times New Roman" w:cs="Times New Roman"/>
                <w:color w:val="000000"/>
                <w:lang w:val="en-GB" w:eastAsia="pl-PL"/>
              </w:rPr>
            </w:pPr>
          </w:p>
        </w:tc>
        <w:tc>
          <w:tcPr>
            <w:tcW w:w="4673" w:type="dxa"/>
            <w:tcBorders>
              <w:top w:val="single" w:sz="4" w:space="0" w:color="auto"/>
              <w:left w:val="nil"/>
              <w:bottom w:val="single" w:sz="4" w:space="0" w:color="auto"/>
              <w:right w:val="single" w:sz="4" w:space="0" w:color="auto"/>
            </w:tcBorders>
            <w:noWrap/>
            <w:vAlign w:val="center"/>
            <w:hideMark/>
          </w:tcPr>
          <w:p w14:paraId="0EA77E47" w14:textId="77777777" w:rsidR="006F4EA3" w:rsidRPr="006F4EA3" w:rsidRDefault="006F4EA3" w:rsidP="00D50DB0">
            <w:pPr>
              <w:ind w:firstLine="0"/>
              <w:jc w:val="left"/>
              <w:rPr>
                <w:rFonts w:eastAsia="Times New Roman" w:cs="Times New Roman"/>
                <w:color w:val="000000"/>
                <w:lang w:val="en-GB" w:eastAsia="pl-PL"/>
              </w:rPr>
            </w:pPr>
            <w:r w:rsidRPr="006F4EA3">
              <w:rPr>
                <w:rFonts w:eastAsia="Times New Roman" w:cs="Times New Roman"/>
                <w:color w:val="000000"/>
                <w:lang w:val="en-GB" w:eastAsia="pl-PL"/>
              </w:rPr>
              <w:t>City 20,000 to 50,000 inhabitants</w:t>
            </w:r>
          </w:p>
        </w:tc>
        <w:tc>
          <w:tcPr>
            <w:tcW w:w="1423" w:type="dxa"/>
            <w:tcBorders>
              <w:top w:val="single" w:sz="4" w:space="0" w:color="auto"/>
              <w:left w:val="single" w:sz="4" w:space="0" w:color="auto"/>
              <w:bottom w:val="single" w:sz="4" w:space="0" w:color="auto"/>
              <w:right w:val="single" w:sz="4" w:space="0" w:color="auto"/>
            </w:tcBorders>
            <w:noWrap/>
            <w:vAlign w:val="center"/>
            <w:hideMark/>
          </w:tcPr>
          <w:p w14:paraId="4AA41BB2" w14:textId="77777777" w:rsidR="006F4EA3" w:rsidRPr="006F4EA3" w:rsidRDefault="006F4EA3" w:rsidP="00D50DB0">
            <w:pPr>
              <w:ind w:right="461" w:firstLine="0"/>
              <w:jc w:val="right"/>
              <w:rPr>
                <w:rFonts w:eastAsia="Times New Roman" w:cs="Times New Roman"/>
                <w:color w:val="000000"/>
                <w:lang w:val="en-GB" w:eastAsia="pl-PL"/>
              </w:rPr>
            </w:pPr>
            <w:r w:rsidRPr="006F4EA3">
              <w:rPr>
                <w:rFonts w:eastAsia="Times New Roman" w:cs="Times New Roman"/>
                <w:color w:val="000000"/>
                <w:lang w:val="en-GB" w:eastAsia="pl-PL"/>
              </w:rPr>
              <w:t>10</w:t>
            </w:r>
          </w:p>
        </w:tc>
        <w:tc>
          <w:tcPr>
            <w:tcW w:w="1564" w:type="dxa"/>
            <w:tcBorders>
              <w:top w:val="single" w:sz="4" w:space="0" w:color="auto"/>
              <w:left w:val="single" w:sz="4" w:space="0" w:color="auto"/>
              <w:bottom w:val="single" w:sz="4" w:space="0" w:color="auto"/>
              <w:right w:val="single" w:sz="4" w:space="0" w:color="auto"/>
            </w:tcBorders>
            <w:noWrap/>
            <w:vAlign w:val="center"/>
            <w:hideMark/>
          </w:tcPr>
          <w:p w14:paraId="14C75475" w14:textId="77777777" w:rsidR="006F4EA3" w:rsidRPr="006F4EA3" w:rsidRDefault="006F4EA3" w:rsidP="00D50DB0">
            <w:pPr>
              <w:ind w:right="505" w:firstLine="0"/>
              <w:jc w:val="right"/>
              <w:rPr>
                <w:rFonts w:eastAsia="Times New Roman" w:cs="Times New Roman"/>
                <w:color w:val="000000"/>
                <w:lang w:val="en-GB" w:eastAsia="pl-PL"/>
              </w:rPr>
            </w:pPr>
            <w:r w:rsidRPr="006F4EA3">
              <w:rPr>
                <w:rFonts w:eastAsia="Times New Roman" w:cs="Times New Roman"/>
                <w:color w:val="000000"/>
                <w:lang w:val="en-GB" w:eastAsia="pl-PL"/>
              </w:rPr>
              <w:t>10.2</w:t>
            </w:r>
          </w:p>
        </w:tc>
      </w:tr>
      <w:tr w:rsidR="006F4EA3" w:rsidRPr="006F4EA3" w14:paraId="25A5AFAF" w14:textId="77777777" w:rsidTr="00D50DB0">
        <w:trPr>
          <w:trHeight w:val="283"/>
          <w:jc w:val="center"/>
        </w:trPr>
        <w:tc>
          <w:tcPr>
            <w:tcW w:w="1843" w:type="dxa"/>
            <w:vMerge/>
            <w:tcBorders>
              <w:top w:val="nil"/>
              <w:left w:val="single" w:sz="4" w:space="0" w:color="auto"/>
              <w:bottom w:val="single" w:sz="4" w:space="0" w:color="auto"/>
              <w:right w:val="single" w:sz="4" w:space="0" w:color="auto"/>
            </w:tcBorders>
            <w:vAlign w:val="center"/>
            <w:hideMark/>
          </w:tcPr>
          <w:p w14:paraId="18DC21B1" w14:textId="77777777" w:rsidR="006F4EA3" w:rsidRPr="006F4EA3" w:rsidRDefault="006F4EA3" w:rsidP="006F4EA3">
            <w:pPr>
              <w:ind w:firstLine="0"/>
              <w:jc w:val="left"/>
              <w:rPr>
                <w:rFonts w:eastAsia="Times New Roman" w:cs="Times New Roman"/>
                <w:color w:val="000000"/>
                <w:lang w:val="en-GB" w:eastAsia="pl-PL"/>
              </w:rPr>
            </w:pPr>
          </w:p>
        </w:tc>
        <w:tc>
          <w:tcPr>
            <w:tcW w:w="4673" w:type="dxa"/>
            <w:tcBorders>
              <w:top w:val="single" w:sz="4" w:space="0" w:color="auto"/>
              <w:left w:val="nil"/>
              <w:bottom w:val="single" w:sz="4" w:space="0" w:color="auto"/>
              <w:right w:val="single" w:sz="4" w:space="0" w:color="auto"/>
            </w:tcBorders>
            <w:noWrap/>
            <w:vAlign w:val="center"/>
            <w:hideMark/>
          </w:tcPr>
          <w:p w14:paraId="50054C48" w14:textId="77777777" w:rsidR="006F4EA3" w:rsidRPr="006F4EA3" w:rsidRDefault="006F4EA3" w:rsidP="00D50DB0">
            <w:pPr>
              <w:ind w:firstLine="0"/>
              <w:jc w:val="left"/>
              <w:rPr>
                <w:rFonts w:eastAsia="Times New Roman" w:cs="Times New Roman"/>
                <w:color w:val="000000"/>
                <w:lang w:val="en-GB" w:eastAsia="pl-PL"/>
              </w:rPr>
            </w:pPr>
            <w:r w:rsidRPr="006F4EA3">
              <w:rPr>
                <w:rFonts w:eastAsia="Times New Roman" w:cs="Times New Roman"/>
                <w:color w:val="000000"/>
                <w:lang w:val="en-GB" w:eastAsia="pl-PL"/>
              </w:rPr>
              <w:t>City 50,000 to 100,000 inhabitants</w:t>
            </w:r>
          </w:p>
        </w:tc>
        <w:tc>
          <w:tcPr>
            <w:tcW w:w="1423" w:type="dxa"/>
            <w:tcBorders>
              <w:top w:val="single" w:sz="4" w:space="0" w:color="auto"/>
              <w:left w:val="single" w:sz="4" w:space="0" w:color="auto"/>
              <w:bottom w:val="single" w:sz="4" w:space="0" w:color="auto"/>
              <w:right w:val="single" w:sz="4" w:space="0" w:color="auto"/>
            </w:tcBorders>
            <w:noWrap/>
            <w:vAlign w:val="center"/>
            <w:hideMark/>
          </w:tcPr>
          <w:p w14:paraId="764C3CD8" w14:textId="77777777" w:rsidR="006F4EA3" w:rsidRPr="006F4EA3" w:rsidRDefault="006F4EA3" w:rsidP="00D50DB0">
            <w:pPr>
              <w:ind w:right="461" w:firstLine="0"/>
              <w:jc w:val="right"/>
              <w:rPr>
                <w:rFonts w:eastAsia="Times New Roman" w:cs="Times New Roman"/>
                <w:color w:val="000000"/>
                <w:lang w:val="en-GB" w:eastAsia="pl-PL"/>
              </w:rPr>
            </w:pPr>
            <w:r w:rsidRPr="006F4EA3">
              <w:rPr>
                <w:rFonts w:eastAsia="Times New Roman" w:cs="Times New Roman"/>
                <w:color w:val="000000"/>
                <w:lang w:val="en-GB" w:eastAsia="pl-PL"/>
              </w:rPr>
              <w:t>19</w:t>
            </w:r>
          </w:p>
        </w:tc>
        <w:tc>
          <w:tcPr>
            <w:tcW w:w="1564" w:type="dxa"/>
            <w:tcBorders>
              <w:top w:val="single" w:sz="4" w:space="0" w:color="auto"/>
              <w:left w:val="single" w:sz="4" w:space="0" w:color="auto"/>
              <w:bottom w:val="single" w:sz="4" w:space="0" w:color="auto"/>
              <w:right w:val="single" w:sz="4" w:space="0" w:color="auto"/>
            </w:tcBorders>
            <w:noWrap/>
            <w:vAlign w:val="center"/>
            <w:hideMark/>
          </w:tcPr>
          <w:p w14:paraId="65C730BD" w14:textId="77777777" w:rsidR="006F4EA3" w:rsidRPr="006F4EA3" w:rsidRDefault="006F4EA3" w:rsidP="00D50DB0">
            <w:pPr>
              <w:ind w:right="505" w:firstLine="0"/>
              <w:jc w:val="right"/>
              <w:rPr>
                <w:rFonts w:eastAsia="Times New Roman" w:cs="Times New Roman"/>
                <w:color w:val="000000"/>
                <w:lang w:val="en-GB" w:eastAsia="pl-PL"/>
              </w:rPr>
            </w:pPr>
            <w:r w:rsidRPr="006F4EA3">
              <w:rPr>
                <w:rFonts w:eastAsia="Times New Roman" w:cs="Times New Roman"/>
                <w:color w:val="000000"/>
                <w:lang w:val="en-GB" w:eastAsia="pl-PL"/>
              </w:rPr>
              <w:t>19.4</w:t>
            </w:r>
          </w:p>
        </w:tc>
      </w:tr>
      <w:tr w:rsidR="006F4EA3" w:rsidRPr="006F4EA3" w14:paraId="1BDEBF8E" w14:textId="77777777" w:rsidTr="00D50DB0">
        <w:trPr>
          <w:trHeight w:val="283"/>
          <w:jc w:val="center"/>
        </w:trPr>
        <w:tc>
          <w:tcPr>
            <w:tcW w:w="1843" w:type="dxa"/>
            <w:vMerge/>
            <w:tcBorders>
              <w:top w:val="nil"/>
              <w:left w:val="single" w:sz="4" w:space="0" w:color="auto"/>
              <w:bottom w:val="single" w:sz="4" w:space="0" w:color="auto"/>
              <w:right w:val="single" w:sz="4" w:space="0" w:color="auto"/>
            </w:tcBorders>
            <w:vAlign w:val="center"/>
            <w:hideMark/>
          </w:tcPr>
          <w:p w14:paraId="60518B10" w14:textId="77777777" w:rsidR="006F4EA3" w:rsidRPr="006F4EA3" w:rsidRDefault="006F4EA3" w:rsidP="006F4EA3">
            <w:pPr>
              <w:ind w:firstLine="0"/>
              <w:jc w:val="left"/>
              <w:rPr>
                <w:rFonts w:eastAsia="Times New Roman" w:cs="Times New Roman"/>
                <w:color w:val="000000"/>
                <w:lang w:val="en-GB" w:eastAsia="pl-PL"/>
              </w:rPr>
            </w:pPr>
          </w:p>
        </w:tc>
        <w:tc>
          <w:tcPr>
            <w:tcW w:w="4673" w:type="dxa"/>
            <w:tcBorders>
              <w:top w:val="single" w:sz="4" w:space="0" w:color="auto"/>
              <w:left w:val="nil"/>
              <w:bottom w:val="single" w:sz="4" w:space="0" w:color="auto"/>
              <w:right w:val="single" w:sz="4" w:space="0" w:color="auto"/>
            </w:tcBorders>
            <w:vAlign w:val="center"/>
            <w:hideMark/>
          </w:tcPr>
          <w:p w14:paraId="3350D162" w14:textId="375864DA" w:rsidR="006F4EA3" w:rsidRPr="006F4EA3" w:rsidRDefault="006F4EA3" w:rsidP="00D50DB0">
            <w:pPr>
              <w:ind w:firstLine="0"/>
              <w:jc w:val="left"/>
              <w:rPr>
                <w:rFonts w:eastAsia="Times New Roman" w:cs="Times New Roman"/>
                <w:color w:val="000000"/>
                <w:lang w:val="en-GB" w:eastAsia="pl-PL"/>
              </w:rPr>
            </w:pPr>
            <w:r w:rsidRPr="006F4EA3">
              <w:rPr>
                <w:rFonts w:eastAsia="Times New Roman" w:cs="Times New Roman"/>
                <w:color w:val="000000"/>
                <w:lang w:val="en-GB" w:eastAsia="pl-PL"/>
              </w:rPr>
              <w:t>City with an area of 100,000 inhabitants</w:t>
            </w:r>
          </w:p>
        </w:tc>
        <w:tc>
          <w:tcPr>
            <w:tcW w:w="1423" w:type="dxa"/>
            <w:tcBorders>
              <w:top w:val="single" w:sz="4" w:space="0" w:color="auto"/>
              <w:left w:val="single" w:sz="4" w:space="0" w:color="auto"/>
              <w:bottom w:val="single" w:sz="4" w:space="0" w:color="auto"/>
              <w:right w:val="single" w:sz="4" w:space="0" w:color="auto"/>
            </w:tcBorders>
            <w:noWrap/>
            <w:vAlign w:val="center"/>
            <w:hideMark/>
          </w:tcPr>
          <w:p w14:paraId="3E7D7E02" w14:textId="77777777" w:rsidR="006F4EA3" w:rsidRPr="006F4EA3" w:rsidRDefault="006F4EA3" w:rsidP="00D50DB0">
            <w:pPr>
              <w:ind w:right="461" w:firstLine="0"/>
              <w:jc w:val="right"/>
              <w:rPr>
                <w:rFonts w:eastAsia="Times New Roman" w:cs="Times New Roman"/>
                <w:color w:val="000000"/>
                <w:lang w:val="en-GB" w:eastAsia="pl-PL"/>
              </w:rPr>
            </w:pPr>
            <w:r w:rsidRPr="006F4EA3">
              <w:rPr>
                <w:rFonts w:eastAsia="Times New Roman" w:cs="Times New Roman"/>
                <w:color w:val="000000"/>
                <w:lang w:val="en-GB" w:eastAsia="pl-PL"/>
              </w:rPr>
              <w:t>27</w:t>
            </w:r>
          </w:p>
        </w:tc>
        <w:tc>
          <w:tcPr>
            <w:tcW w:w="1564" w:type="dxa"/>
            <w:tcBorders>
              <w:top w:val="single" w:sz="4" w:space="0" w:color="auto"/>
              <w:left w:val="single" w:sz="4" w:space="0" w:color="auto"/>
              <w:bottom w:val="single" w:sz="4" w:space="0" w:color="auto"/>
              <w:right w:val="single" w:sz="4" w:space="0" w:color="auto"/>
            </w:tcBorders>
            <w:noWrap/>
            <w:vAlign w:val="center"/>
            <w:hideMark/>
          </w:tcPr>
          <w:p w14:paraId="6F57F1A8" w14:textId="77777777" w:rsidR="006F4EA3" w:rsidRPr="006F4EA3" w:rsidRDefault="006F4EA3" w:rsidP="00D50DB0">
            <w:pPr>
              <w:ind w:right="505" w:firstLine="0"/>
              <w:jc w:val="right"/>
              <w:rPr>
                <w:rFonts w:eastAsia="Times New Roman" w:cs="Times New Roman"/>
                <w:color w:val="000000"/>
                <w:lang w:val="en-GB" w:eastAsia="pl-PL"/>
              </w:rPr>
            </w:pPr>
            <w:r w:rsidRPr="006F4EA3">
              <w:rPr>
                <w:rFonts w:eastAsia="Times New Roman" w:cs="Times New Roman"/>
                <w:color w:val="000000"/>
                <w:lang w:val="en-GB" w:eastAsia="pl-PL"/>
              </w:rPr>
              <w:t>27.6</w:t>
            </w:r>
          </w:p>
        </w:tc>
      </w:tr>
      <w:tr w:rsidR="006F4EA3" w:rsidRPr="006F4EA3" w14:paraId="2DB8ABA6" w14:textId="77777777" w:rsidTr="00AA4B76">
        <w:trPr>
          <w:trHeight w:val="575"/>
          <w:jc w:val="center"/>
        </w:trPr>
        <w:tc>
          <w:tcPr>
            <w:tcW w:w="1843" w:type="dxa"/>
            <w:vMerge w:val="restart"/>
            <w:tcBorders>
              <w:top w:val="nil"/>
              <w:left w:val="single" w:sz="4" w:space="0" w:color="auto"/>
              <w:bottom w:val="single" w:sz="4" w:space="0" w:color="auto"/>
              <w:right w:val="single" w:sz="4" w:space="0" w:color="auto"/>
            </w:tcBorders>
            <w:vAlign w:val="center"/>
            <w:hideMark/>
          </w:tcPr>
          <w:p w14:paraId="4B677870" w14:textId="77777777" w:rsidR="006F4EA3" w:rsidRPr="006F4EA3" w:rsidRDefault="006F4EA3" w:rsidP="006F4EA3">
            <w:pPr>
              <w:ind w:firstLine="0"/>
              <w:jc w:val="left"/>
              <w:rPr>
                <w:rFonts w:eastAsia="Times New Roman" w:cs="Times New Roman"/>
                <w:color w:val="000000"/>
                <w:lang w:val="en-GB" w:eastAsia="pl-PL"/>
              </w:rPr>
            </w:pPr>
            <w:r w:rsidRPr="006F4EA3">
              <w:rPr>
                <w:rFonts w:eastAsia="Times New Roman" w:cs="Times New Roman"/>
                <w:color w:val="000000"/>
                <w:lang w:val="en-GB" w:eastAsia="pl-PL"/>
              </w:rPr>
              <w:t>Mrs. / Mr. Status</w:t>
            </w:r>
          </w:p>
        </w:tc>
        <w:tc>
          <w:tcPr>
            <w:tcW w:w="4673" w:type="dxa"/>
            <w:tcBorders>
              <w:top w:val="single" w:sz="4" w:space="0" w:color="auto"/>
              <w:left w:val="nil"/>
              <w:bottom w:val="single" w:sz="4" w:space="0" w:color="auto"/>
              <w:right w:val="single" w:sz="4" w:space="0" w:color="auto"/>
            </w:tcBorders>
            <w:vAlign w:val="center"/>
            <w:hideMark/>
          </w:tcPr>
          <w:p w14:paraId="5B842FF6" w14:textId="5521DDD4" w:rsidR="006F4EA3" w:rsidRPr="006F4EA3" w:rsidRDefault="006F4EA3" w:rsidP="00D50DB0">
            <w:pPr>
              <w:ind w:firstLine="0"/>
              <w:jc w:val="left"/>
              <w:rPr>
                <w:rFonts w:eastAsia="Times New Roman" w:cs="Times New Roman"/>
                <w:color w:val="000000"/>
                <w:lang w:val="en-GB" w:eastAsia="pl-PL"/>
              </w:rPr>
            </w:pPr>
            <w:r w:rsidRPr="006F4EA3">
              <w:rPr>
                <w:rFonts w:eastAsia="Times New Roman" w:cs="Times New Roman"/>
                <w:color w:val="000000"/>
                <w:lang w:val="en-GB" w:eastAsia="pl-PL"/>
              </w:rPr>
              <w:t xml:space="preserve">I am employed </w:t>
            </w:r>
            <w:r w:rsidR="00D50DB0">
              <w:rPr>
                <w:rFonts w:eastAsia="Times New Roman" w:cs="Times New Roman"/>
                <w:color w:val="000000"/>
                <w:lang w:val="en-GB" w:eastAsia="pl-PL"/>
              </w:rPr>
              <w:br/>
            </w:r>
            <w:r w:rsidRPr="006F4EA3">
              <w:rPr>
                <w:rFonts w:eastAsia="Times New Roman" w:cs="Times New Roman"/>
                <w:color w:val="000000"/>
                <w:lang w:val="en-GB" w:eastAsia="pl-PL"/>
              </w:rPr>
              <w:t>(professionally, in a permanent job)</w:t>
            </w:r>
          </w:p>
        </w:tc>
        <w:tc>
          <w:tcPr>
            <w:tcW w:w="1423" w:type="dxa"/>
            <w:tcBorders>
              <w:top w:val="single" w:sz="4" w:space="0" w:color="auto"/>
              <w:left w:val="single" w:sz="4" w:space="0" w:color="auto"/>
              <w:bottom w:val="single" w:sz="4" w:space="0" w:color="auto"/>
              <w:right w:val="single" w:sz="4" w:space="0" w:color="auto"/>
            </w:tcBorders>
            <w:noWrap/>
            <w:vAlign w:val="center"/>
            <w:hideMark/>
          </w:tcPr>
          <w:p w14:paraId="7930D0F2" w14:textId="77777777" w:rsidR="006F4EA3" w:rsidRPr="006F4EA3" w:rsidRDefault="006F4EA3" w:rsidP="00D50DB0">
            <w:pPr>
              <w:ind w:right="461" w:firstLine="0"/>
              <w:jc w:val="right"/>
              <w:rPr>
                <w:rFonts w:eastAsia="Times New Roman" w:cs="Times New Roman"/>
                <w:color w:val="000000"/>
                <w:lang w:val="en-GB" w:eastAsia="pl-PL"/>
              </w:rPr>
            </w:pPr>
            <w:r w:rsidRPr="006F4EA3">
              <w:rPr>
                <w:rFonts w:eastAsia="Times New Roman" w:cs="Times New Roman"/>
                <w:color w:val="000000"/>
                <w:lang w:val="en-GB" w:eastAsia="pl-PL"/>
              </w:rPr>
              <w:t>19</w:t>
            </w:r>
          </w:p>
        </w:tc>
        <w:tc>
          <w:tcPr>
            <w:tcW w:w="1564" w:type="dxa"/>
            <w:tcBorders>
              <w:top w:val="single" w:sz="4" w:space="0" w:color="auto"/>
              <w:left w:val="single" w:sz="4" w:space="0" w:color="auto"/>
              <w:bottom w:val="single" w:sz="4" w:space="0" w:color="auto"/>
              <w:right w:val="single" w:sz="4" w:space="0" w:color="auto"/>
            </w:tcBorders>
            <w:noWrap/>
            <w:vAlign w:val="center"/>
            <w:hideMark/>
          </w:tcPr>
          <w:p w14:paraId="60CCD949" w14:textId="77777777" w:rsidR="006F4EA3" w:rsidRPr="006F4EA3" w:rsidRDefault="006F4EA3" w:rsidP="00D50DB0">
            <w:pPr>
              <w:ind w:right="505" w:firstLine="0"/>
              <w:jc w:val="right"/>
              <w:rPr>
                <w:rFonts w:eastAsia="Times New Roman" w:cs="Times New Roman"/>
                <w:color w:val="000000"/>
                <w:lang w:val="en-GB" w:eastAsia="pl-PL"/>
              </w:rPr>
            </w:pPr>
            <w:r w:rsidRPr="006F4EA3">
              <w:rPr>
                <w:rFonts w:eastAsia="Times New Roman" w:cs="Times New Roman"/>
                <w:color w:val="000000"/>
                <w:lang w:val="en-GB" w:eastAsia="pl-PL"/>
              </w:rPr>
              <w:t>19.4</w:t>
            </w:r>
          </w:p>
        </w:tc>
      </w:tr>
      <w:tr w:rsidR="006F4EA3" w:rsidRPr="006F4EA3" w14:paraId="5459E9D5" w14:textId="77777777" w:rsidTr="00D50DB0">
        <w:trPr>
          <w:trHeight w:val="283"/>
          <w:jc w:val="center"/>
        </w:trPr>
        <w:tc>
          <w:tcPr>
            <w:tcW w:w="1843" w:type="dxa"/>
            <w:vMerge/>
            <w:tcBorders>
              <w:top w:val="nil"/>
              <w:left w:val="single" w:sz="4" w:space="0" w:color="auto"/>
              <w:bottom w:val="single" w:sz="4" w:space="0" w:color="auto"/>
              <w:right w:val="single" w:sz="4" w:space="0" w:color="auto"/>
            </w:tcBorders>
            <w:vAlign w:val="center"/>
            <w:hideMark/>
          </w:tcPr>
          <w:p w14:paraId="209DC8E3" w14:textId="77777777" w:rsidR="006F4EA3" w:rsidRPr="006F4EA3" w:rsidRDefault="006F4EA3" w:rsidP="006F4EA3">
            <w:pPr>
              <w:ind w:firstLine="0"/>
              <w:jc w:val="left"/>
              <w:rPr>
                <w:rFonts w:eastAsia="Times New Roman" w:cs="Times New Roman"/>
                <w:color w:val="000000"/>
                <w:lang w:val="en-GB" w:eastAsia="pl-PL"/>
              </w:rPr>
            </w:pPr>
          </w:p>
        </w:tc>
        <w:tc>
          <w:tcPr>
            <w:tcW w:w="4673" w:type="dxa"/>
            <w:tcBorders>
              <w:top w:val="single" w:sz="4" w:space="0" w:color="auto"/>
              <w:left w:val="nil"/>
              <w:bottom w:val="single" w:sz="4" w:space="0" w:color="auto"/>
              <w:right w:val="single" w:sz="4" w:space="0" w:color="auto"/>
            </w:tcBorders>
            <w:noWrap/>
            <w:vAlign w:val="center"/>
            <w:hideMark/>
          </w:tcPr>
          <w:p w14:paraId="60306E2D" w14:textId="77777777" w:rsidR="006F4EA3" w:rsidRPr="006F4EA3" w:rsidRDefault="006F4EA3" w:rsidP="00D50DB0">
            <w:pPr>
              <w:ind w:firstLine="0"/>
              <w:jc w:val="left"/>
              <w:rPr>
                <w:rFonts w:eastAsia="Times New Roman" w:cs="Times New Roman"/>
                <w:color w:val="000000"/>
                <w:lang w:val="en-GB" w:eastAsia="pl-PL"/>
              </w:rPr>
            </w:pPr>
            <w:r w:rsidRPr="006F4EA3">
              <w:rPr>
                <w:rFonts w:eastAsia="Times New Roman" w:cs="Times New Roman"/>
                <w:color w:val="000000"/>
                <w:lang w:val="en-GB" w:eastAsia="pl-PL"/>
              </w:rPr>
              <w:t>I am a student</w:t>
            </w:r>
          </w:p>
        </w:tc>
        <w:tc>
          <w:tcPr>
            <w:tcW w:w="1423" w:type="dxa"/>
            <w:tcBorders>
              <w:top w:val="single" w:sz="4" w:space="0" w:color="auto"/>
              <w:left w:val="single" w:sz="4" w:space="0" w:color="auto"/>
              <w:bottom w:val="single" w:sz="4" w:space="0" w:color="auto"/>
              <w:right w:val="single" w:sz="4" w:space="0" w:color="auto"/>
            </w:tcBorders>
            <w:noWrap/>
            <w:vAlign w:val="center"/>
            <w:hideMark/>
          </w:tcPr>
          <w:p w14:paraId="3CFF99A7" w14:textId="77777777" w:rsidR="006F4EA3" w:rsidRPr="006F4EA3" w:rsidRDefault="006F4EA3" w:rsidP="00D50DB0">
            <w:pPr>
              <w:ind w:right="461" w:firstLine="0"/>
              <w:jc w:val="right"/>
              <w:rPr>
                <w:rFonts w:eastAsia="Times New Roman" w:cs="Times New Roman"/>
                <w:color w:val="000000"/>
                <w:lang w:val="en-GB" w:eastAsia="pl-PL"/>
              </w:rPr>
            </w:pPr>
            <w:r w:rsidRPr="006F4EA3">
              <w:rPr>
                <w:rFonts w:eastAsia="Times New Roman" w:cs="Times New Roman"/>
                <w:color w:val="000000"/>
                <w:lang w:val="en-GB" w:eastAsia="pl-PL"/>
              </w:rPr>
              <w:t>50</w:t>
            </w:r>
          </w:p>
        </w:tc>
        <w:tc>
          <w:tcPr>
            <w:tcW w:w="1564" w:type="dxa"/>
            <w:tcBorders>
              <w:top w:val="single" w:sz="4" w:space="0" w:color="auto"/>
              <w:left w:val="single" w:sz="4" w:space="0" w:color="auto"/>
              <w:bottom w:val="single" w:sz="4" w:space="0" w:color="auto"/>
              <w:right w:val="single" w:sz="4" w:space="0" w:color="auto"/>
            </w:tcBorders>
            <w:noWrap/>
            <w:vAlign w:val="center"/>
            <w:hideMark/>
          </w:tcPr>
          <w:p w14:paraId="34B66553" w14:textId="77777777" w:rsidR="006F4EA3" w:rsidRPr="006F4EA3" w:rsidRDefault="006F4EA3" w:rsidP="00D50DB0">
            <w:pPr>
              <w:ind w:right="505" w:firstLine="0"/>
              <w:jc w:val="right"/>
              <w:rPr>
                <w:rFonts w:eastAsia="Times New Roman" w:cs="Times New Roman"/>
                <w:color w:val="000000"/>
                <w:lang w:val="en-GB" w:eastAsia="pl-PL"/>
              </w:rPr>
            </w:pPr>
            <w:r w:rsidRPr="006F4EA3">
              <w:rPr>
                <w:rFonts w:eastAsia="Times New Roman" w:cs="Times New Roman"/>
                <w:color w:val="000000"/>
                <w:lang w:val="en-GB" w:eastAsia="pl-PL"/>
              </w:rPr>
              <w:t>51.0</w:t>
            </w:r>
          </w:p>
        </w:tc>
      </w:tr>
      <w:tr w:rsidR="006F4EA3" w:rsidRPr="006F4EA3" w14:paraId="5C260094" w14:textId="77777777" w:rsidTr="00D50DB0">
        <w:trPr>
          <w:trHeight w:val="537"/>
          <w:jc w:val="center"/>
        </w:trPr>
        <w:tc>
          <w:tcPr>
            <w:tcW w:w="1843" w:type="dxa"/>
            <w:vMerge/>
            <w:tcBorders>
              <w:top w:val="nil"/>
              <w:left w:val="single" w:sz="4" w:space="0" w:color="auto"/>
              <w:bottom w:val="single" w:sz="4" w:space="0" w:color="auto"/>
              <w:right w:val="single" w:sz="4" w:space="0" w:color="auto"/>
            </w:tcBorders>
            <w:vAlign w:val="center"/>
            <w:hideMark/>
          </w:tcPr>
          <w:p w14:paraId="186C7190" w14:textId="77777777" w:rsidR="006F4EA3" w:rsidRPr="006F4EA3" w:rsidRDefault="006F4EA3" w:rsidP="006F4EA3">
            <w:pPr>
              <w:ind w:firstLine="0"/>
              <w:jc w:val="left"/>
              <w:rPr>
                <w:rFonts w:eastAsia="Times New Roman" w:cs="Times New Roman"/>
                <w:color w:val="000000"/>
                <w:lang w:val="en-GB" w:eastAsia="pl-PL"/>
              </w:rPr>
            </w:pPr>
          </w:p>
        </w:tc>
        <w:tc>
          <w:tcPr>
            <w:tcW w:w="4673" w:type="dxa"/>
            <w:tcBorders>
              <w:top w:val="single" w:sz="4" w:space="0" w:color="auto"/>
              <w:left w:val="nil"/>
              <w:bottom w:val="single" w:sz="4" w:space="0" w:color="auto"/>
              <w:right w:val="single" w:sz="4" w:space="0" w:color="auto"/>
            </w:tcBorders>
            <w:vAlign w:val="center"/>
            <w:hideMark/>
          </w:tcPr>
          <w:p w14:paraId="134D6B58" w14:textId="77777777" w:rsidR="006F4EA3" w:rsidRPr="006F4EA3" w:rsidRDefault="006F4EA3" w:rsidP="00D50DB0">
            <w:pPr>
              <w:ind w:firstLine="0"/>
              <w:jc w:val="left"/>
              <w:rPr>
                <w:rFonts w:eastAsia="Times New Roman" w:cs="Times New Roman"/>
                <w:color w:val="000000"/>
                <w:lang w:val="en-GB" w:eastAsia="pl-PL"/>
              </w:rPr>
            </w:pPr>
            <w:r w:rsidRPr="006F4EA3">
              <w:rPr>
                <w:rFonts w:eastAsia="Times New Roman" w:cs="Times New Roman"/>
                <w:color w:val="000000"/>
                <w:lang w:val="en-GB" w:eastAsia="pl-PL"/>
              </w:rPr>
              <w:t>I am employed (professionally, in a permanent job) + I am a student</w:t>
            </w:r>
          </w:p>
        </w:tc>
        <w:tc>
          <w:tcPr>
            <w:tcW w:w="1423" w:type="dxa"/>
            <w:tcBorders>
              <w:top w:val="single" w:sz="4" w:space="0" w:color="auto"/>
              <w:left w:val="single" w:sz="4" w:space="0" w:color="auto"/>
              <w:bottom w:val="single" w:sz="4" w:space="0" w:color="auto"/>
              <w:right w:val="single" w:sz="4" w:space="0" w:color="auto"/>
            </w:tcBorders>
            <w:noWrap/>
            <w:vAlign w:val="center"/>
            <w:hideMark/>
          </w:tcPr>
          <w:p w14:paraId="1C1BD421" w14:textId="77777777" w:rsidR="006F4EA3" w:rsidRPr="006F4EA3" w:rsidRDefault="006F4EA3" w:rsidP="00D50DB0">
            <w:pPr>
              <w:ind w:right="461" w:firstLine="0"/>
              <w:jc w:val="right"/>
              <w:rPr>
                <w:rFonts w:eastAsia="Times New Roman" w:cs="Times New Roman"/>
                <w:color w:val="000000"/>
                <w:lang w:val="en-GB" w:eastAsia="pl-PL"/>
              </w:rPr>
            </w:pPr>
            <w:r w:rsidRPr="006F4EA3">
              <w:rPr>
                <w:rFonts w:eastAsia="Times New Roman" w:cs="Times New Roman"/>
                <w:color w:val="000000"/>
                <w:lang w:val="en-GB" w:eastAsia="pl-PL"/>
              </w:rPr>
              <w:t>26</w:t>
            </w:r>
          </w:p>
        </w:tc>
        <w:tc>
          <w:tcPr>
            <w:tcW w:w="1564" w:type="dxa"/>
            <w:tcBorders>
              <w:top w:val="single" w:sz="4" w:space="0" w:color="auto"/>
              <w:left w:val="single" w:sz="4" w:space="0" w:color="auto"/>
              <w:bottom w:val="single" w:sz="4" w:space="0" w:color="auto"/>
              <w:right w:val="single" w:sz="4" w:space="0" w:color="auto"/>
            </w:tcBorders>
            <w:noWrap/>
            <w:vAlign w:val="center"/>
            <w:hideMark/>
          </w:tcPr>
          <w:p w14:paraId="72A5C290" w14:textId="77777777" w:rsidR="006F4EA3" w:rsidRPr="006F4EA3" w:rsidRDefault="006F4EA3" w:rsidP="00D50DB0">
            <w:pPr>
              <w:ind w:right="505" w:firstLine="0"/>
              <w:jc w:val="right"/>
              <w:rPr>
                <w:rFonts w:eastAsia="Times New Roman" w:cs="Times New Roman"/>
                <w:color w:val="000000"/>
                <w:lang w:val="en-GB" w:eastAsia="pl-PL"/>
              </w:rPr>
            </w:pPr>
            <w:r w:rsidRPr="006F4EA3">
              <w:rPr>
                <w:rFonts w:eastAsia="Times New Roman" w:cs="Times New Roman"/>
                <w:color w:val="000000"/>
                <w:lang w:val="en-GB" w:eastAsia="pl-PL"/>
              </w:rPr>
              <w:t>26.5</w:t>
            </w:r>
          </w:p>
        </w:tc>
      </w:tr>
      <w:tr w:rsidR="006F4EA3" w:rsidRPr="006F4EA3" w14:paraId="6D4C8FFA" w14:textId="77777777" w:rsidTr="00AA4B76">
        <w:trPr>
          <w:trHeight w:val="340"/>
          <w:jc w:val="center"/>
        </w:trPr>
        <w:tc>
          <w:tcPr>
            <w:tcW w:w="1843" w:type="dxa"/>
            <w:vMerge/>
            <w:tcBorders>
              <w:top w:val="nil"/>
              <w:left w:val="single" w:sz="4" w:space="0" w:color="auto"/>
              <w:bottom w:val="single" w:sz="4" w:space="0" w:color="auto"/>
              <w:right w:val="single" w:sz="4" w:space="0" w:color="auto"/>
            </w:tcBorders>
            <w:vAlign w:val="center"/>
            <w:hideMark/>
          </w:tcPr>
          <w:p w14:paraId="38F107C1" w14:textId="77777777" w:rsidR="006F4EA3" w:rsidRPr="006F4EA3" w:rsidRDefault="006F4EA3" w:rsidP="006F4EA3">
            <w:pPr>
              <w:ind w:firstLine="0"/>
              <w:jc w:val="left"/>
              <w:rPr>
                <w:rFonts w:eastAsia="Times New Roman" w:cs="Times New Roman"/>
                <w:color w:val="000000"/>
                <w:lang w:val="en-GB" w:eastAsia="pl-PL"/>
              </w:rPr>
            </w:pPr>
          </w:p>
        </w:tc>
        <w:tc>
          <w:tcPr>
            <w:tcW w:w="4673" w:type="dxa"/>
            <w:tcBorders>
              <w:top w:val="single" w:sz="4" w:space="0" w:color="auto"/>
              <w:left w:val="nil"/>
              <w:bottom w:val="single" w:sz="4" w:space="0" w:color="auto"/>
              <w:right w:val="single" w:sz="4" w:space="0" w:color="auto"/>
            </w:tcBorders>
            <w:vAlign w:val="center"/>
            <w:hideMark/>
          </w:tcPr>
          <w:p w14:paraId="11C356BA" w14:textId="77777777" w:rsidR="006F4EA3" w:rsidRPr="006F4EA3" w:rsidRDefault="006F4EA3" w:rsidP="00D50DB0">
            <w:pPr>
              <w:ind w:firstLine="0"/>
              <w:jc w:val="left"/>
              <w:rPr>
                <w:rFonts w:eastAsia="Times New Roman" w:cs="Times New Roman"/>
                <w:color w:val="000000"/>
                <w:lang w:val="en-GB" w:eastAsia="pl-PL"/>
              </w:rPr>
            </w:pPr>
            <w:r w:rsidRPr="006F4EA3">
              <w:rPr>
                <w:rFonts w:eastAsia="Times New Roman" w:cs="Times New Roman"/>
                <w:color w:val="000000"/>
                <w:lang w:val="en-GB" w:eastAsia="pl-PL"/>
              </w:rPr>
              <w:t>I am not employed or in education</w:t>
            </w:r>
          </w:p>
        </w:tc>
        <w:tc>
          <w:tcPr>
            <w:tcW w:w="1423" w:type="dxa"/>
            <w:tcBorders>
              <w:top w:val="single" w:sz="4" w:space="0" w:color="auto"/>
              <w:left w:val="single" w:sz="4" w:space="0" w:color="auto"/>
              <w:bottom w:val="single" w:sz="4" w:space="0" w:color="auto"/>
              <w:right w:val="single" w:sz="4" w:space="0" w:color="auto"/>
            </w:tcBorders>
            <w:noWrap/>
            <w:vAlign w:val="center"/>
            <w:hideMark/>
          </w:tcPr>
          <w:p w14:paraId="0DE2C85C" w14:textId="77777777" w:rsidR="006F4EA3" w:rsidRPr="006F4EA3" w:rsidRDefault="006F4EA3" w:rsidP="00D50DB0">
            <w:pPr>
              <w:ind w:right="461" w:firstLine="0"/>
              <w:jc w:val="right"/>
              <w:rPr>
                <w:rFonts w:eastAsia="Times New Roman" w:cs="Times New Roman"/>
                <w:color w:val="000000"/>
                <w:lang w:val="en-GB" w:eastAsia="pl-PL"/>
              </w:rPr>
            </w:pPr>
            <w:r w:rsidRPr="006F4EA3">
              <w:rPr>
                <w:rFonts w:eastAsia="Times New Roman" w:cs="Times New Roman"/>
                <w:color w:val="000000"/>
                <w:lang w:val="en-GB" w:eastAsia="pl-PL"/>
              </w:rPr>
              <w:t>1</w:t>
            </w:r>
          </w:p>
        </w:tc>
        <w:tc>
          <w:tcPr>
            <w:tcW w:w="1564" w:type="dxa"/>
            <w:tcBorders>
              <w:top w:val="single" w:sz="4" w:space="0" w:color="auto"/>
              <w:left w:val="single" w:sz="4" w:space="0" w:color="auto"/>
              <w:bottom w:val="single" w:sz="4" w:space="0" w:color="auto"/>
              <w:right w:val="single" w:sz="4" w:space="0" w:color="auto"/>
            </w:tcBorders>
            <w:noWrap/>
            <w:vAlign w:val="center"/>
            <w:hideMark/>
          </w:tcPr>
          <w:p w14:paraId="502D1A08" w14:textId="6E02DECA" w:rsidR="006F4EA3" w:rsidRPr="006F4EA3" w:rsidRDefault="006F4EA3" w:rsidP="00D50DB0">
            <w:pPr>
              <w:ind w:right="505" w:firstLine="0"/>
              <w:jc w:val="right"/>
              <w:rPr>
                <w:rFonts w:eastAsia="Times New Roman" w:cs="Times New Roman"/>
                <w:color w:val="000000"/>
                <w:lang w:val="en-GB" w:eastAsia="pl-PL"/>
              </w:rPr>
            </w:pPr>
            <w:r w:rsidRPr="006F4EA3">
              <w:rPr>
                <w:rFonts w:eastAsia="Times New Roman" w:cs="Times New Roman"/>
                <w:color w:val="000000"/>
                <w:lang w:val="en-GB" w:eastAsia="pl-PL"/>
              </w:rPr>
              <w:t>1.0</w:t>
            </w:r>
          </w:p>
        </w:tc>
      </w:tr>
      <w:tr w:rsidR="006F4EA3" w:rsidRPr="006F4EA3" w14:paraId="6AF96C0D" w14:textId="77777777" w:rsidTr="00AA4B76">
        <w:trPr>
          <w:trHeight w:val="340"/>
          <w:jc w:val="center"/>
        </w:trPr>
        <w:tc>
          <w:tcPr>
            <w:tcW w:w="1843" w:type="dxa"/>
            <w:vMerge/>
            <w:tcBorders>
              <w:top w:val="nil"/>
              <w:left w:val="single" w:sz="4" w:space="0" w:color="auto"/>
              <w:bottom w:val="single" w:sz="4" w:space="0" w:color="auto"/>
              <w:right w:val="single" w:sz="4" w:space="0" w:color="auto"/>
            </w:tcBorders>
            <w:vAlign w:val="center"/>
            <w:hideMark/>
          </w:tcPr>
          <w:p w14:paraId="2D3C5951" w14:textId="77777777" w:rsidR="006F4EA3" w:rsidRPr="006F4EA3" w:rsidRDefault="006F4EA3" w:rsidP="006F4EA3">
            <w:pPr>
              <w:ind w:firstLine="0"/>
              <w:jc w:val="left"/>
              <w:rPr>
                <w:rFonts w:eastAsia="Times New Roman" w:cs="Times New Roman"/>
                <w:color w:val="000000"/>
                <w:lang w:val="en-GB" w:eastAsia="pl-PL"/>
              </w:rPr>
            </w:pPr>
          </w:p>
        </w:tc>
        <w:tc>
          <w:tcPr>
            <w:tcW w:w="4673" w:type="dxa"/>
            <w:tcBorders>
              <w:top w:val="single" w:sz="4" w:space="0" w:color="auto"/>
              <w:left w:val="nil"/>
              <w:bottom w:val="single" w:sz="4" w:space="0" w:color="auto"/>
              <w:right w:val="single" w:sz="4" w:space="0" w:color="auto"/>
            </w:tcBorders>
            <w:vAlign w:val="center"/>
            <w:hideMark/>
          </w:tcPr>
          <w:p w14:paraId="7F3B36B0" w14:textId="77777777" w:rsidR="006F4EA3" w:rsidRPr="006F4EA3" w:rsidRDefault="006F4EA3" w:rsidP="00D50DB0">
            <w:pPr>
              <w:ind w:firstLine="0"/>
              <w:jc w:val="left"/>
              <w:rPr>
                <w:rFonts w:eastAsia="Times New Roman" w:cs="Times New Roman"/>
                <w:color w:val="000000"/>
                <w:lang w:val="en-GB" w:eastAsia="pl-PL"/>
              </w:rPr>
            </w:pPr>
            <w:r w:rsidRPr="006F4EA3">
              <w:rPr>
                <w:rFonts w:eastAsia="Times New Roman" w:cs="Times New Roman"/>
                <w:color w:val="000000"/>
                <w:lang w:val="en-GB" w:eastAsia="pl-PL"/>
              </w:rPr>
              <w:t>I run a sole proprietorship (sole proprietorship)</w:t>
            </w:r>
          </w:p>
        </w:tc>
        <w:tc>
          <w:tcPr>
            <w:tcW w:w="1423" w:type="dxa"/>
            <w:tcBorders>
              <w:top w:val="single" w:sz="4" w:space="0" w:color="auto"/>
              <w:left w:val="single" w:sz="4" w:space="0" w:color="auto"/>
              <w:bottom w:val="single" w:sz="4" w:space="0" w:color="auto"/>
              <w:right w:val="single" w:sz="4" w:space="0" w:color="auto"/>
            </w:tcBorders>
            <w:noWrap/>
            <w:vAlign w:val="center"/>
            <w:hideMark/>
          </w:tcPr>
          <w:p w14:paraId="1DADFBF8" w14:textId="77777777" w:rsidR="006F4EA3" w:rsidRPr="006F4EA3" w:rsidRDefault="006F4EA3" w:rsidP="00D50DB0">
            <w:pPr>
              <w:ind w:right="461" w:firstLine="0"/>
              <w:jc w:val="right"/>
              <w:rPr>
                <w:rFonts w:eastAsia="Times New Roman" w:cs="Times New Roman"/>
                <w:color w:val="000000"/>
                <w:lang w:val="en-GB" w:eastAsia="pl-PL"/>
              </w:rPr>
            </w:pPr>
            <w:r w:rsidRPr="006F4EA3">
              <w:rPr>
                <w:rFonts w:eastAsia="Times New Roman" w:cs="Times New Roman"/>
                <w:color w:val="000000"/>
                <w:lang w:val="en-GB" w:eastAsia="pl-PL"/>
              </w:rPr>
              <w:t>2</w:t>
            </w:r>
          </w:p>
        </w:tc>
        <w:tc>
          <w:tcPr>
            <w:tcW w:w="1564" w:type="dxa"/>
            <w:tcBorders>
              <w:top w:val="single" w:sz="4" w:space="0" w:color="auto"/>
              <w:left w:val="single" w:sz="4" w:space="0" w:color="auto"/>
              <w:bottom w:val="single" w:sz="4" w:space="0" w:color="auto"/>
              <w:right w:val="single" w:sz="4" w:space="0" w:color="auto"/>
            </w:tcBorders>
            <w:noWrap/>
            <w:vAlign w:val="center"/>
            <w:hideMark/>
          </w:tcPr>
          <w:p w14:paraId="36A820A7" w14:textId="2086CA12" w:rsidR="006F4EA3" w:rsidRPr="006F4EA3" w:rsidRDefault="006F4EA3" w:rsidP="00D50DB0">
            <w:pPr>
              <w:ind w:right="505" w:firstLine="0"/>
              <w:jc w:val="right"/>
              <w:rPr>
                <w:rFonts w:eastAsia="Times New Roman" w:cs="Times New Roman"/>
                <w:color w:val="000000"/>
                <w:lang w:val="en-GB" w:eastAsia="pl-PL"/>
              </w:rPr>
            </w:pPr>
            <w:r w:rsidRPr="006F4EA3">
              <w:rPr>
                <w:rFonts w:eastAsia="Times New Roman" w:cs="Times New Roman"/>
                <w:color w:val="000000"/>
                <w:lang w:val="en-GB" w:eastAsia="pl-PL"/>
              </w:rPr>
              <w:t>2.0</w:t>
            </w:r>
          </w:p>
        </w:tc>
      </w:tr>
      <w:tr w:rsidR="006F4EA3" w:rsidRPr="006F4EA3" w14:paraId="3798C5FE" w14:textId="77777777" w:rsidTr="00D50DB0">
        <w:trPr>
          <w:trHeight w:val="283"/>
          <w:jc w:val="center"/>
        </w:trPr>
        <w:tc>
          <w:tcPr>
            <w:tcW w:w="1843" w:type="dxa"/>
            <w:vMerge w:val="restart"/>
            <w:tcBorders>
              <w:top w:val="nil"/>
              <w:left w:val="single" w:sz="4" w:space="0" w:color="auto"/>
              <w:bottom w:val="single" w:sz="4" w:space="0" w:color="auto"/>
              <w:right w:val="single" w:sz="4" w:space="0" w:color="auto"/>
            </w:tcBorders>
            <w:noWrap/>
            <w:vAlign w:val="center"/>
            <w:hideMark/>
          </w:tcPr>
          <w:p w14:paraId="7DB31033" w14:textId="5E426117" w:rsidR="006F4EA3" w:rsidRPr="006F4EA3" w:rsidRDefault="006F4EA3" w:rsidP="006F4EA3">
            <w:pPr>
              <w:ind w:firstLine="0"/>
              <w:jc w:val="left"/>
              <w:rPr>
                <w:rFonts w:eastAsia="Times New Roman" w:cs="Times New Roman"/>
                <w:color w:val="000000"/>
                <w:lang w:val="en-GB" w:eastAsia="pl-PL"/>
              </w:rPr>
            </w:pPr>
            <w:r w:rsidRPr="006F4EA3">
              <w:rPr>
                <w:rFonts w:eastAsia="Times New Roman" w:cs="Times New Roman"/>
                <w:color w:val="000000"/>
                <w:lang w:val="en-GB" w:eastAsia="pl-PL"/>
              </w:rPr>
              <w:t>Age</w:t>
            </w:r>
          </w:p>
        </w:tc>
        <w:tc>
          <w:tcPr>
            <w:tcW w:w="4673" w:type="dxa"/>
            <w:tcBorders>
              <w:top w:val="single" w:sz="4" w:space="0" w:color="auto"/>
              <w:left w:val="nil"/>
              <w:bottom w:val="single" w:sz="4" w:space="0" w:color="auto"/>
              <w:right w:val="single" w:sz="4" w:space="0" w:color="auto"/>
            </w:tcBorders>
            <w:noWrap/>
            <w:vAlign w:val="center"/>
            <w:hideMark/>
          </w:tcPr>
          <w:p w14:paraId="598180DE" w14:textId="77777777" w:rsidR="006F4EA3" w:rsidRPr="006F4EA3" w:rsidRDefault="006F4EA3" w:rsidP="00D50DB0">
            <w:pPr>
              <w:ind w:firstLine="0"/>
              <w:jc w:val="left"/>
              <w:rPr>
                <w:rFonts w:eastAsia="Times New Roman" w:cs="Times New Roman"/>
                <w:color w:val="000000"/>
                <w:lang w:val="en-GB" w:eastAsia="pl-PL"/>
              </w:rPr>
            </w:pPr>
            <w:r w:rsidRPr="006F4EA3">
              <w:rPr>
                <w:rFonts w:eastAsia="Times New Roman" w:cs="Times New Roman"/>
                <w:color w:val="000000"/>
                <w:lang w:val="en-GB" w:eastAsia="pl-PL"/>
              </w:rPr>
              <w:t>Under 18</w:t>
            </w:r>
          </w:p>
        </w:tc>
        <w:tc>
          <w:tcPr>
            <w:tcW w:w="1423" w:type="dxa"/>
            <w:tcBorders>
              <w:top w:val="single" w:sz="4" w:space="0" w:color="auto"/>
              <w:left w:val="single" w:sz="4" w:space="0" w:color="auto"/>
              <w:bottom w:val="single" w:sz="4" w:space="0" w:color="auto"/>
              <w:right w:val="single" w:sz="4" w:space="0" w:color="auto"/>
            </w:tcBorders>
            <w:noWrap/>
            <w:vAlign w:val="center"/>
            <w:hideMark/>
          </w:tcPr>
          <w:p w14:paraId="5839A6BA" w14:textId="77777777" w:rsidR="006F4EA3" w:rsidRPr="006F4EA3" w:rsidRDefault="006F4EA3" w:rsidP="00D50DB0">
            <w:pPr>
              <w:ind w:right="461" w:firstLine="0"/>
              <w:jc w:val="right"/>
              <w:rPr>
                <w:rFonts w:eastAsia="Times New Roman" w:cs="Times New Roman"/>
                <w:color w:val="000000"/>
                <w:lang w:val="en-GB" w:eastAsia="pl-PL"/>
              </w:rPr>
            </w:pPr>
            <w:r w:rsidRPr="006F4EA3">
              <w:rPr>
                <w:rFonts w:eastAsia="Times New Roman" w:cs="Times New Roman"/>
                <w:color w:val="000000"/>
                <w:lang w:val="en-GB" w:eastAsia="pl-PL"/>
              </w:rPr>
              <w:t>0</w:t>
            </w:r>
          </w:p>
        </w:tc>
        <w:tc>
          <w:tcPr>
            <w:tcW w:w="1564" w:type="dxa"/>
            <w:tcBorders>
              <w:top w:val="single" w:sz="4" w:space="0" w:color="auto"/>
              <w:left w:val="single" w:sz="4" w:space="0" w:color="auto"/>
              <w:bottom w:val="single" w:sz="4" w:space="0" w:color="auto"/>
              <w:right w:val="single" w:sz="4" w:space="0" w:color="auto"/>
            </w:tcBorders>
            <w:noWrap/>
            <w:vAlign w:val="center"/>
            <w:hideMark/>
          </w:tcPr>
          <w:p w14:paraId="36BE24DB" w14:textId="06484AEE" w:rsidR="006F4EA3" w:rsidRPr="006F4EA3" w:rsidRDefault="006F4EA3" w:rsidP="00D50DB0">
            <w:pPr>
              <w:ind w:right="505" w:firstLine="0"/>
              <w:jc w:val="right"/>
              <w:rPr>
                <w:rFonts w:eastAsia="Times New Roman" w:cs="Times New Roman"/>
                <w:color w:val="000000"/>
                <w:lang w:val="en-GB" w:eastAsia="pl-PL"/>
              </w:rPr>
            </w:pPr>
            <w:r w:rsidRPr="006F4EA3">
              <w:rPr>
                <w:rFonts w:eastAsia="Times New Roman" w:cs="Times New Roman"/>
                <w:color w:val="000000"/>
                <w:lang w:val="en-GB" w:eastAsia="pl-PL"/>
              </w:rPr>
              <w:t>0</w:t>
            </w:r>
            <w:r w:rsidR="00D50DB0">
              <w:rPr>
                <w:rFonts w:eastAsia="Times New Roman" w:cs="Times New Roman"/>
                <w:color w:val="000000"/>
                <w:lang w:val="en-GB" w:eastAsia="pl-PL"/>
              </w:rPr>
              <w:t>.0</w:t>
            </w:r>
          </w:p>
        </w:tc>
      </w:tr>
      <w:tr w:rsidR="006F4EA3" w:rsidRPr="006F4EA3" w14:paraId="51185809" w14:textId="77777777" w:rsidTr="00D50DB0">
        <w:trPr>
          <w:trHeight w:val="283"/>
          <w:jc w:val="center"/>
        </w:trPr>
        <w:tc>
          <w:tcPr>
            <w:tcW w:w="1843" w:type="dxa"/>
            <w:vMerge/>
            <w:tcBorders>
              <w:top w:val="nil"/>
              <w:left w:val="single" w:sz="4" w:space="0" w:color="auto"/>
              <w:bottom w:val="single" w:sz="4" w:space="0" w:color="auto"/>
              <w:right w:val="single" w:sz="4" w:space="0" w:color="auto"/>
            </w:tcBorders>
            <w:vAlign w:val="center"/>
            <w:hideMark/>
          </w:tcPr>
          <w:p w14:paraId="7AF07258" w14:textId="77777777" w:rsidR="006F4EA3" w:rsidRPr="006F4EA3" w:rsidRDefault="006F4EA3" w:rsidP="006F4EA3">
            <w:pPr>
              <w:ind w:firstLine="0"/>
              <w:rPr>
                <w:rFonts w:eastAsia="Times New Roman" w:cs="Times New Roman"/>
                <w:color w:val="000000"/>
                <w:lang w:val="en-GB" w:eastAsia="pl-PL"/>
              </w:rPr>
            </w:pPr>
          </w:p>
        </w:tc>
        <w:tc>
          <w:tcPr>
            <w:tcW w:w="4673" w:type="dxa"/>
            <w:tcBorders>
              <w:top w:val="single" w:sz="4" w:space="0" w:color="auto"/>
              <w:left w:val="nil"/>
              <w:bottom w:val="single" w:sz="4" w:space="0" w:color="auto"/>
              <w:right w:val="single" w:sz="4" w:space="0" w:color="auto"/>
            </w:tcBorders>
            <w:noWrap/>
            <w:vAlign w:val="center"/>
            <w:hideMark/>
          </w:tcPr>
          <w:p w14:paraId="755F8856" w14:textId="77777777" w:rsidR="006F4EA3" w:rsidRPr="006F4EA3" w:rsidRDefault="006F4EA3" w:rsidP="00D50DB0">
            <w:pPr>
              <w:ind w:firstLine="0"/>
              <w:jc w:val="left"/>
              <w:rPr>
                <w:rFonts w:eastAsia="Times New Roman" w:cs="Times New Roman"/>
                <w:color w:val="000000"/>
                <w:lang w:val="en-GB" w:eastAsia="pl-PL"/>
              </w:rPr>
            </w:pPr>
            <w:r w:rsidRPr="006F4EA3">
              <w:rPr>
                <w:rFonts w:eastAsia="Times New Roman" w:cs="Times New Roman"/>
                <w:color w:val="000000"/>
                <w:lang w:val="en-GB" w:eastAsia="pl-PL"/>
              </w:rPr>
              <w:t>19-21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14:paraId="6CFE3A82" w14:textId="77777777" w:rsidR="006F4EA3" w:rsidRPr="006F4EA3" w:rsidRDefault="006F4EA3" w:rsidP="00D50DB0">
            <w:pPr>
              <w:ind w:right="461" w:firstLine="0"/>
              <w:jc w:val="right"/>
              <w:rPr>
                <w:rFonts w:eastAsia="Times New Roman" w:cs="Times New Roman"/>
                <w:color w:val="000000"/>
                <w:lang w:val="en-GB" w:eastAsia="pl-PL"/>
              </w:rPr>
            </w:pPr>
            <w:r w:rsidRPr="006F4EA3">
              <w:rPr>
                <w:rFonts w:eastAsia="Times New Roman" w:cs="Times New Roman"/>
                <w:color w:val="000000"/>
                <w:lang w:val="en-GB" w:eastAsia="pl-PL"/>
              </w:rPr>
              <w:t>37</w:t>
            </w:r>
          </w:p>
        </w:tc>
        <w:tc>
          <w:tcPr>
            <w:tcW w:w="1564" w:type="dxa"/>
            <w:tcBorders>
              <w:top w:val="single" w:sz="4" w:space="0" w:color="auto"/>
              <w:left w:val="single" w:sz="4" w:space="0" w:color="auto"/>
              <w:bottom w:val="single" w:sz="4" w:space="0" w:color="auto"/>
              <w:right w:val="single" w:sz="4" w:space="0" w:color="auto"/>
            </w:tcBorders>
            <w:noWrap/>
            <w:vAlign w:val="center"/>
            <w:hideMark/>
          </w:tcPr>
          <w:p w14:paraId="70178363" w14:textId="77777777" w:rsidR="006F4EA3" w:rsidRPr="006F4EA3" w:rsidRDefault="006F4EA3" w:rsidP="00D50DB0">
            <w:pPr>
              <w:ind w:right="505" w:firstLine="0"/>
              <w:jc w:val="right"/>
              <w:rPr>
                <w:rFonts w:eastAsia="Times New Roman" w:cs="Times New Roman"/>
                <w:color w:val="000000"/>
                <w:lang w:val="en-GB" w:eastAsia="pl-PL"/>
              </w:rPr>
            </w:pPr>
            <w:r w:rsidRPr="006F4EA3">
              <w:rPr>
                <w:rFonts w:eastAsia="Times New Roman" w:cs="Times New Roman"/>
                <w:color w:val="000000"/>
                <w:lang w:val="en-GB" w:eastAsia="pl-PL"/>
              </w:rPr>
              <w:t>37.8</w:t>
            </w:r>
          </w:p>
        </w:tc>
      </w:tr>
      <w:tr w:rsidR="006F4EA3" w:rsidRPr="006F4EA3" w14:paraId="4559BD91" w14:textId="77777777" w:rsidTr="00D50DB0">
        <w:trPr>
          <w:trHeight w:val="283"/>
          <w:jc w:val="center"/>
        </w:trPr>
        <w:tc>
          <w:tcPr>
            <w:tcW w:w="1843" w:type="dxa"/>
            <w:vMerge/>
            <w:tcBorders>
              <w:top w:val="nil"/>
              <w:left w:val="single" w:sz="4" w:space="0" w:color="auto"/>
              <w:bottom w:val="single" w:sz="4" w:space="0" w:color="auto"/>
              <w:right w:val="single" w:sz="4" w:space="0" w:color="auto"/>
            </w:tcBorders>
            <w:vAlign w:val="center"/>
            <w:hideMark/>
          </w:tcPr>
          <w:p w14:paraId="2DF640D7" w14:textId="77777777" w:rsidR="006F4EA3" w:rsidRPr="006F4EA3" w:rsidRDefault="006F4EA3" w:rsidP="006F4EA3">
            <w:pPr>
              <w:ind w:firstLine="0"/>
              <w:rPr>
                <w:rFonts w:eastAsia="Times New Roman" w:cs="Times New Roman"/>
                <w:color w:val="000000"/>
                <w:lang w:val="en-GB" w:eastAsia="pl-PL"/>
              </w:rPr>
            </w:pPr>
          </w:p>
        </w:tc>
        <w:tc>
          <w:tcPr>
            <w:tcW w:w="4673" w:type="dxa"/>
            <w:tcBorders>
              <w:top w:val="single" w:sz="4" w:space="0" w:color="auto"/>
              <w:left w:val="nil"/>
              <w:bottom w:val="single" w:sz="4" w:space="0" w:color="auto"/>
              <w:right w:val="single" w:sz="4" w:space="0" w:color="auto"/>
            </w:tcBorders>
            <w:noWrap/>
            <w:vAlign w:val="center"/>
            <w:hideMark/>
          </w:tcPr>
          <w:p w14:paraId="5B223D56" w14:textId="77777777" w:rsidR="006F4EA3" w:rsidRPr="006F4EA3" w:rsidRDefault="006F4EA3" w:rsidP="00D50DB0">
            <w:pPr>
              <w:ind w:firstLine="0"/>
              <w:jc w:val="left"/>
              <w:rPr>
                <w:rFonts w:eastAsia="Times New Roman" w:cs="Times New Roman"/>
                <w:color w:val="000000"/>
                <w:lang w:val="en-GB" w:eastAsia="pl-PL"/>
              </w:rPr>
            </w:pPr>
            <w:r w:rsidRPr="006F4EA3">
              <w:rPr>
                <w:rFonts w:eastAsia="Times New Roman" w:cs="Times New Roman"/>
                <w:color w:val="000000"/>
                <w:lang w:val="en-GB" w:eastAsia="pl-PL"/>
              </w:rPr>
              <w:t>22-23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14:paraId="4B980626" w14:textId="77777777" w:rsidR="006F4EA3" w:rsidRPr="006F4EA3" w:rsidRDefault="006F4EA3" w:rsidP="00D50DB0">
            <w:pPr>
              <w:ind w:right="461" w:firstLine="0"/>
              <w:jc w:val="right"/>
              <w:rPr>
                <w:rFonts w:eastAsia="Times New Roman" w:cs="Times New Roman"/>
                <w:color w:val="000000"/>
                <w:lang w:val="en-GB" w:eastAsia="pl-PL"/>
              </w:rPr>
            </w:pPr>
            <w:r w:rsidRPr="006F4EA3">
              <w:rPr>
                <w:rFonts w:eastAsia="Times New Roman" w:cs="Times New Roman"/>
                <w:color w:val="000000"/>
                <w:lang w:val="en-GB" w:eastAsia="pl-PL"/>
              </w:rPr>
              <w:t>24</w:t>
            </w:r>
          </w:p>
        </w:tc>
        <w:tc>
          <w:tcPr>
            <w:tcW w:w="1564" w:type="dxa"/>
            <w:tcBorders>
              <w:top w:val="single" w:sz="4" w:space="0" w:color="auto"/>
              <w:left w:val="single" w:sz="4" w:space="0" w:color="auto"/>
              <w:bottom w:val="single" w:sz="4" w:space="0" w:color="auto"/>
              <w:right w:val="single" w:sz="4" w:space="0" w:color="auto"/>
            </w:tcBorders>
            <w:noWrap/>
            <w:vAlign w:val="center"/>
            <w:hideMark/>
          </w:tcPr>
          <w:p w14:paraId="2230CDF4" w14:textId="77777777" w:rsidR="006F4EA3" w:rsidRPr="006F4EA3" w:rsidRDefault="006F4EA3" w:rsidP="00D50DB0">
            <w:pPr>
              <w:ind w:right="505" w:firstLine="0"/>
              <w:jc w:val="right"/>
              <w:rPr>
                <w:rFonts w:eastAsia="Times New Roman" w:cs="Times New Roman"/>
                <w:color w:val="000000"/>
                <w:lang w:val="en-GB" w:eastAsia="pl-PL"/>
              </w:rPr>
            </w:pPr>
            <w:r w:rsidRPr="006F4EA3">
              <w:rPr>
                <w:rFonts w:eastAsia="Times New Roman" w:cs="Times New Roman"/>
                <w:color w:val="000000"/>
                <w:lang w:val="en-GB" w:eastAsia="pl-PL"/>
              </w:rPr>
              <w:t>24.5</w:t>
            </w:r>
          </w:p>
        </w:tc>
      </w:tr>
      <w:tr w:rsidR="006F4EA3" w:rsidRPr="006F4EA3" w14:paraId="531BA337" w14:textId="77777777" w:rsidTr="00D50DB0">
        <w:trPr>
          <w:trHeight w:val="283"/>
          <w:jc w:val="center"/>
        </w:trPr>
        <w:tc>
          <w:tcPr>
            <w:tcW w:w="1843" w:type="dxa"/>
            <w:vMerge/>
            <w:tcBorders>
              <w:top w:val="nil"/>
              <w:left w:val="single" w:sz="4" w:space="0" w:color="auto"/>
              <w:bottom w:val="single" w:sz="4" w:space="0" w:color="auto"/>
              <w:right w:val="single" w:sz="4" w:space="0" w:color="auto"/>
            </w:tcBorders>
            <w:vAlign w:val="center"/>
            <w:hideMark/>
          </w:tcPr>
          <w:p w14:paraId="1ECA38CC" w14:textId="77777777" w:rsidR="006F4EA3" w:rsidRPr="006F4EA3" w:rsidRDefault="006F4EA3" w:rsidP="006F4EA3">
            <w:pPr>
              <w:ind w:firstLine="0"/>
              <w:rPr>
                <w:rFonts w:eastAsia="Times New Roman" w:cs="Times New Roman"/>
                <w:color w:val="000000"/>
                <w:lang w:val="en-GB" w:eastAsia="pl-PL"/>
              </w:rPr>
            </w:pPr>
          </w:p>
        </w:tc>
        <w:tc>
          <w:tcPr>
            <w:tcW w:w="4673" w:type="dxa"/>
            <w:tcBorders>
              <w:top w:val="single" w:sz="4" w:space="0" w:color="auto"/>
              <w:left w:val="nil"/>
              <w:bottom w:val="single" w:sz="4" w:space="0" w:color="auto"/>
              <w:right w:val="single" w:sz="4" w:space="0" w:color="auto"/>
            </w:tcBorders>
            <w:noWrap/>
            <w:vAlign w:val="center"/>
            <w:hideMark/>
          </w:tcPr>
          <w:p w14:paraId="4EF1AAC6" w14:textId="77777777" w:rsidR="006F4EA3" w:rsidRPr="006F4EA3" w:rsidRDefault="006F4EA3" w:rsidP="00D50DB0">
            <w:pPr>
              <w:ind w:firstLine="0"/>
              <w:jc w:val="left"/>
              <w:rPr>
                <w:rFonts w:eastAsia="Times New Roman" w:cs="Times New Roman"/>
                <w:color w:val="000000"/>
                <w:lang w:val="en-GB" w:eastAsia="pl-PL"/>
              </w:rPr>
            </w:pPr>
            <w:r w:rsidRPr="006F4EA3">
              <w:rPr>
                <w:rFonts w:eastAsia="Times New Roman" w:cs="Times New Roman"/>
                <w:color w:val="000000"/>
                <w:lang w:val="en-GB" w:eastAsia="pl-PL"/>
              </w:rPr>
              <w:t>24-25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14:paraId="28313E68" w14:textId="77777777" w:rsidR="006F4EA3" w:rsidRPr="006F4EA3" w:rsidRDefault="006F4EA3" w:rsidP="00D50DB0">
            <w:pPr>
              <w:ind w:right="461" w:firstLine="0"/>
              <w:jc w:val="right"/>
              <w:rPr>
                <w:rFonts w:eastAsia="Times New Roman" w:cs="Times New Roman"/>
                <w:color w:val="000000"/>
                <w:lang w:val="en-GB" w:eastAsia="pl-PL"/>
              </w:rPr>
            </w:pPr>
            <w:r w:rsidRPr="006F4EA3">
              <w:rPr>
                <w:rFonts w:eastAsia="Times New Roman" w:cs="Times New Roman"/>
                <w:color w:val="000000"/>
                <w:lang w:val="en-GB" w:eastAsia="pl-PL"/>
              </w:rPr>
              <w:t>17</w:t>
            </w:r>
          </w:p>
        </w:tc>
        <w:tc>
          <w:tcPr>
            <w:tcW w:w="1564" w:type="dxa"/>
            <w:tcBorders>
              <w:top w:val="single" w:sz="4" w:space="0" w:color="auto"/>
              <w:left w:val="single" w:sz="4" w:space="0" w:color="auto"/>
              <w:bottom w:val="single" w:sz="4" w:space="0" w:color="auto"/>
              <w:right w:val="single" w:sz="4" w:space="0" w:color="auto"/>
            </w:tcBorders>
            <w:noWrap/>
            <w:vAlign w:val="center"/>
            <w:hideMark/>
          </w:tcPr>
          <w:p w14:paraId="0433D268" w14:textId="77777777" w:rsidR="006F4EA3" w:rsidRPr="006F4EA3" w:rsidRDefault="006F4EA3" w:rsidP="00D50DB0">
            <w:pPr>
              <w:ind w:right="505" w:firstLine="0"/>
              <w:jc w:val="right"/>
              <w:rPr>
                <w:rFonts w:eastAsia="Times New Roman" w:cs="Times New Roman"/>
                <w:color w:val="000000"/>
                <w:lang w:val="en-GB" w:eastAsia="pl-PL"/>
              </w:rPr>
            </w:pPr>
            <w:r w:rsidRPr="006F4EA3">
              <w:rPr>
                <w:rFonts w:eastAsia="Times New Roman" w:cs="Times New Roman"/>
                <w:color w:val="000000"/>
                <w:lang w:val="en-GB" w:eastAsia="pl-PL"/>
              </w:rPr>
              <w:t>17.3</w:t>
            </w:r>
          </w:p>
        </w:tc>
      </w:tr>
      <w:tr w:rsidR="006F4EA3" w:rsidRPr="006F4EA3" w14:paraId="23F96C2E" w14:textId="77777777" w:rsidTr="00D50DB0">
        <w:trPr>
          <w:trHeight w:val="283"/>
          <w:jc w:val="center"/>
        </w:trPr>
        <w:tc>
          <w:tcPr>
            <w:tcW w:w="1843" w:type="dxa"/>
            <w:vMerge/>
            <w:tcBorders>
              <w:top w:val="nil"/>
              <w:left w:val="single" w:sz="4" w:space="0" w:color="auto"/>
              <w:bottom w:val="single" w:sz="4" w:space="0" w:color="auto"/>
              <w:right w:val="single" w:sz="4" w:space="0" w:color="auto"/>
            </w:tcBorders>
            <w:vAlign w:val="center"/>
            <w:hideMark/>
          </w:tcPr>
          <w:p w14:paraId="6651611A" w14:textId="77777777" w:rsidR="006F4EA3" w:rsidRPr="006F4EA3" w:rsidRDefault="006F4EA3" w:rsidP="006F4EA3">
            <w:pPr>
              <w:ind w:firstLine="0"/>
              <w:rPr>
                <w:rFonts w:eastAsia="Times New Roman" w:cs="Times New Roman"/>
                <w:color w:val="000000"/>
                <w:lang w:val="en-GB" w:eastAsia="pl-PL"/>
              </w:rPr>
            </w:pPr>
          </w:p>
        </w:tc>
        <w:tc>
          <w:tcPr>
            <w:tcW w:w="4673" w:type="dxa"/>
            <w:tcBorders>
              <w:top w:val="single" w:sz="4" w:space="0" w:color="auto"/>
              <w:left w:val="nil"/>
              <w:bottom w:val="single" w:sz="4" w:space="0" w:color="auto"/>
              <w:right w:val="single" w:sz="4" w:space="0" w:color="auto"/>
            </w:tcBorders>
            <w:noWrap/>
            <w:vAlign w:val="center"/>
            <w:hideMark/>
          </w:tcPr>
          <w:p w14:paraId="5B070067" w14:textId="77777777" w:rsidR="006F4EA3" w:rsidRPr="006F4EA3" w:rsidRDefault="006F4EA3" w:rsidP="00D50DB0">
            <w:pPr>
              <w:ind w:firstLine="0"/>
              <w:jc w:val="left"/>
              <w:rPr>
                <w:rFonts w:eastAsia="Times New Roman" w:cs="Times New Roman"/>
                <w:color w:val="000000"/>
                <w:lang w:val="en-GB" w:eastAsia="pl-PL"/>
              </w:rPr>
            </w:pPr>
            <w:r w:rsidRPr="006F4EA3">
              <w:rPr>
                <w:rFonts w:eastAsia="Times New Roman" w:cs="Times New Roman"/>
                <w:color w:val="000000"/>
                <w:lang w:val="en-GB" w:eastAsia="pl-PL"/>
              </w:rPr>
              <w:t>26 and older</w:t>
            </w:r>
          </w:p>
        </w:tc>
        <w:tc>
          <w:tcPr>
            <w:tcW w:w="1423" w:type="dxa"/>
            <w:tcBorders>
              <w:top w:val="single" w:sz="4" w:space="0" w:color="auto"/>
              <w:left w:val="single" w:sz="4" w:space="0" w:color="auto"/>
              <w:bottom w:val="single" w:sz="4" w:space="0" w:color="auto"/>
              <w:right w:val="single" w:sz="4" w:space="0" w:color="auto"/>
            </w:tcBorders>
            <w:noWrap/>
            <w:vAlign w:val="center"/>
            <w:hideMark/>
          </w:tcPr>
          <w:p w14:paraId="36A76714" w14:textId="77777777" w:rsidR="006F4EA3" w:rsidRPr="006F4EA3" w:rsidRDefault="006F4EA3" w:rsidP="00D50DB0">
            <w:pPr>
              <w:ind w:right="461" w:firstLine="0"/>
              <w:jc w:val="right"/>
              <w:rPr>
                <w:rFonts w:eastAsia="Times New Roman" w:cs="Times New Roman"/>
                <w:color w:val="000000"/>
                <w:lang w:val="en-GB" w:eastAsia="pl-PL"/>
              </w:rPr>
            </w:pPr>
            <w:r w:rsidRPr="006F4EA3">
              <w:rPr>
                <w:rFonts w:eastAsia="Times New Roman" w:cs="Times New Roman"/>
                <w:color w:val="000000"/>
                <w:lang w:val="en-GB" w:eastAsia="pl-PL"/>
              </w:rPr>
              <w:t>20</w:t>
            </w:r>
          </w:p>
        </w:tc>
        <w:tc>
          <w:tcPr>
            <w:tcW w:w="1564" w:type="dxa"/>
            <w:tcBorders>
              <w:top w:val="single" w:sz="4" w:space="0" w:color="auto"/>
              <w:left w:val="single" w:sz="4" w:space="0" w:color="auto"/>
              <w:bottom w:val="single" w:sz="4" w:space="0" w:color="auto"/>
              <w:right w:val="single" w:sz="4" w:space="0" w:color="auto"/>
            </w:tcBorders>
            <w:noWrap/>
            <w:vAlign w:val="center"/>
            <w:hideMark/>
          </w:tcPr>
          <w:p w14:paraId="4F2A472D" w14:textId="77777777" w:rsidR="006F4EA3" w:rsidRPr="006F4EA3" w:rsidRDefault="006F4EA3" w:rsidP="00D50DB0">
            <w:pPr>
              <w:ind w:right="505" w:firstLine="0"/>
              <w:jc w:val="right"/>
              <w:rPr>
                <w:rFonts w:eastAsia="Times New Roman" w:cs="Times New Roman"/>
                <w:color w:val="000000"/>
                <w:lang w:val="en-GB" w:eastAsia="pl-PL"/>
              </w:rPr>
            </w:pPr>
            <w:r w:rsidRPr="006F4EA3">
              <w:rPr>
                <w:rFonts w:eastAsia="Times New Roman" w:cs="Times New Roman"/>
                <w:color w:val="000000"/>
                <w:lang w:val="en-GB" w:eastAsia="pl-PL"/>
              </w:rPr>
              <w:t>20.4</w:t>
            </w:r>
          </w:p>
        </w:tc>
      </w:tr>
    </w:tbl>
    <w:p w14:paraId="1E70FF32" w14:textId="77777777" w:rsidR="006F4EA3" w:rsidRDefault="006F4EA3" w:rsidP="00C239D0">
      <w:pPr>
        <w:ind w:firstLine="0"/>
        <w:rPr>
          <w:lang w:val="en-GB"/>
        </w:rPr>
      </w:pPr>
    </w:p>
    <w:p w14:paraId="5FAC23F8" w14:textId="020D0F03" w:rsidR="00C239D0" w:rsidRPr="00C239D0" w:rsidRDefault="00C239D0" w:rsidP="006F4EA3">
      <w:pPr>
        <w:rPr>
          <w:lang w:val="en-GB"/>
        </w:rPr>
      </w:pPr>
      <w:r w:rsidRPr="00C239D0">
        <w:rPr>
          <w:lang w:val="en-GB"/>
        </w:rPr>
        <w:t xml:space="preserve">The distribution of responses obtained from the demographic section indicates that 61 participants (62.3%) </w:t>
      </w:r>
      <w:r w:rsidRPr="000A1721">
        <w:rPr>
          <w:spacing w:val="-2"/>
          <w:lang w:val="en-GB"/>
        </w:rPr>
        <w:t>belonged to Generation Z, while 37 participants were from Generation Y. This means that the study results cannot be generalized to the entire populations of these consumer groups and should be considered only as a basis for further research, serving as a survey study.</w:t>
      </w:r>
    </w:p>
    <w:p w14:paraId="69ECC160" w14:textId="77777777" w:rsidR="00C239D0" w:rsidRPr="00C239D0" w:rsidRDefault="00C239D0" w:rsidP="006F4EA3">
      <w:pPr>
        <w:rPr>
          <w:lang w:val="en-GB"/>
        </w:rPr>
      </w:pPr>
      <w:r w:rsidRPr="00C239D0">
        <w:rPr>
          <w:lang w:val="en-GB"/>
        </w:rPr>
        <w:t>For the purposes of the study, the research problem was formulated as follows: To what extent does the young consumer generation perceive the need to take actions to ensure sustainable energy development and environmental security? The research gap lies in the lack of knowledge and study results regarding the awareness and consumer preferences related to ensuring the security of sustainable energy development and the natural environment. The following hypotheses were proposed:</w:t>
      </w:r>
    </w:p>
    <w:p w14:paraId="3AC36960" w14:textId="14A45995" w:rsidR="00C239D0" w:rsidRPr="006F4EA3" w:rsidRDefault="00C239D0" w:rsidP="006F4EA3">
      <w:pPr>
        <w:pStyle w:val="Akapitzlist"/>
        <w:numPr>
          <w:ilvl w:val="0"/>
          <w:numId w:val="6"/>
        </w:numPr>
        <w:ind w:left="644"/>
        <w:rPr>
          <w:lang w:val="en-GB"/>
        </w:rPr>
      </w:pPr>
      <w:r w:rsidRPr="006F4EA3">
        <w:rPr>
          <w:lang w:val="en-GB"/>
        </w:rPr>
        <w:t>H1. Younger generations tend to consume devices that enable the use of various forms of energy supply (generation).</w:t>
      </w:r>
    </w:p>
    <w:p w14:paraId="75AE581F" w14:textId="646419BF" w:rsidR="00C239D0" w:rsidRPr="006F4EA3" w:rsidRDefault="00C239D0" w:rsidP="006F4EA3">
      <w:pPr>
        <w:pStyle w:val="Akapitzlist"/>
        <w:numPr>
          <w:ilvl w:val="0"/>
          <w:numId w:val="6"/>
        </w:numPr>
        <w:ind w:left="644"/>
        <w:rPr>
          <w:lang w:val="en-GB"/>
        </w:rPr>
      </w:pPr>
      <w:r w:rsidRPr="006F4EA3">
        <w:rPr>
          <w:lang w:val="en-GB"/>
        </w:rPr>
        <w:t>H2. The young consumer society, while aware of the need to protect the natural environment, does not focus on actions that guarantee this success.</w:t>
      </w:r>
    </w:p>
    <w:p w14:paraId="3C778BB5" w14:textId="4173479F" w:rsidR="00C239D0" w:rsidRPr="006F4EA3" w:rsidRDefault="00C239D0" w:rsidP="006F4EA3">
      <w:pPr>
        <w:pStyle w:val="Akapitzlist"/>
        <w:numPr>
          <w:ilvl w:val="0"/>
          <w:numId w:val="6"/>
        </w:numPr>
        <w:ind w:left="644"/>
        <w:rPr>
          <w:lang w:val="en-GB"/>
        </w:rPr>
      </w:pPr>
      <w:r w:rsidRPr="006F4EA3">
        <w:rPr>
          <w:lang w:val="en-GB"/>
        </w:rPr>
        <w:t>H3. The young consumer society consciously makes purchasing decisions in line with contemporary trends in terms of sustainable energy development</w:t>
      </w:r>
    </w:p>
    <w:p w14:paraId="51376EB4" w14:textId="5CECC8A3" w:rsidR="00C239D0" w:rsidRPr="00C239D0" w:rsidRDefault="006F4EA3" w:rsidP="006F4EA3">
      <w:pPr>
        <w:pStyle w:val="Rn1"/>
        <w:rPr>
          <w:lang w:val="en-GB"/>
        </w:rPr>
      </w:pPr>
      <w:r>
        <w:rPr>
          <w:lang w:val="en-GB"/>
        </w:rPr>
        <w:t xml:space="preserve">4. </w:t>
      </w:r>
      <w:r w:rsidR="00C239D0" w:rsidRPr="00C239D0">
        <w:rPr>
          <w:lang w:val="en-GB"/>
        </w:rPr>
        <w:t>Results</w:t>
      </w:r>
    </w:p>
    <w:p w14:paraId="569EC1F6" w14:textId="3822D5C6" w:rsidR="00C239D0" w:rsidRDefault="00C239D0" w:rsidP="006F4EA3">
      <w:pPr>
        <w:rPr>
          <w:lang w:val="en-GB"/>
        </w:rPr>
      </w:pPr>
      <w:r w:rsidRPr="00C239D0">
        <w:rPr>
          <w:lang w:val="en-GB"/>
        </w:rPr>
        <w:t xml:space="preserve">In response to the </w:t>
      </w:r>
      <w:r w:rsidRPr="006F4EA3">
        <w:rPr>
          <w:lang w:val="en-GB"/>
        </w:rPr>
        <w:t xml:space="preserve">need to identify the consumption </w:t>
      </w:r>
      <w:proofErr w:type="spellStart"/>
      <w:r w:rsidRPr="006F4EA3">
        <w:rPr>
          <w:lang w:val="en-GB"/>
        </w:rPr>
        <w:t>behaviors</w:t>
      </w:r>
      <w:proofErr w:type="spellEnd"/>
      <w:r w:rsidRPr="006F4EA3">
        <w:rPr>
          <w:lang w:val="en-GB"/>
        </w:rPr>
        <w:t xml:space="preserve"> of the young population, the first step was to</w:t>
      </w:r>
      <w:r w:rsidR="000A1721">
        <w:rPr>
          <w:lang w:val="en-GB"/>
        </w:rPr>
        <w:t> </w:t>
      </w:r>
      <w:r w:rsidRPr="006F4EA3">
        <w:rPr>
          <w:lang w:val="en-GB"/>
        </w:rPr>
        <w:t xml:space="preserve">determine their level of awareness regarding changes in the natural environment and their consequences. The study showed that more than half of the respondents, i.e., 60 individuals (21 </w:t>
      </w:r>
      <w:r w:rsidR="00191A53">
        <w:rPr>
          <w:lang w:val="en-GB"/>
        </w:rPr>
        <w:t>"</w:t>
      </w:r>
      <w:r w:rsidRPr="006F4EA3">
        <w:rPr>
          <w:lang w:val="en-GB"/>
        </w:rPr>
        <w:t>yes</w:t>
      </w:r>
      <w:r w:rsidR="00191A53">
        <w:rPr>
          <w:lang w:val="en-GB"/>
        </w:rPr>
        <w:t>"</w:t>
      </w:r>
      <w:r w:rsidRPr="006F4EA3">
        <w:rPr>
          <w:lang w:val="en-GB"/>
        </w:rPr>
        <w:t xml:space="preserve"> and 39 </w:t>
      </w:r>
      <w:r w:rsidR="00191A53">
        <w:rPr>
          <w:lang w:val="en-GB"/>
        </w:rPr>
        <w:t>"</w:t>
      </w:r>
      <w:r w:rsidRPr="006F4EA3">
        <w:rPr>
          <w:lang w:val="en-GB"/>
        </w:rPr>
        <w:t>rather yes</w:t>
      </w:r>
      <w:r w:rsidR="00191A53">
        <w:rPr>
          <w:lang w:val="en-GB"/>
        </w:rPr>
        <w:t>"</w:t>
      </w:r>
      <w:r w:rsidRPr="006F4EA3">
        <w:rPr>
          <w:lang w:val="en-GB"/>
        </w:rPr>
        <w:t xml:space="preserve">), </w:t>
      </w:r>
      <w:r w:rsidRPr="006F4EA3">
        <w:rPr>
          <w:lang w:val="en-GB"/>
        </w:rPr>
        <w:lastRenderedPageBreak/>
        <w:t xml:space="preserve">noticed global changes in the natural environment. Twelve respondents did not perceive such changes (4 </w:t>
      </w:r>
      <w:r w:rsidR="00191A53">
        <w:rPr>
          <w:lang w:val="en-GB"/>
        </w:rPr>
        <w:t>"</w:t>
      </w:r>
      <w:r w:rsidRPr="006F4EA3">
        <w:rPr>
          <w:lang w:val="en-GB"/>
        </w:rPr>
        <w:t>no</w:t>
      </w:r>
      <w:r w:rsidR="00191A53">
        <w:rPr>
          <w:lang w:val="en-GB"/>
        </w:rPr>
        <w:t>"</w:t>
      </w:r>
      <w:r w:rsidRPr="006F4EA3">
        <w:rPr>
          <w:lang w:val="en-GB"/>
        </w:rPr>
        <w:t xml:space="preserve"> and 8 </w:t>
      </w:r>
      <w:r w:rsidR="00191A53">
        <w:rPr>
          <w:lang w:val="en-GB"/>
        </w:rPr>
        <w:t>"</w:t>
      </w:r>
      <w:r w:rsidRPr="006F4EA3">
        <w:rPr>
          <w:lang w:val="en-GB"/>
        </w:rPr>
        <w:t>rather no</w:t>
      </w:r>
      <w:r w:rsidR="00191A53">
        <w:rPr>
          <w:lang w:val="en-GB"/>
        </w:rPr>
        <w:t>"</w:t>
      </w:r>
      <w:r w:rsidRPr="006F4EA3">
        <w:rPr>
          <w:lang w:val="en-GB"/>
        </w:rPr>
        <w:t>), while 26 found it difficult to determine, as they did not possess the necessary knowledge. Analysis of the results indicated that the young generation most noticeably experiences changes related to heatwaves, droughts, and heavy rains (Figure 5). The impact of floods (42.9%), smog (45.9%), or increased CO</w:t>
      </w:r>
      <w:r w:rsidRPr="0057216B">
        <w:rPr>
          <w:vertAlign w:val="subscript"/>
          <w:lang w:val="en-GB"/>
        </w:rPr>
        <w:t>2</w:t>
      </w:r>
      <w:r w:rsidRPr="006F4EA3">
        <w:rPr>
          <w:lang w:val="en-GB"/>
        </w:rPr>
        <w:t xml:space="preserve"> levels (43.9%) is perceived moderately, while hailstorms (56%), tornadoes and hurricanes (68.4%), and glacier melting (63%) are largely </w:t>
      </w:r>
      <w:r w:rsidRPr="00C239D0">
        <w:rPr>
          <w:lang w:val="en-GB"/>
        </w:rPr>
        <w:t>not felt by the majority of respondents.</w:t>
      </w:r>
    </w:p>
    <w:p w14:paraId="782A48A2" w14:textId="77777777" w:rsidR="0057216B" w:rsidRPr="00C239D0" w:rsidRDefault="0057216B" w:rsidP="006F4EA3">
      <w:pPr>
        <w:rPr>
          <w:lang w:val="en-GB"/>
        </w:rPr>
      </w:pPr>
    </w:p>
    <w:p w14:paraId="2383DAA7" w14:textId="2E81BF6C" w:rsidR="00C239D0" w:rsidRPr="00C239D0" w:rsidRDefault="0057216B" w:rsidP="0057216B">
      <w:pPr>
        <w:ind w:firstLine="0"/>
        <w:jc w:val="center"/>
        <w:rPr>
          <w:lang w:val="en-GB"/>
        </w:rPr>
      </w:pPr>
      <w:r>
        <w:rPr>
          <w:noProof/>
        </w:rPr>
        <w:drawing>
          <wp:inline distT="0" distB="0" distL="0" distR="0" wp14:anchorId="42995C90" wp14:editId="2B6FE13A">
            <wp:extent cx="4547507" cy="2819401"/>
            <wp:effectExtent l="0" t="0" r="5715" b="0"/>
            <wp:docPr id="1169679412" name="Wykres 1">
              <a:extLst xmlns:a="http://schemas.openxmlformats.org/drawingml/2006/main">
                <a:ext uri="{FF2B5EF4-FFF2-40B4-BE49-F238E27FC236}">
                  <a16:creationId xmlns:a16="http://schemas.microsoft.com/office/drawing/2014/main" id="{10AD0C11-C7CA-4B21-AA34-90813165EF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467FBCF" w14:textId="77777777" w:rsidR="00C239D0" w:rsidRPr="00C239D0" w:rsidRDefault="00C239D0" w:rsidP="006F4EA3">
      <w:pPr>
        <w:pStyle w:val="Rrys"/>
        <w:rPr>
          <w:lang w:val="en-GB"/>
        </w:rPr>
      </w:pPr>
      <w:r w:rsidRPr="006F4EA3">
        <w:rPr>
          <w:b/>
          <w:bCs/>
          <w:lang w:val="en-GB"/>
        </w:rPr>
        <w:t>Fig. 5.</w:t>
      </w:r>
      <w:r w:rsidRPr="00C239D0">
        <w:rPr>
          <w:lang w:val="en-GB"/>
        </w:rPr>
        <w:t xml:space="preserve"> Most frequently perceived changes in the natural environment</w:t>
      </w:r>
    </w:p>
    <w:p w14:paraId="1EB9810C" w14:textId="77777777" w:rsidR="006F4EA3" w:rsidRDefault="006F4EA3" w:rsidP="00C239D0">
      <w:pPr>
        <w:ind w:firstLine="0"/>
        <w:rPr>
          <w:lang w:val="en-GB"/>
        </w:rPr>
      </w:pPr>
    </w:p>
    <w:p w14:paraId="7433DE15" w14:textId="6969E66B" w:rsidR="00C239D0" w:rsidRPr="00C239D0" w:rsidRDefault="00C239D0" w:rsidP="006F4EA3">
      <w:pPr>
        <w:rPr>
          <w:lang w:val="en-GB"/>
        </w:rPr>
      </w:pPr>
      <w:r w:rsidRPr="00C239D0">
        <w:rPr>
          <w:lang w:val="en-GB"/>
        </w:rPr>
        <w:t>The obtained data indicate (Table 3) that despite not perceiving a significant impact of environmental changes, young consumers identify with aspects related to sustainable energy development. Slightly more than half of the respondents stated that they are familiar with the sustainable energy development policy.</w:t>
      </w:r>
    </w:p>
    <w:p w14:paraId="04DBBA14" w14:textId="77777777" w:rsidR="00C239D0" w:rsidRPr="00C239D0" w:rsidRDefault="00C239D0" w:rsidP="00C239D0">
      <w:pPr>
        <w:ind w:firstLine="0"/>
        <w:rPr>
          <w:lang w:val="en-GB"/>
        </w:rPr>
      </w:pPr>
    </w:p>
    <w:p w14:paraId="7C7E3AD9" w14:textId="076D7FEF" w:rsidR="00C239D0" w:rsidRPr="00C239D0" w:rsidRDefault="00C239D0" w:rsidP="006F4EA3">
      <w:pPr>
        <w:pStyle w:val="Wtab"/>
        <w:ind w:firstLine="0"/>
        <w:rPr>
          <w:lang w:val="en-GB"/>
        </w:rPr>
      </w:pPr>
      <w:r w:rsidRPr="006F4EA3">
        <w:rPr>
          <w:b/>
          <w:bCs/>
          <w:lang w:val="en-GB"/>
        </w:rPr>
        <w:t>Tab</w:t>
      </w:r>
      <w:r w:rsidR="006F4EA3" w:rsidRPr="006F4EA3">
        <w:rPr>
          <w:b/>
          <w:bCs/>
          <w:lang w:val="en-GB"/>
        </w:rPr>
        <w:t>le</w:t>
      </w:r>
      <w:r w:rsidRPr="006F4EA3">
        <w:rPr>
          <w:b/>
          <w:bCs/>
          <w:lang w:val="en-GB"/>
        </w:rPr>
        <w:t xml:space="preserve"> 3.</w:t>
      </w:r>
      <w:r w:rsidRPr="00C239D0">
        <w:rPr>
          <w:lang w:val="en-GB"/>
        </w:rPr>
        <w:t xml:space="preserve"> Level of knowledge regarding sustainable energy development</w:t>
      </w:r>
    </w:p>
    <w:tbl>
      <w:tblPr>
        <w:tblW w:w="9681" w:type="dxa"/>
        <w:tblCellMar>
          <w:left w:w="70" w:type="dxa"/>
          <w:right w:w="70" w:type="dxa"/>
        </w:tblCellMar>
        <w:tblLook w:val="04A0" w:firstRow="1" w:lastRow="0" w:firstColumn="1" w:lastColumn="0" w:noHBand="0" w:noVBand="1"/>
      </w:tblPr>
      <w:tblGrid>
        <w:gridCol w:w="3119"/>
        <w:gridCol w:w="907"/>
        <w:gridCol w:w="1191"/>
        <w:gridCol w:w="2253"/>
        <w:gridCol w:w="1247"/>
        <w:gridCol w:w="964"/>
      </w:tblGrid>
      <w:tr w:rsidR="00267871" w:rsidRPr="00B15083" w14:paraId="1BFA3A9A" w14:textId="77777777" w:rsidTr="00481B6E">
        <w:trPr>
          <w:trHeight w:val="603"/>
        </w:trPr>
        <w:tc>
          <w:tcPr>
            <w:tcW w:w="3119" w:type="dxa"/>
            <w:tcBorders>
              <w:top w:val="nil"/>
              <w:left w:val="nil"/>
              <w:bottom w:val="nil"/>
              <w:right w:val="nil"/>
            </w:tcBorders>
            <w:noWrap/>
            <w:vAlign w:val="center"/>
            <w:hideMark/>
          </w:tcPr>
          <w:p w14:paraId="4AE02F99" w14:textId="77777777" w:rsidR="006F4EA3" w:rsidRPr="008C6D1E" w:rsidRDefault="006F4EA3" w:rsidP="006F4EA3">
            <w:pPr>
              <w:ind w:firstLine="0"/>
              <w:jc w:val="left"/>
              <w:rPr>
                <w:rFonts w:eastAsia="Times New Roman" w:cs="Times New Roman"/>
                <w:sz w:val="20"/>
                <w:szCs w:val="20"/>
                <w:lang w:eastAsia="pl-PL"/>
              </w:rPr>
            </w:pPr>
          </w:p>
        </w:tc>
        <w:tc>
          <w:tcPr>
            <w:tcW w:w="907" w:type="dxa"/>
            <w:tcBorders>
              <w:top w:val="single" w:sz="4" w:space="0" w:color="auto"/>
              <w:left w:val="single" w:sz="4" w:space="0" w:color="auto"/>
              <w:bottom w:val="single" w:sz="4" w:space="0" w:color="auto"/>
              <w:right w:val="single" w:sz="4" w:space="0" w:color="auto"/>
            </w:tcBorders>
            <w:noWrap/>
            <w:vAlign w:val="center"/>
            <w:hideMark/>
          </w:tcPr>
          <w:p w14:paraId="158EE1D8" w14:textId="77777777" w:rsidR="006F4EA3" w:rsidRPr="008C6D1E" w:rsidRDefault="006F4EA3" w:rsidP="006F4EA3">
            <w:pPr>
              <w:ind w:firstLine="0"/>
              <w:jc w:val="center"/>
              <w:rPr>
                <w:rFonts w:eastAsia="Times New Roman" w:cs="Times New Roman"/>
                <w:color w:val="000000"/>
                <w:sz w:val="20"/>
                <w:szCs w:val="20"/>
                <w:lang w:eastAsia="pl-PL"/>
              </w:rPr>
            </w:pPr>
            <w:r w:rsidRPr="008C6D1E">
              <w:rPr>
                <w:rFonts w:eastAsia="Times New Roman" w:cs="Times New Roman"/>
                <w:color w:val="000000"/>
                <w:sz w:val="20"/>
                <w:szCs w:val="20"/>
                <w:lang w:eastAsia="pl-PL"/>
              </w:rPr>
              <w:t>No</w:t>
            </w:r>
          </w:p>
        </w:tc>
        <w:tc>
          <w:tcPr>
            <w:tcW w:w="1191" w:type="dxa"/>
            <w:tcBorders>
              <w:top w:val="single" w:sz="4" w:space="0" w:color="auto"/>
              <w:left w:val="nil"/>
              <w:bottom w:val="single" w:sz="4" w:space="0" w:color="auto"/>
              <w:right w:val="single" w:sz="4" w:space="0" w:color="auto"/>
            </w:tcBorders>
            <w:vAlign w:val="center"/>
            <w:hideMark/>
          </w:tcPr>
          <w:p w14:paraId="257AC61B" w14:textId="77777777" w:rsidR="006F4EA3" w:rsidRPr="008C6D1E" w:rsidRDefault="006F4EA3" w:rsidP="006F4EA3">
            <w:pPr>
              <w:ind w:firstLine="0"/>
              <w:jc w:val="center"/>
              <w:rPr>
                <w:rFonts w:eastAsia="Times New Roman" w:cs="Times New Roman"/>
                <w:color w:val="000000"/>
                <w:sz w:val="20"/>
                <w:szCs w:val="20"/>
                <w:lang w:eastAsia="pl-PL"/>
              </w:rPr>
            </w:pPr>
            <w:proofErr w:type="spellStart"/>
            <w:r w:rsidRPr="008C6D1E">
              <w:rPr>
                <w:rFonts w:eastAsia="Times New Roman" w:cs="Times New Roman"/>
                <w:color w:val="000000"/>
                <w:sz w:val="20"/>
                <w:szCs w:val="20"/>
                <w:lang w:eastAsia="pl-PL"/>
              </w:rPr>
              <w:t>Rather</w:t>
            </w:r>
            <w:proofErr w:type="spellEnd"/>
            <w:r w:rsidRPr="008C6D1E">
              <w:rPr>
                <w:rFonts w:eastAsia="Times New Roman" w:cs="Times New Roman"/>
                <w:color w:val="000000"/>
                <w:sz w:val="20"/>
                <w:szCs w:val="20"/>
                <w:lang w:eastAsia="pl-PL"/>
              </w:rPr>
              <w:t xml:space="preserve"> no</w:t>
            </w:r>
          </w:p>
        </w:tc>
        <w:tc>
          <w:tcPr>
            <w:tcW w:w="2253" w:type="dxa"/>
            <w:tcBorders>
              <w:top w:val="single" w:sz="4" w:space="0" w:color="auto"/>
              <w:left w:val="nil"/>
              <w:bottom w:val="single" w:sz="4" w:space="0" w:color="auto"/>
              <w:right w:val="single" w:sz="4" w:space="0" w:color="auto"/>
            </w:tcBorders>
            <w:vAlign w:val="center"/>
            <w:hideMark/>
          </w:tcPr>
          <w:p w14:paraId="720EBAD8" w14:textId="3B74338B" w:rsidR="006F4EA3" w:rsidRPr="008C6D1E" w:rsidRDefault="006F4EA3" w:rsidP="006F4EA3">
            <w:pPr>
              <w:ind w:firstLine="0"/>
              <w:jc w:val="center"/>
              <w:rPr>
                <w:rFonts w:eastAsia="Times New Roman" w:cs="Times New Roman"/>
                <w:color w:val="000000"/>
                <w:sz w:val="20"/>
                <w:szCs w:val="20"/>
                <w:lang w:eastAsia="pl-PL"/>
              </w:rPr>
            </w:pPr>
            <w:r w:rsidRPr="008C6D1E">
              <w:rPr>
                <w:rFonts w:eastAsia="Times New Roman" w:cs="Times New Roman"/>
                <w:color w:val="000000"/>
                <w:sz w:val="20"/>
                <w:szCs w:val="20"/>
                <w:lang w:eastAsia="pl-PL"/>
              </w:rPr>
              <w:t xml:space="preserve">I </w:t>
            </w:r>
            <w:proofErr w:type="spellStart"/>
            <w:r w:rsidRPr="008C6D1E">
              <w:rPr>
                <w:rFonts w:eastAsia="Times New Roman" w:cs="Times New Roman"/>
                <w:color w:val="000000"/>
                <w:sz w:val="20"/>
                <w:szCs w:val="20"/>
                <w:lang w:eastAsia="pl-PL"/>
              </w:rPr>
              <w:t>don't</w:t>
            </w:r>
            <w:proofErr w:type="spellEnd"/>
            <w:r w:rsidRPr="008C6D1E">
              <w:rPr>
                <w:rFonts w:eastAsia="Times New Roman" w:cs="Times New Roman"/>
                <w:color w:val="000000"/>
                <w:sz w:val="20"/>
                <w:szCs w:val="20"/>
                <w:lang w:eastAsia="pl-PL"/>
              </w:rPr>
              <w:t xml:space="preserve"> </w:t>
            </w:r>
            <w:proofErr w:type="spellStart"/>
            <w:r w:rsidRPr="008C6D1E">
              <w:rPr>
                <w:rFonts w:eastAsia="Times New Roman" w:cs="Times New Roman"/>
                <w:color w:val="000000"/>
                <w:sz w:val="20"/>
                <w:szCs w:val="20"/>
                <w:lang w:eastAsia="pl-PL"/>
              </w:rPr>
              <w:t>know</w:t>
            </w:r>
            <w:proofErr w:type="spellEnd"/>
            <w:r w:rsidRPr="008C6D1E">
              <w:rPr>
                <w:rFonts w:eastAsia="Times New Roman" w:cs="Times New Roman"/>
                <w:color w:val="000000"/>
                <w:sz w:val="20"/>
                <w:szCs w:val="20"/>
                <w:lang w:eastAsia="pl-PL"/>
              </w:rPr>
              <w:t xml:space="preserve"> / </w:t>
            </w:r>
            <w:r w:rsidR="00144CF7">
              <w:rPr>
                <w:rFonts w:eastAsia="Times New Roman" w:cs="Times New Roman"/>
                <w:color w:val="000000"/>
                <w:sz w:val="20"/>
                <w:szCs w:val="20"/>
                <w:lang w:eastAsia="pl-PL"/>
              </w:rPr>
              <w:br/>
            </w:r>
            <w:r w:rsidRPr="008C6D1E">
              <w:rPr>
                <w:rFonts w:eastAsia="Times New Roman" w:cs="Times New Roman"/>
                <w:color w:val="000000"/>
                <w:sz w:val="20"/>
                <w:szCs w:val="20"/>
                <w:lang w:eastAsia="pl-PL"/>
              </w:rPr>
              <w:t xml:space="preserve">I </w:t>
            </w:r>
            <w:proofErr w:type="spellStart"/>
            <w:r w:rsidRPr="008C6D1E">
              <w:rPr>
                <w:rFonts w:eastAsia="Times New Roman" w:cs="Times New Roman"/>
                <w:color w:val="000000"/>
                <w:sz w:val="20"/>
                <w:szCs w:val="20"/>
                <w:lang w:eastAsia="pl-PL"/>
              </w:rPr>
              <w:t>don't</w:t>
            </w:r>
            <w:proofErr w:type="spellEnd"/>
            <w:r w:rsidRPr="008C6D1E">
              <w:rPr>
                <w:rFonts w:eastAsia="Times New Roman" w:cs="Times New Roman"/>
                <w:color w:val="000000"/>
                <w:sz w:val="20"/>
                <w:szCs w:val="20"/>
                <w:lang w:eastAsia="pl-PL"/>
              </w:rPr>
              <w:t xml:space="preserve"> </w:t>
            </w:r>
            <w:proofErr w:type="spellStart"/>
            <w:r w:rsidRPr="008C6D1E">
              <w:rPr>
                <w:rFonts w:eastAsia="Times New Roman" w:cs="Times New Roman"/>
                <w:color w:val="000000"/>
                <w:sz w:val="20"/>
                <w:szCs w:val="20"/>
                <w:lang w:eastAsia="pl-PL"/>
              </w:rPr>
              <w:t>have</w:t>
            </w:r>
            <w:proofErr w:type="spellEnd"/>
            <w:r w:rsidRPr="008C6D1E">
              <w:rPr>
                <w:rFonts w:eastAsia="Times New Roman" w:cs="Times New Roman"/>
                <w:color w:val="000000"/>
                <w:sz w:val="20"/>
                <w:szCs w:val="20"/>
                <w:lang w:eastAsia="pl-PL"/>
              </w:rPr>
              <w:t xml:space="preserve"> </w:t>
            </w:r>
            <w:proofErr w:type="spellStart"/>
            <w:r w:rsidRPr="008C6D1E">
              <w:rPr>
                <w:rFonts w:eastAsia="Times New Roman" w:cs="Times New Roman"/>
                <w:color w:val="000000"/>
                <w:sz w:val="20"/>
                <w:szCs w:val="20"/>
                <w:lang w:eastAsia="pl-PL"/>
              </w:rPr>
              <w:t>an</w:t>
            </w:r>
            <w:proofErr w:type="spellEnd"/>
            <w:r w:rsidRPr="008C6D1E">
              <w:rPr>
                <w:rFonts w:eastAsia="Times New Roman" w:cs="Times New Roman"/>
                <w:color w:val="000000"/>
                <w:sz w:val="20"/>
                <w:szCs w:val="20"/>
                <w:lang w:eastAsia="pl-PL"/>
              </w:rPr>
              <w:t xml:space="preserve"> </w:t>
            </w:r>
            <w:proofErr w:type="spellStart"/>
            <w:r w:rsidRPr="008C6D1E">
              <w:rPr>
                <w:rFonts w:eastAsia="Times New Roman" w:cs="Times New Roman"/>
                <w:color w:val="000000"/>
                <w:sz w:val="20"/>
                <w:szCs w:val="20"/>
                <w:lang w:eastAsia="pl-PL"/>
              </w:rPr>
              <w:t>opinion</w:t>
            </w:r>
            <w:proofErr w:type="spellEnd"/>
          </w:p>
        </w:tc>
        <w:tc>
          <w:tcPr>
            <w:tcW w:w="1247" w:type="dxa"/>
            <w:tcBorders>
              <w:top w:val="single" w:sz="4" w:space="0" w:color="auto"/>
              <w:left w:val="nil"/>
              <w:bottom w:val="single" w:sz="4" w:space="0" w:color="auto"/>
              <w:right w:val="single" w:sz="4" w:space="0" w:color="auto"/>
            </w:tcBorders>
            <w:vAlign w:val="center"/>
            <w:hideMark/>
          </w:tcPr>
          <w:p w14:paraId="3A22E3C9" w14:textId="77777777" w:rsidR="006F4EA3" w:rsidRPr="008C6D1E" w:rsidRDefault="006F4EA3" w:rsidP="006F4EA3">
            <w:pPr>
              <w:ind w:firstLine="0"/>
              <w:jc w:val="center"/>
              <w:rPr>
                <w:rFonts w:eastAsia="Times New Roman" w:cs="Times New Roman"/>
                <w:color w:val="000000"/>
                <w:sz w:val="20"/>
                <w:szCs w:val="20"/>
                <w:lang w:eastAsia="pl-PL"/>
              </w:rPr>
            </w:pPr>
            <w:proofErr w:type="spellStart"/>
            <w:r w:rsidRPr="008C6D1E">
              <w:rPr>
                <w:rFonts w:eastAsia="Times New Roman" w:cs="Times New Roman"/>
                <w:color w:val="000000"/>
                <w:sz w:val="20"/>
                <w:szCs w:val="20"/>
                <w:lang w:eastAsia="pl-PL"/>
              </w:rPr>
              <w:t>Rather</w:t>
            </w:r>
            <w:proofErr w:type="spellEnd"/>
            <w:r w:rsidRPr="008C6D1E">
              <w:rPr>
                <w:rFonts w:eastAsia="Times New Roman" w:cs="Times New Roman"/>
                <w:color w:val="000000"/>
                <w:sz w:val="20"/>
                <w:szCs w:val="20"/>
                <w:lang w:eastAsia="pl-PL"/>
              </w:rPr>
              <w:t xml:space="preserve"> </w:t>
            </w:r>
            <w:proofErr w:type="spellStart"/>
            <w:r w:rsidRPr="008C6D1E">
              <w:rPr>
                <w:rFonts w:eastAsia="Times New Roman" w:cs="Times New Roman"/>
                <w:color w:val="000000"/>
                <w:sz w:val="20"/>
                <w:szCs w:val="20"/>
                <w:lang w:eastAsia="pl-PL"/>
              </w:rPr>
              <w:t>yes</w:t>
            </w:r>
            <w:proofErr w:type="spellEnd"/>
          </w:p>
        </w:tc>
        <w:tc>
          <w:tcPr>
            <w:tcW w:w="964" w:type="dxa"/>
            <w:tcBorders>
              <w:top w:val="single" w:sz="4" w:space="0" w:color="auto"/>
              <w:left w:val="nil"/>
              <w:bottom w:val="single" w:sz="4" w:space="0" w:color="auto"/>
              <w:right w:val="single" w:sz="4" w:space="0" w:color="auto"/>
            </w:tcBorders>
            <w:noWrap/>
            <w:vAlign w:val="center"/>
            <w:hideMark/>
          </w:tcPr>
          <w:p w14:paraId="67895E79" w14:textId="6EF47F3B" w:rsidR="006F4EA3" w:rsidRPr="008C6D1E" w:rsidRDefault="006F4EA3" w:rsidP="006F4EA3">
            <w:pPr>
              <w:ind w:firstLine="0"/>
              <w:jc w:val="center"/>
              <w:rPr>
                <w:rFonts w:eastAsia="Times New Roman" w:cs="Times New Roman"/>
                <w:color w:val="000000"/>
                <w:sz w:val="20"/>
                <w:szCs w:val="20"/>
                <w:lang w:eastAsia="pl-PL"/>
              </w:rPr>
            </w:pPr>
            <w:proofErr w:type="spellStart"/>
            <w:r w:rsidRPr="008C6D1E">
              <w:rPr>
                <w:rFonts w:eastAsia="Times New Roman" w:cs="Times New Roman"/>
                <w:color w:val="000000"/>
                <w:sz w:val="20"/>
                <w:szCs w:val="20"/>
                <w:lang w:eastAsia="pl-PL"/>
              </w:rPr>
              <w:t>Yes</w:t>
            </w:r>
            <w:proofErr w:type="spellEnd"/>
          </w:p>
        </w:tc>
      </w:tr>
      <w:tr w:rsidR="00267871" w:rsidRPr="00B15083" w14:paraId="51B73057" w14:textId="77777777" w:rsidTr="00481B6E">
        <w:trPr>
          <w:trHeight w:val="519"/>
        </w:trPr>
        <w:tc>
          <w:tcPr>
            <w:tcW w:w="3119" w:type="dxa"/>
            <w:tcBorders>
              <w:top w:val="single" w:sz="4" w:space="0" w:color="auto"/>
              <w:left w:val="single" w:sz="4" w:space="0" w:color="auto"/>
              <w:bottom w:val="single" w:sz="4" w:space="0" w:color="auto"/>
              <w:right w:val="single" w:sz="4" w:space="0" w:color="auto"/>
            </w:tcBorders>
            <w:vAlign w:val="center"/>
            <w:hideMark/>
          </w:tcPr>
          <w:p w14:paraId="69A6D5F9" w14:textId="77777777" w:rsidR="006F4EA3" w:rsidRPr="008C6D1E" w:rsidRDefault="006F4EA3" w:rsidP="006F4EA3">
            <w:pPr>
              <w:ind w:firstLine="0"/>
              <w:jc w:val="left"/>
              <w:rPr>
                <w:rFonts w:eastAsia="Times New Roman" w:cs="Times New Roman"/>
                <w:color w:val="000000"/>
                <w:sz w:val="20"/>
                <w:szCs w:val="20"/>
                <w:lang w:eastAsia="pl-PL"/>
              </w:rPr>
            </w:pPr>
            <w:r w:rsidRPr="008C6D1E">
              <w:rPr>
                <w:rFonts w:eastAsia="Times New Roman" w:cs="Times New Roman"/>
                <w:color w:val="000000"/>
                <w:sz w:val="20"/>
                <w:szCs w:val="20"/>
                <w:lang w:eastAsia="pl-PL"/>
              </w:rPr>
              <w:t xml:space="preserve">I </w:t>
            </w:r>
            <w:proofErr w:type="spellStart"/>
            <w:r w:rsidRPr="008C6D1E">
              <w:rPr>
                <w:rFonts w:eastAsia="Times New Roman" w:cs="Times New Roman"/>
                <w:color w:val="000000"/>
                <w:sz w:val="20"/>
                <w:szCs w:val="20"/>
                <w:lang w:eastAsia="pl-PL"/>
              </w:rPr>
              <w:t>know</w:t>
            </w:r>
            <w:proofErr w:type="spellEnd"/>
            <w:r w:rsidRPr="008C6D1E">
              <w:rPr>
                <w:rFonts w:eastAsia="Times New Roman" w:cs="Times New Roman"/>
                <w:color w:val="000000"/>
                <w:sz w:val="20"/>
                <w:szCs w:val="20"/>
                <w:lang w:eastAsia="pl-PL"/>
              </w:rPr>
              <w:t xml:space="preserve"> </w:t>
            </w:r>
            <w:proofErr w:type="spellStart"/>
            <w:r w:rsidRPr="008C6D1E">
              <w:rPr>
                <w:rFonts w:eastAsia="Times New Roman" w:cs="Times New Roman"/>
                <w:color w:val="000000"/>
                <w:sz w:val="20"/>
                <w:szCs w:val="20"/>
                <w:lang w:eastAsia="pl-PL"/>
              </w:rPr>
              <w:t>about</w:t>
            </w:r>
            <w:proofErr w:type="spellEnd"/>
            <w:r w:rsidRPr="008C6D1E">
              <w:rPr>
                <w:rFonts w:eastAsia="Times New Roman" w:cs="Times New Roman"/>
                <w:color w:val="000000"/>
                <w:sz w:val="20"/>
                <w:szCs w:val="20"/>
                <w:lang w:eastAsia="pl-PL"/>
              </w:rPr>
              <w:t xml:space="preserve"> </w:t>
            </w:r>
            <w:proofErr w:type="spellStart"/>
            <w:r w:rsidRPr="008C6D1E">
              <w:rPr>
                <w:rFonts w:eastAsia="Times New Roman" w:cs="Times New Roman"/>
                <w:color w:val="000000"/>
                <w:sz w:val="20"/>
                <w:szCs w:val="20"/>
                <w:lang w:eastAsia="pl-PL"/>
              </w:rPr>
              <w:t>sustainable</w:t>
            </w:r>
            <w:proofErr w:type="spellEnd"/>
            <w:r w:rsidRPr="008C6D1E">
              <w:rPr>
                <w:rFonts w:eastAsia="Times New Roman" w:cs="Times New Roman"/>
                <w:color w:val="000000"/>
                <w:sz w:val="20"/>
                <w:szCs w:val="20"/>
                <w:lang w:eastAsia="pl-PL"/>
              </w:rPr>
              <w:t xml:space="preserve"> </w:t>
            </w:r>
            <w:proofErr w:type="spellStart"/>
            <w:r w:rsidRPr="008C6D1E">
              <w:rPr>
                <w:rFonts w:eastAsia="Times New Roman" w:cs="Times New Roman"/>
                <w:color w:val="000000"/>
                <w:sz w:val="20"/>
                <w:szCs w:val="20"/>
                <w:lang w:eastAsia="pl-PL"/>
              </w:rPr>
              <w:t>energy</w:t>
            </w:r>
            <w:proofErr w:type="spellEnd"/>
            <w:r w:rsidRPr="008C6D1E">
              <w:rPr>
                <w:rFonts w:eastAsia="Times New Roman" w:cs="Times New Roman"/>
                <w:color w:val="000000"/>
                <w:sz w:val="20"/>
                <w:szCs w:val="20"/>
                <w:lang w:eastAsia="pl-PL"/>
              </w:rPr>
              <w:t xml:space="preserve"> development policy</w:t>
            </w:r>
          </w:p>
        </w:tc>
        <w:tc>
          <w:tcPr>
            <w:tcW w:w="907" w:type="dxa"/>
            <w:tcBorders>
              <w:top w:val="nil"/>
              <w:left w:val="nil"/>
              <w:bottom w:val="single" w:sz="4" w:space="0" w:color="auto"/>
              <w:right w:val="single" w:sz="4" w:space="0" w:color="auto"/>
            </w:tcBorders>
            <w:noWrap/>
            <w:vAlign w:val="center"/>
            <w:hideMark/>
          </w:tcPr>
          <w:p w14:paraId="406B9BDB" w14:textId="77777777" w:rsidR="006F4EA3" w:rsidRPr="008C6D1E" w:rsidRDefault="006F4EA3" w:rsidP="006F4EA3">
            <w:pPr>
              <w:ind w:firstLine="0"/>
              <w:jc w:val="center"/>
              <w:rPr>
                <w:rFonts w:eastAsia="Times New Roman" w:cs="Times New Roman"/>
                <w:color w:val="000000"/>
                <w:sz w:val="20"/>
                <w:szCs w:val="20"/>
                <w:lang w:eastAsia="pl-PL"/>
              </w:rPr>
            </w:pPr>
            <w:r w:rsidRPr="008C6D1E">
              <w:rPr>
                <w:rFonts w:eastAsia="Times New Roman" w:cs="Times New Roman"/>
                <w:color w:val="000000"/>
                <w:sz w:val="20"/>
                <w:szCs w:val="20"/>
                <w:lang w:eastAsia="pl-PL"/>
              </w:rPr>
              <w:t>6.1%</w:t>
            </w:r>
          </w:p>
        </w:tc>
        <w:tc>
          <w:tcPr>
            <w:tcW w:w="1191" w:type="dxa"/>
            <w:tcBorders>
              <w:top w:val="nil"/>
              <w:left w:val="nil"/>
              <w:bottom w:val="single" w:sz="4" w:space="0" w:color="auto"/>
              <w:right w:val="single" w:sz="4" w:space="0" w:color="auto"/>
            </w:tcBorders>
            <w:noWrap/>
            <w:vAlign w:val="center"/>
            <w:hideMark/>
          </w:tcPr>
          <w:p w14:paraId="7B46F7B2" w14:textId="77777777" w:rsidR="006F4EA3" w:rsidRPr="008C6D1E" w:rsidRDefault="006F4EA3" w:rsidP="006F4EA3">
            <w:pPr>
              <w:ind w:firstLine="0"/>
              <w:jc w:val="center"/>
              <w:rPr>
                <w:rFonts w:eastAsia="Times New Roman" w:cs="Times New Roman"/>
                <w:color w:val="000000"/>
                <w:sz w:val="20"/>
                <w:szCs w:val="20"/>
                <w:lang w:eastAsia="pl-PL"/>
              </w:rPr>
            </w:pPr>
            <w:r w:rsidRPr="008C6D1E">
              <w:rPr>
                <w:rFonts w:eastAsia="Times New Roman" w:cs="Times New Roman"/>
                <w:color w:val="000000"/>
                <w:sz w:val="20"/>
                <w:szCs w:val="20"/>
                <w:lang w:eastAsia="pl-PL"/>
              </w:rPr>
              <w:t>25.5%</w:t>
            </w:r>
          </w:p>
        </w:tc>
        <w:tc>
          <w:tcPr>
            <w:tcW w:w="2253" w:type="dxa"/>
            <w:tcBorders>
              <w:top w:val="nil"/>
              <w:left w:val="nil"/>
              <w:bottom w:val="single" w:sz="4" w:space="0" w:color="auto"/>
              <w:right w:val="single" w:sz="4" w:space="0" w:color="auto"/>
            </w:tcBorders>
            <w:noWrap/>
            <w:vAlign w:val="center"/>
            <w:hideMark/>
          </w:tcPr>
          <w:p w14:paraId="6C997161" w14:textId="77777777" w:rsidR="006F4EA3" w:rsidRPr="008C6D1E" w:rsidRDefault="006F4EA3" w:rsidP="006F4EA3">
            <w:pPr>
              <w:ind w:firstLine="0"/>
              <w:jc w:val="center"/>
              <w:rPr>
                <w:rFonts w:eastAsia="Times New Roman" w:cs="Times New Roman"/>
                <w:color w:val="000000"/>
                <w:sz w:val="20"/>
                <w:szCs w:val="20"/>
                <w:lang w:eastAsia="pl-PL"/>
              </w:rPr>
            </w:pPr>
            <w:r w:rsidRPr="008C6D1E">
              <w:rPr>
                <w:rFonts w:eastAsia="Times New Roman" w:cs="Times New Roman"/>
                <w:color w:val="000000"/>
                <w:sz w:val="20"/>
                <w:szCs w:val="20"/>
                <w:lang w:eastAsia="pl-PL"/>
              </w:rPr>
              <w:t>23.5%</w:t>
            </w:r>
          </w:p>
        </w:tc>
        <w:tc>
          <w:tcPr>
            <w:tcW w:w="1247" w:type="dxa"/>
            <w:tcBorders>
              <w:top w:val="nil"/>
              <w:left w:val="nil"/>
              <w:bottom w:val="single" w:sz="4" w:space="0" w:color="auto"/>
              <w:right w:val="single" w:sz="4" w:space="0" w:color="auto"/>
            </w:tcBorders>
            <w:noWrap/>
            <w:vAlign w:val="center"/>
            <w:hideMark/>
          </w:tcPr>
          <w:p w14:paraId="559F910B" w14:textId="77777777" w:rsidR="006F4EA3" w:rsidRPr="008C6D1E" w:rsidRDefault="006F4EA3" w:rsidP="006F4EA3">
            <w:pPr>
              <w:ind w:firstLine="0"/>
              <w:jc w:val="center"/>
              <w:rPr>
                <w:rFonts w:eastAsia="Times New Roman" w:cs="Times New Roman"/>
                <w:color w:val="000000"/>
                <w:sz w:val="20"/>
                <w:szCs w:val="20"/>
                <w:lang w:eastAsia="pl-PL"/>
              </w:rPr>
            </w:pPr>
            <w:r w:rsidRPr="008C6D1E">
              <w:rPr>
                <w:rFonts w:eastAsia="Times New Roman" w:cs="Times New Roman"/>
                <w:color w:val="FF0000"/>
                <w:sz w:val="20"/>
                <w:szCs w:val="20"/>
                <w:lang w:eastAsia="pl-PL"/>
              </w:rPr>
              <w:t>42.9%</w:t>
            </w:r>
          </w:p>
        </w:tc>
        <w:tc>
          <w:tcPr>
            <w:tcW w:w="964" w:type="dxa"/>
            <w:tcBorders>
              <w:top w:val="nil"/>
              <w:left w:val="nil"/>
              <w:bottom w:val="single" w:sz="4" w:space="0" w:color="auto"/>
              <w:right w:val="single" w:sz="4" w:space="0" w:color="auto"/>
            </w:tcBorders>
            <w:noWrap/>
            <w:vAlign w:val="center"/>
            <w:hideMark/>
          </w:tcPr>
          <w:p w14:paraId="658C481B" w14:textId="77777777" w:rsidR="006F4EA3" w:rsidRPr="008C6D1E" w:rsidRDefault="006F4EA3" w:rsidP="006F4EA3">
            <w:pPr>
              <w:ind w:firstLine="0"/>
              <w:jc w:val="center"/>
              <w:rPr>
                <w:rFonts w:eastAsia="Times New Roman" w:cs="Times New Roman"/>
                <w:color w:val="000000"/>
                <w:sz w:val="20"/>
                <w:szCs w:val="20"/>
                <w:lang w:eastAsia="pl-PL"/>
              </w:rPr>
            </w:pPr>
            <w:r w:rsidRPr="008C6D1E">
              <w:rPr>
                <w:rFonts w:eastAsia="Times New Roman" w:cs="Times New Roman"/>
                <w:color w:val="000000"/>
                <w:sz w:val="20"/>
                <w:szCs w:val="20"/>
                <w:lang w:eastAsia="pl-PL"/>
              </w:rPr>
              <w:t>12.2%</w:t>
            </w:r>
          </w:p>
        </w:tc>
      </w:tr>
      <w:tr w:rsidR="00267871" w:rsidRPr="00B15083" w14:paraId="623BABBE" w14:textId="77777777" w:rsidTr="00481B6E">
        <w:trPr>
          <w:trHeight w:val="711"/>
        </w:trPr>
        <w:tc>
          <w:tcPr>
            <w:tcW w:w="3119" w:type="dxa"/>
            <w:tcBorders>
              <w:top w:val="nil"/>
              <w:left w:val="single" w:sz="4" w:space="0" w:color="auto"/>
              <w:bottom w:val="single" w:sz="4" w:space="0" w:color="auto"/>
              <w:right w:val="single" w:sz="4" w:space="0" w:color="auto"/>
            </w:tcBorders>
            <w:vAlign w:val="center"/>
            <w:hideMark/>
          </w:tcPr>
          <w:p w14:paraId="7BC64F18" w14:textId="77777777" w:rsidR="006F4EA3" w:rsidRPr="008C6D1E" w:rsidRDefault="006F4EA3" w:rsidP="006F4EA3">
            <w:pPr>
              <w:ind w:firstLine="0"/>
              <w:jc w:val="left"/>
              <w:rPr>
                <w:rFonts w:eastAsia="Times New Roman" w:cs="Times New Roman"/>
                <w:color w:val="000000"/>
                <w:sz w:val="20"/>
                <w:szCs w:val="20"/>
                <w:lang w:eastAsia="pl-PL"/>
              </w:rPr>
            </w:pPr>
            <w:proofErr w:type="spellStart"/>
            <w:r w:rsidRPr="008C6D1E">
              <w:rPr>
                <w:rFonts w:eastAsia="Times New Roman" w:cs="Times New Roman"/>
                <w:color w:val="000000"/>
                <w:sz w:val="20"/>
                <w:szCs w:val="20"/>
                <w:lang w:eastAsia="pl-PL"/>
              </w:rPr>
              <w:t>Sustainable</w:t>
            </w:r>
            <w:proofErr w:type="spellEnd"/>
            <w:r w:rsidRPr="008C6D1E">
              <w:rPr>
                <w:rFonts w:eastAsia="Times New Roman" w:cs="Times New Roman"/>
                <w:color w:val="000000"/>
                <w:sz w:val="20"/>
                <w:szCs w:val="20"/>
                <w:lang w:eastAsia="pl-PL"/>
              </w:rPr>
              <w:t xml:space="preserve"> </w:t>
            </w:r>
            <w:proofErr w:type="spellStart"/>
            <w:r w:rsidRPr="008C6D1E">
              <w:rPr>
                <w:rFonts w:eastAsia="Times New Roman" w:cs="Times New Roman"/>
                <w:color w:val="000000"/>
                <w:sz w:val="20"/>
                <w:szCs w:val="20"/>
                <w:lang w:eastAsia="pl-PL"/>
              </w:rPr>
              <w:t>energy</w:t>
            </w:r>
            <w:proofErr w:type="spellEnd"/>
            <w:r w:rsidRPr="008C6D1E">
              <w:rPr>
                <w:rFonts w:eastAsia="Times New Roman" w:cs="Times New Roman"/>
                <w:color w:val="000000"/>
                <w:sz w:val="20"/>
                <w:szCs w:val="20"/>
                <w:lang w:eastAsia="pl-PL"/>
              </w:rPr>
              <w:t xml:space="preserve"> development </w:t>
            </w:r>
            <w:proofErr w:type="spellStart"/>
            <w:r w:rsidRPr="008C6D1E">
              <w:rPr>
                <w:rFonts w:eastAsia="Times New Roman" w:cs="Times New Roman"/>
                <w:color w:val="000000"/>
                <w:sz w:val="20"/>
                <w:szCs w:val="20"/>
                <w:lang w:eastAsia="pl-PL"/>
              </w:rPr>
              <w:t>increases</w:t>
            </w:r>
            <w:proofErr w:type="spellEnd"/>
            <w:r w:rsidRPr="008C6D1E">
              <w:rPr>
                <w:rFonts w:eastAsia="Times New Roman" w:cs="Times New Roman"/>
                <w:color w:val="000000"/>
                <w:sz w:val="20"/>
                <w:szCs w:val="20"/>
                <w:lang w:eastAsia="pl-PL"/>
              </w:rPr>
              <w:t xml:space="preserve"> business </w:t>
            </w:r>
            <w:proofErr w:type="spellStart"/>
            <w:r w:rsidRPr="008C6D1E">
              <w:rPr>
                <w:rFonts w:eastAsia="Times New Roman" w:cs="Times New Roman"/>
                <w:color w:val="000000"/>
                <w:sz w:val="20"/>
                <w:szCs w:val="20"/>
                <w:lang w:eastAsia="pl-PL"/>
              </w:rPr>
              <w:t>opportunities</w:t>
            </w:r>
            <w:proofErr w:type="spellEnd"/>
            <w:r w:rsidRPr="008C6D1E">
              <w:rPr>
                <w:rFonts w:eastAsia="Times New Roman" w:cs="Times New Roman"/>
                <w:color w:val="000000"/>
                <w:sz w:val="20"/>
                <w:szCs w:val="20"/>
                <w:lang w:eastAsia="pl-PL"/>
              </w:rPr>
              <w:t xml:space="preserve"> for </w:t>
            </w:r>
            <w:proofErr w:type="spellStart"/>
            <w:r w:rsidRPr="008C6D1E">
              <w:rPr>
                <w:rFonts w:eastAsia="Times New Roman" w:cs="Times New Roman"/>
                <w:color w:val="000000"/>
                <w:sz w:val="20"/>
                <w:szCs w:val="20"/>
                <w:lang w:eastAsia="pl-PL"/>
              </w:rPr>
              <w:t>SMEs</w:t>
            </w:r>
            <w:proofErr w:type="spellEnd"/>
          </w:p>
        </w:tc>
        <w:tc>
          <w:tcPr>
            <w:tcW w:w="907" w:type="dxa"/>
            <w:tcBorders>
              <w:top w:val="nil"/>
              <w:left w:val="nil"/>
              <w:bottom w:val="single" w:sz="4" w:space="0" w:color="auto"/>
              <w:right w:val="single" w:sz="4" w:space="0" w:color="auto"/>
            </w:tcBorders>
            <w:noWrap/>
            <w:vAlign w:val="center"/>
            <w:hideMark/>
          </w:tcPr>
          <w:p w14:paraId="01D55597" w14:textId="77777777" w:rsidR="006F4EA3" w:rsidRPr="008C6D1E" w:rsidRDefault="006F4EA3" w:rsidP="006F4EA3">
            <w:pPr>
              <w:ind w:firstLine="0"/>
              <w:jc w:val="center"/>
              <w:rPr>
                <w:rFonts w:eastAsia="Times New Roman" w:cs="Times New Roman"/>
                <w:color w:val="000000"/>
                <w:sz w:val="20"/>
                <w:szCs w:val="20"/>
                <w:lang w:eastAsia="pl-PL"/>
              </w:rPr>
            </w:pPr>
            <w:r w:rsidRPr="008C6D1E">
              <w:rPr>
                <w:rFonts w:eastAsia="Times New Roman" w:cs="Times New Roman"/>
                <w:color w:val="000000"/>
                <w:sz w:val="20"/>
                <w:szCs w:val="20"/>
                <w:lang w:eastAsia="pl-PL"/>
              </w:rPr>
              <w:t>5.1%</w:t>
            </w:r>
          </w:p>
        </w:tc>
        <w:tc>
          <w:tcPr>
            <w:tcW w:w="1191" w:type="dxa"/>
            <w:tcBorders>
              <w:top w:val="nil"/>
              <w:left w:val="nil"/>
              <w:bottom w:val="single" w:sz="4" w:space="0" w:color="auto"/>
              <w:right w:val="single" w:sz="4" w:space="0" w:color="auto"/>
            </w:tcBorders>
            <w:noWrap/>
            <w:vAlign w:val="center"/>
            <w:hideMark/>
          </w:tcPr>
          <w:p w14:paraId="70413DB8" w14:textId="77777777" w:rsidR="006F4EA3" w:rsidRPr="008C6D1E" w:rsidRDefault="006F4EA3" w:rsidP="006F4EA3">
            <w:pPr>
              <w:ind w:firstLine="0"/>
              <w:jc w:val="center"/>
              <w:rPr>
                <w:rFonts w:eastAsia="Times New Roman" w:cs="Times New Roman"/>
                <w:color w:val="000000"/>
                <w:sz w:val="20"/>
                <w:szCs w:val="20"/>
                <w:lang w:eastAsia="pl-PL"/>
              </w:rPr>
            </w:pPr>
            <w:r w:rsidRPr="008C6D1E">
              <w:rPr>
                <w:rFonts w:eastAsia="Times New Roman" w:cs="Times New Roman"/>
                <w:color w:val="000000"/>
                <w:sz w:val="20"/>
                <w:szCs w:val="20"/>
                <w:lang w:eastAsia="pl-PL"/>
              </w:rPr>
              <w:t>13.3%</w:t>
            </w:r>
          </w:p>
        </w:tc>
        <w:tc>
          <w:tcPr>
            <w:tcW w:w="2253" w:type="dxa"/>
            <w:tcBorders>
              <w:top w:val="nil"/>
              <w:left w:val="nil"/>
              <w:bottom w:val="single" w:sz="4" w:space="0" w:color="auto"/>
              <w:right w:val="single" w:sz="4" w:space="0" w:color="auto"/>
            </w:tcBorders>
            <w:noWrap/>
            <w:vAlign w:val="center"/>
            <w:hideMark/>
          </w:tcPr>
          <w:p w14:paraId="11E9C112" w14:textId="77777777" w:rsidR="006F4EA3" w:rsidRPr="008C6D1E" w:rsidRDefault="006F4EA3" w:rsidP="006F4EA3">
            <w:pPr>
              <w:ind w:firstLine="0"/>
              <w:jc w:val="center"/>
              <w:rPr>
                <w:rFonts w:eastAsia="Times New Roman" w:cs="Times New Roman"/>
                <w:color w:val="000000"/>
                <w:sz w:val="20"/>
                <w:szCs w:val="20"/>
                <w:lang w:eastAsia="pl-PL"/>
              </w:rPr>
            </w:pPr>
            <w:r w:rsidRPr="008C6D1E">
              <w:rPr>
                <w:rFonts w:eastAsia="Times New Roman" w:cs="Times New Roman"/>
                <w:color w:val="FF0000"/>
                <w:sz w:val="20"/>
                <w:szCs w:val="20"/>
                <w:lang w:eastAsia="pl-PL"/>
              </w:rPr>
              <w:t>38.8%</w:t>
            </w:r>
          </w:p>
        </w:tc>
        <w:tc>
          <w:tcPr>
            <w:tcW w:w="1247" w:type="dxa"/>
            <w:tcBorders>
              <w:top w:val="nil"/>
              <w:left w:val="nil"/>
              <w:bottom w:val="single" w:sz="4" w:space="0" w:color="auto"/>
              <w:right w:val="single" w:sz="4" w:space="0" w:color="auto"/>
            </w:tcBorders>
            <w:noWrap/>
            <w:vAlign w:val="center"/>
            <w:hideMark/>
          </w:tcPr>
          <w:p w14:paraId="4FA09872" w14:textId="77777777" w:rsidR="006F4EA3" w:rsidRPr="008C6D1E" w:rsidRDefault="006F4EA3" w:rsidP="006F4EA3">
            <w:pPr>
              <w:ind w:firstLine="0"/>
              <w:jc w:val="center"/>
              <w:rPr>
                <w:rFonts w:eastAsia="Times New Roman" w:cs="Times New Roman"/>
                <w:color w:val="000000"/>
                <w:sz w:val="20"/>
                <w:szCs w:val="20"/>
                <w:lang w:eastAsia="pl-PL"/>
              </w:rPr>
            </w:pPr>
            <w:r w:rsidRPr="008C6D1E">
              <w:rPr>
                <w:rFonts w:eastAsia="Times New Roman" w:cs="Times New Roman"/>
                <w:color w:val="000000"/>
                <w:sz w:val="20"/>
                <w:szCs w:val="20"/>
                <w:lang w:eastAsia="pl-PL"/>
              </w:rPr>
              <w:t>24.5%</w:t>
            </w:r>
          </w:p>
        </w:tc>
        <w:tc>
          <w:tcPr>
            <w:tcW w:w="964" w:type="dxa"/>
            <w:tcBorders>
              <w:top w:val="nil"/>
              <w:left w:val="nil"/>
              <w:bottom w:val="single" w:sz="4" w:space="0" w:color="auto"/>
              <w:right w:val="single" w:sz="4" w:space="0" w:color="auto"/>
            </w:tcBorders>
            <w:noWrap/>
            <w:vAlign w:val="center"/>
            <w:hideMark/>
          </w:tcPr>
          <w:p w14:paraId="5F051D23" w14:textId="77777777" w:rsidR="006F4EA3" w:rsidRPr="008C6D1E" w:rsidRDefault="006F4EA3" w:rsidP="006F4EA3">
            <w:pPr>
              <w:ind w:firstLine="0"/>
              <w:jc w:val="center"/>
              <w:rPr>
                <w:rFonts w:eastAsia="Times New Roman" w:cs="Times New Roman"/>
                <w:color w:val="000000"/>
                <w:sz w:val="20"/>
                <w:szCs w:val="20"/>
                <w:lang w:eastAsia="pl-PL"/>
              </w:rPr>
            </w:pPr>
            <w:r w:rsidRPr="008C6D1E">
              <w:rPr>
                <w:rFonts w:eastAsia="Times New Roman" w:cs="Times New Roman"/>
                <w:color w:val="000000"/>
                <w:sz w:val="20"/>
                <w:szCs w:val="20"/>
                <w:lang w:eastAsia="pl-PL"/>
              </w:rPr>
              <w:t>18.4%</w:t>
            </w:r>
          </w:p>
        </w:tc>
      </w:tr>
      <w:tr w:rsidR="00267871" w:rsidRPr="00B15083" w14:paraId="35031DAC" w14:textId="77777777" w:rsidTr="00481B6E">
        <w:trPr>
          <w:trHeight w:val="519"/>
        </w:trPr>
        <w:tc>
          <w:tcPr>
            <w:tcW w:w="3119" w:type="dxa"/>
            <w:tcBorders>
              <w:top w:val="nil"/>
              <w:left w:val="single" w:sz="4" w:space="0" w:color="auto"/>
              <w:bottom w:val="single" w:sz="4" w:space="0" w:color="auto"/>
              <w:right w:val="single" w:sz="4" w:space="0" w:color="auto"/>
            </w:tcBorders>
            <w:vAlign w:val="center"/>
            <w:hideMark/>
          </w:tcPr>
          <w:p w14:paraId="263884AC" w14:textId="77777777" w:rsidR="006F4EA3" w:rsidRPr="008C6D1E" w:rsidRDefault="006F4EA3" w:rsidP="006F4EA3">
            <w:pPr>
              <w:ind w:firstLine="0"/>
              <w:jc w:val="left"/>
              <w:rPr>
                <w:rFonts w:eastAsia="Times New Roman" w:cs="Times New Roman"/>
                <w:color w:val="000000"/>
                <w:sz w:val="20"/>
                <w:szCs w:val="20"/>
                <w:lang w:eastAsia="pl-PL"/>
              </w:rPr>
            </w:pPr>
            <w:proofErr w:type="spellStart"/>
            <w:r w:rsidRPr="008C6D1E">
              <w:rPr>
                <w:rFonts w:eastAsia="Times New Roman" w:cs="Times New Roman"/>
                <w:color w:val="000000"/>
                <w:sz w:val="20"/>
                <w:szCs w:val="20"/>
                <w:lang w:eastAsia="pl-PL"/>
              </w:rPr>
              <w:t>Sustainable</w:t>
            </w:r>
            <w:proofErr w:type="spellEnd"/>
            <w:r w:rsidRPr="008C6D1E">
              <w:rPr>
                <w:rFonts w:eastAsia="Times New Roman" w:cs="Times New Roman"/>
                <w:color w:val="000000"/>
                <w:sz w:val="20"/>
                <w:szCs w:val="20"/>
                <w:lang w:eastAsia="pl-PL"/>
              </w:rPr>
              <w:t xml:space="preserve"> </w:t>
            </w:r>
            <w:proofErr w:type="spellStart"/>
            <w:r w:rsidRPr="008C6D1E">
              <w:rPr>
                <w:rFonts w:eastAsia="Times New Roman" w:cs="Times New Roman"/>
                <w:color w:val="000000"/>
                <w:sz w:val="20"/>
                <w:szCs w:val="20"/>
                <w:lang w:eastAsia="pl-PL"/>
              </w:rPr>
              <w:t>energy</w:t>
            </w:r>
            <w:proofErr w:type="spellEnd"/>
            <w:r w:rsidRPr="008C6D1E">
              <w:rPr>
                <w:rFonts w:eastAsia="Times New Roman" w:cs="Times New Roman"/>
                <w:color w:val="000000"/>
                <w:sz w:val="20"/>
                <w:szCs w:val="20"/>
                <w:lang w:eastAsia="pl-PL"/>
              </w:rPr>
              <w:t xml:space="preserve"> development </w:t>
            </w:r>
            <w:proofErr w:type="spellStart"/>
            <w:r w:rsidRPr="008C6D1E">
              <w:rPr>
                <w:rFonts w:eastAsia="Times New Roman" w:cs="Times New Roman"/>
                <w:color w:val="000000"/>
                <w:sz w:val="20"/>
                <w:szCs w:val="20"/>
                <w:lang w:eastAsia="pl-PL"/>
              </w:rPr>
              <w:t>increases</w:t>
            </w:r>
            <w:proofErr w:type="spellEnd"/>
            <w:r w:rsidRPr="008C6D1E">
              <w:rPr>
                <w:rFonts w:eastAsia="Times New Roman" w:cs="Times New Roman"/>
                <w:color w:val="000000"/>
                <w:sz w:val="20"/>
                <w:szCs w:val="20"/>
                <w:lang w:eastAsia="pl-PL"/>
              </w:rPr>
              <w:t xml:space="preserve"> the </w:t>
            </w:r>
            <w:proofErr w:type="spellStart"/>
            <w:r w:rsidRPr="008C6D1E">
              <w:rPr>
                <w:rFonts w:eastAsia="Times New Roman" w:cs="Times New Roman"/>
                <w:color w:val="000000"/>
                <w:sz w:val="20"/>
                <w:szCs w:val="20"/>
                <w:lang w:eastAsia="pl-PL"/>
              </w:rPr>
              <w:t>potential</w:t>
            </w:r>
            <w:proofErr w:type="spellEnd"/>
            <w:r w:rsidRPr="008C6D1E">
              <w:rPr>
                <w:rFonts w:eastAsia="Times New Roman" w:cs="Times New Roman"/>
                <w:color w:val="000000"/>
                <w:sz w:val="20"/>
                <w:szCs w:val="20"/>
                <w:lang w:eastAsia="pl-PL"/>
              </w:rPr>
              <w:t xml:space="preserve"> of </w:t>
            </w:r>
            <w:proofErr w:type="spellStart"/>
            <w:r w:rsidRPr="008C6D1E">
              <w:rPr>
                <w:rFonts w:eastAsia="Times New Roman" w:cs="Times New Roman"/>
                <w:color w:val="000000"/>
                <w:sz w:val="20"/>
                <w:szCs w:val="20"/>
                <w:lang w:eastAsia="pl-PL"/>
              </w:rPr>
              <w:t>large</w:t>
            </w:r>
            <w:proofErr w:type="spellEnd"/>
            <w:r w:rsidRPr="008C6D1E">
              <w:rPr>
                <w:rFonts w:eastAsia="Times New Roman" w:cs="Times New Roman"/>
                <w:color w:val="000000"/>
                <w:sz w:val="20"/>
                <w:szCs w:val="20"/>
                <w:lang w:eastAsia="pl-PL"/>
              </w:rPr>
              <w:t xml:space="preserve"> </w:t>
            </w:r>
            <w:proofErr w:type="spellStart"/>
            <w:r w:rsidRPr="008C6D1E">
              <w:rPr>
                <w:rFonts w:eastAsia="Times New Roman" w:cs="Times New Roman"/>
                <w:color w:val="000000"/>
                <w:sz w:val="20"/>
                <w:szCs w:val="20"/>
                <w:lang w:eastAsia="pl-PL"/>
              </w:rPr>
              <w:t>entities</w:t>
            </w:r>
            <w:proofErr w:type="spellEnd"/>
          </w:p>
        </w:tc>
        <w:tc>
          <w:tcPr>
            <w:tcW w:w="907" w:type="dxa"/>
            <w:tcBorders>
              <w:top w:val="nil"/>
              <w:left w:val="nil"/>
              <w:bottom w:val="single" w:sz="4" w:space="0" w:color="auto"/>
              <w:right w:val="single" w:sz="4" w:space="0" w:color="auto"/>
            </w:tcBorders>
            <w:noWrap/>
            <w:vAlign w:val="center"/>
            <w:hideMark/>
          </w:tcPr>
          <w:p w14:paraId="61467C7F" w14:textId="77777777" w:rsidR="006F4EA3" w:rsidRPr="008C6D1E" w:rsidRDefault="006F4EA3" w:rsidP="006F4EA3">
            <w:pPr>
              <w:ind w:firstLine="0"/>
              <w:jc w:val="center"/>
              <w:rPr>
                <w:rFonts w:eastAsia="Times New Roman" w:cs="Times New Roman"/>
                <w:color w:val="000000"/>
                <w:sz w:val="20"/>
                <w:szCs w:val="20"/>
                <w:lang w:eastAsia="pl-PL"/>
              </w:rPr>
            </w:pPr>
            <w:r w:rsidRPr="008C6D1E">
              <w:rPr>
                <w:rFonts w:eastAsia="Times New Roman" w:cs="Times New Roman"/>
                <w:color w:val="000000"/>
                <w:sz w:val="20"/>
                <w:szCs w:val="20"/>
                <w:lang w:eastAsia="pl-PL"/>
              </w:rPr>
              <w:t>5.1%</w:t>
            </w:r>
          </w:p>
        </w:tc>
        <w:tc>
          <w:tcPr>
            <w:tcW w:w="1191" w:type="dxa"/>
            <w:tcBorders>
              <w:top w:val="nil"/>
              <w:left w:val="nil"/>
              <w:bottom w:val="single" w:sz="4" w:space="0" w:color="auto"/>
              <w:right w:val="single" w:sz="4" w:space="0" w:color="auto"/>
            </w:tcBorders>
            <w:noWrap/>
            <w:vAlign w:val="center"/>
            <w:hideMark/>
          </w:tcPr>
          <w:p w14:paraId="6822EEF3" w14:textId="77777777" w:rsidR="006F4EA3" w:rsidRPr="008C6D1E" w:rsidRDefault="006F4EA3" w:rsidP="006F4EA3">
            <w:pPr>
              <w:ind w:firstLine="0"/>
              <w:jc w:val="center"/>
              <w:rPr>
                <w:rFonts w:eastAsia="Times New Roman" w:cs="Times New Roman"/>
                <w:color w:val="000000"/>
                <w:sz w:val="20"/>
                <w:szCs w:val="20"/>
                <w:lang w:eastAsia="pl-PL"/>
              </w:rPr>
            </w:pPr>
            <w:r w:rsidRPr="008C6D1E">
              <w:rPr>
                <w:rFonts w:eastAsia="Times New Roman" w:cs="Times New Roman"/>
                <w:color w:val="000000"/>
                <w:sz w:val="20"/>
                <w:szCs w:val="20"/>
                <w:lang w:eastAsia="pl-PL"/>
              </w:rPr>
              <w:t>12.2%</w:t>
            </w:r>
          </w:p>
        </w:tc>
        <w:tc>
          <w:tcPr>
            <w:tcW w:w="2253" w:type="dxa"/>
            <w:tcBorders>
              <w:top w:val="nil"/>
              <w:left w:val="nil"/>
              <w:bottom w:val="single" w:sz="4" w:space="0" w:color="auto"/>
              <w:right w:val="single" w:sz="4" w:space="0" w:color="auto"/>
            </w:tcBorders>
            <w:noWrap/>
            <w:vAlign w:val="center"/>
            <w:hideMark/>
          </w:tcPr>
          <w:p w14:paraId="1F35BFD0" w14:textId="77777777" w:rsidR="006F4EA3" w:rsidRPr="008C6D1E" w:rsidRDefault="006F4EA3" w:rsidP="006F4EA3">
            <w:pPr>
              <w:ind w:firstLine="0"/>
              <w:jc w:val="center"/>
              <w:rPr>
                <w:rFonts w:eastAsia="Times New Roman" w:cs="Times New Roman"/>
                <w:color w:val="000000"/>
                <w:sz w:val="20"/>
                <w:szCs w:val="20"/>
                <w:lang w:eastAsia="pl-PL"/>
              </w:rPr>
            </w:pPr>
            <w:r w:rsidRPr="008C6D1E">
              <w:rPr>
                <w:rFonts w:eastAsia="Times New Roman" w:cs="Times New Roman"/>
                <w:color w:val="000000"/>
                <w:sz w:val="20"/>
                <w:szCs w:val="20"/>
                <w:lang w:eastAsia="pl-PL"/>
              </w:rPr>
              <w:t>25.5%</w:t>
            </w:r>
          </w:p>
        </w:tc>
        <w:tc>
          <w:tcPr>
            <w:tcW w:w="1247" w:type="dxa"/>
            <w:tcBorders>
              <w:top w:val="nil"/>
              <w:left w:val="nil"/>
              <w:bottom w:val="single" w:sz="4" w:space="0" w:color="auto"/>
              <w:right w:val="single" w:sz="4" w:space="0" w:color="auto"/>
            </w:tcBorders>
            <w:noWrap/>
            <w:vAlign w:val="center"/>
            <w:hideMark/>
          </w:tcPr>
          <w:p w14:paraId="6C0C58BD" w14:textId="77777777" w:rsidR="006F4EA3" w:rsidRPr="008C6D1E" w:rsidRDefault="006F4EA3" w:rsidP="006F4EA3">
            <w:pPr>
              <w:ind w:firstLine="0"/>
              <w:jc w:val="center"/>
              <w:rPr>
                <w:rFonts w:eastAsia="Times New Roman" w:cs="Times New Roman"/>
                <w:color w:val="FF0000"/>
                <w:sz w:val="20"/>
                <w:szCs w:val="20"/>
                <w:lang w:eastAsia="pl-PL"/>
              </w:rPr>
            </w:pPr>
            <w:r w:rsidRPr="008C6D1E">
              <w:rPr>
                <w:rFonts w:eastAsia="Times New Roman" w:cs="Times New Roman"/>
                <w:color w:val="FF0000"/>
                <w:sz w:val="20"/>
                <w:szCs w:val="20"/>
                <w:lang w:eastAsia="pl-PL"/>
              </w:rPr>
              <w:t>37.8%</w:t>
            </w:r>
          </w:p>
        </w:tc>
        <w:tc>
          <w:tcPr>
            <w:tcW w:w="964" w:type="dxa"/>
            <w:tcBorders>
              <w:top w:val="nil"/>
              <w:left w:val="nil"/>
              <w:bottom w:val="single" w:sz="4" w:space="0" w:color="auto"/>
              <w:right w:val="single" w:sz="4" w:space="0" w:color="auto"/>
            </w:tcBorders>
            <w:noWrap/>
            <w:vAlign w:val="center"/>
            <w:hideMark/>
          </w:tcPr>
          <w:p w14:paraId="30B5441F" w14:textId="77777777" w:rsidR="006F4EA3" w:rsidRPr="008C6D1E" w:rsidRDefault="006F4EA3" w:rsidP="006F4EA3">
            <w:pPr>
              <w:ind w:firstLine="0"/>
              <w:jc w:val="center"/>
              <w:rPr>
                <w:rFonts w:eastAsia="Times New Roman" w:cs="Times New Roman"/>
                <w:color w:val="000000"/>
                <w:sz w:val="20"/>
                <w:szCs w:val="20"/>
                <w:lang w:eastAsia="pl-PL"/>
              </w:rPr>
            </w:pPr>
            <w:r w:rsidRPr="008C6D1E">
              <w:rPr>
                <w:rFonts w:eastAsia="Times New Roman" w:cs="Times New Roman"/>
                <w:color w:val="000000"/>
                <w:sz w:val="20"/>
                <w:szCs w:val="20"/>
                <w:lang w:eastAsia="pl-PL"/>
              </w:rPr>
              <w:t>19.4%</w:t>
            </w:r>
          </w:p>
        </w:tc>
      </w:tr>
      <w:tr w:rsidR="00267871" w:rsidRPr="00B15083" w14:paraId="0B753489" w14:textId="77777777" w:rsidTr="00481B6E">
        <w:trPr>
          <w:trHeight w:val="743"/>
        </w:trPr>
        <w:tc>
          <w:tcPr>
            <w:tcW w:w="3119" w:type="dxa"/>
            <w:tcBorders>
              <w:top w:val="nil"/>
              <w:left w:val="single" w:sz="4" w:space="0" w:color="auto"/>
              <w:bottom w:val="single" w:sz="4" w:space="0" w:color="auto"/>
              <w:right w:val="single" w:sz="4" w:space="0" w:color="auto"/>
            </w:tcBorders>
            <w:vAlign w:val="center"/>
            <w:hideMark/>
          </w:tcPr>
          <w:p w14:paraId="5396231A" w14:textId="77777777" w:rsidR="006F4EA3" w:rsidRPr="008C6D1E" w:rsidRDefault="006F4EA3" w:rsidP="006F4EA3">
            <w:pPr>
              <w:ind w:firstLine="0"/>
              <w:jc w:val="left"/>
              <w:rPr>
                <w:rFonts w:eastAsia="Times New Roman" w:cs="Times New Roman"/>
                <w:color w:val="000000"/>
                <w:sz w:val="20"/>
                <w:szCs w:val="20"/>
                <w:lang w:eastAsia="pl-PL"/>
              </w:rPr>
            </w:pPr>
            <w:proofErr w:type="spellStart"/>
            <w:r w:rsidRPr="008C6D1E">
              <w:rPr>
                <w:rFonts w:eastAsia="Times New Roman" w:cs="Times New Roman"/>
                <w:color w:val="000000"/>
                <w:sz w:val="20"/>
                <w:szCs w:val="20"/>
                <w:lang w:eastAsia="pl-PL"/>
              </w:rPr>
              <w:t>Sustainable</w:t>
            </w:r>
            <w:proofErr w:type="spellEnd"/>
            <w:r w:rsidRPr="008C6D1E">
              <w:rPr>
                <w:rFonts w:eastAsia="Times New Roman" w:cs="Times New Roman"/>
                <w:color w:val="000000"/>
                <w:sz w:val="20"/>
                <w:szCs w:val="20"/>
                <w:lang w:eastAsia="pl-PL"/>
              </w:rPr>
              <w:t xml:space="preserve"> </w:t>
            </w:r>
            <w:proofErr w:type="spellStart"/>
            <w:r w:rsidRPr="008C6D1E">
              <w:rPr>
                <w:rFonts w:eastAsia="Times New Roman" w:cs="Times New Roman"/>
                <w:color w:val="000000"/>
                <w:sz w:val="20"/>
                <w:szCs w:val="20"/>
                <w:lang w:eastAsia="pl-PL"/>
              </w:rPr>
              <w:t>energy</w:t>
            </w:r>
            <w:proofErr w:type="spellEnd"/>
            <w:r w:rsidRPr="008C6D1E">
              <w:rPr>
                <w:rFonts w:eastAsia="Times New Roman" w:cs="Times New Roman"/>
                <w:color w:val="000000"/>
                <w:sz w:val="20"/>
                <w:szCs w:val="20"/>
                <w:lang w:eastAsia="pl-PL"/>
              </w:rPr>
              <w:t xml:space="preserve"> development </w:t>
            </w:r>
            <w:proofErr w:type="spellStart"/>
            <w:r w:rsidRPr="008C6D1E">
              <w:rPr>
                <w:rFonts w:eastAsia="Times New Roman" w:cs="Times New Roman"/>
                <w:color w:val="000000"/>
                <w:sz w:val="20"/>
                <w:szCs w:val="20"/>
                <w:lang w:eastAsia="pl-PL"/>
              </w:rPr>
              <w:t>increases</w:t>
            </w:r>
            <w:proofErr w:type="spellEnd"/>
            <w:r w:rsidRPr="008C6D1E">
              <w:rPr>
                <w:rFonts w:eastAsia="Times New Roman" w:cs="Times New Roman"/>
                <w:color w:val="000000"/>
                <w:sz w:val="20"/>
                <w:szCs w:val="20"/>
                <w:lang w:eastAsia="pl-PL"/>
              </w:rPr>
              <w:t xml:space="preserve"> </w:t>
            </w:r>
            <w:proofErr w:type="spellStart"/>
            <w:r w:rsidRPr="008C6D1E">
              <w:rPr>
                <w:rFonts w:eastAsia="Times New Roman" w:cs="Times New Roman"/>
                <w:color w:val="000000"/>
                <w:sz w:val="20"/>
                <w:szCs w:val="20"/>
                <w:lang w:eastAsia="pl-PL"/>
              </w:rPr>
              <w:t>benefits</w:t>
            </w:r>
            <w:proofErr w:type="spellEnd"/>
            <w:r w:rsidRPr="008C6D1E">
              <w:rPr>
                <w:rFonts w:eastAsia="Times New Roman" w:cs="Times New Roman"/>
                <w:color w:val="000000"/>
                <w:sz w:val="20"/>
                <w:szCs w:val="20"/>
                <w:lang w:eastAsia="pl-PL"/>
              </w:rPr>
              <w:t xml:space="preserve"> for </w:t>
            </w:r>
            <w:proofErr w:type="spellStart"/>
            <w:r w:rsidRPr="008C6D1E">
              <w:rPr>
                <w:rFonts w:eastAsia="Times New Roman" w:cs="Times New Roman"/>
                <w:color w:val="000000"/>
                <w:sz w:val="20"/>
                <w:szCs w:val="20"/>
                <w:lang w:eastAsia="pl-PL"/>
              </w:rPr>
              <w:t>individual</w:t>
            </w:r>
            <w:proofErr w:type="spellEnd"/>
            <w:r w:rsidRPr="008C6D1E">
              <w:rPr>
                <w:rFonts w:eastAsia="Times New Roman" w:cs="Times New Roman"/>
                <w:color w:val="000000"/>
                <w:sz w:val="20"/>
                <w:szCs w:val="20"/>
                <w:lang w:eastAsia="pl-PL"/>
              </w:rPr>
              <w:t xml:space="preserve"> </w:t>
            </w:r>
            <w:proofErr w:type="spellStart"/>
            <w:r w:rsidRPr="008C6D1E">
              <w:rPr>
                <w:rFonts w:eastAsia="Times New Roman" w:cs="Times New Roman"/>
                <w:color w:val="000000"/>
                <w:sz w:val="20"/>
                <w:szCs w:val="20"/>
                <w:lang w:eastAsia="pl-PL"/>
              </w:rPr>
              <w:t>customers</w:t>
            </w:r>
            <w:proofErr w:type="spellEnd"/>
            <w:r w:rsidRPr="008C6D1E">
              <w:rPr>
                <w:rFonts w:eastAsia="Times New Roman" w:cs="Times New Roman"/>
                <w:color w:val="000000"/>
                <w:sz w:val="20"/>
                <w:szCs w:val="20"/>
                <w:lang w:eastAsia="pl-PL"/>
              </w:rPr>
              <w:t xml:space="preserve"> (</w:t>
            </w:r>
            <w:proofErr w:type="spellStart"/>
            <w:r w:rsidRPr="008C6D1E">
              <w:rPr>
                <w:rFonts w:eastAsia="Times New Roman" w:cs="Times New Roman"/>
                <w:color w:val="000000"/>
                <w:sz w:val="20"/>
                <w:szCs w:val="20"/>
                <w:lang w:eastAsia="pl-PL"/>
              </w:rPr>
              <w:t>society</w:t>
            </w:r>
            <w:proofErr w:type="spellEnd"/>
            <w:r w:rsidRPr="008C6D1E">
              <w:rPr>
                <w:rFonts w:eastAsia="Times New Roman" w:cs="Times New Roman"/>
                <w:color w:val="000000"/>
                <w:sz w:val="20"/>
                <w:szCs w:val="20"/>
                <w:lang w:eastAsia="pl-PL"/>
              </w:rPr>
              <w:t>)</w:t>
            </w:r>
          </w:p>
        </w:tc>
        <w:tc>
          <w:tcPr>
            <w:tcW w:w="907" w:type="dxa"/>
            <w:tcBorders>
              <w:top w:val="nil"/>
              <w:left w:val="nil"/>
              <w:bottom w:val="single" w:sz="4" w:space="0" w:color="auto"/>
              <w:right w:val="single" w:sz="4" w:space="0" w:color="auto"/>
            </w:tcBorders>
            <w:noWrap/>
            <w:vAlign w:val="center"/>
            <w:hideMark/>
          </w:tcPr>
          <w:p w14:paraId="41CD918F" w14:textId="77777777" w:rsidR="006F4EA3" w:rsidRPr="008C6D1E" w:rsidRDefault="006F4EA3" w:rsidP="006F4EA3">
            <w:pPr>
              <w:ind w:firstLine="0"/>
              <w:jc w:val="center"/>
              <w:rPr>
                <w:rFonts w:eastAsia="Times New Roman" w:cs="Times New Roman"/>
                <w:color w:val="000000"/>
                <w:sz w:val="20"/>
                <w:szCs w:val="20"/>
                <w:lang w:eastAsia="pl-PL"/>
              </w:rPr>
            </w:pPr>
            <w:r w:rsidRPr="008C6D1E">
              <w:rPr>
                <w:rFonts w:eastAsia="Times New Roman" w:cs="Times New Roman"/>
                <w:color w:val="000000"/>
                <w:sz w:val="20"/>
                <w:szCs w:val="20"/>
                <w:lang w:eastAsia="pl-PL"/>
              </w:rPr>
              <w:t>9.2%</w:t>
            </w:r>
          </w:p>
        </w:tc>
        <w:tc>
          <w:tcPr>
            <w:tcW w:w="1191" w:type="dxa"/>
            <w:tcBorders>
              <w:top w:val="nil"/>
              <w:left w:val="nil"/>
              <w:bottom w:val="single" w:sz="4" w:space="0" w:color="auto"/>
              <w:right w:val="single" w:sz="4" w:space="0" w:color="auto"/>
            </w:tcBorders>
            <w:noWrap/>
            <w:vAlign w:val="center"/>
            <w:hideMark/>
          </w:tcPr>
          <w:p w14:paraId="0655F11F" w14:textId="77777777" w:rsidR="006F4EA3" w:rsidRPr="008C6D1E" w:rsidRDefault="006F4EA3" w:rsidP="006F4EA3">
            <w:pPr>
              <w:ind w:firstLine="0"/>
              <w:jc w:val="center"/>
              <w:rPr>
                <w:rFonts w:eastAsia="Times New Roman" w:cs="Times New Roman"/>
                <w:color w:val="000000"/>
                <w:sz w:val="20"/>
                <w:szCs w:val="20"/>
                <w:lang w:eastAsia="pl-PL"/>
              </w:rPr>
            </w:pPr>
            <w:r w:rsidRPr="008C6D1E">
              <w:rPr>
                <w:rFonts w:eastAsia="Times New Roman" w:cs="Times New Roman"/>
                <w:color w:val="000000"/>
                <w:sz w:val="20"/>
                <w:szCs w:val="20"/>
                <w:lang w:eastAsia="pl-PL"/>
              </w:rPr>
              <w:t>10.2%</w:t>
            </w:r>
          </w:p>
        </w:tc>
        <w:tc>
          <w:tcPr>
            <w:tcW w:w="2253" w:type="dxa"/>
            <w:tcBorders>
              <w:top w:val="nil"/>
              <w:left w:val="nil"/>
              <w:bottom w:val="single" w:sz="4" w:space="0" w:color="auto"/>
              <w:right w:val="single" w:sz="4" w:space="0" w:color="auto"/>
            </w:tcBorders>
            <w:noWrap/>
            <w:vAlign w:val="center"/>
            <w:hideMark/>
          </w:tcPr>
          <w:p w14:paraId="2A0FE165" w14:textId="77777777" w:rsidR="006F4EA3" w:rsidRPr="008C6D1E" w:rsidRDefault="006F4EA3" w:rsidP="006F4EA3">
            <w:pPr>
              <w:ind w:firstLine="0"/>
              <w:jc w:val="center"/>
              <w:rPr>
                <w:rFonts w:eastAsia="Times New Roman" w:cs="Times New Roman"/>
                <w:color w:val="000000"/>
                <w:sz w:val="20"/>
                <w:szCs w:val="20"/>
                <w:lang w:eastAsia="pl-PL"/>
              </w:rPr>
            </w:pPr>
            <w:r w:rsidRPr="008C6D1E">
              <w:rPr>
                <w:rFonts w:eastAsia="Times New Roman" w:cs="Times New Roman"/>
                <w:color w:val="000000"/>
                <w:sz w:val="20"/>
                <w:szCs w:val="20"/>
                <w:lang w:eastAsia="pl-PL"/>
              </w:rPr>
              <w:t>27.6%</w:t>
            </w:r>
          </w:p>
        </w:tc>
        <w:tc>
          <w:tcPr>
            <w:tcW w:w="1247" w:type="dxa"/>
            <w:tcBorders>
              <w:top w:val="nil"/>
              <w:left w:val="nil"/>
              <w:bottom w:val="single" w:sz="4" w:space="0" w:color="auto"/>
              <w:right w:val="single" w:sz="4" w:space="0" w:color="auto"/>
            </w:tcBorders>
            <w:noWrap/>
            <w:vAlign w:val="center"/>
            <w:hideMark/>
          </w:tcPr>
          <w:p w14:paraId="3E469CD5" w14:textId="77777777" w:rsidR="006F4EA3" w:rsidRPr="008C6D1E" w:rsidRDefault="006F4EA3" w:rsidP="006F4EA3">
            <w:pPr>
              <w:ind w:firstLine="0"/>
              <w:jc w:val="center"/>
              <w:rPr>
                <w:rFonts w:eastAsia="Times New Roman" w:cs="Times New Roman"/>
                <w:color w:val="FF0000"/>
                <w:sz w:val="20"/>
                <w:szCs w:val="20"/>
                <w:lang w:eastAsia="pl-PL"/>
              </w:rPr>
            </w:pPr>
            <w:r w:rsidRPr="008C6D1E">
              <w:rPr>
                <w:rFonts w:eastAsia="Times New Roman" w:cs="Times New Roman"/>
                <w:color w:val="FF0000"/>
                <w:sz w:val="20"/>
                <w:szCs w:val="20"/>
                <w:lang w:eastAsia="pl-PL"/>
              </w:rPr>
              <w:t>39.8%</w:t>
            </w:r>
          </w:p>
        </w:tc>
        <w:tc>
          <w:tcPr>
            <w:tcW w:w="964" w:type="dxa"/>
            <w:tcBorders>
              <w:top w:val="nil"/>
              <w:left w:val="nil"/>
              <w:bottom w:val="single" w:sz="4" w:space="0" w:color="auto"/>
              <w:right w:val="single" w:sz="4" w:space="0" w:color="auto"/>
            </w:tcBorders>
            <w:noWrap/>
            <w:vAlign w:val="center"/>
            <w:hideMark/>
          </w:tcPr>
          <w:p w14:paraId="35FB799C" w14:textId="77777777" w:rsidR="006F4EA3" w:rsidRPr="008C6D1E" w:rsidRDefault="006F4EA3" w:rsidP="006F4EA3">
            <w:pPr>
              <w:ind w:firstLine="0"/>
              <w:jc w:val="center"/>
              <w:rPr>
                <w:rFonts w:eastAsia="Times New Roman" w:cs="Times New Roman"/>
                <w:color w:val="000000"/>
                <w:sz w:val="20"/>
                <w:szCs w:val="20"/>
                <w:lang w:eastAsia="pl-PL"/>
              </w:rPr>
            </w:pPr>
            <w:r w:rsidRPr="008C6D1E">
              <w:rPr>
                <w:rFonts w:eastAsia="Times New Roman" w:cs="Times New Roman"/>
                <w:color w:val="000000"/>
                <w:sz w:val="20"/>
                <w:szCs w:val="20"/>
                <w:lang w:eastAsia="pl-PL"/>
              </w:rPr>
              <w:t>13.3%</w:t>
            </w:r>
          </w:p>
        </w:tc>
      </w:tr>
      <w:tr w:rsidR="00267871" w:rsidRPr="00B15083" w14:paraId="55D0C200" w14:textId="77777777" w:rsidTr="00481B6E">
        <w:trPr>
          <w:trHeight w:val="553"/>
        </w:trPr>
        <w:tc>
          <w:tcPr>
            <w:tcW w:w="3119" w:type="dxa"/>
            <w:tcBorders>
              <w:top w:val="nil"/>
              <w:left w:val="single" w:sz="4" w:space="0" w:color="auto"/>
              <w:bottom w:val="single" w:sz="4" w:space="0" w:color="auto"/>
              <w:right w:val="single" w:sz="4" w:space="0" w:color="auto"/>
            </w:tcBorders>
            <w:vAlign w:val="center"/>
            <w:hideMark/>
          </w:tcPr>
          <w:p w14:paraId="2A6D1D99" w14:textId="77777777" w:rsidR="006F4EA3" w:rsidRPr="008C6D1E" w:rsidRDefault="006F4EA3" w:rsidP="006F4EA3">
            <w:pPr>
              <w:ind w:firstLine="0"/>
              <w:jc w:val="left"/>
              <w:rPr>
                <w:rFonts w:eastAsia="Times New Roman" w:cs="Times New Roman"/>
                <w:color w:val="000000"/>
                <w:sz w:val="20"/>
                <w:szCs w:val="20"/>
                <w:lang w:eastAsia="pl-PL"/>
              </w:rPr>
            </w:pPr>
            <w:proofErr w:type="spellStart"/>
            <w:r w:rsidRPr="008C6D1E">
              <w:rPr>
                <w:rFonts w:eastAsia="Times New Roman" w:cs="Times New Roman"/>
                <w:color w:val="000000"/>
                <w:sz w:val="20"/>
                <w:szCs w:val="20"/>
                <w:lang w:eastAsia="pl-PL"/>
              </w:rPr>
              <w:t>Sustainable</w:t>
            </w:r>
            <w:proofErr w:type="spellEnd"/>
            <w:r w:rsidRPr="008C6D1E">
              <w:rPr>
                <w:rFonts w:eastAsia="Times New Roman" w:cs="Times New Roman"/>
                <w:color w:val="000000"/>
                <w:sz w:val="20"/>
                <w:szCs w:val="20"/>
                <w:lang w:eastAsia="pl-PL"/>
              </w:rPr>
              <w:t xml:space="preserve"> </w:t>
            </w:r>
            <w:proofErr w:type="spellStart"/>
            <w:r w:rsidRPr="008C6D1E">
              <w:rPr>
                <w:rFonts w:eastAsia="Times New Roman" w:cs="Times New Roman"/>
                <w:color w:val="000000"/>
                <w:sz w:val="20"/>
                <w:szCs w:val="20"/>
                <w:lang w:eastAsia="pl-PL"/>
              </w:rPr>
              <w:t>energy</w:t>
            </w:r>
            <w:proofErr w:type="spellEnd"/>
            <w:r w:rsidRPr="008C6D1E">
              <w:rPr>
                <w:rFonts w:eastAsia="Times New Roman" w:cs="Times New Roman"/>
                <w:color w:val="000000"/>
                <w:sz w:val="20"/>
                <w:szCs w:val="20"/>
                <w:lang w:eastAsia="pl-PL"/>
              </w:rPr>
              <w:t xml:space="preserve"> development </w:t>
            </w:r>
            <w:proofErr w:type="spellStart"/>
            <w:r w:rsidRPr="008C6D1E">
              <w:rPr>
                <w:rFonts w:eastAsia="Times New Roman" w:cs="Times New Roman"/>
                <w:color w:val="000000"/>
                <w:sz w:val="20"/>
                <w:szCs w:val="20"/>
                <w:lang w:eastAsia="pl-PL"/>
              </w:rPr>
              <w:t>forces</w:t>
            </w:r>
            <w:proofErr w:type="spellEnd"/>
            <w:r w:rsidRPr="008C6D1E">
              <w:rPr>
                <w:rFonts w:eastAsia="Times New Roman" w:cs="Times New Roman"/>
                <w:color w:val="000000"/>
                <w:sz w:val="20"/>
                <w:szCs w:val="20"/>
                <w:lang w:eastAsia="pl-PL"/>
              </w:rPr>
              <w:t xml:space="preserve"> a </w:t>
            </w:r>
            <w:proofErr w:type="spellStart"/>
            <w:r w:rsidRPr="008C6D1E">
              <w:rPr>
                <w:rFonts w:eastAsia="Times New Roman" w:cs="Times New Roman"/>
                <w:color w:val="000000"/>
                <w:sz w:val="20"/>
                <w:szCs w:val="20"/>
                <w:lang w:eastAsia="pl-PL"/>
              </w:rPr>
              <w:t>reduction</w:t>
            </w:r>
            <w:proofErr w:type="spellEnd"/>
            <w:r w:rsidRPr="008C6D1E">
              <w:rPr>
                <w:rFonts w:eastAsia="Times New Roman" w:cs="Times New Roman"/>
                <w:color w:val="000000"/>
                <w:sz w:val="20"/>
                <w:szCs w:val="20"/>
                <w:lang w:eastAsia="pl-PL"/>
              </w:rPr>
              <w:t xml:space="preserve"> in CO</w:t>
            </w:r>
            <w:r w:rsidRPr="008C6D1E">
              <w:rPr>
                <w:rFonts w:eastAsia="Times New Roman" w:cs="Times New Roman"/>
                <w:color w:val="000000"/>
                <w:sz w:val="20"/>
                <w:szCs w:val="20"/>
                <w:vertAlign w:val="subscript"/>
                <w:lang w:eastAsia="pl-PL"/>
              </w:rPr>
              <w:t>2</w:t>
            </w:r>
            <w:r w:rsidRPr="008C6D1E">
              <w:rPr>
                <w:rFonts w:eastAsia="Times New Roman" w:cs="Times New Roman"/>
                <w:color w:val="000000"/>
                <w:sz w:val="20"/>
                <w:szCs w:val="20"/>
                <w:lang w:eastAsia="pl-PL"/>
              </w:rPr>
              <w:t xml:space="preserve"> </w:t>
            </w:r>
            <w:proofErr w:type="spellStart"/>
            <w:r w:rsidRPr="008C6D1E">
              <w:rPr>
                <w:rFonts w:eastAsia="Times New Roman" w:cs="Times New Roman"/>
                <w:color w:val="000000"/>
                <w:sz w:val="20"/>
                <w:szCs w:val="20"/>
                <w:lang w:eastAsia="pl-PL"/>
              </w:rPr>
              <w:t>emissions</w:t>
            </w:r>
            <w:proofErr w:type="spellEnd"/>
          </w:p>
        </w:tc>
        <w:tc>
          <w:tcPr>
            <w:tcW w:w="907" w:type="dxa"/>
            <w:tcBorders>
              <w:top w:val="nil"/>
              <w:left w:val="nil"/>
              <w:bottom w:val="single" w:sz="4" w:space="0" w:color="auto"/>
              <w:right w:val="single" w:sz="4" w:space="0" w:color="auto"/>
            </w:tcBorders>
            <w:noWrap/>
            <w:vAlign w:val="center"/>
            <w:hideMark/>
          </w:tcPr>
          <w:p w14:paraId="37154868" w14:textId="77777777" w:rsidR="006F4EA3" w:rsidRPr="008C6D1E" w:rsidRDefault="006F4EA3" w:rsidP="006F4EA3">
            <w:pPr>
              <w:ind w:firstLine="0"/>
              <w:jc w:val="center"/>
              <w:rPr>
                <w:rFonts w:eastAsia="Times New Roman" w:cs="Times New Roman"/>
                <w:color w:val="000000"/>
                <w:sz w:val="20"/>
                <w:szCs w:val="20"/>
                <w:lang w:eastAsia="pl-PL"/>
              </w:rPr>
            </w:pPr>
            <w:r w:rsidRPr="008C6D1E">
              <w:rPr>
                <w:rFonts w:eastAsia="Times New Roman" w:cs="Times New Roman"/>
                <w:color w:val="000000"/>
                <w:sz w:val="20"/>
                <w:szCs w:val="20"/>
                <w:lang w:eastAsia="pl-PL"/>
              </w:rPr>
              <w:t>6.1%</w:t>
            </w:r>
          </w:p>
        </w:tc>
        <w:tc>
          <w:tcPr>
            <w:tcW w:w="1191" w:type="dxa"/>
            <w:tcBorders>
              <w:top w:val="nil"/>
              <w:left w:val="nil"/>
              <w:bottom w:val="single" w:sz="4" w:space="0" w:color="auto"/>
              <w:right w:val="single" w:sz="4" w:space="0" w:color="auto"/>
            </w:tcBorders>
            <w:noWrap/>
            <w:vAlign w:val="center"/>
            <w:hideMark/>
          </w:tcPr>
          <w:p w14:paraId="46877EBE" w14:textId="77777777" w:rsidR="006F4EA3" w:rsidRPr="008C6D1E" w:rsidRDefault="006F4EA3" w:rsidP="006F4EA3">
            <w:pPr>
              <w:ind w:firstLine="0"/>
              <w:jc w:val="center"/>
              <w:rPr>
                <w:rFonts w:eastAsia="Times New Roman" w:cs="Times New Roman"/>
                <w:color w:val="000000"/>
                <w:sz w:val="20"/>
                <w:szCs w:val="20"/>
                <w:lang w:eastAsia="pl-PL"/>
              </w:rPr>
            </w:pPr>
            <w:r w:rsidRPr="008C6D1E">
              <w:rPr>
                <w:rFonts w:eastAsia="Times New Roman" w:cs="Times New Roman"/>
                <w:color w:val="000000"/>
                <w:sz w:val="20"/>
                <w:szCs w:val="20"/>
                <w:lang w:eastAsia="pl-PL"/>
              </w:rPr>
              <w:t>10.2%</w:t>
            </w:r>
          </w:p>
        </w:tc>
        <w:tc>
          <w:tcPr>
            <w:tcW w:w="2253" w:type="dxa"/>
            <w:tcBorders>
              <w:top w:val="nil"/>
              <w:left w:val="nil"/>
              <w:bottom w:val="single" w:sz="4" w:space="0" w:color="auto"/>
              <w:right w:val="single" w:sz="4" w:space="0" w:color="auto"/>
            </w:tcBorders>
            <w:noWrap/>
            <w:vAlign w:val="center"/>
            <w:hideMark/>
          </w:tcPr>
          <w:p w14:paraId="57162B5E" w14:textId="77777777" w:rsidR="006F4EA3" w:rsidRPr="008C6D1E" w:rsidRDefault="006F4EA3" w:rsidP="006F4EA3">
            <w:pPr>
              <w:ind w:firstLine="0"/>
              <w:jc w:val="center"/>
              <w:rPr>
                <w:rFonts w:eastAsia="Times New Roman" w:cs="Times New Roman"/>
                <w:color w:val="000000"/>
                <w:sz w:val="20"/>
                <w:szCs w:val="20"/>
                <w:lang w:eastAsia="pl-PL"/>
              </w:rPr>
            </w:pPr>
            <w:r w:rsidRPr="008C6D1E">
              <w:rPr>
                <w:rFonts w:eastAsia="Times New Roman" w:cs="Times New Roman"/>
                <w:color w:val="000000"/>
                <w:sz w:val="20"/>
                <w:szCs w:val="20"/>
                <w:lang w:eastAsia="pl-PL"/>
              </w:rPr>
              <w:t>20.4%</w:t>
            </w:r>
          </w:p>
        </w:tc>
        <w:tc>
          <w:tcPr>
            <w:tcW w:w="1247" w:type="dxa"/>
            <w:tcBorders>
              <w:top w:val="nil"/>
              <w:left w:val="nil"/>
              <w:bottom w:val="single" w:sz="4" w:space="0" w:color="auto"/>
              <w:right w:val="single" w:sz="4" w:space="0" w:color="auto"/>
            </w:tcBorders>
            <w:noWrap/>
            <w:vAlign w:val="center"/>
            <w:hideMark/>
          </w:tcPr>
          <w:p w14:paraId="088AA804" w14:textId="77777777" w:rsidR="006F4EA3" w:rsidRPr="008C6D1E" w:rsidRDefault="006F4EA3" w:rsidP="006F4EA3">
            <w:pPr>
              <w:ind w:firstLine="0"/>
              <w:jc w:val="center"/>
              <w:rPr>
                <w:rFonts w:eastAsia="Times New Roman" w:cs="Times New Roman"/>
                <w:color w:val="FF0000"/>
                <w:sz w:val="20"/>
                <w:szCs w:val="20"/>
                <w:lang w:eastAsia="pl-PL"/>
              </w:rPr>
            </w:pPr>
            <w:r w:rsidRPr="008C6D1E">
              <w:rPr>
                <w:rFonts w:eastAsia="Times New Roman" w:cs="Times New Roman"/>
                <w:color w:val="FF0000"/>
                <w:sz w:val="20"/>
                <w:szCs w:val="20"/>
                <w:lang w:eastAsia="pl-PL"/>
              </w:rPr>
              <w:t>36.7%</w:t>
            </w:r>
          </w:p>
        </w:tc>
        <w:tc>
          <w:tcPr>
            <w:tcW w:w="964" w:type="dxa"/>
            <w:tcBorders>
              <w:top w:val="nil"/>
              <w:left w:val="nil"/>
              <w:bottom w:val="single" w:sz="4" w:space="0" w:color="auto"/>
              <w:right w:val="single" w:sz="4" w:space="0" w:color="auto"/>
            </w:tcBorders>
            <w:noWrap/>
            <w:vAlign w:val="center"/>
            <w:hideMark/>
          </w:tcPr>
          <w:p w14:paraId="4A5C6663" w14:textId="77777777" w:rsidR="006F4EA3" w:rsidRPr="008C6D1E" w:rsidRDefault="006F4EA3" w:rsidP="006F4EA3">
            <w:pPr>
              <w:ind w:firstLine="0"/>
              <w:jc w:val="center"/>
              <w:rPr>
                <w:rFonts w:eastAsia="Times New Roman" w:cs="Times New Roman"/>
                <w:color w:val="000000"/>
                <w:sz w:val="20"/>
                <w:szCs w:val="20"/>
                <w:lang w:eastAsia="pl-PL"/>
              </w:rPr>
            </w:pPr>
            <w:r w:rsidRPr="008C6D1E">
              <w:rPr>
                <w:rFonts w:eastAsia="Times New Roman" w:cs="Times New Roman"/>
                <w:color w:val="000000"/>
                <w:sz w:val="20"/>
                <w:szCs w:val="20"/>
                <w:lang w:eastAsia="pl-PL"/>
              </w:rPr>
              <w:t>26.5%</w:t>
            </w:r>
          </w:p>
        </w:tc>
      </w:tr>
    </w:tbl>
    <w:p w14:paraId="37D26F5D" w14:textId="77777777" w:rsidR="00C239D0" w:rsidRDefault="00C239D0" w:rsidP="00C239D0">
      <w:pPr>
        <w:ind w:firstLine="0"/>
        <w:rPr>
          <w:lang w:val="en-GB"/>
        </w:rPr>
      </w:pPr>
    </w:p>
    <w:p w14:paraId="1F0718BB" w14:textId="77777777" w:rsidR="00C239D0" w:rsidRDefault="00C239D0" w:rsidP="006F4EA3">
      <w:pPr>
        <w:rPr>
          <w:lang w:val="en-GB"/>
        </w:rPr>
      </w:pPr>
      <w:r w:rsidRPr="00C239D0">
        <w:rPr>
          <w:lang w:val="en-GB"/>
        </w:rPr>
        <w:t>The respondents also indicated which factors, and to what degree of importance, influenced their decision to purchase the respective energy-supplying devices (Figure 6).</w:t>
      </w:r>
    </w:p>
    <w:p w14:paraId="2A6B2997" w14:textId="77777777" w:rsidR="0057216B" w:rsidRPr="00C239D0" w:rsidRDefault="0057216B" w:rsidP="006F4EA3">
      <w:pPr>
        <w:rPr>
          <w:lang w:val="en-GB"/>
        </w:rPr>
      </w:pPr>
    </w:p>
    <w:p w14:paraId="6E4C7E85" w14:textId="38DFD677" w:rsidR="00C239D0" w:rsidRPr="00C239D0" w:rsidRDefault="0057216B" w:rsidP="0057216B">
      <w:pPr>
        <w:ind w:firstLine="0"/>
        <w:jc w:val="center"/>
        <w:rPr>
          <w:lang w:val="en-GB"/>
        </w:rPr>
      </w:pPr>
      <w:r>
        <w:rPr>
          <w:noProof/>
        </w:rPr>
        <w:lastRenderedPageBreak/>
        <w:drawing>
          <wp:inline distT="0" distB="0" distL="0" distR="0" wp14:anchorId="7E3353E4" wp14:editId="5F8C4714">
            <wp:extent cx="4543602" cy="2806859"/>
            <wp:effectExtent l="0" t="0" r="9525" b="12700"/>
            <wp:docPr id="1778027432" name="Wykres 1">
              <a:extLst xmlns:a="http://schemas.openxmlformats.org/drawingml/2006/main">
                <a:ext uri="{FF2B5EF4-FFF2-40B4-BE49-F238E27FC236}">
                  <a16:creationId xmlns:a16="http://schemas.microsoft.com/office/drawing/2014/main" id="{DC942461-75D9-4D51-8E87-A38527C9A1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79EA430" w14:textId="77777777" w:rsidR="00C239D0" w:rsidRPr="00C239D0" w:rsidRDefault="00C239D0" w:rsidP="006F4EA3">
      <w:pPr>
        <w:pStyle w:val="Rrys"/>
        <w:rPr>
          <w:lang w:val="en-GB"/>
        </w:rPr>
      </w:pPr>
      <w:r w:rsidRPr="006F4EA3">
        <w:rPr>
          <w:b/>
          <w:bCs/>
          <w:lang w:val="en-GB"/>
        </w:rPr>
        <w:t>Fig. 6.</w:t>
      </w:r>
      <w:r w:rsidRPr="00C239D0">
        <w:rPr>
          <w:lang w:val="en-GB"/>
        </w:rPr>
        <w:t xml:space="preserve"> Nature of factors influencing the consumer decision-making process</w:t>
      </w:r>
    </w:p>
    <w:p w14:paraId="3C6D70CE" w14:textId="77777777" w:rsidR="006F4EA3" w:rsidRDefault="006F4EA3" w:rsidP="00C239D0">
      <w:pPr>
        <w:ind w:firstLine="0"/>
        <w:rPr>
          <w:lang w:val="en-GB"/>
        </w:rPr>
      </w:pPr>
    </w:p>
    <w:p w14:paraId="6C0D8041" w14:textId="137FBAE5" w:rsidR="00C239D0" w:rsidRDefault="00C239D0" w:rsidP="006F4EA3">
      <w:pPr>
        <w:rPr>
          <w:lang w:val="en-GB"/>
        </w:rPr>
      </w:pPr>
      <w:r w:rsidRPr="00C239D0">
        <w:rPr>
          <w:lang w:val="en-GB"/>
        </w:rPr>
        <w:t xml:space="preserve">The distribution of responses from the respondents clearly indicates the significance of the economic factor. Distributions of responses for the remaining factors show more variability. However, each of the examined factors exhibits a degree of </w:t>
      </w:r>
      <w:r w:rsidR="00191A53">
        <w:rPr>
          <w:lang w:val="en-GB"/>
        </w:rPr>
        <w:t>"</w:t>
      </w:r>
      <w:r w:rsidRPr="00C239D0">
        <w:rPr>
          <w:lang w:val="en-GB"/>
        </w:rPr>
        <w:t>importance</w:t>
      </w:r>
      <w:r w:rsidR="00191A53">
        <w:rPr>
          <w:lang w:val="en-GB"/>
        </w:rPr>
        <w:t>"</w:t>
      </w:r>
      <w:r w:rsidRPr="00C239D0">
        <w:rPr>
          <w:lang w:val="en-GB"/>
        </w:rPr>
        <w:t xml:space="preserve"> with limited strength, while the other factors lack consensus, which may indicate an absence of strong determinants. The study demonstrated that social media </w:t>
      </w:r>
      <w:r w:rsidR="00191A53">
        <w:rPr>
          <w:lang w:val="en-GB"/>
        </w:rPr>
        <w:t>is</w:t>
      </w:r>
      <w:r w:rsidRPr="00C239D0">
        <w:rPr>
          <w:lang w:val="en-GB"/>
        </w:rPr>
        <w:t xml:space="preserve"> important for the young consumer generation. The data indicate that content published on social media increases interest in taking action (37.8%), and trust in a brand when making purchase decisions was confirmed by as many as 49% of respondents. This appears to have significant relevance for investment (consumption) decisions regarding the choice of energy-supplying devices (Table 4).</w:t>
      </w:r>
    </w:p>
    <w:p w14:paraId="206F8EFC" w14:textId="77777777" w:rsidR="006F4EA3" w:rsidRPr="00C239D0" w:rsidRDefault="006F4EA3" w:rsidP="006F4EA3">
      <w:pPr>
        <w:rPr>
          <w:lang w:val="en-GB"/>
        </w:rPr>
      </w:pPr>
    </w:p>
    <w:p w14:paraId="5CFE2E01" w14:textId="19386BB0" w:rsidR="00C239D0" w:rsidRPr="00C239D0" w:rsidRDefault="00C239D0" w:rsidP="006C0BEA">
      <w:pPr>
        <w:pStyle w:val="Rtab"/>
        <w:rPr>
          <w:lang w:val="en-GB"/>
        </w:rPr>
      </w:pPr>
      <w:r w:rsidRPr="006C0BEA">
        <w:rPr>
          <w:b/>
          <w:bCs/>
          <w:lang w:val="en-GB"/>
        </w:rPr>
        <w:t>Tab</w:t>
      </w:r>
      <w:r w:rsidR="006C0BEA" w:rsidRPr="006C0BEA">
        <w:rPr>
          <w:b/>
          <w:bCs/>
          <w:lang w:val="en-GB"/>
        </w:rPr>
        <w:t>le</w:t>
      </w:r>
      <w:r w:rsidRPr="006C0BEA">
        <w:rPr>
          <w:b/>
          <w:bCs/>
          <w:lang w:val="en-GB"/>
        </w:rPr>
        <w:t xml:space="preserve"> 4.</w:t>
      </w:r>
      <w:r w:rsidRPr="00C239D0">
        <w:rPr>
          <w:lang w:val="en-GB"/>
        </w:rPr>
        <w:t xml:space="preserve"> Assessment of potential energy source groups [%]</w:t>
      </w:r>
    </w:p>
    <w:tbl>
      <w:tblPr>
        <w:tblW w:w="9696" w:type="dxa"/>
        <w:tblCellMar>
          <w:left w:w="70" w:type="dxa"/>
          <w:right w:w="70" w:type="dxa"/>
        </w:tblCellMar>
        <w:tblLook w:val="04A0" w:firstRow="1" w:lastRow="0" w:firstColumn="1" w:lastColumn="0" w:noHBand="0" w:noVBand="1"/>
      </w:tblPr>
      <w:tblGrid>
        <w:gridCol w:w="2977"/>
        <w:gridCol w:w="964"/>
        <w:gridCol w:w="1191"/>
        <w:gridCol w:w="2409"/>
        <w:gridCol w:w="1191"/>
        <w:gridCol w:w="964"/>
      </w:tblGrid>
      <w:tr w:rsidR="006F4EA3" w:rsidRPr="009521AB" w14:paraId="51C7F946" w14:textId="77777777" w:rsidTr="0090015F">
        <w:trPr>
          <w:trHeight w:val="551"/>
        </w:trPr>
        <w:tc>
          <w:tcPr>
            <w:tcW w:w="2977" w:type="dxa"/>
            <w:tcBorders>
              <w:top w:val="nil"/>
              <w:left w:val="nil"/>
              <w:bottom w:val="nil"/>
              <w:right w:val="nil"/>
            </w:tcBorders>
            <w:noWrap/>
            <w:vAlign w:val="center"/>
            <w:hideMark/>
          </w:tcPr>
          <w:p w14:paraId="5401B87F" w14:textId="77777777" w:rsidR="006F4EA3" w:rsidRPr="006F4EA3" w:rsidRDefault="006F4EA3" w:rsidP="006C42BF">
            <w:pPr>
              <w:rPr>
                <w:rFonts w:eastAsia="Times New Roman" w:cs="Times New Roman"/>
                <w:sz w:val="20"/>
                <w:szCs w:val="20"/>
                <w:lang w:eastAsia="pl-PL"/>
              </w:rPr>
            </w:pP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610FBEEB" w14:textId="77777777" w:rsidR="006F4EA3" w:rsidRPr="006F4EA3" w:rsidRDefault="006F4EA3" w:rsidP="006C0BEA">
            <w:pPr>
              <w:ind w:firstLine="0"/>
              <w:jc w:val="center"/>
              <w:rPr>
                <w:rFonts w:eastAsia="Times New Roman" w:cs="Times New Roman"/>
                <w:color w:val="000000"/>
                <w:sz w:val="20"/>
                <w:szCs w:val="20"/>
                <w:lang w:eastAsia="pl-PL"/>
              </w:rPr>
            </w:pPr>
            <w:r w:rsidRPr="006F4EA3">
              <w:rPr>
                <w:rFonts w:eastAsia="Times New Roman" w:cs="Times New Roman"/>
                <w:color w:val="000000"/>
                <w:sz w:val="20"/>
                <w:szCs w:val="20"/>
                <w:lang w:eastAsia="pl-PL"/>
              </w:rPr>
              <w:t>No</w:t>
            </w:r>
          </w:p>
        </w:tc>
        <w:tc>
          <w:tcPr>
            <w:tcW w:w="1191" w:type="dxa"/>
            <w:tcBorders>
              <w:top w:val="single" w:sz="4" w:space="0" w:color="auto"/>
              <w:left w:val="nil"/>
              <w:bottom w:val="single" w:sz="4" w:space="0" w:color="auto"/>
              <w:right w:val="single" w:sz="4" w:space="0" w:color="auto"/>
            </w:tcBorders>
            <w:vAlign w:val="center"/>
            <w:hideMark/>
          </w:tcPr>
          <w:p w14:paraId="341C34F5" w14:textId="77777777" w:rsidR="006F4EA3" w:rsidRPr="006F4EA3" w:rsidRDefault="006F4EA3" w:rsidP="006C0BEA">
            <w:pPr>
              <w:ind w:firstLine="0"/>
              <w:jc w:val="center"/>
              <w:rPr>
                <w:rFonts w:eastAsia="Times New Roman" w:cs="Times New Roman"/>
                <w:color w:val="000000"/>
                <w:sz w:val="20"/>
                <w:szCs w:val="20"/>
                <w:lang w:eastAsia="pl-PL"/>
              </w:rPr>
            </w:pPr>
            <w:proofErr w:type="spellStart"/>
            <w:r w:rsidRPr="006F4EA3">
              <w:rPr>
                <w:rFonts w:eastAsia="Times New Roman" w:cs="Times New Roman"/>
                <w:color w:val="000000"/>
                <w:sz w:val="20"/>
                <w:szCs w:val="20"/>
                <w:lang w:eastAsia="pl-PL"/>
              </w:rPr>
              <w:t>Rather</w:t>
            </w:r>
            <w:proofErr w:type="spellEnd"/>
            <w:r w:rsidRPr="006F4EA3">
              <w:rPr>
                <w:rFonts w:eastAsia="Times New Roman" w:cs="Times New Roman"/>
                <w:color w:val="000000"/>
                <w:sz w:val="20"/>
                <w:szCs w:val="20"/>
                <w:lang w:eastAsia="pl-PL"/>
              </w:rPr>
              <w:t xml:space="preserve"> no</w:t>
            </w:r>
          </w:p>
        </w:tc>
        <w:tc>
          <w:tcPr>
            <w:tcW w:w="2409" w:type="dxa"/>
            <w:tcBorders>
              <w:top w:val="single" w:sz="4" w:space="0" w:color="auto"/>
              <w:left w:val="nil"/>
              <w:bottom w:val="single" w:sz="4" w:space="0" w:color="auto"/>
              <w:right w:val="single" w:sz="4" w:space="0" w:color="auto"/>
            </w:tcBorders>
            <w:vAlign w:val="center"/>
            <w:hideMark/>
          </w:tcPr>
          <w:p w14:paraId="392870F3" w14:textId="02A73D36" w:rsidR="006F4EA3" w:rsidRPr="006F4EA3" w:rsidRDefault="006F4EA3" w:rsidP="006C0BEA">
            <w:pPr>
              <w:ind w:firstLine="0"/>
              <w:jc w:val="center"/>
              <w:rPr>
                <w:rFonts w:eastAsia="Times New Roman" w:cs="Times New Roman"/>
                <w:color w:val="000000"/>
                <w:sz w:val="20"/>
                <w:szCs w:val="20"/>
                <w:lang w:eastAsia="pl-PL"/>
              </w:rPr>
            </w:pPr>
            <w:r w:rsidRPr="006F4EA3">
              <w:rPr>
                <w:rFonts w:eastAsia="Times New Roman" w:cs="Times New Roman"/>
                <w:color w:val="000000"/>
                <w:sz w:val="20"/>
                <w:szCs w:val="20"/>
                <w:lang w:eastAsia="pl-PL"/>
              </w:rPr>
              <w:t xml:space="preserve">I </w:t>
            </w:r>
            <w:proofErr w:type="spellStart"/>
            <w:r w:rsidRPr="006F4EA3">
              <w:rPr>
                <w:rFonts w:eastAsia="Times New Roman" w:cs="Times New Roman"/>
                <w:color w:val="000000"/>
                <w:sz w:val="20"/>
                <w:szCs w:val="20"/>
                <w:lang w:eastAsia="pl-PL"/>
              </w:rPr>
              <w:t>don't</w:t>
            </w:r>
            <w:proofErr w:type="spellEnd"/>
            <w:r w:rsidRPr="006F4EA3">
              <w:rPr>
                <w:rFonts w:eastAsia="Times New Roman" w:cs="Times New Roman"/>
                <w:color w:val="000000"/>
                <w:sz w:val="20"/>
                <w:szCs w:val="20"/>
                <w:lang w:eastAsia="pl-PL"/>
              </w:rPr>
              <w:t xml:space="preserve"> </w:t>
            </w:r>
            <w:proofErr w:type="spellStart"/>
            <w:r w:rsidRPr="006F4EA3">
              <w:rPr>
                <w:rFonts w:eastAsia="Times New Roman" w:cs="Times New Roman"/>
                <w:color w:val="000000"/>
                <w:sz w:val="20"/>
                <w:szCs w:val="20"/>
                <w:lang w:eastAsia="pl-PL"/>
              </w:rPr>
              <w:t>know</w:t>
            </w:r>
            <w:proofErr w:type="spellEnd"/>
            <w:r w:rsidRPr="006F4EA3">
              <w:rPr>
                <w:rFonts w:eastAsia="Times New Roman" w:cs="Times New Roman"/>
                <w:color w:val="000000"/>
                <w:sz w:val="20"/>
                <w:szCs w:val="20"/>
                <w:lang w:eastAsia="pl-PL"/>
              </w:rPr>
              <w:t xml:space="preserve"> </w:t>
            </w:r>
            <w:r w:rsidR="006C0BEA">
              <w:rPr>
                <w:rFonts w:eastAsia="Times New Roman" w:cs="Times New Roman"/>
                <w:color w:val="000000"/>
                <w:sz w:val="20"/>
                <w:szCs w:val="20"/>
                <w:lang w:eastAsia="pl-PL"/>
              </w:rPr>
              <w:br/>
            </w:r>
            <w:r w:rsidRPr="006F4EA3">
              <w:rPr>
                <w:rFonts w:eastAsia="Times New Roman" w:cs="Times New Roman"/>
                <w:color w:val="000000"/>
                <w:sz w:val="20"/>
                <w:szCs w:val="20"/>
                <w:lang w:eastAsia="pl-PL"/>
              </w:rPr>
              <w:t xml:space="preserve">/ I </w:t>
            </w:r>
            <w:proofErr w:type="spellStart"/>
            <w:r w:rsidRPr="006F4EA3">
              <w:rPr>
                <w:rFonts w:eastAsia="Times New Roman" w:cs="Times New Roman"/>
                <w:color w:val="000000"/>
                <w:sz w:val="20"/>
                <w:szCs w:val="20"/>
                <w:lang w:eastAsia="pl-PL"/>
              </w:rPr>
              <w:t>don't</w:t>
            </w:r>
            <w:proofErr w:type="spellEnd"/>
            <w:r w:rsidRPr="006F4EA3">
              <w:rPr>
                <w:rFonts w:eastAsia="Times New Roman" w:cs="Times New Roman"/>
                <w:color w:val="000000"/>
                <w:sz w:val="20"/>
                <w:szCs w:val="20"/>
                <w:lang w:eastAsia="pl-PL"/>
              </w:rPr>
              <w:t xml:space="preserve"> </w:t>
            </w:r>
            <w:proofErr w:type="spellStart"/>
            <w:r w:rsidRPr="006F4EA3">
              <w:rPr>
                <w:rFonts w:eastAsia="Times New Roman" w:cs="Times New Roman"/>
                <w:color w:val="000000"/>
                <w:sz w:val="20"/>
                <w:szCs w:val="20"/>
                <w:lang w:eastAsia="pl-PL"/>
              </w:rPr>
              <w:t>have</w:t>
            </w:r>
            <w:proofErr w:type="spellEnd"/>
            <w:r w:rsidRPr="006F4EA3">
              <w:rPr>
                <w:rFonts w:eastAsia="Times New Roman" w:cs="Times New Roman"/>
                <w:color w:val="000000"/>
                <w:sz w:val="20"/>
                <w:szCs w:val="20"/>
                <w:lang w:eastAsia="pl-PL"/>
              </w:rPr>
              <w:t xml:space="preserve"> </w:t>
            </w:r>
            <w:proofErr w:type="spellStart"/>
            <w:r w:rsidRPr="006F4EA3">
              <w:rPr>
                <w:rFonts w:eastAsia="Times New Roman" w:cs="Times New Roman"/>
                <w:color w:val="000000"/>
                <w:sz w:val="20"/>
                <w:szCs w:val="20"/>
                <w:lang w:eastAsia="pl-PL"/>
              </w:rPr>
              <w:t>an</w:t>
            </w:r>
            <w:proofErr w:type="spellEnd"/>
            <w:r w:rsidRPr="006F4EA3">
              <w:rPr>
                <w:rFonts w:eastAsia="Times New Roman" w:cs="Times New Roman"/>
                <w:color w:val="000000"/>
                <w:sz w:val="20"/>
                <w:szCs w:val="20"/>
                <w:lang w:eastAsia="pl-PL"/>
              </w:rPr>
              <w:t xml:space="preserve"> </w:t>
            </w:r>
            <w:proofErr w:type="spellStart"/>
            <w:r w:rsidRPr="006F4EA3">
              <w:rPr>
                <w:rFonts w:eastAsia="Times New Roman" w:cs="Times New Roman"/>
                <w:color w:val="000000"/>
                <w:sz w:val="20"/>
                <w:szCs w:val="20"/>
                <w:lang w:eastAsia="pl-PL"/>
              </w:rPr>
              <w:t>opinion</w:t>
            </w:r>
            <w:proofErr w:type="spellEnd"/>
          </w:p>
        </w:tc>
        <w:tc>
          <w:tcPr>
            <w:tcW w:w="1191" w:type="dxa"/>
            <w:tcBorders>
              <w:top w:val="single" w:sz="4" w:space="0" w:color="auto"/>
              <w:left w:val="nil"/>
              <w:bottom w:val="single" w:sz="4" w:space="0" w:color="auto"/>
              <w:right w:val="single" w:sz="4" w:space="0" w:color="auto"/>
            </w:tcBorders>
            <w:vAlign w:val="center"/>
            <w:hideMark/>
          </w:tcPr>
          <w:p w14:paraId="5F81DADD" w14:textId="77777777" w:rsidR="006F4EA3" w:rsidRPr="006F4EA3" w:rsidRDefault="006F4EA3" w:rsidP="006C0BEA">
            <w:pPr>
              <w:ind w:firstLine="0"/>
              <w:jc w:val="center"/>
              <w:rPr>
                <w:rFonts w:eastAsia="Times New Roman" w:cs="Times New Roman"/>
                <w:color w:val="000000"/>
                <w:sz w:val="20"/>
                <w:szCs w:val="20"/>
                <w:lang w:eastAsia="pl-PL"/>
              </w:rPr>
            </w:pPr>
            <w:proofErr w:type="spellStart"/>
            <w:r w:rsidRPr="006F4EA3">
              <w:rPr>
                <w:rFonts w:eastAsia="Times New Roman" w:cs="Times New Roman"/>
                <w:color w:val="000000"/>
                <w:sz w:val="20"/>
                <w:szCs w:val="20"/>
                <w:lang w:eastAsia="pl-PL"/>
              </w:rPr>
              <w:t>Rather</w:t>
            </w:r>
            <w:proofErr w:type="spellEnd"/>
            <w:r w:rsidRPr="006F4EA3">
              <w:rPr>
                <w:rFonts w:eastAsia="Times New Roman" w:cs="Times New Roman"/>
                <w:color w:val="000000"/>
                <w:sz w:val="20"/>
                <w:szCs w:val="20"/>
                <w:lang w:eastAsia="pl-PL"/>
              </w:rPr>
              <w:t xml:space="preserve"> </w:t>
            </w:r>
            <w:proofErr w:type="spellStart"/>
            <w:r w:rsidRPr="006F4EA3">
              <w:rPr>
                <w:rFonts w:eastAsia="Times New Roman" w:cs="Times New Roman"/>
                <w:color w:val="000000"/>
                <w:sz w:val="20"/>
                <w:szCs w:val="20"/>
                <w:lang w:eastAsia="pl-PL"/>
              </w:rPr>
              <w:t>yes</w:t>
            </w:r>
            <w:proofErr w:type="spellEnd"/>
          </w:p>
        </w:tc>
        <w:tc>
          <w:tcPr>
            <w:tcW w:w="964" w:type="dxa"/>
            <w:tcBorders>
              <w:top w:val="single" w:sz="4" w:space="0" w:color="auto"/>
              <w:left w:val="nil"/>
              <w:bottom w:val="single" w:sz="4" w:space="0" w:color="auto"/>
              <w:right w:val="single" w:sz="4" w:space="0" w:color="auto"/>
            </w:tcBorders>
            <w:noWrap/>
            <w:vAlign w:val="center"/>
            <w:hideMark/>
          </w:tcPr>
          <w:p w14:paraId="13B64028" w14:textId="2487F556" w:rsidR="006F4EA3" w:rsidRPr="006F4EA3" w:rsidRDefault="006F4EA3" w:rsidP="006C0BEA">
            <w:pPr>
              <w:ind w:firstLine="0"/>
              <w:jc w:val="center"/>
              <w:rPr>
                <w:rFonts w:eastAsia="Times New Roman" w:cs="Times New Roman"/>
                <w:color w:val="000000"/>
                <w:sz w:val="20"/>
                <w:szCs w:val="20"/>
                <w:lang w:eastAsia="pl-PL"/>
              </w:rPr>
            </w:pPr>
            <w:proofErr w:type="spellStart"/>
            <w:r w:rsidRPr="006F4EA3">
              <w:rPr>
                <w:rFonts w:eastAsia="Times New Roman" w:cs="Times New Roman"/>
                <w:color w:val="000000"/>
                <w:sz w:val="20"/>
                <w:szCs w:val="20"/>
                <w:lang w:eastAsia="pl-PL"/>
              </w:rPr>
              <w:t>Yes</w:t>
            </w:r>
            <w:proofErr w:type="spellEnd"/>
          </w:p>
        </w:tc>
      </w:tr>
      <w:tr w:rsidR="006F4EA3" w:rsidRPr="009521AB" w14:paraId="70C4ADA1" w14:textId="77777777" w:rsidTr="0090015F">
        <w:trPr>
          <w:trHeight w:val="283"/>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7FB2DBDA" w14:textId="77777777" w:rsidR="006F4EA3" w:rsidRPr="006F4EA3" w:rsidRDefault="006F4EA3" w:rsidP="006C0BEA">
            <w:pPr>
              <w:ind w:firstLine="0"/>
              <w:jc w:val="left"/>
              <w:rPr>
                <w:rFonts w:eastAsia="Times New Roman" w:cs="Times New Roman"/>
                <w:color w:val="000000"/>
                <w:sz w:val="20"/>
                <w:szCs w:val="20"/>
                <w:lang w:eastAsia="pl-PL"/>
              </w:rPr>
            </w:pPr>
            <w:r w:rsidRPr="006F4EA3">
              <w:rPr>
                <w:rFonts w:eastAsia="Times New Roman" w:cs="Times New Roman"/>
                <w:color w:val="000000"/>
                <w:sz w:val="20"/>
                <w:szCs w:val="20"/>
                <w:lang w:eastAsia="pl-PL"/>
              </w:rPr>
              <w:t xml:space="preserve">Wind </w:t>
            </w:r>
            <w:proofErr w:type="spellStart"/>
            <w:r w:rsidRPr="006F4EA3">
              <w:rPr>
                <w:rFonts w:eastAsia="Times New Roman" w:cs="Times New Roman"/>
                <w:color w:val="000000"/>
                <w:sz w:val="20"/>
                <w:szCs w:val="20"/>
                <w:lang w:eastAsia="pl-PL"/>
              </w:rPr>
              <w:t>turbine</w:t>
            </w:r>
            <w:proofErr w:type="spellEnd"/>
            <w:r w:rsidRPr="006F4EA3">
              <w:rPr>
                <w:rFonts w:eastAsia="Times New Roman" w:cs="Times New Roman"/>
                <w:color w:val="000000"/>
                <w:sz w:val="20"/>
                <w:szCs w:val="20"/>
                <w:lang w:eastAsia="pl-PL"/>
              </w:rPr>
              <w:t xml:space="preserve"> (</w:t>
            </w:r>
            <w:proofErr w:type="spellStart"/>
            <w:r w:rsidRPr="006F4EA3">
              <w:rPr>
                <w:rFonts w:eastAsia="Times New Roman" w:cs="Times New Roman"/>
                <w:color w:val="000000"/>
                <w:sz w:val="20"/>
                <w:szCs w:val="20"/>
                <w:lang w:eastAsia="pl-PL"/>
              </w:rPr>
              <w:t>home</w:t>
            </w:r>
            <w:proofErr w:type="spellEnd"/>
            <w:r w:rsidRPr="006F4EA3">
              <w:rPr>
                <w:rFonts w:eastAsia="Times New Roman" w:cs="Times New Roman"/>
                <w:color w:val="000000"/>
                <w:sz w:val="20"/>
                <w:szCs w:val="20"/>
                <w:lang w:eastAsia="pl-PL"/>
              </w:rPr>
              <w:t>)</w:t>
            </w:r>
          </w:p>
        </w:tc>
        <w:tc>
          <w:tcPr>
            <w:tcW w:w="964" w:type="dxa"/>
            <w:tcBorders>
              <w:top w:val="nil"/>
              <w:left w:val="nil"/>
              <w:bottom w:val="single" w:sz="4" w:space="0" w:color="auto"/>
              <w:right w:val="single" w:sz="4" w:space="0" w:color="auto"/>
            </w:tcBorders>
            <w:noWrap/>
            <w:vAlign w:val="center"/>
            <w:hideMark/>
          </w:tcPr>
          <w:p w14:paraId="0BA929D8" w14:textId="77777777" w:rsidR="006F4EA3" w:rsidRPr="006F4EA3" w:rsidRDefault="006F4EA3" w:rsidP="006C0BEA">
            <w:pPr>
              <w:ind w:firstLine="0"/>
              <w:jc w:val="center"/>
              <w:rPr>
                <w:rFonts w:eastAsia="Times New Roman" w:cs="Times New Roman"/>
                <w:color w:val="000000"/>
                <w:sz w:val="20"/>
                <w:szCs w:val="20"/>
                <w:lang w:eastAsia="pl-PL"/>
              </w:rPr>
            </w:pPr>
            <w:r w:rsidRPr="006F4EA3">
              <w:rPr>
                <w:rFonts w:eastAsia="Times New Roman" w:cs="Times New Roman"/>
                <w:color w:val="000000"/>
                <w:sz w:val="20"/>
                <w:szCs w:val="20"/>
                <w:lang w:eastAsia="pl-PL"/>
              </w:rPr>
              <w:t>21</w:t>
            </w:r>
          </w:p>
        </w:tc>
        <w:tc>
          <w:tcPr>
            <w:tcW w:w="1191" w:type="dxa"/>
            <w:tcBorders>
              <w:top w:val="nil"/>
              <w:left w:val="nil"/>
              <w:bottom w:val="single" w:sz="4" w:space="0" w:color="auto"/>
              <w:right w:val="single" w:sz="4" w:space="0" w:color="auto"/>
            </w:tcBorders>
            <w:noWrap/>
            <w:vAlign w:val="center"/>
            <w:hideMark/>
          </w:tcPr>
          <w:p w14:paraId="73B6E974" w14:textId="77777777" w:rsidR="006F4EA3" w:rsidRPr="006F4EA3" w:rsidRDefault="006F4EA3" w:rsidP="006C0BEA">
            <w:pPr>
              <w:ind w:firstLine="0"/>
              <w:jc w:val="center"/>
              <w:rPr>
                <w:rFonts w:eastAsia="Times New Roman" w:cs="Times New Roman"/>
                <w:color w:val="000000"/>
                <w:sz w:val="20"/>
                <w:szCs w:val="20"/>
                <w:lang w:eastAsia="pl-PL"/>
              </w:rPr>
            </w:pPr>
            <w:r w:rsidRPr="006F4EA3">
              <w:rPr>
                <w:rFonts w:eastAsia="Times New Roman" w:cs="Times New Roman"/>
                <w:color w:val="000000"/>
                <w:sz w:val="20"/>
                <w:szCs w:val="20"/>
                <w:lang w:eastAsia="pl-PL"/>
              </w:rPr>
              <w:t>15</w:t>
            </w:r>
          </w:p>
        </w:tc>
        <w:tc>
          <w:tcPr>
            <w:tcW w:w="2409" w:type="dxa"/>
            <w:tcBorders>
              <w:top w:val="nil"/>
              <w:left w:val="nil"/>
              <w:bottom w:val="single" w:sz="4" w:space="0" w:color="auto"/>
              <w:right w:val="single" w:sz="4" w:space="0" w:color="auto"/>
            </w:tcBorders>
            <w:noWrap/>
            <w:vAlign w:val="center"/>
            <w:hideMark/>
          </w:tcPr>
          <w:p w14:paraId="4B270ADD" w14:textId="77777777" w:rsidR="006F4EA3" w:rsidRPr="006F4EA3" w:rsidRDefault="006F4EA3" w:rsidP="006C0BEA">
            <w:pPr>
              <w:ind w:firstLine="0"/>
              <w:jc w:val="center"/>
              <w:rPr>
                <w:rFonts w:eastAsia="Times New Roman" w:cs="Times New Roman"/>
                <w:color w:val="000000"/>
                <w:sz w:val="20"/>
                <w:szCs w:val="20"/>
                <w:lang w:eastAsia="pl-PL"/>
              </w:rPr>
            </w:pPr>
            <w:r w:rsidRPr="006F4EA3">
              <w:rPr>
                <w:rFonts w:eastAsia="Times New Roman" w:cs="Times New Roman"/>
                <w:color w:val="000000"/>
                <w:sz w:val="20"/>
                <w:szCs w:val="20"/>
                <w:lang w:eastAsia="pl-PL"/>
              </w:rPr>
              <w:t>17</w:t>
            </w:r>
          </w:p>
        </w:tc>
        <w:tc>
          <w:tcPr>
            <w:tcW w:w="1191" w:type="dxa"/>
            <w:tcBorders>
              <w:top w:val="nil"/>
              <w:left w:val="nil"/>
              <w:bottom w:val="single" w:sz="4" w:space="0" w:color="auto"/>
              <w:right w:val="single" w:sz="4" w:space="0" w:color="auto"/>
            </w:tcBorders>
            <w:noWrap/>
            <w:vAlign w:val="center"/>
            <w:hideMark/>
          </w:tcPr>
          <w:p w14:paraId="33D8A6B7" w14:textId="77777777" w:rsidR="006F4EA3" w:rsidRPr="006F4EA3" w:rsidRDefault="006F4EA3" w:rsidP="006C0BEA">
            <w:pPr>
              <w:ind w:firstLine="0"/>
              <w:jc w:val="center"/>
              <w:rPr>
                <w:rFonts w:eastAsia="Times New Roman" w:cs="Times New Roman"/>
                <w:color w:val="FF0000"/>
                <w:sz w:val="20"/>
                <w:szCs w:val="20"/>
                <w:lang w:eastAsia="pl-PL"/>
              </w:rPr>
            </w:pPr>
            <w:r w:rsidRPr="006F4EA3">
              <w:rPr>
                <w:rFonts w:eastAsia="Times New Roman" w:cs="Times New Roman"/>
                <w:color w:val="FF0000"/>
                <w:sz w:val="20"/>
                <w:szCs w:val="20"/>
                <w:lang w:eastAsia="pl-PL"/>
              </w:rPr>
              <w:t>24</w:t>
            </w:r>
          </w:p>
        </w:tc>
        <w:tc>
          <w:tcPr>
            <w:tcW w:w="964" w:type="dxa"/>
            <w:tcBorders>
              <w:top w:val="nil"/>
              <w:left w:val="nil"/>
              <w:bottom w:val="single" w:sz="4" w:space="0" w:color="auto"/>
              <w:right w:val="single" w:sz="4" w:space="0" w:color="auto"/>
            </w:tcBorders>
            <w:noWrap/>
            <w:vAlign w:val="center"/>
            <w:hideMark/>
          </w:tcPr>
          <w:p w14:paraId="19807993" w14:textId="77777777" w:rsidR="006F4EA3" w:rsidRPr="006F4EA3" w:rsidRDefault="006F4EA3" w:rsidP="006C0BEA">
            <w:pPr>
              <w:ind w:firstLine="0"/>
              <w:jc w:val="center"/>
              <w:rPr>
                <w:rFonts w:eastAsia="Times New Roman" w:cs="Times New Roman"/>
                <w:color w:val="000000"/>
                <w:sz w:val="20"/>
                <w:szCs w:val="20"/>
                <w:lang w:eastAsia="pl-PL"/>
              </w:rPr>
            </w:pPr>
            <w:r w:rsidRPr="006F4EA3">
              <w:rPr>
                <w:rFonts w:eastAsia="Times New Roman" w:cs="Times New Roman"/>
                <w:color w:val="000000"/>
                <w:sz w:val="20"/>
                <w:szCs w:val="20"/>
                <w:lang w:eastAsia="pl-PL"/>
              </w:rPr>
              <w:t>21</w:t>
            </w:r>
          </w:p>
        </w:tc>
      </w:tr>
      <w:tr w:rsidR="006F4EA3" w:rsidRPr="009521AB" w14:paraId="7A02C62B" w14:textId="77777777" w:rsidTr="0090015F">
        <w:trPr>
          <w:trHeight w:val="283"/>
        </w:trPr>
        <w:tc>
          <w:tcPr>
            <w:tcW w:w="2977" w:type="dxa"/>
            <w:tcBorders>
              <w:top w:val="nil"/>
              <w:left w:val="single" w:sz="4" w:space="0" w:color="auto"/>
              <w:bottom w:val="single" w:sz="4" w:space="0" w:color="auto"/>
              <w:right w:val="single" w:sz="4" w:space="0" w:color="auto"/>
            </w:tcBorders>
            <w:vAlign w:val="center"/>
            <w:hideMark/>
          </w:tcPr>
          <w:p w14:paraId="4445E04A" w14:textId="77777777" w:rsidR="006F4EA3" w:rsidRPr="006F4EA3" w:rsidRDefault="006F4EA3" w:rsidP="006C0BEA">
            <w:pPr>
              <w:ind w:firstLine="0"/>
              <w:jc w:val="left"/>
              <w:rPr>
                <w:rFonts w:eastAsia="Times New Roman" w:cs="Times New Roman"/>
                <w:color w:val="000000"/>
                <w:sz w:val="20"/>
                <w:szCs w:val="20"/>
                <w:lang w:eastAsia="pl-PL"/>
              </w:rPr>
            </w:pPr>
            <w:proofErr w:type="spellStart"/>
            <w:r w:rsidRPr="006F4EA3">
              <w:rPr>
                <w:rFonts w:eastAsia="Times New Roman" w:cs="Times New Roman"/>
                <w:color w:val="000000"/>
                <w:sz w:val="20"/>
                <w:szCs w:val="20"/>
                <w:lang w:eastAsia="pl-PL"/>
              </w:rPr>
              <w:t>Photovoltaic</w:t>
            </w:r>
            <w:proofErr w:type="spellEnd"/>
            <w:r w:rsidRPr="006F4EA3">
              <w:rPr>
                <w:rFonts w:eastAsia="Times New Roman" w:cs="Times New Roman"/>
                <w:color w:val="000000"/>
                <w:sz w:val="20"/>
                <w:szCs w:val="20"/>
                <w:lang w:eastAsia="pl-PL"/>
              </w:rPr>
              <w:t xml:space="preserve"> </w:t>
            </w:r>
            <w:proofErr w:type="spellStart"/>
            <w:r w:rsidRPr="006F4EA3">
              <w:rPr>
                <w:rFonts w:eastAsia="Times New Roman" w:cs="Times New Roman"/>
                <w:color w:val="000000"/>
                <w:sz w:val="20"/>
                <w:szCs w:val="20"/>
                <w:lang w:eastAsia="pl-PL"/>
              </w:rPr>
              <w:t>panels</w:t>
            </w:r>
            <w:proofErr w:type="spellEnd"/>
            <w:r w:rsidRPr="006F4EA3">
              <w:rPr>
                <w:rFonts w:eastAsia="Times New Roman" w:cs="Times New Roman"/>
                <w:color w:val="000000"/>
                <w:sz w:val="20"/>
                <w:szCs w:val="20"/>
                <w:lang w:eastAsia="pl-PL"/>
              </w:rPr>
              <w:t xml:space="preserve"> (</w:t>
            </w:r>
            <w:proofErr w:type="spellStart"/>
            <w:r w:rsidRPr="006F4EA3">
              <w:rPr>
                <w:rFonts w:eastAsia="Times New Roman" w:cs="Times New Roman"/>
                <w:color w:val="000000"/>
                <w:sz w:val="20"/>
                <w:szCs w:val="20"/>
                <w:lang w:eastAsia="pl-PL"/>
              </w:rPr>
              <w:t>energy</w:t>
            </w:r>
            <w:proofErr w:type="spellEnd"/>
            <w:r w:rsidRPr="006F4EA3">
              <w:rPr>
                <w:rFonts w:eastAsia="Times New Roman" w:cs="Times New Roman"/>
                <w:color w:val="000000"/>
                <w:sz w:val="20"/>
                <w:szCs w:val="20"/>
                <w:lang w:eastAsia="pl-PL"/>
              </w:rPr>
              <w:t>)</w:t>
            </w:r>
          </w:p>
        </w:tc>
        <w:tc>
          <w:tcPr>
            <w:tcW w:w="964" w:type="dxa"/>
            <w:tcBorders>
              <w:top w:val="nil"/>
              <w:left w:val="nil"/>
              <w:bottom w:val="single" w:sz="4" w:space="0" w:color="auto"/>
              <w:right w:val="single" w:sz="4" w:space="0" w:color="auto"/>
            </w:tcBorders>
            <w:noWrap/>
            <w:vAlign w:val="center"/>
            <w:hideMark/>
          </w:tcPr>
          <w:p w14:paraId="47BA58D0" w14:textId="77777777" w:rsidR="006F4EA3" w:rsidRPr="006F4EA3" w:rsidRDefault="006F4EA3" w:rsidP="006C0BEA">
            <w:pPr>
              <w:ind w:firstLine="0"/>
              <w:jc w:val="center"/>
              <w:rPr>
                <w:rFonts w:eastAsia="Times New Roman" w:cs="Times New Roman"/>
                <w:color w:val="000000"/>
                <w:sz w:val="20"/>
                <w:szCs w:val="20"/>
                <w:lang w:eastAsia="pl-PL"/>
              </w:rPr>
            </w:pPr>
            <w:r w:rsidRPr="006F4EA3">
              <w:rPr>
                <w:rFonts w:eastAsia="Times New Roman" w:cs="Times New Roman"/>
                <w:color w:val="000000"/>
                <w:sz w:val="20"/>
                <w:szCs w:val="20"/>
                <w:lang w:eastAsia="pl-PL"/>
              </w:rPr>
              <w:t>12</w:t>
            </w:r>
          </w:p>
        </w:tc>
        <w:tc>
          <w:tcPr>
            <w:tcW w:w="1191" w:type="dxa"/>
            <w:tcBorders>
              <w:top w:val="nil"/>
              <w:left w:val="nil"/>
              <w:bottom w:val="single" w:sz="4" w:space="0" w:color="auto"/>
              <w:right w:val="single" w:sz="4" w:space="0" w:color="auto"/>
            </w:tcBorders>
            <w:noWrap/>
            <w:vAlign w:val="center"/>
            <w:hideMark/>
          </w:tcPr>
          <w:p w14:paraId="52EE0CE9" w14:textId="77777777" w:rsidR="006F4EA3" w:rsidRPr="006F4EA3" w:rsidRDefault="006F4EA3" w:rsidP="006C0BEA">
            <w:pPr>
              <w:ind w:firstLine="0"/>
              <w:jc w:val="center"/>
              <w:rPr>
                <w:rFonts w:eastAsia="Times New Roman" w:cs="Times New Roman"/>
                <w:color w:val="000000"/>
                <w:sz w:val="20"/>
                <w:szCs w:val="20"/>
                <w:lang w:eastAsia="pl-PL"/>
              </w:rPr>
            </w:pPr>
            <w:r w:rsidRPr="006F4EA3">
              <w:rPr>
                <w:rFonts w:eastAsia="Times New Roman" w:cs="Times New Roman"/>
                <w:color w:val="000000"/>
                <w:sz w:val="20"/>
                <w:szCs w:val="20"/>
                <w:lang w:eastAsia="pl-PL"/>
              </w:rPr>
              <w:t>10</w:t>
            </w:r>
          </w:p>
        </w:tc>
        <w:tc>
          <w:tcPr>
            <w:tcW w:w="2409" w:type="dxa"/>
            <w:tcBorders>
              <w:top w:val="nil"/>
              <w:left w:val="nil"/>
              <w:bottom w:val="single" w:sz="4" w:space="0" w:color="auto"/>
              <w:right w:val="single" w:sz="4" w:space="0" w:color="auto"/>
            </w:tcBorders>
            <w:noWrap/>
            <w:vAlign w:val="center"/>
            <w:hideMark/>
          </w:tcPr>
          <w:p w14:paraId="11722F53" w14:textId="77777777" w:rsidR="006F4EA3" w:rsidRPr="006F4EA3" w:rsidRDefault="006F4EA3" w:rsidP="006C0BEA">
            <w:pPr>
              <w:ind w:firstLine="0"/>
              <w:jc w:val="center"/>
              <w:rPr>
                <w:rFonts w:eastAsia="Times New Roman" w:cs="Times New Roman"/>
                <w:color w:val="000000"/>
                <w:sz w:val="20"/>
                <w:szCs w:val="20"/>
                <w:lang w:eastAsia="pl-PL"/>
              </w:rPr>
            </w:pPr>
            <w:r w:rsidRPr="006F4EA3">
              <w:rPr>
                <w:rFonts w:eastAsia="Times New Roman" w:cs="Times New Roman"/>
                <w:color w:val="000000"/>
                <w:sz w:val="20"/>
                <w:szCs w:val="20"/>
                <w:lang w:eastAsia="pl-PL"/>
              </w:rPr>
              <w:t>8</w:t>
            </w:r>
          </w:p>
        </w:tc>
        <w:tc>
          <w:tcPr>
            <w:tcW w:w="1191" w:type="dxa"/>
            <w:tcBorders>
              <w:top w:val="nil"/>
              <w:left w:val="nil"/>
              <w:bottom w:val="single" w:sz="4" w:space="0" w:color="auto"/>
              <w:right w:val="single" w:sz="4" w:space="0" w:color="auto"/>
            </w:tcBorders>
            <w:noWrap/>
            <w:vAlign w:val="center"/>
            <w:hideMark/>
          </w:tcPr>
          <w:p w14:paraId="648E2D1C" w14:textId="77777777" w:rsidR="006F4EA3" w:rsidRPr="006F4EA3" w:rsidRDefault="006F4EA3" w:rsidP="006C0BEA">
            <w:pPr>
              <w:ind w:firstLine="0"/>
              <w:jc w:val="center"/>
              <w:rPr>
                <w:rFonts w:eastAsia="Times New Roman" w:cs="Times New Roman"/>
                <w:color w:val="000000"/>
                <w:sz w:val="20"/>
                <w:szCs w:val="20"/>
                <w:lang w:eastAsia="pl-PL"/>
              </w:rPr>
            </w:pPr>
            <w:r w:rsidRPr="006F4EA3">
              <w:rPr>
                <w:rFonts w:eastAsia="Times New Roman" w:cs="Times New Roman"/>
                <w:color w:val="000000"/>
                <w:sz w:val="20"/>
                <w:szCs w:val="20"/>
                <w:lang w:eastAsia="pl-PL"/>
              </w:rPr>
              <w:t>27</w:t>
            </w:r>
          </w:p>
        </w:tc>
        <w:tc>
          <w:tcPr>
            <w:tcW w:w="964" w:type="dxa"/>
            <w:tcBorders>
              <w:top w:val="nil"/>
              <w:left w:val="nil"/>
              <w:bottom w:val="single" w:sz="4" w:space="0" w:color="auto"/>
              <w:right w:val="single" w:sz="4" w:space="0" w:color="auto"/>
            </w:tcBorders>
            <w:noWrap/>
            <w:vAlign w:val="center"/>
            <w:hideMark/>
          </w:tcPr>
          <w:p w14:paraId="3D658096" w14:textId="77777777" w:rsidR="006F4EA3" w:rsidRPr="006F4EA3" w:rsidRDefault="006F4EA3" w:rsidP="006C0BEA">
            <w:pPr>
              <w:ind w:firstLine="0"/>
              <w:jc w:val="center"/>
              <w:rPr>
                <w:rFonts w:eastAsia="Times New Roman" w:cs="Times New Roman"/>
                <w:color w:val="FF0000"/>
                <w:sz w:val="20"/>
                <w:szCs w:val="20"/>
                <w:lang w:eastAsia="pl-PL"/>
              </w:rPr>
            </w:pPr>
            <w:r w:rsidRPr="006F4EA3">
              <w:rPr>
                <w:rFonts w:eastAsia="Times New Roman" w:cs="Times New Roman"/>
                <w:color w:val="FF0000"/>
                <w:sz w:val="20"/>
                <w:szCs w:val="20"/>
                <w:lang w:eastAsia="pl-PL"/>
              </w:rPr>
              <w:t>41</w:t>
            </w:r>
          </w:p>
        </w:tc>
      </w:tr>
      <w:tr w:rsidR="006F4EA3" w:rsidRPr="009521AB" w14:paraId="4F4BD5B5" w14:textId="77777777" w:rsidTr="0090015F">
        <w:trPr>
          <w:trHeight w:val="283"/>
        </w:trPr>
        <w:tc>
          <w:tcPr>
            <w:tcW w:w="2977" w:type="dxa"/>
            <w:tcBorders>
              <w:top w:val="nil"/>
              <w:left w:val="single" w:sz="4" w:space="0" w:color="auto"/>
              <w:bottom w:val="single" w:sz="4" w:space="0" w:color="auto"/>
              <w:right w:val="single" w:sz="4" w:space="0" w:color="auto"/>
            </w:tcBorders>
            <w:vAlign w:val="center"/>
            <w:hideMark/>
          </w:tcPr>
          <w:p w14:paraId="57794AFE" w14:textId="77777777" w:rsidR="006F4EA3" w:rsidRPr="006F4EA3" w:rsidRDefault="006F4EA3" w:rsidP="006C0BEA">
            <w:pPr>
              <w:ind w:firstLine="0"/>
              <w:jc w:val="left"/>
              <w:rPr>
                <w:rFonts w:eastAsia="Times New Roman" w:cs="Times New Roman"/>
                <w:color w:val="000000"/>
                <w:sz w:val="20"/>
                <w:szCs w:val="20"/>
                <w:lang w:eastAsia="pl-PL"/>
              </w:rPr>
            </w:pPr>
            <w:proofErr w:type="spellStart"/>
            <w:r w:rsidRPr="006F4EA3">
              <w:rPr>
                <w:rFonts w:eastAsia="Times New Roman" w:cs="Times New Roman"/>
                <w:color w:val="000000"/>
                <w:sz w:val="20"/>
                <w:szCs w:val="20"/>
                <w:lang w:eastAsia="pl-PL"/>
              </w:rPr>
              <w:t>Water</w:t>
            </w:r>
            <w:proofErr w:type="spellEnd"/>
            <w:r w:rsidRPr="006F4EA3">
              <w:rPr>
                <w:rFonts w:eastAsia="Times New Roman" w:cs="Times New Roman"/>
                <w:color w:val="000000"/>
                <w:sz w:val="20"/>
                <w:szCs w:val="20"/>
                <w:lang w:eastAsia="pl-PL"/>
              </w:rPr>
              <w:t xml:space="preserve"> heating </w:t>
            </w:r>
            <w:proofErr w:type="spellStart"/>
            <w:r w:rsidRPr="006F4EA3">
              <w:rPr>
                <w:rFonts w:eastAsia="Times New Roman" w:cs="Times New Roman"/>
                <w:color w:val="000000"/>
                <w:sz w:val="20"/>
                <w:szCs w:val="20"/>
                <w:lang w:eastAsia="pl-PL"/>
              </w:rPr>
              <w:t>panels</w:t>
            </w:r>
            <w:proofErr w:type="spellEnd"/>
            <w:r w:rsidRPr="006F4EA3">
              <w:rPr>
                <w:rFonts w:eastAsia="Times New Roman" w:cs="Times New Roman"/>
                <w:color w:val="000000"/>
                <w:sz w:val="20"/>
                <w:szCs w:val="20"/>
                <w:lang w:eastAsia="pl-PL"/>
              </w:rPr>
              <w:t xml:space="preserve"> (</w:t>
            </w:r>
            <w:proofErr w:type="spellStart"/>
            <w:r w:rsidRPr="006F4EA3">
              <w:rPr>
                <w:rFonts w:eastAsia="Times New Roman" w:cs="Times New Roman"/>
                <w:color w:val="000000"/>
                <w:sz w:val="20"/>
                <w:szCs w:val="20"/>
                <w:lang w:eastAsia="pl-PL"/>
              </w:rPr>
              <w:t>solar</w:t>
            </w:r>
            <w:proofErr w:type="spellEnd"/>
            <w:r w:rsidRPr="006F4EA3">
              <w:rPr>
                <w:rFonts w:eastAsia="Times New Roman" w:cs="Times New Roman"/>
                <w:color w:val="000000"/>
                <w:sz w:val="20"/>
                <w:szCs w:val="20"/>
                <w:lang w:eastAsia="pl-PL"/>
              </w:rPr>
              <w:t xml:space="preserve"> </w:t>
            </w:r>
            <w:proofErr w:type="spellStart"/>
            <w:r w:rsidRPr="006F4EA3">
              <w:rPr>
                <w:rFonts w:eastAsia="Times New Roman" w:cs="Times New Roman"/>
                <w:color w:val="000000"/>
                <w:sz w:val="20"/>
                <w:szCs w:val="20"/>
                <w:lang w:eastAsia="pl-PL"/>
              </w:rPr>
              <w:t>panels</w:t>
            </w:r>
            <w:proofErr w:type="spellEnd"/>
            <w:r w:rsidRPr="006F4EA3">
              <w:rPr>
                <w:rFonts w:eastAsia="Times New Roman" w:cs="Times New Roman"/>
                <w:color w:val="000000"/>
                <w:sz w:val="20"/>
                <w:szCs w:val="20"/>
                <w:lang w:eastAsia="pl-PL"/>
              </w:rPr>
              <w:t>)</w:t>
            </w:r>
          </w:p>
        </w:tc>
        <w:tc>
          <w:tcPr>
            <w:tcW w:w="964" w:type="dxa"/>
            <w:tcBorders>
              <w:top w:val="nil"/>
              <w:left w:val="nil"/>
              <w:bottom w:val="single" w:sz="4" w:space="0" w:color="auto"/>
              <w:right w:val="single" w:sz="4" w:space="0" w:color="auto"/>
            </w:tcBorders>
            <w:noWrap/>
            <w:vAlign w:val="center"/>
            <w:hideMark/>
          </w:tcPr>
          <w:p w14:paraId="633ED75A" w14:textId="77777777" w:rsidR="006F4EA3" w:rsidRPr="006F4EA3" w:rsidRDefault="006F4EA3" w:rsidP="006C0BEA">
            <w:pPr>
              <w:ind w:firstLine="0"/>
              <w:jc w:val="center"/>
              <w:rPr>
                <w:rFonts w:eastAsia="Times New Roman" w:cs="Times New Roman"/>
                <w:color w:val="000000"/>
                <w:sz w:val="20"/>
                <w:szCs w:val="20"/>
                <w:lang w:eastAsia="pl-PL"/>
              </w:rPr>
            </w:pPr>
            <w:r w:rsidRPr="006F4EA3">
              <w:rPr>
                <w:rFonts w:eastAsia="Times New Roman" w:cs="Times New Roman"/>
                <w:color w:val="000000"/>
                <w:sz w:val="20"/>
                <w:szCs w:val="20"/>
                <w:lang w:eastAsia="pl-PL"/>
              </w:rPr>
              <w:t>17</w:t>
            </w:r>
          </w:p>
        </w:tc>
        <w:tc>
          <w:tcPr>
            <w:tcW w:w="1191" w:type="dxa"/>
            <w:tcBorders>
              <w:top w:val="nil"/>
              <w:left w:val="nil"/>
              <w:bottom w:val="single" w:sz="4" w:space="0" w:color="auto"/>
              <w:right w:val="single" w:sz="4" w:space="0" w:color="auto"/>
            </w:tcBorders>
            <w:noWrap/>
            <w:vAlign w:val="center"/>
            <w:hideMark/>
          </w:tcPr>
          <w:p w14:paraId="7CD872CE" w14:textId="77777777" w:rsidR="006F4EA3" w:rsidRPr="006F4EA3" w:rsidRDefault="006F4EA3" w:rsidP="006C0BEA">
            <w:pPr>
              <w:ind w:firstLine="0"/>
              <w:jc w:val="center"/>
              <w:rPr>
                <w:rFonts w:eastAsia="Times New Roman" w:cs="Times New Roman"/>
                <w:color w:val="000000"/>
                <w:sz w:val="20"/>
                <w:szCs w:val="20"/>
                <w:lang w:eastAsia="pl-PL"/>
              </w:rPr>
            </w:pPr>
            <w:r w:rsidRPr="006F4EA3">
              <w:rPr>
                <w:rFonts w:eastAsia="Times New Roman" w:cs="Times New Roman"/>
                <w:color w:val="000000"/>
                <w:sz w:val="20"/>
                <w:szCs w:val="20"/>
                <w:lang w:eastAsia="pl-PL"/>
              </w:rPr>
              <w:t>13</w:t>
            </w:r>
          </w:p>
        </w:tc>
        <w:tc>
          <w:tcPr>
            <w:tcW w:w="2409" w:type="dxa"/>
            <w:tcBorders>
              <w:top w:val="nil"/>
              <w:left w:val="nil"/>
              <w:bottom w:val="single" w:sz="4" w:space="0" w:color="auto"/>
              <w:right w:val="single" w:sz="4" w:space="0" w:color="auto"/>
            </w:tcBorders>
            <w:noWrap/>
            <w:vAlign w:val="center"/>
            <w:hideMark/>
          </w:tcPr>
          <w:p w14:paraId="16B9443F" w14:textId="77777777" w:rsidR="006F4EA3" w:rsidRPr="006F4EA3" w:rsidRDefault="006F4EA3" w:rsidP="006C0BEA">
            <w:pPr>
              <w:ind w:firstLine="0"/>
              <w:jc w:val="center"/>
              <w:rPr>
                <w:rFonts w:eastAsia="Times New Roman" w:cs="Times New Roman"/>
                <w:color w:val="000000"/>
                <w:sz w:val="20"/>
                <w:szCs w:val="20"/>
                <w:lang w:eastAsia="pl-PL"/>
              </w:rPr>
            </w:pPr>
            <w:r w:rsidRPr="006F4EA3">
              <w:rPr>
                <w:rFonts w:eastAsia="Times New Roman" w:cs="Times New Roman"/>
                <w:color w:val="000000"/>
                <w:sz w:val="20"/>
                <w:szCs w:val="20"/>
                <w:lang w:eastAsia="pl-PL"/>
              </w:rPr>
              <w:t>18</w:t>
            </w:r>
          </w:p>
        </w:tc>
        <w:tc>
          <w:tcPr>
            <w:tcW w:w="1191" w:type="dxa"/>
            <w:tcBorders>
              <w:top w:val="nil"/>
              <w:left w:val="nil"/>
              <w:bottom w:val="single" w:sz="4" w:space="0" w:color="auto"/>
              <w:right w:val="single" w:sz="4" w:space="0" w:color="auto"/>
            </w:tcBorders>
            <w:noWrap/>
            <w:vAlign w:val="center"/>
            <w:hideMark/>
          </w:tcPr>
          <w:p w14:paraId="5C7BDEA8" w14:textId="77777777" w:rsidR="006F4EA3" w:rsidRPr="006F4EA3" w:rsidRDefault="006F4EA3" w:rsidP="006C0BEA">
            <w:pPr>
              <w:ind w:firstLine="0"/>
              <w:jc w:val="center"/>
              <w:rPr>
                <w:rFonts w:eastAsia="Times New Roman" w:cs="Times New Roman"/>
                <w:color w:val="000000"/>
                <w:sz w:val="20"/>
                <w:szCs w:val="20"/>
                <w:lang w:eastAsia="pl-PL"/>
              </w:rPr>
            </w:pPr>
            <w:r w:rsidRPr="006F4EA3">
              <w:rPr>
                <w:rFonts w:eastAsia="Times New Roman" w:cs="Times New Roman"/>
                <w:color w:val="000000"/>
                <w:sz w:val="20"/>
                <w:szCs w:val="20"/>
                <w:lang w:eastAsia="pl-PL"/>
              </w:rPr>
              <w:t>24</w:t>
            </w:r>
          </w:p>
        </w:tc>
        <w:tc>
          <w:tcPr>
            <w:tcW w:w="964" w:type="dxa"/>
            <w:tcBorders>
              <w:top w:val="nil"/>
              <w:left w:val="nil"/>
              <w:bottom w:val="single" w:sz="4" w:space="0" w:color="auto"/>
              <w:right w:val="single" w:sz="4" w:space="0" w:color="auto"/>
            </w:tcBorders>
            <w:noWrap/>
            <w:vAlign w:val="center"/>
            <w:hideMark/>
          </w:tcPr>
          <w:p w14:paraId="1719AE99" w14:textId="77777777" w:rsidR="006F4EA3" w:rsidRPr="006F4EA3" w:rsidRDefault="006F4EA3" w:rsidP="006C0BEA">
            <w:pPr>
              <w:ind w:firstLine="0"/>
              <w:jc w:val="center"/>
              <w:rPr>
                <w:rFonts w:eastAsia="Times New Roman" w:cs="Times New Roman"/>
                <w:color w:val="FF0000"/>
                <w:sz w:val="20"/>
                <w:szCs w:val="20"/>
                <w:lang w:eastAsia="pl-PL"/>
              </w:rPr>
            </w:pPr>
            <w:r w:rsidRPr="006F4EA3">
              <w:rPr>
                <w:rFonts w:eastAsia="Times New Roman" w:cs="Times New Roman"/>
                <w:color w:val="FF0000"/>
                <w:sz w:val="20"/>
                <w:szCs w:val="20"/>
                <w:lang w:eastAsia="pl-PL"/>
              </w:rPr>
              <w:t>26</w:t>
            </w:r>
          </w:p>
        </w:tc>
      </w:tr>
      <w:tr w:rsidR="006F4EA3" w:rsidRPr="009521AB" w14:paraId="69EC4A05" w14:textId="77777777" w:rsidTr="0090015F">
        <w:trPr>
          <w:trHeight w:val="283"/>
        </w:trPr>
        <w:tc>
          <w:tcPr>
            <w:tcW w:w="2977" w:type="dxa"/>
            <w:tcBorders>
              <w:top w:val="nil"/>
              <w:left w:val="single" w:sz="4" w:space="0" w:color="auto"/>
              <w:bottom w:val="single" w:sz="4" w:space="0" w:color="auto"/>
              <w:right w:val="single" w:sz="4" w:space="0" w:color="auto"/>
            </w:tcBorders>
            <w:noWrap/>
            <w:vAlign w:val="center"/>
            <w:hideMark/>
          </w:tcPr>
          <w:p w14:paraId="2B526E73" w14:textId="77777777" w:rsidR="006F4EA3" w:rsidRPr="006F4EA3" w:rsidRDefault="006F4EA3" w:rsidP="006C0BEA">
            <w:pPr>
              <w:ind w:firstLine="0"/>
              <w:jc w:val="left"/>
              <w:rPr>
                <w:rFonts w:eastAsia="Times New Roman" w:cs="Times New Roman"/>
                <w:color w:val="000000"/>
                <w:sz w:val="20"/>
                <w:szCs w:val="20"/>
                <w:lang w:eastAsia="pl-PL"/>
              </w:rPr>
            </w:pPr>
            <w:proofErr w:type="spellStart"/>
            <w:r w:rsidRPr="006F4EA3">
              <w:rPr>
                <w:rFonts w:eastAsia="Times New Roman" w:cs="Times New Roman"/>
                <w:color w:val="000000"/>
                <w:sz w:val="20"/>
                <w:szCs w:val="20"/>
                <w:lang w:eastAsia="pl-PL"/>
              </w:rPr>
              <w:t>Pellet</w:t>
            </w:r>
            <w:proofErr w:type="spellEnd"/>
            <w:r w:rsidRPr="006F4EA3">
              <w:rPr>
                <w:rFonts w:eastAsia="Times New Roman" w:cs="Times New Roman"/>
                <w:color w:val="000000"/>
                <w:sz w:val="20"/>
                <w:szCs w:val="20"/>
                <w:lang w:eastAsia="pl-PL"/>
              </w:rPr>
              <w:t xml:space="preserve"> </w:t>
            </w:r>
            <w:proofErr w:type="spellStart"/>
            <w:r w:rsidRPr="006F4EA3">
              <w:rPr>
                <w:rFonts w:eastAsia="Times New Roman" w:cs="Times New Roman"/>
                <w:color w:val="000000"/>
                <w:sz w:val="20"/>
                <w:szCs w:val="20"/>
                <w:lang w:eastAsia="pl-PL"/>
              </w:rPr>
              <w:t>stove</w:t>
            </w:r>
            <w:proofErr w:type="spellEnd"/>
          </w:p>
        </w:tc>
        <w:tc>
          <w:tcPr>
            <w:tcW w:w="964" w:type="dxa"/>
            <w:tcBorders>
              <w:top w:val="nil"/>
              <w:left w:val="nil"/>
              <w:bottom w:val="single" w:sz="4" w:space="0" w:color="auto"/>
              <w:right w:val="single" w:sz="4" w:space="0" w:color="auto"/>
            </w:tcBorders>
            <w:noWrap/>
            <w:vAlign w:val="center"/>
            <w:hideMark/>
          </w:tcPr>
          <w:p w14:paraId="1464089F" w14:textId="77777777" w:rsidR="006F4EA3" w:rsidRPr="006F4EA3" w:rsidRDefault="006F4EA3" w:rsidP="006C0BEA">
            <w:pPr>
              <w:ind w:firstLine="0"/>
              <w:jc w:val="center"/>
              <w:rPr>
                <w:rFonts w:eastAsia="Times New Roman" w:cs="Times New Roman"/>
                <w:color w:val="000000"/>
                <w:sz w:val="20"/>
                <w:szCs w:val="20"/>
                <w:lang w:eastAsia="pl-PL"/>
              </w:rPr>
            </w:pPr>
            <w:r w:rsidRPr="006F4EA3">
              <w:rPr>
                <w:rFonts w:eastAsia="Times New Roman" w:cs="Times New Roman"/>
                <w:color w:val="000000"/>
                <w:sz w:val="20"/>
                <w:szCs w:val="20"/>
                <w:lang w:eastAsia="pl-PL"/>
              </w:rPr>
              <w:t>21</w:t>
            </w:r>
          </w:p>
        </w:tc>
        <w:tc>
          <w:tcPr>
            <w:tcW w:w="1191" w:type="dxa"/>
            <w:tcBorders>
              <w:top w:val="nil"/>
              <w:left w:val="nil"/>
              <w:bottom w:val="single" w:sz="4" w:space="0" w:color="auto"/>
              <w:right w:val="single" w:sz="4" w:space="0" w:color="auto"/>
            </w:tcBorders>
            <w:noWrap/>
            <w:vAlign w:val="center"/>
            <w:hideMark/>
          </w:tcPr>
          <w:p w14:paraId="5CAB833E" w14:textId="77777777" w:rsidR="006F4EA3" w:rsidRPr="006F4EA3" w:rsidRDefault="006F4EA3" w:rsidP="006C0BEA">
            <w:pPr>
              <w:ind w:firstLine="0"/>
              <w:jc w:val="center"/>
              <w:rPr>
                <w:rFonts w:eastAsia="Times New Roman" w:cs="Times New Roman"/>
                <w:color w:val="000000"/>
                <w:sz w:val="20"/>
                <w:szCs w:val="20"/>
                <w:lang w:eastAsia="pl-PL"/>
              </w:rPr>
            </w:pPr>
            <w:r w:rsidRPr="006F4EA3">
              <w:rPr>
                <w:rFonts w:eastAsia="Times New Roman" w:cs="Times New Roman"/>
                <w:color w:val="000000"/>
                <w:sz w:val="20"/>
                <w:szCs w:val="20"/>
                <w:lang w:eastAsia="pl-PL"/>
              </w:rPr>
              <w:t>23</w:t>
            </w:r>
          </w:p>
        </w:tc>
        <w:tc>
          <w:tcPr>
            <w:tcW w:w="2409" w:type="dxa"/>
            <w:tcBorders>
              <w:top w:val="nil"/>
              <w:left w:val="nil"/>
              <w:bottom w:val="single" w:sz="4" w:space="0" w:color="auto"/>
              <w:right w:val="single" w:sz="4" w:space="0" w:color="auto"/>
            </w:tcBorders>
            <w:noWrap/>
            <w:vAlign w:val="center"/>
            <w:hideMark/>
          </w:tcPr>
          <w:p w14:paraId="3AD6C64D" w14:textId="77777777" w:rsidR="006F4EA3" w:rsidRPr="006F4EA3" w:rsidRDefault="006F4EA3" w:rsidP="006C0BEA">
            <w:pPr>
              <w:ind w:firstLine="0"/>
              <w:jc w:val="center"/>
              <w:rPr>
                <w:rFonts w:eastAsia="Times New Roman" w:cs="Times New Roman"/>
                <w:color w:val="FF0000"/>
                <w:sz w:val="20"/>
                <w:szCs w:val="20"/>
                <w:lang w:eastAsia="pl-PL"/>
              </w:rPr>
            </w:pPr>
            <w:r w:rsidRPr="006F4EA3">
              <w:rPr>
                <w:rFonts w:eastAsia="Times New Roman" w:cs="Times New Roman"/>
                <w:color w:val="FF0000"/>
                <w:sz w:val="20"/>
                <w:szCs w:val="20"/>
                <w:lang w:eastAsia="pl-PL"/>
              </w:rPr>
              <w:t>24</w:t>
            </w:r>
          </w:p>
        </w:tc>
        <w:tc>
          <w:tcPr>
            <w:tcW w:w="1191" w:type="dxa"/>
            <w:tcBorders>
              <w:top w:val="nil"/>
              <w:left w:val="nil"/>
              <w:bottom w:val="single" w:sz="4" w:space="0" w:color="auto"/>
              <w:right w:val="single" w:sz="4" w:space="0" w:color="auto"/>
            </w:tcBorders>
            <w:noWrap/>
            <w:vAlign w:val="center"/>
            <w:hideMark/>
          </w:tcPr>
          <w:p w14:paraId="5C825D93" w14:textId="77777777" w:rsidR="006F4EA3" w:rsidRPr="006F4EA3" w:rsidRDefault="006F4EA3" w:rsidP="006C0BEA">
            <w:pPr>
              <w:ind w:firstLine="0"/>
              <w:jc w:val="center"/>
              <w:rPr>
                <w:rFonts w:eastAsia="Times New Roman" w:cs="Times New Roman"/>
                <w:color w:val="000000"/>
                <w:sz w:val="20"/>
                <w:szCs w:val="20"/>
                <w:lang w:eastAsia="pl-PL"/>
              </w:rPr>
            </w:pPr>
            <w:r w:rsidRPr="006F4EA3">
              <w:rPr>
                <w:rFonts w:eastAsia="Times New Roman" w:cs="Times New Roman"/>
                <w:color w:val="000000"/>
                <w:sz w:val="20"/>
                <w:szCs w:val="20"/>
                <w:lang w:eastAsia="pl-PL"/>
              </w:rPr>
              <w:t>16</w:t>
            </w:r>
          </w:p>
        </w:tc>
        <w:tc>
          <w:tcPr>
            <w:tcW w:w="964" w:type="dxa"/>
            <w:tcBorders>
              <w:top w:val="nil"/>
              <w:left w:val="nil"/>
              <w:bottom w:val="single" w:sz="4" w:space="0" w:color="auto"/>
              <w:right w:val="single" w:sz="4" w:space="0" w:color="auto"/>
            </w:tcBorders>
            <w:noWrap/>
            <w:vAlign w:val="center"/>
            <w:hideMark/>
          </w:tcPr>
          <w:p w14:paraId="104CB5EF" w14:textId="77777777" w:rsidR="006F4EA3" w:rsidRPr="006F4EA3" w:rsidRDefault="006F4EA3" w:rsidP="006C0BEA">
            <w:pPr>
              <w:ind w:firstLine="0"/>
              <w:jc w:val="center"/>
              <w:rPr>
                <w:rFonts w:eastAsia="Times New Roman" w:cs="Times New Roman"/>
                <w:color w:val="000000"/>
                <w:sz w:val="20"/>
                <w:szCs w:val="20"/>
                <w:lang w:eastAsia="pl-PL"/>
              </w:rPr>
            </w:pPr>
            <w:r w:rsidRPr="006F4EA3">
              <w:rPr>
                <w:rFonts w:eastAsia="Times New Roman" w:cs="Times New Roman"/>
                <w:color w:val="000000"/>
                <w:sz w:val="20"/>
                <w:szCs w:val="20"/>
                <w:lang w:eastAsia="pl-PL"/>
              </w:rPr>
              <w:t>14</w:t>
            </w:r>
          </w:p>
        </w:tc>
      </w:tr>
      <w:tr w:rsidR="006F4EA3" w:rsidRPr="009521AB" w14:paraId="68102DE0" w14:textId="77777777" w:rsidTr="0090015F">
        <w:trPr>
          <w:trHeight w:val="283"/>
        </w:trPr>
        <w:tc>
          <w:tcPr>
            <w:tcW w:w="2977" w:type="dxa"/>
            <w:tcBorders>
              <w:top w:val="nil"/>
              <w:left w:val="single" w:sz="4" w:space="0" w:color="auto"/>
              <w:bottom w:val="single" w:sz="4" w:space="0" w:color="auto"/>
              <w:right w:val="single" w:sz="4" w:space="0" w:color="auto"/>
            </w:tcBorders>
            <w:vAlign w:val="center"/>
            <w:hideMark/>
          </w:tcPr>
          <w:p w14:paraId="28E08480" w14:textId="77777777" w:rsidR="006F4EA3" w:rsidRPr="006F4EA3" w:rsidRDefault="006F4EA3" w:rsidP="006C0BEA">
            <w:pPr>
              <w:ind w:firstLine="0"/>
              <w:jc w:val="left"/>
              <w:rPr>
                <w:rFonts w:eastAsia="Times New Roman" w:cs="Times New Roman"/>
                <w:color w:val="000000"/>
                <w:sz w:val="20"/>
                <w:szCs w:val="20"/>
                <w:lang w:eastAsia="pl-PL"/>
              </w:rPr>
            </w:pPr>
            <w:proofErr w:type="spellStart"/>
            <w:r w:rsidRPr="006F4EA3">
              <w:rPr>
                <w:rFonts w:eastAsia="Times New Roman" w:cs="Times New Roman"/>
                <w:color w:val="000000"/>
                <w:sz w:val="20"/>
                <w:szCs w:val="20"/>
                <w:lang w:eastAsia="pl-PL"/>
              </w:rPr>
              <w:t>Ground</w:t>
            </w:r>
            <w:proofErr w:type="spellEnd"/>
            <w:r w:rsidRPr="006F4EA3">
              <w:rPr>
                <w:rFonts w:eastAsia="Times New Roman" w:cs="Times New Roman"/>
                <w:color w:val="000000"/>
                <w:sz w:val="20"/>
                <w:szCs w:val="20"/>
                <w:lang w:eastAsia="pl-PL"/>
              </w:rPr>
              <w:t xml:space="preserve"> </w:t>
            </w:r>
            <w:proofErr w:type="spellStart"/>
            <w:r w:rsidRPr="006F4EA3">
              <w:rPr>
                <w:rFonts w:eastAsia="Times New Roman" w:cs="Times New Roman"/>
                <w:color w:val="000000"/>
                <w:sz w:val="20"/>
                <w:szCs w:val="20"/>
                <w:lang w:eastAsia="pl-PL"/>
              </w:rPr>
              <w:t>source</w:t>
            </w:r>
            <w:proofErr w:type="spellEnd"/>
            <w:r w:rsidRPr="006F4EA3">
              <w:rPr>
                <w:rFonts w:eastAsia="Times New Roman" w:cs="Times New Roman"/>
                <w:color w:val="000000"/>
                <w:sz w:val="20"/>
                <w:szCs w:val="20"/>
                <w:lang w:eastAsia="pl-PL"/>
              </w:rPr>
              <w:t xml:space="preserve"> </w:t>
            </w:r>
            <w:proofErr w:type="spellStart"/>
            <w:r w:rsidRPr="006F4EA3">
              <w:rPr>
                <w:rFonts w:eastAsia="Times New Roman" w:cs="Times New Roman"/>
                <w:color w:val="000000"/>
                <w:sz w:val="20"/>
                <w:szCs w:val="20"/>
                <w:lang w:eastAsia="pl-PL"/>
              </w:rPr>
              <w:t>heat</w:t>
            </w:r>
            <w:proofErr w:type="spellEnd"/>
            <w:r w:rsidRPr="006F4EA3">
              <w:rPr>
                <w:rFonts w:eastAsia="Times New Roman" w:cs="Times New Roman"/>
                <w:color w:val="000000"/>
                <w:sz w:val="20"/>
                <w:szCs w:val="20"/>
                <w:lang w:eastAsia="pl-PL"/>
              </w:rPr>
              <w:t xml:space="preserve"> pump</w:t>
            </w:r>
          </w:p>
        </w:tc>
        <w:tc>
          <w:tcPr>
            <w:tcW w:w="964" w:type="dxa"/>
            <w:tcBorders>
              <w:top w:val="nil"/>
              <w:left w:val="nil"/>
              <w:bottom w:val="single" w:sz="4" w:space="0" w:color="auto"/>
              <w:right w:val="single" w:sz="4" w:space="0" w:color="auto"/>
            </w:tcBorders>
            <w:noWrap/>
            <w:vAlign w:val="center"/>
            <w:hideMark/>
          </w:tcPr>
          <w:p w14:paraId="4847DE71" w14:textId="77777777" w:rsidR="006F4EA3" w:rsidRPr="006F4EA3" w:rsidRDefault="006F4EA3" w:rsidP="006C0BEA">
            <w:pPr>
              <w:ind w:firstLine="0"/>
              <w:jc w:val="center"/>
              <w:rPr>
                <w:rFonts w:eastAsia="Times New Roman" w:cs="Times New Roman"/>
                <w:color w:val="000000"/>
                <w:sz w:val="20"/>
                <w:szCs w:val="20"/>
                <w:lang w:eastAsia="pl-PL"/>
              </w:rPr>
            </w:pPr>
            <w:r w:rsidRPr="006F4EA3">
              <w:rPr>
                <w:rFonts w:eastAsia="Times New Roman" w:cs="Times New Roman"/>
                <w:color w:val="000000"/>
                <w:sz w:val="20"/>
                <w:szCs w:val="20"/>
                <w:lang w:eastAsia="pl-PL"/>
              </w:rPr>
              <w:t>14</w:t>
            </w:r>
          </w:p>
        </w:tc>
        <w:tc>
          <w:tcPr>
            <w:tcW w:w="1191" w:type="dxa"/>
            <w:tcBorders>
              <w:top w:val="nil"/>
              <w:left w:val="nil"/>
              <w:bottom w:val="single" w:sz="4" w:space="0" w:color="auto"/>
              <w:right w:val="single" w:sz="4" w:space="0" w:color="auto"/>
            </w:tcBorders>
            <w:noWrap/>
            <w:vAlign w:val="center"/>
            <w:hideMark/>
          </w:tcPr>
          <w:p w14:paraId="082D7AE2" w14:textId="77777777" w:rsidR="006F4EA3" w:rsidRPr="006F4EA3" w:rsidRDefault="006F4EA3" w:rsidP="006C0BEA">
            <w:pPr>
              <w:ind w:firstLine="0"/>
              <w:jc w:val="center"/>
              <w:rPr>
                <w:rFonts w:eastAsia="Times New Roman" w:cs="Times New Roman"/>
                <w:color w:val="000000"/>
                <w:sz w:val="20"/>
                <w:szCs w:val="20"/>
                <w:lang w:eastAsia="pl-PL"/>
              </w:rPr>
            </w:pPr>
            <w:r w:rsidRPr="006F4EA3">
              <w:rPr>
                <w:rFonts w:eastAsia="Times New Roman" w:cs="Times New Roman"/>
                <w:color w:val="000000"/>
                <w:sz w:val="20"/>
                <w:szCs w:val="20"/>
                <w:lang w:eastAsia="pl-PL"/>
              </w:rPr>
              <w:t>13</w:t>
            </w:r>
          </w:p>
        </w:tc>
        <w:tc>
          <w:tcPr>
            <w:tcW w:w="2409" w:type="dxa"/>
            <w:tcBorders>
              <w:top w:val="nil"/>
              <w:left w:val="nil"/>
              <w:bottom w:val="single" w:sz="4" w:space="0" w:color="auto"/>
              <w:right w:val="single" w:sz="4" w:space="0" w:color="auto"/>
            </w:tcBorders>
            <w:noWrap/>
            <w:vAlign w:val="center"/>
            <w:hideMark/>
          </w:tcPr>
          <w:p w14:paraId="53CFDDCF" w14:textId="77777777" w:rsidR="006F4EA3" w:rsidRPr="006F4EA3" w:rsidRDefault="006F4EA3" w:rsidP="006C0BEA">
            <w:pPr>
              <w:ind w:firstLine="0"/>
              <w:jc w:val="center"/>
              <w:rPr>
                <w:rFonts w:eastAsia="Times New Roman" w:cs="Times New Roman"/>
                <w:color w:val="FF0000"/>
                <w:sz w:val="20"/>
                <w:szCs w:val="20"/>
                <w:lang w:eastAsia="pl-PL"/>
              </w:rPr>
            </w:pPr>
            <w:r w:rsidRPr="006F4EA3">
              <w:rPr>
                <w:rFonts w:eastAsia="Times New Roman" w:cs="Times New Roman"/>
                <w:color w:val="FF0000"/>
                <w:sz w:val="20"/>
                <w:szCs w:val="20"/>
                <w:lang w:eastAsia="pl-PL"/>
              </w:rPr>
              <w:t>25</w:t>
            </w:r>
          </w:p>
        </w:tc>
        <w:tc>
          <w:tcPr>
            <w:tcW w:w="1191" w:type="dxa"/>
            <w:tcBorders>
              <w:top w:val="nil"/>
              <w:left w:val="nil"/>
              <w:bottom w:val="single" w:sz="4" w:space="0" w:color="auto"/>
              <w:right w:val="single" w:sz="4" w:space="0" w:color="auto"/>
            </w:tcBorders>
            <w:noWrap/>
            <w:vAlign w:val="center"/>
            <w:hideMark/>
          </w:tcPr>
          <w:p w14:paraId="687D2065" w14:textId="77777777" w:rsidR="006F4EA3" w:rsidRPr="006F4EA3" w:rsidRDefault="006F4EA3" w:rsidP="006C0BEA">
            <w:pPr>
              <w:ind w:firstLine="0"/>
              <w:jc w:val="center"/>
              <w:rPr>
                <w:rFonts w:eastAsia="Times New Roman" w:cs="Times New Roman"/>
                <w:color w:val="000000"/>
                <w:sz w:val="20"/>
                <w:szCs w:val="20"/>
                <w:lang w:eastAsia="pl-PL"/>
              </w:rPr>
            </w:pPr>
            <w:r w:rsidRPr="006F4EA3">
              <w:rPr>
                <w:rFonts w:eastAsia="Times New Roman" w:cs="Times New Roman"/>
                <w:color w:val="000000"/>
                <w:sz w:val="20"/>
                <w:szCs w:val="20"/>
                <w:lang w:eastAsia="pl-PL"/>
              </w:rPr>
              <w:t>21</w:t>
            </w:r>
          </w:p>
        </w:tc>
        <w:tc>
          <w:tcPr>
            <w:tcW w:w="964" w:type="dxa"/>
            <w:tcBorders>
              <w:top w:val="nil"/>
              <w:left w:val="nil"/>
              <w:bottom w:val="single" w:sz="4" w:space="0" w:color="auto"/>
              <w:right w:val="single" w:sz="4" w:space="0" w:color="auto"/>
            </w:tcBorders>
            <w:noWrap/>
            <w:vAlign w:val="center"/>
            <w:hideMark/>
          </w:tcPr>
          <w:p w14:paraId="2350A67F" w14:textId="77777777" w:rsidR="006F4EA3" w:rsidRPr="006F4EA3" w:rsidRDefault="006F4EA3" w:rsidP="006C0BEA">
            <w:pPr>
              <w:ind w:firstLine="0"/>
              <w:jc w:val="center"/>
              <w:rPr>
                <w:rFonts w:eastAsia="Times New Roman" w:cs="Times New Roman"/>
                <w:color w:val="FF0000"/>
                <w:sz w:val="20"/>
                <w:szCs w:val="20"/>
                <w:lang w:eastAsia="pl-PL"/>
              </w:rPr>
            </w:pPr>
            <w:r w:rsidRPr="006F4EA3">
              <w:rPr>
                <w:rFonts w:eastAsia="Times New Roman" w:cs="Times New Roman"/>
                <w:color w:val="FF0000"/>
                <w:sz w:val="20"/>
                <w:szCs w:val="20"/>
                <w:lang w:eastAsia="pl-PL"/>
              </w:rPr>
              <w:t>25</w:t>
            </w:r>
          </w:p>
        </w:tc>
      </w:tr>
      <w:tr w:rsidR="006F4EA3" w:rsidRPr="009521AB" w14:paraId="335B5911" w14:textId="77777777" w:rsidTr="0090015F">
        <w:trPr>
          <w:trHeight w:val="283"/>
        </w:trPr>
        <w:tc>
          <w:tcPr>
            <w:tcW w:w="2977" w:type="dxa"/>
            <w:tcBorders>
              <w:top w:val="nil"/>
              <w:left w:val="single" w:sz="4" w:space="0" w:color="auto"/>
              <w:bottom w:val="single" w:sz="4" w:space="0" w:color="auto"/>
              <w:right w:val="single" w:sz="4" w:space="0" w:color="auto"/>
            </w:tcBorders>
            <w:vAlign w:val="center"/>
            <w:hideMark/>
          </w:tcPr>
          <w:p w14:paraId="4FBCDF1D" w14:textId="77777777" w:rsidR="006F4EA3" w:rsidRPr="006F4EA3" w:rsidRDefault="006F4EA3" w:rsidP="006C0BEA">
            <w:pPr>
              <w:ind w:firstLine="0"/>
              <w:jc w:val="left"/>
              <w:rPr>
                <w:rFonts w:eastAsia="Times New Roman" w:cs="Times New Roman"/>
                <w:color w:val="000000"/>
                <w:sz w:val="20"/>
                <w:szCs w:val="20"/>
                <w:lang w:eastAsia="pl-PL"/>
              </w:rPr>
            </w:pPr>
            <w:proofErr w:type="spellStart"/>
            <w:r w:rsidRPr="006F4EA3">
              <w:rPr>
                <w:rFonts w:eastAsia="Times New Roman" w:cs="Times New Roman"/>
                <w:color w:val="000000"/>
                <w:sz w:val="20"/>
                <w:szCs w:val="20"/>
                <w:lang w:eastAsia="pl-PL"/>
              </w:rPr>
              <w:t>Air</w:t>
            </w:r>
            <w:proofErr w:type="spellEnd"/>
            <w:r w:rsidRPr="006F4EA3">
              <w:rPr>
                <w:rFonts w:eastAsia="Times New Roman" w:cs="Times New Roman"/>
                <w:color w:val="000000"/>
                <w:sz w:val="20"/>
                <w:szCs w:val="20"/>
                <w:lang w:eastAsia="pl-PL"/>
              </w:rPr>
              <w:t xml:space="preserve"> </w:t>
            </w:r>
            <w:proofErr w:type="spellStart"/>
            <w:r w:rsidRPr="006F4EA3">
              <w:rPr>
                <w:rFonts w:eastAsia="Times New Roman" w:cs="Times New Roman"/>
                <w:color w:val="000000"/>
                <w:sz w:val="20"/>
                <w:szCs w:val="20"/>
                <w:lang w:eastAsia="pl-PL"/>
              </w:rPr>
              <w:t>source</w:t>
            </w:r>
            <w:proofErr w:type="spellEnd"/>
            <w:r w:rsidRPr="006F4EA3">
              <w:rPr>
                <w:rFonts w:eastAsia="Times New Roman" w:cs="Times New Roman"/>
                <w:color w:val="000000"/>
                <w:sz w:val="20"/>
                <w:szCs w:val="20"/>
                <w:lang w:eastAsia="pl-PL"/>
              </w:rPr>
              <w:t xml:space="preserve"> </w:t>
            </w:r>
            <w:proofErr w:type="spellStart"/>
            <w:r w:rsidRPr="006F4EA3">
              <w:rPr>
                <w:rFonts w:eastAsia="Times New Roman" w:cs="Times New Roman"/>
                <w:color w:val="000000"/>
                <w:sz w:val="20"/>
                <w:szCs w:val="20"/>
                <w:lang w:eastAsia="pl-PL"/>
              </w:rPr>
              <w:t>heat</w:t>
            </w:r>
            <w:proofErr w:type="spellEnd"/>
            <w:r w:rsidRPr="006F4EA3">
              <w:rPr>
                <w:rFonts w:eastAsia="Times New Roman" w:cs="Times New Roman"/>
                <w:color w:val="000000"/>
                <w:sz w:val="20"/>
                <w:szCs w:val="20"/>
                <w:lang w:eastAsia="pl-PL"/>
              </w:rPr>
              <w:t xml:space="preserve"> pump</w:t>
            </w:r>
          </w:p>
        </w:tc>
        <w:tc>
          <w:tcPr>
            <w:tcW w:w="964" w:type="dxa"/>
            <w:tcBorders>
              <w:top w:val="nil"/>
              <w:left w:val="nil"/>
              <w:bottom w:val="single" w:sz="4" w:space="0" w:color="auto"/>
              <w:right w:val="single" w:sz="4" w:space="0" w:color="auto"/>
            </w:tcBorders>
            <w:noWrap/>
            <w:vAlign w:val="center"/>
            <w:hideMark/>
          </w:tcPr>
          <w:p w14:paraId="1BC8353A" w14:textId="77777777" w:rsidR="006F4EA3" w:rsidRPr="006F4EA3" w:rsidRDefault="006F4EA3" w:rsidP="006C0BEA">
            <w:pPr>
              <w:ind w:firstLine="0"/>
              <w:jc w:val="center"/>
              <w:rPr>
                <w:rFonts w:eastAsia="Times New Roman" w:cs="Times New Roman"/>
                <w:color w:val="000000"/>
                <w:sz w:val="20"/>
                <w:szCs w:val="20"/>
                <w:lang w:eastAsia="pl-PL"/>
              </w:rPr>
            </w:pPr>
            <w:r w:rsidRPr="006F4EA3">
              <w:rPr>
                <w:rFonts w:eastAsia="Times New Roman" w:cs="Times New Roman"/>
                <w:color w:val="000000"/>
                <w:sz w:val="20"/>
                <w:szCs w:val="20"/>
                <w:lang w:eastAsia="pl-PL"/>
              </w:rPr>
              <w:t>21</w:t>
            </w:r>
          </w:p>
        </w:tc>
        <w:tc>
          <w:tcPr>
            <w:tcW w:w="1191" w:type="dxa"/>
            <w:tcBorders>
              <w:top w:val="nil"/>
              <w:left w:val="nil"/>
              <w:bottom w:val="single" w:sz="4" w:space="0" w:color="auto"/>
              <w:right w:val="single" w:sz="4" w:space="0" w:color="auto"/>
            </w:tcBorders>
            <w:noWrap/>
            <w:vAlign w:val="center"/>
            <w:hideMark/>
          </w:tcPr>
          <w:p w14:paraId="6AAEB5CE" w14:textId="77777777" w:rsidR="006F4EA3" w:rsidRPr="006F4EA3" w:rsidRDefault="006F4EA3" w:rsidP="006C0BEA">
            <w:pPr>
              <w:ind w:firstLine="0"/>
              <w:jc w:val="center"/>
              <w:rPr>
                <w:rFonts w:eastAsia="Times New Roman" w:cs="Times New Roman"/>
                <w:color w:val="000000"/>
                <w:sz w:val="20"/>
                <w:szCs w:val="20"/>
                <w:lang w:eastAsia="pl-PL"/>
              </w:rPr>
            </w:pPr>
            <w:r w:rsidRPr="006F4EA3">
              <w:rPr>
                <w:rFonts w:eastAsia="Times New Roman" w:cs="Times New Roman"/>
                <w:color w:val="000000"/>
                <w:sz w:val="20"/>
                <w:szCs w:val="20"/>
                <w:lang w:eastAsia="pl-PL"/>
              </w:rPr>
              <w:t>17</w:t>
            </w:r>
          </w:p>
        </w:tc>
        <w:tc>
          <w:tcPr>
            <w:tcW w:w="2409" w:type="dxa"/>
            <w:tcBorders>
              <w:top w:val="nil"/>
              <w:left w:val="nil"/>
              <w:bottom w:val="single" w:sz="4" w:space="0" w:color="auto"/>
              <w:right w:val="single" w:sz="4" w:space="0" w:color="auto"/>
            </w:tcBorders>
            <w:noWrap/>
            <w:vAlign w:val="center"/>
            <w:hideMark/>
          </w:tcPr>
          <w:p w14:paraId="4B818178" w14:textId="77777777" w:rsidR="006F4EA3" w:rsidRPr="006F4EA3" w:rsidRDefault="006F4EA3" w:rsidP="006C0BEA">
            <w:pPr>
              <w:ind w:firstLine="0"/>
              <w:jc w:val="center"/>
              <w:rPr>
                <w:rFonts w:eastAsia="Times New Roman" w:cs="Times New Roman"/>
                <w:color w:val="FF0000"/>
                <w:sz w:val="20"/>
                <w:szCs w:val="20"/>
                <w:lang w:eastAsia="pl-PL"/>
              </w:rPr>
            </w:pPr>
            <w:r w:rsidRPr="006F4EA3">
              <w:rPr>
                <w:rFonts w:eastAsia="Times New Roman" w:cs="Times New Roman"/>
                <w:color w:val="FF0000"/>
                <w:sz w:val="20"/>
                <w:szCs w:val="20"/>
                <w:lang w:eastAsia="pl-PL"/>
              </w:rPr>
              <w:t>26</w:t>
            </w:r>
          </w:p>
        </w:tc>
        <w:tc>
          <w:tcPr>
            <w:tcW w:w="1191" w:type="dxa"/>
            <w:tcBorders>
              <w:top w:val="nil"/>
              <w:left w:val="nil"/>
              <w:bottom w:val="single" w:sz="4" w:space="0" w:color="auto"/>
              <w:right w:val="single" w:sz="4" w:space="0" w:color="auto"/>
            </w:tcBorders>
            <w:noWrap/>
            <w:vAlign w:val="center"/>
            <w:hideMark/>
          </w:tcPr>
          <w:p w14:paraId="4250A612" w14:textId="77777777" w:rsidR="006F4EA3" w:rsidRPr="006F4EA3" w:rsidRDefault="006F4EA3" w:rsidP="006C0BEA">
            <w:pPr>
              <w:ind w:firstLine="0"/>
              <w:jc w:val="center"/>
              <w:rPr>
                <w:rFonts w:eastAsia="Times New Roman" w:cs="Times New Roman"/>
                <w:color w:val="000000"/>
                <w:sz w:val="20"/>
                <w:szCs w:val="20"/>
                <w:lang w:eastAsia="pl-PL"/>
              </w:rPr>
            </w:pPr>
            <w:r w:rsidRPr="006F4EA3">
              <w:rPr>
                <w:rFonts w:eastAsia="Times New Roman" w:cs="Times New Roman"/>
                <w:color w:val="000000"/>
                <w:sz w:val="20"/>
                <w:szCs w:val="20"/>
                <w:lang w:eastAsia="pl-PL"/>
              </w:rPr>
              <w:t>18</w:t>
            </w:r>
          </w:p>
        </w:tc>
        <w:tc>
          <w:tcPr>
            <w:tcW w:w="964" w:type="dxa"/>
            <w:tcBorders>
              <w:top w:val="nil"/>
              <w:left w:val="nil"/>
              <w:bottom w:val="single" w:sz="4" w:space="0" w:color="auto"/>
              <w:right w:val="single" w:sz="4" w:space="0" w:color="auto"/>
            </w:tcBorders>
            <w:noWrap/>
            <w:vAlign w:val="center"/>
            <w:hideMark/>
          </w:tcPr>
          <w:p w14:paraId="2AFFD356" w14:textId="77777777" w:rsidR="006F4EA3" w:rsidRPr="006F4EA3" w:rsidRDefault="006F4EA3" w:rsidP="006C0BEA">
            <w:pPr>
              <w:ind w:firstLine="0"/>
              <w:jc w:val="center"/>
              <w:rPr>
                <w:rFonts w:eastAsia="Times New Roman" w:cs="Times New Roman"/>
                <w:color w:val="000000"/>
                <w:sz w:val="20"/>
                <w:szCs w:val="20"/>
                <w:lang w:eastAsia="pl-PL"/>
              </w:rPr>
            </w:pPr>
            <w:r w:rsidRPr="006F4EA3">
              <w:rPr>
                <w:rFonts w:eastAsia="Times New Roman" w:cs="Times New Roman"/>
                <w:color w:val="000000"/>
                <w:sz w:val="20"/>
                <w:szCs w:val="20"/>
                <w:lang w:eastAsia="pl-PL"/>
              </w:rPr>
              <w:t>16</w:t>
            </w:r>
          </w:p>
        </w:tc>
      </w:tr>
      <w:tr w:rsidR="006F4EA3" w:rsidRPr="009521AB" w14:paraId="11D1926F" w14:textId="77777777" w:rsidTr="0090015F">
        <w:trPr>
          <w:trHeight w:val="283"/>
        </w:trPr>
        <w:tc>
          <w:tcPr>
            <w:tcW w:w="2977" w:type="dxa"/>
            <w:tcBorders>
              <w:top w:val="nil"/>
              <w:left w:val="single" w:sz="4" w:space="0" w:color="auto"/>
              <w:bottom w:val="single" w:sz="4" w:space="0" w:color="auto"/>
              <w:right w:val="single" w:sz="4" w:space="0" w:color="auto"/>
            </w:tcBorders>
            <w:noWrap/>
            <w:vAlign w:val="center"/>
            <w:hideMark/>
          </w:tcPr>
          <w:p w14:paraId="5274BE50" w14:textId="77777777" w:rsidR="006F4EA3" w:rsidRPr="006F4EA3" w:rsidRDefault="006F4EA3" w:rsidP="006C0BEA">
            <w:pPr>
              <w:ind w:firstLine="0"/>
              <w:jc w:val="left"/>
              <w:rPr>
                <w:rFonts w:eastAsia="Times New Roman" w:cs="Times New Roman"/>
                <w:color w:val="000000"/>
                <w:sz w:val="20"/>
                <w:szCs w:val="20"/>
                <w:lang w:eastAsia="pl-PL"/>
              </w:rPr>
            </w:pPr>
            <w:proofErr w:type="spellStart"/>
            <w:r w:rsidRPr="006F4EA3">
              <w:rPr>
                <w:rFonts w:eastAsia="Times New Roman" w:cs="Times New Roman"/>
                <w:color w:val="000000"/>
                <w:sz w:val="20"/>
                <w:szCs w:val="20"/>
                <w:lang w:eastAsia="pl-PL"/>
              </w:rPr>
              <w:t>Gas</w:t>
            </w:r>
            <w:proofErr w:type="spellEnd"/>
            <w:r w:rsidRPr="006F4EA3">
              <w:rPr>
                <w:rFonts w:eastAsia="Times New Roman" w:cs="Times New Roman"/>
                <w:color w:val="000000"/>
                <w:sz w:val="20"/>
                <w:szCs w:val="20"/>
                <w:lang w:eastAsia="pl-PL"/>
              </w:rPr>
              <w:t xml:space="preserve"> </w:t>
            </w:r>
            <w:proofErr w:type="spellStart"/>
            <w:r w:rsidRPr="006F4EA3">
              <w:rPr>
                <w:rFonts w:eastAsia="Times New Roman" w:cs="Times New Roman"/>
                <w:color w:val="000000"/>
                <w:sz w:val="20"/>
                <w:szCs w:val="20"/>
                <w:lang w:eastAsia="pl-PL"/>
              </w:rPr>
              <w:t>stove</w:t>
            </w:r>
            <w:proofErr w:type="spellEnd"/>
          </w:p>
        </w:tc>
        <w:tc>
          <w:tcPr>
            <w:tcW w:w="964" w:type="dxa"/>
            <w:tcBorders>
              <w:top w:val="nil"/>
              <w:left w:val="nil"/>
              <w:bottom w:val="single" w:sz="4" w:space="0" w:color="auto"/>
              <w:right w:val="single" w:sz="4" w:space="0" w:color="auto"/>
            </w:tcBorders>
            <w:noWrap/>
            <w:vAlign w:val="center"/>
            <w:hideMark/>
          </w:tcPr>
          <w:p w14:paraId="63B5D46F" w14:textId="77777777" w:rsidR="006F4EA3" w:rsidRPr="006F4EA3" w:rsidRDefault="006F4EA3" w:rsidP="006C0BEA">
            <w:pPr>
              <w:ind w:firstLine="0"/>
              <w:jc w:val="center"/>
              <w:rPr>
                <w:rFonts w:eastAsia="Times New Roman" w:cs="Times New Roman"/>
                <w:color w:val="000000"/>
                <w:sz w:val="20"/>
                <w:szCs w:val="20"/>
                <w:lang w:eastAsia="pl-PL"/>
              </w:rPr>
            </w:pPr>
            <w:r w:rsidRPr="006F4EA3">
              <w:rPr>
                <w:rFonts w:eastAsia="Times New Roman" w:cs="Times New Roman"/>
                <w:color w:val="FF0000"/>
                <w:sz w:val="20"/>
                <w:szCs w:val="20"/>
                <w:lang w:eastAsia="pl-PL"/>
              </w:rPr>
              <w:t>23</w:t>
            </w:r>
          </w:p>
        </w:tc>
        <w:tc>
          <w:tcPr>
            <w:tcW w:w="1191" w:type="dxa"/>
            <w:tcBorders>
              <w:top w:val="nil"/>
              <w:left w:val="nil"/>
              <w:bottom w:val="single" w:sz="4" w:space="0" w:color="auto"/>
              <w:right w:val="single" w:sz="4" w:space="0" w:color="auto"/>
            </w:tcBorders>
            <w:noWrap/>
            <w:vAlign w:val="center"/>
            <w:hideMark/>
          </w:tcPr>
          <w:p w14:paraId="51A38A34" w14:textId="77777777" w:rsidR="006F4EA3" w:rsidRPr="006F4EA3" w:rsidRDefault="006F4EA3" w:rsidP="006C0BEA">
            <w:pPr>
              <w:ind w:firstLine="0"/>
              <w:jc w:val="center"/>
              <w:rPr>
                <w:rFonts w:eastAsia="Times New Roman" w:cs="Times New Roman"/>
                <w:color w:val="000000"/>
                <w:sz w:val="20"/>
                <w:szCs w:val="20"/>
                <w:lang w:eastAsia="pl-PL"/>
              </w:rPr>
            </w:pPr>
            <w:r w:rsidRPr="006F4EA3">
              <w:rPr>
                <w:rFonts w:eastAsia="Times New Roman" w:cs="Times New Roman"/>
                <w:color w:val="000000"/>
                <w:sz w:val="20"/>
                <w:szCs w:val="20"/>
                <w:lang w:eastAsia="pl-PL"/>
              </w:rPr>
              <w:t>18</w:t>
            </w:r>
          </w:p>
        </w:tc>
        <w:tc>
          <w:tcPr>
            <w:tcW w:w="2409" w:type="dxa"/>
            <w:tcBorders>
              <w:top w:val="nil"/>
              <w:left w:val="nil"/>
              <w:bottom w:val="single" w:sz="4" w:space="0" w:color="auto"/>
              <w:right w:val="single" w:sz="4" w:space="0" w:color="auto"/>
            </w:tcBorders>
            <w:noWrap/>
            <w:vAlign w:val="center"/>
            <w:hideMark/>
          </w:tcPr>
          <w:p w14:paraId="09F9CB9B" w14:textId="77777777" w:rsidR="006F4EA3" w:rsidRPr="006F4EA3" w:rsidRDefault="006F4EA3" w:rsidP="006C0BEA">
            <w:pPr>
              <w:ind w:firstLine="0"/>
              <w:jc w:val="center"/>
              <w:rPr>
                <w:rFonts w:eastAsia="Times New Roman" w:cs="Times New Roman"/>
                <w:color w:val="000000"/>
                <w:sz w:val="20"/>
                <w:szCs w:val="20"/>
                <w:lang w:eastAsia="pl-PL"/>
              </w:rPr>
            </w:pPr>
            <w:r w:rsidRPr="006F4EA3">
              <w:rPr>
                <w:rFonts w:eastAsia="Times New Roman" w:cs="Times New Roman"/>
                <w:color w:val="000000"/>
                <w:sz w:val="20"/>
                <w:szCs w:val="20"/>
                <w:lang w:eastAsia="pl-PL"/>
              </w:rPr>
              <w:t>19</w:t>
            </w:r>
          </w:p>
        </w:tc>
        <w:tc>
          <w:tcPr>
            <w:tcW w:w="1191" w:type="dxa"/>
            <w:tcBorders>
              <w:top w:val="nil"/>
              <w:left w:val="nil"/>
              <w:bottom w:val="single" w:sz="4" w:space="0" w:color="auto"/>
              <w:right w:val="single" w:sz="4" w:space="0" w:color="auto"/>
            </w:tcBorders>
            <w:noWrap/>
            <w:vAlign w:val="center"/>
            <w:hideMark/>
          </w:tcPr>
          <w:p w14:paraId="4F049D33" w14:textId="77777777" w:rsidR="006F4EA3" w:rsidRPr="006F4EA3" w:rsidRDefault="006F4EA3" w:rsidP="006C0BEA">
            <w:pPr>
              <w:ind w:firstLine="0"/>
              <w:jc w:val="center"/>
              <w:rPr>
                <w:rFonts w:eastAsia="Times New Roman" w:cs="Times New Roman"/>
                <w:color w:val="000000"/>
                <w:sz w:val="20"/>
                <w:szCs w:val="20"/>
                <w:lang w:eastAsia="pl-PL"/>
              </w:rPr>
            </w:pPr>
            <w:r w:rsidRPr="006F4EA3">
              <w:rPr>
                <w:rFonts w:eastAsia="Times New Roman" w:cs="Times New Roman"/>
                <w:color w:val="000000"/>
                <w:sz w:val="20"/>
                <w:szCs w:val="20"/>
                <w:lang w:eastAsia="pl-PL"/>
              </w:rPr>
              <w:t>22</w:t>
            </w:r>
          </w:p>
        </w:tc>
        <w:tc>
          <w:tcPr>
            <w:tcW w:w="964" w:type="dxa"/>
            <w:tcBorders>
              <w:top w:val="nil"/>
              <w:left w:val="nil"/>
              <w:bottom w:val="single" w:sz="4" w:space="0" w:color="auto"/>
              <w:right w:val="single" w:sz="4" w:space="0" w:color="auto"/>
            </w:tcBorders>
            <w:noWrap/>
            <w:vAlign w:val="center"/>
            <w:hideMark/>
          </w:tcPr>
          <w:p w14:paraId="7F0F8796" w14:textId="77777777" w:rsidR="006F4EA3" w:rsidRPr="006F4EA3" w:rsidRDefault="006F4EA3" w:rsidP="006C0BEA">
            <w:pPr>
              <w:ind w:firstLine="0"/>
              <w:jc w:val="center"/>
              <w:rPr>
                <w:rFonts w:eastAsia="Times New Roman" w:cs="Times New Roman"/>
                <w:color w:val="000000"/>
                <w:sz w:val="20"/>
                <w:szCs w:val="20"/>
                <w:lang w:eastAsia="pl-PL"/>
              </w:rPr>
            </w:pPr>
            <w:r w:rsidRPr="006F4EA3">
              <w:rPr>
                <w:rFonts w:eastAsia="Times New Roman" w:cs="Times New Roman"/>
                <w:color w:val="000000"/>
                <w:sz w:val="20"/>
                <w:szCs w:val="20"/>
                <w:lang w:eastAsia="pl-PL"/>
              </w:rPr>
              <w:t>16</w:t>
            </w:r>
          </w:p>
        </w:tc>
      </w:tr>
      <w:tr w:rsidR="006F4EA3" w:rsidRPr="009521AB" w14:paraId="2A2BF84B" w14:textId="77777777" w:rsidTr="0090015F">
        <w:trPr>
          <w:trHeight w:val="283"/>
        </w:trPr>
        <w:tc>
          <w:tcPr>
            <w:tcW w:w="2977" w:type="dxa"/>
            <w:tcBorders>
              <w:top w:val="nil"/>
              <w:left w:val="single" w:sz="4" w:space="0" w:color="auto"/>
              <w:bottom w:val="single" w:sz="4" w:space="0" w:color="auto"/>
              <w:right w:val="single" w:sz="4" w:space="0" w:color="auto"/>
            </w:tcBorders>
            <w:vAlign w:val="center"/>
            <w:hideMark/>
          </w:tcPr>
          <w:p w14:paraId="2FEB796D" w14:textId="77777777" w:rsidR="006F4EA3" w:rsidRPr="006F4EA3" w:rsidRDefault="006F4EA3" w:rsidP="006C0BEA">
            <w:pPr>
              <w:ind w:firstLine="0"/>
              <w:jc w:val="left"/>
              <w:rPr>
                <w:rFonts w:eastAsia="Times New Roman" w:cs="Times New Roman"/>
                <w:color w:val="000000"/>
                <w:sz w:val="20"/>
                <w:szCs w:val="20"/>
                <w:lang w:eastAsia="pl-PL"/>
              </w:rPr>
            </w:pPr>
            <w:r w:rsidRPr="006F4EA3">
              <w:rPr>
                <w:rFonts w:eastAsia="Times New Roman" w:cs="Times New Roman"/>
                <w:color w:val="000000"/>
                <w:sz w:val="20"/>
                <w:szCs w:val="20"/>
                <w:lang w:eastAsia="pl-PL"/>
              </w:rPr>
              <w:t>Wood-</w:t>
            </w:r>
            <w:proofErr w:type="spellStart"/>
            <w:r w:rsidRPr="006F4EA3">
              <w:rPr>
                <w:rFonts w:eastAsia="Times New Roman" w:cs="Times New Roman"/>
                <w:color w:val="000000"/>
                <w:sz w:val="20"/>
                <w:szCs w:val="20"/>
                <w:lang w:eastAsia="pl-PL"/>
              </w:rPr>
              <w:t>burning</w:t>
            </w:r>
            <w:proofErr w:type="spellEnd"/>
            <w:r w:rsidRPr="006F4EA3">
              <w:rPr>
                <w:rFonts w:eastAsia="Times New Roman" w:cs="Times New Roman"/>
                <w:color w:val="000000"/>
                <w:sz w:val="20"/>
                <w:szCs w:val="20"/>
                <w:lang w:eastAsia="pl-PL"/>
              </w:rPr>
              <w:t xml:space="preserve"> </w:t>
            </w:r>
            <w:proofErr w:type="spellStart"/>
            <w:r w:rsidRPr="006F4EA3">
              <w:rPr>
                <w:rFonts w:eastAsia="Times New Roman" w:cs="Times New Roman"/>
                <w:color w:val="000000"/>
                <w:sz w:val="20"/>
                <w:szCs w:val="20"/>
                <w:lang w:eastAsia="pl-PL"/>
              </w:rPr>
              <w:t>fireplace</w:t>
            </w:r>
            <w:proofErr w:type="spellEnd"/>
          </w:p>
        </w:tc>
        <w:tc>
          <w:tcPr>
            <w:tcW w:w="964" w:type="dxa"/>
            <w:tcBorders>
              <w:top w:val="nil"/>
              <w:left w:val="nil"/>
              <w:bottom w:val="single" w:sz="4" w:space="0" w:color="auto"/>
              <w:right w:val="single" w:sz="4" w:space="0" w:color="auto"/>
            </w:tcBorders>
            <w:noWrap/>
            <w:vAlign w:val="center"/>
            <w:hideMark/>
          </w:tcPr>
          <w:p w14:paraId="779E20E9" w14:textId="77777777" w:rsidR="006F4EA3" w:rsidRPr="006F4EA3" w:rsidRDefault="006F4EA3" w:rsidP="006C0BEA">
            <w:pPr>
              <w:ind w:firstLine="0"/>
              <w:jc w:val="center"/>
              <w:rPr>
                <w:rFonts w:eastAsia="Times New Roman" w:cs="Times New Roman"/>
                <w:color w:val="000000"/>
                <w:sz w:val="20"/>
                <w:szCs w:val="20"/>
                <w:lang w:eastAsia="pl-PL"/>
              </w:rPr>
            </w:pPr>
            <w:r w:rsidRPr="006F4EA3">
              <w:rPr>
                <w:rFonts w:eastAsia="Times New Roman" w:cs="Times New Roman"/>
                <w:color w:val="000000"/>
                <w:sz w:val="20"/>
                <w:szCs w:val="20"/>
                <w:lang w:eastAsia="pl-PL"/>
              </w:rPr>
              <w:t>21</w:t>
            </w:r>
          </w:p>
        </w:tc>
        <w:tc>
          <w:tcPr>
            <w:tcW w:w="1191" w:type="dxa"/>
            <w:tcBorders>
              <w:top w:val="nil"/>
              <w:left w:val="nil"/>
              <w:bottom w:val="single" w:sz="4" w:space="0" w:color="auto"/>
              <w:right w:val="single" w:sz="4" w:space="0" w:color="auto"/>
            </w:tcBorders>
            <w:noWrap/>
            <w:vAlign w:val="center"/>
            <w:hideMark/>
          </w:tcPr>
          <w:p w14:paraId="08619471" w14:textId="77777777" w:rsidR="006F4EA3" w:rsidRPr="006F4EA3" w:rsidRDefault="006F4EA3" w:rsidP="006C0BEA">
            <w:pPr>
              <w:ind w:firstLine="0"/>
              <w:jc w:val="center"/>
              <w:rPr>
                <w:rFonts w:eastAsia="Times New Roman" w:cs="Times New Roman"/>
                <w:color w:val="000000"/>
                <w:sz w:val="20"/>
                <w:szCs w:val="20"/>
                <w:lang w:eastAsia="pl-PL"/>
              </w:rPr>
            </w:pPr>
            <w:r w:rsidRPr="006F4EA3">
              <w:rPr>
                <w:rFonts w:eastAsia="Times New Roman" w:cs="Times New Roman"/>
                <w:color w:val="000000"/>
                <w:sz w:val="20"/>
                <w:szCs w:val="20"/>
                <w:lang w:eastAsia="pl-PL"/>
              </w:rPr>
              <w:t>18</w:t>
            </w:r>
          </w:p>
        </w:tc>
        <w:tc>
          <w:tcPr>
            <w:tcW w:w="2409" w:type="dxa"/>
            <w:tcBorders>
              <w:top w:val="nil"/>
              <w:left w:val="nil"/>
              <w:bottom w:val="single" w:sz="4" w:space="0" w:color="auto"/>
              <w:right w:val="single" w:sz="4" w:space="0" w:color="auto"/>
            </w:tcBorders>
            <w:noWrap/>
            <w:vAlign w:val="center"/>
            <w:hideMark/>
          </w:tcPr>
          <w:p w14:paraId="22886807" w14:textId="77777777" w:rsidR="006F4EA3" w:rsidRPr="006F4EA3" w:rsidRDefault="006F4EA3" w:rsidP="006C0BEA">
            <w:pPr>
              <w:ind w:firstLine="0"/>
              <w:jc w:val="center"/>
              <w:rPr>
                <w:rFonts w:eastAsia="Times New Roman" w:cs="Times New Roman"/>
                <w:color w:val="000000"/>
                <w:sz w:val="20"/>
                <w:szCs w:val="20"/>
                <w:lang w:eastAsia="pl-PL"/>
              </w:rPr>
            </w:pPr>
            <w:r w:rsidRPr="006F4EA3">
              <w:rPr>
                <w:rFonts w:eastAsia="Times New Roman" w:cs="Times New Roman"/>
                <w:color w:val="000000"/>
                <w:sz w:val="20"/>
                <w:szCs w:val="20"/>
                <w:lang w:eastAsia="pl-PL"/>
              </w:rPr>
              <w:t>16</w:t>
            </w:r>
          </w:p>
        </w:tc>
        <w:tc>
          <w:tcPr>
            <w:tcW w:w="1191" w:type="dxa"/>
            <w:tcBorders>
              <w:top w:val="nil"/>
              <w:left w:val="nil"/>
              <w:bottom w:val="single" w:sz="4" w:space="0" w:color="auto"/>
              <w:right w:val="single" w:sz="4" w:space="0" w:color="auto"/>
            </w:tcBorders>
            <w:noWrap/>
            <w:vAlign w:val="center"/>
            <w:hideMark/>
          </w:tcPr>
          <w:p w14:paraId="660B9820" w14:textId="77777777" w:rsidR="006F4EA3" w:rsidRPr="006F4EA3" w:rsidRDefault="006F4EA3" w:rsidP="006C0BEA">
            <w:pPr>
              <w:ind w:firstLine="0"/>
              <w:jc w:val="center"/>
              <w:rPr>
                <w:rFonts w:eastAsia="Times New Roman" w:cs="Times New Roman"/>
                <w:color w:val="000000"/>
                <w:sz w:val="20"/>
                <w:szCs w:val="20"/>
                <w:lang w:eastAsia="pl-PL"/>
              </w:rPr>
            </w:pPr>
            <w:r w:rsidRPr="006F4EA3">
              <w:rPr>
                <w:rFonts w:eastAsia="Times New Roman" w:cs="Times New Roman"/>
                <w:color w:val="000000"/>
                <w:sz w:val="20"/>
                <w:szCs w:val="20"/>
                <w:lang w:eastAsia="pl-PL"/>
              </w:rPr>
              <w:t>21</w:t>
            </w:r>
          </w:p>
        </w:tc>
        <w:tc>
          <w:tcPr>
            <w:tcW w:w="964" w:type="dxa"/>
            <w:tcBorders>
              <w:top w:val="nil"/>
              <w:left w:val="nil"/>
              <w:bottom w:val="single" w:sz="4" w:space="0" w:color="auto"/>
              <w:right w:val="single" w:sz="4" w:space="0" w:color="auto"/>
            </w:tcBorders>
            <w:noWrap/>
            <w:vAlign w:val="center"/>
            <w:hideMark/>
          </w:tcPr>
          <w:p w14:paraId="65D7FDAE" w14:textId="77777777" w:rsidR="006F4EA3" w:rsidRPr="006F4EA3" w:rsidRDefault="006F4EA3" w:rsidP="006C0BEA">
            <w:pPr>
              <w:ind w:firstLine="0"/>
              <w:jc w:val="center"/>
              <w:rPr>
                <w:rFonts w:eastAsia="Times New Roman" w:cs="Times New Roman"/>
                <w:color w:val="FF0000"/>
                <w:sz w:val="20"/>
                <w:szCs w:val="20"/>
                <w:lang w:eastAsia="pl-PL"/>
              </w:rPr>
            </w:pPr>
            <w:r w:rsidRPr="006F4EA3">
              <w:rPr>
                <w:rFonts w:eastAsia="Times New Roman" w:cs="Times New Roman"/>
                <w:color w:val="FF0000"/>
                <w:sz w:val="20"/>
                <w:szCs w:val="20"/>
                <w:lang w:eastAsia="pl-PL"/>
              </w:rPr>
              <w:t>22</w:t>
            </w:r>
          </w:p>
        </w:tc>
      </w:tr>
      <w:tr w:rsidR="006F4EA3" w:rsidRPr="009521AB" w14:paraId="7E542011" w14:textId="77777777" w:rsidTr="0090015F">
        <w:trPr>
          <w:trHeight w:val="283"/>
        </w:trPr>
        <w:tc>
          <w:tcPr>
            <w:tcW w:w="2977" w:type="dxa"/>
            <w:tcBorders>
              <w:top w:val="nil"/>
              <w:left w:val="single" w:sz="4" w:space="0" w:color="auto"/>
              <w:bottom w:val="single" w:sz="4" w:space="0" w:color="auto"/>
              <w:right w:val="single" w:sz="4" w:space="0" w:color="auto"/>
            </w:tcBorders>
            <w:vAlign w:val="center"/>
            <w:hideMark/>
          </w:tcPr>
          <w:p w14:paraId="73E1274A" w14:textId="77777777" w:rsidR="006F4EA3" w:rsidRPr="006F4EA3" w:rsidRDefault="006F4EA3" w:rsidP="006C0BEA">
            <w:pPr>
              <w:ind w:firstLine="0"/>
              <w:jc w:val="left"/>
              <w:rPr>
                <w:rFonts w:eastAsia="Times New Roman" w:cs="Times New Roman"/>
                <w:color w:val="000000"/>
                <w:sz w:val="20"/>
                <w:szCs w:val="20"/>
                <w:lang w:eastAsia="pl-PL"/>
              </w:rPr>
            </w:pPr>
            <w:r w:rsidRPr="006F4EA3">
              <w:rPr>
                <w:rFonts w:eastAsia="Times New Roman" w:cs="Times New Roman"/>
                <w:color w:val="000000"/>
                <w:sz w:val="20"/>
                <w:szCs w:val="20"/>
                <w:lang w:eastAsia="pl-PL"/>
              </w:rPr>
              <w:t xml:space="preserve">Universal </w:t>
            </w:r>
            <w:proofErr w:type="spellStart"/>
            <w:r w:rsidRPr="006F4EA3">
              <w:rPr>
                <w:rFonts w:eastAsia="Times New Roman" w:cs="Times New Roman"/>
                <w:color w:val="000000"/>
                <w:sz w:val="20"/>
                <w:szCs w:val="20"/>
                <w:lang w:eastAsia="pl-PL"/>
              </w:rPr>
              <w:t>combustion</w:t>
            </w:r>
            <w:proofErr w:type="spellEnd"/>
            <w:r w:rsidRPr="006F4EA3">
              <w:rPr>
                <w:rFonts w:eastAsia="Times New Roman" w:cs="Times New Roman"/>
                <w:color w:val="000000"/>
                <w:sz w:val="20"/>
                <w:szCs w:val="20"/>
                <w:lang w:eastAsia="pl-PL"/>
              </w:rPr>
              <w:t xml:space="preserve"> </w:t>
            </w:r>
            <w:proofErr w:type="spellStart"/>
            <w:r w:rsidRPr="006F4EA3">
              <w:rPr>
                <w:rFonts w:eastAsia="Times New Roman" w:cs="Times New Roman"/>
                <w:color w:val="000000"/>
                <w:sz w:val="20"/>
                <w:szCs w:val="20"/>
                <w:lang w:eastAsia="pl-PL"/>
              </w:rPr>
              <w:t>stove</w:t>
            </w:r>
            <w:proofErr w:type="spellEnd"/>
          </w:p>
        </w:tc>
        <w:tc>
          <w:tcPr>
            <w:tcW w:w="964" w:type="dxa"/>
            <w:tcBorders>
              <w:top w:val="nil"/>
              <w:left w:val="nil"/>
              <w:bottom w:val="single" w:sz="4" w:space="0" w:color="auto"/>
              <w:right w:val="single" w:sz="4" w:space="0" w:color="auto"/>
            </w:tcBorders>
            <w:noWrap/>
            <w:vAlign w:val="center"/>
            <w:hideMark/>
          </w:tcPr>
          <w:p w14:paraId="1FAD3E1E" w14:textId="77777777" w:rsidR="006F4EA3" w:rsidRPr="006F4EA3" w:rsidRDefault="006F4EA3" w:rsidP="006C0BEA">
            <w:pPr>
              <w:ind w:firstLine="0"/>
              <w:jc w:val="center"/>
              <w:rPr>
                <w:rFonts w:eastAsia="Times New Roman" w:cs="Times New Roman"/>
                <w:color w:val="000000"/>
                <w:sz w:val="20"/>
                <w:szCs w:val="20"/>
                <w:lang w:eastAsia="pl-PL"/>
              </w:rPr>
            </w:pPr>
            <w:r w:rsidRPr="006F4EA3">
              <w:rPr>
                <w:rFonts w:eastAsia="Times New Roman" w:cs="Times New Roman"/>
                <w:color w:val="000000"/>
                <w:sz w:val="20"/>
                <w:szCs w:val="20"/>
                <w:lang w:eastAsia="pl-PL"/>
              </w:rPr>
              <w:t>39</w:t>
            </w:r>
          </w:p>
        </w:tc>
        <w:tc>
          <w:tcPr>
            <w:tcW w:w="1191" w:type="dxa"/>
            <w:tcBorders>
              <w:top w:val="nil"/>
              <w:left w:val="nil"/>
              <w:bottom w:val="single" w:sz="4" w:space="0" w:color="auto"/>
              <w:right w:val="single" w:sz="4" w:space="0" w:color="auto"/>
            </w:tcBorders>
            <w:noWrap/>
            <w:vAlign w:val="center"/>
            <w:hideMark/>
          </w:tcPr>
          <w:p w14:paraId="5434BEAB" w14:textId="77777777" w:rsidR="006F4EA3" w:rsidRPr="006F4EA3" w:rsidRDefault="006F4EA3" w:rsidP="006C0BEA">
            <w:pPr>
              <w:ind w:firstLine="0"/>
              <w:jc w:val="center"/>
              <w:rPr>
                <w:rFonts w:eastAsia="Times New Roman" w:cs="Times New Roman"/>
                <w:color w:val="000000"/>
                <w:sz w:val="20"/>
                <w:szCs w:val="20"/>
                <w:lang w:eastAsia="pl-PL"/>
              </w:rPr>
            </w:pPr>
            <w:r w:rsidRPr="006F4EA3">
              <w:rPr>
                <w:rFonts w:eastAsia="Times New Roman" w:cs="Times New Roman"/>
                <w:color w:val="000000"/>
                <w:sz w:val="20"/>
                <w:szCs w:val="20"/>
                <w:lang w:eastAsia="pl-PL"/>
              </w:rPr>
              <w:t>21</w:t>
            </w:r>
          </w:p>
        </w:tc>
        <w:tc>
          <w:tcPr>
            <w:tcW w:w="2409" w:type="dxa"/>
            <w:tcBorders>
              <w:top w:val="nil"/>
              <w:left w:val="nil"/>
              <w:bottom w:val="single" w:sz="4" w:space="0" w:color="auto"/>
              <w:right w:val="single" w:sz="4" w:space="0" w:color="auto"/>
            </w:tcBorders>
            <w:noWrap/>
            <w:vAlign w:val="center"/>
            <w:hideMark/>
          </w:tcPr>
          <w:p w14:paraId="068381B0" w14:textId="77777777" w:rsidR="006F4EA3" w:rsidRPr="006F4EA3" w:rsidRDefault="006F4EA3" w:rsidP="006C0BEA">
            <w:pPr>
              <w:ind w:firstLine="0"/>
              <w:jc w:val="center"/>
              <w:rPr>
                <w:rFonts w:eastAsia="Times New Roman" w:cs="Times New Roman"/>
                <w:color w:val="000000"/>
                <w:sz w:val="20"/>
                <w:szCs w:val="20"/>
                <w:lang w:eastAsia="pl-PL"/>
              </w:rPr>
            </w:pPr>
            <w:r w:rsidRPr="006F4EA3">
              <w:rPr>
                <w:rFonts w:eastAsia="Times New Roman" w:cs="Times New Roman"/>
                <w:color w:val="000000"/>
                <w:sz w:val="20"/>
                <w:szCs w:val="20"/>
                <w:lang w:eastAsia="pl-PL"/>
              </w:rPr>
              <w:t>18</w:t>
            </w:r>
          </w:p>
        </w:tc>
        <w:tc>
          <w:tcPr>
            <w:tcW w:w="1191" w:type="dxa"/>
            <w:tcBorders>
              <w:top w:val="nil"/>
              <w:left w:val="nil"/>
              <w:bottom w:val="single" w:sz="4" w:space="0" w:color="auto"/>
              <w:right w:val="single" w:sz="4" w:space="0" w:color="auto"/>
            </w:tcBorders>
            <w:noWrap/>
            <w:vAlign w:val="center"/>
            <w:hideMark/>
          </w:tcPr>
          <w:p w14:paraId="7E12EF10" w14:textId="77777777" w:rsidR="006F4EA3" w:rsidRPr="006F4EA3" w:rsidRDefault="006F4EA3" w:rsidP="006C0BEA">
            <w:pPr>
              <w:ind w:firstLine="0"/>
              <w:jc w:val="center"/>
              <w:rPr>
                <w:rFonts w:eastAsia="Times New Roman" w:cs="Times New Roman"/>
                <w:color w:val="000000"/>
                <w:sz w:val="20"/>
                <w:szCs w:val="20"/>
                <w:lang w:eastAsia="pl-PL"/>
              </w:rPr>
            </w:pPr>
            <w:r w:rsidRPr="006F4EA3">
              <w:rPr>
                <w:rFonts w:eastAsia="Times New Roman" w:cs="Times New Roman"/>
                <w:color w:val="000000"/>
                <w:sz w:val="20"/>
                <w:szCs w:val="20"/>
                <w:lang w:eastAsia="pl-PL"/>
              </w:rPr>
              <w:t>10</w:t>
            </w:r>
          </w:p>
        </w:tc>
        <w:tc>
          <w:tcPr>
            <w:tcW w:w="964" w:type="dxa"/>
            <w:tcBorders>
              <w:top w:val="nil"/>
              <w:left w:val="nil"/>
              <w:bottom w:val="single" w:sz="4" w:space="0" w:color="auto"/>
              <w:right w:val="single" w:sz="4" w:space="0" w:color="auto"/>
            </w:tcBorders>
            <w:noWrap/>
            <w:vAlign w:val="center"/>
            <w:hideMark/>
          </w:tcPr>
          <w:p w14:paraId="376A2682" w14:textId="77777777" w:rsidR="006F4EA3" w:rsidRPr="006F4EA3" w:rsidRDefault="006F4EA3" w:rsidP="006C0BEA">
            <w:pPr>
              <w:ind w:firstLine="0"/>
              <w:jc w:val="center"/>
              <w:rPr>
                <w:rFonts w:eastAsia="Times New Roman" w:cs="Times New Roman"/>
                <w:color w:val="000000"/>
                <w:sz w:val="20"/>
                <w:szCs w:val="20"/>
                <w:lang w:eastAsia="pl-PL"/>
              </w:rPr>
            </w:pPr>
            <w:r w:rsidRPr="006F4EA3">
              <w:rPr>
                <w:rFonts w:eastAsia="Times New Roman" w:cs="Times New Roman"/>
                <w:color w:val="000000"/>
                <w:sz w:val="20"/>
                <w:szCs w:val="20"/>
                <w:lang w:eastAsia="pl-PL"/>
              </w:rPr>
              <w:t>10</w:t>
            </w:r>
          </w:p>
        </w:tc>
      </w:tr>
    </w:tbl>
    <w:p w14:paraId="0EE39646" w14:textId="3622DAE2" w:rsidR="00C239D0" w:rsidRPr="00C239D0" w:rsidRDefault="006C0BEA" w:rsidP="006C0BEA">
      <w:pPr>
        <w:pStyle w:val="Rn1"/>
        <w:rPr>
          <w:lang w:val="en-GB"/>
        </w:rPr>
      </w:pPr>
      <w:r>
        <w:rPr>
          <w:lang w:val="en-GB"/>
        </w:rPr>
        <w:t xml:space="preserve">5. </w:t>
      </w:r>
      <w:r w:rsidR="00C239D0" w:rsidRPr="00C239D0">
        <w:rPr>
          <w:lang w:val="en-GB"/>
        </w:rPr>
        <w:t>Discussion</w:t>
      </w:r>
    </w:p>
    <w:p w14:paraId="4C08A46A" w14:textId="2631A3DB" w:rsidR="00C239D0" w:rsidRDefault="00C239D0" w:rsidP="006C0BEA">
      <w:pPr>
        <w:rPr>
          <w:lang w:val="en-GB"/>
        </w:rPr>
      </w:pPr>
      <w:r w:rsidRPr="00C239D0">
        <w:rPr>
          <w:lang w:val="en-GB"/>
        </w:rPr>
        <w:t xml:space="preserve">Consumer </w:t>
      </w:r>
      <w:proofErr w:type="spellStart"/>
      <w:r w:rsidRPr="00C239D0">
        <w:rPr>
          <w:lang w:val="en-GB"/>
        </w:rPr>
        <w:t>behaviors</w:t>
      </w:r>
      <w:proofErr w:type="spellEnd"/>
      <w:r w:rsidRPr="00C239D0">
        <w:rPr>
          <w:lang w:val="en-GB"/>
        </w:rPr>
        <w:t xml:space="preserve"> of the young society in the area of sustainable energy development may result from several factors. The main ones include: knowledge of sustainable energy development policies, directions of innovative actions in various forms of energy generation, which consequently translates into product identification, and purchase-related factors (directly shaping purchasing decisions). It is also important to assess the already implemented actions aimed at improving or minimizing the impact on the natural environment. Analysis of familiarity with specific aspects of sustainable energy development (data from Table 3) indicates that the young generation (over 55%) knows the provisions of sustainable development policy, which in turn drives actions related to technological progress, modernization of energy systems, and CO</w:t>
      </w:r>
      <w:r w:rsidRPr="00144CF7">
        <w:rPr>
          <w:vertAlign w:val="subscript"/>
          <w:lang w:val="en-GB"/>
        </w:rPr>
        <w:t>2</w:t>
      </w:r>
      <w:r w:rsidRPr="00C239D0">
        <w:rPr>
          <w:lang w:val="en-GB"/>
        </w:rPr>
        <w:t xml:space="preserve"> reduction. Research in this area also showed that they are not entirely convinced or lack knowledge </w:t>
      </w:r>
      <w:r w:rsidR="00191A53">
        <w:rPr>
          <w:lang w:val="en-GB"/>
        </w:rPr>
        <w:t xml:space="preserve">of </w:t>
      </w:r>
      <w:r w:rsidRPr="00C239D0">
        <w:rPr>
          <w:lang w:val="en-GB"/>
        </w:rPr>
        <w:t>whether the implementation of sustainable development policies translates into the business sphere (approximately 39% of respondents indicated this), i.e., whether it increases business opportunities for economic entities. The distribution of responses in this area may result from the respondents</w:t>
      </w:r>
      <w:r w:rsidR="00191A53">
        <w:rPr>
          <w:lang w:val="en-GB"/>
        </w:rPr>
        <w:t>'</w:t>
      </w:r>
      <w:r w:rsidRPr="00C239D0">
        <w:rPr>
          <w:lang w:val="en-GB"/>
        </w:rPr>
        <w:t xml:space="preserve"> status, as only a small percentage are employed or run their own </w:t>
      </w:r>
      <w:r w:rsidRPr="00C239D0">
        <w:rPr>
          <w:lang w:val="en-GB"/>
        </w:rPr>
        <w:lastRenderedPageBreak/>
        <w:t>business. Nevertheless, respondents believe that all actions within the framework of sustainable energy development should be targeted and utilize natural potential, particularly wind (49% of responses) and solar energy (40.8% of responses) (Figure 7).</w:t>
      </w:r>
    </w:p>
    <w:p w14:paraId="146AD78D" w14:textId="77777777" w:rsidR="0057216B" w:rsidRPr="00C239D0" w:rsidRDefault="0057216B" w:rsidP="006C0BEA">
      <w:pPr>
        <w:rPr>
          <w:lang w:val="en-GB"/>
        </w:rPr>
      </w:pPr>
    </w:p>
    <w:p w14:paraId="02985E10" w14:textId="26188BD5" w:rsidR="00C239D0" w:rsidRPr="00C239D0" w:rsidRDefault="0057216B" w:rsidP="0057216B">
      <w:pPr>
        <w:ind w:firstLine="0"/>
        <w:jc w:val="center"/>
        <w:rPr>
          <w:lang w:val="en-GB"/>
        </w:rPr>
      </w:pPr>
      <w:r>
        <w:rPr>
          <w:noProof/>
        </w:rPr>
        <w:drawing>
          <wp:inline distT="0" distB="0" distL="0" distR="0" wp14:anchorId="16B92666" wp14:editId="163DE524">
            <wp:extent cx="4598504" cy="2783903"/>
            <wp:effectExtent l="0" t="0" r="12065" b="16510"/>
            <wp:docPr id="908264678" name="Wykres 1">
              <a:extLst xmlns:a="http://schemas.openxmlformats.org/drawingml/2006/main">
                <a:ext uri="{FF2B5EF4-FFF2-40B4-BE49-F238E27FC236}">
                  <a16:creationId xmlns:a16="http://schemas.microsoft.com/office/drawing/2014/main" id="{41A61580-FC2F-4A78-BAE6-5DA7DE1F13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A5D4057" w14:textId="77777777" w:rsidR="00C239D0" w:rsidRPr="00C239D0" w:rsidRDefault="00C239D0" w:rsidP="006C0BEA">
      <w:pPr>
        <w:pStyle w:val="Rrys"/>
        <w:rPr>
          <w:lang w:val="en-GB"/>
        </w:rPr>
      </w:pPr>
      <w:r w:rsidRPr="006C0BEA">
        <w:rPr>
          <w:b/>
          <w:bCs/>
          <w:lang w:val="en-GB"/>
        </w:rPr>
        <w:t>Fig. 7.</w:t>
      </w:r>
      <w:r w:rsidRPr="00C239D0">
        <w:rPr>
          <w:lang w:val="en-GB"/>
        </w:rPr>
        <w:t xml:space="preserve"> Assessment of Consumer Action Directions in the Field of Renewable Energy Sources</w:t>
      </w:r>
    </w:p>
    <w:p w14:paraId="1BBB7737" w14:textId="77777777" w:rsidR="006C0BEA" w:rsidRDefault="006C0BEA" w:rsidP="00C239D0">
      <w:pPr>
        <w:ind w:firstLine="0"/>
        <w:rPr>
          <w:lang w:val="en-GB"/>
        </w:rPr>
      </w:pPr>
    </w:p>
    <w:p w14:paraId="567A09BF" w14:textId="7FFDE4E4" w:rsidR="00C239D0" w:rsidRDefault="00C239D0" w:rsidP="006C0BEA">
      <w:pPr>
        <w:rPr>
          <w:lang w:val="en-GB"/>
        </w:rPr>
      </w:pPr>
      <w:r w:rsidRPr="00C239D0">
        <w:rPr>
          <w:lang w:val="en-GB"/>
        </w:rPr>
        <w:t>In the case of other types of energy sources, the distribution is uneven. The data presented in Figure 7 indicate that the younger consumer generation is oriented toward and identifies with the necessity of actions in the direction of renewable energy sources (RES). It is evident that fossil-based products, perceived as coal and its derivatives, are not viewed positively by the younger generation, which is also consistent with EU policy. The identification of desirable directions for the development of types of energy generation sources is directly related to the development of end-use devices. Table 4 presents data indicating which end-use devices are preferred by the younger consumer generation. The high consumer awareness of young people (as shown in Table 4) confirms hypothesis 3, that "the young consumer society makes purchasing decisions consciously, in accordance with contemporary trends, regarding sustainable energy development</w:t>
      </w:r>
      <w:r w:rsidR="00191A53">
        <w:rPr>
          <w:lang w:val="en-GB"/>
        </w:rPr>
        <w:t>"</w:t>
      </w:r>
      <w:r w:rsidRPr="00C239D0">
        <w:rPr>
          <w:lang w:val="en-GB"/>
        </w:rPr>
        <w:t xml:space="preserve">. Solar panels have gained the highest interest and consideration for purchase (42%). Other devices under consideration received positive evaluations, though not as high. Regardless of the type of </w:t>
      </w:r>
      <w:r w:rsidR="00191A53">
        <w:rPr>
          <w:lang w:val="en-GB"/>
        </w:rPr>
        <w:t>"</w:t>
      </w:r>
      <w:r w:rsidRPr="00C239D0">
        <w:rPr>
          <w:lang w:val="en-GB"/>
        </w:rPr>
        <w:t>preferred</w:t>
      </w:r>
      <w:r w:rsidR="00191A53">
        <w:rPr>
          <w:lang w:val="en-GB"/>
        </w:rPr>
        <w:t>"</w:t>
      </w:r>
      <w:r w:rsidRPr="00C239D0">
        <w:rPr>
          <w:lang w:val="en-GB"/>
        </w:rPr>
        <w:t xml:space="preserve"> device indicated, the lowest level of interest—reported by as many as 40% of respondents who stated it would not be considered at all—was attributed to the universal combustion furnace. The results obtained positively verify hypothesis 1, that </w:t>
      </w:r>
      <w:r w:rsidR="00191A53">
        <w:rPr>
          <w:lang w:val="en-GB"/>
        </w:rPr>
        <w:t>"</w:t>
      </w:r>
      <w:r w:rsidRPr="00C239D0">
        <w:rPr>
          <w:lang w:val="en-GB"/>
        </w:rPr>
        <w:t>younger generations tend to use devices that enable the use of various forms of energy generation.</w:t>
      </w:r>
      <w:r w:rsidR="00191A53">
        <w:rPr>
          <w:lang w:val="en-GB"/>
        </w:rPr>
        <w:t>"</w:t>
      </w:r>
      <w:r w:rsidRPr="00C239D0">
        <w:rPr>
          <w:lang w:val="en-GB"/>
        </w:rPr>
        <w:t xml:space="preserve"> The study also confirmed the analysis of </w:t>
      </w:r>
      <w:r w:rsidR="00191A53">
        <w:rPr>
          <w:lang w:val="en-GB"/>
        </w:rPr>
        <w:t>"</w:t>
      </w:r>
      <w:r w:rsidRPr="00C239D0">
        <w:rPr>
          <w:lang w:val="en-GB"/>
        </w:rPr>
        <w:t xml:space="preserve">eco-friendly </w:t>
      </w:r>
      <w:proofErr w:type="spellStart"/>
      <w:r w:rsidRPr="00C239D0">
        <w:rPr>
          <w:lang w:val="en-GB"/>
        </w:rPr>
        <w:t>behavior</w:t>
      </w:r>
      <w:proofErr w:type="spellEnd"/>
      <w:r w:rsidR="00191A53">
        <w:rPr>
          <w:lang w:val="en-GB"/>
        </w:rPr>
        <w:t>"</w:t>
      </w:r>
      <w:r w:rsidRPr="00C239D0">
        <w:rPr>
          <w:lang w:val="en-GB"/>
        </w:rPr>
        <w:t xml:space="preserve"> (Joshi &amp; Rahman 2015), as it showed the premises (criteria) that guide young consumers. It was found that the main criteria (evaluated independently) were: quality (58.2%), maintenance costs (52%), purchase price (46.9%), device lifespan (42.9%), and technical specifications (41.8%). Other significant factors included: availability (28.6%), warranty period (25.5%), and ease of use (including, for example, the possibility of remote management) (23.5%). </w:t>
      </w:r>
      <w:r w:rsidR="00191A53">
        <w:rPr>
          <w:lang w:val="en-GB"/>
        </w:rPr>
        <w:t>The r</w:t>
      </w:r>
      <w:r w:rsidRPr="00C239D0">
        <w:rPr>
          <w:lang w:val="en-GB"/>
        </w:rPr>
        <w:t xml:space="preserve">emaining parameters (brand, additional services, media opinion) were found to be less dominant. This is rather surprising, as </w:t>
      </w:r>
      <w:r w:rsidR="00191A53">
        <w:rPr>
          <w:lang w:val="en-GB"/>
        </w:rPr>
        <w:t>"</w:t>
      </w:r>
      <w:r w:rsidRPr="00C239D0">
        <w:rPr>
          <w:lang w:val="en-GB"/>
        </w:rPr>
        <w:t>media opinion</w:t>
      </w:r>
      <w:r w:rsidR="00191A53">
        <w:rPr>
          <w:lang w:val="en-GB"/>
        </w:rPr>
        <w:t>"</w:t>
      </w:r>
      <w:r w:rsidRPr="00C239D0">
        <w:rPr>
          <w:lang w:val="en-GB"/>
        </w:rPr>
        <w:t xml:space="preserve"> and </w:t>
      </w:r>
      <w:r w:rsidR="00191A53">
        <w:rPr>
          <w:lang w:val="en-GB"/>
        </w:rPr>
        <w:t>"</w:t>
      </w:r>
      <w:r w:rsidRPr="00C239D0">
        <w:rPr>
          <w:lang w:val="en-GB"/>
        </w:rPr>
        <w:t>brand</w:t>
      </w:r>
      <w:r w:rsidR="00191A53">
        <w:rPr>
          <w:lang w:val="en-GB"/>
        </w:rPr>
        <w:t>"</w:t>
      </w:r>
      <w:r w:rsidRPr="00C239D0">
        <w:rPr>
          <w:lang w:val="en-GB"/>
        </w:rPr>
        <w:t xml:space="preserve"> were not considered as important, which diverges from theoretical considerations in the relevant literature. Nevertheless, as previously mentioned, the study demonstrated that trust in a brand on social media is crucial when making purchasing decisions (49% of respondents). This discrepancy may have arisen from the way </w:t>
      </w:r>
      <w:r w:rsidR="00191A53">
        <w:rPr>
          <w:lang w:val="en-GB"/>
        </w:rPr>
        <w:t>"</w:t>
      </w:r>
      <w:r w:rsidRPr="00C239D0">
        <w:rPr>
          <w:lang w:val="en-GB"/>
        </w:rPr>
        <w:t>brand</w:t>
      </w:r>
      <w:r w:rsidR="00191A53">
        <w:rPr>
          <w:lang w:val="en-GB"/>
        </w:rPr>
        <w:t>"</w:t>
      </w:r>
      <w:r w:rsidRPr="00C239D0">
        <w:rPr>
          <w:lang w:val="en-GB"/>
        </w:rPr>
        <w:t xml:space="preserve"> and </w:t>
      </w:r>
      <w:r w:rsidR="00191A53">
        <w:rPr>
          <w:lang w:val="en-GB"/>
        </w:rPr>
        <w:t>"</w:t>
      </w:r>
      <w:r w:rsidRPr="00C239D0">
        <w:rPr>
          <w:lang w:val="en-GB"/>
        </w:rPr>
        <w:t>media opinion</w:t>
      </w:r>
      <w:r w:rsidR="00191A53">
        <w:rPr>
          <w:lang w:val="en-GB"/>
        </w:rPr>
        <w:t>"</w:t>
      </w:r>
      <w:r w:rsidRPr="00C239D0">
        <w:rPr>
          <w:lang w:val="en-GB"/>
        </w:rPr>
        <w:t xml:space="preserve"> were identified as factors within the group of purchase determinants. It is also worth noting that media are not the only impulse for the younger generation to make purchases. As indicated by the data in Figure 8, the most significant impulse for purchasing new solutions (devices) is personal experience (47%).</w:t>
      </w:r>
    </w:p>
    <w:p w14:paraId="7848F1DF" w14:textId="77777777" w:rsidR="0057216B" w:rsidRPr="00C239D0" w:rsidRDefault="0057216B" w:rsidP="006C0BEA">
      <w:pPr>
        <w:rPr>
          <w:lang w:val="en-GB"/>
        </w:rPr>
      </w:pPr>
    </w:p>
    <w:p w14:paraId="22D4C173" w14:textId="15A40D36" w:rsidR="00C239D0" w:rsidRPr="00C239D0" w:rsidRDefault="0057216B" w:rsidP="0057216B">
      <w:pPr>
        <w:ind w:firstLine="0"/>
        <w:jc w:val="center"/>
        <w:rPr>
          <w:lang w:val="en-GB"/>
        </w:rPr>
      </w:pPr>
      <w:r>
        <w:rPr>
          <w:noProof/>
        </w:rPr>
        <w:lastRenderedPageBreak/>
        <w:drawing>
          <wp:inline distT="0" distB="0" distL="0" distR="0" wp14:anchorId="519B7EFF" wp14:editId="3EEFF2AE">
            <wp:extent cx="4808788" cy="2961983"/>
            <wp:effectExtent l="0" t="0" r="11430" b="10160"/>
            <wp:docPr id="52528367" name="Wykres 1">
              <a:extLst xmlns:a="http://schemas.openxmlformats.org/drawingml/2006/main">
                <a:ext uri="{FF2B5EF4-FFF2-40B4-BE49-F238E27FC236}">
                  <a16:creationId xmlns:a16="http://schemas.microsoft.com/office/drawing/2014/main" id="{75B3A1A1-7ABD-4C3E-B10B-2E714A6851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70E232E" w14:textId="77777777" w:rsidR="00C239D0" w:rsidRPr="00C239D0" w:rsidRDefault="00C239D0" w:rsidP="006C0BEA">
      <w:pPr>
        <w:pStyle w:val="Rrys"/>
        <w:rPr>
          <w:lang w:val="en-GB"/>
        </w:rPr>
      </w:pPr>
      <w:r w:rsidRPr="006C0BEA">
        <w:rPr>
          <w:b/>
          <w:bCs/>
          <w:lang w:val="en-GB"/>
        </w:rPr>
        <w:t>Fig. 8.</w:t>
      </w:r>
      <w:r w:rsidRPr="00C239D0">
        <w:rPr>
          <w:lang w:val="en-GB"/>
        </w:rPr>
        <w:t xml:space="preserve"> Significance of Factors Stimulating the Decision-Making Process</w:t>
      </w:r>
    </w:p>
    <w:p w14:paraId="546883B6" w14:textId="77777777" w:rsidR="00C239D0" w:rsidRPr="00C239D0" w:rsidRDefault="00C239D0" w:rsidP="00C239D0">
      <w:pPr>
        <w:ind w:firstLine="0"/>
        <w:rPr>
          <w:lang w:val="en-GB"/>
        </w:rPr>
      </w:pPr>
    </w:p>
    <w:p w14:paraId="4891BB74" w14:textId="03E8F013" w:rsidR="00C239D0" w:rsidRDefault="00C239D0" w:rsidP="006C0BEA">
      <w:pPr>
        <w:rPr>
          <w:lang w:val="en-GB"/>
        </w:rPr>
      </w:pPr>
      <w:r w:rsidRPr="00C239D0">
        <w:rPr>
          <w:lang w:val="en-GB"/>
        </w:rPr>
        <w:t>The remaining factors exhibit a varied distribution. It is evident that the opinions of family and friends carry significant weight. Media, particularly social media platforms, also play an important role in shaping knowledge and providing information, for example, by verifying the experiences of others regarding the use or purchase of devices – similarly states (</w:t>
      </w:r>
      <w:proofErr w:type="spellStart"/>
      <w:r w:rsidRPr="00C239D0">
        <w:rPr>
          <w:lang w:val="en-GB"/>
        </w:rPr>
        <w:t>Parzonko</w:t>
      </w:r>
      <w:proofErr w:type="spellEnd"/>
      <w:r w:rsidRPr="00C239D0">
        <w:rPr>
          <w:lang w:val="en-GB"/>
        </w:rPr>
        <w:t xml:space="preserve"> 2015). A fairly significant impulse for consumer action identified by respondents includes </w:t>
      </w:r>
      <w:r w:rsidR="00191A53">
        <w:rPr>
          <w:lang w:val="en-GB"/>
        </w:rPr>
        <w:t>"</w:t>
      </w:r>
      <w:r w:rsidRPr="00C239D0">
        <w:rPr>
          <w:lang w:val="en-GB"/>
        </w:rPr>
        <w:t>media promotions</w:t>
      </w:r>
      <w:r w:rsidR="00191A53">
        <w:rPr>
          <w:lang w:val="en-GB"/>
        </w:rPr>
        <w:t>"</w:t>
      </w:r>
      <w:r w:rsidRPr="00C239D0">
        <w:rPr>
          <w:lang w:val="en-GB"/>
        </w:rPr>
        <w:t xml:space="preserve"> and </w:t>
      </w:r>
      <w:r w:rsidR="00191A53">
        <w:rPr>
          <w:lang w:val="en-GB"/>
        </w:rPr>
        <w:t>"</w:t>
      </w:r>
      <w:r w:rsidRPr="00C239D0">
        <w:rPr>
          <w:lang w:val="en-GB"/>
        </w:rPr>
        <w:t>activities of sales representatives/retailers.</w:t>
      </w:r>
      <w:r w:rsidR="00191A53">
        <w:rPr>
          <w:lang w:val="en-GB"/>
        </w:rPr>
        <w:t>"</w:t>
      </w:r>
      <w:r w:rsidRPr="00C239D0">
        <w:rPr>
          <w:lang w:val="en-GB"/>
        </w:rPr>
        <w:t xml:space="preserve"> It should be noted that the younger consumer society is aware of its actions, which are clearly influenced by economic factors, as illustrated in Figure 6. Economic considerations determine purchasing capabilities, which is why they are so frequently prioritized. Nevertheless, awareness of the decisions being made also indicates </w:t>
      </w:r>
      <w:proofErr w:type="spellStart"/>
      <w:r w:rsidRPr="00C239D0">
        <w:rPr>
          <w:lang w:val="en-GB"/>
        </w:rPr>
        <w:t>behavior</w:t>
      </w:r>
      <w:proofErr w:type="spellEnd"/>
      <w:r w:rsidRPr="00C239D0">
        <w:rPr>
          <w:lang w:val="en-GB"/>
        </w:rPr>
        <w:t xml:space="preserve"> aligned with ethical or ecological considerations. This also positively verifies hypothesis 2, that </w:t>
      </w:r>
      <w:r w:rsidR="00191A53">
        <w:rPr>
          <w:lang w:val="en-GB"/>
        </w:rPr>
        <w:t>"</w:t>
      </w:r>
      <w:r w:rsidRPr="00C239D0">
        <w:rPr>
          <w:lang w:val="en-GB"/>
        </w:rPr>
        <w:t>the young consumer society, despite being aware of the need to care for the natural environment, does not focus on actions that guarantee this success</w:t>
      </w:r>
      <w:r w:rsidR="00191A53">
        <w:rPr>
          <w:lang w:val="en-GB"/>
        </w:rPr>
        <w:t>"</w:t>
      </w:r>
      <w:r w:rsidRPr="00C239D0">
        <w:rPr>
          <w:lang w:val="en-GB"/>
        </w:rPr>
        <w:t>. The least significant factor, according to the study data, is the cultural aspect. When respondents were asked to what extent they would take advantage of the indicated purchasing incentives, answers were highly varied. The majority would use supportive measures (e.g., EU funds) but would not utilize loans, credits, or advisory services (Figure 9). The figure highlights the extreme values for each of the respective incentives.</w:t>
      </w:r>
    </w:p>
    <w:p w14:paraId="67FD0619" w14:textId="77777777" w:rsidR="00764996" w:rsidRPr="00C239D0" w:rsidRDefault="00764996" w:rsidP="006C0BEA">
      <w:pPr>
        <w:rPr>
          <w:lang w:val="en-GB"/>
        </w:rPr>
      </w:pPr>
    </w:p>
    <w:p w14:paraId="19D11EEB" w14:textId="3329CBF3" w:rsidR="00C239D0" w:rsidRPr="00C239D0" w:rsidRDefault="008A40EA" w:rsidP="008A40EA">
      <w:pPr>
        <w:ind w:firstLine="0"/>
        <w:jc w:val="center"/>
        <w:rPr>
          <w:lang w:val="en-GB"/>
        </w:rPr>
      </w:pPr>
      <w:r>
        <w:rPr>
          <w:noProof/>
        </w:rPr>
        <w:drawing>
          <wp:inline distT="0" distB="0" distL="0" distR="0" wp14:anchorId="6581FACC" wp14:editId="12F5A22D">
            <wp:extent cx="5438214" cy="3062960"/>
            <wp:effectExtent l="0" t="0" r="10160" b="4445"/>
            <wp:docPr id="775860774" name="Wykres 1">
              <a:extLst xmlns:a="http://schemas.openxmlformats.org/drawingml/2006/main">
                <a:ext uri="{FF2B5EF4-FFF2-40B4-BE49-F238E27FC236}">
                  <a16:creationId xmlns:a16="http://schemas.microsoft.com/office/drawing/2014/main" id="{7EA5C66E-5EFA-493D-8F71-EF2772C96E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69BE5AE" w14:textId="77777777" w:rsidR="00C239D0" w:rsidRPr="00C239D0" w:rsidRDefault="00C239D0" w:rsidP="006C0BEA">
      <w:pPr>
        <w:pStyle w:val="Rrys"/>
        <w:rPr>
          <w:lang w:val="en-GB"/>
        </w:rPr>
      </w:pPr>
      <w:r w:rsidRPr="006C0BEA">
        <w:rPr>
          <w:b/>
          <w:bCs/>
          <w:lang w:val="en-GB"/>
        </w:rPr>
        <w:t>Fig. 9.</w:t>
      </w:r>
      <w:r w:rsidRPr="00C239D0">
        <w:rPr>
          <w:lang w:val="en-GB"/>
        </w:rPr>
        <w:t xml:space="preserve"> Incentives Influencing Consumer </w:t>
      </w:r>
      <w:proofErr w:type="spellStart"/>
      <w:r w:rsidRPr="00C239D0">
        <w:rPr>
          <w:lang w:val="en-GB"/>
        </w:rPr>
        <w:t>Behavior</w:t>
      </w:r>
      <w:proofErr w:type="spellEnd"/>
    </w:p>
    <w:p w14:paraId="25C7028E" w14:textId="1FBE02CD" w:rsidR="00C239D0" w:rsidRPr="00C239D0" w:rsidRDefault="00C239D0" w:rsidP="006C0BEA">
      <w:pPr>
        <w:rPr>
          <w:lang w:val="en-GB"/>
        </w:rPr>
      </w:pPr>
      <w:r w:rsidRPr="00C239D0">
        <w:rPr>
          <w:lang w:val="en-GB"/>
        </w:rPr>
        <w:lastRenderedPageBreak/>
        <w:t>The data indicate a lack of trust in external advisory and financial firms. Only EU funds, as investment support, are perceived positively. This confirms the cognitive-theoretical thesis that the younger consumer society relies more on knowledge obtained from media than from professional advisory entities. In other words, they constitute a society oriented toward digitalization and mobile solutions rather than traditional methods of reaching clients and building relationships, which is further evidenced by the highest preference for the possibility of conducting transactions online.</w:t>
      </w:r>
    </w:p>
    <w:p w14:paraId="5EB9B9DB" w14:textId="2CD406EA" w:rsidR="00C239D0" w:rsidRPr="00C239D0" w:rsidRDefault="006C0BEA" w:rsidP="006C0BEA">
      <w:pPr>
        <w:pStyle w:val="Rn1"/>
        <w:rPr>
          <w:lang w:val="en-GB"/>
        </w:rPr>
      </w:pPr>
      <w:r>
        <w:rPr>
          <w:lang w:val="en-GB"/>
        </w:rPr>
        <w:t xml:space="preserve">6. </w:t>
      </w:r>
      <w:r w:rsidR="00C239D0" w:rsidRPr="00C239D0">
        <w:rPr>
          <w:lang w:val="en-GB"/>
        </w:rPr>
        <w:t>Conclusions</w:t>
      </w:r>
    </w:p>
    <w:p w14:paraId="161BF036" w14:textId="5A5E3E3E" w:rsidR="00C239D0" w:rsidRDefault="00C239D0" w:rsidP="006C0BEA">
      <w:pPr>
        <w:rPr>
          <w:lang w:val="en-GB"/>
        </w:rPr>
      </w:pPr>
      <w:r w:rsidRPr="00C239D0">
        <w:rPr>
          <w:lang w:val="en-GB"/>
        </w:rPr>
        <w:t xml:space="preserve">A review of both domestic and international literature indicated a varied identification of factors shaping the </w:t>
      </w:r>
      <w:proofErr w:type="spellStart"/>
      <w:r w:rsidRPr="00C239D0">
        <w:rPr>
          <w:lang w:val="en-GB"/>
        </w:rPr>
        <w:t>behavior</w:t>
      </w:r>
      <w:proofErr w:type="spellEnd"/>
      <w:r w:rsidRPr="00C239D0">
        <w:rPr>
          <w:lang w:val="en-GB"/>
        </w:rPr>
        <w:t xml:space="preserve"> of the younger consumer generation. The identification of areas and variable factors, within the framework of the proposed scheme for </w:t>
      </w:r>
      <w:proofErr w:type="spellStart"/>
      <w:r w:rsidRPr="00C239D0">
        <w:rPr>
          <w:lang w:val="en-GB"/>
        </w:rPr>
        <w:t>analyzing</w:t>
      </w:r>
      <w:proofErr w:type="spellEnd"/>
      <w:r w:rsidRPr="00C239D0">
        <w:rPr>
          <w:lang w:val="en-GB"/>
        </w:rPr>
        <w:t xml:space="preserve"> the phenomenon of young consumers</w:t>
      </w:r>
      <w:r w:rsidR="00191A53">
        <w:rPr>
          <w:lang w:val="en-GB"/>
        </w:rPr>
        <w:t>'</w:t>
      </w:r>
      <w:r w:rsidRPr="00C239D0">
        <w:rPr>
          <w:lang w:val="en-GB"/>
        </w:rPr>
        <w:t xml:space="preserve"> </w:t>
      </w:r>
      <w:proofErr w:type="spellStart"/>
      <w:r w:rsidRPr="00C239D0">
        <w:rPr>
          <w:lang w:val="en-GB"/>
        </w:rPr>
        <w:t>behavior</w:t>
      </w:r>
      <w:proofErr w:type="spellEnd"/>
      <w:r w:rsidRPr="00C239D0">
        <w:rPr>
          <w:lang w:val="en-GB"/>
        </w:rPr>
        <w:t>, enabled the conduction of the study. The study was carried out using an original survey questionnaire, through which an attempt was made to assess which variables, and with what intensity, influence the decision-making process in the area of sustainable energy development. The shaded areas presented in Figure 10 represent the domains that the authors were able to examine in terms of the significance of factor influence.</w:t>
      </w:r>
    </w:p>
    <w:p w14:paraId="716833D6" w14:textId="77777777" w:rsidR="00C631F0" w:rsidRPr="00C239D0" w:rsidRDefault="00C631F0" w:rsidP="006C0BEA">
      <w:pPr>
        <w:rPr>
          <w:lang w:val="en-GB"/>
        </w:rPr>
      </w:pPr>
    </w:p>
    <w:p w14:paraId="48DAFF70" w14:textId="281E2583" w:rsidR="00C239D0" w:rsidRPr="00C239D0" w:rsidRDefault="0072775A" w:rsidP="00C631F0">
      <w:pPr>
        <w:ind w:firstLine="0"/>
        <w:jc w:val="center"/>
        <w:rPr>
          <w:lang w:val="en-GB"/>
        </w:rPr>
      </w:pPr>
      <w:r>
        <w:rPr>
          <w:rFonts w:cs="Times New Roman"/>
          <w:color w:val="231F20"/>
          <w:lang w:val="en-US"/>
        </w:rPr>
        <w:object w:dxaOrig="9583" w:dyaOrig="5394" w14:anchorId="2E794EF7">
          <v:shape id="_x0000_i1026" type="#_x0000_t75" style="width:471.9pt;height:309.05pt" o:ole="">
            <v:imagedata r:id="rId18" o:title="" croptop="3534f" cropbottom="2670f" cropleft="4060f" cropright="12542f"/>
          </v:shape>
          <o:OLEObject Type="Embed" ProgID="PowerPoint.Slide.12" ShapeID="_x0000_i1026" DrawAspect="Content" ObjectID="_1827557050" r:id="rId19"/>
        </w:object>
      </w:r>
    </w:p>
    <w:p w14:paraId="148651E5" w14:textId="77777777" w:rsidR="00C239D0" w:rsidRPr="00C239D0" w:rsidRDefault="00C239D0" w:rsidP="006C0BEA">
      <w:pPr>
        <w:pStyle w:val="Rrys"/>
        <w:rPr>
          <w:lang w:val="en-GB"/>
        </w:rPr>
      </w:pPr>
      <w:r w:rsidRPr="006C0BEA">
        <w:rPr>
          <w:b/>
          <w:bCs/>
          <w:lang w:val="en-GB"/>
        </w:rPr>
        <w:t>Fig. 10.</w:t>
      </w:r>
      <w:r w:rsidRPr="00C239D0">
        <w:rPr>
          <w:lang w:val="en-GB"/>
        </w:rPr>
        <w:t xml:space="preserve"> Identification of research on the evolution of selected areas of consumer trends</w:t>
      </w:r>
    </w:p>
    <w:p w14:paraId="4B0A491F" w14:textId="77777777" w:rsidR="006C0BEA" w:rsidRDefault="006C0BEA" w:rsidP="00C239D0">
      <w:pPr>
        <w:ind w:firstLine="0"/>
        <w:rPr>
          <w:lang w:val="en-GB"/>
        </w:rPr>
      </w:pPr>
    </w:p>
    <w:p w14:paraId="00006861" w14:textId="3C70B631" w:rsidR="00C239D0" w:rsidRPr="00C239D0" w:rsidRDefault="00C239D0" w:rsidP="006C0BEA">
      <w:pPr>
        <w:rPr>
          <w:lang w:val="en-GB"/>
        </w:rPr>
      </w:pPr>
      <w:r w:rsidRPr="00C239D0">
        <w:rPr>
          <w:lang w:val="en-GB"/>
        </w:rPr>
        <w:t>The study demonstrated that the younger generation makes conscious choices. Their knowledge of sustainable energy development, across various aspects, is moderate but satisfactory. Over 55% of respondents indicated that they are familiar with sustainable development policies and the actions implemented under the corresponding guidelines. The awareness of the younger generation reflects a willingness to undertake investment actions aligned with renewable energy sources (RES), particularly in the purchase of end-use devices, while unequivocally rejecting the purchase of a universal combustion furnace (40% of responses), the use of which negatively impacts the natural environment. The research results indicate that numerous factors influence the decision-making process, and many of them also initiate the process itself. Based on the presented content and research findings, the proposed hypotheses are confirmed.</w:t>
      </w:r>
    </w:p>
    <w:p w14:paraId="4D147653" w14:textId="77777777" w:rsidR="00C631F0" w:rsidRDefault="00C631F0">
      <w:pPr>
        <w:spacing w:after="160" w:line="259" w:lineRule="auto"/>
        <w:ind w:firstLine="0"/>
        <w:jc w:val="left"/>
        <w:rPr>
          <w:b/>
          <w:lang w:val="en-GB"/>
        </w:rPr>
      </w:pPr>
      <w:r>
        <w:rPr>
          <w:lang w:val="en-GB"/>
        </w:rPr>
        <w:br w:type="page"/>
      </w:r>
    </w:p>
    <w:p w14:paraId="2AB10ED5" w14:textId="35C7CD1C" w:rsidR="00C239D0" w:rsidRPr="00C239D0" w:rsidRDefault="00C239D0" w:rsidP="006C0BEA">
      <w:pPr>
        <w:pStyle w:val="Rn2"/>
        <w:rPr>
          <w:lang w:val="en-GB"/>
        </w:rPr>
      </w:pPr>
      <w:r w:rsidRPr="00C239D0">
        <w:rPr>
          <w:lang w:val="en-GB"/>
        </w:rPr>
        <w:lastRenderedPageBreak/>
        <w:t>References</w:t>
      </w:r>
    </w:p>
    <w:p w14:paraId="6592C0B1" w14:textId="284BF969" w:rsidR="00C239D0" w:rsidRPr="00C239D0" w:rsidRDefault="00C239D0" w:rsidP="006C0BEA">
      <w:pPr>
        <w:pStyle w:val="Rlit"/>
      </w:pPr>
      <w:r w:rsidRPr="00C239D0">
        <w:t>Appelbaum, S.</w:t>
      </w:r>
      <w:r w:rsidR="00D82715">
        <w:t xml:space="preserve"> </w:t>
      </w:r>
      <w:r w:rsidRPr="00C239D0">
        <w:t>H.</w:t>
      </w:r>
      <w:r w:rsidR="00D82715">
        <w:t>,</w:t>
      </w:r>
      <w:r w:rsidRPr="00C239D0">
        <w:t xml:space="preserve"> Serena, M.</w:t>
      </w:r>
      <w:r w:rsidR="00D82715">
        <w:t>,</w:t>
      </w:r>
      <w:r w:rsidRPr="00C239D0">
        <w:t xml:space="preserve"> </w:t>
      </w:r>
      <w:r w:rsidR="00D82715">
        <w:t xml:space="preserve">&amp; </w:t>
      </w:r>
      <w:r w:rsidRPr="00C239D0">
        <w:t>Shapiro, B.</w:t>
      </w:r>
      <w:r w:rsidR="00D82715">
        <w:t xml:space="preserve"> </w:t>
      </w:r>
      <w:r w:rsidRPr="00C239D0">
        <w:t xml:space="preserve">T. (2005). Generation </w:t>
      </w:r>
      <w:r w:rsidR="00191A53">
        <w:t>"</w:t>
      </w:r>
      <w:r w:rsidRPr="00C239D0">
        <w:t>X</w:t>
      </w:r>
      <w:r w:rsidR="00191A53">
        <w:t>"</w:t>
      </w:r>
      <w:r w:rsidRPr="00C239D0">
        <w:t xml:space="preserve"> and the boomers: an analysis of realities and myths. </w:t>
      </w:r>
      <w:r w:rsidRPr="00D82715">
        <w:rPr>
          <w:i/>
          <w:iCs/>
        </w:rPr>
        <w:t>Management Research News</w:t>
      </w:r>
      <w:r w:rsidRPr="00C239D0">
        <w:t xml:space="preserve">, </w:t>
      </w:r>
      <w:r w:rsidRPr="00D82715">
        <w:rPr>
          <w:i/>
          <w:iCs/>
        </w:rPr>
        <w:t>28</w:t>
      </w:r>
      <w:r w:rsidRPr="00C239D0">
        <w:t>(1), 1</w:t>
      </w:r>
      <w:r w:rsidR="00D82715">
        <w:t>-</w:t>
      </w:r>
      <w:r w:rsidRPr="00C239D0">
        <w:t>33.</w:t>
      </w:r>
    </w:p>
    <w:p w14:paraId="49F74095" w14:textId="61F81F49" w:rsidR="00C239D0" w:rsidRPr="00C239D0" w:rsidRDefault="00C239D0" w:rsidP="00D82715">
      <w:pPr>
        <w:pStyle w:val="Rlit"/>
        <w:jc w:val="left"/>
      </w:pPr>
      <w:r w:rsidRPr="00C239D0">
        <w:t xml:space="preserve">Aziewicz, A. (2023). </w:t>
      </w:r>
      <w:proofErr w:type="spellStart"/>
      <w:r w:rsidRPr="00C239D0">
        <w:t>Modele</w:t>
      </w:r>
      <w:proofErr w:type="spellEnd"/>
      <w:r w:rsidRPr="00C239D0">
        <w:t xml:space="preserve"> </w:t>
      </w:r>
      <w:proofErr w:type="spellStart"/>
      <w:r w:rsidRPr="00C239D0">
        <w:t>postępowania</w:t>
      </w:r>
      <w:proofErr w:type="spellEnd"/>
      <w:r w:rsidRPr="00C239D0">
        <w:t xml:space="preserve"> </w:t>
      </w:r>
      <w:proofErr w:type="spellStart"/>
      <w:r w:rsidRPr="00C239D0">
        <w:t>konsumentów</w:t>
      </w:r>
      <w:proofErr w:type="spellEnd"/>
      <w:r w:rsidRPr="00C239D0">
        <w:t xml:space="preserve"> </w:t>
      </w:r>
      <w:proofErr w:type="spellStart"/>
      <w:r w:rsidRPr="00C239D0">
        <w:t>na</w:t>
      </w:r>
      <w:proofErr w:type="spellEnd"/>
      <w:r w:rsidRPr="00C239D0">
        <w:t xml:space="preserve"> </w:t>
      </w:r>
      <w:proofErr w:type="spellStart"/>
      <w:r w:rsidRPr="00C239D0">
        <w:t>rynku</w:t>
      </w:r>
      <w:proofErr w:type="spellEnd"/>
      <w:r w:rsidRPr="00C239D0">
        <w:t xml:space="preserve"> a </w:t>
      </w:r>
      <w:proofErr w:type="spellStart"/>
      <w:r w:rsidRPr="00C239D0">
        <w:t>wybrane</w:t>
      </w:r>
      <w:proofErr w:type="spellEnd"/>
      <w:r w:rsidRPr="00C239D0">
        <w:t xml:space="preserve"> </w:t>
      </w:r>
      <w:proofErr w:type="spellStart"/>
      <w:r w:rsidRPr="00C239D0">
        <w:t>czynniki</w:t>
      </w:r>
      <w:proofErr w:type="spellEnd"/>
      <w:r w:rsidRPr="00C239D0">
        <w:t xml:space="preserve"> </w:t>
      </w:r>
      <w:proofErr w:type="spellStart"/>
      <w:r w:rsidRPr="00C239D0">
        <w:t>wpływające</w:t>
      </w:r>
      <w:proofErr w:type="spellEnd"/>
      <w:r w:rsidRPr="00C239D0">
        <w:t xml:space="preserve"> </w:t>
      </w:r>
      <w:proofErr w:type="spellStart"/>
      <w:r w:rsidRPr="00C239D0">
        <w:t>na</w:t>
      </w:r>
      <w:proofErr w:type="spellEnd"/>
      <w:r w:rsidRPr="00C239D0">
        <w:t xml:space="preserve"> </w:t>
      </w:r>
      <w:proofErr w:type="spellStart"/>
      <w:r w:rsidRPr="00C239D0">
        <w:t>zachowania</w:t>
      </w:r>
      <w:proofErr w:type="spellEnd"/>
      <w:r w:rsidRPr="00C239D0">
        <w:t xml:space="preserve"> </w:t>
      </w:r>
      <w:proofErr w:type="spellStart"/>
      <w:r w:rsidRPr="00C239D0">
        <w:t>konsumentów</w:t>
      </w:r>
      <w:proofErr w:type="spellEnd"/>
      <w:r w:rsidRPr="00C239D0">
        <w:t xml:space="preserve"> </w:t>
      </w:r>
      <w:proofErr w:type="spellStart"/>
      <w:r w:rsidRPr="00C239D0">
        <w:t>na</w:t>
      </w:r>
      <w:proofErr w:type="spellEnd"/>
      <w:r w:rsidRPr="00C239D0">
        <w:t xml:space="preserve"> </w:t>
      </w:r>
      <w:proofErr w:type="spellStart"/>
      <w:r w:rsidRPr="00C239D0">
        <w:t>rynku</w:t>
      </w:r>
      <w:proofErr w:type="spellEnd"/>
      <w:r w:rsidRPr="00C239D0">
        <w:t xml:space="preserve"> </w:t>
      </w:r>
      <w:proofErr w:type="spellStart"/>
      <w:r w:rsidRPr="00C239D0">
        <w:t>energii</w:t>
      </w:r>
      <w:proofErr w:type="spellEnd"/>
      <w:r w:rsidRPr="00C239D0">
        <w:t xml:space="preserve"> </w:t>
      </w:r>
      <w:proofErr w:type="spellStart"/>
      <w:r w:rsidRPr="00C239D0">
        <w:t>elektrycznej</w:t>
      </w:r>
      <w:proofErr w:type="spellEnd"/>
      <w:r w:rsidRPr="00C239D0">
        <w:t xml:space="preserve"> w Polsce. </w:t>
      </w:r>
      <w:proofErr w:type="spellStart"/>
      <w:r w:rsidRPr="00D82715">
        <w:rPr>
          <w:i/>
          <w:iCs/>
        </w:rPr>
        <w:t>Ekonomia</w:t>
      </w:r>
      <w:proofErr w:type="spellEnd"/>
      <w:r w:rsidRPr="00D82715">
        <w:rPr>
          <w:i/>
          <w:iCs/>
        </w:rPr>
        <w:t xml:space="preserve"> </w:t>
      </w:r>
      <w:proofErr w:type="spellStart"/>
      <w:r w:rsidRPr="00D82715">
        <w:rPr>
          <w:i/>
          <w:iCs/>
        </w:rPr>
        <w:t>Międzynarodowa</w:t>
      </w:r>
      <w:proofErr w:type="spellEnd"/>
      <w:r w:rsidRPr="00C239D0">
        <w:t xml:space="preserve">, </w:t>
      </w:r>
      <w:r w:rsidRPr="00D82715">
        <w:rPr>
          <w:i/>
          <w:iCs/>
        </w:rPr>
        <w:t>44</w:t>
      </w:r>
      <w:r w:rsidRPr="00C239D0">
        <w:t xml:space="preserve">, 5-26. </w:t>
      </w:r>
      <w:r w:rsidR="00D82715">
        <w:t xml:space="preserve">(in Polish) </w:t>
      </w:r>
      <w:r w:rsidRPr="00C239D0">
        <w:t>https://doi.org/10.18778/2082-4440.44.01</w:t>
      </w:r>
    </w:p>
    <w:p w14:paraId="2D757EC1" w14:textId="55EA4016" w:rsidR="00C239D0" w:rsidRPr="00C239D0" w:rsidRDefault="00C239D0" w:rsidP="00D82715">
      <w:pPr>
        <w:pStyle w:val="Rlit"/>
        <w:jc w:val="left"/>
      </w:pPr>
      <w:proofErr w:type="spellStart"/>
      <w:r w:rsidRPr="00C239D0">
        <w:t>Barczykowska</w:t>
      </w:r>
      <w:proofErr w:type="spellEnd"/>
      <w:r w:rsidRPr="00C239D0">
        <w:t xml:space="preserve">, A., </w:t>
      </w:r>
      <w:r w:rsidR="00D82715">
        <w:t xml:space="preserve">&amp; </w:t>
      </w:r>
      <w:r w:rsidRPr="00C239D0">
        <w:t xml:space="preserve">Pawełek, K. (2021). </w:t>
      </w:r>
      <w:proofErr w:type="spellStart"/>
      <w:r w:rsidRPr="00C239D0">
        <w:t>Pokolenia</w:t>
      </w:r>
      <w:proofErr w:type="spellEnd"/>
      <w:r w:rsidRPr="00C239D0">
        <w:t xml:space="preserve"> </w:t>
      </w:r>
      <w:proofErr w:type="spellStart"/>
      <w:r w:rsidRPr="00C239D0">
        <w:t>wobec</w:t>
      </w:r>
      <w:proofErr w:type="spellEnd"/>
      <w:r w:rsidRPr="00C239D0">
        <w:t xml:space="preserve"> </w:t>
      </w:r>
      <w:proofErr w:type="spellStart"/>
      <w:r w:rsidRPr="00C239D0">
        <w:t>pandemii</w:t>
      </w:r>
      <w:proofErr w:type="spellEnd"/>
      <w:r w:rsidRPr="00C239D0">
        <w:t xml:space="preserve"> Covid-19. </w:t>
      </w:r>
      <w:r w:rsidRPr="00D82715">
        <w:rPr>
          <w:i/>
          <w:iCs/>
        </w:rPr>
        <w:t xml:space="preserve">Lubelski </w:t>
      </w:r>
      <w:proofErr w:type="spellStart"/>
      <w:r w:rsidRPr="00D82715">
        <w:rPr>
          <w:i/>
          <w:iCs/>
        </w:rPr>
        <w:t>Rocznik</w:t>
      </w:r>
      <w:proofErr w:type="spellEnd"/>
      <w:r w:rsidRPr="00D82715">
        <w:rPr>
          <w:i/>
          <w:iCs/>
        </w:rPr>
        <w:t xml:space="preserve"> Pedagogiczny</w:t>
      </w:r>
      <w:r w:rsidRPr="00C239D0">
        <w:t xml:space="preserve">, </w:t>
      </w:r>
      <w:r w:rsidRPr="00D82715">
        <w:rPr>
          <w:i/>
          <w:iCs/>
        </w:rPr>
        <w:t>4</w:t>
      </w:r>
      <w:r w:rsidRPr="00C239D0">
        <w:t>, 28.</w:t>
      </w:r>
      <w:r w:rsidR="00D82715">
        <w:t xml:space="preserve"> </w:t>
      </w:r>
      <w:r w:rsidR="00D82715">
        <w:br/>
        <w:t>(in Polish)</w:t>
      </w:r>
    </w:p>
    <w:p w14:paraId="0F8C77CD" w14:textId="316B5D5E" w:rsidR="00C239D0" w:rsidRPr="00C239D0" w:rsidRDefault="00C239D0" w:rsidP="006C0BEA">
      <w:pPr>
        <w:pStyle w:val="Rlit"/>
      </w:pPr>
      <w:r w:rsidRPr="00C239D0">
        <w:t xml:space="preserve">Biermann, F., Hickmann, T., </w:t>
      </w:r>
      <w:proofErr w:type="spellStart"/>
      <w:r w:rsidRPr="00C239D0">
        <w:t>Sénit</w:t>
      </w:r>
      <w:proofErr w:type="spellEnd"/>
      <w:r w:rsidRPr="00C239D0">
        <w:t>, C.</w:t>
      </w:r>
      <w:r w:rsidR="008A7A74">
        <w:t xml:space="preserve"> </w:t>
      </w:r>
      <w:r w:rsidRPr="00C239D0">
        <w:t>A., Beisheim, M., Bernstein, S., Chasek, P., Grob, L., Kim, R.</w:t>
      </w:r>
      <w:r w:rsidR="008A7A74">
        <w:t xml:space="preserve"> </w:t>
      </w:r>
      <w:r w:rsidRPr="00C239D0">
        <w:t xml:space="preserve">E., </w:t>
      </w:r>
      <w:proofErr w:type="spellStart"/>
      <w:r w:rsidRPr="00C239D0">
        <w:t>Kotzé</w:t>
      </w:r>
      <w:proofErr w:type="spellEnd"/>
      <w:r w:rsidRPr="00C239D0">
        <w:t>, L.</w:t>
      </w:r>
      <w:r w:rsidR="008A7A74">
        <w:t xml:space="preserve"> </w:t>
      </w:r>
      <w:r w:rsidRPr="00C239D0">
        <w:t>J., Nilsson, M., Llanos, A.</w:t>
      </w:r>
      <w:r w:rsidR="008A7A74">
        <w:t xml:space="preserve"> </w:t>
      </w:r>
      <w:r w:rsidRPr="00C239D0">
        <w:t xml:space="preserve">O., Okereke, C., Pradhan, P., Raven, R., Sun, Y., </w:t>
      </w:r>
      <w:proofErr w:type="spellStart"/>
      <w:r w:rsidRPr="00C239D0">
        <w:t>Vijge</w:t>
      </w:r>
      <w:proofErr w:type="spellEnd"/>
      <w:r w:rsidRPr="00C239D0">
        <w:t>, M.</w:t>
      </w:r>
      <w:r w:rsidR="008A7A74">
        <w:t xml:space="preserve"> </w:t>
      </w:r>
      <w:r w:rsidRPr="00C239D0">
        <w:t xml:space="preserve">J., van Vuuren, D., </w:t>
      </w:r>
      <w:r w:rsidR="008A7A74">
        <w:t xml:space="preserve">&amp; </w:t>
      </w:r>
      <w:r w:rsidRPr="00C239D0">
        <w:t xml:space="preserve">Wicke, B. (2022). Scientific evidence on the political impact of the Sustainable Development Goals. </w:t>
      </w:r>
      <w:r w:rsidRPr="008A7A74">
        <w:rPr>
          <w:i/>
          <w:iCs/>
        </w:rPr>
        <w:t>Nature Sustainability</w:t>
      </w:r>
      <w:r w:rsidRPr="00C239D0">
        <w:t xml:space="preserve">, </w:t>
      </w:r>
      <w:r w:rsidRPr="008A7A74">
        <w:rPr>
          <w:i/>
          <w:iCs/>
        </w:rPr>
        <w:t>5</w:t>
      </w:r>
      <w:r w:rsidRPr="00C239D0">
        <w:t>(9), 795-800. https://doi.org/10.1038/s41893-022-00909-5</w:t>
      </w:r>
    </w:p>
    <w:p w14:paraId="1ADCA41B" w14:textId="645734AD" w:rsidR="00C239D0" w:rsidRPr="00C239D0" w:rsidRDefault="00C239D0" w:rsidP="006C0BEA">
      <w:pPr>
        <w:pStyle w:val="Rlit"/>
      </w:pPr>
      <w:proofErr w:type="spellStart"/>
      <w:r w:rsidRPr="00C239D0">
        <w:t>Biesbroek</w:t>
      </w:r>
      <w:proofErr w:type="spellEnd"/>
      <w:r w:rsidRPr="00C239D0">
        <w:t>, G.</w:t>
      </w:r>
      <w:r w:rsidR="008A7A74">
        <w:t xml:space="preserve"> </w:t>
      </w:r>
      <w:r w:rsidRPr="00C239D0">
        <w:t>R., Swart, R.</w:t>
      </w:r>
      <w:r w:rsidR="008A7A74">
        <w:t xml:space="preserve"> </w:t>
      </w:r>
      <w:r w:rsidRPr="00C239D0">
        <w:t>J., Carter, T.</w:t>
      </w:r>
      <w:r w:rsidR="008A7A74">
        <w:t xml:space="preserve"> </w:t>
      </w:r>
      <w:r w:rsidRPr="00C239D0">
        <w:t xml:space="preserve">R., Cowan, C., Henrichs, T., Mela, H., </w:t>
      </w:r>
      <w:proofErr w:type="spellStart"/>
      <w:r w:rsidRPr="00C239D0">
        <w:t>Morecroft</w:t>
      </w:r>
      <w:proofErr w:type="spellEnd"/>
      <w:r w:rsidRPr="00C239D0">
        <w:t>, M.</w:t>
      </w:r>
      <w:r w:rsidR="008A7A74">
        <w:t xml:space="preserve"> </w:t>
      </w:r>
      <w:r w:rsidRPr="00C239D0">
        <w:t xml:space="preserve">D., </w:t>
      </w:r>
      <w:r w:rsidR="008A7A74">
        <w:t xml:space="preserve">&amp; </w:t>
      </w:r>
      <w:r w:rsidRPr="00C239D0">
        <w:t xml:space="preserve">Rey, D. (2010). Europe adapts to climate change: comparing national adaptation strategies. </w:t>
      </w:r>
      <w:r w:rsidRPr="008A7A74">
        <w:rPr>
          <w:i/>
          <w:iCs/>
        </w:rPr>
        <w:t>Global Environmental Change</w:t>
      </w:r>
      <w:r w:rsidRPr="00C239D0">
        <w:t xml:space="preserve">, </w:t>
      </w:r>
      <w:r w:rsidRPr="008A7A74">
        <w:rPr>
          <w:i/>
          <w:iCs/>
        </w:rPr>
        <w:t>20</w:t>
      </w:r>
      <w:r w:rsidRPr="00C239D0">
        <w:t>(3), 440-450. https://doi.org/10.1016/j.gloenvcha.2010.03.005</w:t>
      </w:r>
    </w:p>
    <w:p w14:paraId="1D904EDE" w14:textId="1F4D2CD5" w:rsidR="00C239D0" w:rsidRPr="00C239D0" w:rsidRDefault="00C239D0" w:rsidP="008A7A74">
      <w:pPr>
        <w:pStyle w:val="Rlit"/>
        <w:jc w:val="left"/>
      </w:pPr>
      <w:r w:rsidRPr="00C239D0">
        <w:t xml:space="preserve">Błoński, K., </w:t>
      </w:r>
      <w:proofErr w:type="spellStart"/>
      <w:r w:rsidRPr="00C239D0">
        <w:t>Dąbrowska</w:t>
      </w:r>
      <w:proofErr w:type="spellEnd"/>
      <w:r w:rsidRPr="00C239D0">
        <w:t xml:space="preserve">, A., </w:t>
      </w:r>
      <w:r w:rsidR="008A7A74">
        <w:t xml:space="preserve">&amp; </w:t>
      </w:r>
      <w:proofErr w:type="spellStart"/>
      <w:r w:rsidRPr="00C239D0">
        <w:t>Shulhina</w:t>
      </w:r>
      <w:proofErr w:type="spellEnd"/>
      <w:r w:rsidRPr="00C239D0">
        <w:t xml:space="preserve">, L. (2023). Similarities and differences in the green attitudes of consumers from different age generations – international comparisons. </w:t>
      </w:r>
      <w:r w:rsidRPr="008A7A74">
        <w:rPr>
          <w:i/>
          <w:iCs/>
        </w:rPr>
        <w:t xml:space="preserve">Acta Sci. Pol. </w:t>
      </w:r>
      <w:proofErr w:type="spellStart"/>
      <w:r w:rsidRPr="008A7A74">
        <w:rPr>
          <w:i/>
          <w:iCs/>
        </w:rPr>
        <w:t>Oeconomia</w:t>
      </w:r>
      <w:proofErr w:type="spellEnd"/>
      <w:r w:rsidRPr="00C239D0">
        <w:t xml:space="preserve">, </w:t>
      </w:r>
      <w:r w:rsidRPr="008A7A74">
        <w:rPr>
          <w:i/>
          <w:iCs/>
        </w:rPr>
        <w:t>22</w:t>
      </w:r>
      <w:r w:rsidRPr="00C239D0">
        <w:t>(4), 15</w:t>
      </w:r>
      <w:r w:rsidR="008A7A74">
        <w:t>-</w:t>
      </w:r>
      <w:r w:rsidRPr="00C239D0">
        <w:t xml:space="preserve">30, </w:t>
      </w:r>
      <w:r w:rsidR="008A7A74" w:rsidRPr="008A7A74">
        <w:t>https://doi.org/</w:t>
      </w:r>
      <w:r w:rsidRPr="00C239D0">
        <w:t>10.22630/ASPE.2023.22.4.22</w:t>
      </w:r>
    </w:p>
    <w:p w14:paraId="442E50D2" w14:textId="6A74EEF6" w:rsidR="00C239D0" w:rsidRPr="0053400F" w:rsidRDefault="00C239D0" w:rsidP="006C0BEA">
      <w:pPr>
        <w:pStyle w:val="Rlit"/>
        <w:rPr>
          <w:spacing w:val="-4"/>
        </w:rPr>
      </w:pPr>
      <w:proofErr w:type="spellStart"/>
      <w:r w:rsidRPr="0053400F">
        <w:rPr>
          <w:spacing w:val="-4"/>
        </w:rPr>
        <w:t>Bluszcz</w:t>
      </w:r>
      <w:proofErr w:type="spellEnd"/>
      <w:r w:rsidRPr="0053400F">
        <w:rPr>
          <w:spacing w:val="-4"/>
        </w:rPr>
        <w:t xml:space="preserve">, A., </w:t>
      </w:r>
      <w:proofErr w:type="spellStart"/>
      <w:r w:rsidRPr="0053400F">
        <w:rPr>
          <w:spacing w:val="-4"/>
        </w:rPr>
        <w:t>Manowska</w:t>
      </w:r>
      <w:proofErr w:type="spellEnd"/>
      <w:r w:rsidRPr="0053400F">
        <w:rPr>
          <w:spacing w:val="-4"/>
        </w:rPr>
        <w:t xml:space="preserve">, A., </w:t>
      </w:r>
      <w:r w:rsidR="008A7A74" w:rsidRPr="0053400F">
        <w:rPr>
          <w:spacing w:val="-4"/>
        </w:rPr>
        <w:t xml:space="preserve">&amp; </w:t>
      </w:r>
      <w:r w:rsidRPr="0053400F">
        <w:rPr>
          <w:spacing w:val="-4"/>
        </w:rPr>
        <w:t>Mansor, N.</w:t>
      </w:r>
      <w:r w:rsidR="008A7A74" w:rsidRPr="0053400F">
        <w:rPr>
          <w:spacing w:val="-4"/>
        </w:rPr>
        <w:t xml:space="preserve"> </w:t>
      </w:r>
      <w:r w:rsidRPr="0053400F">
        <w:rPr>
          <w:spacing w:val="-4"/>
        </w:rPr>
        <w:t xml:space="preserve">S. (2025). Decoupling Economy Growth and Emissions: Energy Transition Pathways Under the European Agenda for Climate Action. </w:t>
      </w:r>
      <w:r w:rsidRPr="0053400F">
        <w:rPr>
          <w:i/>
          <w:iCs/>
          <w:spacing w:val="-4"/>
        </w:rPr>
        <w:t>Energies</w:t>
      </w:r>
      <w:r w:rsidRPr="0053400F">
        <w:rPr>
          <w:spacing w:val="-4"/>
        </w:rPr>
        <w:t xml:space="preserve">, </w:t>
      </w:r>
      <w:r w:rsidRPr="0053400F">
        <w:rPr>
          <w:i/>
          <w:iCs/>
          <w:spacing w:val="-4"/>
        </w:rPr>
        <w:t>18</w:t>
      </w:r>
      <w:r w:rsidRPr="0053400F">
        <w:rPr>
          <w:spacing w:val="-4"/>
        </w:rPr>
        <w:t>(19), 5096. https://doi.org/10.3390/en 18195096</w:t>
      </w:r>
    </w:p>
    <w:p w14:paraId="3FDF6EA4" w14:textId="4AD9D285" w:rsidR="00C239D0" w:rsidRPr="00C239D0" w:rsidRDefault="00C239D0" w:rsidP="006C0BEA">
      <w:pPr>
        <w:pStyle w:val="Rlit"/>
      </w:pPr>
      <w:r w:rsidRPr="00C239D0">
        <w:t>Borgardt</w:t>
      </w:r>
      <w:r w:rsidR="00610B00">
        <w:t>,</w:t>
      </w:r>
      <w:r w:rsidRPr="00C239D0">
        <w:t xml:space="preserve"> E. (2017). Motivation and Consumer Behaviour. </w:t>
      </w:r>
      <w:proofErr w:type="spellStart"/>
      <w:r w:rsidRPr="008A7A74">
        <w:rPr>
          <w:i/>
          <w:iCs/>
        </w:rPr>
        <w:t>Konsumpcja</w:t>
      </w:r>
      <w:proofErr w:type="spellEnd"/>
      <w:r w:rsidRPr="008A7A74">
        <w:rPr>
          <w:i/>
          <w:iCs/>
        </w:rPr>
        <w:t xml:space="preserve"> </w:t>
      </w:r>
      <w:proofErr w:type="spellStart"/>
      <w:r w:rsidRPr="008A7A74">
        <w:rPr>
          <w:i/>
          <w:iCs/>
        </w:rPr>
        <w:t>i</w:t>
      </w:r>
      <w:proofErr w:type="spellEnd"/>
      <w:r w:rsidRPr="008A7A74">
        <w:rPr>
          <w:i/>
          <w:iCs/>
        </w:rPr>
        <w:t xml:space="preserve"> </w:t>
      </w:r>
      <w:proofErr w:type="spellStart"/>
      <w:r w:rsidRPr="008A7A74">
        <w:rPr>
          <w:i/>
          <w:iCs/>
        </w:rPr>
        <w:t>Rozwój</w:t>
      </w:r>
      <w:proofErr w:type="spellEnd"/>
      <w:r w:rsidRPr="00C239D0">
        <w:t xml:space="preserve">, </w:t>
      </w:r>
      <w:r w:rsidRPr="008A7A74">
        <w:rPr>
          <w:i/>
          <w:iCs/>
        </w:rPr>
        <w:t>4</w:t>
      </w:r>
      <w:r w:rsidRPr="00C239D0">
        <w:t>(21), 5-22.</w:t>
      </w:r>
    </w:p>
    <w:p w14:paraId="79A4680F" w14:textId="08F57E24" w:rsidR="00C239D0" w:rsidRPr="008A7A74" w:rsidRDefault="00C239D0" w:rsidP="006C0BEA">
      <w:pPr>
        <w:pStyle w:val="Rlit"/>
        <w:rPr>
          <w:spacing w:val="-4"/>
        </w:rPr>
      </w:pPr>
      <w:r w:rsidRPr="008A7A74">
        <w:rPr>
          <w:spacing w:val="-4"/>
        </w:rPr>
        <w:t xml:space="preserve">Cecchin, A., Salomone, R., Deutz, P., Raggi, A., </w:t>
      </w:r>
      <w:r w:rsidR="008A7A74" w:rsidRPr="008A7A74">
        <w:rPr>
          <w:spacing w:val="-4"/>
        </w:rPr>
        <w:t xml:space="preserve">&amp; </w:t>
      </w:r>
      <w:r w:rsidRPr="008A7A74">
        <w:rPr>
          <w:spacing w:val="-4"/>
        </w:rPr>
        <w:t xml:space="preserve">Cutaia, L. (2021). What is in a name? The rising star of the circular economy as a resource-related concept for sustainable development. </w:t>
      </w:r>
      <w:r w:rsidRPr="008A7A74">
        <w:rPr>
          <w:i/>
          <w:iCs/>
          <w:spacing w:val="-4"/>
        </w:rPr>
        <w:t>Circular Economy and Sustainability</w:t>
      </w:r>
      <w:r w:rsidRPr="008A7A74">
        <w:rPr>
          <w:spacing w:val="-4"/>
        </w:rPr>
        <w:t xml:space="preserve">, </w:t>
      </w:r>
      <w:r w:rsidRPr="008A7A74">
        <w:rPr>
          <w:i/>
          <w:iCs/>
          <w:spacing w:val="-4"/>
        </w:rPr>
        <w:t>1</w:t>
      </w:r>
      <w:r w:rsidRPr="008A7A74">
        <w:rPr>
          <w:spacing w:val="-4"/>
        </w:rPr>
        <w:t>(1), 83-97. https://doi.org/10.1007/s43615-021-00021-4</w:t>
      </w:r>
    </w:p>
    <w:p w14:paraId="33390987" w14:textId="247E1C01" w:rsidR="00C239D0" w:rsidRPr="00C239D0" w:rsidRDefault="00C239D0" w:rsidP="006C0BEA">
      <w:pPr>
        <w:pStyle w:val="Rlit"/>
      </w:pPr>
      <w:r w:rsidRPr="008A7A74">
        <w:rPr>
          <w:spacing w:val="-2"/>
        </w:rPr>
        <w:t xml:space="preserve">Chamier-Gliszczynski, N., </w:t>
      </w:r>
      <w:proofErr w:type="spellStart"/>
      <w:r w:rsidRPr="008A7A74">
        <w:rPr>
          <w:spacing w:val="-2"/>
        </w:rPr>
        <w:t>Trzmiel</w:t>
      </w:r>
      <w:proofErr w:type="spellEnd"/>
      <w:r w:rsidRPr="008A7A74">
        <w:rPr>
          <w:spacing w:val="-2"/>
        </w:rPr>
        <w:t xml:space="preserve">, G., </w:t>
      </w:r>
      <w:proofErr w:type="spellStart"/>
      <w:r w:rsidRPr="008A7A74">
        <w:rPr>
          <w:spacing w:val="-2"/>
        </w:rPr>
        <w:t>Jajczyk</w:t>
      </w:r>
      <w:proofErr w:type="spellEnd"/>
      <w:r w:rsidRPr="008A7A74">
        <w:rPr>
          <w:spacing w:val="-2"/>
        </w:rPr>
        <w:t xml:space="preserve">, J., Juszczak, A., Woźniak, W., Wasiak, M., Wojtachnik, R., </w:t>
      </w:r>
      <w:r w:rsidR="008A7A74" w:rsidRPr="008A7A74">
        <w:rPr>
          <w:spacing w:val="-2"/>
        </w:rPr>
        <w:t xml:space="preserve">&amp; </w:t>
      </w:r>
      <w:proofErr w:type="spellStart"/>
      <w:r w:rsidRPr="008A7A74">
        <w:rPr>
          <w:spacing w:val="-2"/>
        </w:rPr>
        <w:t>Santarek</w:t>
      </w:r>
      <w:proofErr w:type="spellEnd"/>
      <w:r w:rsidRPr="008A7A74">
        <w:rPr>
          <w:spacing w:val="-2"/>
        </w:rPr>
        <w:t>, K.</w:t>
      </w:r>
      <w:r w:rsidRPr="00C239D0">
        <w:t xml:space="preserve"> (2023). The Influence of Distributed Generation on the Operation of the Power System, Based on the Example of PV Micro-Installations. </w:t>
      </w:r>
      <w:r w:rsidRPr="008A7A74">
        <w:rPr>
          <w:i/>
          <w:iCs/>
        </w:rPr>
        <w:t>Energies</w:t>
      </w:r>
      <w:r w:rsidRPr="00C239D0">
        <w:t xml:space="preserve">, </w:t>
      </w:r>
      <w:r w:rsidRPr="008A7A74">
        <w:rPr>
          <w:i/>
          <w:iCs/>
        </w:rPr>
        <w:t>16</w:t>
      </w:r>
      <w:r w:rsidRPr="00C239D0">
        <w:t>(3), 1267. https://doi.org/10.3390/en16031267</w:t>
      </w:r>
    </w:p>
    <w:p w14:paraId="2E2F401C" w14:textId="77CE13C5" w:rsidR="00C239D0" w:rsidRPr="00C239D0" w:rsidRDefault="00C239D0" w:rsidP="008A7A74">
      <w:pPr>
        <w:pStyle w:val="Rlit"/>
        <w:jc w:val="left"/>
      </w:pPr>
      <w:r w:rsidRPr="00C239D0">
        <w:t xml:space="preserve">Cochoy, F., </w:t>
      </w:r>
      <w:proofErr w:type="spellStart"/>
      <w:r w:rsidRPr="00C239D0">
        <w:t>Licoppe</w:t>
      </w:r>
      <w:proofErr w:type="spellEnd"/>
      <w:r w:rsidRPr="00C239D0">
        <w:t>, Ch., Petersson McIntyre, M.</w:t>
      </w:r>
      <w:r w:rsidR="008A7A74">
        <w:t>,</w:t>
      </w:r>
      <w:r w:rsidRPr="00C239D0">
        <w:t xml:space="preserve"> </w:t>
      </w:r>
      <w:r w:rsidR="008A7A74">
        <w:t xml:space="preserve">&amp; </w:t>
      </w:r>
      <w:proofErr w:type="spellStart"/>
      <w:r w:rsidRPr="00C239D0">
        <w:t>Sörum</w:t>
      </w:r>
      <w:proofErr w:type="spellEnd"/>
      <w:r w:rsidRPr="00C239D0">
        <w:t xml:space="preserve">, N. (2020). Digitalizing consumer society: equipment and devices of digital consumption. </w:t>
      </w:r>
      <w:r w:rsidRPr="008A7A74">
        <w:rPr>
          <w:i/>
          <w:iCs/>
        </w:rPr>
        <w:t>Journal of Cultural Economy</w:t>
      </w:r>
      <w:r w:rsidRPr="00C239D0">
        <w:t xml:space="preserve">, </w:t>
      </w:r>
      <w:r w:rsidRPr="008A7A74">
        <w:rPr>
          <w:i/>
          <w:iCs/>
        </w:rPr>
        <w:t>13</w:t>
      </w:r>
      <w:r w:rsidRPr="00C239D0">
        <w:t xml:space="preserve">(1), 1-11. </w:t>
      </w:r>
      <w:r w:rsidR="008A7A74" w:rsidRPr="008A7A74">
        <w:t>https://doi.org/</w:t>
      </w:r>
      <w:r w:rsidRPr="00C239D0">
        <w:t>10.1080/17530350.2019.1702576</w:t>
      </w:r>
    </w:p>
    <w:p w14:paraId="65BB3142" w14:textId="3C3858CB" w:rsidR="00C239D0" w:rsidRPr="00C239D0" w:rsidRDefault="00C239D0" w:rsidP="006C0BEA">
      <w:pPr>
        <w:pStyle w:val="Rlit"/>
      </w:pPr>
      <w:r w:rsidRPr="00C239D0">
        <w:t>Costanza, D.</w:t>
      </w:r>
      <w:r w:rsidR="008A7A74">
        <w:t xml:space="preserve"> </w:t>
      </w:r>
      <w:r w:rsidRPr="00C239D0">
        <w:t>P., Badger, J.</w:t>
      </w:r>
      <w:r w:rsidR="008A7A74">
        <w:t xml:space="preserve"> </w:t>
      </w:r>
      <w:r w:rsidRPr="00C239D0">
        <w:t>M., Fraser, R.</w:t>
      </w:r>
      <w:r w:rsidR="008A7A74">
        <w:t xml:space="preserve"> </w:t>
      </w:r>
      <w:r w:rsidRPr="00C239D0">
        <w:t xml:space="preserve">L., </w:t>
      </w:r>
      <w:r w:rsidR="008A7A74">
        <w:t xml:space="preserve">&amp; </w:t>
      </w:r>
      <w:r w:rsidRPr="00C239D0">
        <w:t>Severt, J. (2012). Generational Differences in Work-Related Attitudes: A</w:t>
      </w:r>
      <w:r w:rsidR="008A7A74">
        <w:t> </w:t>
      </w:r>
      <w:r w:rsidRPr="00C239D0">
        <w:t xml:space="preserve">Meta-analysis. </w:t>
      </w:r>
      <w:r w:rsidRPr="008A7A74">
        <w:rPr>
          <w:i/>
          <w:iCs/>
        </w:rPr>
        <w:t>Journal of Business and Psychology</w:t>
      </w:r>
      <w:r w:rsidRPr="00C239D0">
        <w:t xml:space="preserve">, </w:t>
      </w:r>
      <w:r w:rsidRPr="008A7A74">
        <w:rPr>
          <w:i/>
          <w:iCs/>
        </w:rPr>
        <w:t>27</w:t>
      </w:r>
      <w:r w:rsidRPr="00C239D0">
        <w:t>(4), 375-392.</w:t>
      </w:r>
    </w:p>
    <w:p w14:paraId="595DAEEE" w14:textId="13393A6E" w:rsidR="00C239D0" w:rsidRPr="00C239D0" w:rsidRDefault="00C239D0" w:rsidP="006C0BEA">
      <w:pPr>
        <w:pStyle w:val="Rlit"/>
      </w:pPr>
      <w:r w:rsidRPr="00484D07">
        <w:rPr>
          <w:spacing w:val="-2"/>
        </w:rPr>
        <w:t>Costanza, D.</w:t>
      </w:r>
      <w:r w:rsidR="008A7A74" w:rsidRPr="00484D07">
        <w:rPr>
          <w:spacing w:val="-2"/>
        </w:rPr>
        <w:t xml:space="preserve"> </w:t>
      </w:r>
      <w:r w:rsidRPr="00484D07">
        <w:rPr>
          <w:spacing w:val="-2"/>
        </w:rPr>
        <w:t>P., Rudolph, C.</w:t>
      </w:r>
      <w:r w:rsidR="008A7A74" w:rsidRPr="00484D07">
        <w:rPr>
          <w:spacing w:val="-2"/>
        </w:rPr>
        <w:t xml:space="preserve"> </w:t>
      </w:r>
      <w:r w:rsidRPr="00484D07">
        <w:rPr>
          <w:spacing w:val="-2"/>
        </w:rPr>
        <w:t xml:space="preserve">W., </w:t>
      </w:r>
      <w:r w:rsidR="008A7A74" w:rsidRPr="00484D07">
        <w:rPr>
          <w:spacing w:val="-2"/>
        </w:rPr>
        <w:t xml:space="preserve">&amp; </w:t>
      </w:r>
      <w:r w:rsidRPr="00484D07">
        <w:rPr>
          <w:spacing w:val="-2"/>
        </w:rPr>
        <w:t xml:space="preserve">Zacher, H. (2023). Are generations a useful concept? </w:t>
      </w:r>
      <w:r w:rsidRPr="00484D07">
        <w:rPr>
          <w:i/>
          <w:iCs/>
          <w:spacing w:val="-2"/>
        </w:rPr>
        <w:t xml:space="preserve">Acta </w:t>
      </w:r>
      <w:proofErr w:type="spellStart"/>
      <w:r w:rsidRPr="00484D07">
        <w:rPr>
          <w:i/>
          <w:iCs/>
          <w:spacing w:val="-2"/>
        </w:rPr>
        <w:t>Psychologica</w:t>
      </w:r>
      <w:proofErr w:type="spellEnd"/>
      <w:r w:rsidRPr="00484D07">
        <w:rPr>
          <w:spacing w:val="-2"/>
        </w:rPr>
        <w:t xml:space="preserve">, </w:t>
      </w:r>
      <w:r w:rsidRPr="00484D07">
        <w:rPr>
          <w:i/>
          <w:iCs/>
          <w:spacing w:val="-2"/>
        </w:rPr>
        <w:t>241</w:t>
      </w:r>
      <w:r w:rsidRPr="00484D07">
        <w:rPr>
          <w:spacing w:val="-2"/>
        </w:rPr>
        <w:t>, 104-159.</w:t>
      </w:r>
      <w:r w:rsidRPr="00C239D0">
        <w:t xml:space="preserve"> https://doi.org/10.1016/j.actpsy.2023.104059 (16.05.2025)</w:t>
      </w:r>
    </w:p>
    <w:p w14:paraId="7A0CC742" w14:textId="43382B23" w:rsidR="00C239D0" w:rsidRPr="00C239D0" w:rsidRDefault="00C239D0" w:rsidP="006C0BEA">
      <w:pPr>
        <w:pStyle w:val="Rlit"/>
      </w:pPr>
      <w:r w:rsidRPr="00C239D0">
        <w:t xml:space="preserve">Czarnecka, M. (2018). Information sources affecting consumer behaviour in the electricity market. </w:t>
      </w:r>
      <w:r w:rsidRPr="00484D07">
        <w:rPr>
          <w:i/>
          <w:iCs/>
        </w:rPr>
        <w:t>Management Sciences</w:t>
      </w:r>
      <w:r w:rsidRPr="00C239D0">
        <w:t xml:space="preserve">, </w:t>
      </w:r>
      <w:r w:rsidRPr="00484D07">
        <w:rPr>
          <w:i/>
          <w:iCs/>
        </w:rPr>
        <w:t>23</w:t>
      </w:r>
      <w:r w:rsidRPr="00C239D0">
        <w:t xml:space="preserve">(2), 4-11. </w:t>
      </w:r>
      <w:r w:rsidR="00484D07" w:rsidRPr="00484D07">
        <w:t>https://doi.org/</w:t>
      </w:r>
      <w:r w:rsidRPr="00C239D0">
        <w:t>10.15611/ms.2018.2.01</w:t>
      </w:r>
    </w:p>
    <w:p w14:paraId="57453745" w14:textId="1295B8D9" w:rsidR="00C239D0" w:rsidRPr="00C239D0" w:rsidRDefault="00C239D0" w:rsidP="006C0BEA">
      <w:pPr>
        <w:pStyle w:val="Rlit"/>
      </w:pPr>
      <w:r w:rsidRPr="00C239D0">
        <w:t xml:space="preserve">da Fonseca-Soares, D., </w:t>
      </w:r>
      <w:proofErr w:type="spellStart"/>
      <w:r w:rsidRPr="00C239D0">
        <w:t>Eliziário</w:t>
      </w:r>
      <w:proofErr w:type="spellEnd"/>
      <w:r w:rsidRPr="00C239D0">
        <w:t>, S.</w:t>
      </w:r>
      <w:r w:rsidR="00484D07">
        <w:t xml:space="preserve"> </w:t>
      </w:r>
      <w:r w:rsidRPr="00C239D0">
        <w:t xml:space="preserve">A., </w:t>
      </w:r>
      <w:proofErr w:type="spellStart"/>
      <w:r w:rsidRPr="00C239D0">
        <w:t>Galvincio</w:t>
      </w:r>
      <w:proofErr w:type="spellEnd"/>
      <w:r w:rsidRPr="00C239D0">
        <w:t>, J.</w:t>
      </w:r>
      <w:r w:rsidR="00484D07">
        <w:t xml:space="preserve"> </w:t>
      </w:r>
      <w:r w:rsidRPr="00C239D0">
        <w:t xml:space="preserve">D., </w:t>
      </w:r>
      <w:r w:rsidR="00484D07">
        <w:t xml:space="preserve">&amp; </w:t>
      </w:r>
      <w:r w:rsidRPr="00C239D0">
        <w:t>Ramos-</w:t>
      </w:r>
      <w:proofErr w:type="spellStart"/>
      <w:r w:rsidRPr="00C239D0">
        <w:t>Ridao</w:t>
      </w:r>
      <w:proofErr w:type="spellEnd"/>
      <w:r w:rsidRPr="00C239D0">
        <w:t>, A.</w:t>
      </w:r>
      <w:r w:rsidR="00484D07">
        <w:t xml:space="preserve"> </w:t>
      </w:r>
      <w:r w:rsidRPr="00C239D0">
        <w:t xml:space="preserve">F. (2024). Greenhouse gas emissions in railways: systematic review of research progress. </w:t>
      </w:r>
      <w:r w:rsidRPr="00484D07">
        <w:rPr>
          <w:i/>
          <w:iCs/>
        </w:rPr>
        <w:t>Buildings</w:t>
      </w:r>
      <w:r w:rsidRPr="00C239D0">
        <w:t xml:space="preserve">, </w:t>
      </w:r>
      <w:r w:rsidRPr="00484D07">
        <w:rPr>
          <w:i/>
          <w:iCs/>
        </w:rPr>
        <w:t>14</w:t>
      </w:r>
      <w:r w:rsidRPr="00C239D0">
        <w:t>(2), 539. https://doi.org/10.3390/buildings14020539</w:t>
      </w:r>
    </w:p>
    <w:p w14:paraId="15663B7E" w14:textId="6CA5A147" w:rsidR="00C239D0" w:rsidRPr="00C239D0" w:rsidRDefault="00C239D0" w:rsidP="006C0BEA">
      <w:pPr>
        <w:pStyle w:val="Rlit"/>
      </w:pPr>
      <w:proofErr w:type="spellStart"/>
      <w:r w:rsidRPr="00C239D0">
        <w:t>Dąbrowska</w:t>
      </w:r>
      <w:proofErr w:type="spellEnd"/>
      <w:r w:rsidRPr="00C239D0">
        <w:t xml:space="preserve">, A. (2015). </w:t>
      </w:r>
      <w:proofErr w:type="spellStart"/>
      <w:r w:rsidRPr="00C239D0">
        <w:t>Postawy</w:t>
      </w:r>
      <w:proofErr w:type="spellEnd"/>
      <w:r w:rsidRPr="00C239D0">
        <w:t xml:space="preserve"> </w:t>
      </w:r>
      <w:proofErr w:type="spellStart"/>
      <w:r w:rsidRPr="00C239D0">
        <w:t>polskich</w:t>
      </w:r>
      <w:proofErr w:type="spellEnd"/>
      <w:r w:rsidRPr="00C239D0">
        <w:t xml:space="preserve"> </w:t>
      </w:r>
      <w:proofErr w:type="spellStart"/>
      <w:r w:rsidRPr="00C239D0">
        <w:t>konsumentów</w:t>
      </w:r>
      <w:proofErr w:type="spellEnd"/>
      <w:r w:rsidRPr="00C239D0">
        <w:t xml:space="preserve"> – od </w:t>
      </w:r>
      <w:proofErr w:type="spellStart"/>
      <w:r w:rsidRPr="00C239D0">
        <w:t>konsumpcjonizmu</w:t>
      </w:r>
      <w:proofErr w:type="spellEnd"/>
      <w:r w:rsidRPr="00C239D0">
        <w:t xml:space="preserve"> do </w:t>
      </w:r>
      <w:proofErr w:type="spellStart"/>
      <w:r w:rsidRPr="00C239D0">
        <w:t>zrównoważonej</w:t>
      </w:r>
      <w:proofErr w:type="spellEnd"/>
      <w:r w:rsidRPr="00C239D0">
        <w:t xml:space="preserve"> </w:t>
      </w:r>
      <w:proofErr w:type="spellStart"/>
      <w:r w:rsidRPr="00C239D0">
        <w:t>konsumpcji</w:t>
      </w:r>
      <w:proofErr w:type="spellEnd"/>
      <w:r w:rsidRPr="00C239D0">
        <w:t xml:space="preserve">. </w:t>
      </w:r>
      <w:r w:rsidRPr="00484D07">
        <w:rPr>
          <w:i/>
          <w:iCs/>
        </w:rPr>
        <w:t>Handel Wewnętrzny</w:t>
      </w:r>
      <w:r w:rsidRPr="00C239D0">
        <w:t xml:space="preserve">, </w:t>
      </w:r>
      <w:r w:rsidRPr="00484D07">
        <w:rPr>
          <w:i/>
          <w:iCs/>
        </w:rPr>
        <w:t>3</w:t>
      </w:r>
      <w:r w:rsidRPr="00C239D0">
        <w:t>, 91-92.</w:t>
      </w:r>
      <w:r w:rsidR="00484D07">
        <w:t xml:space="preserve"> (in Polish)</w:t>
      </w:r>
    </w:p>
    <w:p w14:paraId="0E051A0F" w14:textId="3B77D296" w:rsidR="00C239D0" w:rsidRPr="00C239D0" w:rsidRDefault="00C239D0" w:rsidP="00484D07">
      <w:pPr>
        <w:pStyle w:val="Rlit"/>
        <w:jc w:val="left"/>
      </w:pPr>
      <w:r w:rsidRPr="00C239D0">
        <w:t xml:space="preserve">Drzewiecki, P., </w:t>
      </w:r>
      <w:r w:rsidR="00484D07">
        <w:t xml:space="preserve">&amp; </w:t>
      </w:r>
      <w:proofErr w:type="spellStart"/>
      <w:r w:rsidRPr="00C239D0">
        <w:t>Głębicka</w:t>
      </w:r>
      <w:proofErr w:type="spellEnd"/>
      <w:r w:rsidRPr="00C239D0">
        <w:t xml:space="preserve">-Giza, B. (2018). Mały </w:t>
      </w:r>
      <w:proofErr w:type="spellStart"/>
      <w:r w:rsidRPr="00C239D0">
        <w:t>Leksykon</w:t>
      </w:r>
      <w:proofErr w:type="spellEnd"/>
      <w:r w:rsidRPr="00C239D0">
        <w:t xml:space="preserve"> </w:t>
      </w:r>
      <w:proofErr w:type="spellStart"/>
      <w:r w:rsidRPr="00C239D0">
        <w:t>Postprawdy</w:t>
      </w:r>
      <w:proofErr w:type="spellEnd"/>
      <w:r w:rsidRPr="00C239D0">
        <w:t xml:space="preserve">. Fake news. </w:t>
      </w:r>
      <w:proofErr w:type="spellStart"/>
      <w:r w:rsidRPr="00C239D0">
        <w:t>Narodowy</w:t>
      </w:r>
      <w:proofErr w:type="spellEnd"/>
      <w:r w:rsidRPr="00C239D0">
        <w:t xml:space="preserve"> </w:t>
      </w:r>
      <w:proofErr w:type="spellStart"/>
      <w:r w:rsidRPr="00C239D0">
        <w:t>Instytut</w:t>
      </w:r>
      <w:proofErr w:type="spellEnd"/>
      <w:r w:rsidRPr="00C239D0">
        <w:t xml:space="preserve"> </w:t>
      </w:r>
      <w:proofErr w:type="spellStart"/>
      <w:r w:rsidRPr="00C239D0">
        <w:t>Wolności</w:t>
      </w:r>
      <w:proofErr w:type="spellEnd"/>
      <w:r w:rsidRPr="00C239D0">
        <w:t xml:space="preserve"> </w:t>
      </w:r>
      <w:r w:rsidR="00484D07">
        <w:br/>
      </w:r>
      <w:r w:rsidRPr="00C239D0">
        <w:t xml:space="preserve">– Centrum </w:t>
      </w:r>
      <w:proofErr w:type="spellStart"/>
      <w:r w:rsidRPr="00C239D0">
        <w:t>Rozwoju</w:t>
      </w:r>
      <w:proofErr w:type="spellEnd"/>
      <w:r w:rsidRPr="00C239D0">
        <w:t xml:space="preserve"> </w:t>
      </w:r>
      <w:proofErr w:type="spellStart"/>
      <w:r w:rsidRPr="00C239D0">
        <w:t>Społeczeństwa</w:t>
      </w:r>
      <w:proofErr w:type="spellEnd"/>
      <w:r w:rsidRPr="00C239D0">
        <w:t xml:space="preserve"> </w:t>
      </w:r>
      <w:proofErr w:type="spellStart"/>
      <w:r w:rsidRPr="00C239D0">
        <w:t>Obywatelskiego</w:t>
      </w:r>
      <w:proofErr w:type="spellEnd"/>
      <w:r w:rsidRPr="00C239D0">
        <w:t xml:space="preserve">. </w:t>
      </w:r>
      <w:r w:rsidR="00484D07">
        <w:br/>
      </w:r>
      <w:r w:rsidRPr="00C239D0">
        <w:t>https://wid.org.pl/wp-content/uploads/E_wydanie-Ma%C5%82y-Leksykon-Postprawdy.pdf (18.05.2025))</w:t>
      </w:r>
    </w:p>
    <w:p w14:paraId="47F75753" w14:textId="0EDE2C0D" w:rsidR="00C239D0" w:rsidRPr="00C239D0" w:rsidRDefault="00C239D0" w:rsidP="006C0BEA">
      <w:pPr>
        <w:pStyle w:val="Rlit"/>
      </w:pPr>
      <w:proofErr w:type="spellStart"/>
      <w:r w:rsidRPr="00C239D0">
        <w:t>Fandrejewska</w:t>
      </w:r>
      <w:proofErr w:type="spellEnd"/>
      <w:r w:rsidRPr="00C239D0">
        <w:t xml:space="preserve">, A. (2017). The Cultural and Social Context in an Analysis of Contemporary Consumer </w:t>
      </w:r>
      <w:proofErr w:type="spellStart"/>
      <w:r w:rsidRPr="00C239D0">
        <w:t>Behaviour</w:t>
      </w:r>
      <w:proofErr w:type="spellEnd"/>
      <w:r w:rsidR="00484D07">
        <w:t>.</w:t>
      </w:r>
      <w:r w:rsidRPr="00C239D0">
        <w:t xml:space="preserve"> </w:t>
      </w:r>
      <w:proofErr w:type="spellStart"/>
      <w:r w:rsidRPr="00484D07">
        <w:rPr>
          <w:i/>
          <w:iCs/>
        </w:rPr>
        <w:t>Konsumpcja</w:t>
      </w:r>
      <w:proofErr w:type="spellEnd"/>
      <w:r w:rsidRPr="00484D07">
        <w:rPr>
          <w:i/>
          <w:iCs/>
        </w:rPr>
        <w:t xml:space="preserve"> </w:t>
      </w:r>
      <w:proofErr w:type="spellStart"/>
      <w:r w:rsidRPr="00484D07">
        <w:rPr>
          <w:i/>
          <w:iCs/>
        </w:rPr>
        <w:t>i</w:t>
      </w:r>
      <w:proofErr w:type="spellEnd"/>
      <w:r w:rsidRPr="00484D07">
        <w:rPr>
          <w:i/>
          <w:iCs/>
        </w:rPr>
        <w:t xml:space="preserve"> </w:t>
      </w:r>
      <w:proofErr w:type="spellStart"/>
      <w:r w:rsidRPr="00484D07">
        <w:rPr>
          <w:i/>
          <w:iCs/>
        </w:rPr>
        <w:t>Rozwój</w:t>
      </w:r>
      <w:proofErr w:type="spellEnd"/>
      <w:r w:rsidRPr="00C239D0">
        <w:t xml:space="preserve">, </w:t>
      </w:r>
      <w:r w:rsidRPr="00484D07">
        <w:rPr>
          <w:i/>
          <w:iCs/>
        </w:rPr>
        <w:t>2</w:t>
      </w:r>
      <w:r w:rsidRPr="00C239D0">
        <w:t>(19), 88-103.</w:t>
      </w:r>
    </w:p>
    <w:p w14:paraId="76DDF207" w14:textId="1A922672" w:rsidR="00C239D0" w:rsidRPr="00C239D0" w:rsidRDefault="00C239D0" w:rsidP="006C0BEA">
      <w:pPr>
        <w:pStyle w:val="Rlit"/>
      </w:pPr>
      <w:r w:rsidRPr="00C239D0">
        <w:t xml:space="preserve">Fotiou, T., Fragkos, P., </w:t>
      </w:r>
      <w:r w:rsidR="00484D07">
        <w:t xml:space="preserve">&amp; </w:t>
      </w:r>
      <w:proofErr w:type="spellStart"/>
      <w:r w:rsidRPr="00C239D0">
        <w:t>Zisarou</w:t>
      </w:r>
      <w:proofErr w:type="spellEnd"/>
      <w:r w:rsidRPr="00C239D0">
        <w:t xml:space="preserve">, E. (2024). Decarbonising the EU Buildings| Model-Based Insights from European Countries. </w:t>
      </w:r>
      <w:r w:rsidRPr="00484D07">
        <w:rPr>
          <w:i/>
          <w:iCs/>
        </w:rPr>
        <w:t>Climate</w:t>
      </w:r>
      <w:r w:rsidRPr="00C239D0">
        <w:t xml:space="preserve">, </w:t>
      </w:r>
      <w:r w:rsidRPr="00484D07">
        <w:rPr>
          <w:i/>
          <w:iCs/>
        </w:rPr>
        <w:t>12</w:t>
      </w:r>
      <w:r w:rsidRPr="00C239D0">
        <w:t>(6), 85. https://doi.org/10.3390/cli12060085</w:t>
      </w:r>
    </w:p>
    <w:p w14:paraId="3B9ADF71" w14:textId="231152AD" w:rsidR="00C239D0" w:rsidRPr="00C239D0" w:rsidRDefault="00C239D0" w:rsidP="006C0BEA">
      <w:pPr>
        <w:pStyle w:val="Rlit"/>
      </w:pPr>
      <w:r w:rsidRPr="00C239D0">
        <w:t>Freeman, R.</w:t>
      </w:r>
      <w:r w:rsidR="00484D07">
        <w:t xml:space="preserve"> </w:t>
      </w:r>
      <w:r w:rsidRPr="00C239D0">
        <w:t>E., Harrison, J.</w:t>
      </w:r>
      <w:r w:rsidR="00484D07">
        <w:t xml:space="preserve"> </w:t>
      </w:r>
      <w:r w:rsidRPr="00C239D0">
        <w:t xml:space="preserve">S., </w:t>
      </w:r>
      <w:r w:rsidR="00484D07">
        <w:t xml:space="preserve">&amp; </w:t>
      </w:r>
      <w:r w:rsidRPr="00C239D0">
        <w:t>Wicks, A.</w:t>
      </w:r>
      <w:r w:rsidR="00484D07">
        <w:t xml:space="preserve"> </w:t>
      </w:r>
      <w:r w:rsidRPr="00C239D0">
        <w:t xml:space="preserve">C. (2007). Managing for stakeholders. Survival, reputation and success. </w:t>
      </w:r>
      <w:r w:rsidR="00484D07">
        <w:br/>
      </w:r>
      <w:r w:rsidRPr="00C239D0">
        <w:t xml:space="preserve">New Haven-London: Pub. Yale University Press. </w:t>
      </w:r>
    </w:p>
    <w:p w14:paraId="3F7AD747" w14:textId="37DEB777" w:rsidR="00C239D0" w:rsidRPr="0053400F" w:rsidRDefault="00C239D0" w:rsidP="006C0BEA">
      <w:pPr>
        <w:pStyle w:val="Rlit"/>
        <w:rPr>
          <w:spacing w:val="-6"/>
        </w:rPr>
      </w:pPr>
      <w:r w:rsidRPr="0053400F">
        <w:rPr>
          <w:spacing w:val="-6"/>
        </w:rPr>
        <w:t xml:space="preserve">Furmanek, W. (2010). </w:t>
      </w:r>
      <w:proofErr w:type="spellStart"/>
      <w:r w:rsidRPr="0053400F">
        <w:rPr>
          <w:spacing w:val="-6"/>
        </w:rPr>
        <w:t>Konsumeryzm</w:t>
      </w:r>
      <w:proofErr w:type="spellEnd"/>
      <w:r w:rsidRPr="0053400F">
        <w:rPr>
          <w:spacing w:val="-6"/>
        </w:rPr>
        <w:t xml:space="preserve">, </w:t>
      </w:r>
      <w:proofErr w:type="spellStart"/>
      <w:r w:rsidRPr="0053400F">
        <w:rPr>
          <w:spacing w:val="-6"/>
        </w:rPr>
        <w:t>konsupcjonizm</w:t>
      </w:r>
      <w:proofErr w:type="spellEnd"/>
      <w:r w:rsidRPr="0053400F">
        <w:rPr>
          <w:spacing w:val="-6"/>
        </w:rPr>
        <w:t xml:space="preserve">, </w:t>
      </w:r>
      <w:proofErr w:type="spellStart"/>
      <w:r w:rsidRPr="0053400F">
        <w:rPr>
          <w:spacing w:val="-6"/>
        </w:rPr>
        <w:t>wyzwania</w:t>
      </w:r>
      <w:proofErr w:type="spellEnd"/>
      <w:r w:rsidRPr="0053400F">
        <w:rPr>
          <w:spacing w:val="-6"/>
        </w:rPr>
        <w:t xml:space="preserve"> </w:t>
      </w:r>
      <w:proofErr w:type="spellStart"/>
      <w:r w:rsidRPr="0053400F">
        <w:rPr>
          <w:spacing w:val="-6"/>
        </w:rPr>
        <w:t>dla</w:t>
      </w:r>
      <w:proofErr w:type="spellEnd"/>
      <w:r w:rsidRPr="0053400F">
        <w:rPr>
          <w:spacing w:val="-6"/>
        </w:rPr>
        <w:t xml:space="preserve"> </w:t>
      </w:r>
      <w:proofErr w:type="spellStart"/>
      <w:r w:rsidRPr="0053400F">
        <w:rPr>
          <w:spacing w:val="-6"/>
        </w:rPr>
        <w:t>edukacji</w:t>
      </w:r>
      <w:proofErr w:type="spellEnd"/>
      <w:r w:rsidR="00484D07" w:rsidRPr="0053400F">
        <w:rPr>
          <w:spacing w:val="-6"/>
        </w:rPr>
        <w:t>.</w:t>
      </w:r>
      <w:r w:rsidRPr="0053400F">
        <w:rPr>
          <w:spacing w:val="-6"/>
        </w:rPr>
        <w:t xml:space="preserve"> </w:t>
      </w:r>
      <w:proofErr w:type="spellStart"/>
      <w:r w:rsidRPr="0053400F">
        <w:rPr>
          <w:i/>
          <w:iCs/>
          <w:spacing w:val="-6"/>
        </w:rPr>
        <w:t>Edukacja</w:t>
      </w:r>
      <w:proofErr w:type="spellEnd"/>
      <w:r w:rsidRPr="0053400F">
        <w:rPr>
          <w:i/>
          <w:iCs/>
          <w:spacing w:val="-6"/>
        </w:rPr>
        <w:t xml:space="preserve"> – </w:t>
      </w:r>
      <w:proofErr w:type="spellStart"/>
      <w:r w:rsidRPr="0053400F">
        <w:rPr>
          <w:i/>
          <w:iCs/>
          <w:spacing w:val="-6"/>
        </w:rPr>
        <w:t>Technika</w:t>
      </w:r>
      <w:proofErr w:type="spellEnd"/>
      <w:r w:rsidRPr="0053400F">
        <w:rPr>
          <w:i/>
          <w:iCs/>
          <w:spacing w:val="-6"/>
        </w:rPr>
        <w:t xml:space="preserve"> – </w:t>
      </w:r>
      <w:proofErr w:type="spellStart"/>
      <w:r w:rsidRPr="0053400F">
        <w:rPr>
          <w:i/>
          <w:iCs/>
          <w:spacing w:val="-6"/>
        </w:rPr>
        <w:t>Informatyka</w:t>
      </w:r>
      <w:proofErr w:type="spellEnd"/>
      <w:r w:rsidRPr="0053400F">
        <w:rPr>
          <w:spacing w:val="-6"/>
        </w:rPr>
        <w:t xml:space="preserve">, </w:t>
      </w:r>
      <w:r w:rsidRPr="0053400F">
        <w:rPr>
          <w:i/>
          <w:iCs/>
          <w:spacing w:val="-6"/>
        </w:rPr>
        <w:t>1</w:t>
      </w:r>
      <w:r w:rsidRPr="0053400F">
        <w:rPr>
          <w:spacing w:val="-6"/>
        </w:rPr>
        <w:t>(1), 13-16.</w:t>
      </w:r>
    </w:p>
    <w:p w14:paraId="66A1A7D7" w14:textId="3FD9D1EA" w:rsidR="00C239D0" w:rsidRPr="00C239D0" w:rsidRDefault="00C239D0" w:rsidP="006C0BEA">
      <w:pPr>
        <w:pStyle w:val="Rlit"/>
      </w:pPr>
      <w:r w:rsidRPr="00C239D0">
        <w:t xml:space="preserve">Gabryelewicz, I., Lenort, R., </w:t>
      </w:r>
      <w:proofErr w:type="spellStart"/>
      <w:r w:rsidRPr="00C239D0">
        <w:t>Wędrychowicz</w:t>
      </w:r>
      <w:proofErr w:type="spellEnd"/>
      <w:r w:rsidRPr="00C239D0">
        <w:t xml:space="preserve">, M., Krupa, P., </w:t>
      </w:r>
      <w:r w:rsidR="00484D07">
        <w:t xml:space="preserve">&amp; </w:t>
      </w:r>
      <w:r w:rsidRPr="00C239D0">
        <w:t>Woźniak, W. (2021). Environmental Loads Resulting from Manufacturing Technology</w:t>
      </w:r>
      <w:r w:rsidR="00484D07">
        <w:t>.</w:t>
      </w:r>
      <w:r w:rsidRPr="00C239D0">
        <w:t xml:space="preserve"> </w:t>
      </w:r>
      <w:proofErr w:type="spellStart"/>
      <w:r w:rsidRPr="00484D07">
        <w:rPr>
          <w:i/>
          <w:iCs/>
        </w:rPr>
        <w:t>Rocznik</w:t>
      </w:r>
      <w:proofErr w:type="spellEnd"/>
      <w:r w:rsidRPr="00484D07">
        <w:rPr>
          <w:i/>
          <w:iCs/>
        </w:rPr>
        <w:t xml:space="preserve"> </w:t>
      </w:r>
      <w:proofErr w:type="spellStart"/>
      <w:r w:rsidRPr="00484D07">
        <w:rPr>
          <w:i/>
          <w:iCs/>
        </w:rPr>
        <w:t>Ochrona</w:t>
      </w:r>
      <w:proofErr w:type="spellEnd"/>
      <w:r w:rsidRPr="00484D07">
        <w:rPr>
          <w:i/>
          <w:iCs/>
        </w:rPr>
        <w:t xml:space="preserve"> </w:t>
      </w:r>
      <w:proofErr w:type="spellStart"/>
      <w:r w:rsidRPr="00484D07">
        <w:rPr>
          <w:i/>
          <w:iCs/>
        </w:rPr>
        <w:t>Środowiska</w:t>
      </w:r>
      <w:proofErr w:type="spellEnd"/>
      <w:r w:rsidRPr="00C239D0">
        <w:t xml:space="preserve">, </w:t>
      </w:r>
      <w:r w:rsidRPr="00484D07">
        <w:rPr>
          <w:i/>
          <w:iCs/>
        </w:rPr>
        <w:t>23</w:t>
      </w:r>
      <w:r w:rsidRPr="00C239D0">
        <w:t>, 613-628</w:t>
      </w:r>
      <w:r w:rsidR="00484D07">
        <w:t>.</w:t>
      </w:r>
    </w:p>
    <w:p w14:paraId="62B0D645" w14:textId="1567E327" w:rsidR="00C239D0" w:rsidRPr="00C239D0" w:rsidRDefault="00C239D0" w:rsidP="006C0BEA">
      <w:pPr>
        <w:pStyle w:val="Rlit"/>
      </w:pPr>
      <w:proofErr w:type="spellStart"/>
      <w:r w:rsidRPr="00C239D0">
        <w:t>Garczarek-Bąk</w:t>
      </w:r>
      <w:proofErr w:type="spellEnd"/>
      <w:r w:rsidRPr="00C239D0">
        <w:t xml:space="preserve">, U. (2016). </w:t>
      </w:r>
      <w:proofErr w:type="spellStart"/>
      <w:r w:rsidRPr="00C239D0">
        <w:t>Jawne</w:t>
      </w:r>
      <w:proofErr w:type="spellEnd"/>
      <w:r w:rsidRPr="00C239D0">
        <w:t xml:space="preserve"> </w:t>
      </w:r>
      <w:proofErr w:type="spellStart"/>
      <w:r w:rsidRPr="00C239D0">
        <w:t>i</w:t>
      </w:r>
      <w:proofErr w:type="spellEnd"/>
      <w:r w:rsidRPr="00C239D0">
        <w:t xml:space="preserve"> </w:t>
      </w:r>
      <w:proofErr w:type="spellStart"/>
      <w:r w:rsidRPr="00C239D0">
        <w:t>utajone</w:t>
      </w:r>
      <w:proofErr w:type="spellEnd"/>
      <w:r w:rsidRPr="00C239D0">
        <w:t xml:space="preserve"> </w:t>
      </w:r>
      <w:proofErr w:type="spellStart"/>
      <w:r w:rsidRPr="00C239D0">
        <w:t>postawy</w:t>
      </w:r>
      <w:proofErr w:type="spellEnd"/>
      <w:r w:rsidRPr="00C239D0">
        <w:t xml:space="preserve"> </w:t>
      </w:r>
      <w:proofErr w:type="spellStart"/>
      <w:r w:rsidRPr="00C239D0">
        <w:t>młodych</w:t>
      </w:r>
      <w:proofErr w:type="spellEnd"/>
      <w:r w:rsidRPr="00C239D0">
        <w:t xml:space="preserve"> </w:t>
      </w:r>
      <w:proofErr w:type="spellStart"/>
      <w:r w:rsidRPr="00C239D0">
        <w:t>konsumentów</w:t>
      </w:r>
      <w:proofErr w:type="spellEnd"/>
      <w:r w:rsidRPr="00C239D0">
        <w:t xml:space="preserve"> </w:t>
      </w:r>
      <w:proofErr w:type="spellStart"/>
      <w:r w:rsidRPr="00C239D0">
        <w:t>wobec</w:t>
      </w:r>
      <w:proofErr w:type="spellEnd"/>
      <w:r w:rsidRPr="00C239D0">
        <w:t xml:space="preserve"> </w:t>
      </w:r>
      <w:proofErr w:type="spellStart"/>
      <w:r w:rsidRPr="00C239D0">
        <w:t>produktów</w:t>
      </w:r>
      <w:proofErr w:type="spellEnd"/>
      <w:r w:rsidRPr="00C239D0">
        <w:t xml:space="preserve"> </w:t>
      </w:r>
      <w:proofErr w:type="spellStart"/>
      <w:r w:rsidRPr="00C239D0">
        <w:t>marek</w:t>
      </w:r>
      <w:proofErr w:type="spellEnd"/>
      <w:r w:rsidRPr="00C239D0">
        <w:t xml:space="preserve"> </w:t>
      </w:r>
      <w:proofErr w:type="spellStart"/>
      <w:r w:rsidRPr="00C239D0">
        <w:t>własnych</w:t>
      </w:r>
      <w:proofErr w:type="spellEnd"/>
      <w:r w:rsidRPr="00C239D0">
        <w:t xml:space="preserve"> </w:t>
      </w:r>
      <w:proofErr w:type="spellStart"/>
      <w:r w:rsidRPr="00C239D0">
        <w:t>sieci</w:t>
      </w:r>
      <w:proofErr w:type="spellEnd"/>
      <w:r w:rsidRPr="00C239D0">
        <w:t xml:space="preserve"> </w:t>
      </w:r>
      <w:proofErr w:type="spellStart"/>
      <w:r w:rsidRPr="00C239D0">
        <w:t>handlowych</w:t>
      </w:r>
      <w:proofErr w:type="spellEnd"/>
      <w:r w:rsidRPr="00C239D0">
        <w:t xml:space="preserve">. Poland </w:t>
      </w:r>
      <w:proofErr w:type="spellStart"/>
      <w:r w:rsidRPr="00C239D0">
        <w:t>Poznań</w:t>
      </w:r>
      <w:proofErr w:type="spellEnd"/>
      <w:r w:rsidRPr="00C239D0">
        <w:t xml:space="preserve">: </w:t>
      </w:r>
      <w:proofErr w:type="spellStart"/>
      <w:r w:rsidRPr="00C239D0">
        <w:t>Uniwersytet</w:t>
      </w:r>
      <w:proofErr w:type="spellEnd"/>
      <w:r w:rsidRPr="00C239D0">
        <w:t xml:space="preserve"> </w:t>
      </w:r>
      <w:proofErr w:type="spellStart"/>
      <w:r w:rsidRPr="00C239D0">
        <w:t>Ekonomiczny</w:t>
      </w:r>
      <w:proofErr w:type="spellEnd"/>
      <w:r w:rsidRPr="00C239D0">
        <w:t xml:space="preserve"> w Poznaniu. </w:t>
      </w:r>
      <w:r w:rsidR="00484D07">
        <w:t>(in Polish)</w:t>
      </w:r>
    </w:p>
    <w:p w14:paraId="3518F5E0" w14:textId="10B4B9B8" w:rsidR="00C239D0" w:rsidRPr="00C239D0" w:rsidRDefault="00C239D0" w:rsidP="006C0BEA">
      <w:pPr>
        <w:pStyle w:val="Rlit"/>
      </w:pPr>
      <w:proofErr w:type="spellStart"/>
      <w:r w:rsidRPr="00C239D0">
        <w:t>Garoui</w:t>
      </w:r>
      <w:proofErr w:type="spellEnd"/>
      <w:r w:rsidRPr="00C239D0">
        <w:t xml:space="preserve">, N., </w:t>
      </w:r>
      <w:r w:rsidR="00484D07">
        <w:t xml:space="preserve">&amp; </w:t>
      </w:r>
      <w:proofErr w:type="spellStart"/>
      <w:r w:rsidRPr="00C239D0">
        <w:t>Jarboui</w:t>
      </w:r>
      <w:proofErr w:type="spellEnd"/>
      <w:r w:rsidRPr="00C239D0">
        <w:t xml:space="preserve">, A. (2012). Stakeholder theory, corporate governance, and cognitive mapping techniques. </w:t>
      </w:r>
      <w:r w:rsidRPr="00484D07">
        <w:rPr>
          <w:i/>
          <w:iCs/>
        </w:rPr>
        <w:t>International Refereed Research Journal</w:t>
      </w:r>
      <w:r w:rsidRPr="00C239D0">
        <w:t xml:space="preserve">, </w:t>
      </w:r>
      <w:r w:rsidRPr="00484D07">
        <w:rPr>
          <w:i/>
          <w:iCs/>
        </w:rPr>
        <w:t>2</w:t>
      </w:r>
      <w:r w:rsidRPr="00C239D0">
        <w:t>(2), 50-61.</w:t>
      </w:r>
    </w:p>
    <w:p w14:paraId="199D5FEE" w14:textId="24A8F066" w:rsidR="00C239D0" w:rsidRPr="00C239D0" w:rsidRDefault="00C239D0" w:rsidP="006C0BEA">
      <w:pPr>
        <w:pStyle w:val="Rlit"/>
      </w:pPr>
      <w:proofErr w:type="spellStart"/>
      <w:r w:rsidRPr="00C239D0">
        <w:t>Gruchoła</w:t>
      </w:r>
      <w:proofErr w:type="spellEnd"/>
      <w:r w:rsidRPr="00C239D0">
        <w:t xml:space="preserve">, M. (2016). </w:t>
      </w:r>
      <w:proofErr w:type="spellStart"/>
      <w:r w:rsidRPr="00C239D0">
        <w:t>Pokolenie</w:t>
      </w:r>
      <w:proofErr w:type="spellEnd"/>
      <w:r w:rsidRPr="00C239D0">
        <w:t xml:space="preserve"> Alpha – </w:t>
      </w:r>
      <w:proofErr w:type="spellStart"/>
      <w:r w:rsidRPr="00C239D0">
        <w:t>nowy</w:t>
      </w:r>
      <w:proofErr w:type="spellEnd"/>
      <w:r w:rsidRPr="00C239D0">
        <w:t xml:space="preserve"> </w:t>
      </w:r>
      <w:proofErr w:type="spellStart"/>
      <w:r w:rsidRPr="00C239D0">
        <w:t>wymiar</w:t>
      </w:r>
      <w:proofErr w:type="spellEnd"/>
      <w:r w:rsidRPr="00C239D0">
        <w:t xml:space="preserve"> </w:t>
      </w:r>
      <w:proofErr w:type="spellStart"/>
      <w:r w:rsidRPr="00C239D0">
        <w:t>tożsamości</w:t>
      </w:r>
      <w:proofErr w:type="spellEnd"/>
      <w:r w:rsidRPr="00C239D0">
        <w:t xml:space="preserve">? </w:t>
      </w:r>
      <w:proofErr w:type="spellStart"/>
      <w:r w:rsidRPr="00484D07">
        <w:rPr>
          <w:i/>
          <w:iCs/>
        </w:rPr>
        <w:t>Rozprawy</w:t>
      </w:r>
      <w:proofErr w:type="spellEnd"/>
      <w:r w:rsidRPr="00484D07">
        <w:rPr>
          <w:i/>
          <w:iCs/>
        </w:rPr>
        <w:t xml:space="preserve"> </w:t>
      </w:r>
      <w:proofErr w:type="spellStart"/>
      <w:r w:rsidRPr="00484D07">
        <w:rPr>
          <w:i/>
          <w:iCs/>
        </w:rPr>
        <w:t>Społeczne</w:t>
      </w:r>
      <w:proofErr w:type="spellEnd"/>
      <w:r w:rsidRPr="00C239D0">
        <w:t xml:space="preserve">, </w:t>
      </w:r>
      <w:r w:rsidRPr="00484D07">
        <w:rPr>
          <w:i/>
          <w:iCs/>
        </w:rPr>
        <w:t>3</w:t>
      </w:r>
      <w:r w:rsidRPr="00C239D0">
        <w:t>, 8-9.</w:t>
      </w:r>
      <w:r w:rsidR="00484D07">
        <w:t xml:space="preserve"> (in Polish)</w:t>
      </w:r>
    </w:p>
    <w:p w14:paraId="4575E0DD" w14:textId="4E39C65B" w:rsidR="00C239D0" w:rsidRPr="00C239D0" w:rsidRDefault="00C239D0" w:rsidP="006C0BEA">
      <w:pPr>
        <w:pStyle w:val="Rlit"/>
      </w:pPr>
      <w:r w:rsidRPr="00C239D0">
        <w:t xml:space="preserve">Gupta, S., </w:t>
      </w:r>
      <w:r w:rsidR="00484D07">
        <w:t xml:space="preserve">&amp; </w:t>
      </w:r>
      <w:r w:rsidRPr="00C239D0">
        <w:t xml:space="preserve">Agrawal, R. (2018). Environmentally responsible consumption: Construct </w:t>
      </w:r>
      <w:proofErr w:type="spellStart"/>
      <w:r w:rsidRPr="00C239D0">
        <w:t>definitio</w:t>
      </w:r>
      <w:proofErr w:type="spellEnd"/>
      <w:r w:rsidRPr="00C239D0">
        <w:t xml:space="preserve">, scale development, and validation. </w:t>
      </w:r>
      <w:r w:rsidRPr="00484D07">
        <w:rPr>
          <w:i/>
          <w:iCs/>
        </w:rPr>
        <w:t>Corporate Social Responsibility and Environmental Management</w:t>
      </w:r>
      <w:r w:rsidRPr="00C239D0">
        <w:t xml:space="preserve">, </w:t>
      </w:r>
      <w:r w:rsidRPr="00484D07">
        <w:rPr>
          <w:i/>
          <w:iCs/>
        </w:rPr>
        <w:t>25</w:t>
      </w:r>
      <w:r w:rsidRPr="00C239D0">
        <w:t>(4), 17-24.</w:t>
      </w:r>
    </w:p>
    <w:p w14:paraId="564048FD" w14:textId="2CF7BFCA" w:rsidR="00C239D0" w:rsidRPr="00C239D0" w:rsidRDefault="00C239D0" w:rsidP="006C0BEA">
      <w:pPr>
        <w:pStyle w:val="Rlit"/>
      </w:pPr>
      <w:r w:rsidRPr="00C239D0">
        <w:t xml:space="preserve">Hagen, B., Middel, A., </w:t>
      </w:r>
      <w:r w:rsidR="00484D07">
        <w:t xml:space="preserve">&amp; </w:t>
      </w:r>
      <w:proofErr w:type="spellStart"/>
      <w:r w:rsidRPr="00C239D0">
        <w:t>Pijawka</w:t>
      </w:r>
      <w:proofErr w:type="spellEnd"/>
      <w:r w:rsidRPr="00C239D0">
        <w:t xml:space="preserve">, D. (2016). European climate change perceptions: Public support for mitigation and adaptation policies. </w:t>
      </w:r>
      <w:r w:rsidRPr="00484D07">
        <w:rPr>
          <w:i/>
          <w:iCs/>
        </w:rPr>
        <w:t>Environmental Policy and Governance</w:t>
      </w:r>
      <w:r w:rsidRPr="00C239D0">
        <w:t xml:space="preserve">, </w:t>
      </w:r>
      <w:r w:rsidRPr="00484D07">
        <w:rPr>
          <w:i/>
          <w:iCs/>
        </w:rPr>
        <w:t>26</w:t>
      </w:r>
      <w:r w:rsidRPr="00C239D0">
        <w:t>(3), 170-183. https://doi.org/10.1002/eet.1701</w:t>
      </w:r>
    </w:p>
    <w:p w14:paraId="7B3CEF6B" w14:textId="2DEF45D0" w:rsidR="00C239D0" w:rsidRPr="00C239D0" w:rsidRDefault="00C239D0" w:rsidP="00484D07">
      <w:pPr>
        <w:pStyle w:val="Rlit"/>
        <w:jc w:val="left"/>
      </w:pPr>
      <w:r w:rsidRPr="00C239D0">
        <w:lastRenderedPageBreak/>
        <w:t>Hariram, N.</w:t>
      </w:r>
      <w:r w:rsidR="00484D07">
        <w:t xml:space="preserve"> </w:t>
      </w:r>
      <w:r w:rsidRPr="00C239D0">
        <w:t>P., Mekha, K.</w:t>
      </w:r>
      <w:r w:rsidR="00484D07">
        <w:t xml:space="preserve"> </w:t>
      </w:r>
      <w:r w:rsidRPr="00C239D0">
        <w:t xml:space="preserve">B., Suganthan, V., </w:t>
      </w:r>
      <w:r w:rsidR="00484D07">
        <w:t xml:space="preserve">&amp; </w:t>
      </w:r>
      <w:r w:rsidRPr="00C239D0">
        <w:t xml:space="preserve">Sudhakar, K. (2023). </w:t>
      </w:r>
      <w:proofErr w:type="spellStart"/>
      <w:r w:rsidRPr="00C239D0">
        <w:t>Sustainalism</w:t>
      </w:r>
      <w:proofErr w:type="spellEnd"/>
      <w:r w:rsidRPr="00C239D0">
        <w:t xml:space="preserve">: An integrated socio-economic-environmental model to address sustainable development and sustainability. </w:t>
      </w:r>
      <w:r w:rsidRPr="00484D07">
        <w:rPr>
          <w:i/>
          <w:iCs/>
        </w:rPr>
        <w:t>Sustainability</w:t>
      </w:r>
      <w:r w:rsidRPr="00C239D0">
        <w:t xml:space="preserve">, </w:t>
      </w:r>
      <w:r w:rsidRPr="00484D07">
        <w:rPr>
          <w:i/>
          <w:iCs/>
        </w:rPr>
        <w:t>15</w:t>
      </w:r>
      <w:r w:rsidRPr="00C239D0">
        <w:t>(13), 10682. https://doi.org/10.3390/su151310682</w:t>
      </w:r>
    </w:p>
    <w:p w14:paraId="6BB9D015" w14:textId="38256453" w:rsidR="00C239D0" w:rsidRPr="00C239D0" w:rsidRDefault="00C239D0" w:rsidP="00484D07">
      <w:pPr>
        <w:pStyle w:val="Rlit"/>
        <w:jc w:val="left"/>
      </w:pPr>
      <w:r w:rsidRPr="00C239D0">
        <w:t>Harper, M., Rytwinski, T., Taylor, J.</w:t>
      </w:r>
      <w:r w:rsidR="00484D07">
        <w:t xml:space="preserve"> </w:t>
      </w:r>
      <w:r w:rsidRPr="00C239D0">
        <w:t>J., Bennett, J.</w:t>
      </w:r>
      <w:r w:rsidR="00484D07">
        <w:t xml:space="preserve"> </w:t>
      </w:r>
      <w:r w:rsidRPr="00C239D0">
        <w:t xml:space="preserve">R., </w:t>
      </w:r>
      <w:proofErr w:type="spellStart"/>
      <w:r w:rsidRPr="00C239D0">
        <w:t>Smokorowski</w:t>
      </w:r>
      <w:proofErr w:type="spellEnd"/>
      <w:r w:rsidRPr="00C239D0">
        <w:t>, K.</w:t>
      </w:r>
      <w:r w:rsidR="00484D07">
        <w:t xml:space="preserve"> </w:t>
      </w:r>
      <w:r w:rsidRPr="00C239D0">
        <w:t>E., Olden, J.</w:t>
      </w:r>
      <w:r w:rsidR="00484D07">
        <w:t xml:space="preserve"> </w:t>
      </w:r>
      <w:r w:rsidRPr="00C239D0">
        <w:t>D., Clarke, K.</w:t>
      </w:r>
      <w:r w:rsidR="00484D07">
        <w:t xml:space="preserve"> </w:t>
      </w:r>
      <w:r w:rsidRPr="00C239D0">
        <w:t xml:space="preserve">D., Pratt, T., Fisher, N., Leake, A., </w:t>
      </w:r>
      <w:r w:rsidR="00484D07">
        <w:t xml:space="preserve">&amp; </w:t>
      </w:r>
      <w:r w:rsidRPr="00C239D0">
        <w:t xml:space="preserve">Cooke, S. J. (2022). How do changes in flow magnitude due to hydropower operations affect fish abundance and biomass in temperate regions? A systematic review. </w:t>
      </w:r>
      <w:r w:rsidRPr="00484D07">
        <w:rPr>
          <w:i/>
          <w:iCs/>
        </w:rPr>
        <w:t>Environmental Evidence</w:t>
      </w:r>
      <w:r w:rsidRPr="00C239D0">
        <w:t xml:space="preserve">, </w:t>
      </w:r>
      <w:r w:rsidRPr="00484D07">
        <w:rPr>
          <w:i/>
          <w:iCs/>
        </w:rPr>
        <w:t>11</w:t>
      </w:r>
      <w:r w:rsidRPr="00C239D0">
        <w:t>(1), 3. https://doi.org/10.1186/s13750-021-00254-8</w:t>
      </w:r>
    </w:p>
    <w:p w14:paraId="5270AB57" w14:textId="3633BA89" w:rsidR="00C239D0" w:rsidRPr="00C239D0" w:rsidRDefault="00C239D0" w:rsidP="006C0BEA">
      <w:pPr>
        <w:pStyle w:val="Rlit"/>
      </w:pPr>
      <w:r w:rsidRPr="00C239D0">
        <w:t>Hennelly, D.</w:t>
      </w:r>
      <w:r w:rsidR="00484D07">
        <w:t xml:space="preserve"> </w:t>
      </w:r>
      <w:r w:rsidRPr="00C239D0">
        <w:t xml:space="preserve">S., </w:t>
      </w:r>
      <w:r w:rsidR="00484D07">
        <w:t xml:space="preserve">&amp; </w:t>
      </w:r>
      <w:r w:rsidRPr="00C239D0">
        <w:t xml:space="preserve">Schurman, B. (2023). </w:t>
      </w:r>
      <w:r w:rsidRPr="00CB00CC">
        <w:rPr>
          <w:i/>
          <w:iCs/>
        </w:rPr>
        <w:t>Bridging Generational Divides in Your Workplace</w:t>
      </w:r>
      <w:r w:rsidRPr="00C239D0">
        <w:t>. UK London: Harvard Business Review. https://hbr.org/2023/01/bridging-generational-divides-in-your-workplace</w:t>
      </w:r>
    </w:p>
    <w:p w14:paraId="476A103B" w14:textId="230CE334" w:rsidR="00C239D0" w:rsidRPr="00C239D0" w:rsidRDefault="00C239D0" w:rsidP="00CB00CC">
      <w:pPr>
        <w:pStyle w:val="Rlit"/>
        <w:jc w:val="left"/>
      </w:pPr>
      <w:r w:rsidRPr="00C239D0">
        <w:t xml:space="preserve">Höglund-Isaksson, L., Purohit, P., Gomez-Sanabria, A., </w:t>
      </w:r>
      <w:proofErr w:type="spellStart"/>
      <w:r w:rsidRPr="00C239D0">
        <w:t>Kaltenegger</w:t>
      </w:r>
      <w:proofErr w:type="spellEnd"/>
      <w:r w:rsidRPr="00C239D0">
        <w:t xml:space="preserve">, K., Pauls, A., Rafaj, P., Sander, R., Srivastava, P., Warnecke, L., </w:t>
      </w:r>
      <w:r w:rsidR="00CB00CC">
        <w:t xml:space="preserve">&amp; </w:t>
      </w:r>
      <w:proofErr w:type="spellStart"/>
      <w:r w:rsidRPr="00C239D0">
        <w:t>Winiwarter</w:t>
      </w:r>
      <w:proofErr w:type="spellEnd"/>
      <w:r w:rsidRPr="00C239D0">
        <w:t xml:space="preserve">, W. (2023). </w:t>
      </w:r>
      <w:r w:rsidRPr="00CB00CC">
        <w:rPr>
          <w:i/>
          <w:iCs/>
        </w:rPr>
        <w:t>Non-CO2 greenhouse gas emissions in the EU-27 from 2005 to 2070 with mitigation potentials and costs: GAINS model methodology</w:t>
      </w:r>
      <w:r w:rsidRPr="00C239D0">
        <w:t>. IIASA. 2023. https://pure.iiasa.ac.at/id/eprint/19546/1/GAINS_Methodology_nonCO2_EU27_10oct2023_Final.pdf</w:t>
      </w:r>
    </w:p>
    <w:p w14:paraId="4AFD894A" w14:textId="25723AFE" w:rsidR="00C239D0" w:rsidRPr="00C239D0" w:rsidRDefault="00C239D0" w:rsidP="006C0BEA">
      <w:pPr>
        <w:pStyle w:val="Rlit"/>
      </w:pPr>
      <w:r w:rsidRPr="00C239D0">
        <w:t xml:space="preserve">Jankowiak, N., </w:t>
      </w:r>
      <w:r w:rsidR="00CB00CC">
        <w:t xml:space="preserve">&amp; </w:t>
      </w:r>
      <w:r w:rsidRPr="00C239D0">
        <w:t>Czerwińska-</w:t>
      </w:r>
      <w:proofErr w:type="spellStart"/>
      <w:r w:rsidRPr="00C239D0">
        <w:t>Lubszczyk</w:t>
      </w:r>
      <w:proofErr w:type="spellEnd"/>
      <w:r w:rsidRPr="00C239D0">
        <w:t xml:space="preserve">, A. (2024). </w:t>
      </w:r>
      <w:proofErr w:type="spellStart"/>
      <w:r w:rsidRPr="00C239D0">
        <w:t>Pokolenia</w:t>
      </w:r>
      <w:proofErr w:type="spellEnd"/>
      <w:r w:rsidRPr="00C239D0">
        <w:t xml:space="preserve"> </w:t>
      </w:r>
      <w:proofErr w:type="spellStart"/>
      <w:r w:rsidRPr="00C239D0">
        <w:t>na</w:t>
      </w:r>
      <w:proofErr w:type="spellEnd"/>
      <w:r w:rsidRPr="00C239D0">
        <w:t xml:space="preserve"> </w:t>
      </w:r>
      <w:proofErr w:type="spellStart"/>
      <w:r w:rsidRPr="00C239D0">
        <w:t>rynku</w:t>
      </w:r>
      <w:proofErr w:type="spellEnd"/>
      <w:r w:rsidRPr="00C239D0">
        <w:t xml:space="preserve"> </w:t>
      </w:r>
      <w:proofErr w:type="spellStart"/>
      <w:r w:rsidRPr="00C239D0">
        <w:t>pracy</w:t>
      </w:r>
      <w:proofErr w:type="spellEnd"/>
      <w:r w:rsidRPr="00C239D0">
        <w:t xml:space="preserve"> – </w:t>
      </w:r>
      <w:proofErr w:type="spellStart"/>
      <w:r w:rsidRPr="00C239D0">
        <w:t>podejście</w:t>
      </w:r>
      <w:proofErr w:type="spellEnd"/>
      <w:r w:rsidRPr="00C239D0">
        <w:t xml:space="preserve"> </w:t>
      </w:r>
      <w:proofErr w:type="spellStart"/>
      <w:r w:rsidRPr="00C239D0">
        <w:t>teoretyczne</w:t>
      </w:r>
      <w:proofErr w:type="spellEnd"/>
      <w:r w:rsidRPr="00C239D0">
        <w:t xml:space="preserve">. </w:t>
      </w:r>
      <w:proofErr w:type="spellStart"/>
      <w:r w:rsidRPr="00C239D0">
        <w:t>Zeszyty</w:t>
      </w:r>
      <w:proofErr w:type="spellEnd"/>
      <w:r w:rsidRPr="00C239D0">
        <w:t xml:space="preserve"> </w:t>
      </w:r>
      <w:proofErr w:type="spellStart"/>
      <w:r w:rsidRPr="00C239D0">
        <w:t>Naukowe</w:t>
      </w:r>
      <w:proofErr w:type="spellEnd"/>
      <w:r w:rsidRPr="00C239D0">
        <w:t xml:space="preserve">. </w:t>
      </w:r>
      <w:proofErr w:type="spellStart"/>
      <w:r w:rsidRPr="00CB00CC">
        <w:rPr>
          <w:i/>
          <w:iCs/>
        </w:rPr>
        <w:t>Systemy</w:t>
      </w:r>
      <w:proofErr w:type="spellEnd"/>
      <w:r w:rsidRPr="00CB00CC">
        <w:rPr>
          <w:i/>
          <w:iCs/>
        </w:rPr>
        <w:t xml:space="preserve"> </w:t>
      </w:r>
      <w:proofErr w:type="spellStart"/>
      <w:r w:rsidRPr="00CB00CC">
        <w:rPr>
          <w:i/>
          <w:iCs/>
        </w:rPr>
        <w:t>Wspomagania</w:t>
      </w:r>
      <w:proofErr w:type="spellEnd"/>
      <w:r w:rsidRPr="00CB00CC">
        <w:rPr>
          <w:i/>
          <w:iCs/>
        </w:rPr>
        <w:t xml:space="preserve"> w </w:t>
      </w:r>
      <w:proofErr w:type="spellStart"/>
      <w:r w:rsidRPr="00CB00CC">
        <w:rPr>
          <w:i/>
          <w:iCs/>
        </w:rPr>
        <w:t>Inżynierii</w:t>
      </w:r>
      <w:proofErr w:type="spellEnd"/>
      <w:r w:rsidRPr="00CB00CC">
        <w:rPr>
          <w:i/>
          <w:iCs/>
        </w:rPr>
        <w:t xml:space="preserve"> </w:t>
      </w:r>
      <w:proofErr w:type="spellStart"/>
      <w:r w:rsidRPr="00CB00CC">
        <w:rPr>
          <w:i/>
          <w:iCs/>
        </w:rPr>
        <w:t>Produkcji</w:t>
      </w:r>
      <w:proofErr w:type="spellEnd"/>
      <w:r w:rsidRPr="00C239D0">
        <w:t xml:space="preserve">, </w:t>
      </w:r>
      <w:r w:rsidRPr="00CB00CC">
        <w:rPr>
          <w:i/>
          <w:iCs/>
        </w:rPr>
        <w:t>2</w:t>
      </w:r>
      <w:r w:rsidRPr="00C239D0">
        <w:t>(13), 123-134.</w:t>
      </w:r>
      <w:r w:rsidR="00CB00CC">
        <w:t xml:space="preserve"> (in Polish)</w:t>
      </w:r>
    </w:p>
    <w:p w14:paraId="7B88BE43" w14:textId="50A46013" w:rsidR="00C239D0" w:rsidRPr="00C239D0" w:rsidRDefault="00C239D0" w:rsidP="006C0BEA">
      <w:pPr>
        <w:pStyle w:val="Rlit"/>
      </w:pPr>
      <w:proofErr w:type="spellStart"/>
      <w:r w:rsidRPr="00C239D0">
        <w:t>Janoś</w:t>
      </w:r>
      <w:proofErr w:type="spellEnd"/>
      <w:r w:rsidRPr="00C239D0">
        <w:t xml:space="preserve">-Kresło, M., </w:t>
      </w:r>
      <w:r w:rsidR="00CB00CC">
        <w:t xml:space="preserve">&amp; </w:t>
      </w:r>
      <w:r w:rsidRPr="00C239D0">
        <w:t xml:space="preserve">Mróz, B. (2006). </w:t>
      </w:r>
      <w:proofErr w:type="spellStart"/>
      <w:r w:rsidRPr="00CB00CC">
        <w:rPr>
          <w:i/>
          <w:iCs/>
        </w:rPr>
        <w:t>Konsument</w:t>
      </w:r>
      <w:proofErr w:type="spellEnd"/>
      <w:r w:rsidRPr="00CB00CC">
        <w:rPr>
          <w:i/>
          <w:iCs/>
        </w:rPr>
        <w:t xml:space="preserve"> </w:t>
      </w:r>
      <w:proofErr w:type="spellStart"/>
      <w:r w:rsidRPr="00CB00CC">
        <w:rPr>
          <w:i/>
          <w:iCs/>
        </w:rPr>
        <w:t>i</w:t>
      </w:r>
      <w:proofErr w:type="spellEnd"/>
      <w:r w:rsidRPr="00CB00CC">
        <w:rPr>
          <w:i/>
          <w:iCs/>
        </w:rPr>
        <w:t xml:space="preserve"> </w:t>
      </w:r>
      <w:proofErr w:type="spellStart"/>
      <w:r w:rsidRPr="00CB00CC">
        <w:rPr>
          <w:i/>
          <w:iCs/>
        </w:rPr>
        <w:t>konsumpcja</w:t>
      </w:r>
      <w:proofErr w:type="spellEnd"/>
      <w:r w:rsidRPr="00CB00CC">
        <w:rPr>
          <w:i/>
          <w:iCs/>
        </w:rPr>
        <w:t xml:space="preserve"> we </w:t>
      </w:r>
      <w:proofErr w:type="spellStart"/>
      <w:r w:rsidRPr="00CB00CC">
        <w:rPr>
          <w:i/>
          <w:iCs/>
        </w:rPr>
        <w:t>współczesnej</w:t>
      </w:r>
      <w:proofErr w:type="spellEnd"/>
      <w:r w:rsidRPr="00CB00CC">
        <w:rPr>
          <w:i/>
          <w:iCs/>
        </w:rPr>
        <w:t xml:space="preserve"> </w:t>
      </w:r>
      <w:proofErr w:type="spellStart"/>
      <w:r w:rsidRPr="00CB00CC">
        <w:rPr>
          <w:i/>
          <w:iCs/>
        </w:rPr>
        <w:t>gospodarce</w:t>
      </w:r>
      <w:proofErr w:type="spellEnd"/>
      <w:r w:rsidRPr="00C239D0">
        <w:t xml:space="preserve">. Poland, Warszawa: </w:t>
      </w:r>
      <w:proofErr w:type="spellStart"/>
      <w:r w:rsidRPr="00C239D0">
        <w:t>Szkoła</w:t>
      </w:r>
      <w:proofErr w:type="spellEnd"/>
      <w:r w:rsidRPr="00C239D0">
        <w:t xml:space="preserve"> </w:t>
      </w:r>
      <w:proofErr w:type="spellStart"/>
      <w:r w:rsidRPr="00C239D0">
        <w:t>Główna</w:t>
      </w:r>
      <w:proofErr w:type="spellEnd"/>
      <w:r w:rsidRPr="00C239D0">
        <w:t xml:space="preserve"> </w:t>
      </w:r>
      <w:proofErr w:type="spellStart"/>
      <w:r w:rsidRPr="00C239D0">
        <w:t>Handlowa</w:t>
      </w:r>
      <w:proofErr w:type="spellEnd"/>
      <w:r w:rsidRPr="00C239D0">
        <w:t xml:space="preserve"> w Warszawie.</w:t>
      </w:r>
      <w:r w:rsidR="00CB00CC">
        <w:t xml:space="preserve"> (in Polish)</w:t>
      </w:r>
    </w:p>
    <w:p w14:paraId="47F7FD23" w14:textId="042D1D22" w:rsidR="00C239D0" w:rsidRPr="00C239D0" w:rsidRDefault="00C239D0" w:rsidP="006C0BEA">
      <w:pPr>
        <w:pStyle w:val="Rlit"/>
      </w:pPr>
      <w:r w:rsidRPr="00C239D0">
        <w:t xml:space="preserve">Joshi, Y., </w:t>
      </w:r>
      <w:r w:rsidR="0031206D">
        <w:t xml:space="preserve">&amp; </w:t>
      </w:r>
      <w:r w:rsidRPr="00C239D0">
        <w:t xml:space="preserve">Rahman, Z. (2015). Factors affecting green purchase behaviour and future research directions. </w:t>
      </w:r>
      <w:r w:rsidRPr="0031206D">
        <w:rPr>
          <w:i/>
          <w:iCs/>
        </w:rPr>
        <w:t>International Strategic Management Review</w:t>
      </w:r>
      <w:r w:rsidRPr="00C239D0">
        <w:t xml:space="preserve">, </w:t>
      </w:r>
      <w:r w:rsidRPr="0031206D">
        <w:rPr>
          <w:i/>
          <w:iCs/>
        </w:rPr>
        <w:t>3</w:t>
      </w:r>
      <w:r w:rsidRPr="00C239D0">
        <w:t>(1-2), 128-143</w:t>
      </w:r>
      <w:r w:rsidR="0031206D">
        <w:t>.</w:t>
      </w:r>
    </w:p>
    <w:p w14:paraId="79480753" w14:textId="5B2B2540" w:rsidR="00C239D0" w:rsidRPr="00C239D0" w:rsidRDefault="00C239D0" w:rsidP="006C0BEA">
      <w:pPr>
        <w:pStyle w:val="Rlit"/>
      </w:pPr>
      <w:r w:rsidRPr="00C239D0">
        <w:t xml:space="preserve">Korczyk-Ulman, J. (2023). </w:t>
      </w:r>
      <w:proofErr w:type="spellStart"/>
      <w:r w:rsidRPr="0031206D">
        <w:rPr>
          <w:i/>
          <w:iCs/>
        </w:rPr>
        <w:t>Pokolenia</w:t>
      </w:r>
      <w:proofErr w:type="spellEnd"/>
      <w:r w:rsidRPr="0031206D">
        <w:rPr>
          <w:i/>
          <w:iCs/>
        </w:rPr>
        <w:t xml:space="preserve"> </w:t>
      </w:r>
      <w:proofErr w:type="spellStart"/>
      <w:r w:rsidRPr="0031206D">
        <w:rPr>
          <w:i/>
          <w:iCs/>
        </w:rPr>
        <w:t>konsumentów</w:t>
      </w:r>
      <w:proofErr w:type="spellEnd"/>
      <w:r w:rsidRPr="0031206D">
        <w:rPr>
          <w:i/>
          <w:iCs/>
        </w:rPr>
        <w:t xml:space="preserve">. Jak do </w:t>
      </w:r>
      <w:proofErr w:type="spellStart"/>
      <w:r w:rsidRPr="0031206D">
        <w:rPr>
          <w:i/>
          <w:iCs/>
        </w:rPr>
        <w:t>nich</w:t>
      </w:r>
      <w:proofErr w:type="spellEnd"/>
      <w:r w:rsidRPr="0031206D">
        <w:rPr>
          <w:i/>
          <w:iCs/>
        </w:rPr>
        <w:t xml:space="preserve"> </w:t>
      </w:r>
      <w:proofErr w:type="spellStart"/>
      <w:r w:rsidRPr="0031206D">
        <w:rPr>
          <w:i/>
          <w:iCs/>
        </w:rPr>
        <w:t>mówić</w:t>
      </w:r>
      <w:proofErr w:type="spellEnd"/>
      <w:r w:rsidRPr="0031206D">
        <w:rPr>
          <w:i/>
          <w:iCs/>
        </w:rPr>
        <w:t xml:space="preserve">, </w:t>
      </w:r>
      <w:proofErr w:type="spellStart"/>
      <w:r w:rsidRPr="0031206D">
        <w:rPr>
          <w:i/>
          <w:iCs/>
        </w:rPr>
        <w:t>żeby</w:t>
      </w:r>
      <w:proofErr w:type="spellEnd"/>
      <w:r w:rsidRPr="0031206D">
        <w:rPr>
          <w:i/>
          <w:iCs/>
        </w:rPr>
        <w:t xml:space="preserve"> </w:t>
      </w:r>
      <w:proofErr w:type="spellStart"/>
      <w:r w:rsidRPr="0031206D">
        <w:rPr>
          <w:i/>
          <w:iCs/>
        </w:rPr>
        <w:t>nas</w:t>
      </w:r>
      <w:proofErr w:type="spellEnd"/>
      <w:r w:rsidRPr="0031206D">
        <w:rPr>
          <w:i/>
          <w:iCs/>
        </w:rPr>
        <w:t xml:space="preserve"> </w:t>
      </w:r>
      <w:proofErr w:type="spellStart"/>
      <w:r w:rsidRPr="0031206D">
        <w:rPr>
          <w:i/>
          <w:iCs/>
        </w:rPr>
        <w:t>słuchali</w:t>
      </w:r>
      <w:proofErr w:type="spellEnd"/>
      <w:r w:rsidRPr="0031206D">
        <w:rPr>
          <w:i/>
          <w:iCs/>
        </w:rPr>
        <w:t xml:space="preserve"> </w:t>
      </w:r>
      <w:proofErr w:type="spellStart"/>
      <w:r w:rsidRPr="0031206D">
        <w:rPr>
          <w:i/>
          <w:iCs/>
        </w:rPr>
        <w:t>i</w:t>
      </w:r>
      <w:proofErr w:type="spellEnd"/>
      <w:r w:rsidRPr="0031206D">
        <w:rPr>
          <w:i/>
          <w:iCs/>
        </w:rPr>
        <w:t xml:space="preserve"> </w:t>
      </w:r>
      <w:proofErr w:type="spellStart"/>
      <w:r w:rsidRPr="0031206D">
        <w:rPr>
          <w:i/>
          <w:iCs/>
        </w:rPr>
        <w:t>kupowali</w:t>
      </w:r>
      <w:proofErr w:type="spellEnd"/>
      <w:r w:rsidRPr="0031206D">
        <w:rPr>
          <w:i/>
          <w:iCs/>
        </w:rPr>
        <w:t>?</w:t>
      </w:r>
      <w:r w:rsidRPr="00C239D0">
        <w:t xml:space="preserve"> Poland Kraków: </w:t>
      </w:r>
      <w:proofErr w:type="spellStart"/>
      <w:r w:rsidRPr="00C239D0">
        <w:t>Veneo</w:t>
      </w:r>
      <w:proofErr w:type="spellEnd"/>
      <w:r w:rsidRPr="00C239D0">
        <w:t>, 34-43</w:t>
      </w:r>
      <w:r w:rsidR="0031206D">
        <w:t>. (in Polish)</w:t>
      </w:r>
    </w:p>
    <w:p w14:paraId="5B4E01CC" w14:textId="00DE4297" w:rsidR="00C239D0" w:rsidRPr="00C239D0" w:rsidRDefault="00C239D0" w:rsidP="006C0BEA">
      <w:pPr>
        <w:pStyle w:val="Rlit"/>
      </w:pPr>
      <w:proofErr w:type="spellStart"/>
      <w:r w:rsidRPr="00C239D0">
        <w:t>Korneta</w:t>
      </w:r>
      <w:proofErr w:type="spellEnd"/>
      <w:r w:rsidRPr="00C239D0">
        <w:t>, P.</w:t>
      </w:r>
      <w:r w:rsidR="0031206D">
        <w:t xml:space="preserve"> </w:t>
      </w:r>
      <w:r w:rsidRPr="00C239D0">
        <w:t xml:space="preserve">A., </w:t>
      </w:r>
      <w:r w:rsidR="0031206D">
        <w:t xml:space="preserve">&amp; </w:t>
      </w:r>
      <w:r w:rsidRPr="00C239D0">
        <w:t xml:space="preserve">Lotko, A. (2021). </w:t>
      </w:r>
      <w:proofErr w:type="spellStart"/>
      <w:r w:rsidRPr="00C239D0">
        <w:t>Determinanty</w:t>
      </w:r>
      <w:proofErr w:type="spellEnd"/>
      <w:r w:rsidRPr="00C239D0">
        <w:t xml:space="preserve"> </w:t>
      </w:r>
      <w:proofErr w:type="spellStart"/>
      <w:r w:rsidRPr="00C239D0">
        <w:t>i</w:t>
      </w:r>
      <w:proofErr w:type="spellEnd"/>
      <w:r w:rsidRPr="00C239D0">
        <w:t xml:space="preserve"> </w:t>
      </w:r>
      <w:proofErr w:type="spellStart"/>
      <w:r w:rsidRPr="00C239D0">
        <w:t>modele</w:t>
      </w:r>
      <w:proofErr w:type="spellEnd"/>
      <w:r w:rsidRPr="00C239D0">
        <w:t xml:space="preserve"> </w:t>
      </w:r>
      <w:proofErr w:type="spellStart"/>
      <w:r w:rsidRPr="00C239D0">
        <w:t>zachowań</w:t>
      </w:r>
      <w:proofErr w:type="spellEnd"/>
      <w:r w:rsidRPr="00C239D0">
        <w:t xml:space="preserve"> </w:t>
      </w:r>
      <w:proofErr w:type="spellStart"/>
      <w:r w:rsidRPr="00C239D0">
        <w:t>konsumenta</w:t>
      </w:r>
      <w:proofErr w:type="spellEnd"/>
      <w:r w:rsidRPr="00C239D0">
        <w:t xml:space="preserve">. </w:t>
      </w:r>
      <w:proofErr w:type="spellStart"/>
      <w:r w:rsidRPr="00C239D0">
        <w:t>Wnioski</w:t>
      </w:r>
      <w:proofErr w:type="spellEnd"/>
      <w:r w:rsidRPr="00C239D0">
        <w:t xml:space="preserve"> z </w:t>
      </w:r>
      <w:proofErr w:type="spellStart"/>
      <w:r w:rsidRPr="00C239D0">
        <w:t>przeglądu</w:t>
      </w:r>
      <w:proofErr w:type="spellEnd"/>
      <w:r w:rsidRPr="00C239D0">
        <w:t xml:space="preserve"> </w:t>
      </w:r>
      <w:proofErr w:type="spellStart"/>
      <w:r w:rsidRPr="00C239D0">
        <w:t>literatury</w:t>
      </w:r>
      <w:proofErr w:type="spellEnd"/>
      <w:r w:rsidRPr="00C239D0">
        <w:t xml:space="preserve">. </w:t>
      </w:r>
      <w:r w:rsidRPr="0031206D">
        <w:rPr>
          <w:i/>
          <w:iCs/>
        </w:rPr>
        <w:t xml:space="preserve">Marketing </w:t>
      </w:r>
      <w:proofErr w:type="spellStart"/>
      <w:r w:rsidRPr="0031206D">
        <w:rPr>
          <w:i/>
          <w:iCs/>
        </w:rPr>
        <w:t>i</w:t>
      </w:r>
      <w:proofErr w:type="spellEnd"/>
      <w:r w:rsidRPr="0031206D">
        <w:rPr>
          <w:i/>
          <w:iCs/>
        </w:rPr>
        <w:t xml:space="preserve"> Rynek</w:t>
      </w:r>
      <w:r w:rsidRPr="00C239D0">
        <w:t xml:space="preserve">, </w:t>
      </w:r>
      <w:r w:rsidRPr="0031206D">
        <w:rPr>
          <w:i/>
          <w:iCs/>
        </w:rPr>
        <w:t>9</w:t>
      </w:r>
      <w:r w:rsidRPr="00C239D0">
        <w:t>, 3</w:t>
      </w:r>
      <w:r w:rsidR="0031206D">
        <w:t>-</w:t>
      </w:r>
      <w:r w:rsidRPr="00C239D0">
        <w:t>13.</w:t>
      </w:r>
      <w:r w:rsidR="0031206D">
        <w:t xml:space="preserve"> (in Polish)</w:t>
      </w:r>
    </w:p>
    <w:p w14:paraId="5AA7D8AF" w14:textId="7DF61214" w:rsidR="00C239D0" w:rsidRPr="005471CA" w:rsidRDefault="00C239D0" w:rsidP="006C0BEA">
      <w:pPr>
        <w:pStyle w:val="Rlit"/>
        <w:rPr>
          <w:spacing w:val="-4"/>
        </w:rPr>
      </w:pPr>
      <w:proofErr w:type="spellStart"/>
      <w:r w:rsidRPr="005471CA">
        <w:rPr>
          <w:spacing w:val="-4"/>
        </w:rPr>
        <w:t>Kostera</w:t>
      </w:r>
      <w:proofErr w:type="spellEnd"/>
      <w:r w:rsidRPr="005471CA">
        <w:rPr>
          <w:spacing w:val="-4"/>
        </w:rPr>
        <w:t xml:space="preserve">, M., </w:t>
      </w:r>
      <w:r w:rsidR="00F574C1" w:rsidRPr="005471CA">
        <w:rPr>
          <w:spacing w:val="-4"/>
        </w:rPr>
        <w:t xml:space="preserve">&amp; </w:t>
      </w:r>
      <w:r w:rsidRPr="005471CA">
        <w:rPr>
          <w:spacing w:val="-4"/>
        </w:rPr>
        <w:t xml:space="preserve">Śliwa, M. (2012). </w:t>
      </w:r>
      <w:proofErr w:type="spellStart"/>
      <w:r w:rsidRPr="005471CA">
        <w:rPr>
          <w:i/>
          <w:iCs/>
          <w:spacing w:val="-4"/>
        </w:rPr>
        <w:t>Zarządzanie</w:t>
      </w:r>
      <w:proofErr w:type="spellEnd"/>
      <w:r w:rsidRPr="005471CA">
        <w:rPr>
          <w:i/>
          <w:iCs/>
          <w:spacing w:val="-4"/>
        </w:rPr>
        <w:t xml:space="preserve"> w XXI </w:t>
      </w:r>
      <w:proofErr w:type="spellStart"/>
      <w:r w:rsidRPr="005471CA">
        <w:rPr>
          <w:i/>
          <w:iCs/>
          <w:spacing w:val="-4"/>
        </w:rPr>
        <w:t>wieku</w:t>
      </w:r>
      <w:proofErr w:type="spellEnd"/>
      <w:r w:rsidRPr="005471CA">
        <w:rPr>
          <w:i/>
          <w:iCs/>
          <w:spacing w:val="-4"/>
        </w:rPr>
        <w:t xml:space="preserve">: </w:t>
      </w:r>
      <w:proofErr w:type="spellStart"/>
      <w:r w:rsidRPr="005471CA">
        <w:rPr>
          <w:i/>
          <w:iCs/>
          <w:spacing w:val="-4"/>
        </w:rPr>
        <w:t>Jakość</w:t>
      </w:r>
      <w:proofErr w:type="spellEnd"/>
      <w:r w:rsidRPr="005471CA">
        <w:rPr>
          <w:i/>
          <w:iCs/>
          <w:spacing w:val="-4"/>
        </w:rPr>
        <w:t xml:space="preserve">, </w:t>
      </w:r>
      <w:proofErr w:type="spellStart"/>
      <w:r w:rsidRPr="005471CA">
        <w:rPr>
          <w:i/>
          <w:iCs/>
          <w:spacing w:val="-4"/>
        </w:rPr>
        <w:t>twórczość</w:t>
      </w:r>
      <w:proofErr w:type="spellEnd"/>
      <w:r w:rsidRPr="005471CA">
        <w:rPr>
          <w:i/>
          <w:iCs/>
          <w:spacing w:val="-4"/>
        </w:rPr>
        <w:t xml:space="preserve">, </w:t>
      </w:r>
      <w:proofErr w:type="spellStart"/>
      <w:r w:rsidRPr="005471CA">
        <w:rPr>
          <w:i/>
          <w:iCs/>
          <w:spacing w:val="-4"/>
        </w:rPr>
        <w:t>kultura</w:t>
      </w:r>
      <w:proofErr w:type="spellEnd"/>
      <w:r w:rsidRPr="005471CA">
        <w:rPr>
          <w:spacing w:val="-4"/>
        </w:rPr>
        <w:t>. Warszawa: Wolters Kluwer Business.</w:t>
      </w:r>
    </w:p>
    <w:p w14:paraId="743088CA" w14:textId="27C6B7CC" w:rsidR="00C239D0" w:rsidRPr="00852C49" w:rsidRDefault="00C239D0" w:rsidP="006C0BEA">
      <w:pPr>
        <w:pStyle w:val="Rlit"/>
        <w:rPr>
          <w:spacing w:val="-2"/>
        </w:rPr>
      </w:pPr>
      <w:r w:rsidRPr="00852C49">
        <w:rPr>
          <w:spacing w:val="-2"/>
        </w:rPr>
        <w:t>Kotler, P.</w:t>
      </w:r>
      <w:r w:rsidR="00F574C1" w:rsidRPr="00852C49">
        <w:rPr>
          <w:spacing w:val="-2"/>
        </w:rPr>
        <w:t>,</w:t>
      </w:r>
      <w:r w:rsidRPr="00852C49">
        <w:rPr>
          <w:spacing w:val="-2"/>
        </w:rPr>
        <w:t xml:space="preserve"> Hermawan, K.</w:t>
      </w:r>
      <w:r w:rsidR="00F574C1" w:rsidRPr="00852C49">
        <w:rPr>
          <w:spacing w:val="-2"/>
        </w:rPr>
        <w:t>,</w:t>
      </w:r>
      <w:r w:rsidRPr="00852C49">
        <w:rPr>
          <w:spacing w:val="-2"/>
        </w:rPr>
        <w:t xml:space="preserve"> </w:t>
      </w:r>
      <w:r w:rsidR="00852C49" w:rsidRPr="00852C49">
        <w:rPr>
          <w:spacing w:val="-2"/>
        </w:rPr>
        <w:t xml:space="preserve">&amp; </w:t>
      </w:r>
      <w:r w:rsidRPr="00852C49">
        <w:rPr>
          <w:spacing w:val="-2"/>
        </w:rPr>
        <w:t>Iwan, S.</w:t>
      </w:r>
      <w:r w:rsidR="00F574C1" w:rsidRPr="00852C49">
        <w:rPr>
          <w:spacing w:val="-2"/>
        </w:rPr>
        <w:t xml:space="preserve"> (2024). </w:t>
      </w:r>
      <w:r w:rsidRPr="00852C49">
        <w:rPr>
          <w:i/>
          <w:iCs/>
          <w:spacing w:val="-2"/>
        </w:rPr>
        <w:t xml:space="preserve">Marketing 6.0 </w:t>
      </w:r>
      <w:proofErr w:type="spellStart"/>
      <w:r w:rsidRPr="00852C49">
        <w:rPr>
          <w:i/>
          <w:iCs/>
          <w:spacing w:val="-2"/>
        </w:rPr>
        <w:t>Przyszłość</w:t>
      </w:r>
      <w:proofErr w:type="spellEnd"/>
      <w:r w:rsidRPr="00852C49">
        <w:rPr>
          <w:i/>
          <w:iCs/>
          <w:spacing w:val="-2"/>
        </w:rPr>
        <w:t xml:space="preserve"> jest </w:t>
      </w:r>
      <w:proofErr w:type="spellStart"/>
      <w:r w:rsidRPr="00852C49">
        <w:rPr>
          <w:i/>
          <w:iCs/>
          <w:spacing w:val="-2"/>
        </w:rPr>
        <w:t>immersyjna</w:t>
      </w:r>
      <w:proofErr w:type="spellEnd"/>
      <w:r w:rsidRPr="00852C49">
        <w:rPr>
          <w:spacing w:val="-2"/>
        </w:rPr>
        <w:t xml:space="preserve">. Warszawa: MT </w:t>
      </w:r>
      <w:proofErr w:type="spellStart"/>
      <w:r w:rsidRPr="00852C49">
        <w:rPr>
          <w:spacing w:val="-2"/>
        </w:rPr>
        <w:t>Biznes</w:t>
      </w:r>
      <w:proofErr w:type="spellEnd"/>
      <w:r w:rsidR="00F574C1" w:rsidRPr="00852C49">
        <w:rPr>
          <w:spacing w:val="-2"/>
        </w:rPr>
        <w:t>. (in Polish)</w:t>
      </w:r>
    </w:p>
    <w:p w14:paraId="6954CB00" w14:textId="1BD40789" w:rsidR="00C239D0" w:rsidRPr="00C239D0" w:rsidRDefault="00C239D0" w:rsidP="00F574C1">
      <w:pPr>
        <w:pStyle w:val="Rlit"/>
        <w:jc w:val="left"/>
      </w:pPr>
      <w:r w:rsidRPr="00C239D0">
        <w:t xml:space="preserve">Kucner, A., Sierocki, R., </w:t>
      </w:r>
      <w:r w:rsidR="00F574C1">
        <w:t xml:space="preserve">&amp; </w:t>
      </w:r>
      <w:r w:rsidRPr="00C239D0">
        <w:t xml:space="preserve">Wasiluk, P. (Ed.). (2018). </w:t>
      </w:r>
      <w:r w:rsidRPr="00F574C1">
        <w:rPr>
          <w:i/>
          <w:iCs/>
        </w:rPr>
        <w:t xml:space="preserve">Trendy. </w:t>
      </w:r>
      <w:proofErr w:type="spellStart"/>
      <w:r w:rsidRPr="00F574C1">
        <w:rPr>
          <w:i/>
          <w:iCs/>
        </w:rPr>
        <w:t>Interpretacje</w:t>
      </w:r>
      <w:proofErr w:type="spellEnd"/>
      <w:r w:rsidRPr="00F574C1">
        <w:rPr>
          <w:i/>
          <w:iCs/>
        </w:rPr>
        <w:t xml:space="preserve"> </w:t>
      </w:r>
      <w:proofErr w:type="spellStart"/>
      <w:r w:rsidRPr="00F574C1">
        <w:rPr>
          <w:i/>
          <w:iCs/>
        </w:rPr>
        <w:t>i</w:t>
      </w:r>
      <w:proofErr w:type="spellEnd"/>
      <w:r w:rsidRPr="00F574C1">
        <w:rPr>
          <w:i/>
          <w:iCs/>
        </w:rPr>
        <w:t xml:space="preserve"> </w:t>
      </w:r>
      <w:proofErr w:type="spellStart"/>
      <w:r w:rsidRPr="00F574C1">
        <w:rPr>
          <w:i/>
          <w:iCs/>
        </w:rPr>
        <w:t>konfrontacje</w:t>
      </w:r>
      <w:proofErr w:type="spellEnd"/>
      <w:r w:rsidRPr="00C239D0">
        <w:t xml:space="preserve">. Poland Olsztyn: </w:t>
      </w:r>
      <w:proofErr w:type="spellStart"/>
      <w:r w:rsidRPr="00C239D0">
        <w:t>Instytut</w:t>
      </w:r>
      <w:proofErr w:type="spellEnd"/>
      <w:r w:rsidRPr="00C239D0">
        <w:t xml:space="preserve"> </w:t>
      </w:r>
      <w:proofErr w:type="spellStart"/>
      <w:r w:rsidRPr="00C239D0">
        <w:t>Filozofii</w:t>
      </w:r>
      <w:proofErr w:type="spellEnd"/>
      <w:r w:rsidRPr="00C239D0">
        <w:t xml:space="preserve"> UWM.</w:t>
      </w:r>
      <w:r w:rsidR="00F574C1">
        <w:t xml:space="preserve"> (in Polish)</w:t>
      </w:r>
    </w:p>
    <w:p w14:paraId="74FCAD71" w14:textId="7617C539" w:rsidR="00C239D0" w:rsidRPr="00C239D0" w:rsidRDefault="00C239D0" w:rsidP="006C0BEA">
      <w:pPr>
        <w:pStyle w:val="Rlit"/>
      </w:pPr>
      <w:r w:rsidRPr="00C239D0">
        <w:t xml:space="preserve">Kuczyński, W., Kaminski, K., Znaczko, P., Chamier-Gliszczynski, N., </w:t>
      </w:r>
      <w:r w:rsidR="00F574C1">
        <w:t xml:space="preserve">&amp; </w:t>
      </w:r>
      <w:r w:rsidRPr="00C239D0">
        <w:t xml:space="preserve">Piatkowski, P. (2021). On the correlation between the geometrical features and thermal efficiency of flat-plate solar collectors. </w:t>
      </w:r>
      <w:r w:rsidRPr="00F574C1">
        <w:rPr>
          <w:i/>
          <w:iCs/>
        </w:rPr>
        <w:t>Energies</w:t>
      </w:r>
      <w:r w:rsidRPr="00C239D0">
        <w:t xml:space="preserve">, </w:t>
      </w:r>
      <w:r w:rsidRPr="00F574C1">
        <w:rPr>
          <w:i/>
          <w:iCs/>
        </w:rPr>
        <w:t>14</w:t>
      </w:r>
      <w:r w:rsidRPr="00C239D0">
        <w:t>(2), 261. https://doi.org/10.3390/en14020261</w:t>
      </w:r>
    </w:p>
    <w:p w14:paraId="1C96BE37" w14:textId="32F7BDC4" w:rsidR="00C239D0" w:rsidRPr="00C239D0" w:rsidRDefault="00C239D0" w:rsidP="006C0BEA">
      <w:pPr>
        <w:pStyle w:val="Rlit"/>
      </w:pPr>
      <w:r w:rsidRPr="00C239D0">
        <w:t xml:space="preserve">Lenort, R., Baran, J., </w:t>
      </w:r>
      <w:proofErr w:type="spellStart"/>
      <w:r w:rsidRPr="00C239D0">
        <w:t>Wysokiński</w:t>
      </w:r>
      <w:proofErr w:type="spellEnd"/>
      <w:r w:rsidRPr="00C239D0">
        <w:t xml:space="preserve">, M., </w:t>
      </w:r>
      <w:proofErr w:type="spellStart"/>
      <w:r w:rsidRPr="00C239D0">
        <w:t>Gołasa</w:t>
      </w:r>
      <w:proofErr w:type="spellEnd"/>
      <w:r w:rsidRPr="00C239D0">
        <w:t xml:space="preserve">, P., </w:t>
      </w:r>
      <w:proofErr w:type="spellStart"/>
      <w:r w:rsidRPr="00C239D0">
        <w:t>Bieńkowska-Gołasa</w:t>
      </w:r>
      <w:proofErr w:type="spellEnd"/>
      <w:r w:rsidRPr="00C239D0">
        <w:t xml:space="preserve">, W., </w:t>
      </w:r>
      <w:proofErr w:type="spellStart"/>
      <w:r w:rsidRPr="00C239D0">
        <w:t>Golonko</w:t>
      </w:r>
      <w:proofErr w:type="spellEnd"/>
      <w:r w:rsidRPr="00C239D0">
        <w:t xml:space="preserve">, M., </w:t>
      </w:r>
      <w:r w:rsidR="00F574C1">
        <w:t xml:space="preserve">&amp; </w:t>
      </w:r>
      <w:proofErr w:type="spellStart"/>
      <w:r w:rsidRPr="00C239D0">
        <w:t>Chamier-Gliszczyński</w:t>
      </w:r>
      <w:proofErr w:type="spellEnd"/>
      <w:r w:rsidRPr="00C239D0">
        <w:t xml:space="preserve">, N. (2019). Economic and Environmental Efficiency of the Chemical Industry in Europe in 2010-2016. </w:t>
      </w:r>
      <w:proofErr w:type="spellStart"/>
      <w:r w:rsidRPr="00F574C1">
        <w:rPr>
          <w:i/>
          <w:iCs/>
        </w:rPr>
        <w:t>Rocznik</w:t>
      </w:r>
      <w:proofErr w:type="spellEnd"/>
      <w:r w:rsidRPr="00F574C1">
        <w:rPr>
          <w:i/>
          <w:iCs/>
        </w:rPr>
        <w:t xml:space="preserve"> </w:t>
      </w:r>
      <w:proofErr w:type="spellStart"/>
      <w:r w:rsidRPr="00F574C1">
        <w:rPr>
          <w:i/>
          <w:iCs/>
        </w:rPr>
        <w:t>Ochrona</w:t>
      </w:r>
      <w:proofErr w:type="spellEnd"/>
      <w:r w:rsidRPr="00F574C1">
        <w:rPr>
          <w:i/>
          <w:iCs/>
        </w:rPr>
        <w:t xml:space="preserve"> Srodowiska</w:t>
      </w:r>
      <w:r w:rsidRPr="00C239D0">
        <w:t xml:space="preserve">, </w:t>
      </w:r>
      <w:r w:rsidRPr="00F574C1">
        <w:rPr>
          <w:i/>
          <w:iCs/>
        </w:rPr>
        <w:t>21</w:t>
      </w:r>
      <w:r w:rsidRPr="00C239D0">
        <w:t>(2), 1398-1404. https://ros.edu.pl/images/roczniki/2019/086_ROS_V21_R2019.pdf</w:t>
      </w:r>
    </w:p>
    <w:p w14:paraId="5E0C08B0" w14:textId="7342E933" w:rsidR="00C239D0" w:rsidRPr="00C239D0" w:rsidRDefault="00C239D0" w:rsidP="006C0BEA">
      <w:pPr>
        <w:pStyle w:val="Rlit"/>
      </w:pPr>
      <w:r w:rsidRPr="00C239D0">
        <w:t>Mammadov, N.</w:t>
      </w:r>
      <w:r w:rsidR="00F574C1">
        <w:t xml:space="preserve"> </w:t>
      </w:r>
      <w:r w:rsidRPr="00C239D0">
        <w:t xml:space="preserve">S., </w:t>
      </w:r>
      <w:proofErr w:type="spellStart"/>
      <w:r w:rsidRPr="00C239D0">
        <w:t>Ganiyeva</w:t>
      </w:r>
      <w:proofErr w:type="spellEnd"/>
      <w:r w:rsidRPr="00C239D0">
        <w:t>, N.</w:t>
      </w:r>
      <w:r w:rsidR="00F574C1">
        <w:t xml:space="preserve"> </w:t>
      </w:r>
      <w:r w:rsidRPr="00C239D0">
        <w:t xml:space="preserve">A., </w:t>
      </w:r>
      <w:r w:rsidR="00F574C1">
        <w:t xml:space="preserve">&amp; </w:t>
      </w:r>
      <w:r w:rsidRPr="00C239D0">
        <w:t>Aliyeva, G.</w:t>
      </w:r>
      <w:r w:rsidR="00F574C1">
        <w:t xml:space="preserve"> </w:t>
      </w:r>
      <w:r w:rsidRPr="00C239D0">
        <w:t xml:space="preserve">A. (2022). Role of renewable energy sources in the world. </w:t>
      </w:r>
      <w:r w:rsidRPr="00F574C1">
        <w:rPr>
          <w:i/>
          <w:iCs/>
        </w:rPr>
        <w:t>Journal of Renewable Energy, Electrical, and Computer Engineering</w:t>
      </w:r>
      <w:r w:rsidRPr="00C239D0">
        <w:t xml:space="preserve">, </w:t>
      </w:r>
      <w:r w:rsidRPr="00F574C1">
        <w:rPr>
          <w:i/>
          <w:iCs/>
        </w:rPr>
        <w:t>2</w:t>
      </w:r>
      <w:r w:rsidRPr="00C239D0">
        <w:t>(2), 63-67. https://doi.org/10.29103/jreece.v2i2.8779</w:t>
      </w:r>
    </w:p>
    <w:p w14:paraId="0EB6376F" w14:textId="22D571EF" w:rsidR="00C239D0" w:rsidRPr="00C239D0" w:rsidRDefault="00C239D0" w:rsidP="006C0BEA">
      <w:pPr>
        <w:pStyle w:val="Rlit"/>
      </w:pPr>
      <w:proofErr w:type="spellStart"/>
      <w:r w:rsidRPr="00C239D0">
        <w:t>Maraveas</w:t>
      </w:r>
      <w:proofErr w:type="spellEnd"/>
      <w:r w:rsidRPr="00C239D0">
        <w:t>, C., Karavas, C.</w:t>
      </w:r>
      <w:r w:rsidR="00F574C1">
        <w:t xml:space="preserve"> </w:t>
      </w:r>
      <w:r w:rsidRPr="00C239D0">
        <w:t xml:space="preserve">S., </w:t>
      </w:r>
      <w:proofErr w:type="spellStart"/>
      <w:r w:rsidRPr="00C239D0">
        <w:t>Loukatos</w:t>
      </w:r>
      <w:proofErr w:type="spellEnd"/>
      <w:r w:rsidRPr="00C239D0">
        <w:t xml:space="preserve">, D., </w:t>
      </w:r>
      <w:proofErr w:type="spellStart"/>
      <w:r w:rsidRPr="00C239D0">
        <w:t>Bartzanas</w:t>
      </w:r>
      <w:proofErr w:type="spellEnd"/>
      <w:r w:rsidRPr="00C239D0">
        <w:t>, T., Arvanitis, K.</w:t>
      </w:r>
      <w:r w:rsidR="00F574C1">
        <w:t xml:space="preserve"> </w:t>
      </w:r>
      <w:r w:rsidRPr="00C239D0">
        <w:t xml:space="preserve">G., </w:t>
      </w:r>
      <w:r w:rsidR="00F574C1">
        <w:t xml:space="preserve">&amp; </w:t>
      </w:r>
      <w:proofErr w:type="spellStart"/>
      <w:r w:rsidRPr="00C239D0">
        <w:t>Symeonaki</w:t>
      </w:r>
      <w:proofErr w:type="spellEnd"/>
      <w:r w:rsidRPr="00C239D0">
        <w:t xml:space="preserve">, E. (2023). Agricultural greenhouses: Resource management technologies and perspectives for zero greenhouse gas emissions. </w:t>
      </w:r>
      <w:r w:rsidRPr="00F574C1">
        <w:rPr>
          <w:i/>
          <w:iCs/>
        </w:rPr>
        <w:t>Agriculture</w:t>
      </w:r>
      <w:r w:rsidRPr="00C239D0">
        <w:t xml:space="preserve">, </w:t>
      </w:r>
      <w:r w:rsidRPr="00F574C1">
        <w:rPr>
          <w:i/>
          <w:iCs/>
        </w:rPr>
        <w:t>13</w:t>
      </w:r>
      <w:r w:rsidRPr="00C239D0">
        <w:t>(7), 1464. https://doi.org/10.3390/agriculture13071464</w:t>
      </w:r>
    </w:p>
    <w:p w14:paraId="7F795B96" w14:textId="6747C89C" w:rsidR="00C239D0" w:rsidRPr="00C239D0" w:rsidRDefault="00C239D0" w:rsidP="006C0BEA">
      <w:pPr>
        <w:pStyle w:val="Rlit"/>
      </w:pPr>
      <w:r w:rsidRPr="00C239D0">
        <w:t>Mazurek-</w:t>
      </w:r>
      <w:proofErr w:type="spellStart"/>
      <w:r w:rsidRPr="00C239D0">
        <w:t>Łopacińska</w:t>
      </w:r>
      <w:proofErr w:type="spellEnd"/>
      <w:r w:rsidRPr="00C239D0">
        <w:t xml:space="preserve">, K., </w:t>
      </w:r>
      <w:r w:rsidR="00F574C1">
        <w:t xml:space="preserve">&amp; </w:t>
      </w:r>
      <w:r w:rsidRPr="00C239D0">
        <w:t xml:space="preserve">Sobocińska, M. (2018). </w:t>
      </w:r>
      <w:proofErr w:type="spellStart"/>
      <w:r w:rsidRPr="00C239D0">
        <w:t>Ecologisation</w:t>
      </w:r>
      <w:proofErr w:type="spellEnd"/>
      <w:r w:rsidRPr="00C239D0">
        <w:t xml:space="preserve"> of consumption as a trend in consumer </w:t>
      </w:r>
      <w:proofErr w:type="spellStart"/>
      <w:r w:rsidRPr="00C239D0">
        <w:t>behaviour</w:t>
      </w:r>
      <w:proofErr w:type="spellEnd"/>
      <w:r w:rsidR="00852C49">
        <w:t xml:space="preserve"> </w:t>
      </w:r>
      <w:r w:rsidR="00852C49">
        <w:br/>
      </w:r>
      <w:r w:rsidRPr="00C239D0">
        <w:t xml:space="preserve">– implications for future research. </w:t>
      </w:r>
      <w:r w:rsidRPr="00F574C1">
        <w:rPr>
          <w:i/>
          <w:iCs/>
        </w:rPr>
        <w:t>International Business and Global Economy</w:t>
      </w:r>
      <w:r w:rsidRPr="00C239D0">
        <w:t xml:space="preserve">, </w:t>
      </w:r>
      <w:r w:rsidRPr="00F574C1">
        <w:rPr>
          <w:i/>
          <w:iCs/>
        </w:rPr>
        <w:t>37</w:t>
      </w:r>
      <w:r w:rsidRPr="00C239D0">
        <w:t>, 409</w:t>
      </w:r>
      <w:r w:rsidR="00F574C1">
        <w:t>-</w:t>
      </w:r>
      <w:r w:rsidRPr="00C239D0">
        <w:t>420.</w:t>
      </w:r>
    </w:p>
    <w:p w14:paraId="6DBB8785" w14:textId="61CF4948" w:rsidR="00C239D0" w:rsidRPr="00C239D0" w:rsidRDefault="00C239D0" w:rsidP="006C0BEA">
      <w:pPr>
        <w:pStyle w:val="Rlit"/>
      </w:pPr>
      <w:r w:rsidRPr="00C239D0">
        <w:t xml:space="preserve">Miklautsch, P., </w:t>
      </w:r>
      <w:r w:rsidR="00F574C1">
        <w:t xml:space="preserve">&amp; </w:t>
      </w:r>
      <w:proofErr w:type="spellStart"/>
      <w:r w:rsidRPr="00C239D0">
        <w:t>Woschank</w:t>
      </w:r>
      <w:proofErr w:type="spellEnd"/>
      <w:r w:rsidRPr="00C239D0">
        <w:t xml:space="preserve">, M. (2022). A framework of measures to mitigate greenhouse gas emissions in freight transport: systematic literature review from a Manufacturer's perspective. </w:t>
      </w:r>
      <w:r w:rsidRPr="00F574C1">
        <w:rPr>
          <w:i/>
          <w:iCs/>
        </w:rPr>
        <w:t>Journal of Cleaner Production</w:t>
      </w:r>
      <w:r w:rsidRPr="00C239D0">
        <w:t xml:space="preserve">, </w:t>
      </w:r>
      <w:r w:rsidRPr="00F574C1">
        <w:rPr>
          <w:i/>
          <w:iCs/>
        </w:rPr>
        <w:t>366</w:t>
      </w:r>
      <w:r w:rsidRPr="00C239D0">
        <w:t>. 132883. https://doi.org/10.1016/j.jclepro.2022.132883</w:t>
      </w:r>
    </w:p>
    <w:p w14:paraId="4E4AE73C" w14:textId="3A5B4E25" w:rsidR="00C239D0" w:rsidRPr="00C239D0" w:rsidRDefault="00C239D0" w:rsidP="006C0BEA">
      <w:pPr>
        <w:pStyle w:val="Rlit"/>
      </w:pPr>
      <w:r w:rsidRPr="00C239D0">
        <w:t xml:space="preserve">Mishra, M., </w:t>
      </w:r>
      <w:proofErr w:type="spellStart"/>
      <w:r w:rsidRPr="00C239D0">
        <w:t>Desul</w:t>
      </w:r>
      <w:proofErr w:type="spellEnd"/>
      <w:r w:rsidRPr="00C239D0">
        <w:t>, S., Santos, C.</w:t>
      </w:r>
      <w:r w:rsidR="00F574C1">
        <w:t xml:space="preserve"> </w:t>
      </w:r>
      <w:r w:rsidRPr="00C239D0">
        <w:t>A.</w:t>
      </w:r>
      <w:r w:rsidR="00F574C1">
        <w:t xml:space="preserve"> </w:t>
      </w:r>
      <w:r w:rsidRPr="00C239D0">
        <w:t>G., Mishra, S.</w:t>
      </w:r>
      <w:r w:rsidR="00F574C1">
        <w:t xml:space="preserve"> </w:t>
      </w:r>
      <w:r w:rsidRPr="00C239D0">
        <w:t>K., Kamal, A.</w:t>
      </w:r>
      <w:r w:rsidR="00F574C1">
        <w:t xml:space="preserve"> </w:t>
      </w:r>
      <w:r w:rsidRPr="00C239D0">
        <w:t>H.</w:t>
      </w:r>
      <w:r w:rsidR="00F574C1">
        <w:t xml:space="preserve"> </w:t>
      </w:r>
      <w:r w:rsidRPr="00C239D0">
        <w:t>M., Goswami, S., Kalumba, A.</w:t>
      </w:r>
      <w:r w:rsidR="00F574C1">
        <w:t xml:space="preserve"> </w:t>
      </w:r>
      <w:r w:rsidRPr="00C239D0">
        <w:t>M., Biswal, R., da</w:t>
      </w:r>
      <w:r w:rsidR="00F574C1">
        <w:t> </w:t>
      </w:r>
      <w:r w:rsidRPr="00C239D0">
        <w:t>Silva, R.</w:t>
      </w:r>
      <w:r w:rsidR="00F574C1">
        <w:t xml:space="preserve"> </w:t>
      </w:r>
      <w:r w:rsidRPr="00C239D0">
        <w:t>M., Costa Dos Santos, C.</w:t>
      </w:r>
      <w:r w:rsidR="00F574C1">
        <w:t xml:space="preserve"> </w:t>
      </w:r>
      <w:r w:rsidRPr="00C239D0">
        <w:t xml:space="preserve">A., </w:t>
      </w:r>
      <w:r w:rsidR="00F574C1">
        <w:t xml:space="preserve">&amp; </w:t>
      </w:r>
      <w:r w:rsidRPr="00C239D0">
        <w:t xml:space="preserve">Baral, K. (2024). A bibliometric analysis of sustainable development goals (SDGs): a review of progress, challenges, and opportunities. </w:t>
      </w:r>
      <w:r w:rsidRPr="00F574C1">
        <w:rPr>
          <w:i/>
          <w:iCs/>
        </w:rPr>
        <w:t>Environment, Development and Sustainability</w:t>
      </w:r>
      <w:r w:rsidRPr="00C239D0">
        <w:t xml:space="preserve">, </w:t>
      </w:r>
      <w:r w:rsidRPr="00F574C1">
        <w:rPr>
          <w:i/>
          <w:iCs/>
        </w:rPr>
        <w:t>26</w:t>
      </w:r>
      <w:r w:rsidRPr="00C239D0">
        <w:t>(5), 11101-11143. https://doi.org/10.1007/s10668-023-03225-w</w:t>
      </w:r>
    </w:p>
    <w:p w14:paraId="2A95D49F" w14:textId="77777777" w:rsidR="00C239D0" w:rsidRPr="0053400F" w:rsidRDefault="00C239D0" w:rsidP="006C0BEA">
      <w:pPr>
        <w:pStyle w:val="Rlit"/>
        <w:rPr>
          <w:spacing w:val="-6"/>
        </w:rPr>
      </w:pPr>
      <w:proofErr w:type="spellStart"/>
      <w:r w:rsidRPr="0053400F">
        <w:rPr>
          <w:spacing w:val="-6"/>
        </w:rPr>
        <w:t>Moisander</w:t>
      </w:r>
      <w:proofErr w:type="spellEnd"/>
      <w:r w:rsidRPr="0053400F">
        <w:rPr>
          <w:spacing w:val="-6"/>
        </w:rPr>
        <w:t xml:space="preserve">, J. (2007). Motivational complexity of green consumerism. </w:t>
      </w:r>
      <w:r w:rsidRPr="0053400F">
        <w:rPr>
          <w:i/>
          <w:iCs/>
          <w:spacing w:val="-6"/>
        </w:rPr>
        <w:t>International Journal of Consumer Studies</w:t>
      </w:r>
      <w:r w:rsidRPr="0053400F">
        <w:rPr>
          <w:spacing w:val="-6"/>
        </w:rPr>
        <w:t xml:space="preserve">, </w:t>
      </w:r>
      <w:r w:rsidRPr="0053400F">
        <w:rPr>
          <w:i/>
          <w:iCs/>
          <w:spacing w:val="-6"/>
        </w:rPr>
        <w:t>31</w:t>
      </w:r>
      <w:r w:rsidRPr="0053400F">
        <w:rPr>
          <w:spacing w:val="-6"/>
        </w:rPr>
        <w:t>(4), 404-409.</w:t>
      </w:r>
    </w:p>
    <w:p w14:paraId="510A99D9" w14:textId="5BD1C0AD" w:rsidR="00C239D0" w:rsidRPr="00C239D0" w:rsidRDefault="00C239D0" w:rsidP="006C0BEA">
      <w:pPr>
        <w:pStyle w:val="Rlit"/>
      </w:pPr>
      <w:r w:rsidRPr="00C239D0">
        <w:t xml:space="preserve">Morris, A. (2021). Generations in the workplace training: How to train employees in a multi-generation workplace. </w:t>
      </w:r>
      <w:r w:rsidRPr="00F574C1">
        <w:rPr>
          <w:i/>
          <w:iCs/>
        </w:rPr>
        <w:t>Employee Experience Magazine</w:t>
      </w:r>
      <w:r w:rsidRPr="00C239D0">
        <w:t>. https://www.emexmag.com/generations-in-the-workplace-training/ (17.05.2025)</w:t>
      </w:r>
    </w:p>
    <w:p w14:paraId="1EBCFB9E" w14:textId="1B0CCA4B" w:rsidR="00C239D0" w:rsidRPr="00C239D0" w:rsidRDefault="00C239D0" w:rsidP="006C0BEA">
      <w:pPr>
        <w:pStyle w:val="Rlit"/>
      </w:pPr>
      <w:r w:rsidRPr="00C239D0">
        <w:t>Muszyńska</w:t>
      </w:r>
      <w:r w:rsidR="00852C49">
        <w:t>,</w:t>
      </w:r>
      <w:r w:rsidRPr="00C239D0">
        <w:t xml:space="preserve"> W. (2020). </w:t>
      </w:r>
      <w:proofErr w:type="spellStart"/>
      <w:r w:rsidRPr="00C239D0">
        <w:t>Stosunek</w:t>
      </w:r>
      <w:proofErr w:type="spellEnd"/>
      <w:r w:rsidRPr="00C239D0">
        <w:t xml:space="preserve"> </w:t>
      </w:r>
      <w:proofErr w:type="spellStart"/>
      <w:r w:rsidRPr="00C239D0">
        <w:t>przedstawicieli</w:t>
      </w:r>
      <w:proofErr w:type="spellEnd"/>
      <w:r w:rsidRPr="00C239D0">
        <w:t xml:space="preserve"> </w:t>
      </w:r>
      <w:proofErr w:type="spellStart"/>
      <w:r w:rsidRPr="00C239D0">
        <w:t>Pokolenia</w:t>
      </w:r>
      <w:proofErr w:type="spellEnd"/>
      <w:r w:rsidRPr="00C239D0">
        <w:t xml:space="preserve"> Y </w:t>
      </w:r>
      <w:proofErr w:type="spellStart"/>
      <w:r w:rsidRPr="00C239D0">
        <w:t>wobec</w:t>
      </w:r>
      <w:proofErr w:type="spellEnd"/>
      <w:r w:rsidRPr="00C239D0">
        <w:t xml:space="preserve"> </w:t>
      </w:r>
      <w:proofErr w:type="spellStart"/>
      <w:r w:rsidRPr="00C239D0">
        <w:t>praktyk</w:t>
      </w:r>
      <w:proofErr w:type="spellEnd"/>
      <w:r w:rsidRPr="00C239D0">
        <w:t xml:space="preserve"> </w:t>
      </w:r>
      <w:proofErr w:type="spellStart"/>
      <w:r w:rsidRPr="00C239D0">
        <w:t>budowania</w:t>
      </w:r>
      <w:proofErr w:type="spellEnd"/>
      <w:r w:rsidRPr="00C239D0">
        <w:t xml:space="preserve"> </w:t>
      </w:r>
      <w:proofErr w:type="spellStart"/>
      <w:r w:rsidRPr="00C239D0">
        <w:t>marki</w:t>
      </w:r>
      <w:proofErr w:type="spellEnd"/>
      <w:r w:rsidRPr="00C239D0">
        <w:t xml:space="preserve"> </w:t>
      </w:r>
      <w:proofErr w:type="spellStart"/>
      <w:r w:rsidRPr="00C239D0">
        <w:t>pracodawcy</w:t>
      </w:r>
      <w:proofErr w:type="spellEnd"/>
      <w:r w:rsidRPr="00C239D0">
        <w:t xml:space="preserve">. </w:t>
      </w:r>
      <w:proofErr w:type="spellStart"/>
      <w:r w:rsidRPr="00F574C1">
        <w:rPr>
          <w:i/>
          <w:iCs/>
        </w:rPr>
        <w:t>Zeszyty</w:t>
      </w:r>
      <w:proofErr w:type="spellEnd"/>
      <w:r w:rsidRPr="00F574C1">
        <w:rPr>
          <w:i/>
          <w:iCs/>
        </w:rPr>
        <w:t xml:space="preserve"> </w:t>
      </w:r>
      <w:proofErr w:type="spellStart"/>
      <w:r w:rsidRPr="00F574C1">
        <w:rPr>
          <w:i/>
          <w:iCs/>
        </w:rPr>
        <w:t>Naukowe</w:t>
      </w:r>
      <w:proofErr w:type="spellEnd"/>
      <w:r w:rsidRPr="00F574C1">
        <w:rPr>
          <w:i/>
          <w:iCs/>
        </w:rPr>
        <w:t xml:space="preserve"> </w:t>
      </w:r>
      <w:proofErr w:type="spellStart"/>
      <w:r w:rsidRPr="00F574C1">
        <w:rPr>
          <w:i/>
          <w:iCs/>
        </w:rPr>
        <w:t>Polskiego</w:t>
      </w:r>
      <w:proofErr w:type="spellEnd"/>
      <w:r w:rsidRPr="00F574C1">
        <w:rPr>
          <w:i/>
          <w:iCs/>
        </w:rPr>
        <w:t xml:space="preserve"> </w:t>
      </w:r>
      <w:proofErr w:type="spellStart"/>
      <w:r w:rsidRPr="00F574C1">
        <w:rPr>
          <w:i/>
          <w:iCs/>
        </w:rPr>
        <w:t>Towarzystwa</w:t>
      </w:r>
      <w:proofErr w:type="spellEnd"/>
      <w:r w:rsidRPr="00F574C1">
        <w:rPr>
          <w:i/>
          <w:iCs/>
        </w:rPr>
        <w:t xml:space="preserve"> </w:t>
      </w:r>
      <w:proofErr w:type="spellStart"/>
      <w:r w:rsidRPr="00F574C1">
        <w:rPr>
          <w:i/>
          <w:iCs/>
        </w:rPr>
        <w:t>Ekonomicznego</w:t>
      </w:r>
      <w:proofErr w:type="spellEnd"/>
      <w:r w:rsidRPr="00F574C1">
        <w:rPr>
          <w:i/>
          <w:iCs/>
        </w:rPr>
        <w:t xml:space="preserve"> w Zielonej Górze</w:t>
      </w:r>
      <w:r w:rsidRPr="00C239D0">
        <w:t xml:space="preserve">, </w:t>
      </w:r>
      <w:r w:rsidRPr="00F574C1">
        <w:rPr>
          <w:i/>
          <w:iCs/>
        </w:rPr>
        <w:t>7</w:t>
      </w:r>
      <w:r w:rsidRPr="00C239D0">
        <w:t>(13), 108</w:t>
      </w:r>
      <w:r w:rsidR="00F574C1">
        <w:t>-</w:t>
      </w:r>
      <w:r w:rsidRPr="00C239D0">
        <w:t>122.</w:t>
      </w:r>
      <w:r w:rsidR="00F574C1">
        <w:t xml:space="preserve"> (in Polish)</w:t>
      </w:r>
    </w:p>
    <w:p w14:paraId="530D9172" w14:textId="413BE32E" w:rsidR="00C239D0" w:rsidRPr="00C239D0" w:rsidRDefault="00C239D0" w:rsidP="006C0BEA">
      <w:pPr>
        <w:pStyle w:val="Rlit"/>
      </w:pPr>
      <w:r w:rsidRPr="00C239D0">
        <w:t xml:space="preserve">Olkiewicz, M., Wolniak, R., </w:t>
      </w:r>
      <w:r w:rsidR="00F574C1">
        <w:t xml:space="preserve">&amp; </w:t>
      </w:r>
      <w:r w:rsidRPr="00C239D0">
        <w:t>Skotnicka-</w:t>
      </w:r>
      <w:proofErr w:type="spellStart"/>
      <w:r w:rsidRPr="00C239D0">
        <w:t>Zasadzień</w:t>
      </w:r>
      <w:proofErr w:type="spellEnd"/>
      <w:r w:rsidRPr="00C239D0">
        <w:t xml:space="preserve">, B. (2019). Implementation of ISO 14001 standard in the European Union countries. </w:t>
      </w:r>
      <w:proofErr w:type="spellStart"/>
      <w:r w:rsidRPr="00F574C1">
        <w:rPr>
          <w:i/>
          <w:iCs/>
        </w:rPr>
        <w:t>Rocznik</w:t>
      </w:r>
      <w:proofErr w:type="spellEnd"/>
      <w:r w:rsidRPr="00F574C1">
        <w:rPr>
          <w:i/>
          <w:iCs/>
        </w:rPr>
        <w:t xml:space="preserve"> </w:t>
      </w:r>
      <w:proofErr w:type="spellStart"/>
      <w:r w:rsidRPr="00F574C1">
        <w:rPr>
          <w:i/>
          <w:iCs/>
        </w:rPr>
        <w:t>Ochrona</w:t>
      </w:r>
      <w:proofErr w:type="spellEnd"/>
      <w:r w:rsidRPr="00F574C1">
        <w:rPr>
          <w:i/>
          <w:iCs/>
        </w:rPr>
        <w:t xml:space="preserve"> </w:t>
      </w:r>
      <w:proofErr w:type="spellStart"/>
      <w:r w:rsidRPr="00F574C1">
        <w:rPr>
          <w:i/>
          <w:iCs/>
        </w:rPr>
        <w:t>Środowiska</w:t>
      </w:r>
      <w:proofErr w:type="spellEnd"/>
      <w:r w:rsidRPr="00C239D0">
        <w:t xml:space="preserve">, </w:t>
      </w:r>
      <w:r w:rsidRPr="00F574C1">
        <w:rPr>
          <w:i/>
          <w:iCs/>
        </w:rPr>
        <w:t>21</w:t>
      </w:r>
      <w:r w:rsidRPr="00C239D0">
        <w:t>(2), 868-880.</w:t>
      </w:r>
    </w:p>
    <w:p w14:paraId="4A91B355" w14:textId="4AAC9974" w:rsidR="00C239D0" w:rsidRPr="00C239D0" w:rsidRDefault="00C239D0" w:rsidP="006C0BEA">
      <w:pPr>
        <w:pStyle w:val="Rlit"/>
      </w:pPr>
      <w:r w:rsidRPr="00C239D0">
        <w:t xml:space="preserve">Olkiewicz, M., </w:t>
      </w:r>
      <w:r w:rsidR="00F574C1">
        <w:t xml:space="preserve">&amp; </w:t>
      </w:r>
      <w:r w:rsidRPr="00C239D0">
        <w:t xml:space="preserve">Wolniak, R. (2020). Responsible Pro-Environmental Management in an Organization: a Case Study, </w:t>
      </w:r>
      <w:proofErr w:type="spellStart"/>
      <w:r w:rsidRPr="00F574C1">
        <w:rPr>
          <w:i/>
          <w:iCs/>
        </w:rPr>
        <w:t>Rocznik</w:t>
      </w:r>
      <w:proofErr w:type="spellEnd"/>
      <w:r w:rsidRPr="00F574C1">
        <w:rPr>
          <w:i/>
          <w:iCs/>
        </w:rPr>
        <w:t xml:space="preserve"> </w:t>
      </w:r>
      <w:proofErr w:type="spellStart"/>
      <w:r w:rsidRPr="00F574C1">
        <w:rPr>
          <w:i/>
          <w:iCs/>
        </w:rPr>
        <w:t>Ochrona</w:t>
      </w:r>
      <w:proofErr w:type="spellEnd"/>
      <w:r w:rsidRPr="00F574C1">
        <w:rPr>
          <w:i/>
          <w:iCs/>
        </w:rPr>
        <w:t xml:space="preserve"> </w:t>
      </w:r>
      <w:proofErr w:type="spellStart"/>
      <w:r w:rsidRPr="00F574C1">
        <w:rPr>
          <w:i/>
          <w:iCs/>
        </w:rPr>
        <w:t>Środowiska</w:t>
      </w:r>
      <w:proofErr w:type="spellEnd"/>
      <w:r w:rsidR="00F574C1">
        <w:t>,</w:t>
      </w:r>
      <w:r w:rsidRPr="00C239D0">
        <w:t xml:space="preserve"> </w:t>
      </w:r>
      <w:r w:rsidRPr="00F574C1">
        <w:rPr>
          <w:i/>
          <w:iCs/>
        </w:rPr>
        <w:t>22</w:t>
      </w:r>
      <w:r w:rsidRPr="00C239D0">
        <w:t>, 763-780.</w:t>
      </w:r>
    </w:p>
    <w:p w14:paraId="52999374" w14:textId="77777777" w:rsidR="00C239D0" w:rsidRPr="00C239D0" w:rsidRDefault="00C239D0" w:rsidP="00F574C1">
      <w:pPr>
        <w:pStyle w:val="Rlit"/>
        <w:jc w:val="left"/>
      </w:pPr>
      <w:r w:rsidRPr="00C239D0">
        <w:t xml:space="preserve">Olkiewicz, M. (2020). The role of the stakeholder in the quality improvement of an organization. </w:t>
      </w:r>
      <w:r w:rsidRPr="00F574C1">
        <w:rPr>
          <w:i/>
          <w:iCs/>
        </w:rPr>
        <w:t>Scientific Papers Of Silesian University Of Technology</w:t>
      </w:r>
      <w:r w:rsidRPr="00C239D0">
        <w:t xml:space="preserve">. </w:t>
      </w:r>
      <w:r w:rsidRPr="00F574C1">
        <w:rPr>
          <w:i/>
          <w:iCs/>
        </w:rPr>
        <w:t>Organization And Management Series</w:t>
      </w:r>
      <w:r w:rsidRPr="00C239D0">
        <w:t xml:space="preserve">, </w:t>
      </w:r>
      <w:r w:rsidRPr="00F574C1">
        <w:rPr>
          <w:i/>
          <w:iCs/>
        </w:rPr>
        <w:t>143</w:t>
      </w:r>
      <w:r w:rsidRPr="00C239D0">
        <w:t>, 235-245. http://dx.doi.org/10.29119/1641-3466.2020.143.19</w:t>
      </w:r>
    </w:p>
    <w:p w14:paraId="68BA9F3B" w14:textId="19E315DD" w:rsidR="00C239D0" w:rsidRPr="00C239D0" w:rsidRDefault="00C239D0" w:rsidP="006C0BEA">
      <w:pPr>
        <w:pStyle w:val="Rlit"/>
      </w:pPr>
      <w:r w:rsidRPr="00C239D0">
        <w:t xml:space="preserve">Paczka, E. (2020). </w:t>
      </w:r>
      <w:proofErr w:type="spellStart"/>
      <w:r w:rsidRPr="00C239D0">
        <w:t>Zmiana</w:t>
      </w:r>
      <w:proofErr w:type="spellEnd"/>
      <w:r w:rsidRPr="00C239D0">
        <w:t xml:space="preserve"> </w:t>
      </w:r>
      <w:proofErr w:type="spellStart"/>
      <w:r w:rsidRPr="00C239D0">
        <w:t>zachowań</w:t>
      </w:r>
      <w:proofErr w:type="spellEnd"/>
      <w:r w:rsidRPr="00C239D0">
        <w:t xml:space="preserve"> </w:t>
      </w:r>
      <w:proofErr w:type="spellStart"/>
      <w:r w:rsidRPr="00C239D0">
        <w:t>rynkowych</w:t>
      </w:r>
      <w:proofErr w:type="spellEnd"/>
      <w:r w:rsidRPr="00C239D0">
        <w:t xml:space="preserve"> </w:t>
      </w:r>
      <w:proofErr w:type="spellStart"/>
      <w:r w:rsidRPr="00C239D0">
        <w:t>pokolenia</w:t>
      </w:r>
      <w:proofErr w:type="spellEnd"/>
      <w:r w:rsidRPr="00C239D0">
        <w:t xml:space="preserve"> Z. </w:t>
      </w:r>
      <w:proofErr w:type="spellStart"/>
      <w:r w:rsidRPr="00F574C1">
        <w:rPr>
          <w:i/>
          <w:iCs/>
        </w:rPr>
        <w:t>Ekonomia</w:t>
      </w:r>
      <w:proofErr w:type="spellEnd"/>
      <w:r w:rsidRPr="00F574C1">
        <w:rPr>
          <w:i/>
          <w:iCs/>
        </w:rPr>
        <w:t xml:space="preserve"> </w:t>
      </w:r>
      <w:r w:rsidR="00610B00">
        <w:rPr>
          <w:i/>
          <w:iCs/>
        </w:rPr>
        <w:t>–</w:t>
      </w:r>
      <w:r w:rsidRPr="00F574C1">
        <w:rPr>
          <w:i/>
          <w:iCs/>
        </w:rPr>
        <w:t xml:space="preserve"> Wroclaw Economic Review</w:t>
      </w:r>
      <w:r w:rsidRPr="00C239D0">
        <w:t xml:space="preserve">, </w:t>
      </w:r>
      <w:r w:rsidRPr="00F574C1">
        <w:rPr>
          <w:i/>
          <w:iCs/>
        </w:rPr>
        <w:t>26</w:t>
      </w:r>
      <w:r w:rsidRPr="00C239D0">
        <w:t xml:space="preserve">(1), 21-34. </w:t>
      </w:r>
      <w:r w:rsidR="00F574C1">
        <w:t>h</w:t>
      </w:r>
      <w:r w:rsidRPr="00C239D0">
        <w:t>ttps://doi.org/10.19195/2658-1310.26.1.2</w:t>
      </w:r>
    </w:p>
    <w:p w14:paraId="5A7B8F52" w14:textId="7DB2535A" w:rsidR="00C239D0" w:rsidRPr="00C239D0" w:rsidRDefault="00C239D0" w:rsidP="006C0BEA">
      <w:pPr>
        <w:pStyle w:val="Rlit"/>
      </w:pPr>
      <w:r w:rsidRPr="00C239D0">
        <w:t>Parzonko, A.</w:t>
      </w:r>
      <w:r w:rsidR="00F574C1">
        <w:t xml:space="preserve"> </w:t>
      </w:r>
      <w:r w:rsidRPr="00C239D0">
        <w:t xml:space="preserve">J. </w:t>
      </w:r>
      <w:r w:rsidR="00F574C1">
        <w:t>(</w:t>
      </w:r>
      <w:r w:rsidR="00F574C1" w:rsidRPr="00C239D0">
        <w:t>2015</w:t>
      </w:r>
      <w:r w:rsidR="00F574C1">
        <w:t xml:space="preserve">). </w:t>
      </w:r>
      <w:proofErr w:type="spellStart"/>
      <w:r w:rsidRPr="00C239D0">
        <w:t>Wpływ</w:t>
      </w:r>
      <w:proofErr w:type="spellEnd"/>
      <w:r w:rsidRPr="00C239D0">
        <w:t xml:space="preserve"> </w:t>
      </w:r>
      <w:proofErr w:type="spellStart"/>
      <w:r w:rsidRPr="00C239D0">
        <w:t>mediów</w:t>
      </w:r>
      <w:proofErr w:type="spellEnd"/>
      <w:r w:rsidRPr="00C239D0">
        <w:t xml:space="preserve"> </w:t>
      </w:r>
      <w:proofErr w:type="spellStart"/>
      <w:r w:rsidRPr="00C239D0">
        <w:t>społecznościowych</w:t>
      </w:r>
      <w:proofErr w:type="spellEnd"/>
      <w:r w:rsidRPr="00C239D0">
        <w:t xml:space="preserve"> </w:t>
      </w:r>
      <w:proofErr w:type="spellStart"/>
      <w:r w:rsidRPr="00C239D0">
        <w:t>na</w:t>
      </w:r>
      <w:proofErr w:type="spellEnd"/>
      <w:r w:rsidRPr="00C239D0">
        <w:t xml:space="preserve"> </w:t>
      </w:r>
      <w:proofErr w:type="spellStart"/>
      <w:r w:rsidRPr="00C239D0">
        <w:t>zachowania</w:t>
      </w:r>
      <w:proofErr w:type="spellEnd"/>
      <w:r w:rsidRPr="00C239D0">
        <w:t xml:space="preserve"> </w:t>
      </w:r>
      <w:proofErr w:type="spellStart"/>
      <w:r w:rsidRPr="00C239D0">
        <w:t>konsumentów</w:t>
      </w:r>
      <w:proofErr w:type="spellEnd"/>
      <w:r w:rsidRPr="00C239D0">
        <w:t xml:space="preserve">. </w:t>
      </w:r>
      <w:r w:rsidRPr="00F574C1">
        <w:rPr>
          <w:i/>
          <w:iCs/>
        </w:rPr>
        <w:t>Handel Wewnętrzny</w:t>
      </w:r>
      <w:r w:rsidRPr="00C239D0">
        <w:t xml:space="preserve">, </w:t>
      </w:r>
      <w:r w:rsidRPr="00F574C1">
        <w:rPr>
          <w:i/>
          <w:iCs/>
        </w:rPr>
        <w:t>6</w:t>
      </w:r>
      <w:r w:rsidRPr="00C239D0">
        <w:t>(359), 122-131</w:t>
      </w:r>
      <w:r w:rsidR="00F574C1">
        <w:t>.</w:t>
      </w:r>
    </w:p>
    <w:p w14:paraId="251FD85E" w14:textId="088618FE" w:rsidR="00C239D0" w:rsidRPr="00C239D0" w:rsidRDefault="00C239D0" w:rsidP="006C0BEA">
      <w:pPr>
        <w:pStyle w:val="Rlit"/>
      </w:pPr>
      <w:proofErr w:type="spellStart"/>
      <w:r w:rsidRPr="00C239D0">
        <w:lastRenderedPageBreak/>
        <w:t>Perchla-Włosik</w:t>
      </w:r>
      <w:proofErr w:type="spellEnd"/>
      <w:r w:rsidRPr="00C239D0">
        <w:t xml:space="preserve">, A., </w:t>
      </w:r>
      <w:r w:rsidR="00CE46B1">
        <w:t xml:space="preserve">&amp; </w:t>
      </w:r>
      <w:proofErr w:type="spellStart"/>
      <w:r w:rsidRPr="00C239D0">
        <w:t>Wardzała</w:t>
      </w:r>
      <w:proofErr w:type="spellEnd"/>
      <w:r w:rsidRPr="00C239D0">
        <w:t xml:space="preserve">, J. (2015). </w:t>
      </w:r>
      <w:proofErr w:type="spellStart"/>
      <w:r w:rsidRPr="00C239D0">
        <w:t>Młodzi</w:t>
      </w:r>
      <w:proofErr w:type="spellEnd"/>
      <w:r w:rsidRPr="00C239D0">
        <w:t xml:space="preserve"> </w:t>
      </w:r>
      <w:proofErr w:type="spellStart"/>
      <w:r w:rsidRPr="00C239D0">
        <w:t>członkowie</w:t>
      </w:r>
      <w:proofErr w:type="spellEnd"/>
      <w:r w:rsidRPr="00C239D0">
        <w:t xml:space="preserve"> </w:t>
      </w:r>
      <w:proofErr w:type="spellStart"/>
      <w:r w:rsidRPr="00C239D0">
        <w:t>gospodarstw</w:t>
      </w:r>
      <w:proofErr w:type="spellEnd"/>
      <w:r w:rsidRPr="00C239D0">
        <w:t xml:space="preserve"> </w:t>
      </w:r>
      <w:proofErr w:type="spellStart"/>
      <w:r w:rsidRPr="00C239D0">
        <w:t>domowych</w:t>
      </w:r>
      <w:proofErr w:type="spellEnd"/>
      <w:r w:rsidRPr="00C239D0">
        <w:t xml:space="preserve"> </w:t>
      </w:r>
      <w:proofErr w:type="spellStart"/>
      <w:r w:rsidRPr="00C239D0">
        <w:t>jako</w:t>
      </w:r>
      <w:proofErr w:type="spellEnd"/>
      <w:r w:rsidRPr="00C239D0">
        <w:t xml:space="preserve"> </w:t>
      </w:r>
      <w:proofErr w:type="spellStart"/>
      <w:r w:rsidRPr="00C239D0">
        <w:t>konsumenci</w:t>
      </w:r>
      <w:proofErr w:type="spellEnd"/>
      <w:r w:rsidRPr="00C239D0">
        <w:t xml:space="preserve"> </w:t>
      </w:r>
      <w:proofErr w:type="spellStart"/>
      <w:r w:rsidRPr="00C239D0">
        <w:t>mediów</w:t>
      </w:r>
      <w:proofErr w:type="spellEnd"/>
      <w:r w:rsidRPr="00C239D0">
        <w:t xml:space="preserve"> </w:t>
      </w:r>
      <w:proofErr w:type="spellStart"/>
      <w:r w:rsidRPr="00C239D0">
        <w:t>masowych</w:t>
      </w:r>
      <w:proofErr w:type="spellEnd"/>
      <w:r w:rsidRPr="00C239D0">
        <w:t xml:space="preserve"> w </w:t>
      </w:r>
      <w:proofErr w:type="spellStart"/>
      <w:r w:rsidRPr="00C239D0">
        <w:t>świetle</w:t>
      </w:r>
      <w:proofErr w:type="spellEnd"/>
      <w:r w:rsidRPr="00C239D0">
        <w:t xml:space="preserve"> </w:t>
      </w:r>
      <w:proofErr w:type="spellStart"/>
      <w:r w:rsidRPr="00C239D0">
        <w:t>badań</w:t>
      </w:r>
      <w:proofErr w:type="spellEnd"/>
      <w:r w:rsidRPr="00C239D0">
        <w:t xml:space="preserve"> </w:t>
      </w:r>
      <w:proofErr w:type="spellStart"/>
      <w:r w:rsidRPr="00C239D0">
        <w:t>jakościowych</w:t>
      </w:r>
      <w:proofErr w:type="spellEnd"/>
      <w:r w:rsidRPr="00C239D0">
        <w:t xml:space="preserve">. </w:t>
      </w:r>
      <w:r w:rsidRPr="00CE46B1">
        <w:rPr>
          <w:i/>
          <w:iCs/>
        </w:rPr>
        <w:t>The Wroclaw School of Banking Research Journal</w:t>
      </w:r>
      <w:r w:rsidRPr="00C239D0">
        <w:t xml:space="preserve">, </w:t>
      </w:r>
      <w:r w:rsidRPr="00CE46B1">
        <w:rPr>
          <w:i/>
          <w:iCs/>
        </w:rPr>
        <w:t>15</w:t>
      </w:r>
      <w:r w:rsidRPr="00C239D0">
        <w:t>, 397-405.</w:t>
      </w:r>
    </w:p>
    <w:p w14:paraId="51BC4A2A" w14:textId="1B798545" w:rsidR="00C239D0" w:rsidRPr="00C239D0" w:rsidRDefault="00C239D0" w:rsidP="006C0BEA">
      <w:pPr>
        <w:pStyle w:val="Rlit"/>
      </w:pPr>
      <w:proofErr w:type="spellStart"/>
      <w:r w:rsidRPr="00C239D0">
        <w:t>Pietruszyńska</w:t>
      </w:r>
      <w:proofErr w:type="spellEnd"/>
      <w:r w:rsidRPr="00C239D0">
        <w:t xml:space="preserve">, W. (2023). Comparative analysis of the X/Y/Z generations on the labor market in the European Union countries. </w:t>
      </w:r>
      <w:proofErr w:type="spellStart"/>
      <w:r w:rsidRPr="00CE46B1">
        <w:rPr>
          <w:i/>
          <w:iCs/>
        </w:rPr>
        <w:t>Catallaxy</w:t>
      </w:r>
      <w:proofErr w:type="spellEnd"/>
      <w:r w:rsidRPr="00C239D0">
        <w:t xml:space="preserve">, </w:t>
      </w:r>
      <w:r w:rsidRPr="00CE46B1">
        <w:rPr>
          <w:i/>
          <w:iCs/>
        </w:rPr>
        <w:t>8</w:t>
      </w:r>
      <w:r w:rsidRPr="00C239D0">
        <w:t>(2), 81-101. https://doi.org/10.24136/cxy.2023.006</w:t>
      </w:r>
    </w:p>
    <w:p w14:paraId="3F761A0E" w14:textId="0C4255A4" w:rsidR="00C239D0" w:rsidRPr="00C239D0" w:rsidRDefault="00C239D0" w:rsidP="006C0BEA">
      <w:pPr>
        <w:pStyle w:val="Rlit"/>
      </w:pPr>
      <w:r w:rsidRPr="00C239D0">
        <w:t xml:space="preserve">Plichta, P., </w:t>
      </w:r>
      <w:r w:rsidR="00CE46B1">
        <w:t xml:space="preserve">&amp; </w:t>
      </w:r>
      <w:proofErr w:type="spellStart"/>
      <w:r w:rsidRPr="00C239D0">
        <w:t>Pyżalski</w:t>
      </w:r>
      <w:proofErr w:type="spellEnd"/>
      <w:r w:rsidRPr="00C239D0">
        <w:t xml:space="preserve">, J. (Ed.). (2013). </w:t>
      </w:r>
      <w:proofErr w:type="spellStart"/>
      <w:r w:rsidRPr="00CE46B1">
        <w:rPr>
          <w:i/>
          <w:iCs/>
        </w:rPr>
        <w:t>Wychowanie</w:t>
      </w:r>
      <w:proofErr w:type="spellEnd"/>
      <w:r w:rsidRPr="00CE46B1">
        <w:rPr>
          <w:i/>
          <w:iCs/>
        </w:rPr>
        <w:t xml:space="preserve"> </w:t>
      </w:r>
      <w:proofErr w:type="spellStart"/>
      <w:r w:rsidRPr="00CE46B1">
        <w:rPr>
          <w:i/>
          <w:iCs/>
        </w:rPr>
        <w:t>i</w:t>
      </w:r>
      <w:proofErr w:type="spellEnd"/>
      <w:r w:rsidRPr="00CE46B1">
        <w:rPr>
          <w:i/>
          <w:iCs/>
        </w:rPr>
        <w:t xml:space="preserve"> </w:t>
      </w:r>
      <w:proofErr w:type="spellStart"/>
      <w:r w:rsidRPr="00CE46B1">
        <w:rPr>
          <w:i/>
          <w:iCs/>
        </w:rPr>
        <w:t>kształcenie</w:t>
      </w:r>
      <w:proofErr w:type="spellEnd"/>
      <w:r w:rsidRPr="00CE46B1">
        <w:rPr>
          <w:i/>
          <w:iCs/>
        </w:rPr>
        <w:t xml:space="preserve"> w </w:t>
      </w:r>
      <w:proofErr w:type="spellStart"/>
      <w:r w:rsidRPr="00CE46B1">
        <w:rPr>
          <w:i/>
          <w:iCs/>
        </w:rPr>
        <w:t>erze</w:t>
      </w:r>
      <w:proofErr w:type="spellEnd"/>
      <w:r w:rsidRPr="00CE46B1">
        <w:rPr>
          <w:i/>
          <w:iCs/>
        </w:rPr>
        <w:t xml:space="preserve"> </w:t>
      </w:r>
      <w:proofErr w:type="spellStart"/>
      <w:r w:rsidRPr="00CE46B1">
        <w:rPr>
          <w:i/>
          <w:iCs/>
        </w:rPr>
        <w:t>cyfrowej</w:t>
      </w:r>
      <w:proofErr w:type="spellEnd"/>
      <w:r w:rsidRPr="00C239D0">
        <w:t xml:space="preserve">. Poland </w:t>
      </w:r>
      <w:proofErr w:type="spellStart"/>
      <w:r w:rsidRPr="00C239D0">
        <w:t>Łódź</w:t>
      </w:r>
      <w:proofErr w:type="spellEnd"/>
      <w:r w:rsidRPr="00C239D0">
        <w:t xml:space="preserve">: </w:t>
      </w:r>
      <w:proofErr w:type="spellStart"/>
      <w:r w:rsidRPr="00C239D0">
        <w:t>Regionalne</w:t>
      </w:r>
      <w:proofErr w:type="spellEnd"/>
      <w:r w:rsidRPr="00C239D0">
        <w:t xml:space="preserve"> Centrum </w:t>
      </w:r>
      <w:proofErr w:type="spellStart"/>
      <w:r w:rsidRPr="00C239D0">
        <w:t>Polityki</w:t>
      </w:r>
      <w:proofErr w:type="spellEnd"/>
      <w:r w:rsidRPr="00C239D0">
        <w:t xml:space="preserve"> </w:t>
      </w:r>
      <w:proofErr w:type="spellStart"/>
      <w:r w:rsidRPr="00C239D0">
        <w:t>Społecznej</w:t>
      </w:r>
      <w:proofErr w:type="spellEnd"/>
      <w:r w:rsidRPr="00C239D0">
        <w:t xml:space="preserve"> w </w:t>
      </w:r>
      <w:proofErr w:type="spellStart"/>
      <w:r w:rsidRPr="00C239D0">
        <w:t>Łodzi</w:t>
      </w:r>
      <w:proofErr w:type="spellEnd"/>
      <w:r w:rsidR="00CE46B1">
        <w:t>. (in Polish)</w:t>
      </w:r>
    </w:p>
    <w:p w14:paraId="41200177" w14:textId="550383A3" w:rsidR="00C239D0" w:rsidRPr="00C239D0" w:rsidRDefault="00C239D0" w:rsidP="006C0BEA">
      <w:pPr>
        <w:pStyle w:val="Rlit"/>
      </w:pPr>
      <w:proofErr w:type="spellStart"/>
      <w:r w:rsidRPr="00C239D0">
        <w:t>Rauvola</w:t>
      </w:r>
      <w:proofErr w:type="spellEnd"/>
      <w:r w:rsidRPr="00C239D0">
        <w:t>, R.</w:t>
      </w:r>
      <w:r w:rsidR="00CE46B1">
        <w:t xml:space="preserve"> </w:t>
      </w:r>
      <w:r w:rsidRPr="00C239D0">
        <w:t>S., Rudolph, C.</w:t>
      </w:r>
      <w:r w:rsidR="00CE46B1">
        <w:t xml:space="preserve"> </w:t>
      </w:r>
      <w:r w:rsidRPr="00C239D0">
        <w:t xml:space="preserve">W., </w:t>
      </w:r>
      <w:r w:rsidR="00CE46B1">
        <w:t xml:space="preserve">&amp; </w:t>
      </w:r>
      <w:r w:rsidRPr="00C239D0">
        <w:t xml:space="preserve">Zacher, H. (2019). </w:t>
      </w:r>
      <w:proofErr w:type="spellStart"/>
      <w:r w:rsidRPr="00C239D0">
        <w:t>Generationalism</w:t>
      </w:r>
      <w:proofErr w:type="spellEnd"/>
      <w:r w:rsidRPr="00C239D0">
        <w:t xml:space="preserve">: Problems and implications. </w:t>
      </w:r>
      <w:r w:rsidRPr="00CE46B1">
        <w:rPr>
          <w:i/>
          <w:iCs/>
        </w:rPr>
        <w:t>Organizational Dynamics</w:t>
      </w:r>
      <w:r w:rsidRPr="00C239D0">
        <w:t xml:space="preserve">, </w:t>
      </w:r>
      <w:r w:rsidRPr="00CE46B1">
        <w:rPr>
          <w:i/>
          <w:iCs/>
        </w:rPr>
        <w:t>48</w:t>
      </w:r>
      <w:r w:rsidRPr="00C239D0">
        <w:t>(4), 160-166.</w:t>
      </w:r>
    </w:p>
    <w:p w14:paraId="03E5027C" w14:textId="44124031" w:rsidR="00C239D0" w:rsidRPr="00C239D0" w:rsidRDefault="00C239D0" w:rsidP="006C0BEA">
      <w:pPr>
        <w:pStyle w:val="Rlit"/>
      </w:pPr>
      <w:proofErr w:type="spellStart"/>
      <w:r w:rsidRPr="00C239D0">
        <w:t>Razmjoo</w:t>
      </w:r>
      <w:proofErr w:type="spellEnd"/>
      <w:r w:rsidRPr="00C239D0">
        <w:t xml:space="preserve">, A., </w:t>
      </w:r>
      <w:proofErr w:type="spellStart"/>
      <w:r w:rsidRPr="00C239D0">
        <w:t>Kaigutha</w:t>
      </w:r>
      <w:proofErr w:type="spellEnd"/>
      <w:r w:rsidRPr="00C239D0">
        <w:t>, L.</w:t>
      </w:r>
      <w:r w:rsidR="00CE46B1">
        <w:t xml:space="preserve"> </w:t>
      </w:r>
      <w:r w:rsidRPr="00C239D0">
        <w:t>G., Rad, M.</w:t>
      </w:r>
      <w:r w:rsidR="00CE46B1">
        <w:t xml:space="preserve"> </w:t>
      </w:r>
      <w:r w:rsidRPr="00C239D0">
        <w:t xml:space="preserve">V., Marzband, M., Davarpanah, A., </w:t>
      </w:r>
      <w:r w:rsidR="00CE46B1">
        <w:t xml:space="preserve">&amp; </w:t>
      </w:r>
      <w:r w:rsidRPr="00C239D0">
        <w:t>Denai, M.</w:t>
      </w:r>
      <w:r w:rsidR="00CE46B1">
        <w:t xml:space="preserve"> </w:t>
      </w:r>
      <w:r w:rsidRPr="00C239D0">
        <w:t>J.</w:t>
      </w:r>
      <w:r w:rsidR="00CE46B1">
        <w:t xml:space="preserve"> </w:t>
      </w:r>
      <w:r w:rsidRPr="00C239D0">
        <w:t>R. (2021). A Technical analysis investigating energy sustainability utilizing reliable renewable energy sources to reduce CO</w:t>
      </w:r>
      <w:r w:rsidRPr="00CE46B1">
        <w:rPr>
          <w:vertAlign w:val="subscript"/>
        </w:rPr>
        <w:t>2</w:t>
      </w:r>
      <w:r w:rsidRPr="00C239D0">
        <w:t xml:space="preserve"> emissions in a high potential area. </w:t>
      </w:r>
      <w:r w:rsidRPr="00CE46B1">
        <w:rPr>
          <w:i/>
          <w:iCs/>
        </w:rPr>
        <w:t>Renewable Energy</w:t>
      </w:r>
      <w:r w:rsidRPr="00C239D0">
        <w:t xml:space="preserve">, </w:t>
      </w:r>
      <w:r w:rsidRPr="00CE46B1">
        <w:rPr>
          <w:i/>
          <w:iCs/>
        </w:rPr>
        <w:t>164</w:t>
      </w:r>
      <w:r w:rsidRPr="00C239D0">
        <w:t>, 46-57. https://doi.org/10.1016/j.renene.2020.09.042</w:t>
      </w:r>
    </w:p>
    <w:p w14:paraId="039CF0C5" w14:textId="47130475" w:rsidR="00C239D0" w:rsidRPr="00C239D0" w:rsidRDefault="00C239D0" w:rsidP="006C0BEA">
      <w:pPr>
        <w:pStyle w:val="Rlit"/>
      </w:pPr>
      <w:r w:rsidRPr="00C239D0">
        <w:t xml:space="preserve">Roach, B., Goodwin, N., </w:t>
      </w:r>
      <w:r w:rsidR="00C978F3">
        <w:t xml:space="preserve">&amp; </w:t>
      </w:r>
      <w:r w:rsidRPr="00C239D0">
        <w:t xml:space="preserve">Nelson, J. (2019). </w:t>
      </w:r>
      <w:r w:rsidRPr="00C978F3">
        <w:rPr>
          <w:i/>
          <w:iCs/>
        </w:rPr>
        <w:t>Consumption and the consumer society</w:t>
      </w:r>
      <w:r w:rsidRPr="00C239D0">
        <w:t xml:space="preserve">. MA Medford: GDAE Institute. Tufts University. </w:t>
      </w:r>
    </w:p>
    <w:p w14:paraId="36CD5F01" w14:textId="4B6418AF" w:rsidR="00C239D0" w:rsidRPr="00C239D0" w:rsidRDefault="00C239D0" w:rsidP="00C978F3">
      <w:pPr>
        <w:pStyle w:val="Rlit"/>
        <w:jc w:val="left"/>
      </w:pPr>
      <w:r w:rsidRPr="00C239D0">
        <w:t xml:space="preserve">Reshetnikova, O., </w:t>
      </w:r>
      <w:proofErr w:type="spellStart"/>
      <w:r w:rsidRPr="00C239D0">
        <w:t>Dyczkowska</w:t>
      </w:r>
      <w:proofErr w:type="spellEnd"/>
      <w:r w:rsidRPr="00C239D0">
        <w:t xml:space="preserve">, J., </w:t>
      </w:r>
      <w:proofErr w:type="spellStart"/>
      <w:r w:rsidRPr="00C239D0">
        <w:t>Olkiewicz</w:t>
      </w:r>
      <w:proofErr w:type="spellEnd"/>
      <w:r w:rsidRPr="00C239D0">
        <w:t xml:space="preserve">, M., </w:t>
      </w:r>
      <w:r w:rsidR="00C978F3">
        <w:t xml:space="preserve">&amp; </w:t>
      </w:r>
      <w:r w:rsidRPr="00C239D0">
        <w:t xml:space="preserve">Paszkowska, D. (2021). Promoting pro-ecological behavior with logistics operators in Poland and Ukraine. </w:t>
      </w:r>
      <w:proofErr w:type="spellStart"/>
      <w:r w:rsidRPr="00C978F3">
        <w:rPr>
          <w:i/>
          <w:iCs/>
        </w:rPr>
        <w:t>Rocznik</w:t>
      </w:r>
      <w:proofErr w:type="spellEnd"/>
      <w:r w:rsidRPr="00C978F3">
        <w:rPr>
          <w:i/>
          <w:iCs/>
        </w:rPr>
        <w:t xml:space="preserve"> </w:t>
      </w:r>
      <w:proofErr w:type="spellStart"/>
      <w:r w:rsidRPr="00C978F3">
        <w:rPr>
          <w:i/>
          <w:iCs/>
        </w:rPr>
        <w:t>Ochrona</w:t>
      </w:r>
      <w:proofErr w:type="spellEnd"/>
      <w:r w:rsidRPr="00C978F3">
        <w:rPr>
          <w:i/>
          <w:iCs/>
        </w:rPr>
        <w:t xml:space="preserve"> </w:t>
      </w:r>
      <w:proofErr w:type="spellStart"/>
      <w:r w:rsidRPr="00C978F3">
        <w:rPr>
          <w:i/>
          <w:iCs/>
        </w:rPr>
        <w:t>Środowiska</w:t>
      </w:r>
      <w:proofErr w:type="spellEnd"/>
      <w:r w:rsidR="00C978F3">
        <w:t>,</w:t>
      </w:r>
      <w:r w:rsidRPr="00C239D0">
        <w:t xml:space="preserve"> </w:t>
      </w:r>
      <w:r w:rsidRPr="00C978F3">
        <w:rPr>
          <w:i/>
          <w:iCs/>
        </w:rPr>
        <w:t>23</w:t>
      </w:r>
      <w:r w:rsidRPr="00C239D0">
        <w:t>, 642-654. https://doi.org/10.54740/ros.2021.045</w:t>
      </w:r>
    </w:p>
    <w:p w14:paraId="7FC26DFE" w14:textId="6870C984" w:rsidR="00C239D0" w:rsidRPr="00C239D0" w:rsidRDefault="00C239D0" w:rsidP="006C0BEA">
      <w:pPr>
        <w:pStyle w:val="Rlit"/>
      </w:pPr>
      <w:r w:rsidRPr="00C239D0">
        <w:t>Rogozińska-</w:t>
      </w:r>
      <w:proofErr w:type="spellStart"/>
      <w:r w:rsidRPr="00C239D0">
        <w:t>Pawełczyk</w:t>
      </w:r>
      <w:proofErr w:type="spellEnd"/>
      <w:r w:rsidRPr="00C239D0">
        <w:t xml:space="preserve">, A., </w:t>
      </w:r>
      <w:proofErr w:type="spellStart"/>
      <w:r w:rsidRPr="00C239D0">
        <w:t>Cewińska</w:t>
      </w:r>
      <w:proofErr w:type="spellEnd"/>
      <w:r w:rsidRPr="00C239D0">
        <w:t xml:space="preserve">, J., </w:t>
      </w:r>
      <w:proofErr w:type="spellStart"/>
      <w:r w:rsidRPr="00C239D0">
        <w:t>Lubarańska</w:t>
      </w:r>
      <w:proofErr w:type="spellEnd"/>
      <w:r w:rsidRPr="00C239D0">
        <w:t xml:space="preserve">, A., Oleksiak, P., </w:t>
      </w:r>
      <w:r w:rsidR="00AC5A32">
        <w:t xml:space="preserve">&amp; </w:t>
      </w:r>
      <w:r w:rsidRPr="00C239D0">
        <w:t xml:space="preserve">Striker, M. (2019). </w:t>
      </w:r>
      <w:proofErr w:type="spellStart"/>
      <w:r w:rsidRPr="00AC5A32">
        <w:rPr>
          <w:i/>
          <w:iCs/>
        </w:rPr>
        <w:t>Pokolenia</w:t>
      </w:r>
      <w:proofErr w:type="spellEnd"/>
      <w:r w:rsidRPr="00AC5A32">
        <w:rPr>
          <w:i/>
          <w:iCs/>
        </w:rPr>
        <w:t xml:space="preserve"> </w:t>
      </w:r>
      <w:proofErr w:type="spellStart"/>
      <w:r w:rsidRPr="00AC5A32">
        <w:rPr>
          <w:i/>
          <w:iCs/>
        </w:rPr>
        <w:t>wobec</w:t>
      </w:r>
      <w:proofErr w:type="spellEnd"/>
      <w:r w:rsidRPr="00AC5A32">
        <w:rPr>
          <w:i/>
          <w:iCs/>
        </w:rPr>
        <w:t xml:space="preserve"> </w:t>
      </w:r>
      <w:proofErr w:type="spellStart"/>
      <w:r w:rsidRPr="00AC5A32">
        <w:rPr>
          <w:i/>
          <w:iCs/>
        </w:rPr>
        <w:t>wartości</w:t>
      </w:r>
      <w:proofErr w:type="spellEnd"/>
      <w:r w:rsidRPr="00AC5A32">
        <w:rPr>
          <w:i/>
          <w:iCs/>
        </w:rPr>
        <w:t xml:space="preserve"> </w:t>
      </w:r>
      <w:proofErr w:type="spellStart"/>
      <w:r w:rsidRPr="00AC5A32">
        <w:rPr>
          <w:i/>
          <w:iCs/>
        </w:rPr>
        <w:t>i</w:t>
      </w:r>
      <w:proofErr w:type="spellEnd"/>
      <w:r w:rsidRPr="00AC5A32">
        <w:rPr>
          <w:i/>
          <w:iCs/>
        </w:rPr>
        <w:t xml:space="preserve"> </w:t>
      </w:r>
      <w:proofErr w:type="spellStart"/>
      <w:r w:rsidRPr="00AC5A32">
        <w:rPr>
          <w:i/>
          <w:iCs/>
        </w:rPr>
        <w:t>zagrożeń</w:t>
      </w:r>
      <w:proofErr w:type="spellEnd"/>
      <w:r w:rsidRPr="00AC5A32">
        <w:rPr>
          <w:i/>
          <w:iCs/>
        </w:rPr>
        <w:t xml:space="preserve"> </w:t>
      </w:r>
      <w:proofErr w:type="spellStart"/>
      <w:r w:rsidRPr="00AC5A32">
        <w:rPr>
          <w:i/>
          <w:iCs/>
        </w:rPr>
        <w:t>współczesnych</w:t>
      </w:r>
      <w:proofErr w:type="spellEnd"/>
      <w:r w:rsidRPr="00AC5A32">
        <w:rPr>
          <w:i/>
          <w:iCs/>
        </w:rPr>
        <w:t xml:space="preserve"> </w:t>
      </w:r>
      <w:proofErr w:type="spellStart"/>
      <w:r w:rsidRPr="00AC5A32">
        <w:rPr>
          <w:i/>
          <w:iCs/>
        </w:rPr>
        <w:t>organizacji</w:t>
      </w:r>
      <w:proofErr w:type="spellEnd"/>
      <w:r w:rsidRPr="00C239D0">
        <w:t xml:space="preserve">. Poland </w:t>
      </w:r>
      <w:proofErr w:type="spellStart"/>
      <w:r w:rsidRPr="00C239D0">
        <w:t>Łódź</w:t>
      </w:r>
      <w:proofErr w:type="spellEnd"/>
      <w:r w:rsidRPr="00C239D0">
        <w:t xml:space="preserve">: </w:t>
      </w:r>
      <w:proofErr w:type="spellStart"/>
      <w:r w:rsidRPr="00C239D0">
        <w:t>Wydawnictwo</w:t>
      </w:r>
      <w:proofErr w:type="spellEnd"/>
      <w:r w:rsidRPr="00C239D0">
        <w:t xml:space="preserve"> </w:t>
      </w:r>
      <w:proofErr w:type="spellStart"/>
      <w:r w:rsidRPr="00C239D0">
        <w:t>Uniwersytetu</w:t>
      </w:r>
      <w:proofErr w:type="spellEnd"/>
      <w:r w:rsidRPr="00C239D0">
        <w:t xml:space="preserve"> </w:t>
      </w:r>
      <w:proofErr w:type="spellStart"/>
      <w:r w:rsidRPr="00C239D0">
        <w:t>Łódzkiego</w:t>
      </w:r>
      <w:proofErr w:type="spellEnd"/>
      <w:r w:rsidRPr="00C239D0">
        <w:t xml:space="preserve">. </w:t>
      </w:r>
      <w:r w:rsidR="00AC5A32">
        <w:t>(in Polish)</w:t>
      </w:r>
    </w:p>
    <w:p w14:paraId="6102B829" w14:textId="6C30D74C" w:rsidR="00C239D0" w:rsidRPr="00C239D0" w:rsidRDefault="00C239D0" w:rsidP="006C0BEA">
      <w:pPr>
        <w:pStyle w:val="Rlit"/>
      </w:pPr>
      <w:r w:rsidRPr="00C239D0">
        <w:t xml:space="preserve">Roszkowska, E. (2001). </w:t>
      </w:r>
      <w:proofErr w:type="spellStart"/>
      <w:r w:rsidRPr="00AC5A32">
        <w:rPr>
          <w:i/>
          <w:iCs/>
        </w:rPr>
        <w:t>Typy</w:t>
      </w:r>
      <w:proofErr w:type="spellEnd"/>
      <w:r w:rsidRPr="00AC5A32">
        <w:rPr>
          <w:i/>
          <w:iCs/>
        </w:rPr>
        <w:t xml:space="preserve"> </w:t>
      </w:r>
      <w:proofErr w:type="spellStart"/>
      <w:r w:rsidRPr="00AC5A32">
        <w:rPr>
          <w:i/>
          <w:iCs/>
        </w:rPr>
        <w:t>zachowań</w:t>
      </w:r>
      <w:proofErr w:type="spellEnd"/>
      <w:r w:rsidRPr="00AC5A32">
        <w:rPr>
          <w:i/>
          <w:iCs/>
        </w:rPr>
        <w:t xml:space="preserve"> </w:t>
      </w:r>
      <w:proofErr w:type="spellStart"/>
      <w:r w:rsidRPr="00AC5A32">
        <w:rPr>
          <w:i/>
          <w:iCs/>
        </w:rPr>
        <w:t>konsumenta</w:t>
      </w:r>
      <w:proofErr w:type="spellEnd"/>
      <w:r w:rsidRPr="00AC5A32">
        <w:rPr>
          <w:i/>
          <w:iCs/>
        </w:rPr>
        <w:t xml:space="preserve"> </w:t>
      </w:r>
      <w:proofErr w:type="spellStart"/>
      <w:r w:rsidRPr="00AC5A32">
        <w:rPr>
          <w:i/>
          <w:iCs/>
        </w:rPr>
        <w:t>na</w:t>
      </w:r>
      <w:proofErr w:type="spellEnd"/>
      <w:r w:rsidRPr="00AC5A32">
        <w:rPr>
          <w:i/>
          <w:iCs/>
        </w:rPr>
        <w:t xml:space="preserve"> </w:t>
      </w:r>
      <w:proofErr w:type="spellStart"/>
      <w:r w:rsidRPr="00AC5A32">
        <w:rPr>
          <w:i/>
          <w:iCs/>
        </w:rPr>
        <w:t>rynku</w:t>
      </w:r>
      <w:proofErr w:type="spellEnd"/>
      <w:r w:rsidRPr="00AC5A32">
        <w:rPr>
          <w:i/>
          <w:iCs/>
        </w:rPr>
        <w:t xml:space="preserve"> </w:t>
      </w:r>
      <w:r w:rsidR="00AC5A32">
        <w:rPr>
          <w:i/>
          <w:iCs/>
        </w:rPr>
        <w:t>–</w:t>
      </w:r>
      <w:r w:rsidRPr="00AC5A32">
        <w:rPr>
          <w:i/>
          <w:iCs/>
        </w:rPr>
        <w:t xml:space="preserve"> </w:t>
      </w:r>
      <w:proofErr w:type="spellStart"/>
      <w:r w:rsidRPr="00AC5A32">
        <w:rPr>
          <w:i/>
          <w:iCs/>
        </w:rPr>
        <w:t>ujęcie</w:t>
      </w:r>
      <w:proofErr w:type="spellEnd"/>
      <w:r w:rsidRPr="00AC5A32">
        <w:rPr>
          <w:i/>
          <w:iCs/>
        </w:rPr>
        <w:t xml:space="preserve"> w </w:t>
      </w:r>
      <w:proofErr w:type="spellStart"/>
      <w:r w:rsidRPr="00AC5A32">
        <w:rPr>
          <w:i/>
          <w:iCs/>
        </w:rPr>
        <w:t>teorii</w:t>
      </w:r>
      <w:proofErr w:type="spellEnd"/>
      <w:r w:rsidRPr="00AC5A32">
        <w:rPr>
          <w:i/>
          <w:iCs/>
        </w:rPr>
        <w:t xml:space="preserve"> </w:t>
      </w:r>
      <w:proofErr w:type="spellStart"/>
      <w:r w:rsidRPr="00AC5A32">
        <w:rPr>
          <w:i/>
          <w:iCs/>
        </w:rPr>
        <w:t>kompleksów</w:t>
      </w:r>
      <w:proofErr w:type="spellEnd"/>
      <w:r w:rsidRPr="00AC5A32">
        <w:rPr>
          <w:i/>
          <w:iCs/>
        </w:rPr>
        <w:t xml:space="preserve"> </w:t>
      </w:r>
      <w:proofErr w:type="spellStart"/>
      <w:r w:rsidRPr="00AC5A32">
        <w:rPr>
          <w:i/>
          <w:iCs/>
        </w:rPr>
        <w:t>reguł</w:t>
      </w:r>
      <w:proofErr w:type="spellEnd"/>
      <w:r w:rsidRPr="00C239D0">
        <w:t xml:space="preserve">. W: </w:t>
      </w:r>
      <w:proofErr w:type="spellStart"/>
      <w:r w:rsidRPr="00C239D0">
        <w:t>Rozwój</w:t>
      </w:r>
      <w:proofErr w:type="spellEnd"/>
      <w:r w:rsidRPr="00C239D0">
        <w:t xml:space="preserve"> </w:t>
      </w:r>
      <w:proofErr w:type="spellStart"/>
      <w:r w:rsidRPr="00C239D0">
        <w:t>regionalny</w:t>
      </w:r>
      <w:proofErr w:type="spellEnd"/>
      <w:r w:rsidRPr="00C239D0">
        <w:t xml:space="preserve"> </w:t>
      </w:r>
      <w:proofErr w:type="spellStart"/>
      <w:r w:rsidRPr="00C239D0">
        <w:t>cele</w:t>
      </w:r>
      <w:proofErr w:type="spellEnd"/>
      <w:r w:rsidRPr="00C239D0">
        <w:t xml:space="preserve"> </w:t>
      </w:r>
      <w:proofErr w:type="spellStart"/>
      <w:r w:rsidRPr="00C239D0">
        <w:t>i</w:t>
      </w:r>
      <w:proofErr w:type="spellEnd"/>
      <w:r w:rsidRPr="00C239D0">
        <w:t xml:space="preserve"> </w:t>
      </w:r>
      <w:proofErr w:type="spellStart"/>
      <w:r w:rsidRPr="00C239D0">
        <w:t>metody</w:t>
      </w:r>
      <w:proofErr w:type="spellEnd"/>
      <w:r w:rsidRPr="00C239D0">
        <w:t xml:space="preserve">. A. F. </w:t>
      </w:r>
      <w:proofErr w:type="spellStart"/>
      <w:r w:rsidRPr="00C239D0">
        <w:t>Bociana</w:t>
      </w:r>
      <w:proofErr w:type="spellEnd"/>
      <w:r w:rsidRPr="00C239D0">
        <w:t xml:space="preserve"> (Ed.), </w:t>
      </w:r>
      <w:proofErr w:type="spellStart"/>
      <w:r w:rsidRPr="00C239D0">
        <w:t>Białystok</w:t>
      </w:r>
      <w:proofErr w:type="spellEnd"/>
      <w:r w:rsidRPr="00C239D0">
        <w:t xml:space="preserve">: </w:t>
      </w:r>
      <w:proofErr w:type="spellStart"/>
      <w:r w:rsidRPr="00C239D0">
        <w:t>Wydawnictwo</w:t>
      </w:r>
      <w:proofErr w:type="spellEnd"/>
      <w:r w:rsidRPr="00C239D0">
        <w:t xml:space="preserve"> </w:t>
      </w:r>
      <w:proofErr w:type="spellStart"/>
      <w:r w:rsidRPr="00C239D0">
        <w:t>Uniwersytetu</w:t>
      </w:r>
      <w:proofErr w:type="spellEnd"/>
      <w:r w:rsidRPr="00C239D0">
        <w:t xml:space="preserve"> w </w:t>
      </w:r>
      <w:proofErr w:type="spellStart"/>
      <w:r w:rsidRPr="00C239D0">
        <w:t>Białymstoku</w:t>
      </w:r>
      <w:proofErr w:type="spellEnd"/>
      <w:r w:rsidRPr="00C239D0">
        <w:t>, 43-158.</w:t>
      </w:r>
      <w:r w:rsidR="00AC5A32">
        <w:t xml:space="preserve"> (in Polish)</w:t>
      </w:r>
    </w:p>
    <w:p w14:paraId="405FE5B8" w14:textId="35449DE6" w:rsidR="00C239D0" w:rsidRPr="00C239D0" w:rsidRDefault="00C239D0" w:rsidP="006C0BEA">
      <w:pPr>
        <w:pStyle w:val="Rlit"/>
      </w:pPr>
      <w:r w:rsidRPr="00C239D0">
        <w:t>Rudolph, C.</w:t>
      </w:r>
      <w:r w:rsidR="00AC5A32">
        <w:t xml:space="preserve"> </w:t>
      </w:r>
      <w:r w:rsidRPr="00C239D0">
        <w:t>W., Rauvola, R.</w:t>
      </w:r>
      <w:r w:rsidR="00AC5A32">
        <w:t xml:space="preserve"> </w:t>
      </w:r>
      <w:r w:rsidRPr="00C239D0">
        <w:t xml:space="preserve">S., </w:t>
      </w:r>
      <w:r w:rsidR="00713761">
        <w:t xml:space="preserve">&amp; </w:t>
      </w:r>
      <w:r w:rsidRPr="00C239D0">
        <w:t xml:space="preserve">Zacher, H. (2018). Leadership and generations at work: A critical review. </w:t>
      </w:r>
      <w:r w:rsidRPr="00AC5A32">
        <w:rPr>
          <w:i/>
          <w:iCs/>
        </w:rPr>
        <w:t>The Leadership Quarterly</w:t>
      </w:r>
      <w:r w:rsidRPr="00C239D0">
        <w:t xml:space="preserve">, </w:t>
      </w:r>
      <w:r w:rsidRPr="00AC5A32">
        <w:rPr>
          <w:i/>
          <w:iCs/>
        </w:rPr>
        <w:t>29</w:t>
      </w:r>
      <w:r w:rsidRPr="00C239D0">
        <w:t>(1), 44</w:t>
      </w:r>
      <w:r w:rsidR="00AC5A32">
        <w:t>-</w:t>
      </w:r>
      <w:r w:rsidRPr="00C239D0">
        <w:t>49.</w:t>
      </w:r>
    </w:p>
    <w:p w14:paraId="39FCA21B" w14:textId="2E963FAB" w:rsidR="00C239D0" w:rsidRPr="00C239D0" w:rsidRDefault="00C239D0" w:rsidP="006C0BEA">
      <w:pPr>
        <w:pStyle w:val="Rlit"/>
      </w:pPr>
      <w:r w:rsidRPr="00C239D0">
        <w:t xml:space="preserve">Rybak, A., </w:t>
      </w:r>
      <w:proofErr w:type="spellStart"/>
      <w:r w:rsidRPr="00C239D0">
        <w:t>Joostberens</w:t>
      </w:r>
      <w:proofErr w:type="spellEnd"/>
      <w:r w:rsidRPr="00C239D0">
        <w:t xml:space="preserve">, J., </w:t>
      </w:r>
      <w:proofErr w:type="spellStart"/>
      <w:r w:rsidRPr="00C239D0">
        <w:t>Manowska</w:t>
      </w:r>
      <w:proofErr w:type="spellEnd"/>
      <w:r w:rsidRPr="00C239D0">
        <w:t xml:space="preserve">, A., </w:t>
      </w:r>
      <w:r w:rsidR="00AC5A32">
        <w:t xml:space="preserve">&amp; </w:t>
      </w:r>
      <w:proofErr w:type="spellStart"/>
      <w:r w:rsidRPr="00C239D0">
        <w:t>Pielot</w:t>
      </w:r>
      <w:proofErr w:type="spellEnd"/>
      <w:r w:rsidRPr="00C239D0">
        <w:t xml:space="preserve">, J. (2022). The impact of environmental taxes on the level of greenhouse gas emissions in Poland and Sweden. </w:t>
      </w:r>
      <w:r w:rsidRPr="00AC5A32">
        <w:rPr>
          <w:i/>
          <w:iCs/>
        </w:rPr>
        <w:t>Energies</w:t>
      </w:r>
      <w:r w:rsidRPr="00C239D0">
        <w:t xml:space="preserve">, </w:t>
      </w:r>
      <w:r w:rsidRPr="00AC5A32">
        <w:rPr>
          <w:i/>
          <w:iCs/>
        </w:rPr>
        <w:t>15</w:t>
      </w:r>
      <w:r w:rsidRPr="00C239D0">
        <w:t>(12), 4465. https://doi.org/10.3390/en15124465</w:t>
      </w:r>
    </w:p>
    <w:p w14:paraId="2BE3AC9E" w14:textId="66536ACA" w:rsidR="00C239D0" w:rsidRPr="00C239D0" w:rsidRDefault="00C239D0" w:rsidP="006C0BEA">
      <w:pPr>
        <w:pStyle w:val="Rlit"/>
      </w:pPr>
      <w:r w:rsidRPr="00C239D0">
        <w:t xml:space="preserve">Samson, M. (2013). </w:t>
      </w:r>
      <w:proofErr w:type="spellStart"/>
      <w:r w:rsidRPr="00C239D0">
        <w:t>Rozwój</w:t>
      </w:r>
      <w:proofErr w:type="spellEnd"/>
      <w:r w:rsidRPr="00C239D0">
        <w:t xml:space="preserve"> </w:t>
      </w:r>
      <w:proofErr w:type="spellStart"/>
      <w:r w:rsidRPr="00C239D0">
        <w:t>idei</w:t>
      </w:r>
      <w:proofErr w:type="spellEnd"/>
      <w:r w:rsidRPr="00C239D0">
        <w:t xml:space="preserve"> </w:t>
      </w:r>
      <w:proofErr w:type="spellStart"/>
      <w:r w:rsidRPr="00C239D0">
        <w:t>ochrony</w:t>
      </w:r>
      <w:proofErr w:type="spellEnd"/>
      <w:r w:rsidRPr="00C239D0">
        <w:t xml:space="preserve"> </w:t>
      </w:r>
      <w:proofErr w:type="spellStart"/>
      <w:r w:rsidRPr="00C239D0">
        <w:t>konsumenta</w:t>
      </w:r>
      <w:proofErr w:type="spellEnd"/>
      <w:r w:rsidRPr="00C239D0">
        <w:t xml:space="preserve"> po 1962 r. </w:t>
      </w:r>
      <w:proofErr w:type="spellStart"/>
      <w:r w:rsidRPr="00C239D0">
        <w:t>Konsument</w:t>
      </w:r>
      <w:proofErr w:type="spellEnd"/>
      <w:r w:rsidRPr="00C239D0">
        <w:t xml:space="preserve"> w </w:t>
      </w:r>
      <w:proofErr w:type="spellStart"/>
      <w:r w:rsidRPr="00C239D0">
        <w:t>ujęciu</w:t>
      </w:r>
      <w:proofErr w:type="spellEnd"/>
      <w:r w:rsidRPr="00C239D0">
        <w:t xml:space="preserve"> </w:t>
      </w:r>
      <w:proofErr w:type="spellStart"/>
      <w:r w:rsidRPr="00C239D0">
        <w:t>prawnym</w:t>
      </w:r>
      <w:proofErr w:type="spellEnd"/>
      <w:r w:rsidRPr="00C239D0">
        <w:t xml:space="preserve"> </w:t>
      </w:r>
      <w:proofErr w:type="spellStart"/>
      <w:r w:rsidRPr="00C239D0">
        <w:t>i</w:t>
      </w:r>
      <w:proofErr w:type="spellEnd"/>
      <w:r w:rsidRPr="00C239D0">
        <w:t xml:space="preserve"> </w:t>
      </w:r>
      <w:proofErr w:type="spellStart"/>
      <w:r w:rsidRPr="00C239D0">
        <w:t>ekonomicznym</w:t>
      </w:r>
      <w:proofErr w:type="spellEnd"/>
      <w:r w:rsidRPr="00C239D0">
        <w:t xml:space="preserve">. Optimum. </w:t>
      </w:r>
      <w:r w:rsidRPr="00AC5A32">
        <w:rPr>
          <w:i/>
          <w:iCs/>
        </w:rPr>
        <w:t xml:space="preserve">Studia </w:t>
      </w:r>
      <w:proofErr w:type="spellStart"/>
      <w:r w:rsidRPr="00AC5A32">
        <w:rPr>
          <w:i/>
          <w:iCs/>
        </w:rPr>
        <w:t>Ekonomiczne</w:t>
      </w:r>
      <w:proofErr w:type="spellEnd"/>
      <w:r w:rsidRPr="00C239D0">
        <w:t xml:space="preserve">, </w:t>
      </w:r>
      <w:r w:rsidRPr="00AC5A32">
        <w:rPr>
          <w:i/>
          <w:iCs/>
        </w:rPr>
        <w:t>3</w:t>
      </w:r>
      <w:r w:rsidRPr="00C239D0">
        <w:t>, 169.</w:t>
      </w:r>
      <w:r w:rsidR="00AC5A32">
        <w:t xml:space="preserve"> (in Polish)</w:t>
      </w:r>
    </w:p>
    <w:p w14:paraId="5861F5D3" w14:textId="4D1B67EF" w:rsidR="00C239D0" w:rsidRPr="00C239D0" w:rsidRDefault="00C239D0" w:rsidP="006C0BEA">
      <w:pPr>
        <w:pStyle w:val="Rlit"/>
      </w:pPr>
      <w:r w:rsidRPr="00C239D0">
        <w:t xml:space="preserve">Sobczyk, G. (2018). </w:t>
      </w:r>
      <w:proofErr w:type="spellStart"/>
      <w:r w:rsidRPr="00C239D0">
        <w:t>Współczesne</w:t>
      </w:r>
      <w:proofErr w:type="spellEnd"/>
      <w:r w:rsidRPr="00C239D0">
        <w:t xml:space="preserve"> </w:t>
      </w:r>
      <w:proofErr w:type="spellStart"/>
      <w:r w:rsidRPr="00C239D0">
        <w:t>uwarunkowania</w:t>
      </w:r>
      <w:proofErr w:type="spellEnd"/>
      <w:r w:rsidRPr="00C239D0">
        <w:t xml:space="preserve"> </w:t>
      </w:r>
      <w:proofErr w:type="spellStart"/>
      <w:r w:rsidRPr="00C239D0">
        <w:t>konsumpcji</w:t>
      </w:r>
      <w:proofErr w:type="spellEnd"/>
      <w:r w:rsidRPr="00C239D0">
        <w:t xml:space="preserve"> w </w:t>
      </w:r>
      <w:proofErr w:type="spellStart"/>
      <w:r w:rsidRPr="00C239D0">
        <w:t>Polsce</w:t>
      </w:r>
      <w:proofErr w:type="spellEnd"/>
      <w:r w:rsidRPr="00C239D0">
        <w:t xml:space="preserve"> </w:t>
      </w:r>
      <w:proofErr w:type="spellStart"/>
      <w:r w:rsidRPr="00C239D0">
        <w:t>i</w:t>
      </w:r>
      <w:proofErr w:type="spellEnd"/>
      <w:r w:rsidRPr="00C239D0">
        <w:t xml:space="preserve"> ich </w:t>
      </w:r>
      <w:proofErr w:type="spellStart"/>
      <w:r w:rsidRPr="00C239D0">
        <w:t>implikacje</w:t>
      </w:r>
      <w:proofErr w:type="spellEnd"/>
      <w:r w:rsidRPr="00C239D0">
        <w:t xml:space="preserve"> </w:t>
      </w:r>
      <w:proofErr w:type="spellStart"/>
      <w:r w:rsidRPr="00C239D0">
        <w:t>na</w:t>
      </w:r>
      <w:proofErr w:type="spellEnd"/>
      <w:r w:rsidRPr="00C239D0">
        <w:t xml:space="preserve"> </w:t>
      </w:r>
      <w:proofErr w:type="spellStart"/>
      <w:r w:rsidRPr="00C239D0">
        <w:t>rynku</w:t>
      </w:r>
      <w:proofErr w:type="spellEnd"/>
      <w:r w:rsidRPr="00C239D0">
        <w:t xml:space="preserve">. </w:t>
      </w:r>
      <w:r w:rsidRPr="00AC5A32">
        <w:rPr>
          <w:i/>
          <w:iCs/>
        </w:rPr>
        <w:t>Handel Wewnętrzny</w:t>
      </w:r>
      <w:r w:rsidRPr="00C239D0">
        <w:t xml:space="preserve">, </w:t>
      </w:r>
      <w:r w:rsidRPr="00AC5A32">
        <w:rPr>
          <w:i/>
          <w:iCs/>
        </w:rPr>
        <w:t>3</w:t>
      </w:r>
      <w:r w:rsidRPr="00C239D0">
        <w:t>(374), 347-357</w:t>
      </w:r>
      <w:r w:rsidR="00AC5A32">
        <w:t>. (in Polish)</w:t>
      </w:r>
    </w:p>
    <w:p w14:paraId="412083FB" w14:textId="77777777" w:rsidR="00C239D0" w:rsidRPr="00C239D0" w:rsidRDefault="00C239D0" w:rsidP="006C0BEA">
      <w:pPr>
        <w:pStyle w:val="Rlit"/>
      </w:pPr>
      <w:r w:rsidRPr="00AC5A32">
        <w:rPr>
          <w:spacing w:val="-2"/>
        </w:rPr>
        <w:t xml:space="preserve">Spiru, P. (2023). Assessment of renewable energy generated by a hybrid system based on wind, hydro, solar, and biomass sources for decarbonizing the energy sector and achieving a sustainable energy transition. </w:t>
      </w:r>
      <w:r w:rsidRPr="00AC5A32">
        <w:rPr>
          <w:i/>
          <w:iCs/>
          <w:spacing w:val="-2"/>
        </w:rPr>
        <w:t>Energy Reports</w:t>
      </w:r>
      <w:r w:rsidRPr="00AC5A32">
        <w:rPr>
          <w:spacing w:val="-2"/>
        </w:rPr>
        <w:t xml:space="preserve">, </w:t>
      </w:r>
      <w:r w:rsidRPr="00AC5A32">
        <w:rPr>
          <w:i/>
          <w:iCs/>
          <w:spacing w:val="-2"/>
        </w:rPr>
        <w:t>9</w:t>
      </w:r>
      <w:r w:rsidRPr="00AC5A32">
        <w:rPr>
          <w:spacing w:val="-2"/>
        </w:rPr>
        <w:t>, 167-174.</w:t>
      </w:r>
      <w:r w:rsidRPr="00C239D0">
        <w:t xml:space="preserve"> https://doi.org/10.1016/j.egyr.2023.04.316</w:t>
      </w:r>
    </w:p>
    <w:p w14:paraId="17741658" w14:textId="027D46AB" w:rsidR="00C239D0" w:rsidRPr="00C239D0" w:rsidRDefault="00C239D0" w:rsidP="006C0BEA">
      <w:pPr>
        <w:pStyle w:val="Rlit"/>
      </w:pPr>
      <w:r w:rsidRPr="00C239D0">
        <w:t>Suvalova</w:t>
      </w:r>
      <w:r w:rsidR="00852C49">
        <w:t>,</w:t>
      </w:r>
      <w:r w:rsidRPr="00C239D0">
        <w:t xml:space="preserve"> T.</w:t>
      </w:r>
      <w:r w:rsidR="00AC5A32">
        <w:t xml:space="preserve"> </w:t>
      </w:r>
      <w:r w:rsidRPr="00C239D0">
        <w:t>V., Troitskiy, A.</w:t>
      </w:r>
      <w:r w:rsidR="00AC5A32">
        <w:t xml:space="preserve"> </w:t>
      </w:r>
      <w:r w:rsidRPr="00C239D0">
        <w:t xml:space="preserve">V., </w:t>
      </w:r>
      <w:r w:rsidR="00AC5A32">
        <w:t xml:space="preserve">&amp; </w:t>
      </w:r>
      <w:proofErr w:type="spellStart"/>
      <w:r w:rsidRPr="00C239D0">
        <w:t>Zhaxybayeva</w:t>
      </w:r>
      <w:proofErr w:type="spellEnd"/>
      <w:r w:rsidRPr="00C239D0">
        <w:t>, G.</w:t>
      </w:r>
      <w:r w:rsidR="00AC5A32">
        <w:t xml:space="preserve"> </w:t>
      </w:r>
      <w:r w:rsidRPr="00C239D0">
        <w:t xml:space="preserve">Sh. (Ed.). (2021). </w:t>
      </w:r>
      <w:r w:rsidRPr="00AC5A32">
        <w:rPr>
          <w:i/>
          <w:iCs/>
        </w:rPr>
        <w:t>Digital Economy and the New Labor Market: Jobs, Competences and Innovative HR Technologies</w:t>
      </w:r>
      <w:r w:rsidRPr="00C239D0">
        <w:t xml:space="preserve">. Springer. </w:t>
      </w:r>
      <w:r w:rsidR="00AC5A32" w:rsidRPr="00AC5A32">
        <w:t>https://doi.org/</w:t>
      </w:r>
      <w:r w:rsidRPr="00C239D0">
        <w:t>10.1007/978-3-030-60926-9_11</w:t>
      </w:r>
    </w:p>
    <w:p w14:paraId="5B89DF7F" w14:textId="5B2E1C06" w:rsidR="00C239D0" w:rsidRPr="00C239D0" w:rsidRDefault="00C239D0" w:rsidP="006C0BEA">
      <w:pPr>
        <w:pStyle w:val="Rlit"/>
      </w:pPr>
      <w:r w:rsidRPr="00C239D0">
        <w:t xml:space="preserve">Taranko, T. (2016). </w:t>
      </w:r>
      <w:proofErr w:type="spellStart"/>
      <w:r w:rsidRPr="00C239D0">
        <w:t>Czynniki</w:t>
      </w:r>
      <w:proofErr w:type="spellEnd"/>
      <w:r w:rsidRPr="00C239D0">
        <w:t xml:space="preserve"> </w:t>
      </w:r>
      <w:proofErr w:type="spellStart"/>
      <w:r w:rsidRPr="00C239D0">
        <w:t>determinujące</w:t>
      </w:r>
      <w:proofErr w:type="spellEnd"/>
      <w:r w:rsidRPr="00C239D0">
        <w:t xml:space="preserve"> </w:t>
      </w:r>
      <w:proofErr w:type="spellStart"/>
      <w:r w:rsidRPr="00C239D0">
        <w:t>postawy</w:t>
      </w:r>
      <w:proofErr w:type="spellEnd"/>
      <w:r w:rsidRPr="00C239D0">
        <w:t xml:space="preserve"> </w:t>
      </w:r>
      <w:proofErr w:type="spellStart"/>
      <w:r w:rsidRPr="00C239D0">
        <w:t>konsumentów</w:t>
      </w:r>
      <w:proofErr w:type="spellEnd"/>
      <w:r w:rsidRPr="00C239D0">
        <w:t xml:space="preserve"> </w:t>
      </w:r>
      <w:proofErr w:type="spellStart"/>
      <w:r w:rsidRPr="00C239D0">
        <w:t>wobec</w:t>
      </w:r>
      <w:proofErr w:type="spellEnd"/>
      <w:r w:rsidRPr="00C239D0">
        <w:t xml:space="preserve"> </w:t>
      </w:r>
      <w:proofErr w:type="spellStart"/>
      <w:r w:rsidRPr="00C239D0">
        <w:t>marki</w:t>
      </w:r>
      <w:proofErr w:type="spellEnd"/>
      <w:r w:rsidRPr="00C239D0">
        <w:t xml:space="preserve">. </w:t>
      </w:r>
      <w:r w:rsidRPr="00AC5A32">
        <w:rPr>
          <w:i/>
          <w:iCs/>
        </w:rPr>
        <w:t>Handel Wewnętrzny</w:t>
      </w:r>
      <w:r w:rsidRPr="00C239D0">
        <w:t xml:space="preserve">, </w:t>
      </w:r>
      <w:r w:rsidRPr="00AC5A32">
        <w:rPr>
          <w:i/>
          <w:iCs/>
        </w:rPr>
        <w:t>3</w:t>
      </w:r>
      <w:r w:rsidRPr="00C239D0">
        <w:t>(362), 341</w:t>
      </w:r>
      <w:r w:rsidR="00AC5A32">
        <w:t>-</w:t>
      </w:r>
      <w:r w:rsidRPr="00C239D0">
        <w:t>352.</w:t>
      </w:r>
      <w:r w:rsidR="00AC5A32">
        <w:t xml:space="preserve"> (in Polish)</w:t>
      </w:r>
    </w:p>
    <w:p w14:paraId="3B6EF83A" w14:textId="77777777" w:rsidR="00C239D0" w:rsidRPr="00C239D0" w:rsidRDefault="00C239D0" w:rsidP="006C0BEA">
      <w:pPr>
        <w:pStyle w:val="Rlit"/>
      </w:pPr>
      <w:r w:rsidRPr="00C239D0">
        <w:t xml:space="preserve">Twenge, J. (2023). Generations: The Real Differences Between Gen Z, Millennials, Gen X, Boomers, and Silents and What The Mean for America's Future. Nowy </w:t>
      </w:r>
      <w:proofErr w:type="spellStart"/>
      <w:r w:rsidRPr="00C239D0">
        <w:t>Jork</w:t>
      </w:r>
      <w:proofErr w:type="spellEnd"/>
      <w:r w:rsidRPr="00C239D0">
        <w:t>: Atria Books.</w:t>
      </w:r>
    </w:p>
    <w:p w14:paraId="40845B2D" w14:textId="0628DDBB" w:rsidR="00C239D0" w:rsidRPr="00C239D0" w:rsidRDefault="00C239D0" w:rsidP="006C0BEA">
      <w:pPr>
        <w:pStyle w:val="Rlit"/>
      </w:pPr>
      <w:r w:rsidRPr="00C239D0">
        <w:t xml:space="preserve">Werther, W., </w:t>
      </w:r>
      <w:r w:rsidR="00AC5A32">
        <w:t xml:space="preserve">&amp; </w:t>
      </w:r>
      <w:r w:rsidRPr="00C239D0">
        <w:t>Chandler, D. (2011). Strategic corporate social responsibility: Stakeholders in a global environment. California: Pub. Sage.</w:t>
      </w:r>
    </w:p>
    <w:p w14:paraId="30AA97FA" w14:textId="2E7B1C5F" w:rsidR="00C239D0" w:rsidRDefault="00C239D0" w:rsidP="006C0BEA">
      <w:pPr>
        <w:pStyle w:val="Rlit"/>
      </w:pPr>
      <w:r w:rsidRPr="00C239D0">
        <w:t>Wolanin</w:t>
      </w:r>
      <w:r w:rsidR="00FE4507">
        <w:t>-</w:t>
      </w:r>
      <w:r w:rsidRPr="00C239D0">
        <w:t xml:space="preserve">Jarosz, E. (2006). </w:t>
      </w:r>
      <w:proofErr w:type="spellStart"/>
      <w:r w:rsidRPr="00C239D0">
        <w:t>Zachowania</w:t>
      </w:r>
      <w:proofErr w:type="spellEnd"/>
      <w:r w:rsidRPr="00C239D0">
        <w:t xml:space="preserve"> </w:t>
      </w:r>
      <w:proofErr w:type="spellStart"/>
      <w:r w:rsidRPr="00C239D0">
        <w:t>konsumentów</w:t>
      </w:r>
      <w:proofErr w:type="spellEnd"/>
      <w:r w:rsidRPr="00C239D0">
        <w:t xml:space="preserve">- </w:t>
      </w:r>
      <w:proofErr w:type="spellStart"/>
      <w:r w:rsidRPr="00C239D0">
        <w:t>przegląd</w:t>
      </w:r>
      <w:proofErr w:type="spellEnd"/>
      <w:r w:rsidRPr="00C239D0">
        <w:t xml:space="preserve"> </w:t>
      </w:r>
      <w:proofErr w:type="spellStart"/>
      <w:r w:rsidRPr="00C239D0">
        <w:t>wybranych</w:t>
      </w:r>
      <w:proofErr w:type="spellEnd"/>
      <w:r w:rsidRPr="00C239D0">
        <w:t xml:space="preserve"> </w:t>
      </w:r>
      <w:proofErr w:type="spellStart"/>
      <w:r w:rsidRPr="00C239D0">
        <w:t>badań</w:t>
      </w:r>
      <w:proofErr w:type="spellEnd"/>
      <w:r w:rsidRPr="00C239D0">
        <w:t xml:space="preserve"> </w:t>
      </w:r>
      <w:proofErr w:type="spellStart"/>
      <w:r w:rsidRPr="00C239D0">
        <w:t>i</w:t>
      </w:r>
      <w:proofErr w:type="spellEnd"/>
      <w:r w:rsidRPr="00C239D0">
        <w:t xml:space="preserve"> </w:t>
      </w:r>
      <w:proofErr w:type="spellStart"/>
      <w:r w:rsidRPr="00C239D0">
        <w:t>teorii</w:t>
      </w:r>
      <w:proofErr w:type="spellEnd"/>
      <w:r w:rsidRPr="00C239D0">
        <w:t xml:space="preserve">. </w:t>
      </w:r>
      <w:proofErr w:type="spellStart"/>
      <w:r w:rsidRPr="00AC5A32">
        <w:rPr>
          <w:i/>
          <w:iCs/>
        </w:rPr>
        <w:t>Roczniki</w:t>
      </w:r>
      <w:proofErr w:type="spellEnd"/>
      <w:r w:rsidRPr="00AC5A32">
        <w:rPr>
          <w:i/>
          <w:iCs/>
        </w:rPr>
        <w:t xml:space="preserve"> Wydziału </w:t>
      </w:r>
      <w:proofErr w:type="spellStart"/>
      <w:r w:rsidRPr="00AC5A32">
        <w:rPr>
          <w:i/>
          <w:iCs/>
        </w:rPr>
        <w:t>Nauk</w:t>
      </w:r>
      <w:proofErr w:type="spellEnd"/>
      <w:r w:rsidRPr="00AC5A32">
        <w:rPr>
          <w:i/>
          <w:iCs/>
        </w:rPr>
        <w:t xml:space="preserve"> </w:t>
      </w:r>
      <w:proofErr w:type="spellStart"/>
      <w:r w:rsidRPr="00AC5A32">
        <w:rPr>
          <w:i/>
          <w:iCs/>
        </w:rPr>
        <w:t>Prawnych</w:t>
      </w:r>
      <w:proofErr w:type="spellEnd"/>
      <w:r w:rsidRPr="00AC5A32">
        <w:rPr>
          <w:i/>
          <w:iCs/>
        </w:rPr>
        <w:t xml:space="preserve"> </w:t>
      </w:r>
      <w:proofErr w:type="spellStart"/>
      <w:r w:rsidRPr="00AC5A32">
        <w:rPr>
          <w:i/>
          <w:iCs/>
        </w:rPr>
        <w:t>i</w:t>
      </w:r>
      <w:proofErr w:type="spellEnd"/>
      <w:r w:rsidRPr="00AC5A32">
        <w:rPr>
          <w:i/>
          <w:iCs/>
        </w:rPr>
        <w:t xml:space="preserve"> </w:t>
      </w:r>
      <w:proofErr w:type="spellStart"/>
      <w:r w:rsidRPr="00AC5A32">
        <w:rPr>
          <w:i/>
          <w:iCs/>
        </w:rPr>
        <w:t>Ekonomicznych</w:t>
      </w:r>
      <w:proofErr w:type="spellEnd"/>
      <w:r w:rsidRPr="00C239D0">
        <w:t xml:space="preserve">, </w:t>
      </w:r>
      <w:r w:rsidRPr="00AC5A32">
        <w:rPr>
          <w:i/>
          <w:iCs/>
        </w:rPr>
        <w:t>2</w:t>
      </w:r>
      <w:r w:rsidRPr="00C239D0">
        <w:t xml:space="preserve">(2) 83-99. </w:t>
      </w:r>
      <w:r w:rsidR="00AC5A32">
        <w:t>(in Polish)</w:t>
      </w:r>
    </w:p>
    <w:p w14:paraId="595FFAFC" w14:textId="77777777" w:rsidR="0053400F" w:rsidRPr="00C239D0" w:rsidRDefault="0053400F" w:rsidP="0053400F">
      <w:pPr>
        <w:pStyle w:val="Rlit"/>
        <w:spacing w:before="120"/>
      </w:pPr>
      <w:proofErr w:type="spellStart"/>
      <w:r w:rsidRPr="00C239D0">
        <w:t>Dyrektywa</w:t>
      </w:r>
      <w:proofErr w:type="spellEnd"/>
      <w:r w:rsidRPr="00C239D0">
        <w:t xml:space="preserve"> 2024/1275 z </w:t>
      </w:r>
      <w:proofErr w:type="spellStart"/>
      <w:r w:rsidRPr="00C239D0">
        <w:t>dnia</w:t>
      </w:r>
      <w:proofErr w:type="spellEnd"/>
      <w:r w:rsidRPr="00C239D0">
        <w:t xml:space="preserve"> 24 </w:t>
      </w:r>
      <w:proofErr w:type="spellStart"/>
      <w:r w:rsidRPr="00C239D0">
        <w:t>kwietnia</w:t>
      </w:r>
      <w:proofErr w:type="spellEnd"/>
      <w:r w:rsidRPr="00C239D0">
        <w:t xml:space="preserve"> 2024 r. w </w:t>
      </w:r>
      <w:proofErr w:type="spellStart"/>
      <w:r w:rsidRPr="00C239D0">
        <w:t>sprawie</w:t>
      </w:r>
      <w:proofErr w:type="spellEnd"/>
      <w:r w:rsidRPr="00C239D0">
        <w:t xml:space="preserve"> </w:t>
      </w:r>
      <w:proofErr w:type="spellStart"/>
      <w:r w:rsidRPr="00C239D0">
        <w:t>charakterystyki</w:t>
      </w:r>
      <w:proofErr w:type="spellEnd"/>
      <w:r w:rsidRPr="00C239D0">
        <w:t xml:space="preserve"> </w:t>
      </w:r>
      <w:proofErr w:type="spellStart"/>
      <w:r w:rsidRPr="00C239D0">
        <w:t>energetycznej</w:t>
      </w:r>
      <w:proofErr w:type="spellEnd"/>
      <w:r w:rsidRPr="00C239D0">
        <w:t xml:space="preserve"> </w:t>
      </w:r>
      <w:proofErr w:type="spellStart"/>
      <w:r w:rsidRPr="00C239D0">
        <w:t>budynków</w:t>
      </w:r>
      <w:proofErr w:type="spellEnd"/>
      <w:r w:rsidRPr="00C239D0">
        <w:t xml:space="preserve">. https://eur-lex.europa.eu/legal-content/PL/TXT/PDF/?uri=OJ:L_202401275 </w:t>
      </w:r>
      <w:r>
        <w:t>(</w:t>
      </w:r>
      <w:r w:rsidRPr="00C239D0">
        <w:t>19.09.2024</w:t>
      </w:r>
      <w:r>
        <w:t>)</w:t>
      </w:r>
    </w:p>
    <w:p w14:paraId="522C79E0" w14:textId="77777777" w:rsidR="0053400F" w:rsidRPr="00C239D0" w:rsidRDefault="0053400F" w:rsidP="0053400F">
      <w:pPr>
        <w:pStyle w:val="Rlit"/>
        <w:jc w:val="left"/>
      </w:pPr>
      <w:proofErr w:type="spellStart"/>
      <w:r w:rsidRPr="00C239D0">
        <w:t>Dyrektywa</w:t>
      </w:r>
      <w:proofErr w:type="spellEnd"/>
      <w:r w:rsidRPr="00C239D0">
        <w:t xml:space="preserve"> w </w:t>
      </w:r>
      <w:proofErr w:type="spellStart"/>
      <w:r w:rsidRPr="00C239D0">
        <w:t>sprawie</w:t>
      </w:r>
      <w:proofErr w:type="spellEnd"/>
      <w:r w:rsidRPr="00C239D0">
        <w:t xml:space="preserve"> </w:t>
      </w:r>
      <w:proofErr w:type="spellStart"/>
      <w:r w:rsidRPr="00C239D0">
        <w:t>efektywności</w:t>
      </w:r>
      <w:proofErr w:type="spellEnd"/>
      <w:r w:rsidRPr="00C239D0">
        <w:t xml:space="preserve"> </w:t>
      </w:r>
      <w:proofErr w:type="spellStart"/>
      <w:r w:rsidRPr="00C239D0">
        <w:t>energetycznej</w:t>
      </w:r>
      <w:proofErr w:type="spellEnd"/>
      <w:r w:rsidRPr="00C239D0">
        <w:t xml:space="preserve"> 2012/27/UE. </w:t>
      </w:r>
      <w:r>
        <w:br/>
      </w:r>
      <w:r w:rsidRPr="00C239D0">
        <w:t xml:space="preserve">https://eur-lex.europa.eu/legalcontent/EN/TXT/?qid=1399375464230&amp;uri=CELEX:32012L0027. </w:t>
      </w:r>
      <w:r>
        <w:t>(</w:t>
      </w:r>
      <w:r w:rsidRPr="00C239D0">
        <w:t>19.09.2024</w:t>
      </w:r>
      <w:r>
        <w:t>)</w:t>
      </w:r>
    </w:p>
    <w:p w14:paraId="0F4C6889" w14:textId="77777777" w:rsidR="0053400F" w:rsidRPr="00C239D0" w:rsidRDefault="0053400F" w:rsidP="0053400F">
      <w:pPr>
        <w:pStyle w:val="Rlit"/>
        <w:jc w:val="left"/>
      </w:pPr>
      <w:proofErr w:type="spellStart"/>
      <w:r w:rsidRPr="00C239D0">
        <w:t>Dyrektywa</w:t>
      </w:r>
      <w:proofErr w:type="spellEnd"/>
      <w:r w:rsidRPr="00C239D0">
        <w:t xml:space="preserve"> w </w:t>
      </w:r>
      <w:proofErr w:type="spellStart"/>
      <w:r w:rsidRPr="00C239D0">
        <w:t>sprawie</w:t>
      </w:r>
      <w:proofErr w:type="spellEnd"/>
      <w:r w:rsidRPr="00C239D0">
        <w:t xml:space="preserve"> </w:t>
      </w:r>
      <w:proofErr w:type="spellStart"/>
      <w:r w:rsidRPr="00C239D0">
        <w:t>odnawialnych</w:t>
      </w:r>
      <w:proofErr w:type="spellEnd"/>
      <w:r w:rsidRPr="00C239D0">
        <w:t xml:space="preserve"> </w:t>
      </w:r>
      <w:proofErr w:type="spellStart"/>
      <w:r w:rsidRPr="00C239D0">
        <w:t>źródeł</w:t>
      </w:r>
      <w:proofErr w:type="spellEnd"/>
      <w:r w:rsidRPr="00C239D0">
        <w:t xml:space="preserve"> </w:t>
      </w:r>
      <w:proofErr w:type="spellStart"/>
      <w:r w:rsidRPr="00C239D0">
        <w:t>energii</w:t>
      </w:r>
      <w:proofErr w:type="spellEnd"/>
      <w:r w:rsidRPr="00C239D0">
        <w:t xml:space="preserve"> 2018/2001/UE. https://eurlex.europa.eu/legal-content/EN/TXT/?uri=uriserv:OJ.L_.2018.328.01 .0082.01.ENG&amp;toc=OJ:L:2018:328:TOC </w:t>
      </w:r>
      <w:r>
        <w:t>(</w:t>
      </w:r>
      <w:r w:rsidRPr="00C239D0">
        <w:t>19.09.2024</w:t>
      </w:r>
      <w:r>
        <w:t>)</w:t>
      </w:r>
    </w:p>
    <w:p w14:paraId="0153014D" w14:textId="77777777" w:rsidR="0053400F" w:rsidRPr="00C239D0" w:rsidRDefault="0053400F" w:rsidP="0053400F">
      <w:pPr>
        <w:pStyle w:val="Rlit"/>
      </w:pPr>
      <w:proofErr w:type="spellStart"/>
      <w:r w:rsidRPr="00C239D0">
        <w:t>Kodeks</w:t>
      </w:r>
      <w:proofErr w:type="spellEnd"/>
      <w:r w:rsidRPr="00C239D0">
        <w:t xml:space="preserve"> </w:t>
      </w:r>
      <w:proofErr w:type="spellStart"/>
      <w:r w:rsidRPr="00C239D0">
        <w:t>cywilny</w:t>
      </w:r>
      <w:proofErr w:type="spellEnd"/>
      <w:r w:rsidRPr="00C239D0">
        <w:t xml:space="preserve"> Dz.U.2025.1071 </w:t>
      </w:r>
      <w:proofErr w:type="spellStart"/>
      <w:r w:rsidRPr="00C239D0">
        <w:t>t.j.</w:t>
      </w:r>
      <w:proofErr w:type="spellEnd"/>
      <w:r w:rsidRPr="00C239D0">
        <w:t xml:space="preserve"> z </w:t>
      </w:r>
      <w:proofErr w:type="spellStart"/>
      <w:r w:rsidRPr="00C239D0">
        <w:t>dnia</w:t>
      </w:r>
      <w:proofErr w:type="spellEnd"/>
      <w:r w:rsidRPr="00C239D0">
        <w:t xml:space="preserve"> 2025.08.06</w:t>
      </w:r>
      <w:r>
        <w:t xml:space="preserve"> (in Polish)</w:t>
      </w:r>
    </w:p>
    <w:p w14:paraId="68659CEB" w14:textId="77777777" w:rsidR="0053400F" w:rsidRPr="00C239D0" w:rsidRDefault="0053400F" w:rsidP="0053400F">
      <w:pPr>
        <w:pStyle w:val="Rlit"/>
        <w:jc w:val="left"/>
      </w:pPr>
      <w:proofErr w:type="spellStart"/>
      <w:r w:rsidRPr="00C239D0">
        <w:t>KPEiK</w:t>
      </w:r>
      <w:proofErr w:type="spellEnd"/>
      <w:r w:rsidRPr="00C239D0">
        <w:t xml:space="preserve"> 2019. </w:t>
      </w:r>
      <w:proofErr w:type="spellStart"/>
      <w:r w:rsidRPr="00C239D0">
        <w:t>Krajowy</w:t>
      </w:r>
      <w:proofErr w:type="spellEnd"/>
      <w:r w:rsidRPr="00C239D0">
        <w:t xml:space="preserve"> plan </w:t>
      </w:r>
      <w:proofErr w:type="spellStart"/>
      <w:r w:rsidRPr="00C239D0">
        <w:t>na</w:t>
      </w:r>
      <w:proofErr w:type="spellEnd"/>
      <w:r w:rsidRPr="00C239D0">
        <w:t xml:space="preserve"> </w:t>
      </w:r>
      <w:proofErr w:type="spellStart"/>
      <w:r w:rsidRPr="00C239D0">
        <w:t>rzecz</w:t>
      </w:r>
      <w:proofErr w:type="spellEnd"/>
      <w:r w:rsidRPr="00C239D0">
        <w:t xml:space="preserve"> </w:t>
      </w:r>
      <w:proofErr w:type="spellStart"/>
      <w:r w:rsidRPr="00C239D0">
        <w:t>energii</w:t>
      </w:r>
      <w:proofErr w:type="spellEnd"/>
      <w:r w:rsidRPr="00C239D0">
        <w:t xml:space="preserve"> </w:t>
      </w:r>
      <w:proofErr w:type="spellStart"/>
      <w:r w:rsidRPr="00C239D0">
        <w:t>i</w:t>
      </w:r>
      <w:proofErr w:type="spellEnd"/>
      <w:r w:rsidRPr="00C239D0">
        <w:t xml:space="preserve"> </w:t>
      </w:r>
      <w:proofErr w:type="spellStart"/>
      <w:r w:rsidRPr="00C239D0">
        <w:t>klimatu</w:t>
      </w:r>
      <w:proofErr w:type="spellEnd"/>
      <w:r w:rsidRPr="00C239D0">
        <w:t xml:space="preserve"> </w:t>
      </w:r>
      <w:proofErr w:type="spellStart"/>
      <w:r w:rsidRPr="00C239D0">
        <w:t>na</w:t>
      </w:r>
      <w:proofErr w:type="spellEnd"/>
      <w:r w:rsidRPr="00C239D0">
        <w:t xml:space="preserve"> </w:t>
      </w:r>
      <w:proofErr w:type="spellStart"/>
      <w:r w:rsidRPr="00C239D0">
        <w:t>lata</w:t>
      </w:r>
      <w:proofErr w:type="spellEnd"/>
      <w:r w:rsidRPr="00C239D0">
        <w:t xml:space="preserve"> 2021-2030. </w:t>
      </w:r>
      <w:proofErr w:type="spellStart"/>
      <w:r w:rsidRPr="00C239D0">
        <w:t>Wersja</w:t>
      </w:r>
      <w:proofErr w:type="spellEnd"/>
      <w:r w:rsidRPr="00C239D0">
        <w:t xml:space="preserve"> 2019. https://www.gov.pl/web/klimat/krajowy-plan-na-rzecz-energii-i-klimatu. </w:t>
      </w:r>
      <w:r>
        <w:t>(</w:t>
      </w:r>
      <w:r w:rsidRPr="00C239D0">
        <w:t>20.09.2024</w:t>
      </w:r>
      <w:r>
        <w:t>)</w:t>
      </w:r>
    </w:p>
    <w:p w14:paraId="1D41DB2F" w14:textId="77777777" w:rsidR="0053400F" w:rsidRPr="00C239D0" w:rsidRDefault="0053400F" w:rsidP="0053400F">
      <w:pPr>
        <w:pStyle w:val="Rlit"/>
      </w:pPr>
      <w:r w:rsidRPr="00C239D0">
        <w:t xml:space="preserve">PEP2040 2021. </w:t>
      </w:r>
      <w:proofErr w:type="spellStart"/>
      <w:r w:rsidRPr="00C239D0">
        <w:t>Polityka</w:t>
      </w:r>
      <w:proofErr w:type="spellEnd"/>
      <w:r w:rsidRPr="00C239D0">
        <w:t xml:space="preserve"> </w:t>
      </w:r>
      <w:proofErr w:type="spellStart"/>
      <w:r w:rsidRPr="00C239D0">
        <w:t>Energetyczna</w:t>
      </w:r>
      <w:proofErr w:type="spellEnd"/>
      <w:r w:rsidRPr="00C239D0">
        <w:t xml:space="preserve"> Polski do 2024 r. </w:t>
      </w:r>
      <w:proofErr w:type="spellStart"/>
      <w:r w:rsidRPr="00C239D0">
        <w:t>Ministerstwo</w:t>
      </w:r>
      <w:proofErr w:type="spellEnd"/>
      <w:r w:rsidRPr="00C239D0">
        <w:t xml:space="preserve"> Klimatu </w:t>
      </w:r>
      <w:proofErr w:type="spellStart"/>
      <w:r w:rsidRPr="00C239D0">
        <w:t>i</w:t>
      </w:r>
      <w:proofErr w:type="spellEnd"/>
      <w:r w:rsidRPr="00C239D0">
        <w:t xml:space="preserve"> </w:t>
      </w:r>
      <w:proofErr w:type="spellStart"/>
      <w:r w:rsidRPr="00C239D0">
        <w:t>Środowiska</w:t>
      </w:r>
      <w:proofErr w:type="spellEnd"/>
      <w:r w:rsidRPr="00C239D0">
        <w:t xml:space="preserve">. </w:t>
      </w:r>
      <w:proofErr w:type="spellStart"/>
      <w:r w:rsidRPr="00C239D0">
        <w:t>Załącznik</w:t>
      </w:r>
      <w:proofErr w:type="spellEnd"/>
      <w:r w:rsidRPr="00C239D0">
        <w:t xml:space="preserve"> do </w:t>
      </w:r>
      <w:proofErr w:type="spellStart"/>
      <w:r w:rsidRPr="00C239D0">
        <w:t>uchwały</w:t>
      </w:r>
      <w:proofErr w:type="spellEnd"/>
      <w:r w:rsidRPr="00C239D0">
        <w:t xml:space="preserve"> nr</w:t>
      </w:r>
      <w:r>
        <w:t> </w:t>
      </w:r>
      <w:r w:rsidRPr="00C239D0">
        <w:t xml:space="preserve">22/2021 Rady </w:t>
      </w:r>
      <w:proofErr w:type="spellStart"/>
      <w:r w:rsidRPr="00C239D0">
        <w:t>Ministrów</w:t>
      </w:r>
      <w:proofErr w:type="spellEnd"/>
      <w:r w:rsidRPr="00C239D0">
        <w:t xml:space="preserve"> z </w:t>
      </w:r>
      <w:proofErr w:type="spellStart"/>
      <w:r w:rsidRPr="00C239D0">
        <w:t>dnia</w:t>
      </w:r>
      <w:proofErr w:type="spellEnd"/>
      <w:r w:rsidRPr="00C239D0">
        <w:t xml:space="preserve"> 2 </w:t>
      </w:r>
      <w:proofErr w:type="spellStart"/>
      <w:r w:rsidRPr="00C239D0">
        <w:t>lutego</w:t>
      </w:r>
      <w:proofErr w:type="spellEnd"/>
      <w:r w:rsidRPr="00C239D0">
        <w:t xml:space="preserve"> 2021 r. Warszawa. https://www.gov.pl/web/klimat/polityka-energetyczna-polski. </w:t>
      </w:r>
      <w:r>
        <w:t>(</w:t>
      </w:r>
      <w:r w:rsidRPr="00C239D0">
        <w:t>20.09.2024</w:t>
      </w:r>
      <w:r>
        <w:t>)</w:t>
      </w:r>
    </w:p>
    <w:p w14:paraId="02826A07" w14:textId="77777777" w:rsidR="0053400F" w:rsidRPr="00C239D0" w:rsidRDefault="0053400F" w:rsidP="0053400F">
      <w:pPr>
        <w:pStyle w:val="Rlit"/>
      </w:pPr>
      <w:r w:rsidRPr="00C239D0">
        <w:t xml:space="preserve">Prawa </w:t>
      </w:r>
      <w:proofErr w:type="spellStart"/>
      <w:r w:rsidRPr="00C239D0">
        <w:t>konsumenta</w:t>
      </w:r>
      <w:proofErr w:type="spellEnd"/>
      <w:r w:rsidRPr="00C239D0">
        <w:t xml:space="preserve">. Dz.U.2024.1796 </w:t>
      </w:r>
      <w:r>
        <w:t xml:space="preserve">– </w:t>
      </w:r>
      <w:r w:rsidRPr="00C239D0">
        <w:t>2024.12.06</w:t>
      </w:r>
    </w:p>
    <w:p w14:paraId="602A3AC0" w14:textId="77777777" w:rsidR="0053400F" w:rsidRPr="00C239D0" w:rsidRDefault="0053400F" w:rsidP="0053400F">
      <w:pPr>
        <w:pStyle w:val="Rlit"/>
        <w:jc w:val="left"/>
      </w:pPr>
      <w:r w:rsidRPr="00C239D0">
        <w:t xml:space="preserve">Projekt </w:t>
      </w:r>
      <w:proofErr w:type="spellStart"/>
      <w:r w:rsidRPr="00C239D0">
        <w:t>uchwały</w:t>
      </w:r>
      <w:proofErr w:type="spellEnd"/>
      <w:r w:rsidRPr="00C239D0">
        <w:t xml:space="preserve"> Rady </w:t>
      </w:r>
      <w:proofErr w:type="spellStart"/>
      <w:r w:rsidRPr="00C239D0">
        <w:t>Ministrów</w:t>
      </w:r>
      <w:proofErr w:type="spellEnd"/>
      <w:r w:rsidRPr="00C239D0">
        <w:t xml:space="preserve"> w </w:t>
      </w:r>
      <w:proofErr w:type="spellStart"/>
      <w:r w:rsidRPr="00C239D0">
        <w:t>sprawie</w:t>
      </w:r>
      <w:proofErr w:type="spellEnd"/>
      <w:r w:rsidRPr="00C239D0">
        <w:t xml:space="preserve"> </w:t>
      </w:r>
      <w:proofErr w:type="spellStart"/>
      <w:r w:rsidRPr="00C239D0">
        <w:t>przyjęcia</w:t>
      </w:r>
      <w:proofErr w:type="spellEnd"/>
      <w:r w:rsidRPr="00C239D0">
        <w:t xml:space="preserve"> </w:t>
      </w:r>
      <w:proofErr w:type="spellStart"/>
      <w:r w:rsidRPr="00C239D0">
        <w:t>Strategii</w:t>
      </w:r>
      <w:proofErr w:type="spellEnd"/>
      <w:r w:rsidRPr="00C239D0">
        <w:t xml:space="preserve"> </w:t>
      </w:r>
      <w:proofErr w:type="spellStart"/>
      <w:r w:rsidRPr="00C239D0">
        <w:t>dla</w:t>
      </w:r>
      <w:proofErr w:type="spellEnd"/>
      <w:r w:rsidRPr="00C239D0">
        <w:t xml:space="preserve"> </w:t>
      </w:r>
      <w:proofErr w:type="spellStart"/>
      <w:r w:rsidRPr="00C239D0">
        <w:t>ciepłownictwa</w:t>
      </w:r>
      <w:proofErr w:type="spellEnd"/>
      <w:r w:rsidRPr="00C239D0">
        <w:t xml:space="preserve"> do 2030 r. z </w:t>
      </w:r>
      <w:proofErr w:type="spellStart"/>
      <w:r w:rsidRPr="00C239D0">
        <w:t>perspektywą</w:t>
      </w:r>
      <w:proofErr w:type="spellEnd"/>
      <w:r w:rsidRPr="00C239D0">
        <w:t xml:space="preserve"> do 2040 r. 2023. https://www.gov.pl/web/premier/projek-uchwaly-radyministrow-w-sprawie-przyjecia-strategii-dla-cieplownictwa-do-2030-r-z-perspektywado-2040-r2. </w:t>
      </w:r>
      <w:proofErr w:type="spellStart"/>
      <w:r w:rsidRPr="00C239D0">
        <w:t>Dostęp</w:t>
      </w:r>
      <w:proofErr w:type="spellEnd"/>
      <w:r w:rsidRPr="00C239D0">
        <w:t>: 20.09.2024 r.</w:t>
      </w:r>
    </w:p>
    <w:p w14:paraId="4F1CB809" w14:textId="77777777" w:rsidR="0053400F" w:rsidRPr="00C239D0" w:rsidRDefault="0053400F" w:rsidP="0053400F">
      <w:pPr>
        <w:pStyle w:val="Rlit"/>
      </w:pPr>
      <w:r w:rsidRPr="00C239D0">
        <w:t xml:space="preserve">PSE. </w:t>
      </w:r>
      <w:proofErr w:type="spellStart"/>
      <w:r w:rsidRPr="00C239D0">
        <w:t>Raport</w:t>
      </w:r>
      <w:proofErr w:type="spellEnd"/>
      <w:r w:rsidRPr="00C239D0">
        <w:t xml:space="preserve"> Polskie Sieci </w:t>
      </w:r>
      <w:proofErr w:type="spellStart"/>
      <w:r w:rsidRPr="00C239D0">
        <w:t>Energetyczne</w:t>
      </w:r>
      <w:proofErr w:type="spellEnd"/>
      <w:r w:rsidRPr="00C239D0">
        <w:t>. raporty.pse.pl</w:t>
      </w:r>
    </w:p>
    <w:p w14:paraId="1BCD0B69" w14:textId="77777777" w:rsidR="0053400F" w:rsidRPr="0053400F" w:rsidRDefault="0053400F" w:rsidP="0053400F">
      <w:pPr>
        <w:pStyle w:val="Rlit"/>
        <w:rPr>
          <w:spacing w:val="-4"/>
        </w:rPr>
      </w:pPr>
      <w:proofErr w:type="spellStart"/>
      <w:r w:rsidRPr="0053400F">
        <w:rPr>
          <w:spacing w:val="-4"/>
        </w:rPr>
        <w:t>Traktat</w:t>
      </w:r>
      <w:proofErr w:type="spellEnd"/>
      <w:r w:rsidRPr="0053400F">
        <w:rPr>
          <w:spacing w:val="-4"/>
        </w:rPr>
        <w:t xml:space="preserve"> o </w:t>
      </w:r>
      <w:proofErr w:type="spellStart"/>
      <w:r w:rsidRPr="0053400F">
        <w:rPr>
          <w:spacing w:val="-4"/>
        </w:rPr>
        <w:t>funkcjonowaniu</w:t>
      </w:r>
      <w:proofErr w:type="spellEnd"/>
      <w:r w:rsidRPr="0053400F">
        <w:rPr>
          <w:spacing w:val="-4"/>
        </w:rPr>
        <w:t xml:space="preserve"> </w:t>
      </w:r>
      <w:proofErr w:type="spellStart"/>
      <w:r w:rsidRPr="0053400F">
        <w:rPr>
          <w:spacing w:val="-4"/>
        </w:rPr>
        <w:t>Unii</w:t>
      </w:r>
      <w:proofErr w:type="spellEnd"/>
      <w:r w:rsidRPr="0053400F">
        <w:rPr>
          <w:spacing w:val="-4"/>
        </w:rPr>
        <w:t xml:space="preserve"> </w:t>
      </w:r>
      <w:proofErr w:type="spellStart"/>
      <w:r w:rsidRPr="0053400F">
        <w:rPr>
          <w:spacing w:val="-4"/>
        </w:rPr>
        <w:t>Europejskiej</w:t>
      </w:r>
      <w:proofErr w:type="spellEnd"/>
      <w:r w:rsidRPr="0053400F">
        <w:rPr>
          <w:spacing w:val="-4"/>
        </w:rPr>
        <w:t xml:space="preserve">. Rzym.1957.03.25. Dz.U.2004.90.864/2 z </w:t>
      </w:r>
      <w:proofErr w:type="spellStart"/>
      <w:r w:rsidRPr="0053400F">
        <w:rPr>
          <w:spacing w:val="-4"/>
        </w:rPr>
        <w:t>dnia</w:t>
      </w:r>
      <w:proofErr w:type="spellEnd"/>
      <w:r w:rsidRPr="0053400F">
        <w:rPr>
          <w:spacing w:val="-4"/>
        </w:rPr>
        <w:t xml:space="preserve"> 2004.04.30 art. 13, 39, 40, 107, 114, 169.</w:t>
      </w:r>
    </w:p>
    <w:p w14:paraId="243B8254" w14:textId="77777777" w:rsidR="0053400F" w:rsidRPr="00C239D0" w:rsidRDefault="0053400F" w:rsidP="0053400F">
      <w:pPr>
        <w:pStyle w:val="Rlit"/>
      </w:pPr>
      <w:proofErr w:type="spellStart"/>
      <w:r w:rsidRPr="00C239D0">
        <w:t>Ustawa</w:t>
      </w:r>
      <w:proofErr w:type="spellEnd"/>
      <w:r w:rsidRPr="00C239D0">
        <w:t xml:space="preserve"> z </w:t>
      </w:r>
      <w:proofErr w:type="spellStart"/>
      <w:r w:rsidRPr="00C239D0">
        <w:t>dnia</w:t>
      </w:r>
      <w:proofErr w:type="spellEnd"/>
      <w:r w:rsidRPr="00C239D0">
        <w:t xml:space="preserve"> 27 </w:t>
      </w:r>
      <w:proofErr w:type="spellStart"/>
      <w:r w:rsidRPr="00C239D0">
        <w:t>kwietnia</w:t>
      </w:r>
      <w:proofErr w:type="spellEnd"/>
      <w:r w:rsidRPr="00C239D0">
        <w:t xml:space="preserve"> 2001 r. </w:t>
      </w:r>
      <w:proofErr w:type="spellStart"/>
      <w:r w:rsidRPr="00C239D0">
        <w:t>Prawo</w:t>
      </w:r>
      <w:proofErr w:type="spellEnd"/>
      <w:r w:rsidRPr="00C239D0">
        <w:t xml:space="preserve"> </w:t>
      </w:r>
      <w:proofErr w:type="spellStart"/>
      <w:r w:rsidRPr="00C239D0">
        <w:t>ochrony</w:t>
      </w:r>
      <w:proofErr w:type="spellEnd"/>
      <w:r w:rsidRPr="00C239D0">
        <w:t xml:space="preserve"> </w:t>
      </w:r>
      <w:proofErr w:type="spellStart"/>
      <w:r w:rsidRPr="00C239D0">
        <w:t>środowiska</w:t>
      </w:r>
      <w:proofErr w:type="spellEnd"/>
      <w:r w:rsidRPr="00C239D0">
        <w:t>, [</w:t>
      </w:r>
      <w:proofErr w:type="spellStart"/>
      <w:r w:rsidRPr="00C239D0">
        <w:t>Dz.U</w:t>
      </w:r>
      <w:proofErr w:type="spellEnd"/>
      <w:r w:rsidRPr="00C239D0">
        <w:t xml:space="preserve">. 2001, nr 62, </w:t>
      </w:r>
      <w:proofErr w:type="spellStart"/>
      <w:r w:rsidRPr="00C239D0">
        <w:t>poz</w:t>
      </w:r>
      <w:proofErr w:type="spellEnd"/>
      <w:r w:rsidRPr="00C239D0">
        <w:t>. 627]</w:t>
      </w:r>
    </w:p>
    <w:p w14:paraId="3D7C01DB" w14:textId="77777777" w:rsidR="0053400F" w:rsidRPr="00C239D0" w:rsidRDefault="0053400F" w:rsidP="006C0BEA">
      <w:pPr>
        <w:pStyle w:val="Rlit"/>
      </w:pPr>
    </w:p>
    <w:sectPr w:rsidR="0053400F" w:rsidRPr="00C239D0" w:rsidSect="0079525D">
      <w:headerReference w:type="even" r:id="rId20"/>
      <w:headerReference w:type="default" r:id="rId21"/>
      <w:footerReference w:type="first" r:id="rId22"/>
      <w:pgSz w:w="11906" w:h="16838" w:code="9"/>
      <w:pgMar w:top="1134" w:right="1134" w:bottom="1134" w:left="1134" w:header="567" w:footer="567" w:gutter="0"/>
      <w:pgNumType w:start="79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273A3" w14:textId="77777777" w:rsidR="00692F33" w:rsidRDefault="00692F33" w:rsidP="007B19A9">
      <w:r>
        <w:separator/>
      </w:r>
    </w:p>
  </w:endnote>
  <w:endnote w:type="continuationSeparator" w:id="0">
    <w:p w14:paraId="4665E0E4" w14:textId="77777777" w:rsidR="00692F33" w:rsidRDefault="00692F33" w:rsidP="007B1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384"/>
      <w:gridCol w:w="5387"/>
    </w:tblGrid>
    <w:tr w:rsidR="007B19A9" w:rsidRPr="007A749A" w14:paraId="70651CE8" w14:textId="77777777" w:rsidTr="006C42BF">
      <w:trPr>
        <w:trHeight w:val="198"/>
      </w:trPr>
      <w:tc>
        <w:tcPr>
          <w:tcW w:w="1384" w:type="dxa"/>
          <w:vAlign w:val="center"/>
        </w:tcPr>
        <w:p w14:paraId="55E96BB1" w14:textId="77777777" w:rsidR="007B19A9" w:rsidRPr="007A749A" w:rsidRDefault="007B19A9" w:rsidP="007B19A9">
          <w:pPr>
            <w:ind w:left="-106" w:firstLine="0"/>
          </w:pPr>
          <w:bookmarkStart w:id="4" w:name="_Hlk104286226"/>
          <w:bookmarkStart w:id="5" w:name="_Hlk104286227"/>
          <w:bookmarkStart w:id="6" w:name="_Hlk154270864"/>
          <w:bookmarkStart w:id="7" w:name="_Hlk154270865"/>
          <w:r>
            <w:rPr>
              <w:noProof/>
              <w:lang w:val="en-GB" w:eastAsia="en-GB"/>
            </w:rPr>
            <w:drawing>
              <wp:inline distT="0" distB="0" distL="0" distR="0" wp14:anchorId="5BD45477" wp14:editId="7BB93C35">
                <wp:extent cx="690245" cy="235585"/>
                <wp:effectExtent l="0" t="0" r="0" b="0"/>
                <wp:docPr id="165875751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245" cy="235585"/>
                        </a:xfrm>
                        <a:prstGeom prst="rect">
                          <a:avLst/>
                        </a:prstGeom>
                        <a:noFill/>
                        <a:ln>
                          <a:noFill/>
                        </a:ln>
                      </pic:spPr>
                    </pic:pic>
                  </a:graphicData>
                </a:graphic>
              </wp:inline>
            </w:drawing>
          </w:r>
        </w:p>
      </w:tc>
      <w:tc>
        <w:tcPr>
          <w:tcW w:w="5387" w:type="dxa"/>
          <w:vAlign w:val="center"/>
        </w:tcPr>
        <w:p w14:paraId="76D54FD9" w14:textId="77777777" w:rsidR="007B19A9" w:rsidRPr="007A749A" w:rsidRDefault="007B19A9" w:rsidP="007B19A9">
          <w:pPr>
            <w:suppressAutoHyphens/>
            <w:ind w:left="-75" w:firstLine="0"/>
            <w:rPr>
              <w:sz w:val="18"/>
              <w:lang w:val="en-GB"/>
            </w:rPr>
          </w:pPr>
          <w:r w:rsidRPr="007A749A">
            <w:rPr>
              <w:sz w:val="18"/>
              <w:lang w:val="en-GB"/>
            </w:rPr>
            <w:t>© 2025. Author(s). This work is licensed under a Creative Commons Attribution 4.0 International License (CC BY-SA)</w:t>
          </w:r>
        </w:p>
      </w:tc>
    </w:tr>
    <w:bookmarkEnd w:id="4"/>
    <w:bookmarkEnd w:id="5"/>
    <w:bookmarkEnd w:id="6"/>
    <w:bookmarkEnd w:id="7"/>
  </w:tbl>
  <w:p w14:paraId="7212F1D4" w14:textId="77777777" w:rsidR="007B19A9" w:rsidRPr="007A749A" w:rsidRDefault="007B19A9" w:rsidP="007B19A9">
    <w:pPr>
      <w:pStyle w:val="Stopka"/>
      <w:ind w:firstLine="0"/>
      <w:rPr>
        <w:sz w:val="8"/>
        <w:szCs w:val="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DDE1C" w14:textId="77777777" w:rsidR="00692F33" w:rsidRDefault="00692F33" w:rsidP="007B19A9">
      <w:r>
        <w:separator/>
      </w:r>
    </w:p>
  </w:footnote>
  <w:footnote w:type="continuationSeparator" w:id="0">
    <w:p w14:paraId="3EE10461" w14:textId="77777777" w:rsidR="00692F33" w:rsidRDefault="00692F33" w:rsidP="007B1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bottom w:val="single" w:sz="8" w:space="0" w:color="auto"/>
      </w:tblBorders>
      <w:tblCellMar>
        <w:left w:w="0" w:type="dxa"/>
        <w:right w:w="0" w:type="dxa"/>
      </w:tblCellMar>
      <w:tblLook w:val="04A0" w:firstRow="1" w:lastRow="0" w:firstColumn="1" w:lastColumn="0" w:noHBand="0" w:noVBand="1"/>
    </w:tblPr>
    <w:tblGrid>
      <w:gridCol w:w="397"/>
      <w:gridCol w:w="9242"/>
    </w:tblGrid>
    <w:tr w:rsidR="007B19A9" w:rsidRPr="00855C77" w14:paraId="4C05F86B" w14:textId="77777777" w:rsidTr="006C42BF">
      <w:trPr>
        <w:trHeight w:hRule="exact" w:val="284"/>
      </w:trPr>
      <w:tc>
        <w:tcPr>
          <w:tcW w:w="397" w:type="dxa"/>
          <w:vAlign w:val="center"/>
        </w:tcPr>
        <w:p w14:paraId="0A9DCFA4" w14:textId="77777777" w:rsidR="007B19A9" w:rsidRPr="00855C77" w:rsidRDefault="007B19A9" w:rsidP="007B19A9">
          <w:pPr>
            <w:pStyle w:val="Nagwek"/>
            <w:ind w:firstLine="0"/>
            <w:rPr>
              <w:rFonts w:ascii="Arial" w:hAnsi="Arial" w:cs="Arial"/>
              <w:i/>
              <w:sz w:val="20"/>
              <w:lang w:val="en-GB"/>
            </w:rPr>
          </w:pPr>
          <w:r w:rsidRPr="00855C77">
            <w:rPr>
              <w:rFonts w:ascii="Arial" w:hAnsi="Arial" w:cs="Arial"/>
              <w:sz w:val="20"/>
              <w:lang w:val="en-GB"/>
            </w:rPr>
            <w:fldChar w:fldCharType="begin"/>
          </w:r>
          <w:r w:rsidRPr="00855C77">
            <w:rPr>
              <w:rFonts w:ascii="Arial" w:hAnsi="Arial" w:cs="Arial"/>
              <w:sz w:val="20"/>
              <w:lang w:val="en-GB"/>
            </w:rPr>
            <w:instrText xml:space="preserve"> PAGE   \* MERGEFORMAT </w:instrText>
          </w:r>
          <w:r w:rsidRPr="00855C77">
            <w:rPr>
              <w:rFonts w:ascii="Arial" w:hAnsi="Arial" w:cs="Arial"/>
              <w:sz w:val="20"/>
              <w:lang w:val="en-GB"/>
            </w:rPr>
            <w:fldChar w:fldCharType="separate"/>
          </w:r>
          <w:r>
            <w:rPr>
              <w:rFonts w:ascii="Arial" w:hAnsi="Arial" w:cs="Arial"/>
              <w:sz w:val="20"/>
              <w:lang w:val="en-GB"/>
            </w:rPr>
            <w:t>2</w:t>
          </w:r>
          <w:r w:rsidRPr="00855C77">
            <w:rPr>
              <w:rFonts w:ascii="Arial" w:hAnsi="Arial" w:cs="Arial"/>
              <w:sz w:val="20"/>
              <w:lang w:val="en-GB"/>
            </w:rPr>
            <w:fldChar w:fldCharType="end"/>
          </w:r>
        </w:p>
      </w:tc>
      <w:tc>
        <w:tcPr>
          <w:tcW w:w="9242" w:type="dxa"/>
          <w:vAlign w:val="center"/>
        </w:tcPr>
        <w:p w14:paraId="63338F1B" w14:textId="6FC559B5" w:rsidR="007B19A9" w:rsidRPr="00361064" w:rsidRDefault="00AB77DF" w:rsidP="007B19A9">
          <w:pPr>
            <w:pStyle w:val="Nagwek"/>
            <w:ind w:firstLine="0"/>
            <w:jc w:val="center"/>
            <w:rPr>
              <w:rFonts w:ascii="Arial" w:hAnsi="Arial" w:cs="Arial"/>
              <w:i/>
              <w:sz w:val="20"/>
            </w:rPr>
          </w:pPr>
          <w:r w:rsidRPr="00AB77DF">
            <w:rPr>
              <w:rFonts w:ascii="Arial" w:hAnsi="Arial" w:cs="Arial"/>
              <w:i/>
              <w:sz w:val="20"/>
            </w:rPr>
            <w:t>Marcin Olkiewicz, Joanna Alicja Dyczkowska</w:t>
          </w:r>
        </w:p>
      </w:tc>
    </w:tr>
  </w:tbl>
  <w:p w14:paraId="1C17F325" w14:textId="77777777" w:rsidR="007B19A9" w:rsidRPr="00E90ABA" w:rsidRDefault="007B19A9" w:rsidP="007B19A9">
    <w:pPr>
      <w:pStyle w:val="Nagwek"/>
      <w:ind w:firstLine="0"/>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jc w:val="right"/>
      <w:tblBorders>
        <w:bottom w:val="single" w:sz="8" w:space="0" w:color="auto"/>
      </w:tblBorders>
      <w:tblCellMar>
        <w:left w:w="0" w:type="dxa"/>
        <w:right w:w="0" w:type="dxa"/>
      </w:tblCellMar>
      <w:tblLook w:val="04A0" w:firstRow="1" w:lastRow="0" w:firstColumn="1" w:lastColumn="0" w:noHBand="0" w:noVBand="1"/>
    </w:tblPr>
    <w:tblGrid>
      <w:gridCol w:w="9243"/>
      <w:gridCol w:w="397"/>
    </w:tblGrid>
    <w:tr w:rsidR="00B6572D" w:rsidRPr="00855C77" w14:paraId="4F42A9C6" w14:textId="77777777" w:rsidTr="006C42BF">
      <w:trPr>
        <w:trHeight w:hRule="exact" w:val="284"/>
        <w:jc w:val="right"/>
      </w:trPr>
      <w:tc>
        <w:tcPr>
          <w:tcW w:w="9243" w:type="dxa"/>
          <w:vAlign w:val="center"/>
        </w:tcPr>
        <w:p w14:paraId="11DFDB39" w14:textId="08D97988" w:rsidR="00B6572D" w:rsidRPr="00855C77" w:rsidRDefault="008D1C8F" w:rsidP="00B6572D">
          <w:pPr>
            <w:pStyle w:val="Nagwek"/>
            <w:ind w:firstLine="0"/>
            <w:jc w:val="center"/>
            <w:rPr>
              <w:rFonts w:ascii="Arial" w:hAnsi="Arial" w:cs="Arial"/>
              <w:i/>
              <w:sz w:val="20"/>
              <w:szCs w:val="12"/>
              <w:lang w:val="en-GB"/>
            </w:rPr>
          </w:pPr>
          <w:r w:rsidRPr="008D1C8F">
            <w:rPr>
              <w:rFonts w:ascii="Arial" w:hAnsi="Arial" w:cs="Arial"/>
              <w:i/>
              <w:sz w:val="20"/>
              <w:szCs w:val="12"/>
              <w:lang w:val="en-GB"/>
            </w:rPr>
            <w:t xml:space="preserve">The Importance of Environmental Protection in Identifying Consumer </w:t>
          </w:r>
          <w:proofErr w:type="spellStart"/>
          <w:r w:rsidRPr="008D1C8F">
            <w:rPr>
              <w:rFonts w:ascii="Arial" w:hAnsi="Arial" w:cs="Arial"/>
              <w:i/>
              <w:sz w:val="20"/>
              <w:szCs w:val="12"/>
              <w:lang w:val="en-GB"/>
            </w:rPr>
            <w:t>Behavior</w:t>
          </w:r>
          <w:proofErr w:type="spellEnd"/>
          <w:r w:rsidR="00B6572D">
            <w:rPr>
              <w:rFonts w:ascii="Arial" w:hAnsi="Arial" w:cs="Arial"/>
              <w:i/>
              <w:sz w:val="20"/>
              <w:szCs w:val="12"/>
              <w:lang w:val="en-GB"/>
            </w:rPr>
            <w:t>…</w:t>
          </w:r>
        </w:p>
      </w:tc>
      <w:tc>
        <w:tcPr>
          <w:tcW w:w="397" w:type="dxa"/>
          <w:vAlign w:val="center"/>
        </w:tcPr>
        <w:p w14:paraId="53E9E6A8" w14:textId="77777777" w:rsidR="00B6572D" w:rsidRPr="00855C77" w:rsidRDefault="00B6572D" w:rsidP="00B6572D">
          <w:pPr>
            <w:pStyle w:val="Nagwek"/>
            <w:ind w:firstLine="0"/>
            <w:jc w:val="right"/>
            <w:rPr>
              <w:rFonts w:ascii="Arial" w:hAnsi="Arial" w:cs="Arial"/>
              <w:i/>
              <w:sz w:val="20"/>
              <w:szCs w:val="12"/>
              <w:lang w:val="en-GB"/>
            </w:rPr>
          </w:pPr>
          <w:r w:rsidRPr="00855C77">
            <w:rPr>
              <w:rFonts w:ascii="Arial" w:hAnsi="Arial" w:cs="Arial"/>
              <w:sz w:val="20"/>
              <w:szCs w:val="12"/>
              <w:lang w:val="en-GB"/>
            </w:rPr>
            <w:fldChar w:fldCharType="begin"/>
          </w:r>
          <w:r w:rsidRPr="00855C77">
            <w:rPr>
              <w:rFonts w:ascii="Arial" w:hAnsi="Arial" w:cs="Arial"/>
              <w:sz w:val="20"/>
              <w:szCs w:val="12"/>
              <w:lang w:val="en-GB"/>
            </w:rPr>
            <w:instrText xml:space="preserve"> PAGE   \* MERGEFORMAT </w:instrText>
          </w:r>
          <w:r w:rsidRPr="00855C77">
            <w:rPr>
              <w:rFonts w:ascii="Arial" w:hAnsi="Arial" w:cs="Arial"/>
              <w:sz w:val="20"/>
              <w:szCs w:val="12"/>
              <w:lang w:val="en-GB"/>
            </w:rPr>
            <w:fldChar w:fldCharType="separate"/>
          </w:r>
          <w:r>
            <w:rPr>
              <w:rFonts w:ascii="Arial" w:hAnsi="Arial" w:cs="Arial"/>
              <w:sz w:val="20"/>
              <w:szCs w:val="12"/>
              <w:lang w:val="en-GB"/>
            </w:rPr>
            <w:t>3</w:t>
          </w:r>
          <w:r w:rsidRPr="00855C77">
            <w:rPr>
              <w:rFonts w:ascii="Arial" w:hAnsi="Arial" w:cs="Arial"/>
              <w:sz w:val="20"/>
              <w:szCs w:val="12"/>
              <w:lang w:val="en-GB"/>
            </w:rPr>
            <w:fldChar w:fldCharType="end"/>
          </w:r>
        </w:p>
      </w:tc>
    </w:tr>
  </w:tbl>
  <w:p w14:paraId="4B77FC9A" w14:textId="77777777" w:rsidR="00B6572D" w:rsidRPr="00007E12" w:rsidRDefault="00B6572D" w:rsidP="00B6572D">
    <w:pPr>
      <w:pStyle w:val="Nagwek"/>
      <w:ind w:firstLine="0"/>
      <w:rPr>
        <w:rFonts w:ascii="Arial" w:hAnsi="Arial" w:cs="Arial"/>
        <w:sz w:val="6"/>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09AE"/>
    <w:multiLevelType w:val="hybridMultilevel"/>
    <w:tmpl w:val="2806E744"/>
    <w:lvl w:ilvl="0" w:tplc="85826D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3C9008F"/>
    <w:multiLevelType w:val="hybridMultilevel"/>
    <w:tmpl w:val="296C8E92"/>
    <w:lvl w:ilvl="0" w:tplc="85826D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2AA3873"/>
    <w:multiLevelType w:val="hybridMultilevel"/>
    <w:tmpl w:val="997E18CA"/>
    <w:lvl w:ilvl="0" w:tplc="85826D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B2461AE"/>
    <w:multiLevelType w:val="hybridMultilevel"/>
    <w:tmpl w:val="2C4CB2D6"/>
    <w:lvl w:ilvl="0" w:tplc="85826D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5EA2C2A"/>
    <w:multiLevelType w:val="hybridMultilevel"/>
    <w:tmpl w:val="0F1AD84E"/>
    <w:lvl w:ilvl="0" w:tplc="85826D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2E77EFD"/>
    <w:multiLevelType w:val="hybridMultilevel"/>
    <w:tmpl w:val="FE5EF3D4"/>
    <w:lvl w:ilvl="0" w:tplc="85826D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63420691">
    <w:abstractNumId w:val="1"/>
  </w:num>
  <w:num w:numId="2" w16cid:durableId="2025479430">
    <w:abstractNumId w:val="4"/>
  </w:num>
  <w:num w:numId="3" w16cid:durableId="1398670338">
    <w:abstractNumId w:val="5"/>
  </w:num>
  <w:num w:numId="4" w16cid:durableId="1694569641">
    <w:abstractNumId w:val="2"/>
  </w:num>
  <w:num w:numId="5" w16cid:durableId="246116816">
    <w:abstractNumId w:val="3"/>
  </w:num>
  <w:num w:numId="6" w16cid:durableId="490216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mirrorMargins/>
  <w:hideSpellingErrors/>
  <w:hideGrammaticalErrors/>
  <w:proofState w:spelling="clean"/>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QwN7SwNLY0NjAyMzJQ0lEKTi0uzszPAykwrAUAe2uANiwAAAA="/>
  </w:docVars>
  <w:rsids>
    <w:rsidRoot w:val="00EB1394"/>
    <w:rsid w:val="000A1721"/>
    <w:rsid w:val="000E23F9"/>
    <w:rsid w:val="000F5EB5"/>
    <w:rsid w:val="00126989"/>
    <w:rsid w:val="001341A4"/>
    <w:rsid w:val="00144CF7"/>
    <w:rsid w:val="0015238F"/>
    <w:rsid w:val="00191A53"/>
    <w:rsid w:val="001A2066"/>
    <w:rsid w:val="001B3A67"/>
    <w:rsid w:val="001B52EF"/>
    <w:rsid w:val="001B6663"/>
    <w:rsid w:val="001F6987"/>
    <w:rsid w:val="00226407"/>
    <w:rsid w:val="00240C29"/>
    <w:rsid w:val="00267871"/>
    <w:rsid w:val="002F5ED3"/>
    <w:rsid w:val="00311951"/>
    <w:rsid w:val="0031206D"/>
    <w:rsid w:val="00355A85"/>
    <w:rsid w:val="00356ABB"/>
    <w:rsid w:val="00397526"/>
    <w:rsid w:val="00397FEA"/>
    <w:rsid w:val="0045307E"/>
    <w:rsid w:val="00481B6E"/>
    <w:rsid w:val="00484D07"/>
    <w:rsid w:val="00495DE8"/>
    <w:rsid w:val="0053400F"/>
    <w:rsid w:val="005471CA"/>
    <w:rsid w:val="0057216B"/>
    <w:rsid w:val="005B7294"/>
    <w:rsid w:val="005E1BF6"/>
    <w:rsid w:val="0060092E"/>
    <w:rsid w:val="00610B00"/>
    <w:rsid w:val="006322C6"/>
    <w:rsid w:val="00677601"/>
    <w:rsid w:val="00687600"/>
    <w:rsid w:val="00692F33"/>
    <w:rsid w:val="006A3748"/>
    <w:rsid w:val="006C0BEA"/>
    <w:rsid w:val="006F4EA3"/>
    <w:rsid w:val="007067E1"/>
    <w:rsid w:val="00713761"/>
    <w:rsid w:val="00725D20"/>
    <w:rsid w:val="0072775A"/>
    <w:rsid w:val="007624C4"/>
    <w:rsid w:val="00764996"/>
    <w:rsid w:val="00767E57"/>
    <w:rsid w:val="0079525D"/>
    <w:rsid w:val="007B19A9"/>
    <w:rsid w:val="007C30AC"/>
    <w:rsid w:val="007D5DBA"/>
    <w:rsid w:val="0081383D"/>
    <w:rsid w:val="00827E74"/>
    <w:rsid w:val="00852C49"/>
    <w:rsid w:val="008746B3"/>
    <w:rsid w:val="008A40EA"/>
    <w:rsid w:val="008A7A74"/>
    <w:rsid w:val="008C6D1E"/>
    <w:rsid w:val="008D1C8F"/>
    <w:rsid w:val="0090015F"/>
    <w:rsid w:val="009435BE"/>
    <w:rsid w:val="009B6FCA"/>
    <w:rsid w:val="00A259E3"/>
    <w:rsid w:val="00A54C38"/>
    <w:rsid w:val="00AA4B76"/>
    <w:rsid w:val="00AB77DF"/>
    <w:rsid w:val="00AC5A32"/>
    <w:rsid w:val="00AE12E0"/>
    <w:rsid w:val="00B21687"/>
    <w:rsid w:val="00B227AB"/>
    <w:rsid w:val="00B6572D"/>
    <w:rsid w:val="00B85916"/>
    <w:rsid w:val="00C05B3C"/>
    <w:rsid w:val="00C1507D"/>
    <w:rsid w:val="00C239D0"/>
    <w:rsid w:val="00C631F0"/>
    <w:rsid w:val="00C81AF6"/>
    <w:rsid w:val="00C978F3"/>
    <w:rsid w:val="00CB00CC"/>
    <w:rsid w:val="00CB7716"/>
    <w:rsid w:val="00CE46B1"/>
    <w:rsid w:val="00CF6D3B"/>
    <w:rsid w:val="00D50DB0"/>
    <w:rsid w:val="00D55834"/>
    <w:rsid w:val="00D70F98"/>
    <w:rsid w:val="00D81302"/>
    <w:rsid w:val="00D82715"/>
    <w:rsid w:val="00D953CE"/>
    <w:rsid w:val="00E10A59"/>
    <w:rsid w:val="00E31763"/>
    <w:rsid w:val="00E32ED4"/>
    <w:rsid w:val="00EB1394"/>
    <w:rsid w:val="00EE13DC"/>
    <w:rsid w:val="00F04F0C"/>
    <w:rsid w:val="00F574C1"/>
    <w:rsid w:val="00F70FFB"/>
    <w:rsid w:val="00FC31D0"/>
    <w:rsid w:val="00FC57A5"/>
    <w:rsid w:val="00FE45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209E2"/>
  <w15:chartTrackingRefBased/>
  <w15:docId w15:val="{D00E8329-E788-46CF-882B-016A26814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39D0"/>
    <w:pPr>
      <w:spacing w:after="0" w:line="240" w:lineRule="auto"/>
      <w:ind w:firstLine="284"/>
      <w:jc w:val="both"/>
    </w:pPr>
    <w:rPr>
      <w:rFonts w:ascii="Times New Roman" w:hAnsi="Times New Roman"/>
    </w:rPr>
  </w:style>
  <w:style w:type="paragraph" w:styleId="Nagwek1">
    <w:name w:val="heading 1"/>
    <w:basedOn w:val="Normalny"/>
    <w:next w:val="Normalny"/>
    <w:link w:val="Nagwek1Znak"/>
    <w:uiPriority w:val="9"/>
    <w:rsid w:val="00725D2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rsid w:val="00725D2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725D2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semiHidden/>
    <w:unhideWhenUsed/>
    <w:qFormat/>
    <w:rsid w:val="00725D20"/>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725D20"/>
    <w:pPr>
      <w:keepNext/>
      <w:keepLines/>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725D20"/>
    <w:pPr>
      <w:keepNext/>
      <w:keepLines/>
      <w:spacing w:before="4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EB1394"/>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EB1394"/>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EB1394"/>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ab1">
    <w:name w:val="R_ab1"/>
    <w:next w:val="Normalny"/>
    <w:autoRedefine/>
    <w:qFormat/>
    <w:rsid w:val="00356ABB"/>
    <w:pPr>
      <w:suppressAutoHyphens/>
      <w:spacing w:before="120" w:after="0" w:line="240" w:lineRule="auto"/>
      <w:ind w:left="567" w:right="567"/>
      <w:jc w:val="both"/>
    </w:pPr>
    <w:rPr>
      <w:rFonts w:ascii="Times New Roman" w:eastAsia="SimSun" w:hAnsi="Times New Roman" w:cs="Times New Roman"/>
      <w:sz w:val="18"/>
      <w:szCs w:val="20"/>
      <w:lang w:val="en-GB" w:eastAsia="pl-PL"/>
    </w:rPr>
  </w:style>
  <w:style w:type="paragraph" w:customStyle="1" w:styleId="Rab2">
    <w:name w:val="R_ab2"/>
    <w:basedOn w:val="Rab1"/>
    <w:next w:val="Normalny"/>
    <w:autoRedefine/>
    <w:qFormat/>
    <w:rsid w:val="007B19A9"/>
    <w:pPr>
      <w:spacing w:before="60"/>
      <w:jc w:val="left"/>
    </w:pPr>
  </w:style>
  <w:style w:type="paragraph" w:customStyle="1" w:styleId="Rafiliacja">
    <w:name w:val="R_afiliacja"/>
    <w:basedOn w:val="Normalny"/>
    <w:link w:val="RafiliacjaZnak"/>
    <w:qFormat/>
    <w:rsid w:val="00356ABB"/>
    <w:pPr>
      <w:suppressAutoHyphens/>
      <w:ind w:firstLine="0"/>
      <w:jc w:val="center"/>
    </w:pPr>
    <w:rPr>
      <w:rFonts w:cs="Times New Roman"/>
      <w:i/>
      <w:sz w:val="20"/>
      <w:szCs w:val="28"/>
    </w:rPr>
  </w:style>
  <w:style w:type="character" w:customStyle="1" w:styleId="RafiliacjaZnak">
    <w:name w:val="R_afiliacja Znak"/>
    <w:basedOn w:val="Domylnaczcionkaakapitu"/>
    <w:link w:val="Rafiliacja"/>
    <w:rsid w:val="00356ABB"/>
    <w:rPr>
      <w:rFonts w:ascii="Times New Roman" w:hAnsi="Times New Roman" w:cs="Times New Roman"/>
      <w:i/>
      <w:sz w:val="20"/>
      <w:szCs w:val="28"/>
    </w:rPr>
  </w:style>
  <w:style w:type="paragraph" w:customStyle="1" w:styleId="Rauco">
    <w:name w:val="R_au_co"/>
    <w:basedOn w:val="Rafiliacja"/>
    <w:autoRedefine/>
    <w:qFormat/>
    <w:rsid w:val="00356ABB"/>
    <w:pPr>
      <w:spacing w:before="120"/>
    </w:pPr>
    <w:rPr>
      <w:lang w:val="en-GB"/>
    </w:rPr>
  </w:style>
  <w:style w:type="paragraph" w:customStyle="1" w:styleId="Rn1">
    <w:name w:val="R_n1"/>
    <w:basedOn w:val="Normalny"/>
    <w:link w:val="Rn1Znak"/>
    <w:qFormat/>
    <w:rsid w:val="00356ABB"/>
    <w:pPr>
      <w:suppressAutoHyphens/>
      <w:spacing w:before="240" w:after="120"/>
      <w:ind w:firstLine="0"/>
    </w:pPr>
    <w:rPr>
      <w:b/>
      <w:sz w:val="24"/>
    </w:rPr>
  </w:style>
  <w:style w:type="character" w:customStyle="1" w:styleId="Rn1Znak">
    <w:name w:val="R_n1 Znak"/>
    <w:basedOn w:val="Domylnaczcionkaakapitu"/>
    <w:link w:val="Rn1"/>
    <w:rsid w:val="00356ABB"/>
    <w:rPr>
      <w:rFonts w:ascii="Times New Roman" w:hAnsi="Times New Roman"/>
      <w:b/>
      <w:sz w:val="24"/>
    </w:rPr>
  </w:style>
  <w:style w:type="paragraph" w:customStyle="1" w:styleId="Rn2">
    <w:name w:val="R_n2"/>
    <w:basedOn w:val="Rn1"/>
    <w:link w:val="Rn2Znak"/>
    <w:qFormat/>
    <w:rsid w:val="00356ABB"/>
    <w:pPr>
      <w:spacing w:before="120"/>
      <w:jc w:val="left"/>
    </w:pPr>
    <w:rPr>
      <w:sz w:val="22"/>
    </w:rPr>
  </w:style>
  <w:style w:type="character" w:customStyle="1" w:styleId="Rn2Znak">
    <w:name w:val="R_n2 Znak"/>
    <w:link w:val="Rn2"/>
    <w:rsid w:val="00356ABB"/>
    <w:rPr>
      <w:rFonts w:ascii="Times New Roman" w:hAnsi="Times New Roman"/>
      <w:b/>
    </w:rPr>
  </w:style>
  <w:style w:type="paragraph" w:customStyle="1" w:styleId="Rtytu">
    <w:name w:val="R_tytuł"/>
    <w:basedOn w:val="Rn2"/>
    <w:link w:val="RtytuZnak"/>
    <w:autoRedefine/>
    <w:qFormat/>
    <w:rsid w:val="00356ABB"/>
    <w:pPr>
      <w:spacing w:before="240" w:after="0"/>
      <w:jc w:val="center"/>
    </w:pPr>
    <w:rPr>
      <w:sz w:val="24"/>
      <w:szCs w:val="28"/>
    </w:rPr>
  </w:style>
  <w:style w:type="character" w:customStyle="1" w:styleId="RtytuZnak">
    <w:name w:val="R_tytuł Znak"/>
    <w:basedOn w:val="Rn2Znak"/>
    <w:link w:val="Rtytu"/>
    <w:rsid w:val="00356ABB"/>
    <w:rPr>
      <w:rFonts w:ascii="Times New Roman" w:hAnsi="Times New Roman"/>
      <w:b/>
      <w:sz w:val="24"/>
      <w:szCs w:val="28"/>
    </w:rPr>
  </w:style>
  <w:style w:type="paragraph" w:customStyle="1" w:styleId="Rautor">
    <w:name w:val="R_autor"/>
    <w:basedOn w:val="Rtytu"/>
    <w:link w:val="RautorZnak"/>
    <w:autoRedefine/>
    <w:qFormat/>
    <w:rsid w:val="00356ABB"/>
    <w:pPr>
      <w:spacing w:before="120"/>
    </w:pPr>
    <w:rPr>
      <w:rFonts w:eastAsia="Calibri" w:cs="Times New Roman"/>
      <w:b w:val="0"/>
      <w:i/>
    </w:rPr>
  </w:style>
  <w:style w:type="character" w:customStyle="1" w:styleId="RautorZnak">
    <w:name w:val="R_autor Znak"/>
    <w:link w:val="Rautor"/>
    <w:rsid w:val="00356ABB"/>
    <w:rPr>
      <w:rFonts w:ascii="Times New Roman" w:eastAsia="Calibri" w:hAnsi="Times New Roman" w:cs="Times New Roman"/>
      <w:i/>
      <w:sz w:val="24"/>
      <w:szCs w:val="28"/>
    </w:rPr>
  </w:style>
  <w:style w:type="paragraph" w:customStyle="1" w:styleId="Rlit">
    <w:name w:val="R_lit"/>
    <w:basedOn w:val="Normalny"/>
    <w:link w:val="RlitZnak"/>
    <w:qFormat/>
    <w:rsid w:val="00356ABB"/>
    <w:pPr>
      <w:ind w:left="425" w:hanging="425"/>
    </w:pPr>
    <w:rPr>
      <w:rFonts w:eastAsia="Times New Roman" w:cs="Times New Roman"/>
      <w:sz w:val="20"/>
      <w:szCs w:val="20"/>
      <w:lang w:val="en-US" w:eastAsia="pl-PL"/>
    </w:rPr>
  </w:style>
  <w:style w:type="character" w:customStyle="1" w:styleId="RlitZnak">
    <w:name w:val="R_lit Znak"/>
    <w:basedOn w:val="Domylnaczcionkaakapitu"/>
    <w:link w:val="Rlit"/>
    <w:rsid w:val="00356ABB"/>
    <w:rPr>
      <w:rFonts w:ascii="Times New Roman" w:eastAsia="Times New Roman" w:hAnsi="Times New Roman" w:cs="Times New Roman"/>
      <w:sz w:val="20"/>
      <w:szCs w:val="20"/>
      <w:lang w:val="en-US" w:eastAsia="pl-PL"/>
    </w:rPr>
  </w:style>
  <w:style w:type="paragraph" w:customStyle="1" w:styleId="Rtab">
    <w:name w:val="R_tab"/>
    <w:basedOn w:val="Normalny"/>
    <w:link w:val="RtabZnak"/>
    <w:qFormat/>
    <w:rsid w:val="00356ABB"/>
    <w:pPr>
      <w:suppressAutoHyphens/>
      <w:spacing w:after="120"/>
      <w:ind w:firstLine="0"/>
    </w:pPr>
    <w:rPr>
      <w:sz w:val="20"/>
    </w:rPr>
  </w:style>
  <w:style w:type="character" w:customStyle="1" w:styleId="RtabZnak">
    <w:name w:val="R_tab Znak"/>
    <w:basedOn w:val="Domylnaczcionkaakapitu"/>
    <w:link w:val="Rtab"/>
    <w:rsid w:val="00356ABB"/>
    <w:rPr>
      <w:rFonts w:ascii="Times New Roman" w:hAnsi="Times New Roman"/>
      <w:sz w:val="20"/>
    </w:rPr>
  </w:style>
  <w:style w:type="paragraph" w:customStyle="1" w:styleId="Rn3">
    <w:name w:val="R_n3"/>
    <w:basedOn w:val="Rtab"/>
    <w:link w:val="Rn3Znak"/>
    <w:autoRedefine/>
    <w:qFormat/>
    <w:rsid w:val="00397526"/>
    <w:pPr>
      <w:spacing w:before="120"/>
    </w:pPr>
    <w:rPr>
      <w:i/>
    </w:rPr>
  </w:style>
  <w:style w:type="character" w:customStyle="1" w:styleId="Rn3Znak">
    <w:name w:val="R_n3 Znak"/>
    <w:basedOn w:val="RtabZnak"/>
    <w:link w:val="Rn3"/>
    <w:rsid w:val="00397526"/>
    <w:rPr>
      <w:rFonts w:ascii="Times New Roman" w:hAnsi="Times New Roman"/>
      <w:i/>
      <w:sz w:val="20"/>
    </w:rPr>
  </w:style>
  <w:style w:type="paragraph" w:customStyle="1" w:styleId="Rrys">
    <w:name w:val="R_rys"/>
    <w:basedOn w:val="Rafiliacja"/>
    <w:link w:val="RrysZnak"/>
    <w:qFormat/>
    <w:rsid w:val="00356ABB"/>
    <w:pPr>
      <w:spacing w:before="120"/>
      <w:jc w:val="left"/>
    </w:pPr>
    <w:rPr>
      <w:i w:val="0"/>
    </w:rPr>
  </w:style>
  <w:style w:type="paragraph" w:customStyle="1" w:styleId="Wn2">
    <w:name w:val="W_n2"/>
    <w:basedOn w:val="Normalny"/>
    <w:link w:val="Wn2Znak"/>
    <w:qFormat/>
    <w:rsid w:val="00767E57"/>
    <w:pPr>
      <w:spacing w:before="360" w:after="80" w:line="312" w:lineRule="auto"/>
    </w:pPr>
    <w:rPr>
      <w:rFonts w:eastAsia="Calibri"/>
      <w:b/>
      <w:sz w:val="26"/>
      <w:szCs w:val="52"/>
      <w:lang w:val="x-none"/>
    </w:rPr>
  </w:style>
  <w:style w:type="character" w:customStyle="1" w:styleId="Wn2Znak">
    <w:name w:val="W_n2 Znak"/>
    <w:link w:val="Wn2"/>
    <w:rsid w:val="00767E57"/>
    <w:rPr>
      <w:rFonts w:ascii="Times New Roman" w:eastAsia="Calibri" w:hAnsi="Times New Roman" w:cs="Times New Roman"/>
      <w:b/>
      <w:sz w:val="26"/>
      <w:szCs w:val="52"/>
      <w:lang w:val="x-none"/>
    </w:rPr>
  </w:style>
  <w:style w:type="paragraph" w:customStyle="1" w:styleId="Wn3">
    <w:name w:val="W_n3"/>
    <w:basedOn w:val="Akapitzlist"/>
    <w:link w:val="Wn3Znak"/>
    <w:qFormat/>
    <w:rsid w:val="00767E57"/>
    <w:pPr>
      <w:tabs>
        <w:tab w:val="left" w:pos="1134"/>
      </w:tabs>
      <w:spacing w:before="240" w:after="40"/>
      <w:ind w:left="0"/>
      <w:contextualSpacing w:val="0"/>
    </w:pPr>
    <w:rPr>
      <w:rFonts w:eastAsia="Calibri"/>
      <w:b/>
      <w:sz w:val="24"/>
      <w:szCs w:val="26"/>
      <w:lang w:val="x-none"/>
    </w:rPr>
  </w:style>
  <w:style w:type="character" w:customStyle="1" w:styleId="Wn3Znak">
    <w:name w:val="W_n3 Znak"/>
    <w:link w:val="Wn3"/>
    <w:rsid w:val="00767E57"/>
    <w:rPr>
      <w:rFonts w:ascii="Times New Roman" w:eastAsia="Calibri" w:hAnsi="Times New Roman" w:cs="Times New Roman"/>
      <w:b/>
      <w:sz w:val="24"/>
      <w:szCs w:val="26"/>
      <w:lang w:val="x-none"/>
    </w:rPr>
  </w:style>
  <w:style w:type="paragraph" w:styleId="Akapitzlist">
    <w:name w:val="List Paragraph"/>
    <w:basedOn w:val="Normalny"/>
    <w:uiPriority w:val="34"/>
    <w:rsid w:val="00725D20"/>
    <w:pPr>
      <w:ind w:left="720"/>
      <w:contextualSpacing/>
    </w:pPr>
  </w:style>
  <w:style w:type="paragraph" w:customStyle="1" w:styleId="Wn1">
    <w:name w:val="W_n1"/>
    <w:basedOn w:val="Normalny"/>
    <w:link w:val="Wn1Znak"/>
    <w:qFormat/>
    <w:rsid w:val="002F5ED3"/>
    <w:pPr>
      <w:spacing w:before="720" w:after="480"/>
    </w:pPr>
    <w:rPr>
      <w:rFonts w:eastAsia="Calibri"/>
      <w:b/>
      <w:sz w:val="30"/>
      <w:szCs w:val="24"/>
      <w:lang w:val="x-none"/>
    </w:rPr>
  </w:style>
  <w:style w:type="character" w:customStyle="1" w:styleId="Wn1Znak">
    <w:name w:val="W_n1 Znak"/>
    <w:link w:val="Wn1"/>
    <w:rsid w:val="002F5ED3"/>
    <w:rPr>
      <w:rFonts w:ascii="Times New Roman" w:eastAsia="Calibri" w:hAnsi="Times New Roman" w:cs="Times New Roman"/>
      <w:b/>
      <w:sz w:val="30"/>
      <w:szCs w:val="24"/>
      <w:lang w:val="x-none"/>
    </w:rPr>
  </w:style>
  <w:style w:type="paragraph" w:customStyle="1" w:styleId="Wrys">
    <w:name w:val="W_rys"/>
    <w:basedOn w:val="Normalny"/>
    <w:link w:val="WrysZnak"/>
    <w:qFormat/>
    <w:rsid w:val="00356ABB"/>
    <w:pPr>
      <w:spacing w:before="120"/>
    </w:pPr>
    <w:rPr>
      <w:rFonts w:eastAsia="Calibri"/>
      <w:i/>
    </w:rPr>
  </w:style>
  <w:style w:type="character" w:customStyle="1" w:styleId="WrysZnak">
    <w:name w:val="W_rys Znak"/>
    <w:basedOn w:val="Domylnaczcionkaakapitu"/>
    <w:link w:val="Wrys"/>
    <w:rsid w:val="00356ABB"/>
    <w:rPr>
      <w:rFonts w:ascii="Times New Roman" w:eastAsia="Calibri" w:hAnsi="Times New Roman" w:cs="Times New Roman"/>
      <w:i/>
      <w:sz w:val="20"/>
      <w:szCs w:val="22"/>
    </w:rPr>
  </w:style>
  <w:style w:type="paragraph" w:customStyle="1" w:styleId="Wtab">
    <w:name w:val="W_tab"/>
    <w:basedOn w:val="Normalny"/>
    <w:link w:val="WtabZnak"/>
    <w:qFormat/>
    <w:rsid w:val="00311951"/>
    <w:pPr>
      <w:suppressAutoHyphens/>
      <w:spacing w:after="120"/>
    </w:pPr>
    <w:rPr>
      <w:sz w:val="20"/>
    </w:rPr>
  </w:style>
  <w:style w:type="character" w:customStyle="1" w:styleId="WtabZnak">
    <w:name w:val="W_tab Znak"/>
    <w:basedOn w:val="Domylnaczcionkaakapitu"/>
    <w:link w:val="Wtab"/>
    <w:rsid w:val="00311951"/>
    <w:rPr>
      <w:rFonts w:ascii="Times New Roman" w:hAnsi="Times New Roman"/>
      <w:sz w:val="20"/>
    </w:rPr>
  </w:style>
  <w:style w:type="character" w:customStyle="1" w:styleId="Nagwek1Znak">
    <w:name w:val="Nagłówek 1 Znak"/>
    <w:basedOn w:val="Domylnaczcionkaakapitu"/>
    <w:link w:val="Nagwek1"/>
    <w:uiPriority w:val="9"/>
    <w:rsid w:val="00725D20"/>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semiHidden/>
    <w:rsid w:val="00725D20"/>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semiHidden/>
    <w:rsid w:val="00725D20"/>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semiHidden/>
    <w:rsid w:val="00725D20"/>
    <w:rPr>
      <w:rFonts w:asciiTheme="majorHAnsi" w:eastAsiaTheme="majorEastAsia" w:hAnsiTheme="majorHAnsi" w:cstheme="majorBidi"/>
      <w:i/>
      <w:iCs/>
      <w:color w:val="2F5496" w:themeColor="accent1" w:themeShade="BF"/>
      <w:sz w:val="22"/>
      <w:szCs w:val="22"/>
    </w:rPr>
  </w:style>
  <w:style w:type="character" w:customStyle="1" w:styleId="Nagwek5Znak">
    <w:name w:val="Nagłówek 5 Znak"/>
    <w:basedOn w:val="Domylnaczcionkaakapitu"/>
    <w:link w:val="Nagwek5"/>
    <w:uiPriority w:val="9"/>
    <w:semiHidden/>
    <w:rsid w:val="00725D20"/>
    <w:rPr>
      <w:rFonts w:asciiTheme="majorHAnsi" w:eastAsiaTheme="majorEastAsia" w:hAnsiTheme="majorHAnsi" w:cstheme="majorBidi"/>
      <w:color w:val="2F5496" w:themeColor="accent1" w:themeShade="BF"/>
      <w:sz w:val="22"/>
      <w:szCs w:val="22"/>
    </w:rPr>
  </w:style>
  <w:style w:type="character" w:customStyle="1" w:styleId="Nagwek6Znak">
    <w:name w:val="Nagłówek 6 Znak"/>
    <w:basedOn w:val="Domylnaczcionkaakapitu"/>
    <w:link w:val="Nagwek6"/>
    <w:uiPriority w:val="9"/>
    <w:semiHidden/>
    <w:rsid w:val="00725D20"/>
    <w:rPr>
      <w:rFonts w:asciiTheme="majorHAnsi" w:eastAsiaTheme="majorEastAsia" w:hAnsiTheme="majorHAnsi" w:cstheme="majorBidi"/>
      <w:color w:val="1F3763" w:themeColor="accent1" w:themeShade="7F"/>
      <w:sz w:val="22"/>
      <w:szCs w:val="22"/>
    </w:rPr>
  </w:style>
  <w:style w:type="character" w:customStyle="1" w:styleId="RrysZnak">
    <w:name w:val="R_rys Znak"/>
    <w:basedOn w:val="RafiliacjaZnak"/>
    <w:link w:val="Rrys"/>
    <w:rsid w:val="00356ABB"/>
    <w:rPr>
      <w:rFonts w:ascii="Times New Roman" w:hAnsi="Times New Roman" w:cs="Times New Roman"/>
      <w:i w:val="0"/>
      <w:sz w:val="20"/>
      <w:szCs w:val="28"/>
    </w:rPr>
  </w:style>
  <w:style w:type="character" w:customStyle="1" w:styleId="Nagwek7Znak">
    <w:name w:val="Nagłówek 7 Znak"/>
    <w:basedOn w:val="Domylnaczcionkaakapitu"/>
    <w:link w:val="Nagwek7"/>
    <w:uiPriority w:val="9"/>
    <w:semiHidden/>
    <w:rsid w:val="00EB139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B139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B1394"/>
    <w:rPr>
      <w:rFonts w:eastAsiaTheme="majorEastAsia" w:cstheme="majorBidi"/>
      <w:color w:val="272727" w:themeColor="text1" w:themeTint="D8"/>
    </w:rPr>
  </w:style>
  <w:style w:type="paragraph" w:styleId="Tytu">
    <w:name w:val="Title"/>
    <w:basedOn w:val="Normalny"/>
    <w:next w:val="Normalny"/>
    <w:link w:val="TytuZnak"/>
    <w:uiPriority w:val="10"/>
    <w:rsid w:val="00EB1394"/>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B139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rsid w:val="00EB1394"/>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B139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rsid w:val="00EB1394"/>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B1394"/>
    <w:rPr>
      <w:rFonts w:ascii="Times New Roman" w:hAnsi="Times New Roman"/>
      <w:i/>
      <w:iCs/>
      <w:color w:val="404040" w:themeColor="text1" w:themeTint="BF"/>
    </w:rPr>
  </w:style>
  <w:style w:type="character" w:styleId="Wyrnienieintensywne">
    <w:name w:val="Intense Emphasis"/>
    <w:basedOn w:val="Domylnaczcionkaakapitu"/>
    <w:uiPriority w:val="21"/>
    <w:rsid w:val="00EB1394"/>
    <w:rPr>
      <w:i/>
      <w:iCs/>
      <w:color w:val="2F5496" w:themeColor="accent1" w:themeShade="BF"/>
    </w:rPr>
  </w:style>
  <w:style w:type="paragraph" w:styleId="Cytatintensywny">
    <w:name w:val="Intense Quote"/>
    <w:basedOn w:val="Normalny"/>
    <w:next w:val="Normalny"/>
    <w:link w:val="CytatintensywnyZnak"/>
    <w:uiPriority w:val="30"/>
    <w:rsid w:val="00EB13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B1394"/>
    <w:rPr>
      <w:rFonts w:ascii="Times New Roman" w:hAnsi="Times New Roman"/>
      <w:i/>
      <w:iCs/>
      <w:color w:val="2F5496" w:themeColor="accent1" w:themeShade="BF"/>
    </w:rPr>
  </w:style>
  <w:style w:type="character" w:styleId="Odwoanieintensywne">
    <w:name w:val="Intense Reference"/>
    <w:basedOn w:val="Domylnaczcionkaakapitu"/>
    <w:uiPriority w:val="32"/>
    <w:rsid w:val="00EB1394"/>
    <w:rPr>
      <w:b/>
      <w:bCs/>
      <w:smallCaps/>
      <w:color w:val="2F5496" w:themeColor="accent1" w:themeShade="BF"/>
      <w:spacing w:val="5"/>
    </w:rPr>
  </w:style>
  <w:style w:type="table" w:styleId="Tabela-Siatka">
    <w:name w:val="Table Grid"/>
    <w:basedOn w:val="Standardowy"/>
    <w:uiPriority w:val="59"/>
    <w:rsid w:val="00C81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21heading1">
    <w:name w:val="MDPI_2.1_heading1"/>
    <w:rsid w:val="006F4EA3"/>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lang w:val="en-US" w:eastAsia="de-DE" w:bidi="en-US"/>
      <w14:ligatures w14:val="none"/>
    </w:rPr>
  </w:style>
  <w:style w:type="paragraph" w:styleId="Nagwek">
    <w:name w:val="header"/>
    <w:basedOn w:val="Normalny"/>
    <w:link w:val="NagwekZnak"/>
    <w:uiPriority w:val="99"/>
    <w:unhideWhenUsed/>
    <w:rsid w:val="007B19A9"/>
    <w:pPr>
      <w:tabs>
        <w:tab w:val="center" w:pos="4536"/>
        <w:tab w:val="right" w:pos="9072"/>
      </w:tabs>
    </w:pPr>
  </w:style>
  <w:style w:type="character" w:customStyle="1" w:styleId="NagwekZnak">
    <w:name w:val="Nagłówek Znak"/>
    <w:basedOn w:val="Domylnaczcionkaakapitu"/>
    <w:link w:val="Nagwek"/>
    <w:uiPriority w:val="99"/>
    <w:rsid w:val="007B19A9"/>
    <w:rPr>
      <w:rFonts w:ascii="Times New Roman" w:hAnsi="Times New Roman"/>
    </w:rPr>
  </w:style>
  <w:style w:type="paragraph" w:styleId="Stopka">
    <w:name w:val="footer"/>
    <w:basedOn w:val="Normalny"/>
    <w:link w:val="StopkaZnak"/>
    <w:uiPriority w:val="99"/>
    <w:unhideWhenUsed/>
    <w:rsid w:val="007B19A9"/>
    <w:pPr>
      <w:tabs>
        <w:tab w:val="center" w:pos="4536"/>
        <w:tab w:val="right" w:pos="9072"/>
      </w:tabs>
    </w:pPr>
  </w:style>
  <w:style w:type="character" w:customStyle="1" w:styleId="StopkaZnak">
    <w:name w:val="Stopka Znak"/>
    <w:basedOn w:val="Domylnaczcionkaakapitu"/>
    <w:link w:val="Stopka"/>
    <w:uiPriority w:val="99"/>
    <w:rsid w:val="007B19A9"/>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chart" Target="charts/chart4.xml"/><Relationship Id="rId18" Type="http://schemas.openxmlformats.org/officeDocument/2006/relationships/image" Target="media/image3.emf"/><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package" Target="embeddings/Microsoft_PowerPoint_Slide1.sldx"/><Relationship Id="rId4" Type="http://schemas.openxmlformats.org/officeDocument/2006/relationships/webSettings" Target="webSettings.xml"/><Relationship Id="rId9" Type="http://schemas.openxmlformats.org/officeDocument/2006/relationships/package" Target="embeddings/Microsoft_PowerPoint_Slide.sldx"/><Relationship Id="rId14" Type="http://schemas.openxmlformats.org/officeDocument/2006/relationships/chart" Target="charts/chart5.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D:\!Rocznik\!Rocznik%202025\4_Ostateczne\Olkiewicz\Zeszyt%20m&#243;j%20roboczy%20RO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Rocznik\!Rocznik%202025\4_Ostateczne\Olkiewicz\Zeszyt%20m&#243;j%20roboczy%20RO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Rocznik\!Rocznik%202025\4_Ostateczne\Olkiewicz\Zeszyt%20m&#243;j%20roboczy%20RO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Rocznik\!Rocznik%202025\4_Ostateczne\Olkiewicz\Zeszyt%20m&#243;j%20roboczy%20RO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Rocznik\!Rocznik%202025\4_Ostateczne\Olkiewicz\Zeszyt%20m&#243;j%20roboczy%20RO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Rocznik\!Rocznik%202025\4_Ostateczne\Olkiewicz\Zeszyt%20m&#243;j%20roboczy%20RO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Rocznik\!Rocznik%202025\4_Ostateczne\Olkiewicz\Zeszyt%20m&#243;j%20roboczy%20RO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Rocznik\!Rocznik%202025\4_Ostateczne\Olkiewicz\Zeszyt%20m&#243;j%20roboczy%20ROS.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47249373813374"/>
          <c:y val="6.915928247244435E-2"/>
          <c:w val="0.81521188669394973"/>
          <c:h val="0.6616450175195574"/>
        </c:manualLayout>
      </c:layout>
      <c:barChart>
        <c:barDir val="col"/>
        <c:grouping val="clustered"/>
        <c:varyColors val="0"/>
        <c:ser>
          <c:idx val="0"/>
          <c:order val="0"/>
          <c:tx>
            <c:strRef>
              <c:f>'C:\Users\User\Desktop\AGH Kraków\Publikacja\Pelet\Pellet\[Zeszyt1.xlsx]Arkusz1'!$C$153</c:f>
              <c:strCache>
                <c:ptCount val="1"/>
                <c:pt idx="0">
                  <c:v>Electricity generation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'C:\Users\User\Desktop\AGH Kraków\Publikacja\Pelet\Pellet\[Zeszyt1.xlsx]Arkusz1'!$B$154:$B$160</c:f>
              <c:numCache>
                <c:formatCode>General</c:formatCode>
                <c:ptCount val="7"/>
                <c:pt idx="0">
                  <c:v>2018</c:v>
                </c:pt>
                <c:pt idx="1">
                  <c:v>2019</c:v>
                </c:pt>
                <c:pt idx="2">
                  <c:v>2020</c:v>
                </c:pt>
                <c:pt idx="3">
                  <c:v>2021</c:v>
                </c:pt>
                <c:pt idx="4">
                  <c:v>2022</c:v>
                </c:pt>
                <c:pt idx="5">
                  <c:v>2023</c:v>
                </c:pt>
                <c:pt idx="6">
                  <c:v>2024</c:v>
                </c:pt>
              </c:numCache>
            </c:numRef>
          </c:cat>
          <c:val>
            <c:numRef>
              <c:f>'C:\Users\User\Desktop\AGH Kraków\Publikacja\Pelet\Pellet\[Zeszyt1.xlsx]Arkusz1'!$C$154:$C$160</c:f>
              <c:numCache>
                <c:formatCode>General</c:formatCode>
                <c:ptCount val="7"/>
                <c:pt idx="0">
                  <c:v>165214</c:v>
                </c:pt>
                <c:pt idx="1">
                  <c:v>158767</c:v>
                </c:pt>
                <c:pt idx="2">
                  <c:v>152308</c:v>
                </c:pt>
                <c:pt idx="3">
                  <c:v>173583</c:v>
                </c:pt>
                <c:pt idx="4">
                  <c:v>175157</c:v>
                </c:pt>
                <c:pt idx="5">
                  <c:v>163629</c:v>
                </c:pt>
                <c:pt idx="6">
                  <c:v>166990</c:v>
                </c:pt>
              </c:numCache>
            </c:numRef>
          </c:val>
          <c:extLst>
            <c:ext xmlns:c16="http://schemas.microsoft.com/office/drawing/2014/chart" uri="{C3380CC4-5D6E-409C-BE32-E72D297353CC}">
              <c16:uniqueId val="{00000000-EA49-4697-8AAC-1C5517633143}"/>
            </c:ext>
          </c:extLst>
        </c:ser>
        <c:ser>
          <c:idx val="1"/>
          <c:order val="1"/>
          <c:tx>
            <c:strRef>
              <c:f>'C:\Users\User\Desktop\AGH Kraków\Publikacja\Pelet\Pellet\[Zeszyt1.xlsx]Arkusz1'!$D$153</c:f>
              <c:strCache>
                <c:ptCount val="1"/>
                <c:pt idx="0">
                  <c:v>Electricity consumption </c:v>
                </c:pt>
              </c:strCache>
            </c:strRef>
          </c:tx>
          <c:spPr>
            <a:solidFill>
              <a:schemeClr val="accent2"/>
            </a:solidFill>
            <a:ln>
              <a:noFill/>
            </a:ln>
            <a:effectLst/>
          </c:spPr>
          <c:invertIfNegative val="0"/>
          <c:dLbls>
            <c:dLbl>
              <c:idx val="3"/>
              <c:layout>
                <c:manualLayout>
                  <c:x val="9.7616992428149665E-3"/>
                  <c:y val="-8.886319193050039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A49-4697-8AAC-1C5517633143}"/>
                </c:ext>
              </c:extLst>
            </c:dLbl>
            <c:dLbl>
              <c:idx val="4"/>
              <c:layout>
                <c:manualLayout>
                  <c:x val="5.6129770646186058E-2"/>
                  <c:y val="-4.67701010160528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A49-4697-8AAC-1C551763314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'C:\Users\User\Desktop\AGH Kraków\Publikacja\Pelet\Pellet\[Zeszyt1.xlsx]Arkusz1'!$B$154:$B$160</c:f>
              <c:numCache>
                <c:formatCode>General</c:formatCode>
                <c:ptCount val="7"/>
                <c:pt idx="0">
                  <c:v>2018</c:v>
                </c:pt>
                <c:pt idx="1">
                  <c:v>2019</c:v>
                </c:pt>
                <c:pt idx="2">
                  <c:v>2020</c:v>
                </c:pt>
                <c:pt idx="3">
                  <c:v>2021</c:v>
                </c:pt>
                <c:pt idx="4">
                  <c:v>2022</c:v>
                </c:pt>
                <c:pt idx="5">
                  <c:v>2023</c:v>
                </c:pt>
                <c:pt idx="6">
                  <c:v>2024</c:v>
                </c:pt>
              </c:numCache>
            </c:numRef>
          </c:cat>
          <c:val>
            <c:numRef>
              <c:f>'C:\Users\User\Desktop\AGH Kraków\Publikacja\Pelet\Pellet\[Zeszyt1.xlsx]Arkusz1'!$D$154:$D$160</c:f>
              <c:numCache>
                <c:formatCode>General</c:formatCode>
                <c:ptCount val="7"/>
                <c:pt idx="0">
                  <c:v>170932</c:v>
                </c:pt>
                <c:pt idx="1">
                  <c:v>169391</c:v>
                </c:pt>
                <c:pt idx="2">
                  <c:v>165532</c:v>
                </c:pt>
                <c:pt idx="3">
                  <c:v>174402</c:v>
                </c:pt>
                <c:pt idx="4">
                  <c:v>173479</c:v>
                </c:pt>
                <c:pt idx="5">
                  <c:v>167518</c:v>
                </c:pt>
                <c:pt idx="6">
                  <c:v>188956</c:v>
                </c:pt>
              </c:numCache>
            </c:numRef>
          </c:val>
          <c:extLst>
            <c:ext xmlns:c16="http://schemas.microsoft.com/office/drawing/2014/chart" uri="{C3380CC4-5D6E-409C-BE32-E72D297353CC}">
              <c16:uniqueId val="{00000003-EA49-4697-8AAC-1C5517633143}"/>
            </c:ext>
          </c:extLst>
        </c:ser>
        <c:dLbls>
          <c:dLblPos val="outEnd"/>
          <c:showLegendKey val="0"/>
          <c:showVal val="1"/>
          <c:showCatName val="0"/>
          <c:showSerName val="0"/>
          <c:showPercent val="0"/>
          <c:showBubbleSize val="0"/>
        </c:dLbls>
        <c:gapWidth val="219"/>
        <c:overlap val="-27"/>
        <c:axId val="1917452303"/>
        <c:axId val="1917440655"/>
      </c:barChart>
      <c:catAx>
        <c:axId val="191745230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Year</a:t>
                </a:r>
              </a:p>
            </c:rich>
          </c:tx>
          <c:layout>
            <c:manualLayout>
              <c:xMode val="edge"/>
              <c:yMode val="edge"/>
              <c:x val="0.53512432810810495"/>
              <c:y val="0.8200711673521898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17440655"/>
        <c:crosses val="autoZero"/>
        <c:auto val="1"/>
        <c:lblAlgn val="ctr"/>
        <c:lblOffset val="100"/>
        <c:noMultiLvlLbl val="0"/>
      </c:catAx>
      <c:valAx>
        <c:axId val="1917440655"/>
        <c:scaling>
          <c:orientation val="minMax"/>
          <c:max val="180000"/>
          <c:min val="14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GWh</a:t>
                </a:r>
              </a:p>
            </c:rich>
          </c:tx>
          <c:layout>
            <c:manualLayout>
              <c:xMode val="edge"/>
              <c:yMode val="edge"/>
              <c:x val="1.4899428855227216E-2"/>
              <c:y val="0.327223402659944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17452303"/>
        <c:crosses val="autoZero"/>
        <c:crossBetween val="between"/>
        <c:majorUnit val="5000"/>
      </c:valAx>
      <c:spPr>
        <a:noFill/>
        <a:ln>
          <a:noFill/>
        </a:ln>
        <a:effectLst/>
      </c:spPr>
    </c:plotArea>
    <c:legend>
      <c:legendPos val="b"/>
      <c:layout>
        <c:manualLayout>
          <c:xMode val="edge"/>
          <c:yMode val="edge"/>
          <c:x val="0.22337079047140462"/>
          <c:y val="0.9070760632984417"/>
          <c:w val="0.55325822352662835"/>
          <c:h val="7.222391658564614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51403459030337395"/>
          <c:y val="4.5945325063174822E-2"/>
        </c:manualLayout>
      </c:layout>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4.6996064108374314E-2"/>
          <c:y val="0.11670836114472596"/>
          <c:w val="0.52178023749299551"/>
          <c:h val="0.84554049971872058"/>
        </c:manualLayout>
      </c:layout>
      <c:pieChart>
        <c:varyColors val="1"/>
        <c:ser>
          <c:idx val="0"/>
          <c:order val="0"/>
          <c:tx>
            <c:strRef>
              <c:f>'C:\Users\User\Desktop\AGH Kraków\Publikacja\Pelet\Pellet\[Zeszyt1.xlsx]Arkusz1'!$M$142</c:f>
              <c:strCache>
                <c:ptCount val="1"/>
                <c:pt idx="0">
                  <c:v>GWh</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AF8-4F9F-B3EC-1B000FFA1D6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AF8-4F9F-B3EC-1B000FFA1D6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AF8-4F9F-B3EC-1B000FFA1D6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AF8-4F9F-B3EC-1B000FFA1D6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AF8-4F9F-B3EC-1B000FFA1D61}"/>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'C:\Users\User\Desktop\AGH Kraków\Publikacja\Pelet\Pellet\[Zeszyt1.xlsx]Arkusz1'!$N$143:$N$147</c:f>
              <c:strCache>
                <c:ptCount val="5"/>
                <c:pt idx="0">
                  <c:v>Lignite-fired power plants</c:v>
                </c:pt>
                <c:pt idx="1">
                  <c:v>Gas-fired power plants</c:v>
                </c:pt>
                <c:pt idx="2">
                  <c:v>Wind farms and renewable energy sources</c:v>
                </c:pt>
                <c:pt idx="3">
                  <c:v>Hydroelectric power plants</c:v>
                </c:pt>
                <c:pt idx="4">
                  <c:v>Hard coal-fired power plants</c:v>
                </c:pt>
              </c:strCache>
            </c:strRef>
          </c:cat>
          <c:val>
            <c:numRef>
              <c:f>'C:\Users\User\Desktop\AGH Kraków\Publikacja\Pelet\Pellet\[Zeszyt1.xlsx]Arkusz1'!$M$143:$M$147</c:f>
              <c:numCache>
                <c:formatCode>General</c:formatCode>
                <c:ptCount val="5"/>
                <c:pt idx="0">
                  <c:v>35844</c:v>
                </c:pt>
                <c:pt idx="1">
                  <c:v>16768</c:v>
                </c:pt>
                <c:pt idx="2">
                  <c:v>42208</c:v>
                </c:pt>
                <c:pt idx="3">
                  <c:v>3057</c:v>
                </c:pt>
                <c:pt idx="4">
                  <c:v>69112</c:v>
                </c:pt>
              </c:numCache>
            </c:numRef>
          </c:val>
          <c:extLst>
            <c:ext xmlns:c16="http://schemas.microsoft.com/office/drawing/2014/chart" uri="{C3380CC4-5D6E-409C-BE32-E72D297353CC}">
              <c16:uniqueId val="{0000000A-0AF8-4F9F-B3EC-1B000FFA1D61}"/>
            </c:ext>
          </c:extLst>
        </c:ser>
        <c:ser>
          <c:idx val="1"/>
          <c:order val="1"/>
          <c:tx>
            <c:strRef>
              <c:f>'C:\Users\User\Desktop\AGH Kraków\Publikacja\Pelet\Pellet\[Zeszyt1.xlsx]Arkusz1'!$N$142</c:f>
              <c:strCache>
                <c:ptCount val="1"/>
                <c:pt idx="0">
                  <c:v>Structure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C-0AF8-4F9F-B3EC-1B000FFA1D6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E-0AF8-4F9F-B3EC-1B000FFA1D6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0-0AF8-4F9F-B3EC-1B000FFA1D6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2-0AF8-4F9F-B3EC-1B000FFA1D6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4-0AF8-4F9F-B3EC-1B000FFA1D61}"/>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'C:\Users\User\Desktop\AGH Kraków\Publikacja\Pelet\Pellet\[Zeszyt1.xlsx]Arkusz1'!$N$143:$N$147</c:f>
              <c:strCache>
                <c:ptCount val="5"/>
                <c:pt idx="0">
                  <c:v>Lignite-fired power plants</c:v>
                </c:pt>
                <c:pt idx="1">
                  <c:v>Gas-fired power plants</c:v>
                </c:pt>
                <c:pt idx="2">
                  <c:v>Wind farms and renewable energy sources</c:v>
                </c:pt>
                <c:pt idx="3">
                  <c:v>Hydroelectric power plants</c:v>
                </c:pt>
                <c:pt idx="4">
                  <c:v>Hard coal-fired power plants</c:v>
                </c:pt>
              </c:strCache>
            </c:strRef>
          </c:cat>
          <c:val>
            <c:numRef>
              <c:f>'C:\Users\User\Desktop\AGH Kraków\Publikacja\Pelet\Pellet\[Zeszyt1.xlsx]Arkusz1'!$N$143:$N$147</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15-0AF8-4F9F-B3EC-1B000FFA1D61}"/>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00"/>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'C:\Users\User\Desktop\AGH Kraków\Publikacja\Pelet\Pellet\[Zeszyt1.xlsx]Arkusz1'!$O$175</c:f>
              <c:strCache>
                <c:ptCount val="1"/>
                <c:pt idx="0">
                  <c:v> Hydro </c:v>
                </c:pt>
              </c:strCache>
            </c:strRef>
          </c:tx>
          <c:spPr>
            <a:solidFill>
              <a:schemeClr val="accent1"/>
            </a:solidFill>
            <a:ln>
              <a:noFill/>
            </a:ln>
            <a:effectLst/>
          </c:spPr>
          <c:invertIfNegative val="0"/>
          <c:cat>
            <c:numRef>
              <c:f>'C:\Users\User\Desktop\AGH Kraków\Publikacja\Pelet\Pellet\[Zeszyt1.xlsx]Arkusz1'!$P$174:$U$174</c:f>
              <c:numCache>
                <c:formatCode>General</c:formatCode>
                <c:ptCount val="6"/>
                <c:pt idx="0">
                  <c:v>2006</c:v>
                </c:pt>
                <c:pt idx="1">
                  <c:v>2010</c:v>
                </c:pt>
                <c:pt idx="2">
                  <c:v>1015</c:v>
                </c:pt>
                <c:pt idx="3">
                  <c:v>2020</c:v>
                </c:pt>
                <c:pt idx="4">
                  <c:v>2025</c:v>
                </c:pt>
                <c:pt idx="5">
                  <c:v>2030</c:v>
                </c:pt>
              </c:numCache>
            </c:numRef>
          </c:cat>
          <c:val>
            <c:numRef>
              <c:f>'C:\Users\User\Desktop\AGH Kraków\Publikacja\Pelet\Pellet\[Zeszyt1.xlsx]Arkusz1'!$P$175:$U$175</c:f>
              <c:numCache>
                <c:formatCode>General</c:formatCode>
                <c:ptCount val="6"/>
                <c:pt idx="0">
                  <c:v>174</c:v>
                </c:pt>
                <c:pt idx="1">
                  <c:v>209</c:v>
                </c:pt>
                <c:pt idx="2">
                  <c:v>239</c:v>
                </c:pt>
                <c:pt idx="3">
                  <c:v>270</c:v>
                </c:pt>
                <c:pt idx="4">
                  <c:v>275</c:v>
                </c:pt>
                <c:pt idx="5">
                  <c:v>275</c:v>
                </c:pt>
              </c:numCache>
            </c:numRef>
          </c:val>
          <c:extLst>
            <c:ext xmlns:c16="http://schemas.microsoft.com/office/drawing/2014/chart" uri="{C3380CC4-5D6E-409C-BE32-E72D297353CC}">
              <c16:uniqueId val="{00000000-5226-425F-9F51-9DFDD6484849}"/>
            </c:ext>
          </c:extLst>
        </c:ser>
        <c:ser>
          <c:idx val="1"/>
          <c:order val="1"/>
          <c:tx>
            <c:strRef>
              <c:f>'C:\Users\User\Desktop\AGH Kraków\Publikacja\Pelet\Pellet\[Zeszyt1.xlsx]Arkusz1'!$O$176</c:f>
              <c:strCache>
                <c:ptCount val="1"/>
                <c:pt idx="0">
                  <c:v>Wind</c:v>
                </c:pt>
              </c:strCache>
            </c:strRef>
          </c:tx>
          <c:spPr>
            <a:solidFill>
              <a:schemeClr val="accent2"/>
            </a:solidFill>
            <a:ln>
              <a:noFill/>
            </a:ln>
            <a:effectLst/>
          </c:spPr>
          <c:invertIfNegative val="0"/>
          <c:cat>
            <c:numRef>
              <c:f>'C:\Users\User\Desktop\AGH Kraków\Publikacja\Pelet\Pellet\[Zeszyt1.xlsx]Arkusz1'!$P$174:$U$174</c:f>
              <c:numCache>
                <c:formatCode>General</c:formatCode>
                <c:ptCount val="6"/>
                <c:pt idx="0">
                  <c:v>2006</c:v>
                </c:pt>
                <c:pt idx="1">
                  <c:v>2010</c:v>
                </c:pt>
                <c:pt idx="2">
                  <c:v>1015</c:v>
                </c:pt>
                <c:pt idx="3">
                  <c:v>2020</c:v>
                </c:pt>
                <c:pt idx="4">
                  <c:v>2025</c:v>
                </c:pt>
                <c:pt idx="5">
                  <c:v>2030</c:v>
                </c:pt>
              </c:numCache>
            </c:numRef>
          </c:cat>
          <c:val>
            <c:numRef>
              <c:f>'C:\Users\User\Desktop\AGH Kraków\Publikacja\Pelet\Pellet\[Zeszyt1.xlsx]Arkusz1'!$P$176:$U$176</c:f>
              <c:numCache>
                <c:formatCode>General</c:formatCode>
                <c:ptCount val="6"/>
                <c:pt idx="0">
                  <c:v>22</c:v>
                </c:pt>
                <c:pt idx="1">
                  <c:v>174</c:v>
                </c:pt>
                <c:pt idx="2">
                  <c:v>632</c:v>
                </c:pt>
                <c:pt idx="3">
                  <c:v>736</c:v>
                </c:pt>
                <c:pt idx="4">
                  <c:v>763</c:v>
                </c:pt>
                <c:pt idx="5">
                  <c:v>1530</c:v>
                </c:pt>
              </c:numCache>
            </c:numRef>
          </c:val>
          <c:extLst>
            <c:ext xmlns:c16="http://schemas.microsoft.com/office/drawing/2014/chart" uri="{C3380CC4-5D6E-409C-BE32-E72D297353CC}">
              <c16:uniqueId val="{00000001-5226-425F-9F51-9DFDD6484849}"/>
            </c:ext>
          </c:extLst>
        </c:ser>
        <c:ser>
          <c:idx val="2"/>
          <c:order val="2"/>
          <c:tx>
            <c:strRef>
              <c:f>'C:\Users\User\Desktop\AGH Kraków\Publikacja\Pelet\Pellet\[Zeszyt1.xlsx]Arkusz1'!$O$177</c:f>
              <c:strCache>
                <c:ptCount val="1"/>
                <c:pt idx="0">
                  <c:v>Biomass</c:v>
                </c:pt>
              </c:strCache>
            </c:strRef>
          </c:tx>
          <c:spPr>
            <a:solidFill>
              <a:schemeClr val="accent3"/>
            </a:solidFill>
            <a:ln>
              <a:noFill/>
            </a:ln>
            <a:effectLst/>
          </c:spPr>
          <c:invertIfNegative val="0"/>
          <c:cat>
            <c:numRef>
              <c:f>'C:\Users\User\Desktop\AGH Kraków\Publikacja\Pelet\Pellet\[Zeszyt1.xlsx]Arkusz1'!$P$174:$U$174</c:f>
              <c:numCache>
                <c:formatCode>General</c:formatCode>
                <c:ptCount val="6"/>
                <c:pt idx="0">
                  <c:v>2006</c:v>
                </c:pt>
                <c:pt idx="1">
                  <c:v>2010</c:v>
                </c:pt>
                <c:pt idx="2">
                  <c:v>1015</c:v>
                </c:pt>
                <c:pt idx="3">
                  <c:v>2020</c:v>
                </c:pt>
                <c:pt idx="4">
                  <c:v>2025</c:v>
                </c:pt>
                <c:pt idx="5">
                  <c:v>2030</c:v>
                </c:pt>
              </c:numCache>
            </c:numRef>
          </c:cat>
          <c:val>
            <c:numRef>
              <c:f>'C:\Users\User\Desktop\AGH Kraków\Publikacja\Pelet\Pellet\[Zeszyt1.xlsx]Arkusz1'!$P$177:$U$177</c:f>
              <c:numCache>
                <c:formatCode>General</c:formatCode>
                <c:ptCount val="6"/>
                <c:pt idx="0">
                  <c:v>458</c:v>
                </c:pt>
                <c:pt idx="1">
                  <c:v>943</c:v>
                </c:pt>
                <c:pt idx="2">
                  <c:v>1566</c:v>
                </c:pt>
                <c:pt idx="3">
                  <c:v>2693</c:v>
                </c:pt>
                <c:pt idx="4">
                  <c:v>2749</c:v>
                </c:pt>
                <c:pt idx="5">
                  <c:v>2805</c:v>
                </c:pt>
              </c:numCache>
            </c:numRef>
          </c:val>
          <c:extLst>
            <c:ext xmlns:c16="http://schemas.microsoft.com/office/drawing/2014/chart" uri="{C3380CC4-5D6E-409C-BE32-E72D297353CC}">
              <c16:uniqueId val="{00000002-5226-425F-9F51-9DFDD6484849}"/>
            </c:ext>
          </c:extLst>
        </c:ser>
        <c:ser>
          <c:idx val="3"/>
          <c:order val="3"/>
          <c:tx>
            <c:strRef>
              <c:f>'C:\Users\User\Desktop\AGH Kraków\Publikacja\Pelet\Pellet\[Zeszyt1.xlsx]Arkusz1'!$O$178</c:f>
              <c:strCache>
                <c:ptCount val="1"/>
                <c:pt idx="0">
                  <c:v>Biogas</c:v>
                </c:pt>
              </c:strCache>
            </c:strRef>
          </c:tx>
          <c:spPr>
            <a:solidFill>
              <a:schemeClr val="accent4"/>
            </a:solidFill>
            <a:ln>
              <a:noFill/>
            </a:ln>
            <a:effectLst/>
          </c:spPr>
          <c:invertIfNegative val="0"/>
          <c:cat>
            <c:numRef>
              <c:f>'C:\Users\User\Desktop\AGH Kraków\Publikacja\Pelet\Pellet\[Zeszyt1.xlsx]Arkusz1'!$P$174:$U$174</c:f>
              <c:numCache>
                <c:formatCode>General</c:formatCode>
                <c:ptCount val="6"/>
                <c:pt idx="0">
                  <c:v>2006</c:v>
                </c:pt>
                <c:pt idx="1">
                  <c:v>2010</c:v>
                </c:pt>
                <c:pt idx="2">
                  <c:v>1015</c:v>
                </c:pt>
                <c:pt idx="3">
                  <c:v>2020</c:v>
                </c:pt>
                <c:pt idx="4">
                  <c:v>2025</c:v>
                </c:pt>
                <c:pt idx="5">
                  <c:v>2030</c:v>
                </c:pt>
              </c:numCache>
            </c:numRef>
          </c:cat>
          <c:val>
            <c:numRef>
              <c:f>'C:\Users\User\Desktop\AGH Kraków\Publikacja\Pelet\Pellet\[Zeszyt1.xlsx]Arkusz1'!$P$178:$U$178</c:f>
              <c:numCache>
                <c:formatCode>General</c:formatCode>
                <c:ptCount val="6"/>
                <c:pt idx="0">
                  <c:v>48</c:v>
                </c:pt>
                <c:pt idx="1">
                  <c:v>135</c:v>
                </c:pt>
                <c:pt idx="2">
                  <c:v>475</c:v>
                </c:pt>
                <c:pt idx="3">
                  <c:v>986</c:v>
                </c:pt>
                <c:pt idx="4">
                  <c:v>1500</c:v>
                </c:pt>
                <c:pt idx="5">
                  <c:v>1600</c:v>
                </c:pt>
              </c:numCache>
            </c:numRef>
          </c:val>
          <c:extLst>
            <c:ext xmlns:c16="http://schemas.microsoft.com/office/drawing/2014/chart" uri="{C3380CC4-5D6E-409C-BE32-E72D297353CC}">
              <c16:uniqueId val="{00000003-5226-425F-9F51-9DFDD6484849}"/>
            </c:ext>
          </c:extLst>
        </c:ser>
        <c:ser>
          <c:idx val="4"/>
          <c:order val="4"/>
          <c:tx>
            <c:strRef>
              <c:f>'C:\Users\User\Desktop\AGH Kraków\Publikacja\Pelet\Pellet\[Zeszyt1.xlsx]Arkusz1'!$O$179</c:f>
              <c:strCache>
                <c:ptCount val="1"/>
                <c:pt idx="0">
                  <c:v>Solar </c:v>
                </c:pt>
              </c:strCache>
            </c:strRef>
          </c:tx>
          <c:spPr>
            <a:solidFill>
              <a:schemeClr val="accent5"/>
            </a:solidFill>
            <a:ln>
              <a:noFill/>
            </a:ln>
            <a:effectLst/>
          </c:spPr>
          <c:invertIfNegative val="0"/>
          <c:cat>
            <c:numRef>
              <c:f>'C:\Users\User\Desktop\AGH Kraków\Publikacja\Pelet\Pellet\[Zeszyt1.xlsx]Arkusz1'!$P$174:$U$174</c:f>
              <c:numCache>
                <c:formatCode>General</c:formatCode>
                <c:ptCount val="6"/>
                <c:pt idx="0">
                  <c:v>2006</c:v>
                </c:pt>
                <c:pt idx="1">
                  <c:v>2010</c:v>
                </c:pt>
                <c:pt idx="2">
                  <c:v>1015</c:v>
                </c:pt>
                <c:pt idx="3">
                  <c:v>2020</c:v>
                </c:pt>
                <c:pt idx="4">
                  <c:v>2025</c:v>
                </c:pt>
                <c:pt idx="5">
                  <c:v>2030</c:v>
                </c:pt>
              </c:numCache>
            </c:numRef>
          </c:cat>
          <c:val>
            <c:numRef>
              <c:f>'C:\Users\User\Desktop\AGH Kraków\Publikacja\Pelet\Pellet\[Zeszyt1.xlsx]Arkusz1'!$P$179:$U$179</c:f>
              <c:numCache>
                <c:formatCode>General</c:formatCode>
                <c:ptCount val="6"/>
                <c:pt idx="0">
                  <c:v>0</c:v>
                </c:pt>
                <c:pt idx="1">
                  <c:v>0</c:v>
                </c:pt>
                <c:pt idx="2">
                  <c:v>0</c:v>
                </c:pt>
                <c:pt idx="3">
                  <c:v>1</c:v>
                </c:pt>
                <c:pt idx="4">
                  <c:v>4</c:v>
                </c:pt>
                <c:pt idx="5">
                  <c:v>8</c:v>
                </c:pt>
              </c:numCache>
            </c:numRef>
          </c:val>
          <c:extLst>
            <c:ext xmlns:c16="http://schemas.microsoft.com/office/drawing/2014/chart" uri="{C3380CC4-5D6E-409C-BE32-E72D297353CC}">
              <c16:uniqueId val="{00000004-5226-425F-9F51-9DFDD6484849}"/>
            </c:ext>
          </c:extLst>
        </c:ser>
        <c:dLbls>
          <c:showLegendKey val="0"/>
          <c:showVal val="0"/>
          <c:showCatName val="0"/>
          <c:showSerName val="0"/>
          <c:showPercent val="0"/>
          <c:showBubbleSize val="0"/>
        </c:dLbls>
        <c:gapWidth val="219"/>
        <c:overlap val="-27"/>
        <c:axId val="2126714687"/>
        <c:axId val="2126715103"/>
      </c:barChart>
      <c:catAx>
        <c:axId val="2126714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126715103"/>
        <c:crosses val="autoZero"/>
        <c:auto val="1"/>
        <c:lblAlgn val="ctr"/>
        <c:lblOffset val="100"/>
        <c:noMultiLvlLbl val="0"/>
      </c:catAx>
      <c:valAx>
        <c:axId val="21267151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kToe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12671468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Arkusz1!$N$12</c:f>
              <c:strCache>
                <c:ptCount val="1"/>
                <c:pt idx="0">
                  <c:v>heat waves, droughts</c:v>
                </c:pt>
              </c:strCache>
            </c:strRef>
          </c:tx>
          <c:spPr>
            <a:solidFill>
              <a:schemeClr val="accent1"/>
            </a:solidFill>
            <a:ln>
              <a:noFill/>
            </a:ln>
            <a:effectLst/>
          </c:spPr>
          <c:invertIfNegative val="0"/>
          <c:cat>
            <c:numRef>
              <c:f>Arkusz1!$O$9:$V$9</c:f>
              <c:numCache>
                <c:formatCode>General</c:formatCode>
                <c:ptCount val="8"/>
                <c:pt idx="0">
                  <c:v>0</c:v>
                </c:pt>
                <c:pt idx="1">
                  <c:v>1</c:v>
                </c:pt>
                <c:pt idx="2">
                  <c:v>2</c:v>
                </c:pt>
                <c:pt idx="3">
                  <c:v>3</c:v>
                </c:pt>
                <c:pt idx="4">
                  <c:v>4</c:v>
                </c:pt>
                <c:pt idx="5">
                  <c:v>5</c:v>
                </c:pt>
                <c:pt idx="6">
                  <c:v>6</c:v>
                </c:pt>
                <c:pt idx="7">
                  <c:v>7</c:v>
                </c:pt>
              </c:numCache>
            </c:numRef>
          </c:cat>
          <c:val>
            <c:numRef>
              <c:f>Arkusz1!$O$12:$V$12</c:f>
              <c:numCache>
                <c:formatCode>0.0%</c:formatCode>
                <c:ptCount val="8"/>
                <c:pt idx="0">
                  <c:v>0.12244897959183673</c:v>
                </c:pt>
                <c:pt idx="1">
                  <c:v>7.1428571428571425E-2</c:v>
                </c:pt>
                <c:pt idx="2">
                  <c:v>0.15306122448979592</c:v>
                </c:pt>
                <c:pt idx="3">
                  <c:v>0.14285714285714285</c:v>
                </c:pt>
                <c:pt idx="4">
                  <c:v>8.1632653061224483E-2</c:v>
                </c:pt>
                <c:pt idx="5">
                  <c:v>0.21428571428571427</c:v>
                </c:pt>
                <c:pt idx="6">
                  <c:v>0.11224489795918367</c:v>
                </c:pt>
                <c:pt idx="7">
                  <c:v>0.10204081632653061</c:v>
                </c:pt>
              </c:numCache>
            </c:numRef>
          </c:val>
          <c:extLst>
            <c:ext xmlns:c16="http://schemas.microsoft.com/office/drawing/2014/chart" uri="{C3380CC4-5D6E-409C-BE32-E72D297353CC}">
              <c16:uniqueId val="{00000000-1FB6-4872-BAA0-A8DD9E397211}"/>
            </c:ext>
          </c:extLst>
        </c:ser>
        <c:ser>
          <c:idx val="1"/>
          <c:order val="1"/>
          <c:tx>
            <c:strRef>
              <c:f>Arkusz1!$N$13</c:f>
              <c:strCache>
                <c:ptCount val="1"/>
                <c:pt idx="0">
                  <c:v>downpours</c:v>
                </c:pt>
              </c:strCache>
            </c:strRef>
          </c:tx>
          <c:spPr>
            <a:solidFill>
              <a:schemeClr val="accent2"/>
            </a:solidFill>
            <a:ln>
              <a:noFill/>
            </a:ln>
            <a:effectLst/>
          </c:spPr>
          <c:invertIfNegative val="0"/>
          <c:cat>
            <c:numRef>
              <c:f>Arkusz1!$O$9:$V$9</c:f>
              <c:numCache>
                <c:formatCode>General</c:formatCode>
                <c:ptCount val="8"/>
                <c:pt idx="0">
                  <c:v>0</c:v>
                </c:pt>
                <c:pt idx="1">
                  <c:v>1</c:v>
                </c:pt>
                <c:pt idx="2">
                  <c:v>2</c:v>
                </c:pt>
                <c:pt idx="3">
                  <c:v>3</c:v>
                </c:pt>
                <c:pt idx="4">
                  <c:v>4</c:v>
                </c:pt>
                <c:pt idx="5">
                  <c:v>5</c:v>
                </c:pt>
                <c:pt idx="6">
                  <c:v>6</c:v>
                </c:pt>
                <c:pt idx="7">
                  <c:v>7</c:v>
                </c:pt>
              </c:numCache>
            </c:numRef>
          </c:cat>
          <c:val>
            <c:numRef>
              <c:f>Arkusz1!$O$13:$V$13</c:f>
              <c:numCache>
                <c:formatCode>0.0%</c:formatCode>
                <c:ptCount val="8"/>
                <c:pt idx="0">
                  <c:v>7.1428571428571425E-2</c:v>
                </c:pt>
                <c:pt idx="1">
                  <c:v>7.1428571428571425E-2</c:v>
                </c:pt>
                <c:pt idx="2">
                  <c:v>0.10204081632653061</c:v>
                </c:pt>
                <c:pt idx="3">
                  <c:v>0.17346938775510204</c:v>
                </c:pt>
                <c:pt idx="4">
                  <c:v>0.19387755102040816</c:v>
                </c:pt>
                <c:pt idx="5">
                  <c:v>0.19387755102040816</c:v>
                </c:pt>
                <c:pt idx="6">
                  <c:v>9.1836734693877556E-2</c:v>
                </c:pt>
                <c:pt idx="7">
                  <c:v>0.10204081632653061</c:v>
                </c:pt>
              </c:numCache>
            </c:numRef>
          </c:val>
          <c:extLst>
            <c:ext xmlns:c16="http://schemas.microsoft.com/office/drawing/2014/chart" uri="{C3380CC4-5D6E-409C-BE32-E72D297353CC}">
              <c16:uniqueId val="{00000001-1FB6-4872-BAA0-A8DD9E397211}"/>
            </c:ext>
          </c:extLst>
        </c:ser>
        <c:dLbls>
          <c:showLegendKey val="0"/>
          <c:showVal val="0"/>
          <c:showCatName val="0"/>
          <c:showSerName val="0"/>
          <c:showPercent val="0"/>
          <c:showBubbleSize val="0"/>
        </c:dLbls>
        <c:gapWidth val="219"/>
        <c:overlap val="-27"/>
        <c:axId val="2128767232"/>
        <c:axId val="2128769312"/>
      </c:barChart>
      <c:catAx>
        <c:axId val="21287672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“0” no occurrence, and “7” very frequent occurrence</a:t>
                </a:r>
              </a:p>
            </c:rich>
          </c:tx>
          <c:layout>
            <c:manualLayout>
              <c:xMode val="edge"/>
              <c:yMode val="edge"/>
              <c:x val="0.24821127564333051"/>
              <c:y val="0.8014407320706533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128769312"/>
        <c:crossesAt val="0"/>
        <c:auto val="1"/>
        <c:lblAlgn val="ctr"/>
        <c:lblOffset val="100"/>
        <c:noMultiLvlLbl val="0"/>
      </c:catAx>
      <c:valAx>
        <c:axId val="2128769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a:t>
                </a:r>
              </a:p>
            </c:rich>
          </c:tx>
          <c:layout>
            <c:manualLayout>
              <c:xMode val="edge"/>
              <c:yMode val="edge"/>
              <c:x val="1.9694232093312999E-2"/>
              <c:y val="0.3527478704544471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128767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Arkusz1!$AA$18</c:f>
              <c:strCache>
                <c:ptCount val="1"/>
                <c:pt idx="0">
                  <c:v>0</c:v>
                </c:pt>
              </c:strCache>
            </c:strRef>
          </c:tx>
          <c:spPr>
            <a:solidFill>
              <a:schemeClr val="accent1"/>
            </a:solidFill>
            <a:ln>
              <a:noFill/>
            </a:ln>
            <a:effectLst/>
          </c:spPr>
          <c:invertIfNegative val="0"/>
          <c:cat>
            <c:strRef>
              <c:f>Arkusz1!$Z$19:$Z$23</c:f>
              <c:strCache>
                <c:ptCount val="5"/>
                <c:pt idx="0">
                  <c:v>Economic</c:v>
                </c:pt>
                <c:pt idx="1">
                  <c:v>Environmental</c:v>
                </c:pt>
                <c:pt idx="2">
                  <c:v>Social</c:v>
                </c:pt>
                <c:pt idx="3">
                  <c:v>Ethical</c:v>
                </c:pt>
                <c:pt idx="4">
                  <c:v>Cultural</c:v>
                </c:pt>
              </c:strCache>
            </c:strRef>
          </c:cat>
          <c:val>
            <c:numRef>
              <c:f>Arkusz1!$AA$19:$AA$23</c:f>
              <c:numCache>
                <c:formatCode>0.0%</c:formatCode>
                <c:ptCount val="5"/>
                <c:pt idx="0">
                  <c:v>3.0612244897959183E-2</c:v>
                </c:pt>
                <c:pt idx="1">
                  <c:v>0.12244897959183673</c:v>
                </c:pt>
                <c:pt idx="2">
                  <c:v>7.1428571428571425E-2</c:v>
                </c:pt>
                <c:pt idx="3">
                  <c:v>0.11224489795918367</c:v>
                </c:pt>
                <c:pt idx="4">
                  <c:v>0.10204081632653061</c:v>
                </c:pt>
              </c:numCache>
            </c:numRef>
          </c:val>
          <c:extLst>
            <c:ext xmlns:c16="http://schemas.microsoft.com/office/drawing/2014/chart" uri="{C3380CC4-5D6E-409C-BE32-E72D297353CC}">
              <c16:uniqueId val="{00000000-C85A-4C89-A5B7-5923A3203C4A}"/>
            </c:ext>
          </c:extLst>
        </c:ser>
        <c:ser>
          <c:idx val="1"/>
          <c:order val="1"/>
          <c:tx>
            <c:strRef>
              <c:f>Arkusz1!$AB$18</c:f>
              <c:strCache>
                <c:ptCount val="1"/>
                <c:pt idx="0">
                  <c:v>1</c:v>
                </c:pt>
              </c:strCache>
            </c:strRef>
          </c:tx>
          <c:spPr>
            <a:solidFill>
              <a:schemeClr val="accent2"/>
            </a:solidFill>
            <a:ln>
              <a:noFill/>
            </a:ln>
            <a:effectLst/>
          </c:spPr>
          <c:invertIfNegative val="0"/>
          <c:cat>
            <c:strRef>
              <c:f>Arkusz1!$Z$19:$Z$23</c:f>
              <c:strCache>
                <c:ptCount val="5"/>
                <c:pt idx="0">
                  <c:v>Economic</c:v>
                </c:pt>
                <c:pt idx="1">
                  <c:v>Environmental</c:v>
                </c:pt>
                <c:pt idx="2">
                  <c:v>Social</c:v>
                </c:pt>
                <c:pt idx="3">
                  <c:v>Ethical</c:v>
                </c:pt>
                <c:pt idx="4">
                  <c:v>Cultural</c:v>
                </c:pt>
              </c:strCache>
            </c:strRef>
          </c:cat>
          <c:val>
            <c:numRef>
              <c:f>Arkusz1!$AB$19:$AB$23</c:f>
              <c:numCache>
                <c:formatCode>0.0%</c:formatCode>
                <c:ptCount val="5"/>
                <c:pt idx="0">
                  <c:v>1.020408163265306E-2</c:v>
                </c:pt>
                <c:pt idx="1">
                  <c:v>1.020408163265306E-2</c:v>
                </c:pt>
                <c:pt idx="2">
                  <c:v>7.1428571428571425E-2</c:v>
                </c:pt>
                <c:pt idx="3">
                  <c:v>6.1224489795918366E-2</c:v>
                </c:pt>
                <c:pt idx="4">
                  <c:v>0.12244897959183673</c:v>
                </c:pt>
              </c:numCache>
            </c:numRef>
          </c:val>
          <c:extLst>
            <c:ext xmlns:c16="http://schemas.microsoft.com/office/drawing/2014/chart" uri="{C3380CC4-5D6E-409C-BE32-E72D297353CC}">
              <c16:uniqueId val="{00000001-C85A-4C89-A5B7-5923A3203C4A}"/>
            </c:ext>
          </c:extLst>
        </c:ser>
        <c:ser>
          <c:idx val="2"/>
          <c:order val="2"/>
          <c:tx>
            <c:strRef>
              <c:f>Arkusz1!$AC$18</c:f>
              <c:strCache>
                <c:ptCount val="1"/>
                <c:pt idx="0">
                  <c:v>2</c:v>
                </c:pt>
              </c:strCache>
            </c:strRef>
          </c:tx>
          <c:spPr>
            <a:solidFill>
              <a:schemeClr val="accent3"/>
            </a:solidFill>
            <a:ln>
              <a:noFill/>
            </a:ln>
            <a:effectLst/>
          </c:spPr>
          <c:invertIfNegative val="0"/>
          <c:cat>
            <c:strRef>
              <c:f>Arkusz1!$Z$19:$Z$23</c:f>
              <c:strCache>
                <c:ptCount val="5"/>
                <c:pt idx="0">
                  <c:v>Economic</c:v>
                </c:pt>
                <c:pt idx="1">
                  <c:v>Environmental</c:v>
                </c:pt>
                <c:pt idx="2">
                  <c:v>Social</c:v>
                </c:pt>
                <c:pt idx="3">
                  <c:v>Ethical</c:v>
                </c:pt>
                <c:pt idx="4">
                  <c:v>Cultural</c:v>
                </c:pt>
              </c:strCache>
            </c:strRef>
          </c:cat>
          <c:val>
            <c:numRef>
              <c:f>Arkusz1!$AC$19:$AC$23</c:f>
              <c:numCache>
                <c:formatCode>0.0%</c:formatCode>
                <c:ptCount val="5"/>
                <c:pt idx="0">
                  <c:v>4.0816326530612242E-2</c:v>
                </c:pt>
                <c:pt idx="1">
                  <c:v>4.0816326530612242E-2</c:v>
                </c:pt>
                <c:pt idx="2">
                  <c:v>5.1020408163265307E-2</c:v>
                </c:pt>
                <c:pt idx="3">
                  <c:v>8.1632653061224483E-2</c:v>
                </c:pt>
                <c:pt idx="4">
                  <c:v>8.1632653061224483E-2</c:v>
                </c:pt>
              </c:numCache>
            </c:numRef>
          </c:val>
          <c:extLst>
            <c:ext xmlns:c16="http://schemas.microsoft.com/office/drawing/2014/chart" uri="{C3380CC4-5D6E-409C-BE32-E72D297353CC}">
              <c16:uniqueId val="{00000002-C85A-4C89-A5B7-5923A3203C4A}"/>
            </c:ext>
          </c:extLst>
        </c:ser>
        <c:ser>
          <c:idx val="3"/>
          <c:order val="3"/>
          <c:tx>
            <c:strRef>
              <c:f>Arkusz1!$AD$18</c:f>
              <c:strCache>
                <c:ptCount val="1"/>
                <c:pt idx="0">
                  <c:v>3</c:v>
                </c:pt>
              </c:strCache>
            </c:strRef>
          </c:tx>
          <c:spPr>
            <a:solidFill>
              <a:schemeClr val="accent4"/>
            </a:solidFill>
            <a:ln>
              <a:noFill/>
            </a:ln>
            <a:effectLst/>
          </c:spPr>
          <c:invertIfNegative val="0"/>
          <c:cat>
            <c:strRef>
              <c:f>Arkusz1!$Z$19:$Z$23</c:f>
              <c:strCache>
                <c:ptCount val="5"/>
                <c:pt idx="0">
                  <c:v>Economic</c:v>
                </c:pt>
                <c:pt idx="1">
                  <c:v>Environmental</c:v>
                </c:pt>
                <c:pt idx="2">
                  <c:v>Social</c:v>
                </c:pt>
                <c:pt idx="3">
                  <c:v>Ethical</c:v>
                </c:pt>
                <c:pt idx="4">
                  <c:v>Cultural</c:v>
                </c:pt>
              </c:strCache>
            </c:strRef>
          </c:cat>
          <c:val>
            <c:numRef>
              <c:f>Arkusz1!$AD$19:$AD$23</c:f>
              <c:numCache>
                <c:formatCode>0.0%</c:formatCode>
                <c:ptCount val="5"/>
                <c:pt idx="0">
                  <c:v>1.020408163265306E-2</c:v>
                </c:pt>
                <c:pt idx="1">
                  <c:v>0.12244897959183673</c:v>
                </c:pt>
                <c:pt idx="2">
                  <c:v>0.16326530612244897</c:v>
                </c:pt>
                <c:pt idx="3">
                  <c:v>0.14285714285714285</c:v>
                </c:pt>
                <c:pt idx="4">
                  <c:v>0.12244897959183673</c:v>
                </c:pt>
              </c:numCache>
            </c:numRef>
          </c:val>
          <c:extLst>
            <c:ext xmlns:c16="http://schemas.microsoft.com/office/drawing/2014/chart" uri="{C3380CC4-5D6E-409C-BE32-E72D297353CC}">
              <c16:uniqueId val="{00000003-C85A-4C89-A5B7-5923A3203C4A}"/>
            </c:ext>
          </c:extLst>
        </c:ser>
        <c:ser>
          <c:idx val="4"/>
          <c:order val="4"/>
          <c:tx>
            <c:strRef>
              <c:f>Arkusz1!$AE$18</c:f>
              <c:strCache>
                <c:ptCount val="1"/>
                <c:pt idx="0">
                  <c:v>4</c:v>
                </c:pt>
              </c:strCache>
            </c:strRef>
          </c:tx>
          <c:spPr>
            <a:solidFill>
              <a:schemeClr val="accent5"/>
            </a:solidFill>
            <a:ln>
              <a:noFill/>
            </a:ln>
            <a:effectLst/>
          </c:spPr>
          <c:invertIfNegative val="0"/>
          <c:cat>
            <c:strRef>
              <c:f>Arkusz1!$Z$19:$Z$23</c:f>
              <c:strCache>
                <c:ptCount val="5"/>
                <c:pt idx="0">
                  <c:v>Economic</c:v>
                </c:pt>
                <c:pt idx="1">
                  <c:v>Environmental</c:v>
                </c:pt>
                <c:pt idx="2">
                  <c:v>Social</c:v>
                </c:pt>
                <c:pt idx="3">
                  <c:v>Ethical</c:v>
                </c:pt>
                <c:pt idx="4">
                  <c:v>Cultural</c:v>
                </c:pt>
              </c:strCache>
            </c:strRef>
          </c:cat>
          <c:val>
            <c:numRef>
              <c:f>Arkusz1!$AE$19:$AE$23</c:f>
              <c:numCache>
                <c:formatCode>0.0%</c:formatCode>
                <c:ptCount val="5"/>
                <c:pt idx="0">
                  <c:v>5.1020408163265307E-2</c:v>
                </c:pt>
                <c:pt idx="1">
                  <c:v>0.14285714285714285</c:v>
                </c:pt>
                <c:pt idx="2">
                  <c:v>0.18367346938775511</c:v>
                </c:pt>
                <c:pt idx="3">
                  <c:v>0.15306122448979592</c:v>
                </c:pt>
                <c:pt idx="4">
                  <c:v>0.16326530612244897</c:v>
                </c:pt>
              </c:numCache>
            </c:numRef>
          </c:val>
          <c:extLst>
            <c:ext xmlns:c16="http://schemas.microsoft.com/office/drawing/2014/chart" uri="{C3380CC4-5D6E-409C-BE32-E72D297353CC}">
              <c16:uniqueId val="{00000004-C85A-4C89-A5B7-5923A3203C4A}"/>
            </c:ext>
          </c:extLst>
        </c:ser>
        <c:ser>
          <c:idx val="5"/>
          <c:order val="5"/>
          <c:tx>
            <c:strRef>
              <c:f>Arkusz1!$AF$18</c:f>
              <c:strCache>
                <c:ptCount val="1"/>
                <c:pt idx="0">
                  <c:v>5</c:v>
                </c:pt>
              </c:strCache>
            </c:strRef>
          </c:tx>
          <c:spPr>
            <a:solidFill>
              <a:schemeClr val="accent6"/>
            </a:solidFill>
            <a:ln>
              <a:noFill/>
            </a:ln>
            <a:effectLst/>
          </c:spPr>
          <c:invertIfNegative val="0"/>
          <c:cat>
            <c:strRef>
              <c:f>Arkusz1!$Z$19:$Z$23</c:f>
              <c:strCache>
                <c:ptCount val="5"/>
                <c:pt idx="0">
                  <c:v>Economic</c:v>
                </c:pt>
                <c:pt idx="1">
                  <c:v>Environmental</c:v>
                </c:pt>
                <c:pt idx="2">
                  <c:v>Social</c:v>
                </c:pt>
                <c:pt idx="3">
                  <c:v>Ethical</c:v>
                </c:pt>
                <c:pt idx="4">
                  <c:v>Cultural</c:v>
                </c:pt>
              </c:strCache>
            </c:strRef>
          </c:cat>
          <c:val>
            <c:numRef>
              <c:f>Arkusz1!$AF$19:$AF$23</c:f>
              <c:numCache>
                <c:formatCode>0.0%</c:formatCode>
                <c:ptCount val="5"/>
                <c:pt idx="0">
                  <c:v>0.12244897959183673</c:v>
                </c:pt>
                <c:pt idx="1">
                  <c:v>0.27551020408163263</c:v>
                </c:pt>
                <c:pt idx="2">
                  <c:v>0.26530612244897961</c:v>
                </c:pt>
                <c:pt idx="3">
                  <c:v>0.17346938775510204</c:v>
                </c:pt>
                <c:pt idx="4">
                  <c:v>0.20408163265306123</c:v>
                </c:pt>
              </c:numCache>
            </c:numRef>
          </c:val>
          <c:extLst>
            <c:ext xmlns:c16="http://schemas.microsoft.com/office/drawing/2014/chart" uri="{C3380CC4-5D6E-409C-BE32-E72D297353CC}">
              <c16:uniqueId val="{00000005-C85A-4C89-A5B7-5923A3203C4A}"/>
            </c:ext>
          </c:extLst>
        </c:ser>
        <c:ser>
          <c:idx val="6"/>
          <c:order val="6"/>
          <c:tx>
            <c:strRef>
              <c:f>Arkusz1!$AG$18</c:f>
              <c:strCache>
                <c:ptCount val="1"/>
                <c:pt idx="0">
                  <c:v>6</c:v>
                </c:pt>
              </c:strCache>
            </c:strRef>
          </c:tx>
          <c:spPr>
            <a:solidFill>
              <a:schemeClr val="accent1">
                <a:lumMod val="60000"/>
              </a:schemeClr>
            </a:solidFill>
            <a:ln>
              <a:noFill/>
            </a:ln>
            <a:effectLst/>
          </c:spPr>
          <c:invertIfNegative val="0"/>
          <c:cat>
            <c:strRef>
              <c:f>Arkusz1!$Z$19:$Z$23</c:f>
              <c:strCache>
                <c:ptCount val="5"/>
                <c:pt idx="0">
                  <c:v>Economic</c:v>
                </c:pt>
                <c:pt idx="1">
                  <c:v>Environmental</c:v>
                </c:pt>
                <c:pt idx="2">
                  <c:v>Social</c:v>
                </c:pt>
                <c:pt idx="3">
                  <c:v>Ethical</c:v>
                </c:pt>
                <c:pt idx="4">
                  <c:v>Cultural</c:v>
                </c:pt>
              </c:strCache>
            </c:strRef>
          </c:cat>
          <c:val>
            <c:numRef>
              <c:f>Arkusz1!$AG$19:$AG$23</c:f>
              <c:numCache>
                <c:formatCode>0.0%</c:formatCode>
                <c:ptCount val="5"/>
                <c:pt idx="0">
                  <c:v>0.16326530612244897</c:v>
                </c:pt>
                <c:pt idx="1">
                  <c:v>0.14285714285714285</c:v>
                </c:pt>
                <c:pt idx="2">
                  <c:v>0.11224489795918367</c:v>
                </c:pt>
                <c:pt idx="3">
                  <c:v>0.14285714285714285</c:v>
                </c:pt>
                <c:pt idx="4">
                  <c:v>0.12244897959183673</c:v>
                </c:pt>
              </c:numCache>
            </c:numRef>
          </c:val>
          <c:extLst>
            <c:ext xmlns:c16="http://schemas.microsoft.com/office/drawing/2014/chart" uri="{C3380CC4-5D6E-409C-BE32-E72D297353CC}">
              <c16:uniqueId val="{00000006-C85A-4C89-A5B7-5923A3203C4A}"/>
            </c:ext>
          </c:extLst>
        </c:ser>
        <c:ser>
          <c:idx val="7"/>
          <c:order val="7"/>
          <c:tx>
            <c:strRef>
              <c:f>Arkusz1!$AH$18</c:f>
              <c:strCache>
                <c:ptCount val="1"/>
                <c:pt idx="0">
                  <c:v>7</c:v>
                </c:pt>
              </c:strCache>
            </c:strRef>
          </c:tx>
          <c:spPr>
            <a:solidFill>
              <a:schemeClr val="accent2">
                <a:lumMod val="60000"/>
              </a:schemeClr>
            </a:solidFill>
            <a:ln>
              <a:noFill/>
            </a:ln>
            <a:effectLst/>
          </c:spPr>
          <c:invertIfNegative val="0"/>
          <c:cat>
            <c:strRef>
              <c:f>Arkusz1!$Z$19:$Z$23</c:f>
              <c:strCache>
                <c:ptCount val="5"/>
                <c:pt idx="0">
                  <c:v>Economic</c:v>
                </c:pt>
                <c:pt idx="1">
                  <c:v>Environmental</c:v>
                </c:pt>
                <c:pt idx="2">
                  <c:v>Social</c:v>
                </c:pt>
                <c:pt idx="3">
                  <c:v>Ethical</c:v>
                </c:pt>
                <c:pt idx="4">
                  <c:v>Cultural</c:v>
                </c:pt>
              </c:strCache>
            </c:strRef>
          </c:cat>
          <c:val>
            <c:numRef>
              <c:f>Arkusz1!$AH$19:$AH$23</c:f>
              <c:numCache>
                <c:formatCode>0.0%</c:formatCode>
                <c:ptCount val="5"/>
                <c:pt idx="0">
                  <c:v>0.5714285714285714</c:v>
                </c:pt>
                <c:pt idx="1">
                  <c:v>0.14285714285714285</c:v>
                </c:pt>
                <c:pt idx="2">
                  <c:v>8.1632653061224483E-2</c:v>
                </c:pt>
                <c:pt idx="3">
                  <c:v>0.1326530612244898</c:v>
                </c:pt>
                <c:pt idx="4">
                  <c:v>8.1632653061224483E-2</c:v>
                </c:pt>
              </c:numCache>
            </c:numRef>
          </c:val>
          <c:extLst>
            <c:ext xmlns:c16="http://schemas.microsoft.com/office/drawing/2014/chart" uri="{C3380CC4-5D6E-409C-BE32-E72D297353CC}">
              <c16:uniqueId val="{00000007-C85A-4C89-A5B7-5923A3203C4A}"/>
            </c:ext>
          </c:extLst>
        </c:ser>
        <c:dLbls>
          <c:showLegendKey val="0"/>
          <c:showVal val="0"/>
          <c:showCatName val="0"/>
          <c:showSerName val="0"/>
          <c:showPercent val="0"/>
          <c:showBubbleSize val="0"/>
        </c:dLbls>
        <c:gapWidth val="219"/>
        <c:overlap val="-27"/>
        <c:axId val="2128297952"/>
        <c:axId val="2128295456"/>
      </c:barChart>
      <c:catAx>
        <c:axId val="21282979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“0” insignificant, and “7” very significant</a:t>
                </a:r>
              </a:p>
            </c:rich>
          </c:tx>
          <c:layout>
            <c:manualLayout>
              <c:xMode val="edge"/>
              <c:yMode val="edge"/>
              <c:x val="0.31932099682508241"/>
              <c:y val="0.7914925000890725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128295456"/>
        <c:crosses val="autoZero"/>
        <c:auto val="1"/>
        <c:lblAlgn val="ctr"/>
        <c:lblOffset val="100"/>
        <c:noMultiLvlLbl val="0"/>
      </c:catAx>
      <c:valAx>
        <c:axId val="2128295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128297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Arkusz1!$AA$36</c:f>
              <c:strCache>
                <c:ptCount val="1"/>
                <c:pt idx="0">
                  <c:v>0</c:v>
                </c:pt>
              </c:strCache>
            </c:strRef>
          </c:tx>
          <c:spPr>
            <a:solidFill>
              <a:schemeClr val="accent1"/>
            </a:solidFill>
            <a:ln>
              <a:noFill/>
            </a:ln>
            <a:effectLst/>
          </c:spPr>
          <c:invertIfNegative val="0"/>
          <c:cat>
            <c:strRef>
              <c:f>Arkusz1!$Z$37:$Z$42</c:f>
              <c:strCache>
                <c:ptCount val="6"/>
                <c:pt idx="0">
                  <c:v>Wind</c:v>
                </c:pt>
                <c:pt idx="1">
                  <c:v>Geothermal water</c:v>
                </c:pt>
                <c:pt idx="2">
                  <c:v>Biomass</c:v>
                </c:pt>
                <c:pt idx="3">
                  <c:v>Sun</c:v>
                </c:pt>
                <c:pt idx="4">
                  <c:v>Mining products</c:v>
                </c:pt>
                <c:pt idx="5">
                  <c:v>Gas</c:v>
                </c:pt>
              </c:strCache>
            </c:strRef>
          </c:cat>
          <c:val>
            <c:numRef>
              <c:f>Arkusz1!$AA$37:$AA$42</c:f>
              <c:numCache>
                <c:formatCode>0.0%</c:formatCode>
                <c:ptCount val="6"/>
                <c:pt idx="0">
                  <c:v>5.1020408163265307E-2</c:v>
                </c:pt>
                <c:pt idx="1">
                  <c:v>4.0816326530612242E-2</c:v>
                </c:pt>
                <c:pt idx="2">
                  <c:v>5.1020408163265307E-2</c:v>
                </c:pt>
                <c:pt idx="3">
                  <c:v>5.1020408163265307E-2</c:v>
                </c:pt>
                <c:pt idx="4">
                  <c:v>0.15306122448979592</c:v>
                </c:pt>
                <c:pt idx="5">
                  <c:v>7.1428571428571425E-2</c:v>
                </c:pt>
              </c:numCache>
            </c:numRef>
          </c:val>
          <c:extLst>
            <c:ext xmlns:c16="http://schemas.microsoft.com/office/drawing/2014/chart" uri="{C3380CC4-5D6E-409C-BE32-E72D297353CC}">
              <c16:uniqueId val="{00000000-220F-4182-B3AD-55C799B0156E}"/>
            </c:ext>
          </c:extLst>
        </c:ser>
        <c:ser>
          <c:idx val="1"/>
          <c:order val="1"/>
          <c:tx>
            <c:strRef>
              <c:f>Arkusz1!$AB$36</c:f>
              <c:strCache>
                <c:ptCount val="1"/>
                <c:pt idx="0">
                  <c:v>1</c:v>
                </c:pt>
              </c:strCache>
            </c:strRef>
          </c:tx>
          <c:spPr>
            <a:solidFill>
              <a:schemeClr val="accent2"/>
            </a:solidFill>
            <a:ln>
              <a:noFill/>
            </a:ln>
            <a:effectLst/>
          </c:spPr>
          <c:invertIfNegative val="0"/>
          <c:cat>
            <c:strRef>
              <c:f>Arkusz1!$Z$37:$Z$42</c:f>
              <c:strCache>
                <c:ptCount val="6"/>
                <c:pt idx="0">
                  <c:v>Wind</c:v>
                </c:pt>
                <c:pt idx="1">
                  <c:v>Geothermal water</c:v>
                </c:pt>
                <c:pt idx="2">
                  <c:v>Biomass</c:v>
                </c:pt>
                <c:pt idx="3">
                  <c:v>Sun</c:v>
                </c:pt>
                <c:pt idx="4">
                  <c:v>Mining products</c:v>
                </c:pt>
                <c:pt idx="5">
                  <c:v>Gas</c:v>
                </c:pt>
              </c:strCache>
            </c:strRef>
          </c:cat>
          <c:val>
            <c:numRef>
              <c:f>Arkusz1!$AB$37:$AB$42</c:f>
              <c:numCache>
                <c:formatCode>0.0%</c:formatCode>
                <c:ptCount val="6"/>
                <c:pt idx="0">
                  <c:v>5.1020408163265307E-2</c:v>
                </c:pt>
                <c:pt idx="1">
                  <c:v>4.0816326530612242E-2</c:v>
                </c:pt>
                <c:pt idx="2">
                  <c:v>4.0816326530612242E-2</c:v>
                </c:pt>
                <c:pt idx="3">
                  <c:v>3.0612244897959183E-2</c:v>
                </c:pt>
                <c:pt idx="4">
                  <c:v>0.14285714285714285</c:v>
                </c:pt>
                <c:pt idx="5">
                  <c:v>8.1632653061224483E-2</c:v>
                </c:pt>
              </c:numCache>
            </c:numRef>
          </c:val>
          <c:extLst>
            <c:ext xmlns:c16="http://schemas.microsoft.com/office/drawing/2014/chart" uri="{C3380CC4-5D6E-409C-BE32-E72D297353CC}">
              <c16:uniqueId val="{00000001-220F-4182-B3AD-55C799B0156E}"/>
            </c:ext>
          </c:extLst>
        </c:ser>
        <c:ser>
          <c:idx val="2"/>
          <c:order val="2"/>
          <c:tx>
            <c:strRef>
              <c:f>Arkusz1!$AC$36</c:f>
              <c:strCache>
                <c:ptCount val="1"/>
                <c:pt idx="0">
                  <c:v>2</c:v>
                </c:pt>
              </c:strCache>
            </c:strRef>
          </c:tx>
          <c:spPr>
            <a:solidFill>
              <a:schemeClr val="accent3"/>
            </a:solidFill>
            <a:ln>
              <a:noFill/>
            </a:ln>
            <a:effectLst/>
          </c:spPr>
          <c:invertIfNegative val="0"/>
          <c:cat>
            <c:strRef>
              <c:f>Arkusz1!$Z$37:$Z$42</c:f>
              <c:strCache>
                <c:ptCount val="6"/>
                <c:pt idx="0">
                  <c:v>Wind</c:v>
                </c:pt>
                <c:pt idx="1">
                  <c:v>Geothermal water</c:v>
                </c:pt>
                <c:pt idx="2">
                  <c:v>Biomass</c:v>
                </c:pt>
                <c:pt idx="3">
                  <c:v>Sun</c:v>
                </c:pt>
                <c:pt idx="4">
                  <c:v>Mining products</c:v>
                </c:pt>
                <c:pt idx="5">
                  <c:v>Gas</c:v>
                </c:pt>
              </c:strCache>
            </c:strRef>
          </c:cat>
          <c:val>
            <c:numRef>
              <c:f>Arkusz1!$AC$37:$AC$42</c:f>
              <c:numCache>
                <c:formatCode>0.0%</c:formatCode>
                <c:ptCount val="6"/>
                <c:pt idx="0">
                  <c:v>5.1020408163265307E-2</c:v>
                </c:pt>
                <c:pt idx="1">
                  <c:v>7.1428571428571425E-2</c:v>
                </c:pt>
                <c:pt idx="2">
                  <c:v>5.1020408163265307E-2</c:v>
                </c:pt>
                <c:pt idx="3">
                  <c:v>1.020408163265306E-2</c:v>
                </c:pt>
                <c:pt idx="4">
                  <c:v>0.1326530612244898</c:v>
                </c:pt>
                <c:pt idx="5">
                  <c:v>0.15306122448979592</c:v>
                </c:pt>
              </c:numCache>
            </c:numRef>
          </c:val>
          <c:extLst>
            <c:ext xmlns:c16="http://schemas.microsoft.com/office/drawing/2014/chart" uri="{C3380CC4-5D6E-409C-BE32-E72D297353CC}">
              <c16:uniqueId val="{00000002-220F-4182-B3AD-55C799B0156E}"/>
            </c:ext>
          </c:extLst>
        </c:ser>
        <c:ser>
          <c:idx val="3"/>
          <c:order val="3"/>
          <c:tx>
            <c:strRef>
              <c:f>Arkusz1!$AD$36</c:f>
              <c:strCache>
                <c:ptCount val="1"/>
                <c:pt idx="0">
                  <c:v>3</c:v>
                </c:pt>
              </c:strCache>
            </c:strRef>
          </c:tx>
          <c:spPr>
            <a:solidFill>
              <a:schemeClr val="accent4"/>
            </a:solidFill>
            <a:ln>
              <a:noFill/>
            </a:ln>
            <a:effectLst/>
          </c:spPr>
          <c:invertIfNegative val="0"/>
          <c:cat>
            <c:strRef>
              <c:f>Arkusz1!$Z$37:$Z$42</c:f>
              <c:strCache>
                <c:ptCount val="6"/>
                <c:pt idx="0">
                  <c:v>Wind</c:v>
                </c:pt>
                <c:pt idx="1">
                  <c:v>Geothermal water</c:v>
                </c:pt>
                <c:pt idx="2">
                  <c:v>Biomass</c:v>
                </c:pt>
                <c:pt idx="3">
                  <c:v>Sun</c:v>
                </c:pt>
                <c:pt idx="4">
                  <c:v>Mining products</c:v>
                </c:pt>
                <c:pt idx="5">
                  <c:v>Gas</c:v>
                </c:pt>
              </c:strCache>
            </c:strRef>
          </c:cat>
          <c:val>
            <c:numRef>
              <c:f>Arkusz1!$AD$37:$AD$42</c:f>
              <c:numCache>
                <c:formatCode>0.0%</c:formatCode>
                <c:ptCount val="6"/>
                <c:pt idx="0">
                  <c:v>8.1632653061224483E-2</c:v>
                </c:pt>
                <c:pt idx="1">
                  <c:v>0.18367346938775511</c:v>
                </c:pt>
                <c:pt idx="2">
                  <c:v>0.22448979591836735</c:v>
                </c:pt>
                <c:pt idx="3">
                  <c:v>4.0816326530612242E-2</c:v>
                </c:pt>
                <c:pt idx="4">
                  <c:v>0.19387755102040816</c:v>
                </c:pt>
                <c:pt idx="5">
                  <c:v>0.21428571428571427</c:v>
                </c:pt>
              </c:numCache>
            </c:numRef>
          </c:val>
          <c:extLst>
            <c:ext xmlns:c16="http://schemas.microsoft.com/office/drawing/2014/chart" uri="{C3380CC4-5D6E-409C-BE32-E72D297353CC}">
              <c16:uniqueId val="{00000003-220F-4182-B3AD-55C799B0156E}"/>
            </c:ext>
          </c:extLst>
        </c:ser>
        <c:ser>
          <c:idx val="4"/>
          <c:order val="4"/>
          <c:tx>
            <c:strRef>
              <c:f>Arkusz1!$AE$36</c:f>
              <c:strCache>
                <c:ptCount val="1"/>
                <c:pt idx="0">
                  <c:v>4</c:v>
                </c:pt>
              </c:strCache>
            </c:strRef>
          </c:tx>
          <c:spPr>
            <a:solidFill>
              <a:schemeClr val="accent5"/>
            </a:solidFill>
            <a:ln>
              <a:noFill/>
            </a:ln>
            <a:effectLst/>
          </c:spPr>
          <c:invertIfNegative val="0"/>
          <c:cat>
            <c:strRef>
              <c:f>Arkusz1!$Z$37:$Z$42</c:f>
              <c:strCache>
                <c:ptCount val="6"/>
                <c:pt idx="0">
                  <c:v>Wind</c:v>
                </c:pt>
                <c:pt idx="1">
                  <c:v>Geothermal water</c:v>
                </c:pt>
                <c:pt idx="2">
                  <c:v>Biomass</c:v>
                </c:pt>
                <c:pt idx="3">
                  <c:v>Sun</c:v>
                </c:pt>
                <c:pt idx="4">
                  <c:v>Mining products</c:v>
                </c:pt>
                <c:pt idx="5">
                  <c:v>Gas</c:v>
                </c:pt>
              </c:strCache>
            </c:strRef>
          </c:cat>
          <c:val>
            <c:numRef>
              <c:f>Arkusz1!$AE$37:$AE$42</c:f>
              <c:numCache>
                <c:formatCode>0.0%</c:formatCode>
                <c:ptCount val="6"/>
                <c:pt idx="0">
                  <c:v>2.0408163265306121E-2</c:v>
                </c:pt>
                <c:pt idx="1">
                  <c:v>0.19387755102040816</c:v>
                </c:pt>
                <c:pt idx="2">
                  <c:v>0.12244897959183673</c:v>
                </c:pt>
                <c:pt idx="3">
                  <c:v>9.1836734693877556E-2</c:v>
                </c:pt>
                <c:pt idx="4">
                  <c:v>0.10204081632653061</c:v>
                </c:pt>
                <c:pt idx="5">
                  <c:v>0.14285714285714285</c:v>
                </c:pt>
              </c:numCache>
            </c:numRef>
          </c:val>
          <c:extLst>
            <c:ext xmlns:c16="http://schemas.microsoft.com/office/drawing/2014/chart" uri="{C3380CC4-5D6E-409C-BE32-E72D297353CC}">
              <c16:uniqueId val="{00000004-220F-4182-B3AD-55C799B0156E}"/>
            </c:ext>
          </c:extLst>
        </c:ser>
        <c:ser>
          <c:idx val="5"/>
          <c:order val="5"/>
          <c:tx>
            <c:strRef>
              <c:f>Arkusz1!$AF$36</c:f>
              <c:strCache>
                <c:ptCount val="1"/>
                <c:pt idx="0">
                  <c:v>5</c:v>
                </c:pt>
              </c:strCache>
            </c:strRef>
          </c:tx>
          <c:spPr>
            <a:solidFill>
              <a:schemeClr val="accent6"/>
            </a:solidFill>
            <a:ln>
              <a:noFill/>
            </a:ln>
            <a:effectLst/>
          </c:spPr>
          <c:invertIfNegative val="0"/>
          <c:cat>
            <c:strRef>
              <c:f>Arkusz1!$Z$37:$Z$42</c:f>
              <c:strCache>
                <c:ptCount val="6"/>
                <c:pt idx="0">
                  <c:v>Wind</c:v>
                </c:pt>
                <c:pt idx="1">
                  <c:v>Geothermal water</c:v>
                </c:pt>
                <c:pt idx="2">
                  <c:v>Biomass</c:v>
                </c:pt>
                <c:pt idx="3">
                  <c:v>Sun</c:v>
                </c:pt>
                <c:pt idx="4">
                  <c:v>Mining products</c:v>
                </c:pt>
                <c:pt idx="5">
                  <c:v>Gas</c:v>
                </c:pt>
              </c:strCache>
            </c:strRef>
          </c:cat>
          <c:val>
            <c:numRef>
              <c:f>Arkusz1!$AF$37:$AF$42</c:f>
              <c:numCache>
                <c:formatCode>0.0%</c:formatCode>
                <c:ptCount val="6"/>
                <c:pt idx="0">
                  <c:v>0.14285714285714285</c:v>
                </c:pt>
                <c:pt idx="1">
                  <c:v>0.22448979591836735</c:v>
                </c:pt>
                <c:pt idx="2">
                  <c:v>0.22448979591836735</c:v>
                </c:pt>
                <c:pt idx="3">
                  <c:v>0.23469387755102042</c:v>
                </c:pt>
                <c:pt idx="4">
                  <c:v>0.10204081632653061</c:v>
                </c:pt>
                <c:pt idx="5">
                  <c:v>0.12244897959183673</c:v>
                </c:pt>
              </c:numCache>
            </c:numRef>
          </c:val>
          <c:extLst>
            <c:ext xmlns:c16="http://schemas.microsoft.com/office/drawing/2014/chart" uri="{C3380CC4-5D6E-409C-BE32-E72D297353CC}">
              <c16:uniqueId val="{00000005-220F-4182-B3AD-55C799B0156E}"/>
            </c:ext>
          </c:extLst>
        </c:ser>
        <c:ser>
          <c:idx val="6"/>
          <c:order val="6"/>
          <c:tx>
            <c:strRef>
              <c:f>Arkusz1!$AG$36</c:f>
              <c:strCache>
                <c:ptCount val="1"/>
                <c:pt idx="0">
                  <c:v>6</c:v>
                </c:pt>
              </c:strCache>
            </c:strRef>
          </c:tx>
          <c:spPr>
            <a:solidFill>
              <a:schemeClr val="accent1">
                <a:lumMod val="60000"/>
              </a:schemeClr>
            </a:solidFill>
            <a:ln>
              <a:noFill/>
            </a:ln>
            <a:effectLst/>
          </c:spPr>
          <c:invertIfNegative val="0"/>
          <c:cat>
            <c:strRef>
              <c:f>Arkusz1!$Z$37:$Z$42</c:f>
              <c:strCache>
                <c:ptCount val="6"/>
                <c:pt idx="0">
                  <c:v>Wind</c:v>
                </c:pt>
                <c:pt idx="1">
                  <c:v>Geothermal water</c:v>
                </c:pt>
                <c:pt idx="2">
                  <c:v>Biomass</c:v>
                </c:pt>
                <c:pt idx="3">
                  <c:v>Sun</c:v>
                </c:pt>
                <c:pt idx="4">
                  <c:v>Mining products</c:v>
                </c:pt>
                <c:pt idx="5">
                  <c:v>Gas</c:v>
                </c:pt>
              </c:strCache>
            </c:strRef>
          </c:cat>
          <c:val>
            <c:numRef>
              <c:f>Arkusz1!$AG$37:$AG$42</c:f>
              <c:numCache>
                <c:formatCode>0.0%</c:formatCode>
                <c:ptCount val="6"/>
                <c:pt idx="0">
                  <c:v>0.14285714285714285</c:v>
                </c:pt>
                <c:pt idx="1">
                  <c:v>4.0816326530612242E-2</c:v>
                </c:pt>
                <c:pt idx="2">
                  <c:v>9.1836734693877556E-2</c:v>
                </c:pt>
                <c:pt idx="3">
                  <c:v>0.1326530612244898</c:v>
                </c:pt>
                <c:pt idx="4">
                  <c:v>6.1224489795918366E-2</c:v>
                </c:pt>
                <c:pt idx="5">
                  <c:v>0.10204081632653061</c:v>
                </c:pt>
              </c:numCache>
            </c:numRef>
          </c:val>
          <c:extLst>
            <c:ext xmlns:c16="http://schemas.microsoft.com/office/drawing/2014/chart" uri="{C3380CC4-5D6E-409C-BE32-E72D297353CC}">
              <c16:uniqueId val="{00000006-220F-4182-B3AD-55C799B0156E}"/>
            </c:ext>
          </c:extLst>
        </c:ser>
        <c:ser>
          <c:idx val="7"/>
          <c:order val="7"/>
          <c:tx>
            <c:strRef>
              <c:f>Arkusz1!$AH$36</c:f>
              <c:strCache>
                <c:ptCount val="1"/>
                <c:pt idx="0">
                  <c:v>7</c:v>
                </c:pt>
              </c:strCache>
            </c:strRef>
          </c:tx>
          <c:spPr>
            <a:solidFill>
              <a:schemeClr val="accent2">
                <a:lumMod val="60000"/>
              </a:schemeClr>
            </a:solidFill>
            <a:ln>
              <a:noFill/>
            </a:ln>
            <a:effectLst/>
          </c:spPr>
          <c:invertIfNegative val="0"/>
          <c:cat>
            <c:strRef>
              <c:f>Arkusz1!$Z$37:$Z$42</c:f>
              <c:strCache>
                <c:ptCount val="6"/>
                <c:pt idx="0">
                  <c:v>Wind</c:v>
                </c:pt>
                <c:pt idx="1">
                  <c:v>Geothermal water</c:v>
                </c:pt>
                <c:pt idx="2">
                  <c:v>Biomass</c:v>
                </c:pt>
                <c:pt idx="3">
                  <c:v>Sun</c:v>
                </c:pt>
                <c:pt idx="4">
                  <c:v>Mining products</c:v>
                </c:pt>
                <c:pt idx="5">
                  <c:v>Gas</c:v>
                </c:pt>
              </c:strCache>
            </c:strRef>
          </c:cat>
          <c:val>
            <c:numRef>
              <c:f>Arkusz1!$AH$37:$AH$42</c:f>
              <c:numCache>
                <c:formatCode>0.0%</c:formatCode>
                <c:ptCount val="6"/>
                <c:pt idx="0">
                  <c:v>0.48979591836734693</c:v>
                </c:pt>
                <c:pt idx="1">
                  <c:v>0.20408163265306123</c:v>
                </c:pt>
                <c:pt idx="2">
                  <c:v>0.19387755102040816</c:v>
                </c:pt>
                <c:pt idx="3">
                  <c:v>0.40816326530612246</c:v>
                </c:pt>
                <c:pt idx="4">
                  <c:v>0.11224489795918367</c:v>
                </c:pt>
                <c:pt idx="5">
                  <c:v>0.11224489795918367</c:v>
                </c:pt>
              </c:numCache>
            </c:numRef>
          </c:val>
          <c:extLst>
            <c:ext xmlns:c16="http://schemas.microsoft.com/office/drawing/2014/chart" uri="{C3380CC4-5D6E-409C-BE32-E72D297353CC}">
              <c16:uniqueId val="{00000007-220F-4182-B3AD-55C799B0156E}"/>
            </c:ext>
          </c:extLst>
        </c:ser>
        <c:dLbls>
          <c:showLegendKey val="0"/>
          <c:showVal val="0"/>
          <c:showCatName val="0"/>
          <c:showSerName val="0"/>
          <c:showPercent val="0"/>
          <c:showBubbleSize val="0"/>
        </c:dLbls>
        <c:gapWidth val="219"/>
        <c:overlap val="-27"/>
        <c:axId val="1977743599"/>
        <c:axId val="1977741935"/>
      </c:barChart>
      <c:catAx>
        <c:axId val="197774359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“0” not using, and “7” using very often</a:t>
                </a:r>
              </a:p>
            </c:rich>
          </c:tx>
          <c:layout>
            <c:manualLayout>
              <c:xMode val="edge"/>
              <c:yMode val="edge"/>
              <c:x val="0.33149986896576472"/>
              <c:y val="0.7897803034657163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77741935"/>
        <c:crosses val="autoZero"/>
        <c:auto val="1"/>
        <c:lblAlgn val="ctr"/>
        <c:lblOffset val="100"/>
        <c:noMultiLvlLbl val="0"/>
      </c:catAx>
      <c:valAx>
        <c:axId val="19777419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777435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Arkusz1!$AA$53</c:f>
              <c:strCache>
                <c:ptCount val="1"/>
                <c:pt idx="0">
                  <c:v>0</c:v>
                </c:pt>
              </c:strCache>
            </c:strRef>
          </c:tx>
          <c:spPr>
            <a:solidFill>
              <a:schemeClr val="accent1"/>
            </a:solidFill>
            <a:ln>
              <a:noFill/>
            </a:ln>
            <a:effectLst/>
          </c:spPr>
          <c:invertIfNegative val="0"/>
          <c:cat>
            <c:strRef>
              <c:f>Arkusz1!$Z$54:$Z$59</c:f>
              <c:strCache>
                <c:ptCount val="6"/>
                <c:pt idx="0">
                  <c:v>Promotion in the media</c:v>
                </c:pt>
                <c:pt idx="1">
                  <c:v>Salespeople / traders</c:v>
                </c:pt>
                <c:pt idx="2">
                  <c:v>Family</c:v>
                </c:pt>
                <c:pt idx="3">
                  <c:v>Own experiences</c:v>
                </c:pt>
                <c:pt idx="4">
                  <c:v>Friends</c:v>
                </c:pt>
                <c:pt idx="5">
                  <c:v>Social media</c:v>
                </c:pt>
              </c:strCache>
            </c:strRef>
          </c:cat>
          <c:val>
            <c:numRef>
              <c:f>Arkusz1!$AA$54:$AA$59</c:f>
              <c:numCache>
                <c:formatCode>0.0%</c:formatCode>
                <c:ptCount val="6"/>
                <c:pt idx="0">
                  <c:v>0.12244897959183673</c:v>
                </c:pt>
                <c:pt idx="1">
                  <c:v>0.10204081632653061</c:v>
                </c:pt>
                <c:pt idx="2">
                  <c:v>7.1428571428571425E-2</c:v>
                </c:pt>
                <c:pt idx="3">
                  <c:v>3.0612244897959183E-2</c:v>
                </c:pt>
                <c:pt idx="4">
                  <c:v>7.1428571428571425E-2</c:v>
                </c:pt>
                <c:pt idx="5">
                  <c:v>0.16326530612244897</c:v>
                </c:pt>
              </c:numCache>
            </c:numRef>
          </c:val>
          <c:extLst>
            <c:ext xmlns:c16="http://schemas.microsoft.com/office/drawing/2014/chart" uri="{C3380CC4-5D6E-409C-BE32-E72D297353CC}">
              <c16:uniqueId val="{00000000-E14F-4105-A7E5-BAA49BD726C6}"/>
            </c:ext>
          </c:extLst>
        </c:ser>
        <c:ser>
          <c:idx val="1"/>
          <c:order val="1"/>
          <c:tx>
            <c:strRef>
              <c:f>Arkusz1!$AB$53</c:f>
              <c:strCache>
                <c:ptCount val="1"/>
                <c:pt idx="0">
                  <c:v>1</c:v>
                </c:pt>
              </c:strCache>
            </c:strRef>
          </c:tx>
          <c:spPr>
            <a:solidFill>
              <a:schemeClr val="accent2"/>
            </a:solidFill>
            <a:ln>
              <a:noFill/>
            </a:ln>
            <a:effectLst/>
          </c:spPr>
          <c:invertIfNegative val="0"/>
          <c:cat>
            <c:strRef>
              <c:f>Arkusz1!$Z$54:$Z$59</c:f>
              <c:strCache>
                <c:ptCount val="6"/>
                <c:pt idx="0">
                  <c:v>Promotion in the media</c:v>
                </c:pt>
                <c:pt idx="1">
                  <c:v>Salespeople / traders</c:v>
                </c:pt>
                <c:pt idx="2">
                  <c:v>Family</c:v>
                </c:pt>
                <c:pt idx="3">
                  <c:v>Own experiences</c:v>
                </c:pt>
                <c:pt idx="4">
                  <c:v>Friends</c:v>
                </c:pt>
                <c:pt idx="5">
                  <c:v>Social media</c:v>
                </c:pt>
              </c:strCache>
            </c:strRef>
          </c:cat>
          <c:val>
            <c:numRef>
              <c:f>Arkusz1!$AB$54:$AB$59</c:f>
              <c:numCache>
                <c:formatCode>0.0%</c:formatCode>
                <c:ptCount val="6"/>
                <c:pt idx="0">
                  <c:v>8.1632653061224483E-2</c:v>
                </c:pt>
                <c:pt idx="1">
                  <c:v>6.1224489795918366E-2</c:v>
                </c:pt>
                <c:pt idx="2">
                  <c:v>5.1020408163265307E-2</c:v>
                </c:pt>
                <c:pt idx="3">
                  <c:v>1.020408163265306E-2</c:v>
                </c:pt>
                <c:pt idx="4">
                  <c:v>4.0816326530612242E-2</c:v>
                </c:pt>
                <c:pt idx="5">
                  <c:v>4.0816326530612242E-2</c:v>
                </c:pt>
              </c:numCache>
            </c:numRef>
          </c:val>
          <c:extLst>
            <c:ext xmlns:c16="http://schemas.microsoft.com/office/drawing/2014/chart" uri="{C3380CC4-5D6E-409C-BE32-E72D297353CC}">
              <c16:uniqueId val="{00000001-E14F-4105-A7E5-BAA49BD726C6}"/>
            </c:ext>
          </c:extLst>
        </c:ser>
        <c:ser>
          <c:idx val="2"/>
          <c:order val="2"/>
          <c:tx>
            <c:strRef>
              <c:f>Arkusz1!$AC$53</c:f>
              <c:strCache>
                <c:ptCount val="1"/>
                <c:pt idx="0">
                  <c:v>2</c:v>
                </c:pt>
              </c:strCache>
            </c:strRef>
          </c:tx>
          <c:spPr>
            <a:solidFill>
              <a:schemeClr val="accent3"/>
            </a:solidFill>
            <a:ln>
              <a:noFill/>
            </a:ln>
            <a:effectLst/>
          </c:spPr>
          <c:invertIfNegative val="0"/>
          <c:cat>
            <c:strRef>
              <c:f>Arkusz1!$Z$54:$Z$59</c:f>
              <c:strCache>
                <c:ptCount val="6"/>
                <c:pt idx="0">
                  <c:v>Promotion in the media</c:v>
                </c:pt>
                <c:pt idx="1">
                  <c:v>Salespeople / traders</c:v>
                </c:pt>
                <c:pt idx="2">
                  <c:v>Family</c:v>
                </c:pt>
                <c:pt idx="3">
                  <c:v>Own experiences</c:v>
                </c:pt>
                <c:pt idx="4">
                  <c:v>Friends</c:v>
                </c:pt>
                <c:pt idx="5">
                  <c:v>Social media</c:v>
                </c:pt>
              </c:strCache>
            </c:strRef>
          </c:cat>
          <c:val>
            <c:numRef>
              <c:f>Arkusz1!$AC$54:$AC$59</c:f>
              <c:numCache>
                <c:formatCode>0.0%</c:formatCode>
                <c:ptCount val="6"/>
                <c:pt idx="0">
                  <c:v>7.1428571428571425E-2</c:v>
                </c:pt>
                <c:pt idx="1">
                  <c:v>0.12244897959183673</c:v>
                </c:pt>
                <c:pt idx="2">
                  <c:v>4.0816326530612242E-2</c:v>
                </c:pt>
                <c:pt idx="3">
                  <c:v>1.020408163265306E-2</c:v>
                </c:pt>
                <c:pt idx="4">
                  <c:v>6.1224489795918366E-2</c:v>
                </c:pt>
                <c:pt idx="5">
                  <c:v>8.1632653061224483E-2</c:v>
                </c:pt>
              </c:numCache>
            </c:numRef>
          </c:val>
          <c:extLst>
            <c:ext xmlns:c16="http://schemas.microsoft.com/office/drawing/2014/chart" uri="{C3380CC4-5D6E-409C-BE32-E72D297353CC}">
              <c16:uniqueId val="{00000002-E14F-4105-A7E5-BAA49BD726C6}"/>
            </c:ext>
          </c:extLst>
        </c:ser>
        <c:ser>
          <c:idx val="3"/>
          <c:order val="3"/>
          <c:tx>
            <c:strRef>
              <c:f>Arkusz1!$AD$53</c:f>
              <c:strCache>
                <c:ptCount val="1"/>
                <c:pt idx="0">
                  <c:v>3</c:v>
                </c:pt>
              </c:strCache>
            </c:strRef>
          </c:tx>
          <c:spPr>
            <a:solidFill>
              <a:schemeClr val="accent4"/>
            </a:solidFill>
            <a:ln>
              <a:noFill/>
            </a:ln>
            <a:effectLst/>
          </c:spPr>
          <c:invertIfNegative val="0"/>
          <c:cat>
            <c:strRef>
              <c:f>Arkusz1!$Z$54:$Z$59</c:f>
              <c:strCache>
                <c:ptCount val="6"/>
                <c:pt idx="0">
                  <c:v>Promotion in the media</c:v>
                </c:pt>
                <c:pt idx="1">
                  <c:v>Salespeople / traders</c:v>
                </c:pt>
                <c:pt idx="2">
                  <c:v>Family</c:v>
                </c:pt>
                <c:pt idx="3">
                  <c:v>Own experiences</c:v>
                </c:pt>
                <c:pt idx="4">
                  <c:v>Friends</c:v>
                </c:pt>
                <c:pt idx="5">
                  <c:v>Social media</c:v>
                </c:pt>
              </c:strCache>
            </c:strRef>
          </c:cat>
          <c:val>
            <c:numRef>
              <c:f>Arkusz1!$AD$54:$AD$59</c:f>
              <c:numCache>
                <c:formatCode>0.0%</c:formatCode>
                <c:ptCount val="6"/>
                <c:pt idx="0">
                  <c:v>0.14285714285714285</c:v>
                </c:pt>
                <c:pt idx="1">
                  <c:v>0.19387755102040816</c:v>
                </c:pt>
                <c:pt idx="2">
                  <c:v>8.1632653061224483E-2</c:v>
                </c:pt>
                <c:pt idx="3">
                  <c:v>1.020408163265306E-2</c:v>
                </c:pt>
                <c:pt idx="4">
                  <c:v>9.1836734693877556E-2</c:v>
                </c:pt>
                <c:pt idx="5">
                  <c:v>0.17346938775510204</c:v>
                </c:pt>
              </c:numCache>
            </c:numRef>
          </c:val>
          <c:extLst>
            <c:ext xmlns:c16="http://schemas.microsoft.com/office/drawing/2014/chart" uri="{C3380CC4-5D6E-409C-BE32-E72D297353CC}">
              <c16:uniqueId val="{00000003-E14F-4105-A7E5-BAA49BD726C6}"/>
            </c:ext>
          </c:extLst>
        </c:ser>
        <c:ser>
          <c:idx val="4"/>
          <c:order val="4"/>
          <c:tx>
            <c:strRef>
              <c:f>Arkusz1!$AE$53</c:f>
              <c:strCache>
                <c:ptCount val="1"/>
                <c:pt idx="0">
                  <c:v>4</c:v>
                </c:pt>
              </c:strCache>
            </c:strRef>
          </c:tx>
          <c:spPr>
            <a:solidFill>
              <a:schemeClr val="accent5"/>
            </a:solidFill>
            <a:ln>
              <a:noFill/>
            </a:ln>
            <a:effectLst/>
          </c:spPr>
          <c:invertIfNegative val="0"/>
          <c:cat>
            <c:strRef>
              <c:f>Arkusz1!$Z$54:$Z$59</c:f>
              <c:strCache>
                <c:ptCount val="6"/>
                <c:pt idx="0">
                  <c:v>Promotion in the media</c:v>
                </c:pt>
                <c:pt idx="1">
                  <c:v>Salespeople / traders</c:v>
                </c:pt>
                <c:pt idx="2">
                  <c:v>Family</c:v>
                </c:pt>
                <c:pt idx="3">
                  <c:v>Own experiences</c:v>
                </c:pt>
                <c:pt idx="4">
                  <c:v>Friends</c:v>
                </c:pt>
                <c:pt idx="5">
                  <c:v>Social media</c:v>
                </c:pt>
              </c:strCache>
            </c:strRef>
          </c:cat>
          <c:val>
            <c:numRef>
              <c:f>Arkusz1!$AE$54:$AE$59</c:f>
              <c:numCache>
                <c:formatCode>0.0%</c:formatCode>
                <c:ptCount val="6"/>
                <c:pt idx="0">
                  <c:v>0.14285714285714285</c:v>
                </c:pt>
                <c:pt idx="1">
                  <c:v>0.21428571428571427</c:v>
                </c:pt>
                <c:pt idx="2">
                  <c:v>0.20408163265306123</c:v>
                </c:pt>
                <c:pt idx="3">
                  <c:v>7.1428571428571425E-2</c:v>
                </c:pt>
                <c:pt idx="4">
                  <c:v>0.20408163265306123</c:v>
                </c:pt>
                <c:pt idx="5">
                  <c:v>0.19387755102040816</c:v>
                </c:pt>
              </c:numCache>
            </c:numRef>
          </c:val>
          <c:extLst>
            <c:ext xmlns:c16="http://schemas.microsoft.com/office/drawing/2014/chart" uri="{C3380CC4-5D6E-409C-BE32-E72D297353CC}">
              <c16:uniqueId val="{00000004-E14F-4105-A7E5-BAA49BD726C6}"/>
            </c:ext>
          </c:extLst>
        </c:ser>
        <c:ser>
          <c:idx val="5"/>
          <c:order val="5"/>
          <c:tx>
            <c:strRef>
              <c:f>Arkusz1!$AF$53</c:f>
              <c:strCache>
                <c:ptCount val="1"/>
                <c:pt idx="0">
                  <c:v>5</c:v>
                </c:pt>
              </c:strCache>
            </c:strRef>
          </c:tx>
          <c:spPr>
            <a:solidFill>
              <a:schemeClr val="accent6"/>
            </a:solidFill>
            <a:ln>
              <a:noFill/>
            </a:ln>
            <a:effectLst/>
          </c:spPr>
          <c:invertIfNegative val="0"/>
          <c:cat>
            <c:strRef>
              <c:f>Arkusz1!$Z$54:$Z$59</c:f>
              <c:strCache>
                <c:ptCount val="6"/>
                <c:pt idx="0">
                  <c:v>Promotion in the media</c:v>
                </c:pt>
                <c:pt idx="1">
                  <c:v>Salespeople / traders</c:v>
                </c:pt>
                <c:pt idx="2">
                  <c:v>Family</c:v>
                </c:pt>
                <c:pt idx="3">
                  <c:v>Own experiences</c:v>
                </c:pt>
                <c:pt idx="4">
                  <c:v>Friends</c:v>
                </c:pt>
                <c:pt idx="5">
                  <c:v>Social media</c:v>
                </c:pt>
              </c:strCache>
            </c:strRef>
          </c:cat>
          <c:val>
            <c:numRef>
              <c:f>Arkusz1!$AF$54:$AF$59</c:f>
              <c:numCache>
                <c:formatCode>0.0%</c:formatCode>
                <c:ptCount val="6"/>
                <c:pt idx="0">
                  <c:v>0.16326530612244897</c:v>
                </c:pt>
                <c:pt idx="1">
                  <c:v>0.17346938775510204</c:v>
                </c:pt>
                <c:pt idx="2">
                  <c:v>0.22448979591836735</c:v>
                </c:pt>
                <c:pt idx="3">
                  <c:v>0.18367346938775511</c:v>
                </c:pt>
                <c:pt idx="4">
                  <c:v>0.29591836734693877</c:v>
                </c:pt>
                <c:pt idx="5">
                  <c:v>0.20408163265306123</c:v>
                </c:pt>
              </c:numCache>
            </c:numRef>
          </c:val>
          <c:extLst>
            <c:ext xmlns:c16="http://schemas.microsoft.com/office/drawing/2014/chart" uri="{C3380CC4-5D6E-409C-BE32-E72D297353CC}">
              <c16:uniqueId val="{00000005-E14F-4105-A7E5-BAA49BD726C6}"/>
            </c:ext>
          </c:extLst>
        </c:ser>
        <c:ser>
          <c:idx val="6"/>
          <c:order val="6"/>
          <c:tx>
            <c:strRef>
              <c:f>Arkusz1!$AG$53</c:f>
              <c:strCache>
                <c:ptCount val="1"/>
                <c:pt idx="0">
                  <c:v>6</c:v>
                </c:pt>
              </c:strCache>
            </c:strRef>
          </c:tx>
          <c:spPr>
            <a:solidFill>
              <a:schemeClr val="accent1">
                <a:lumMod val="60000"/>
              </a:schemeClr>
            </a:solidFill>
            <a:ln>
              <a:noFill/>
            </a:ln>
            <a:effectLst/>
          </c:spPr>
          <c:invertIfNegative val="0"/>
          <c:cat>
            <c:strRef>
              <c:f>Arkusz1!$Z$54:$Z$59</c:f>
              <c:strCache>
                <c:ptCount val="6"/>
                <c:pt idx="0">
                  <c:v>Promotion in the media</c:v>
                </c:pt>
                <c:pt idx="1">
                  <c:v>Salespeople / traders</c:v>
                </c:pt>
                <c:pt idx="2">
                  <c:v>Family</c:v>
                </c:pt>
                <c:pt idx="3">
                  <c:v>Own experiences</c:v>
                </c:pt>
                <c:pt idx="4">
                  <c:v>Friends</c:v>
                </c:pt>
                <c:pt idx="5">
                  <c:v>Social media</c:v>
                </c:pt>
              </c:strCache>
            </c:strRef>
          </c:cat>
          <c:val>
            <c:numRef>
              <c:f>Arkusz1!$AG$54:$AG$59</c:f>
              <c:numCache>
                <c:formatCode>0.0%</c:formatCode>
                <c:ptCount val="6"/>
                <c:pt idx="0">
                  <c:v>0.19387755102040816</c:v>
                </c:pt>
                <c:pt idx="1">
                  <c:v>8.1632653061224483E-2</c:v>
                </c:pt>
                <c:pt idx="2">
                  <c:v>0.17346938775510204</c:v>
                </c:pt>
                <c:pt idx="3">
                  <c:v>0.21428571428571427</c:v>
                </c:pt>
                <c:pt idx="4">
                  <c:v>0.14285714285714285</c:v>
                </c:pt>
                <c:pt idx="5">
                  <c:v>9.1836734693877556E-2</c:v>
                </c:pt>
              </c:numCache>
            </c:numRef>
          </c:val>
          <c:extLst>
            <c:ext xmlns:c16="http://schemas.microsoft.com/office/drawing/2014/chart" uri="{C3380CC4-5D6E-409C-BE32-E72D297353CC}">
              <c16:uniqueId val="{00000006-E14F-4105-A7E5-BAA49BD726C6}"/>
            </c:ext>
          </c:extLst>
        </c:ser>
        <c:ser>
          <c:idx val="7"/>
          <c:order val="7"/>
          <c:tx>
            <c:strRef>
              <c:f>Arkusz1!$AH$53</c:f>
              <c:strCache>
                <c:ptCount val="1"/>
                <c:pt idx="0">
                  <c:v>7</c:v>
                </c:pt>
              </c:strCache>
            </c:strRef>
          </c:tx>
          <c:spPr>
            <a:solidFill>
              <a:schemeClr val="accent2">
                <a:lumMod val="60000"/>
              </a:schemeClr>
            </a:solidFill>
            <a:ln>
              <a:noFill/>
            </a:ln>
            <a:effectLst/>
          </c:spPr>
          <c:invertIfNegative val="0"/>
          <c:cat>
            <c:strRef>
              <c:f>Arkusz1!$Z$54:$Z$59</c:f>
              <c:strCache>
                <c:ptCount val="6"/>
                <c:pt idx="0">
                  <c:v>Promotion in the media</c:v>
                </c:pt>
                <c:pt idx="1">
                  <c:v>Salespeople / traders</c:v>
                </c:pt>
                <c:pt idx="2">
                  <c:v>Family</c:v>
                </c:pt>
                <c:pt idx="3">
                  <c:v>Own experiences</c:v>
                </c:pt>
                <c:pt idx="4">
                  <c:v>Friends</c:v>
                </c:pt>
                <c:pt idx="5">
                  <c:v>Social media</c:v>
                </c:pt>
              </c:strCache>
            </c:strRef>
          </c:cat>
          <c:val>
            <c:numRef>
              <c:f>Arkusz1!$AH$54:$AH$59</c:f>
              <c:numCache>
                <c:formatCode>0.0%</c:formatCode>
                <c:ptCount val="6"/>
                <c:pt idx="0">
                  <c:v>8.1632653061224483E-2</c:v>
                </c:pt>
                <c:pt idx="1">
                  <c:v>5.1020408163265307E-2</c:v>
                </c:pt>
                <c:pt idx="2">
                  <c:v>0.15306122448979592</c:v>
                </c:pt>
                <c:pt idx="3">
                  <c:v>0.46938775510204084</c:v>
                </c:pt>
                <c:pt idx="4">
                  <c:v>9.1836734693877556E-2</c:v>
                </c:pt>
                <c:pt idx="5">
                  <c:v>5.1020408163265307E-2</c:v>
                </c:pt>
              </c:numCache>
            </c:numRef>
          </c:val>
          <c:extLst>
            <c:ext xmlns:c16="http://schemas.microsoft.com/office/drawing/2014/chart" uri="{C3380CC4-5D6E-409C-BE32-E72D297353CC}">
              <c16:uniqueId val="{00000007-E14F-4105-A7E5-BAA49BD726C6}"/>
            </c:ext>
          </c:extLst>
        </c:ser>
        <c:dLbls>
          <c:showLegendKey val="0"/>
          <c:showVal val="0"/>
          <c:showCatName val="0"/>
          <c:showSerName val="0"/>
          <c:showPercent val="0"/>
          <c:showBubbleSize val="0"/>
        </c:dLbls>
        <c:gapWidth val="219"/>
        <c:overlap val="-27"/>
        <c:axId val="873045616"/>
        <c:axId val="873050608"/>
      </c:barChart>
      <c:catAx>
        <c:axId val="8730456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“0” insignificant, “7” very significant</a:t>
                </a:r>
              </a:p>
            </c:rich>
          </c:tx>
          <c:layout>
            <c:manualLayout>
              <c:xMode val="edge"/>
              <c:yMode val="edge"/>
              <c:x val="0.29852731364205465"/>
              <c:y val="0.8113092745911049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873050608"/>
        <c:crosses val="autoZero"/>
        <c:auto val="1"/>
        <c:lblAlgn val="ctr"/>
        <c:lblOffset val="100"/>
        <c:noMultiLvlLbl val="0"/>
      </c:catAx>
      <c:valAx>
        <c:axId val="8730506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a:t>
                </a:r>
              </a:p>
            </c:rich>
          </c:tx>
          <c:layout>
            <c:manualLayout>
              <c:xMode val="edge"/>
              <c:yMode val="edge"/>
              <c:x val="1.99033266988911E-2"/>
              <c:y val="0.3481629096774426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873045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Arkusz1!$AA$73</c:f>
              <c:strCache>
                <c:ptCount val="1"/>
                <c:pt idx="0">
                  <c:v>0</c:v>
                </c:pt>
              </c:strCache>
            </c:strRef>
          </c:tx>
          <c:spPr>
            <a:solidFill>
              <a:schemeClr val="accent1"/>
            </a:solidFill>
            <a:ln>
              <a:noFill/>
            </a:ln>
            <a:effectLst/>
          </c:spPr>
          <c:invertIfNegative val="0"/>
          <c:cat>
            <c:strRef>
              <c:f>Arkusz1!$Z$74:$Z$81</c:f>
              <c:strCache>
                <c:ptCount val="8"/>
                <c:pt idx="0">
                  <c:v>EU funds</c:v>
                </c:pt>
                <c:pt idx="1">
                  <c:v>Loan</c:v>
                </c:pt>
                <c:pt idx="2">
                  <c:v>Credit (trade credit)</c:v>
                </c:pt>
                <c:pt idx="3">
                  <c:v>Credit with subsidy</c:v>
                </c:pt>
                <c:pt idx="4">
                  <c:v>Consulting services provided by consulting companies</c:v>
                </c:pt>
                <c:pt idx="5">
                  <c:v>Consulting services provided by authorized suppliers</c:v>
                </c:pt>
                <c:pt idx="6">
                  <c:v>Possibility to withdraw from the contract</c:v>
                </c:pt>
                <c:pt idx="7">
                  <c:v>Possibility to complete the transaction online</c:v>
                </c:pt>
              </c:strCache>
            </c:strRef>
          </c:cat>
          <c:val>
            <c:numRef>
              <c:f>Arkusz1!$AA$74:$AA$81</c:f>
              <c:numCache>
                <c:formatCode>0.0%</c:formatCode>
                <c:ptCount val="8"/>
                <c:pt idx="0">
                  <c:v>4.0816326530612242E-2</c:v>
                </c:pt>
                <c:pt idx="1">
                  <c:v>0.34693877551020408</c:v>
                </c:pt>
                <c:pt idx="2">
                  <c:v>0.39795918367346939</c:v>
                </c:pt>
                <c:pt idx="3">
                  <c:v>0.34693877551020408</c:v>
                </c:pt>
                <c:pt idx="4">
                  <c:v>0.21428571428571427</c:v>
                </c:pt>
                <c:pt idx="5">
                  <c:v>0.20408163265306123</c:v>
                </c:pt>
                <c:pt idx="6">
                  <c:v>6.1224489795918366E-2</c:v>
                </c:pt>
                <c:pt idx="7">
                  <c:v>5.1020408163265307E-2</c:v>
                </c:pt>
              </c:numCache>
            </c:numRef>
          </c:val>
          <c:extLst>
            <c:ext xmlns:c16="http://schemas.microsoft.com/office/drawing/2014/chart" uri="{C3380CC4-5D6E-409C-BE32-E72D297353CC}">
              <c16:uniqueId val="{00000000-D971-4260-B5A3-3986A5585F8A}"/>
            </c:ext>
          </c:extLst>
        </c:ser>
        <c:ser>
          <c:idx val="1"/>
          <c:order val="1"/>
          <c:tx>
            <c:strRef>
              <c:f>Arkusz1!$AB$73</c:f>
              <c:strCache>
                <c:ptCount val="1"/>
                <c:pt idx="0">
                  <c:v>1</c:v>
                </c:pt>
              </c:strCache>
            </c:strRef>
          </c:tx>
          <c:spPr>
            <a:solidFill>
              <a:schemeClr val="accent2"/>
            </a:solidFill>
            <a:ln>
              <a:noFill/>
            </a:ln>
            <a:effectLst/>
          </c:spPr>
          <c:invertIfNegative val="0"/>
          <c:cat>
            <c:strRef>
              <c:f>Arkusz1!$Z$74:$Z$81</c:f>
              <c:strCache>
                <c:ptCount val="8"/>
                <c:pt idx="0">
                  <c:v>EU funds</c:v>
                </c:pt>
                <c:pt idx="1">
                  <c:v>Loan</c:v>
                </c:pt>
                <c:pt idx="2">
                  <c:v>Credit (trade credit)</c:v>
                </c:pt>
                <c:pt idx="3">
                  <c:v>Credit with subsidy</c:v>
                </c:pt>
                <c:pt idx="4">
                  <c:v>Consulting services provided by consulting companies</c:v>
                </c:pt>
                <c:pt idx="5">
                  <c:v>Consulting services provided by authorized suppliers</c:v>
                </c:pt>
                <c:pt idx="6">
                  <c:v>Possibility to withdraw from the contract</c:v>
                </c:pt>
                <c:pt idx="7">
                  <c:v>Possibility to complete the transaction online</c:v>
                </c:pt>
              </c:strCache>
            </c:strRef>
          </c:cat>
          <c:val>
            <c:numRef>
              <c:f>Arkusz1!$AB$74:$AB$81</c:f>
              <c:numCache>
                <c:formatCode>0.0%</c:formatCode>
                <c:ptCount val="8"/>
                <c:pt idx="0">
                  <c:v>4.0816326530612242E-2</c:v>
                </c:pt>
                <c:pt idx="1">
                  <c:v>0.11224489795918367</c:v>
                </c:pt>
                <c:pt idx="2">
                  <c:v>0.1326530612244898</c:v>
                </c:pt>
                <c:pt idx="3">
                  <c:v>7.1428571428571425E-2</c:v>
                </c:pt>
                <c:pt idx="4">
                  <c:v>7.1428571428571425E-2</c:v>
                </c:pt>
                <c:pt idx="5">
                  <c:v>6.1224489795918366E-2</c:v>
                </c:pt>
                <c:pt idx="6">
                  <c:v>1.020408163265306E-2</c:v>
                </c:pt>
                <c:pt idx="7">
                  <c:v>7.1428571428571425E-2</c:v>
                </c:pt>
              </c:numCache>
            </c:numRef>
          </c:val>
          <c:extLst>
            <c:ext xmlns:c16="http://schemas.microsoft.com/office/drawing/2014/chart" uri="{C3380CC4-5D6E-409C-BE32-E72D297353CC}">
              <c16:uniqueId val="{00000001-D971-4260-B5A3-3986A5585F8A}"/>
            </c:ext>
          </c:extLst>
        </c:ser>
        <c:ser>
          <c:idx val="2"/>
          <c:order val="2"/>
          <c:tx>
            <c:strRef>
              <c:f>Arkusz1!$AC$73</c:f>
              <c:strCache>
                <c:ptCount val="1"/>
                <c:pt idx="0">
                  <c:v>2</c:v>
                </c:pt>
              </c:strCache>
            </c:strRef>
          </c:tx>
          <c:spPr>
            <a:solidFill>
              <a:schemeClr val="accent3"/>
            </a:solidFill>
            <a:ln>
              <a:noFill/>
            </a:ln>
            <a:effectLst/>
          </c:spPr>
          <c:invertIfNegative val="0"/>
          <c:cat>
            <c:strRef>
              <c:f>Arkusz1!$Z$74:$Z$81</c:f>
              <c:strCache>
                <c:ptCount val="8"/>
                <c:pt idx="0">
                  <c:v>EU funds</c:v>
                </c:pt>
                <c:pt idx="1">
                  <c:v>Loan</c:v>
                </c:pt>
                <c:pt idx="2">
                  <c:v>Credit (trade credit)</c:v>
                </c:pt>
                <c:pt idx="3">
                  <c:v>Credit with subsidy</c:v>
                </c:pt>
                <c:pt idx="4">
                  <c:v>Consulting services provided by consulting companies</c:v>
                </c:pt>
                <c:pt idx="5">
                  <c:v>Consulting services provided by authorized suppliers</c:v>
                </c:pt>
                <c:pt idx="6">
                  <c:v>Possibility to withdraw from the contract</c:v>
                </c:pt>
                <c:pt idx="7">
                  <c:v>Possibility to complete the transaction online</c:v>
                </c:pt>
              </c:strCache>
            </c:strRef>
          </c:cat>
          <c:val>
            <c:numRef>
              <c:f>Arkusz1!$AC$74:$AC$81</c:f>
              <c:numCache>
                <c:formatCode>0.0%</c:formatCode>
                <c:ptCount val="8"/>
                <c:pt idx="0">
                  <c:v>4.0816326530612242E-2</c:v>
                </c:pt>
                <c:pt idx="1">
                  <c:v>0.1326530612244898</c:v>
                </c:pt>
                <c:pt idx="2">
                  <c:v>0.1326530612244898</c:v>
                </c:pt>
                <c:pt idx="3">
                  <c:v>0.15306122448979592</c:v>
                </c:pt>
                <c:pt idx="4">
                  <c:v>0.16326530612244897</c:v>
                </c:pt>
                <c:pt idx="5">
                  <c:v>0.16326530612244897</c:v>
                </c:pt>
                <c:pt idx="6">
                  <c:v>3.0612244897959183E-2</c:v>
                </c:pt>
                <c:pt idx="7">
                  <c:v>6.1224489795918366E-2</c:v>
                </c:pt>
              </c:numCache>
            </c:numRef>
          </c:val>
          <c:extLst>
            <c:ext xmlns:c16="http://schemas.microsoft.com/office/drawing/2014/chart" uri="{C3380CC4-5D6E-409C-BE32-E72D297353CC}">
              <c16:uniqueId val="{00000002-D971-4260-B5A3-3986A5585F8A}"/>
            </c:ext>
          </c:extLst>
        </c:ser>
        <c:ser>
          <c:idx val="3"/>
          <c:order val="3"/>
          <c:tx>
            <c:strRef>
              <c:f>Arkusz1!$AD$73</c:f>
              <c:strCache>
                <c:ptCount val="1"/>
                <c:pt idx="0">
                  <c:v>3</c:v>
                </c:pt>
              </c:strCache>
            </c:strRef>
          </c:tx>
          <c:spPr>
            <a:solidFill>
              <a:schemeClr val="accent4"/>
            </a:solidFill>
            <a:ln>
              <a:noFill/>
            </a:ln>
            <a:effectLst/>
          </c:spPr>
          <c:invertIfNegative val="0"/>
          <c:cat>
            <c:strRef>
              <c:f>Arkusz1!$Z$74:$Z$81</c:f>
              <c:strCache>
                <c:ptCount val="8"/>
                <c:pt idx="0">
                  <c:v>EU funds</c:v>
                </c:pt>
                <c:pt idx="1">
                  <c:v>Loan</c:v>
                </c:pt>
                <c:pt idx="2">
                  <c:v>Credit (trade credit)</c:v>
                </c:pt>
                <c:pt idx="3">
                  <c:v>Credit with subsidy</c:v>
                </c:pt>
                <c:pt idx="4">
                  <c:v>Consulting services provided by consulting companies</c:v>
                </c:pt>
                <c:pt idx="5">
                  <c:v>Consulting services provided by authorized suppliers</c:v>
                </c:pt>
                <c:pt idx="6">
                  <c:v>Possibility to withdraw from the contract</c:v>
                </c:pt>
                <c:pt idx="7">
                  <c:v>Possibility to complete the transaction online</c:v>
                </c:pt>
              </c:strCache>
            </c:strRef>
          </c:cat>
          <c:val>
            <c:numRef>
              <c:f>Arkusz1!$AD$74:$AD$81</c:f>
              <c:numCache>
                <c:formatCode>0.0%</c:formatCode>
                <c:ptCount val="8"/>
                <c:pt idx="0">
                  <c:v>2.0408163265306121E-2</c:v>
                </c:pt>
                <c:pt idx="1">
                  <c:v>0.15306122448979592</c:v>
                </c:pt>
                <c:pt idx="2">
                  <c:v>0.12244897959183673</c:v>
                </c:pt>
                <c:pt idx="3">
                  <c:v>0.15306122448979592</c:v>
                </c:pt>
                <c:pt idx="4">
                  <c:v>0.18367346938775511</c:v>
                </c:pt>
                <c:pt idx="5">
                  <c:v>0.14285714285714285</c:v>
                </c:pt>
                <c:pt idx="6">
                  <c:v>0.10204081632653061</c:v>
                </c:pt>
                <c:pt idx="7">
                  <c:v>8.1632653061224483E-2</c:v>
                </c:pt>
              </c:numCache>
            </c:numRef>
          </c:val>
          <c:extLst>
            <c:ext xmlns:c16="http://schemas.microsoft.com/office/drawing/2014/chart" uri="{C3380CC4-5D6E-409C-BE32-E72D297353CC}">
              <c16:uniqueId val="{00000003-D971-4260-B5A3-3986A5585F8A}"/>
            </c:ext>
          </c:extLst>
        </c:ser>
        <c:ser>
          <c:idx val="4"/>
          <c:order val="4"/>
          <c:tx>
            <c:strRef>
              <c:f>Arkusz1!$AE$73</c:f>
              <c:strCache>
                <c:ptCount val="1"/>
                <c:pt idx="0">
                  <c:v>4</c:v>
                </c:pt>
              </c:strCache>
            </c:strRef>
          </c:tx>
          <c:spPr>
            <a:solidFill>
              <a:schemeClr val="accent5"/>
            </a:solidFill>
            <a:ln>
              <a:noFill/>
            </a:ln>
            <a:effectLst/>
          </c:spPr>
          <c:invertIfNegative val="0"/>
          <c:cat>
            <c:strRef>
              <c:f>Arkusz1!$Z$74:$Z$81</c:f>
              <c:strCache>
                <c:ptCount val="8"/>
                <c:pt idx="0">
                  <c:v>EU funds</c:v>
                </c:pt>
                <c:pt idx="1">
                  <c:v>Loan</c:v>
                </c:pt>
                <c:pt idx="2">
                  <c:v>Credit (trade credit)</c:v>
                </c:pt>
                <c:pt idx="3">
                  <c:v>Credit with subsidy</c:v>
                </c:pt>
                <c:pt idx="4">
                  <c:v>Consulting services provided by consulting companies</c:v>
                </c:pt>
                <c:pt idx="5">
                  <c:v>Consulting services provided by authorized suppliers</c:v>
                </c:pt>
                <c:pt idx="6">
                  <c:v>Possibility to withdraw from the contract</c:v>
                </c:pt>
                <c:pt idx="7">
                  <c:v>Possibility to complete the transaction online</c:v>
                </c:pt>
              </c:strCache>
            </c:strRef>
          </c:cat>
          <c:val>
            <c:numRef>
              <c:f>Arkusz1!$AE$74:$AE$81</c:f>
              <c:numCache>
                <c:formatCode>0.0%</c:formatCode>
                <c:ptCount val="8"/>
                <c:pt idx="0">
                  <c:v>7.1428571428571425E-2</c:v>
                </c:pt>
                <c:pt idx="1">
                  <c:v>7.1428571428571425E-2</c:v>
                </c:pt>
                <c:pt idx="2">
                  <c:v>5.1020408163265307E-2</c:v>
                </c:pt>
                <c:pt idx="3">
                  <c:v>9.1836734693877556E-2</c:v>
                </c:pt>
                <c:pt idx="4">
                  <c:v>0.16326530612244897</c:v>
                </c:pt>
                <c:pt idx="5">
                  <c:v>0.14285714285714285</c:v>
                </c:pt>
                <c:pt idx="6">
                  <c:v>0.16326530612244897</c:v>
                </c:pt>
                <c:pt idx="7">
                  <c:v>0.16326530612244897</c:v>
                </c:pt>
              </c:numCache>
            </c:numRef>
          </c:val>
          <c:extLst>
            <c:ext xmlns:c16="http://schemas.microsoft.com/office/drawing/2014/chart" uri="{C3380CC4-5D6E-409C-BE32-E72D297353CC}">
              <c16:uniqueId val="{00000004-D971-4260-B5A3-3986A5585F8A}"/>
            </c:ext>
          </c:extLst>
        </c:ser>
        <c:ser>
          <c:idx val="5"/>
          <c:order val="5"/>
          <c:tx>
            <c:strRef>
              <c:f>Arkusz1!$AF$73</c:f>
              <c:strCache>
                <c:ptCount val="1"/>
                <c:pt idx="0">
                  <c:v>5</c:v>
                </c:pt>
              </c:strCache>
            </c:strRef>
          </c:tx>
          <c:spPr>
            <a:solidFill>
              <a:schemeClr val="accent6"/>
            </a:solidFill>
            <a:ln>
              <a:noFill/>
            </a:ln>
            <a:effectLst/>
          </c:spPr>
          <c:invertIfNegative val="0"/>
          <c:cat>
            <c:strRef>
              <c:f>Arkusz1!$Z$74:$Z$81</c:f>
              <c:strCache>
                <c:ptCount val="8"/>
                <c:pt idx="0">
                  <c:v>EU funds</c:v>
                </c:pt>
                <c:pt idx="1">
                  <c:v>Loan</c:v>
                </c:pt>
                <c:pt idx="2">
                  <c:v>Credit (trade credit)</c:v>
                </c:pt>
                <c:pt idx="3">
                  <c:v>Credit with subsidy</c:v>
                </c:pt>
                <c:pt idx="4">
                  <c:v>Consulting services provided by consulting companies</c:v>
                </c:pt>
                <c:pt idx="5">
                  <c:v>Consulting services provided by authorized suppliers</c:v>
                </c:pt>
                <c:pt idx="6">
                  <c:v>Possibility to withdraw from the contract</c:v>
                </c:pt>
                <c:pt idx="7">
                  <c:v>Possibility to complete the transaction online</c:v>
                </c:pt>
              </c:strCache>
            </c:strRef>
          </c:cat>
          <c:val>
            <c:numRef>
              <c:f>Arkusz1!$AF$74:$AF$81</c:f>
              <c:numCache>
                <c:formatCode>0.0%</c:formatCode>
                <c:ptCount val="8"/>
                <c:pt idx="0">
                  <c:v>9.1836734693877556E-2</c:v>
                </c:pt>
                <c:pt idx="1">
                  <c:v>8.1632653061224483E-2</c:v>
                </c:pt>
                <c:pt idx="2">
                  <c:v>6.1224489795918366E-2</c:v>
                </c:pt>
                <c:pt idx="3">
                  <c:v>7.1428571428571425E-2</c:v>
                </c:pt>
                <c:pt idx="4">
                  <c:v>8.1632653061224483E-2</c:v>
                </c:pt>
                <c:pt idx="5">
                  <c:v>0.14285714285714285</c:v>
                </c:pt>
                <c:pt idx="6">
                  <c:v>0.22448979591836735</c:v>
                </c:pt>
                <c:pt idx="7">
                  <c:v>0.16326530612244897</c:v>
                </c:pt>
              </c:numCache>
            </c:numRef>
          </c:val>
          <c:extLst>
            <c:ext xmlns:c16="http://schemas.microsoft.com/office/drawing/2014/chart" uri="{C3380CC4-5D6E-409C-BE32-E72D297353CC}">
              <c16:uniqueId val="{00000005-D971-4260-B5A3-3986A5585F8A}"/>
            </c:ext>
          </c:extLst>
        </c:ser>
        <c:ser>
          <c:idx val="6"/>
          <c:order val="6"/>
          <c:tx>
            <c:strRef>
              <c:f>Arkusz1!$AG$73</c:f>
              <c:strCache>
                <c:ptCount val="1"/>
                <c:pt idx="0">
                  <c:v>6</c:v>
                </c:pt>
              </c:strCache>
            </c:strRef>
          </c:tx>
          <c:spPr>
            <a:solidFill>
              <a:schemeClr val="accent1">
                <a:lumMod val="60000"/>
              </a:schemeClr>
            </a:solidFill>
            <a:ln>
              <a:noFill/>
            </a:ln>
            <a:effectLst/>
          </c:spPr>
          <c:invertIfNegative val="0"/>
          <c:cat>
            <c:strRef>
              <c:f>Arkusz1!$Z$74:$Z$81</c:f>
              <c:strCache>
                <c:ptCount val="8"/>
                <c:pt idx="0">
                  <c:v>EU funds</c:v>
                </c:pt>
                <c:pt idx="1">
                  <c:v>Loan</c:v>
                </c:pt>
                <c:pt idx="2">
                  <c:v>Credit (trade credit)</c:v>
                </c:pt>
                <c:pt idx="3">
                  <c:v>Credit with subsidy</c:v>
                </c:pt>
                <c:pt idx="4">
                  <c:v>Consulting services provided by consulting companies</c:v>
                </c:pt>
                <c:pt idx="5">
                  <c:v>Consulting services provided by authorized suppliers</c:v>
                </c:pt>
                <c:pt idx="6">
                  <c:v>Possibility to withdraw from the contract</c:v>
                </c:pt>
                <c:pt idx="7">
                  <c:v>Possibility to complete the transaction online</c:v>
                </c:pt>
              </c:strCache>
            </c:strRef>
          </c:cat>
          <c:val>
            <c:numRef>
              <c:f>Arkusz1!$AG$74:$AG$81</c:f>
              <c:numCache>
                <c:formatCode>0.0%</c:formatCode>
                <c:ptCount val="8"/>
                <c:pt idx="0">
                  <c:v>0.14285714285714285</c:v>
                </c:pt>
                <c:pt idx="1">
                  <c:v>5.1020408163265307E-2</c:v>
                </c:pt>
                <c:pt idx="2">
                  <c:v>6.1224489795918366E-2</c:v>
                </c:pt>
                <c:pt idx="3">
                  <c:v>3.0612244897959183E-2</c:v>
                </c:pt>
                <c:pt idx="4">
                  <c:v>6.1224489795918366E-2</c:v>
                </c:pt>
                <c:pt idx="5">
                  <c:v>4.0816326530612242E-2</c:v>
                </c:pt>
                <c:pt idx="6">
                  <c:v>0.12244897959183673</c:v>
                </c:pt>
                <c:pt idx="7">
                  <c:v>0.18367346938775511</c:v>
                </c:pt>
              </c:numCache>
            </c:numRef>
          </c:val>
          <c:extLst>
            <c:ext xmlns:c16="http://schemas.microsoft.com/office/drawing/2014/chart" uri="{C3380CC4-5D6E-409C-BE32-E72D297353CC}">
              <c16:uniqueId val="{00000006-D971-4260-B5A3-3986A5585F8A}"/>
            </c:ext>
          </c:extLst>
        </c:ser>
        <c:ser>
          <c:idx val="7"/>
          <c:order val="7"/>
          <c:tx>
            <c:strRef>
              <c:f>Arkusz1!$AH$73</c:f>
              <c:strCache>
                <c:ptCount val="1"/>
                <c:pt idx="0">
                  <c:v>7</c:v>
                </c:pt>
              </c:strCache>
            </c:strRef>
          </c:tx>
          <c:spPr>
            <a:solidFill>
              <a:schemeClr val="accent2">
                <a:lumMod val="60000"/>
              </a:schemeClr>
            </a:solidFill>
            <a:ln>
              <a:noFill/>
            </a:ln>
            <a:effectLst/>
          </c:spPr>
          <c:invertIfNegative val="0"/>
          <c:cat>
            <c:strRef>
              <c:f>Arkusz1!$Z$74:$Z$81</c:f>
              <c:strCache>
                <c:ptCount val="8"/>
                <c:pt idx="0">
                  <c:v>EU funds</c:v>
                </c:pt>
                <c:pt idx="1">
                  <c:v>Loan</c:v>
                </c:pt>
                <c:pt idx="2">
                  <c:v>Credit (trade credit)</c:v>
                </c:pt>
                <c:pt idx="3">
                  <c:v>Credit with subsidy</c:v>
                </c:pt>
                <c:pt idx="4">
                  <c:v>Consulting services provided by consulting companies</c:v>
                </c:pt>
                <c:pt idx="5">
                  <c:v>Consulting services provided by authorized suppliers</c:v>
                </c:pt>
                <c:pt idx="6">
                  <c:v>Possibility to withdraw from the contract</c:v>
                </c:pt>
                <c:pt idx="7">
                  <c:v>Possibility to complete the transaction online</c:v>
                </c:pt>
              </c:strCache>
            </c:strRef>
          </c:cat>
          <c:val>
            <c:numRef>
              <c:f>Arkusz1!$AH$74:$AH$81</c:f>
              <c:numCache>
                <c:formatCode>0.0%</c:formatCode>
                <c:ptCount val="8"/>
                <c:pt idx="0">
                  <c:v>0.55102040816326525</c:v>
                </c:pt>
                <c:pt idx="1">
                  <c:v>5.1020408163265307E-2</c:v>
                </c:pt>
                <c:pt idx="2">
                  <c:v>4.0816326530612242E-2</c:v>
                </c:pt>
                <c:pt idx="3">
                  <c:v>8.1632653061224483E-2</c:v>
                </c:pt>
                <c:pt idx="4">
                  <c:v>6.1224489795918366E-2</c:v>
                </c:pt>
                <c:pt idx="5">
                  <c:v>0.10204081632653061</c:v>
                </c:pt>
                <c:pt idx="6">
                  <c:v>0.2857142857142857</c:v>
                </c:pt>
                <c:pt idx="7">
                  <c:v>0.22448979591836735</c:v>
                </c:pt>
              </c:numCache>
            </c:numRef>
          </c:val>
          <c:extLst>
            <c:ext xmlns:c16="http://schemas.microsoft.com/office/drawing/2014/chart" uri="{C3380CC4-5D6E-409C-BE32-E72D297353CC}">
              <c16:uniqueId val="{00000007-D971-4260-B5A3-3986A5585F8A}"/>
            </c:ext>
          </c:extLst>
        </c:ser>
        <c:dLbls>
          <c:showLegendKey val="0"/>
          <c:showVal val="0"/>
          <c:showCatName val="0"/>
          <c:showSerName val="0"/>
          <c:showPercent val="0"/>
          <c:showBubbleSize val="0"/>
        </c:dLbls>
        <c:gapWidth val="150"/>
        <c:overlap val="-25"/>
        <c:axId val="1019813728"/>
        <c:axId val="1019812064"/>
      </c:barChart>
      <c:catAx>
        <c:axId val="10198137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“0” I would not use it  and “7” I would use it 100%</a:t>
                </a:r>
              </a:p>
            </c:rich>
          </c:tx>
          <c:layout>
            <c:manualLayout>
              <c:xMode val="edge"/>
              <c:yMode val="edge"/>
              <c:x val="0.27140717947102228"/>
              <c:y val="0.9130918224263062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019812064"/>
        <c:crosses val="autoZero"/>
        <c:auto val="1"/>
        <c:lblAlgn val="ctr"/>
        <c:lblOffset val="100"/>
        <c:noMultiLvlLbl val="0"/>
      </c:catAx>
      <c:valAx>
        <c:axId val="1019812064"/>
        <c:scaling>
          <c:orientation val="minMax"/>
        </c:scaling>
        <c:delete val="1"/>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a:t>
                </a:r>
              </a:p>
            </c:rich>
          </c:tx>
          <c:layout>
            <c:manualLayout>
              <c:xMode val="edge"/>
              <c:yMode val="edge"/>
              <c:x val="1.5560742469712126E-2"/>
              <c:y val="0.3715882090081205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0.0%" sourceLinked="1"/>
        <c:majorTickMark val="none"/>
        <c:minorTickMark val="none"/>
        <c:tickLblPos val="nextTo"/>
        <c:crossAx val="10198137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17</Pages>
  <Words>8863</Words>
  <Characters>53183</Characters>
  <Application>Microsoft Office Word</Application>
  <DocSecurity>0</DocSecurity>
  <Lines>443</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Janusz Dabrowski NA</dc:creator>
  <cp:keywords/>
  <dc:description/>
  <cp:lastModifiedBy>Janusz Dabrowski NA</cp:lastModifiedBy>
  <cp:revision>46</cp:revision>
  <cp:lastPrinted>2025-12-18T08:56:00Z</cp:lastPrinted>
  <dcterms:created xsi:type="dcterms:W3CDTF">2025-12-09T09:15:00Z</dcterms:created>
  <dcterms:modified xsi:type="dcterms:W3CDTF">2025-12-18T08:58:00Z</dcterms:modified>
</cp:coreProperties>
</file>