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A76620" w:rsidRPr="007A5A91" w14:paraId="10E2C3AB" w14:textId="77777777" w:rsidTr="001174B2">
        <w:trPr>
          <w:trHeight w:hRule="exact" w:val="142"/>
        </w:trPr>
        <w:tc>
          <w:tcPr>
            <w:tcW w:w="709" w:type="dxa"/>
            <w:vMerge w:val="restart"/>
            <w:vAlign w:val="center"/>
          </w:tcPr>
          <w:p w14:paraId="23F5D573" w14:textId="77777777" w:rsidR="00A76620" w:rsidRPr="007A5A91" w:rsidRDefault="00A76620" w:rsidP="007E7F83">
            <w:pPr>
              <w:spacing w:after="0" w:line="240" w:lineRule="auto"/>
              <w:rPr>
                <w:lang w:val="en-GB"/>
              </w:rPr>
            </w:pPr>
            <w:bookmarkStart w:id="0" w:name="_Hlk184284483"/>
            <w:bookmarkStart w:id="1" w:name="_Hlk145412337"/>
            <w:bookmarkStart w:id="2" w:name="_Hlk103340665"/>
            <w:bookmarkStart w:id="3" w:name="_Hlk24804592"/>
            <w:bookmarkEnd w:id="0"/>
            <w:bookmarkEnd w:id="1"/>
            <w:bookmarkEnd w:id="2"/>
            <w:r w:rsidRPr="007A5A91">
              <w:rPr>
                <w:rFonts w:ascii="Calibri" w:hAnsi="Calibri"/>
                <w:noProof/>
                <w:lang w:val="en-GB"/>
              </w:rPr>
              <w:drawing>
                <wp:anchor distT="0" distB="0" distL="114300" distR="114300" simplePos="0" relativeHeight="251660288" behindDoc="0" locked="0" layoutInCell="1" allowOverlap="1" wp14:anchorId="7DF021F0" wp14:editId="0052FB4A">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290A72CC" w14:textId="77777777" w:rsidR="00A76620" w:rsidRPr="007A5A91" w:rsidRDefault="00A76620" w:rsidP="007E7F83">
            <w:pPr>
              <w:spacing w:after="0" w:line="240" w:lineRule="auto"/>
              <w:jc w:val="center"/>
              <w:rPr>
                <w:lang w:val="en-GB"/>
              </w:rPr>
            </w:pPr>
          </w:p>
        </w:tc>
      </w:tr>
      <w:tr w:rsidR="00A76620" w:rsidRPr="007A5A91" w14:paraId="784DCFDE" w14:textId="77777777" w:rsidTr="001174B2">
        <w:trPr>
          <w:trHeight w:hRule="exact" w:val="283"/>
        </w:trPr>
        <w:tc>
          <w:tcPr>
            <w:tcW w:w="709" w:type="dxa"/>
            <w:vMerge/>
          </w:tcPr>
          <w:p w14:paraId="66793C81" w14:textId="77777777" w:rsidR="00A76620" w:rsidRPr="007A5A91" w:rsidRDefault="00A76620" w:rsidP="007E7F83">
            <w:pPr>
              <w:spacing w:after="0" w:line="240" w:lineRule="auto"/>
              <w:jc w:val="center"/>
              <w:rPr>
                <w:lang w:val="en-GB"/>
              </w:rPr>
            </w:pPr>
          </w:p>
        </w:tc>
        <w:tc>
          <w:tcPr>
            <w:tcW w:w="8930" w:type="dxa"/>
            <w:gridSpan w:val="3"/>
            <w:tcBorders>
              <w:bottom w:val="single" w:sz="2" w:space="0" w:color="auto"/>
            </w:tcBorders>
            <w:vAlign w:val="center"/>
          </w:tcPr>
          <w:p w14:paraId="54130258" w14:textId="77777777" w:rsidR="00A76620" w:rsidRPr="007A5A91" w:rsidRDefault="00A76620" w:rsidP="007E7F83">
            <w:pPr>
              <w:spacing w:after="0" w:line="240" w:lineRule="auto"/>
              <w:jc w:val="center"/>
              <w:rPr>
                <w:lang w:val="en-GB"/>
              </w:rPr>
            </w:pPr>
            <w:proofErr w:type="spellStart"/>
            <w:r w:rsidRPr="007A5A91">
              <w:rPr>
                <w:b/>
                <w:sz w:val="20"/>
                <w:lang w:val="en-GB"/>
              </w:rPr>
              <w:t>Rocznik</w:t>
            </w:r>
            <w:proofErr w:type="spellEnd"/>
            <w:r w:rsidRPr="007A5A91">
              <w:rPr>
                <w:b/>
                <w:sz w:val="20"/>
                <w:lang w:val="en-GB"/>
              </w:rPr>
              <w:t xml:space="preserve"> </w:t>
            </w:r>
            <w:proofErr w:type="spellStart"/>
            <w:r w:rsidRPr="007A5A91">
              <w:rPr>
                <w:b/>
                <w:sz w:val="20"/>
                <w:lang w:val="en-GB"/>
              </w:rPr>
              <w:t>Ochrona</w:t>
            </w:r>
            <w:proofErr w:type="spellEnd"/>
            <w:r w:rsidRPr="007A5A91">
              <w:rPr>
                <w:b/>
                <w:sz w:val="20"/>
                <w:lang w:val="en-GB"/>
              </w:rPr>
              <w:t xml:space="preserve"> </w:t>
            </w:r>
            <w:proofErr w:type="spellStart"/>
            <w:r w:rsidRPr="007A5A91">
              <w:rPr>
                <w:b/>
                <w:sz w:val="20"/>
                <w:lang w:val="en-GB"/>
              </w:rPr>
              <w:t>Środowiska</w:t>
            </w:r>
            <w:proofErr w:type="spellEnd"/>
          </w:p>
        </w:tc>
      </w:tr>
      <w:tr w:rsidR="00A76620" w:rsidRPr="007A5A91" w14:paraId="0A74A3C9" w14:textId="77777777" w:rsidTr="001174B2">
        <w:trPr>
          <w:trHeight w:hRule="exact" w:val="283"/>
        </w:trPr>
        <w:tc>
          <w:tcPr>
            <w:tcW w:w="709" w:type="dxa"/>
            <w:vMerge/>
          </w:tcPr>
          <w:p w14:paraId="5C2C790C" w14:textId="77777777" w:rsidR="00A76620" w:rsidRPr="007A5A91" w:rsidRDefault="00A76620" w:rsidP="007E7F83">
            <w:pPr>
              <w:spacing w:after="0" w:line="240" w:lineRule="auto"/>
              <w:jc w:val="center"/>
              <w:rPr>
                <w:lang w:val="en-GB"/>
              </w:rPr>
            </w:pPr>
          </w:p>
        </w:tc>
        <w:tc>
          <w:tcPr>
            <w:tcW w:w="992" w:type="dxa"/>
            <w:tcBorders>
              <w:top w:val="single" w:sz="2" w:space="0" w:color="auto"/>
              <w:bottom w:val="single" w:sz="2" w:space="0" w:color="auto"/>
            </w:tcBorders>
            <w:vAlign w:val="center"/>
          </w:tcPr>
          <w:p w14:paraId="312CB5E0" w14:textId="77777777" w:rsidR="00A76620" w:rsidRPr="007A5A91" w:rsidRDefault="00A76620" w:rsidP="007E7F83">
            <w:pPr>
              <w:spacing w:after="0" w:line="240" w:lineRule="auto"/>
              <w:rPr>
                <w:kern w:val="18"/>
                <w:sz w:val="18"/>
                <w:lang w:val="en-GB"/>
              </w:rPr>
            </w:pPr>
            <w:r w:rsidRPr="007A5A91">
              <w:rPr>
                <w:kern w:val="18"/>
                <w:sz w:val="18"/>
                <w:lang w:val="en-GB"/>
              </w:rPr>
              <w:t>Volume 27</w:t>
            </w:r>
          </w:p>
        </w:tc>
        <w:tc>
          <w:tcPr>
            <w:tcW w:w="6304" w:type="dxa"/>
            <w:tcBorders>
              <w:top w:val="single" w:sz="2" w:space="0" w:color="auto"/>
              <w:bottom w:val="single" w:sz="2" w:space="0" w:color="auto"/>
            </w:tcBorders>
            <w:vAlign w:val="center"/>
          </w:tcPr>
          <w:p w14:paraId="1B4A1729" w14:textId="77777777" w:rsidR="00A76620" w:rsidRPr="007A5A91" w:rsidRDefault="00A76620" w:rsidP="007E7F83">
            <w:pPr>
              <w:tabs>
                <w:tab w:val="left" w:pos="3057"/>
              </w:tabs>
              <w:spacing w:after="0" w:line="240" w:lineRule="auto"/>
              <w:ind w:left="141"/>
              <w:rPr>
                <w:kern w:val="18"/>
                <w:sz w:val="18"/>
                <w:lang w:val="en-GB"/>
              </w:rPr>
            </w:pPr>
            <w:r w:rsidRPr="007A5A91">
              <w:rPr>
                <w:kern w:val="18"/>
                <w:sz w:val="18"/>
                <w:lang w:val="en-GB"/>
              </w:rPr>
              <w:t>Year 2025</w:t>
            </w:r>
            <w:r w:rsidRPr="007A5A91">
              <w:rPr>
                <w:kern w:val="18"/>
                <w:sz w:val="18"/>
                <w:lang w:val="en-GB"/>
              </w:rPr>
              <w:tab/>
              <w:t>ISSN 2720-7501</w:t>
            </w:r>
          </w:p>
        </w:tc>
        <w:tc>
          <w:tcPr>
            <w:tcW w:w="1634" w:type="dxa"/>
            <w:tcBorders>
              <w:top w:val="single" w:sz="2" w:space="0" w:color="auto"/>
              <w:bottom w:val="single" w:sz="2" w:space="0" w:color="auto"/>
            </w:tcBorders>
            <w:vAlign w:val="center"/>
          </w:tcPr>
          <w:p w14:paraId="04674FFF" w14:textId="14043B62" w:rsidR="00A76620" w:rsidRPr="007A5A91" w:rsidRDefault="00A76620" w:rsidP="007E7F83">
            <w:pPr>
              <w:spacing w:after="0" w:line="240" w:lineRule="auto"/>
              <w:jc w:val="right"/>
              <w:rPr>
                <w:sz w:val="18"/>
                <w:lang w:val="en-GB"/>
              </w:rPr>
            </w:pPr>
            <w:r w:rsidRPr="007A5A91">
              <w:rPr>
                <w:sz w:val="18"/>
                <w:lang w:val="en-GB"/>
              </w:rPr>
              <w:t xml:space="preserve">pp. </w:t>
            </w:r>
            <w:r w:rsidR="00D44BEA">
              <w:rPr>
                <w:sz w:val="18"/>
                <w:lang w:val="en-GB"/>
              </w:rPr>
              <w:t>746</w:t>
            </w:r>
            <w:r w:rsidRPr="007A5A91">
              <w:rPr>
                <w:sz w:val="18"/>
                <w:lang w:val="en-GB"/>
              </w:rPr>
              <w:t>-</w:t>
            </w:r>
            <w:r w:rsidR="00D44BEA">
              <w:rPr>
                <w:sz w:val="18"/>
                <w:lang w:val="en-GB"/>
              </w:rPr>
              <w:t>766</w:t>
            </w:r>
            <w:r w:rsidRPr="007A5A91">
              <w:rPr>
                <w:sz w:val="18"/>
                <w:lang w:val="en-GB"/>
              </w:rPr>
              <w:t xml:space="preserve"> </w:t>
            </w:r>
          </w:p>
        </w:tc>
      </w:tr>
      <w:tr w:rsidR="00A76620" w:rsidRPr="007A5A91" w14:paraId="25A1D737" w14:textId="77777777" w:rsidTr="001174B2">
        <w:trPr>
          <w:trHeight w:hRule="exact" w:val="283"/>
        </w:trPr>
        <w:tc>
          <w:tcPr>
            <w:tcW w:w="709" w:type="dxa"/>
          </w:tcPr>
          <w:p w14:paraId="37BC07B3" w14:textId="77777777" w:rsidR="00A76620" w:rsidRPr="007A5A91" w:rsidRDefault="00A76620" w:rsidP="007E7F83">
            <w:pPr>
              <w:spacing w:after="0" w:line="240" w:lineRule="auto"/>
              <w:jc w:val="center"/>
              <w:rPr>
                <w:lang w:val="en-GB"/>
              </w:rPr>
            </w:pPr>
          </w:p>
        </w:tc>
        <w:tc>
          <w:tcPr>
            <w:tcW w:w="8930" w:type="dxa"/>
            <w:gridSpan w:val="3"/>
            <w:tcBorders>
              <w:top w:val="single" w:sz="2" w:space="0" w:color="auto"/>
              <w:bottom w:val="single" w:sz="2" w:space="0" w:color="auto"/>
            </w:tcBorders>
            <w:vAlign w:val="center"/>
          </w:tcPr>
          <w:p w14:paraId="438021EA" w14:textId="653919C3" w:rsidR="00A76620" w:rsidRPr="007A5A91" w:rsidRDefault="00A76620" w:rsidP="007E7F83">
            <w:pPr>
              <w:tabs>
                <w:tab w:val="right" w:pos="8928"/>
              </w:tabs>
              <w:spacing w:after="0" w:line="240" w:lineRule="auto"/>
              <w:rPr>
                <w:sz w:val="18"/>
                <w:lang w:val="en-GB"/>
              </w:rPr>
            </w:pPr>
            <w:r w:rsidRPr="007A5A91">
              <w:rPr>
                <w:sz w:val="18"/>
                <w:lang w:val="en-GB"/>
              </w:rPr>
              <w:t>https://doi.org/10.54740/ros.2025.0</w:t>
            </w:r>
            <w:r w:rsidR="00D44BEA">
              <w:rPr>
                <w:sz w:val="18"/>
                <w:lang w:val="en-GB"/>
              </w:rPr>
              <w:t>60</w:t>
            </w:r>
            <w:r w:rsidRPr="007A5A91">
              <w:rPr>
                <w:sz w:val="18"/>
                <w:lang w:val="en-GB"/>
              </w:rPr>
              <w:tab/>
              <w:t>open access</w:t>
            </w:r>
          </w:p>
        </w:tc>
      </w:tr>
      <w:tr w:rsidR="00A76620" w:rsidRPr="007A5A91" w14:paraId="7725BDD2" w14:textId="77777777" w:rsidTr="001174B2">
        <w:trPr>
          <w:trHeight w:hRule="exact" w:val="283"/>
        </w:trPr>
        <w:tc>
          <w:tcPr>
            <w:tcW w:w="709" w:type="dxa"/>
          </w:tcPr>
          <w:p w14:paraId="4CCA1E37" w14:textId="77777777" w:rsidR="00A76620" w:rsidRPr="007A5A91" w:rsidRDefault="00A76620" w:rsidP="007E7F83">
            <w:pPr>
              <w:spacing w:after="0" w:line="240" w:lineRule="auto"/>
              <w:jc w:val="center"/>
              <w:rPr>
                <w:lang w:val="en-GB"/>
              </w:rPr>
            </w:pPr>
          </w:p>
        </w:tc>
        <w:tc>
          <w:tcPr>
            <w:tcW w:w="8930" w:type="dxa"/>
            <w:gridSpan w:val="3"/>
            <w:tcBorders>
              <w:top w:val="single" w:sz="2" w:space="0" w:color="auto"/>
            </w:tcBorders>
            <w:vAlign w:val="center"/>
          </w:tcPr>
          <w:p w14:paraId="00F5F788" w14:textId="77777777" w:rsidR="00A76620" w:rsidRPr="007A5A91" w:rsidRDefault="00A76620" w:rsidP="007E7F83">
            <w:pPr>
              <w:tabs>
                <w:tab w:val="left" w:pos="3684"/>
                <w:tab w:val="right" w:pos="8928"/>
              </w:tabs>
              <w:spacing w:after="0" w:line="240" w:lineRule="auto"/>
              <w:rPr>
                <w:sz w:val="18"/>
                <w:lang w:val="en-GB"/>
              </w:rPr>
            </w:pPr>
            <w:r w:rsidRPr="007A5A91">
              <w:rPr>
                <w:sz w:val="18"/>
                <w:lang w:val="en-GB"/>
              </w:rPr>
              <w:t>Received: November 2025</w:t>
            </w:r>
            <w:r w:rsidRPr="007A5A91">
              <w:rPr>
                <w:sz w:val="18"/>
                <w:lang w:val="en-GB"/>
              </w:rPr>
              <w:tab/>
              <w:t>Accepted: December 2025</w:t>
            </w:r>
            <w:r w:rsidRPr="007A5A91">
              <w:rPr>
                <w:sz w:val="18"/>
                <w:lang w:val="en-GB"/>
              </w:rPr>
              <w:tab/>
              <w:t>Published: December 2025</w:t>
            </w:r>
          </w:p>
        </w:tc>
      </w:tr>
    </w:tbl>
    <w:bookmarkEnd w:id="3"/>
    <w:p w14:paraId="208C84BD" w14:textId="2C89DB13" w:rsidR="00F433E8" w:rsidRPr="00E551D9" w:rsidRDefault="0075788F" w:rsidP="007E7F83">
      <w:pPr>
        <w:pStyle w:val="Rtytu"/>
        <w:rPr>
          <w:lang w:val="en-GB"/>
        </w:rPr>
      </w:pPr>
      <w:r w:rsidRPr="00E551D9">
        <w:rPr>
          <w:lang w:val="en-GB"/>
        </w:rPr>
        <w:t xml:space="preserve">Environmental </w:t>
      </w:r>
      <w:r w:rsidR="00F825DA" w:rsidRPr="00E551D9">
        <w:rPr>
          <w:lang w:val="en-GB"/>
        </w:rPr>
        <w:t>I</w:t>
      </w:r>
      <w:r w:rsidRPr="00E551D9">
        <w:rPr>
          <w:lang w:val="en-GB"/>
        </w:rPr>
        <w:t xml:space="preserve">mpact </w:t>
      </w:r>
      <w:r w:rsidR="00F825DA" w:rsidRPr="00E551D9">
        <w:rPr>
          <w:lang w:val="en-GB"/>
        </w:rPr>
        <w:t>A</w:t>
      </w:r>
      <w:r w:rsidRPr="00E551D9">
        <w:rPr>
          <w:lang w:val="en-GB"/>
        </w:rPr>
        <w:t xml:space="preserve">ssessment of </w:t>
      </w:r>
      <w:r w:rsidR="00F825DA" w:rsidRPr="00E551D9">
        <w:rPr>
          <w:lang w:val="en-GB"/>
        </w:rPr>
        <w:t>U</w:t>
      </w:r>
      <w:r w:rsidRPr="00E551D9">
        <w:rPr>
          <w:lang w:val="en-GB"/>
        </w:rPr>
        <w:t xml:space="preserve">rban </w:t>
      </w:r>
      <w:r w:rsidR="00F825DA" w:rsidRPr="00E551D9">
        <w:rPr>
          <w:lang w:val="en-GB"/>
        </w:rPr>
        <w:t>F</w:t>
      </w:r>
      <w:r w:rsidRPr="00E551D9">
        <w:rPr>
          <w:lang w:val="en-GB"/>
        </w:rPr>
        <w:t xml:space="preserve">reight </w:t>
      </w:r>
      <w:r w:rsidR="00F825DA" w:rsidRPr="00E551D9">
        <w:rPr>
          <w:lang w:val="en-GB"/>
        </w:rPr>
        <w:t>T</w:t>
      </w:r>
      <w:r w:rsidRPr="00E551D9">
        <w:rPr>
          <w:lang w:val="en-GB"/>
        </w:rPr>
        <w:t xml:space="preserve">ransport </w:t>
      </w:r>
      <w:r w:rsidR="003B48B3">
        <w:rPr>
          <w:lang w:val="en-GB"/>
        </w:rPr>
        <w:br/>
      </w:r>
      <w:r w:rsidR="00F825DA" w:rsidRPr="00E551D9">
        <w:rPr>
          <w:lang w:val="en-GB"/>
        </w:rPr>
        <w:t>B</w:t>
      </w:r>
      <w:r w:rsidRPr="00E551D9">
        <w:rPr>
          <w:lang w:val="en-GB"/>
        </w:rPr>
        <w:t xml:space="preserve">ased on </w:t>
      </w:r>
      <w:r w:rsidR="00F825DA" w:rsidRPr="00E551D9">
        <w:rPr>
          <w:lang w:val="en-GB"/>
        </w:rPr>
        <w:t>M</w:t>
      </w:r>
      <w:r w:rsidRPr="00E551D9">
        <w:rPr>
          <w:lang w:val="en-GB"/>
        </w:rPr>
        <w:t xml:space="preserve">acroscopic </w:t>
      </w:r>
      <w:r w:rsidR="00F825DA" w:rsidRPr="00E551D9">
        <w:rPr>
          <w:lang w:val="en-GB"/>
        </w:rPr>
        <w:t>T</w:t>
      </w:r>
      <w:r w:rsidRPr="00E551D9">
        <w:rPr>
          <w:lang w:val="en-GB"/>
        </w:rPr>
        <w:t xml:space="preserve">raffic </w:t>
      </w:r>
      <w:r w:rsidR="00F825DA" w:rsidRPr="00E551D9">
        <w:rPr>
          <w:lang w:val="en-GB"/>
        </w:rPr>
        <w:t>M</w:t>
      </w:r>
      <w:r w:rsidRPr="00E551D9">
        <w:rPr>
          <w:lang w:val="en-GB"/>
        </w:rPr>
        <w:t>odelling</w:t>
      </w:r>
    </w:p>
    <w:p w14:paraId="49CD16FC" w14:textId="10763029" w:rsidR="00F433E8" w:rsidRPr="00E551D9" w:rsidRDefault="005C500D" w:rsidP="007E7F83">
      <w:pPr>
        <w:pStyle w:val="Rautor"/>
        <w:rPr>
          <w:lang w:val="en-GB"/>
        </w:rPr>
      </w:pPr>
      <w:r w:rsidRPr="00E551D9">
        <w:rPr>
          <w:lang w:val="en-GB"/>
        </w:rPr>
        <w:t>Jan Paszkowski</w:t>
      </w:r>
      <w:r w:rsidR="00521CCB" w:rsidRPr="00E551D9">
        <w:rPr>
          <w:vertAlign w:val="superscript"/>
          <w:lang w:val="en-GB"/>
        </w:rPr>
        <w:t>1</w:t>
      </w:r>
      <w:r w:rsidR="004D06D5" w:rsidRPr="00E551D9">
        <w:rPr>
          <w:lang w:val="en-GB"/>
        </w:rPr>
        <w:t xml:space="preserve">, </w:t>
      </w:r>
      <w:r w:rsidRPr="00E551D9">
        <w:rPr>
          <w:lang w:val="en-GB"/>
        </w:rPr>
        <w:t>Emilian Szczepański</w:t>
      </w:r>
      <w:r w:rsidR="00521CCB" w:rsidRPr="00E551D9">
        <w:rPr>
          <w:vertAlign w:val="superscript"/>
          <w:lang w:val="en-GB"/>
        </w:rPr>
        <w:t>2</w:t>
      </w:r>
      <w:r w:rsidR="00ED7109" w:rsidRPr="00A76620">
        <w:rPr>
          <w:vertAlign w:val="superscript"/>
          <w:lang w:val="en-GB"/>
        </w:rPr>
        <w:t>*</w:t>
      </w:r>
      <w:r w:rsidR="007212BC" w:rsidRPr="00E551D9">
        <w:rPr>
          <w:lang w:val="en-GB"/>
        </w:rPr>
        <w:t xml:space="preserve">, </w:t>
      </w:r>
      <w:r w:rsidRPr="00E551D9">
        <w:rPr>
          <w:lang w:val="en-GB"/>
        </w:rPr>
        <w:t>Jakub Murawski</w:t>
      </w:r>
      <w:r w:rsidR="00521CCB" w:rsidRPr="00E551D9">
        <w:rPr>
          <w:vertAlign w:val="superscript"/>
          <w:lang w:val="en-GB"/>
        </w:rPr>
        <w:t>3</w:t>
      </w:r>
      <w:r w:rsidR="00906167" w:rsidRPr="00E551D9">
        <w:rPr>
          <w:lang w:val="en-GB"/>
        </w:rPr>
        <w:t xml:space="preserve"> </w:t>
      </w:r>
    </w:p>
    <w:p w14:paraId="68E09D1E" w14:textId="77C65F4D" w:rsidR="00A23E87" w:rsidRPr="00E551D9" w:rsidRDefault="004D06D5" w:rsidP="007E7F83">
      <w:pPr>
        <w:pStyle w:val="Rafiliacja"/>
        <w:rPr>
          <w:lang w:val="en-GB"/>
        </w:rPr>
      </w:pPr>
      <w:r w:rsidRPr="00E551D9">
        <w:rPr>
          <w:vertAlign w:val="superscript"/>
          <w:lang w:val="en-GB"/>
        </w:rPr>
        <w:t>1</w:t>
      </w:r>
      <w:r w:rsidR="00B505E2" w:rsidRPr="00E551D9">
        <w:rPr>
          <w:lang w:val="en-GB"/>
        </w:rPr>
        <w:t>Faculty of Transport</w:t>
      </w:r>
      <w:r w:rsidRPr="00E551D9">
        <w:rPr>
          <w:lang w:val="en-GB"/>
        </w:rPr>
        <w:t>,</w:t>
      </w:r>
      <w:r w:rsidR="00D35AB6" w:rsidRPr="00E551D9">
        <w:rPr>
          <w:lang w:val="en-GB"/>
        </w:rPr>
        <w:t xml:space="preserve"> Warsaw University of Technology, </w:t>
      </w:r>
      <w:r w:rsidR="005A5B65" w:rsidRPr="00E551D9">
        <w:rPr>
          <w:lang w:val="en-GB"/>
        </w:rPr>
        <w:t>Warsaw, Poland</w:t>
      </w:r>
      <w:r w:rsidRPr="00E551D9">
        <w:rPr>
          <w:lang w:val="en-GB"/>
        </w:rPr>
        <w:t xml:space="preserve"> </w:t>
      </w:r>
      <w:r w:rsidR="003B1CF8">
        <w:rPr>
          <w:lang w:val="en-GB"/>
        </w:rPr>
        <w:br/>
      </w:r>
      <w:r w:rsidR="00A23E87" w:rsidRPr="00E551D9">
        <w:rPr>
          <w:lang w:val="en-GB"/>
        </w:rPr>
        <w:t>https://orcid.org/0000-0002-9377-1466</w:t>
      </w:r>
    </w:p>
    <w:p w14:paraId="2646DC73" w14:textId="760178D1" w:rsidR="00533C15" w:rsidRPr="00E551D9" w:rsidRDefault="004D06D5" w:rsidP="007E7F83">
      <w:pPr>
        <w:pStyle w:val="Rafiliacja"/>
        <w:rPr>
          <w:lang w:val="en-GB"/>
        </w:rPr>
      </w:pPr>
      <w:r w:rsidRPr="00E551D9">
        <w:rPr>
          <w:vertAlign w:val="superscript"/>
          <w:lang w:val="en-GB"/>
        </w:rPr>
        <w:t>2</w:t>
      </w:r>
      <w:r w:rsidR="005A5B65" w:rsidRPr="00E551D9">
        <w:rPr>
          <w:lang w:val="en-GB"/>
        </w:rPr>
        <w:t>Faculty of Transport, Warsaw University of Technology, Warsaw, Poland</w:t>
      </w:r>
      <w:r w:rsidR="00F825DA" w:rsidRPr="00E551D9">
        <w:rPr>
          <w:lang w:val="en-GB"/>
        </w:rPr>
        <w:t xml:space="preserve"> </w:t>
      </w:r>
      <w:r w:rsidR="003B1CF8">
        <w:rPr>
          <w:lang w:val="en-GB"/>
        </w:rPr>
        <w:br/>
      </w:r>
      <w:r w:rsidR="00CA435C" w:rsidRPr="00E551D9">
        <w:rPr>
          <w:lang w:val="en-GB"/>
        </w:rPr>
        <w:t>https://orcid.org/0000-0003-2091-0231</w:t>
      </w:r>
      <w:r w:rsidR="0090309C" w:rsidRPr="00E551D9">
        <w:rPr>
          <w:lang w:val="en-GB"/>
        </w:rPr>
        <w:br/>
      </w:r>
      <w:r w:rsidR="0090309C" w:rsidRPr="00E551D9">
        <w:rPr>
          <w:vertAlign w:val="superscript"/>
          <w:lang w:val="en-GB"/>
        </w:rPr>
        <w:t>3</w:t>
      </w:r>
      <w:r w:rsidR="005A5B65" w:rsidRPr="00E551D9">
        <w:rPr>
          <w:lang w:val="en-GB"/>
        </w:rPr>
        <w:t>Faculty of Transport, Warsaw University of Technology, Warsaw, Poland</w:t>
      </w:r>
      <w:r w:rsidR="00F825DA" w:rsidRPr="00E551D9">
        <w:rPr>
          <w:lang w:val="en-GB"/>
        </w:rPr>
        <w:t xml:space="preserve"> </w:t>
      </w:r>
      <w:r w:rsidR="003B1CF8">
        <w:rPr>
          <w:lang w:val="en-GB"/>
        </w:rPr>
        <w:br/>
      </w:r>
      <w:r w:rsidR="00533C15" w:rsidRPr="00E551D9">
        <w:rPr>
          <w:lang w:val="en-GB"/>
        </w:rPr>
        <w:t>https://orcid.org/0000-0003-2902-3882</w:t>
      </w:r>
    </w:p>
    <w:p w14:paraId="5BF79098" w14:textId="21A78CB0" w:rsidR="00F433E8" w:rsidRPr="00E551D9" w:rsidRDefault="004D06D5" w:rsidP="007E7F83">
      <w:pPr>
        <w:pStyle w:val="Rauco"/>
      </w:pPr>
      <w:r w:rsidRPr="00E551D9">
        <w:rPr>
          <w:vertAlign w:val="superscript"/>
        </w:rPr>
        <w:t>*</w:t>
      </w:r>
      <w:r w:rsidRPr="00E551D9">
        <w:t>corresponding author</w:t>
      </w:r>
      <w:r w:rsidR="003B09B1">
        <w:t>'</w:t>
      </w:r>
      <w:r w:rsidRPr="00E551D9">
        <w:t xml:space="preserve">s e-mail: </w:t>
      </w:r>
      <w:r w:rsidR="002F67A5" w:rsidRPr="00E551D9">
        <w:t>e</w:t>
      </w:r>
      <w:r w:rsidR="00ED7109" w:rsidRPr="00E551D9">
        <w:t>milian.szczepanski</w:t>
      </w:r>
      <w:r w:rsidR="007363C1" w:rsidRPr="00E551D9">
        <w:t>@pw.edu.pl</w:t>
      </w:r>
    </w:p>
    <w:p w14:paraId="582EADFC" w14:textId="1869F278" w:rsidR="00240790" w:rsidRPr="003B48B3" w:rsidRDefault="004D06D5" w:rsidP="007E7F83">
      <w:pPr>
        <w:pStyle w:val="Rab1"/>
      </w:pPr>
      <w:r w:rsidRPr="00E551D9">
        <w:rPr>
          <w:b/>
        </w:rPr>
        <w:t>Abstract:</w:t>
      </w:r>
      <w:r w:rsidR="00C1163D" w:rsidRPr="00E551D9">
        <w:t xml:space="preserve"> </w:t>
      </w:r>
      <w:r w:rsidR="00240790" w:rsidRPr="003B48B3">
        <w:t>This study investigates the environmental impacts of urban freight transport, with particular emphasis on energy consumption and pollutant emissions within the Upper Silesian–</w:t>
      </w:r>
      <w:proofErr w:type="spellStart"/>
      <w:r w:rsidR="00240790" w:rsidRPr="003B48B3">
        <w:t>Zagłębie</w:t>
      </w:r>
      <w:proofErr w:type="spellEnd"/>
      <w:r w:rsidR="00240790" w:rsidRPr="003B48B3">
        <w:t xml:space="preserve"> Metropolis (GZM). A calibrated macroscopic transport model developed in PTV </w:t>
      </w:r>
      <w:proofErr w:type="spellStart"/>
      <w:r w:rsidR="00240790" w:rsidRPr="003B48B3">
        <w:t>Visum</w:t>
      </w:r>
      <w:proofErr w:type="spellEnd"/>
      <w:r w:rsidR="00240790" w:rsidRPr="003B48B3">
        <w:t xml:space="preserve"> was extended to incorporate freight flows, allowing for a</w:t>
      </w:r>
      <w:r w:rsidR="003B48B3">
        <w:t> </w:t>
      </w:r>
      <w:r w:rsidR="00240790" w:rsidRPr="003B48B3">
        <w:t>metropolitan-scale assessment of their contribution to overall emission levels. The analytical framework integrates traffic modelling with COPERT-based emission estimation, enabling high-resolution spatial identification of environmental burdens. The results reveal substantial heterogeneity in emission intensity across both road classes and Traffic Analysis Zones, with the highest concentrations observed along major transport corridors and in areas with intensive logistics activity. Scenario analyses</w:t>
      </w:r>
      <w:r w:rsidR="003B09B1" w:rsidRPr="003B48B3">
        <w:t xml:space="preserve"> that represent seasonal increases in freight volumes and the complete electrification of delivery fleets</w:t>
      </w:r>
      <w:r w:rsidR="00240790" w:rsidRPr="003B48B3">
        <w:t xml:space="preserve"> show marked variability in environmental outcomes. These findings underscore the sensitivity of urban emissions to fluctuations in freight demand and the technological composition of vehicle fleets, providing a robust basis for sustainable freight planning.</w:t>
      </w:r>
    </w:p>
    <w:p w14:paraId="70AE035C" w14:textId="1D83BC23" w:rsidR="00C07200" w:rsidRPr="00E551D9" w:rsidRDefault="00C07200" w:rsidP="007E7F83">
      <w:pPr>
        <w:pStyle w:val="Rab2"/>
      </w:pPr>
      <w:r w:rsidRPr="00E551D9">
        <w:rPr>
          <w:b/>
          <w:bCs/>
        </w:rPr>
        <w:t>Keywords:</w:t>
      </w:r>
      <w:r w:rsidRPr="00E551D9">
        <w:t xml:space="preserve"> </w:t>
      </w:r>
      <w:r w:rsidR="007055E5" w:rsidRPr="00E551D9">
        <w:t>pollutant emissions, cargo traffic, transportation modelling, environmental costs</w:t>
      </w:r>
    </w:p>
    <w:p w14:paraId="66400916" w14:textId="0AE58A1E" w:rsidR="002B59AC" w:rsidRPr="00E551D9" w:rsidRDefault="00C86DC4" w:rsidP="00F6615F">
      <w:pPr>
        <w:pStyle w:val="Rn1"/>
      </w:pPr>
      <w:r w:rsidRPr="00E551D9">
        <w:t xml:space="preserve">1. </w:t>
      </w:r>
      <w:r w:rsidR="004D06D5" w:rsidRPr="00E551D9">
        <w:t>Introduction</w:t>
      </w:r>
    </w:p>
    <w:p w14:paraId="1C8A5645" w14:textId="23F7A2D7" w:rsidR="009C19AB" w:rsidRPr="00E551D9" w:rsidRDefault="009C19AB" w:rsidP="007E7F83">
      <w:pPr>
        <w:spacing w:after="0" w:line="240" w:lineRule="auto"/>
        <w:ind w:firstLine="284"/>
        <w:jc w:val="both"/>
        <w:rPr>
          <w:lang w:val="en-GB"/>
        </w:rPr>
      </w:pPr>
      <w:r w:rsidRPr="00E551D9">
        <w:rPr>
          <w:lang w:val="en-GB"/>
        </w:rPr>
        <w:t xml:space="preserve">Contemporary metropolitan areas are highly complex </w:t>
      </w:r>
      <w:r w:rsidR="00966ABB" w:rsidRPr="00E551D9">
        <w:rPr>
          <w:lang w:val="en-GB"/>
        </w:rPr>
        <w:t xml:space="preserve">systems </w:t>
      </w:r>
      <w:r w:rsidRPr="00E551D9">
        <w:rPr>
          <w:lang w:val="en-GB"/>
        </w:rPr>
        <w:t>shaped by overlapping social, economic, and spatial processes. One of the key forces driving their development is demographic transformation. Migration from rural areas and small towns to major urban centres</w:t>
      </w:r>
      <w:r w:rsidR="00F27865" w:rsidRPr="00E551D9">
        <w:rPr>
          <w:lang w:val="en-GB"/>
        </w:rPr>
        <w:t xml:space="preserve">, </w:t>
      </w:r>
      <w:r w:rsidRPr="00E551D9">
        <w:rPr>
          <w:lang w:val="en-GB"/>
        </w:rPr>
        <w:t>motivated by attractive labour markets and higher living standards</w:t>
      </w:r>
      <w:r w:rsidR="00F27865" w:rsidRPr="00E551D9">
        <w:rPr>
          <w:lang w:val="en-GB"/>
        </w:rPr>
        <w:t xml:space="preserve">, </w:t>
      </w:r>
      <w:r w:rsidRPr="00E551D9">
        <w:rPr>
          <w:lang w:val="en-GB"/>
        </w:rPr>
        <w:t xml:space="preserve">has led to a systematic increase in the population of urbanised regions. According to Statistics Poland (GUS), just over 38% of the population lived in cities in 1950, whereas by 2024 this share had exceeded 61% </w:t>
      </w:r>
      <w:r w:rsidR="00131B5C" w:rsidRPr="00E551D9">
        <w:rPr>
          <w:lang w:val="en-GB"/>
        </w:rPr>
        <w:t>(</w:t>
      </w:r>
      <w:r w:rsidR="00131B5C" w:rsidRPr="003B1CF8">
        <w:rPr>
          <w:lang w:val="en-GB"/>
        </w:rPr>
        <w:t>Statistics Poland</w:t>
      </w:r>
      <w:r w:rsidR="00131B5C" w:rsidRPr="00E551D9">
        <w:rPr>
          <w:lang w:val="en-GB"/>
        </w:rPr>
        <w:t>, 2025)</w:t>
      </w:r>
      <w:r w:rsidRPr="00E551D9">
        <w:rPr>
          <w:lang w:val="en-GB"/>
        </w:rPr>
        <w:t>. At the same time, cities are experiencing progressive urban sprawl, with residents increasingly settling on the urban peripheries while employment, commerce, and services remain concentrated in city centres. This spatial restructuring generates growing mobility needs and intensifies the daily flows of people and goods.</w:t>
      </w:r>
    </w:p>
    <w:p w14:paraId="146233CA" w14:textId="4A1C62C8" w:rsidR="009C19AB" w:rsidRPr="00E551D9" w:rsidRDefault="009C19AB" w:rsidP="007E7F83">
      <w:pPr>
        <w:spacing w:after="0" w:line="240" w:lineRule="auto"/>
        <w:ind w:firstLine="284"/>
        <w:jc w:val="both"/>
        <w:rPr>
          <w:lang w:val="en-GB"/>
        </w:rPr>
      </w:pPr>
      <w:r w:rsidRPr="00E551D9">
        <w:rPr>
          <w:lang w:val="en-GB"/>
        </w:rPr>
        <w:t xml:space="preserve">Parallel to these demographic and spatial trends, cities are undergoing rapid economic transformation. Rising industrial activity, expanding trade, and increasing consumer expectations regarding delivery speed and service quality exert strong pressure on urban logistics systems. </w:t>
      </w:r>
      <w:r w:rsidRPr="003B48B3">
        <w:rPr>
          <w:spacing w:val="-2"/>
          <w:lang w:val="en-GB"/>
        </w:rPr>
        <w:t xml:space="preserve">The scale of these changes is well illustrated by the dynamic development of the e-commerce sector, whose value in Poland reached USD 32.98 billion in 2024 </w:t>
      </w:r>
      <w:r w:rsidR="00131B5C" w:rsidRPr="003B48B3">
        <w:rPr>
          <w:spacing w:val="-2"/>
          <w:lang w:val="en-GB"/>
        </w:rPr>
        <w:t>(Poland E-Commerce Market Size &amp; Forecast. Verified Market Research, 2025)</w:t>
      </w:r>
      <w:r w:rsidRPr="003B48B3">
        <w:rPr>
          <w:spacing w:val="-2"/>
          <w:lang w:val="en-GB"/>
        </w:rPr>
        <w:t>.</w:t>
      </w:r>
    </w:p>
    <w:p w14:paraId="68C83EAE" w14:textId="249549B4" w:rsidR="009C19AB" w:rsidRPr="00E551D9" w:rsidRDefault="009C19AB" w:rsidP="007E7F83">
      <w:pPr>
        <w:spacing w:after="0" w:line="240" w:lineRule="auto"/>
        <w:ind w:firstLine="284"/>
        <w:jc w:val="both"/>
        <w:rPr>
          <w:lang w:val="en-GB"/>
        </w:rPr>
      </w:pPr>
      <w:r w:rsidRPr="00E551D9">
        <w:rPr>
          <w:lang w:val="en-GB"/>
        </w:rPr>
        <w:t>All these developments contribute to a substantial increase in road traffic volumes, particularly in freight transport. At the same time, the spatial structure and organisation of a city</w:t>
      </w:r>
      <w:r w:rsidR="00B7022E" w:rsidRPr="00E551D9">
        <w:rPr>
          <w:lang w:val="en-GB"/>
        </w:rPr>
        <w:t xml:space="preserve"> (</w:t>
      </w:r>
      <w:r w:rsidRPr="00E551D9">
        <w:rPr>
          <w:lang w:val="en-GB"/>
        </w:rPr>
        <w:t>its layout, density of development, distribution of activity centres, and service infrastructur</w:t>
      </w:r>
      <w:r w:rsidR="00B7022E" w:rsidRPr="00E551D9">
        <w:rPr>
          <w:lang w:val="en-GB"/>
        </w:rPr>
        <w:t xml:space="preserve">e) </w:t>
      </w:r>
      <w:r w:rsidRPr="00E551D9">
        <w:rPr>
          <w:lang w:val="en-GB"/>
        </w:rPr>
        <w:t>directly shape the functioning of urban transport systems, including distribution networks. This relationship is bidirectional: cities influence how transport systems are organised, while transport</w:t>
      </w:r>
      <w:r w:rsidR="003B09B1">
        <w:rPr>
          <w:lang w:val="en-GB"/>
        </w:rPr>
        <w:t>, in turn, affects urban life on a dail</w:t>
      </w:r>
      <w:r w:rsidRPr="00E551D9">
        <w:rPr>
          <w:lang w:val="en-GB"/>
        </w:rPr>
        <w:t>y basis</w:t>
      </w:r>
      <w:r w:rsidR="000D73B5" w:rsidRPr="00E551D9">
        <w:rPr>
          <w:lang w:val="en-GB"/>
        </w:rPr>
        <w:t xml:space="preserve"> </w:t>
      </w:r>
      <w:r w:rsidR="00131B5C" w:rsidRPr="00E551D9">
        <w:rPr>
          <w:lang w:val="en-GB"/>
        </w:rPr>
        <w:t>(Galkin 2017)</w:t>
      </w:r>
      <w:r w:rsidR="00B26FD6" w:rsidRPr="00E551D9">
        <w:rPr>
          <w:lang w:val="en-GB"/>
        </w:rPr>
        <w:t>.</w:t>
      </w:r>
    </w:p>
    <w:p w14:paraId="65198CC0" w14:textId="46EC98C6" w:rsidR="009C19AB" w:rsidRPr="00E551D9" w:rsidRDefault="009C19AB" w:rsidP="007E7F83">
      <w:pPr>
        <w:spacing w:after="0" w:line="240" w:lineRule="auto"/>
        <w:ind w:firstLine="284"/>
        <w:jc w:val="both"/>
        <w:rPr>
          <w:lang w:val="en-GB"/>
        </w:rPr>
      </w:pPr>
      <w:r w:rsidRPr="00E551D9">
        <w:rPr>
          <w:lang w:val="en-GB"/>
        </w:rPr>
        <w:t xml:space="preserve">Superimposed on these dynamics are rising societal expectations concerning </w:t>
      </w:r>
      <w:r w:rsidR="003B09B1">
        <w:rPr>
          <w:lang w:val="en-GB"/>
        </w:rPr>
        <w:t xml:space="preserve">the </w:t>
      </w:r>
      <w:r w:rsidRPr="00E551D9">
        <w:rPr>
          <w:lang w:val="en-GB"/>
        </w:rPr>
        <w:t>quality of life. Residents seek the conveniences of a modern metropolis</w:t>
      </w:r>
      <w:r w:rsidR="003B09B1">
        <w:rPr>
          <w:lang w:val="en-GB"/>
        </w:rPr>
        <w:t>,</w:t>
      </w:r>
      <w:r w:rsidR="003A67DC" w:rsidRPr="00E551D9">
        <w:rPr>
          <w:lang w:val="en-GB"/>
        </w:rPr>
        <w:t xml:space="preserve"> such as </w:t>
      </w:r>
      <w:r w:rsidRPr="00E551D9">
        <w:rPr>
          <w:lang w:val="en-GB"/>
        </w:rPr>
        <w:t>broad access to services, rapid deliveries, and diverse retail options</w:t>
      </w:r>
      <w:r w:rsidR="003B09B1">
        <w:rPr>
          <w:lang w:val="en-GB"/>
        </w:rPr>
        <w:t>. Still,</w:t>
      </w:r>
      <w:r w:rsidR="003A67DC" w:rsidRPr="00E551D9">
        <w:rPr>
          <w:lang w:val="en-GB"/>
        </w:rPr>
        <w:t xml:space="preserve"> at the same time</w:t>
      </w:r>
      <w:r w:rsidR="003B09B1">
        <w:rPr>
          <w:lang w:val="en-GB"/>
        </w:rPr>
        <w:t>,</w:t>
      </w:r>
      <w:r w:rsidRPr="00E551D9">
        <w:rPr>
          <w:lang w:val="en-GB"/>
        </w:rPr>
        <w:t xml:space="preserve"> they also expect quiet, safe, and environmentally friendly living environments. However, high traffic volumes, particularly in freight transport, intensify noise, deteriorate air quality, and reduce road safety. Consequently, a central question emerges: how can urban freight systems be organised and shaped to ensure efficient deliveries while minimising their negative impacts on residents?</w:t>
      </w:r>
    </w:p>
    <w:p w14:paraId="1B452457" w14:textId="7350217C" w:rsidR="009C19AB" w:rsidRPr="00E551D9" w:rsidRDefault="009C19AB" w:rsidP="007E7F83">
      <w:pPr>
        <w:spacing w:after="0" w:line="240" w:lineRule="auto"/>
        <w:ind w:firstLine="284"/>
        <w:jc w:val="both"/>
        <w:rPr>
          <w:lang w:val="en-GB"/>
        </w:rPr>
      </w:pPr>
      <w:r w:rsidRPr="00E551D9">
        <w:rPr>
          <w:lang w:val="en-GB"/>
        </w:rPr>
        <w:t>This article addresses this challenge by examining the emission intensity of urban freight transport. The study focuses on the Upper Silesian–</w:t>
      </w:r>
      <w:proofErr w:type="spellStart"/>
      <w:r w:rsidRPr="00E551D9">
        <w:rPr>
          <w:lang w:val="en-GB"/>
        </w:rPr>
        <w:t>Zagłębie</w:t>
      </w:r>
      <w:proofErr w:type="spellEnd"/>
      <w:r w:rsidRPr="00E551D9">
        <w:rPr>
          <w:lang w:val="en-GB"/>
        </w:rPr>
        <w:t xml:space="preserve"> Metropolis (GZM), a densely urbanised and industrialised </w:t>
      </w:r>
      <w:r w:rsidRPr="00E551D9">
        <w:rPr>
          <w:lang w:val="en-GB"/>
        </w:rPr>
        <w:lastRenderedPageBreak/>
        <w:t>region characterised by high mobility demand and significant freight activity. Using macroscopic transport modelling, the analysis captures the complexity of contemporary urban logistics systems and provides a</w:t>
      </w:r>
      <w:r w:rsidR="003B48B3">
        <w:rPr>
          <w:lang w:val="en-GB"/>
        </w:rPr>
        <w:t> </w:t>
      </w:r>
      <w:r w:rsidRPr="00E551D9">
        <w:rPr>
          <w:lang w:val="en-GB"/>
        </w:rPr>
        <w:t>foundation for discussing how freight transport can be shaped to ensure that cities remain both efficient economic centres and attractive places to live.</w:t>
      </w:r>
    </w:p>
    <w:p w14:paraId="41784B92" w14:textId="57A440E6" w:rsidR="002C7779" w:rsidRPr="00E551D9" w:rsidRDefault="002C7779" w:rsidP="007E7F83">
      <w:pPr>
        <w:spacing w:after="0" w:line="240" w:lineRule="auto"/>
        <w:ind w:firstLine="284"/>
        <w:jc w:val="both"/>
        <w:rPr>
          <w:lang w:val="en-GB"/>
        </w:rPr>
      </w:pPr>
      <w:r w:rsidRPr="00E551D9">
        <w:rPr>
          <w:lang w:val="en-GB"/>
        </w:rPr>
        <w:t xml:space="preserve">The remainder of this article is structured as follows. Section 2 reviews the literature on urban freight transport in macroscopic transport models and on emission modelling frameworks, with particular emphasis on tools combining traffic assignment and emission estimation. Section 3 presents the GZM case study, including the structure of the macroscopic transport model, the derivation of freight traffic flows, </w:t>
      </w:r>
      <w:r w:rsidR="003B09B1">
        <w:rPr>
          <w:lang w:val="en-GB"/>
        </w:rPr>
        <w:t>the procedure for calculating emissions and energy consumption, and</w:t>
      </w:r>
      <w:r w:rsidRPr="00E551D9">
        <w:rPr>
          <w:lang w:val="en-GB"/>
        </w:rPr>
        <w:t xml:space="preserve"> the definition of the research scenarios. Section 4</w:t>
      </w:r>
      <w:r w:rsidR="003B48B3">
        <w:rPr>
          <w:lang w:val="en-GB"/>
        </w:rPr>
        <w:t> </w:t>
      </w:r>
      <w:r w:rsidRPr="00E551D9">
        <w:rPr>
          <w:lang w:val="en-GB"/>
        </w:rPr>
        <w:t xml:space="preserve">reports the results of the link- and zone-level analyses for the base case and compares the impacts observed under the seasonal freight peak and full freight fleet electrification scenarios. Finally, Section 5 </w:t>
      </w:r>
      <w:r w:rsidR="00BF4CE2" w:rsidRPr="00E551D9">
        <w:rPr>
          <w:lang w:val="en-GB"/>
        </w:rPr>
        <w:t>summarizes</w:t>
      </w:r>
      <w:r w:rsidRPr="00E551D9">
        <w:rPr>
          <w:lang w:val="en-GB"/>
        </w:rPr>
        <w:t xml:space="preserve"> the main findings</w:t>
      </w:r>
      <w:r w:rsidR="00D960C3" w:rsidRPr="00E551D9">
        <w:rPr>
          <w:lang w:val="en-GB"/>
        </w:rPr>
        <w:t xml:space="preserve"> </w:t>
      </w:r>
      <w:r w:rsidRPr="00E551D9">
        <w:rPr>
          <w:lang w:val="en-GB"/>
        </w:rPr>
        <w:t xml:space="preserve">and </w:t>
      </w:r>
      <w:r w:rsidR="00EA46BE" w:rsidRPr="00E551D9">
        <w:rPr>
          <w:lang w:val="en-GB"/>
        </w:rPr>
        <w:t>indicates directions</w:t>
      </w:r>
      <w:r w:rsidRPr="00E551D9">
        <w:rPr>
          <w:lang w:val="en-GB"/>
        </w:rPr>
        <w:t xml:space="preserve"> for further research.</w:t>
      </w:r>
    </w:p>
    <w:p w14:paraId="322CBA62" w14:textId="1FDC2AFF" w:rsidR="00A140AA" w:rsidRPr="00E551D9" w:rsidRDefault="00C86DC4" w:rsidP="00F6615F">
      <w:pPr>
        <w:pStyle w:val="Rn1"/>
      </w:pPr>
      <w:r w:rsidRPr="00E551D9">
        <w:t xml:space="preserve">2. </w:t>
      </w:r>
      <w:r w:rsidR="00A140AA" w:rsidRPr="00E551D9">
        <w:t xml:space="preserve">Literature </w:t>
      </w:r>
      <w:r w:rsidR="00E551D9">
        <w:t>R</w:t>
      </w:r>
      <w:r w:rsidR="00A140AA" w:rsidRPr="00E551D9">
        <w:t>eview</w:t>
      </w:r>
    </w:p>
    <w:p w14:paraId="3E5319F6" w14:textId="3058229C" w:rsidR="00595064" w:rsidRPr="00E551D9" w:rsidRDefault="00550B2D" w:rsidP="00F6615F">
      <w:pPr>
        <w:pStyle w:val="Rn2"/>
      </w:pPr>
      <w:r w:rsidRPr="00E551D9">
        <w:rPr>
          <w:bCs/>
        </w:rPr>
        <w:t xml:space="preserve">2.1. </w:t>
      </w:r>
      <w:r w:rsidR="00595064" w:rsidRPr="00E551D9">
        <w:t>Urban freight transport in macroscopic modelling</w:t>
      </w:r>
    </w:p>
    <w:p w14:paraId="5DE28806" w14:textId="70A33AE4" w:rsidR="00092118" w:rsidRPr="00E551D9" w:rsidRDefault="00092118" w:rsidP="007E7F83">
      <w:pPr>
        <w:tabs>
          <w:tab w:val="left" w:pos="5412"/>
        </w:tabs>
        <w:spacing w:after="0" w:line="240" w:lineRule="auto"/>
        <w:ind w:firstLine="284"/>
        <w:jc w:val="both"/>
        <w:rPr>
          <w:rFonts w:cs="Times New Roman"/>
          <w:lang w:val="en-GB"/>
        </w:rPr>
      </w:pPr>
      <w:r w:rsidRPr="00E551D9">
        <w:rPr>
          <w:rFonts w:eastAsia="Aptos" w:cs="Times New Roman"/>
          <w:lang w:val="en-GB"/>
        </w:rPr>
        <w:t xml:space="preserve">Transportation modelling is a mathematical representation of user behaviour, decision-making processes, and traffic conditions within a transport network. A macroscopic model </w:t>
      </w:r>
      <w:r w:rsidR="003B09B1">
        <w:rPr>
          <w:rFonts w:eastAsia="Aptos" w:cs="Times New Roman"/>
          <w:lang w:val="en-GB"/>
        </w:rPr>
        <w:t>explicitly examines the behaviour of groups of users throughout their entire journey, from the likelihood of the trip occurring to their choice of transportation mode</w:t>
      </w:r>
      <w:r w:rsidRPr="00E551D9">
        <w:rPr>
          <w:rFonts w:eastAsia="Aptos" w:cs="Times New Roman"/>
          <w:lang w:val="en-GB"/>
        </w:rPr>
        <w:t xml:space="preserve"> and route selection. Interactions between users are represented through broad traffic flow conditions such as congestion, saturation, and vehicle capacity. In a transportation model, supply refers to the transport network, which </w:t>
      </w:r>
      <w:r w:rsidR="003B09B1">
        <w:rPr>
          <w:rFonts w:eastAsia="Aptos" w:cs="Times New Roman"/>
          <w:lang w:val="en-GB"/>
        </w:rPr>
        <w:t xml:space="preserve">is </w:t>
      </w:r>
      <w:r w:rsidRPr="00E551D9">
        <w:rPr>
          <w:rFonts w:eastAsia="Aptos" w:cs="Times New Roman"/>
          <w:lang w:val="en-GB"/>
        </w:rPr>
        <w:t>characterize</w:t>
      </w:r>
      <w:r w:rsidR="00D54D2E" w:rsidRPr="00E551D9">
        <w:rPr>
          <w:rFonts w:eastAsia="Aptos" w:cs="Times New Roman"/>
          <w:lang w:val="en-GB"/>
        </w:rPr>
        <w:t>d by</w:t>
      </w:r>
      <w:r w:rsidRPr="00E551D9">
        <w:rPr>
          <w:rFonts w:eastAsia="Aptos" w:cs="Times New Roman"/>
          <w:lang w:val="en-GB"/>
        </w:rPr>
        <w:t xml:space="preserve"> the</w:t>
      </w:r>
      <w:r w:rsidRPr="00E551D9" w:rsidDel="00D54D2E">
        <w:rPr>
          <w:rFonts w:eastAsia="Aptos" w:cs="Times New Roman"/>
          <w:lang w:val="en-GB"/>
        </w:rPr>
        <w:t xml:space="preserve"> </w:t>
      </w:r>
      <w:r w:rsidRPr="00E551D9">
        <w:rPr>
          <w:rFonts w:eastAsia="Aptos" w:cs="Times New Roman"/>
          <w:lang w:val="en-GB"/>
        </w:rPr>
        <w:t xml:space="preserve">parameters linked to demand data, such as capacity and travel time, which vary with traffic volume. The basic unit in </w:t>
      </w:r>
      <w:r w:rsidR="00503DE7" w:rsidRPr="00E551D9">
        <w:rPr>
          <w:rFonts w:eastAsia="Aptos" w:cs="Times New Roman"/>
          <w:lang w:val="en-GB"/>
        </w:rPr>
        <w:t>modelling</w:t>
      </w:r>
      <w:r w:rsidRPr="00E551D9">
        <w:rPr>
          <w:rFonts w:eastAsia="Aptos" w:cs="Times New Roman"/>
          <w:lang w:val="en-GB"/>
        </w:rPr>
        <w:t xml:space="preserve"> is the Traffic Analysis Zone (TAZ), which generates traffic. </w:t>
      </w:r>
      <w:r w:rsidR="003B09B1" w:rsidRPr="003B48B3">
        <w:rPr>
          <w:rFonts w:eastAsia="Aptos" w:cs="Times New Roman"/>
          <w:lang w:val="en-GB"/>
        </w:rPr>
        <w:t>The d</w:t>
      </w:r>
      <w:r w:rsidRPr="003B48B3">
        <w:rPr>
          <w:rFonts w:eastAsia="Aptos" w:cs="Times New Roman"/>
          <w:lang w:val="en-GB"/>
        </w:rPr>
        <w:t>emand model is understood as the spatial distribution of trips across all</w:t>
      </w:r>
      <w:r w:rsidR="003B48B3">
        <w:rPr>
          <w:rFonts w:eastAsia="Aptos" w:cs="Times New Roman"/>
          <w:lang w:val="en-GB"/>
        </w:rPr>
        <w:t> </w:t>
      </w:r>
      <w:r w:rsidRPr="003B48B3">
        <w:rPr>
          <w:rFonts w:eastAsia="Aptos" w:cs="Times New Roman"/>
          <w:lang w:val="en-GB"/>
        </w:rPr>
        <w:t>transport subsystems. Specifically, demand captures every travel decision made by users</w:t>
      </w:r>
      <w:r w:rsidR="003B09B1" w:rsidRPr="003B48B3">
        <w:rPr>
          <w:rFonts w:eastAsia="Aptos" w:cs="Times New Roman"/>
          <w:lang w:val="en-GB"/>
        </w:rPr>
        <w:t>,</w:t>
      </w:r>
      <w:r w:rsidRPr="003B48B3">
        <w:rPr>
          <w:rFonts w:eastAsia="Aptos" w:cs="Times New Roman"/>
          <w:lang w:val="en-GB"/>
        </w:rPr>
        <w:t xml:space="preserve"> including the trip</w:t>
      </w:r>
      <w:r w:rsidR="003B09B1" w:rsidRPr="003B48B3">
        <w:rPr>
          <w:rFonts w:eastAsia="Aptos" w:cs="Times New Roman"/>
          <w:lang w:val="en-GB"/>
        </w:rPr>
        <w:t>'</w:t>
      </w:r>
      <w:r w:rsidRPr="003B48B3">
        <w:rPr>
          <w:rFonts w:eastAsia="Aptos" w:cs="Times New Roman"/>
          <w:lang w:val="en-GB"/>
        </w:rPr>
        <w:t>s origin</w:t>
      </w:r>
      <w:r w:rsidR="00605CCD" w:rsidRPr="003B48B3">
        <w:rPr>
          <w:rFonts w:eastAsia="Aptos" w:cs="Times New Roman"/>
          <w:lang w:val="en-GB"/>
        </w:rPr>
        <w:t xml:space="preserve"> (</w:t>
      </w:r>
      <w:proofErr w:type="spellStart"/>
      <w:r w:rsidR="00605CCD" w:rsidRPr="003B48B3">
        <w:rPr>
          <w:rFonts w:eastAsia="Aptos" w:cs="Times New Roman"/>
          <w:lang w:val="en-GB"/>
        </w:rPr>
        <w:t>Dyczkowska</w:t>
      </w:r>
      <w:proofErr w:type="spellEnd"/>
      <w:r w:rsidR="00605CCD" w:rsidRPr="003B48B3">
        <w:rPr>
          <w:rFonts w:eastAsia="Aptos" w:cs="Times New Roman"/>
          <w:lang w:val="en-GB"/>
        </w:rPr>
        <w:t xml:space="preserve"> et al. 2023)</w:t>
      </w:r>
      <w:r w:rsidRPr="003B48B3">
        <w:rPr>
          <w:rFonts w:eastAsia="Aptos" w:cs="Times New Roman"/>
          <w:lang w:val="en-GB"/>
        </w:rPr>
        <w:t>, destination, and mode of transport within a specific time frame</w:t>
      </w:r>
      <w:r w:rsidR="00CF38A9" w:rsidRPr="003B48B3">
        <w:rPr>
          <w:rFonts w:eastAsia="Aptos" w:cs="Times New Roman"/>
          <w:lang w:val="en-GB"/>
        </w:rPr>
        <w:t xml:space="preserve"> </w:t>
      </w:r>
      <w:r w:rsidR="00131B5C" w:rsidRPr="003B48B3">
        <w:rPr>
          <w:rFonts w:eastAsia="Aptos" w:cs="Times New Roman"/>
          <w:lang w:val="en-GB"/>
        </w:rPr>
        <w:t>(</w:t>
      </w:r>
      <w:proofErr w:type="spellStart"/>
      <w:r w:rsidR="00131B5C" w:rsidRPr="003B48B3">
        <w:rPr>
          <w:rFonts w:eastAsia="Aptos" w:cs="Times New Roman"/>
          <w:lang w:val="en-GB"/>
        </w:rPr>
        <w:t>Żochowska</w:t>
      </w:r>
      <w:proofErr w:type="spellEnd"/>
      <w:r w:rsidR="00131B5C" w:rsidRPr="003B48B3">
        <w:rPr>
          <w:rFonts w:eastAsia="Aptos" w:cs="Times New Roman"/>
          <w:lang w:val="en-GB"/>
        </w:rPr>
        <w:t xml:space="preserve"> 2014)</w:t>
      </w:r>
      <w:r w:rsidR="00C855C2" w:rsidRPr="003B48B3">
        <w:rPr>
          <w:rFonts w:eastAsia="Aptos" w:cs="Times New Roman"/>
          <w:lang w:val="en-GB"/>
        </w:rPr>
        <w:t>.</w:t>
      </w:r>
    </w:p>
    <w:p w14:paraId="56893DD2" w14:textId="6C974921" w:rsidR="00092118" w:rsidRPr="00E551D9" w:rsidRDefault="00092118" w:rsidP="007E7F83">
      <w:pPr>
        <w:tabs>
          <w:tab w:val="left" w:pos="5412"/>
        </w:tabs>
        <w:spacing w:after="0" w:line="240" w:lineRule="auto"/>
        <w:ind w:firstLine="284"/>
        <w:jc w:val="both"/>
        <w:rPr>
          <w:rFonts w:cs="Times New Roman"/>
          <w:lang w:val="en-GB"/>
        </w:rPr>
      </w:pPr>
      <w:r w:rsidRPr="00E551D9">
        <w:rPr>
          <w:rFonts w:cs="Times New Roman"/>
          <w:lang w:val="en-GB"/>
        </w:rPr>
        <w:t>Macroscopic transport models are used in urban and regional planning, with a primary focus on pa</w:t>
      </w:r>
      <w:r w:rsidR="003B09B1">
        <w:rPr>
          <w:rFonts w:cs="Times New Roman"/>
          <w:lang w:val="en-GB"/>
        </w:rPr>
        <w:t>ssenger mobility patterns</w:t>
      </w:r>
      <w:r w:rsidRPr="00E551D9">
        <w:rPr>
          <w:rFonts w:cs="Times New Roman"/>
          <w:lang w:val="en-GB"/>
        </w:rPr>
        <w:t xml:space="preserve">. This orientation has </w:t>
      </w:r>
      <w:r w:rsidR="003B09B1">
        <w:rPr>
          <w:rFonts w:cs="Times New Roman"/>
          <w:lang w:val="en-GB"/>
        </w:rPr>
        <w:t>led to limited development of research and methodologies for</w:t>
      </w:r>
      <w:r w:rsidRPr="00E551D9">
        <w:rPr>
          <w:rFonts w:cs="Times New Roman"/>
          <w:lang w:val="en-GB"/>
        </w:rPr>
        <w:t xml:space="preserve"> </w:t>
      </w:r>
      <w:r w:rsidR="00C855C2" w:rsidRPr="00E551D9">
        <w:rPr>
          <w:rFonts w:cs="Times New Roman"/>
          <w:lang w:val="en-GB"/>
        </w:rPr>
        <w:t>modelling</w:t>
      </w:r>
      <w:r w:rsidRPr="00E551D9">
        <w:rPr>
          <w:rFonts w:cs="Times New Roman"/>
          <w:lang w:val="en-GB"/>
        </w:rPr>
        <w:t xml:space="preserve"> urban freight flows. It has been observed that in both the literature and </w:t>
      </w:r>
      <w:r w:rsidR="00C855C2" w:rsidRPr="00E551D9">
        <w:rPr>
          <w:rFonts w:cs="Times New Roman"/>
          <w:lang w:val="en-GB"/>
        </w:rPr>
        <w:t>modelling</w:t>
      </w:r>
      <w:r w:rsidRPr="00E551D9">
        <w:rPr>
          <w:rFonts w:cs="Times New Roman"/>
          <w:lang w:val="en-GB"/>
        </w:rPr>
        <w:t xml:space="preserve"> practices, particularly in Polish cities, freight transport is often marginalized or represented in a simplified manner compared to passenger transport.</w:t>
      </w:r>
    </w:p>
    <w:p w14:paraId="6A1593DA" w14:textId="2C34BC34" w:rsidR="00092118" w:rsidRPr="00E551D9" w:rsidRDefault="00092118" w:rsidP="007E7F83">
      <w:pPr>
        <w:tabs>
          <w:tab w:val="left" w:pos="5412"/>
        </w:tabs>
        <w:spacing w:after="0" w:line="240" w:lineRule="auto"/>
        <w:ind w:firstLine="284"/>
        <w:jc w:val="both"/>
        <w:rPr>
          <w:rFonts w:cs="Times New Roman"/>
          <w:lang w:val="en-GB"/>
        </w:rPr>
      </w:pPr>
      <w:r w:rsidRPr="00E551D9">
        <w:rPr>
          <w:rFonts w:eastAsia="Aptos" w:cs="Times New Roman"/>
          <w:lang w:val="en-GB"/>
        </w:rPr>
        <w:t>Among the various methods for developing macrosimulation models, we focus on the Four-Step Model. This approach includes four stages</w:t>
      </w:r>
      <w:r w:rsidR="002F6C2D" w:rsidRPr="00E551D9">
        <w:rPr>
          <w:rFonts w:eastAsia="Aptos" w:cs="Times New Roman"/>
          <w:lang w:val="en-GB"/>
        </w:rPr>
        <w:t xml:space="preserve"> </w:t>
      </w:r>
      <w:r w:rsidR="00131B5C" w:rsidRPr="00E551D9">
        <w:rPr>
          <w:rFonts w:eastAsia="Aptos" w:cs="Times New Roman"/>
          <w:lang w:val="en-GB"/>
        </w:rPr>
        <w:t>(Narayanan et al. 2025</w:t>
      </w:r>
      <w:r w:rsidR="007E7F83">
        <w:rPr>
          <w:rFonts w:eastAsia="Aptos" w:cs="Times New Roman"/>
          <w:lang w:val="en-GB"/>
        </w:rPr>
        <w:t>,</w:t>
      </w:r>
      <w:r w:rsidR="00131B5C" w:rsidRPr="00E551D9">
        <w:rPr>
          <w:rFonts w:eastAsia="Aptos" w:cs="Times New Roman"/>
          <w:lang w:val="en-GB"/>
        </w:rPr>
        <w:t xml:space="preserve"> Peng et al. 2024)</w:t>
      </w:r>
      <w:r w:rsidRPr="00E551D9">
        <w:rPr>
          <w:rFonts w:eastAsia="Aptos" w:cs="Times New Roman"/>
          <w:lang w:val="en-GB"/>
        </w:rPr>
        <w:t>:</w:t>
      </w:r>
    </w:p>
    <w:p w14:paraId="58D607FB" w14:textId="32E9551A" w:rsidR="00092118" w:rsidRPr="00E551D9" w:rsidRDefault="00092118" w:rsidP="007E7F83">
      <w:pPr>
        <w:pStyle w:val="Akapitzlist"/>
        <w:numPr>
          <w:ilvl w:val="0"/>
          <w:numId w:val="19"/>
        </w:numPr>
        <w:tabs>
          <w:tab w:val="left" w:pos="5412"/>
        </w:tabs>
        <w:spacing w:after="0" w:line="240" w:lineRule="auto"/>
        <w:ind w:left="426" w:hanging="426"/>
        <w:jc w:val="both"/>
        <w:rPr>
          <w:rFonts w:cs="Times New Roman"/>
          <w:lang w:val="en-GB"/>
        </w:rPr>
      </w:pPr>
      <w:r w:rsidRPr="00E551D9">
        <w:rPr>
          <w:rFonts w:eastAsia="Aptos" w:cs="Times New Roman"/>
          <w:lang w:val="en-GB"/>
        </w:rPr>
        <w:t>Trip generation (TG) is the first stage, where spatial analysis is performed to determine the number of trips entering and leaving (production and attraction) each homogeneous area during peak hours.</w:t>
      </w:r>
      <w:r w:rsidR="00595064" w:rsidRPr="00E551D9">
        <w:rPr>
          <w:rFonts w:eastAsia="Aptos" w:cs="Times New Roman"/>
          <w:lang w:val="en-GB"/>
        </w:rPr>
        <w:t xml:space="preserve"> </w:t>
      </w:r>
      <w:r w:rsidR="003B09B1">
        <w:rPr>
          <w:rFonts w:eastAsia="Aptos" w:cs="Times New Roman"/>
          <w:lang w:val="en-GB"/>
        </w:rPr>
        <w:t>In</w:t>
      </w:r>
      <w:r w:rsidR="003B48B3">
        <w:rPr>
          <w:rFonts w:eastAsia="Aptos" w:cs="Times New Roman"/>
          <w:lang w:val="en-GB"/>
        </w:rPr>
        <w:t> </w:t>
      </w:r>
      <w:r w:rsidR="003B09B1">
        <w:rPr>
          <w:rFonts w:eastAsia="Aptos" w:cs="Times New Roman"/>
          <w:lang w:val="en-GB"/>
        </w:rPr>
        <w:t>terms of freight flow, this step corresponds</w:t>
      </w:r>
      <w:r w:rsidR="00595064" w:rsidRPr="00E551D9">
        <w:rPr>
          <w:rFonts w:eastAsia="Aptos" w:cs="Times New Roman"/>
          <w:lang w:val="en-GB"/>
        </w:rPr>
        <w:t xml:space="preserve"> to freight trip generation (FTG).</w:t>
      </w:r>
    </w:p>
    <w:p w14:paraId="25FD16B4" w14:textId="1E11A493" w:rsidR="00092118" w:rsidRPr="00E551D9" w:rsidRDefault="00092118" w:rsidP="007E7F83">
      <w:pPr>
        <w:pStyle w:val="Akapitzlist"/>
        <w:numPr>
          <w:ilvl w:val="0"/>
          <w:numId w:val="19"/>
        </w:numPr>
        <w:tabs>
          <w:tab w:val="left" w:pos="5412"/>
        </w:tabs>
        <w:spacing w:after="0" w:line="240" w:lineRule="auto"/>
        <w:ind w:left="426" w:hanging="426"/>
        <w:jc w:val="both"/>
        <w:rPr>
          <w:rFonts w:cs="Times New Roman"/>
          <w:lang w:val="en-GB"/>
        </w:rPr>
      </w:pPr>
      <w:r w:rsidRPr="00E551D9">
        <w:rPr>
          <w:rFonts w:eastAsia="Aptos" w:cs="Times New Roman"/>
          <w:lang w:val="en-GB"/>
        </w:rPr>
        <w:t>Trip distribution then creates a matrix of trips between origin and destination (OD) areas using gravity functions</w:t>
      </w:r>
      <w:r w:rsidR="003B09B1">
        <w:rPr>
          <w:rFonts w:eastAsia="Aptos" w:cs="Times New Roman"/>
          <w:lang w:val="en-GB"/>
        </w:rPr>
        <w:t xml:space="preserve"> that estimate the likelihood of trips</w:t>
      </w:r>
      <w:r w:rsidRPr="00E551D9">
        <w:rPr>
          <w:rFonts w:eastAsia="Aptos" w:cs="Times New Roman"/>
          <w:lang w:val="en-GB"/>
        </w:rPr>
        <w:t xml:space="preserve"> based on production, attraction, distance, or travel time.</w:t>
      </w:r>
    </w:p>
    <w:p w14:paraId="795CCE28" w14:textId="1C5B9F27" w:rsidR="00092118" w:rsidRPr="000049F6" w:rsidRDefault="00092118" w:rsidP="007E7F83">
      <w:pPr>
        <w:pStyle w:val="Akapitzlist"/>
        <w:numPr>
          <w:ilvl w:val="0"/>
          <w:numId w:val="19"/>
        </w:numPr>
        <w:tabs>
          <w:tab w:val="left" w:pos="5412"/>
        </w:tabs>
        <w:spacing w:after="0" w:line="240" w:lineRule="auto"/>
        <w:ind w:left="426" w:hanging="426"/>
        <w:jc w:val="both"/>
        <w:rPr>
          <w:rFonts w:cs="Times New Roman"/>
          <w:spacing w:val="-4"/>
          <w:lang w:val="en-GB"/>
        </w:rPr>
      </w:pPr>
      <w:r w:rsidRPr="000049F6">
        <w:rPr>
          <w:rFonts w:eastAsia="Aptos" w:cs="Times New Roman"/>
          <w:spacing w:val="-4"/>
          <w:lang w:val="en-GB"/>
        </w:rPr>
        <w:t xml:space="preserve">Mode choice </w:t>
      </w:r>
      <w:r w:rsidR="003B09B1" w:rsidRPr="000049F6">
        <w:rPr>
          <w:rFonts w:eastAsia="Aptos" w:cs="Times New Roman"/>
          <w:spacing w:val="-4"/>
          <w:lang w:val="en-GB"/>
        </w:rPr>
        <w:t>determines how many trips will be made using each available mode of transport, such as a car, public transport, or a</w:t>
      </w:r>
      <w:r w:rsidRPr="000049F6">
        <w:rPr>
          <w:rFonts w:eastAsia="Aptos" w:cs="Times New Roman"/>
          <w:spacing w:val="-4"/>
          <w:lang w:val="en-GB"/>
        </w:rPr>
        <w:t xml:space="preserve"> bike. This step uses probability functions based on factors like distance, availability, and purpose to determine the preferred mode.</w:t>
      </w:r>
    </w:p>
    <w:p w14:paraId="785DBB68" w14:textId="3E01FBA0" w:rsidR="00092118" w:rsidRPr="00E551D9" w:rsidRDefault="00092118" w:rsidP="007E7F83">
      <w:pPr>
        <w:pStyle w:val="Akapitzlist"/>
        <w:numPr>
          <w:ilvl w:val="0"/>
          <w:numId w:val="19"/>
        </w:numPr>
        <w:tabs>
          <w:tab w:val="left" w:pos="5412"/>
        </w:tabs>
        <w:spacing w:after="0" w:line="240" w:lineRule="auto"/>
        <w:ind w:left="426" w:hanging="426"/>
        <w:jc w:val="both"/>
        <w:rPr>
          <w:rFonts w:cs="Times New Roman"/>
          <w:lang w:val="en-GB"/>
        </w:rPr>
      </w:pPr>
      <w:r w:rsidRPr="00E551D9">
        <w:rPr>
          <w:rFonts w:eastAsia="Aptos" w:cs="Times New Roman"/>
          <w:lang w:val="en-GB"/>
        </w:rPr>
        <w:t>Traffic assignment allocates routes for each trip generated, distributed, and assigned to a transport mode in the previous stages. This step typically uses Wardrop</w:t>
      </w:r>
      <w:r w:rsidR="003B09B1">
        <w:rPr>
          <w:rFonts w:eastAsia="Aptos" w:cs="Times New Roman"/>
          <w:lang w:val="en-GB"/>
        </w:rPr>
        <w:t>'</w:t>
      </w:r>
      <w:r w:rsidRPr="00E551D9">
        <w:rPr>
          <w:rFonts w:eastAsia="Aptos" w:cs="Times New Roman"/>
          <w:lang w:val="en-GB"/>
        </w:rPr>
        <w:t>s principle of user equilibrium</w:t>
      </w:r>
      <w:r w:rsidR="00131B5C" w:rsidRPr="00E551D9">
        <w:rPr>
          <w:rFonts w:eastAsia="Aptos" w:cs="Times New Roman"/>
          <w:lang w:val="en-GB"/>
        </w:rPr>
        <w:t xml:space="preserve"> (Wardrop 1952)</w:t>
      </w:r>
      <w:r w:rsidRPr="00E551D9">
        <w:rPr>
          <w:rFonts w:eastAsia="Aptos" w:cs="Times New Roman"/>
          <w:lang w:val="en-GB"/>
        </w:rPr>
        <w:t>, which assumes that all users choose the path with the lowest cost (represented</w:t>
      </w:r>
      <w:r w:rsidR="003B09B1">
        <w:rPr>
          <w:rFonts w:eastAsia="Aptos" w:cs="Times New Roman"/>
          <w:lang w:val="en-GB"/>
        </w:rPr>
        <w:t>,</w:t>
      </w:r>
      <w:r w:rsidRPr="00E551D9">
        <w:rPr>
          <w:rFonts w:eastAsia="Aptos" w:cs="Times New Roman"/>
          <w:lang w:val="en-GB"/>
        </w:rPr>
        <w:t xml:space="preserve"> for example</w:t>
      </w:r>
      <w:r w:rsidR="003B09B1">
        <w:rPr>
          <w:rFonts w:eastAsia="Aptos" w:cs="Times New Roman"/>
          <w:lang w:val="en-GB"/>
        </w:rPr>
        <w:t>,</w:t>
      </w:r>
      <w:r w:rsidRPr="00E551D9">
        <w:rPr>
          <w:rFonts w:eastAsia="Aptos" w:cs="Times New Roman"/>
          <w:lang w:val="en-GB"/>
        </w:rPr>
        <w:t xml:space="preserve"> by travel time) and that the transport system aims to reach an equilibrium, where no vehicle can change to a faster route. Because travel time on a link depends on traffic flow, determined by a volume-delay function, the four-step model requires iterative traffic assignments until equilibrium is reached.</w:t>
      </w:r>
    </w:p>
    <w:p w14:paraId="7258CD1D" w14:textId="77777777" w:rsidR="00E551D9" w:rsidRDefault="00E551D9" w:rsidP="007E7F83">
      <w:pPr>
        <w:spacing w:after="0" w:line="240" w:lineRule="auto"/>
        <w:ind w:firstLine="284"/>
        <w:jc w:val="both"/>
        <w:rPr>
          <w:lang w:val="en-GB"/>
        </w:rPr>
      </w:pPr>
    </w:p>
    <w:p w14:paraId="1B10147A" w14:textId="5C6A3AA6" w:rsidR="004E3E3E" w:rsidRPr="00E551D9" w:rsidRDefault="005C2FAC" w:rsidP="007E7F83">
      <w:pPr>
        <w:spacing w:after="0" w:line="240" w:lineRule="auto"/>
        <w:ind w:firstLine="284"/>
        <w:jc w:val="both"/>
        <w:rPr>
          <w:lang w:val="en-GB"/>
        </w:rPr>
      </w:pPr>
      <w:r w:rsidRPr="00E551D9">
        <w:rPr>
          <w:lang w:val="en-GB"/>
        </w:rPr>
        <w:t xml:space="preserve">Freight Trip Generation (FTG) represents the first stage </w:t>
      </w:r>
      <w:r w:rsidR="008B76B7" w:rsidRPr="00E551D9">
        <w:rPr>
          <w:lang w:val="en-GB"/>
        </w:rPr>
        <w:t xml:space="preserve">(S1) </w:t>
      </w:r>
      <w:r w:rsidRPr="00E551D9">
        <w:rPr>
          <w:lang w:val="en-GB"/>
        </w:rPr>
        <w:t xml:space="preserve">of the four-step freight transport </w:t>
      </w:r>
      <w:r w:rsidR="008B7D5E" w:rsidRPr="00E551D9">
        <w:rPr>
          <w:lang w:val="en-GB"/>
        </w:rPr>
        <w:t>modelling</w:t>
      </w:r>
      <w:r w:rsidRPr="00E551D9">
        <w:rPr>
          <w:lang w:val="en-GB"/>
        </w:rPr>
        <w:t xml:space="preserve"> framework and focuses on estimating the number of trips required for goods movement between suppliers and receivers in urban areas. It is the foundation of macroscopic freight transport analyses, essential for understanding logistics demand, energy use, and pollutant emissions.</w:t>
      </w:r>
    </w:p>
    <w:p w14:paraId="536C73CC" w14:textId="3F492E67" w:rsidR="005C2FAC" w:rsidRPr="00E551D9" w:rsidRDefault="005C2FAC" w:rsidP="007E7F83">
      <w:pPr>
        <w:spacing w:after="0" w:line="240" w:lineRule="auto"/>
        <w:ind w:firstLine="284"/>
        <w:jc w:val="both"/>
        <w:rPr>
          <w:lang w:val="en-GB"/>
        </w:rPr>
      </w:pPr>
      <w:r w:rsidRPr="00E551D9">
        <w:rPr>
          <w:lang w:val="en-GB"/>
        </w:rPr>
        <w:t xml:space="preserve">Recent literature shows a shift from structural and aggregate FTG models toward integrated frameworks linking </w:t>
      </w:r>
      <w:r w:rsidR="006B1057" w:rsidRPr="00E551D9">
        <w:rPr>
          <w:lang w:val="en-GB"/>
        </w:rPr>
        <w:t>FTG</w:t>
      </w:r>
      <w:r w:rsidRPr="00E551D9">
        <w:rPr>
          <w:lang w:val="en-GB"/>
        </w:rPr>
        <w:t xml:space="preserve"> with Land Use and Transport Interaction (LUTI). Comi et al</w:t>
      </w:r>
      <w:r w:rsidR="000F3033" w:rsidRPr="00E551D9">
        <w:rPr>
          <w:lang w:val="en-GB"/>
        </w:rPr>
        <w:t>. (2012)</w:t>
      </w:r>
      <w:r w:rsidR="005361FD" w:rsidRPr="00E551D9">
        <w:rPr>
          <w:lang w:val="en-GB"/>
        </w:rPr>
        <w:t xml:space="preserve"> </w:t>
      </w:r>
      <w:r w:rsidRPr="00E551D9">
        <w:rPr>
          <w:lang w:val="en-GB"/>
        </w:rPr>
        <w:t>proposed classifying FTG models by their reference units</w:t>
      </w:r>
      <w:r w:rsidR="006B1057" w:rsidRPr="00E551D9">
        <w:rPr>
          <w:lang w:val="en-GB"/>
        </w:rPr>
        <w:t xml:space="preserve"> (</w:t>
      </w:r>
      <w:r w:rsidRPr="00E551D9">
        <w:rPr>
          <w:lang w:val="en-GB"/>
        </w:rPr>
        <w:t>goods, vehicles, or deliveries</w:t>
      </w:r>
      <w:r w:rsidR="006B1057" w:rsidRPr="00E551D9">
        <w:rPr>
          <w:lang w:val="en-GB"/>
        </w:rPr>
        <w:t xml:space="preserve">) </w:t>
      </w:r>
      <w:r w:rsidRPr="00E551D9">
        <w:rPr>
          <w:lang w:val="en-GB"/>
        </w:rPr>
        <w:t>while emphasizing spatial-economic interdependencies. Similarly, Ducret and Gonzalez Feliu</w:t>
      </w:r>
      <w:r w:rsidR="00131B5C" w:rsidRPr="00E551D9">
        <w:rPr>
          <w:lang w:val="en-GB"/>
        </w:rPr>
        <w:t xml:space="preserve"> (2016) </w:t>
      </w:r>
      <w:r w:rsidRPr="00E551D9">
        <w:rPr>
          <w:lang w:val="en-GB"/>
        </w:rPr>
        <w:t xml:space="preserve">demonstrated that accounting for urban density and </w:t>
      </w:r>
      <w:r w:rsidRPr="00E551D9">
        <w:rPr>
          <w:lang w:val="en-GB"/>
        </w:rPr>
        <w:lastRenderedPageBreak/>
        <w:t>typology improves model transferability.</w:t>
      </w:r>
      <w:r w:rsidR="00084B46" w:rsidRPr="00E551D9">
        <w:rPr>
          <w:lang w:val="en-GB"/>
        </w:rPr>
        <w:t xml:space="preserve"> FTG</w:t>
      </w:r>
      <w:r w:rsidRPr="00E551D9">
        <w:rPr>
          <w:lang w:val="en-GB"/>
        </w:rPr>
        <w:t xml:space="preserve"> includes two complementary components: Freight Trip Production (FTP), originating from sites such as factories or warehouses, and Freight Trip Attraction (FTA), referring to destinations like retail outlets or restaurants. Contemporary studies have moved toward spatial and nonlinear </w:t>
      </w:r>
      <w:r w:rsidR="0039268E" w:rsidRPr="00E551D9">
        <w:rPr>
          <w:lang w:val="en-GB"/>
        </w:rPr>
        <w:t>modelling</w:t>
      </w:r>
      <w:r w:rsidRPr="00E551D9">
        <w:rPr>
          <w:lang w:val="en-GB"/>
        </w:rPr>
        <w:t xml:space="preserve"> approaches</w:t>
      </w:r>
      <w:r w:rsidR="00B92245" w:rsidRPr="00E551D9">
        <w:rPr>
          <w:lang w:val="en-GB"/>
        </w:rPr>
        <w:t xml:space="preserve"> (Woźniak et al. 2015)</w:t>
      </w:r>
      <w:r w:rsidRPr="00E551D9">
        <w:rPr>
          <w:lang w:val="en-GB"/>
        </w:rPr>
        <w:t>. Sánchez-Díaz</w:t>
      </w:r>
      <w:r w:rsidR="00131B5C" w:rsidRPr="00E551D9">
        <w:rPr>
          <w:lang w:val="en-GB"/>
        </w:rPr>
        <w:t xml:space="preserve"> </w:t>
      </w:r>
      <w:r w:rsidRPr="00E551D9">
        <w:rPr>
          <w:lang w:val="en-GB"/>
        </w:rPr>
        <w:t>et al.</w:t>
      </w:r>
      <w:r w:rsidR="00131B5C" w:rsidRPr="00E551D9">
        <w:rPr>
          <w:lang w:val="en-GB"/>
        </w:rPr>
        <w:t xml:space="preserve"> (2016)</w:t>
      </w:r>
      <w:r w:rsidRPr="00E551D9">
        <w:rPr>
          <w:lang w:val="en-GB"/>
        </w:rPr>
        <w:t xml:space="preserve"> found that FTA demonstrates concave relationships with employment, where trip generation grows at a decreasing rate. Studies by </w:t>
      </w:r>
      <w:proofErr w:type="spellStart"/>
      <w:r w:rsidRPr="00E551D9">
        <w:rPr>
          <w:lang w:val="en-GB"/>
        </w:rPr>
        <w:t>Venkadavarahan</w:t>
      </w:r>
      <w:proofErr w:type="spellEnd"/>
      <w:r w:rsidRPr="00E551D9">
        <w:rPr>
          <w:lang w:val="en-GB"/>
        </w:rPr>
        <w:t xml:space="preserve"> and </w:t>
      </w:r>
      <w:proofErr w:type="spellStart"/>
      <w:r w:rsidRPr="00E551D9">
        <w:rPr>
          <w:lang w:val="en-GB"/>
        </w:rPr>
        <w:t>Marisamynathan</w:t>
      </w:r>
      <w:proofErr w:type="spellEnd"/>
      <w:r w:rsidR="00131B5C" w:rsidRPr="00E551D9">
        <w:rPr>
          <w:lang w:val="en-GB"/>
        </w:rPr>
        <w:t xml:space="preserve"> (2021)</w:t>
      </w:r>
      <w:r w:rsidR="007A6C9F" w:rsidRPr="00E551D9">
        <w:rPr>
          <w:lang w:val="en-GB"/>
        </w:rPr>
        <w:t xml:space="preserve"> </w:t>
      </w:r>
      <w:r w:rsidRPr="00E551D9">
        <w:rPr>
          <w:lang w:val="en-GB"/>
        </w:rPr>
        <w:t>confirmed the significance of spatial effects, showing that ignoring them reduces predictive accuracy. The integration of spatial autocorrelation and nonlinear structures, a</w:t>
      </w:r>
      <w:r w:rsidR="003B09B1">
        <w:rPr>
          <w:lang w:val="en-GB"/>
        </w:rPr>
        <w:t>long with</w:t>
      </w:r>
      <w:r w:rsidRPr="00E551D9">
        <w:rPr>
          <w:lang w:val="en-GB"/>
        </w:rPr>
        <w:t xml:space="preserve"> data from ITS and FCD systems, has improved FTG accuracy and transferability.</w:t>
      </w:r>
      <w:r w:rsidR="00560BC3" w:rsidRPr="00E551D9">
        <w:rPr>
          <w:lang w:val="en-GB"/>
        </w:rPr>
        <w:t xml:space="preserve"> </w:t>
      </w:r>
      <w:r w:rsidRPr="00E551D9">
        <w:rPr>
          <w:lang w:val="en-GB"/>
        </w:rPr>
        <w:t xml:space="preserve">Emerging approaches use big data, ITS sensors, and statistical learning to enhance model precision, while newer frameworks include latent supply chain factors and distinguish between insourced and outsourced delivery types. Moreover, research highlights the freight-generating role of non-logistics facilities such as offices and institutions. Overall, FTG model development increasingly integrates spatial, operational, and socio-economic data for sustainable </w:t>
      </w:r>
      <w:r w:rsidR="00FA116F" w:rsidRPr="00E551D9">
        <w:rPr>
          <w:lang w:val="en-GB"/>
        </w:rPr>
        <w:t>(</w:t>
      </w:r>
      <w:proofErr w:type="spellStart"/>
      <w:r w:rsidR="00FA116F" w:rsidRPr="00E551D9">
        <w:rPr>
          <w:lang w:val="en-GB"/>
        </w:rPr>
        <w:t>Chamier-Gliszczynski</w:t>
      </w:r>
      <w:proofErr w:type="spellEnd"/>
      <w:r w:rsidR="00FA116F" w:rsidRPr="00E551D9">
        <w:rPr>
          <w:lang w:val="en-GB"/>
        </w:rPr>
        <w:t xml:space="preserve"> 2016) </w:t>
      </w:r>
      <w:r w:rsidRPr="00E551D9">
        <w:rPr>
          <w:lang w:val="en-GB"/>
        </w:rPr>
        <w:t>and energy-efficient freight planning</w:t>
      </w:r>
      <w:r w:rsidR="003C6198" w:rsidRPr="00E551D9">
        <w:rPr>
          <w:lang w:val="en-GB"/>
        </w:rPr>
        <w:t xml:space="preserve"> (</w:t>
      </w:r>
      <w:proofErr w:type="spellStart"/>
      <w:r w:rsidR="003C6198" w:rsidRPr="00E551D9">
        <w:rPr>
          <w:lang w:val="en-GB"/>
        </w:rPr>
        <w:t>Pompigna</w:t>
      </w:r>
      <w:proofErr w:type="spellEnd"/>
      <w:r w:rsidR="003C6198" w:rsidRPr="00E551D9">
        <w:rPr>
          <w:lang w:val="en-GB"/>
        </w:rPr>
        <w:t xml:space="preserve"> &amp; Mauro 2020)</w:t>
      </w:r>
      <w:r w:rsidRPr="00E551D9">
        <w:rPr>
          <w:lang w:val="en-GB"/>
        </w:rPr>
        <w:t>.</w:t>
      </w:r>
    </w:p>
    <w:p w14:paraId="7E547600" w14:textId="2D73D41F" w:rsidR="005C2FAC" w:rsidRPr="00E551D9" w:rsidRDefault="00595064" w:rsidP="007E7F83">
      <w:pPr>
        <w:spacing w:after="0" w:line="240" w:lineRule="auto"/>
        <w:ind w:firstLine="284"/>
        <w:jc w:val="both"/>
        <w:rPr>
          <w:lang w:val="en-GB"/>
        </w:rPr>
      </w:pPr>
      <w:r w:rsidRPr="00E551D9">
        <w:rPr>
          <w:lang w:val="en-GB"/>
        </w:rPr>
        <w:t>T</w:t>
      </w:r>
      <w:r w:rsidR="005C2FAC" w:rsidRPr="00E551D9">
        <w:rPr>
          <w:lang w:val="en-GB"/>
        </w:rPr>
        <w:t>rip distribution</w:t>
      </w:r>
      <w:r w:rsidR="00084B46" w:rsidRPr="00E551D9">
        <w:rPr>
          <w:lang w:val="en-GB"/>
        </w:rPr>
        <w:t xml:space="preserve"> (S2) </w:t>
      </w:r>
      <w:r w:rsidR="005C2FAC" w:rsidRPr="00E551D9">
        <w:rPr>
          <w:lang w:val="en-GB"/>
        </w:rPr>
        <w:t>concerns the estimation of origin–destination (OD) matrices for freight flows. Historically, OD matrices were based on costly survey methods</w:t>
      </w:r>
      <w:r w:rsidR="003B09B1">
        <w:rPr>
          <w:lang w:val="en-GB"/>
        </w:rPr>
        <w:t xml:space="preserve"> that combined</w:t>
      </w:r>
      <w:r w:rsidR="005C2FAC" w:rsidRPr="00E551D9">
        <w:rPr>
          <w:lang w:val="en-GB"/>
        </w:rPr>
        <w:t xml:space="preserve"> roadside interviews and traffic counts</w:t>
      </w:r>
      <w:r w:rsidR="00930B1C" w:rsidRPr="00E551D9">
        <w:rPr>
          <w:lang w:val="en-GB"/>
        </w:rPr>
        <w:t xml:space="preserve"> </w:t>
      </w:r>
      <w:r w:rsidR="00131B5C" w:rsidRPr="00E551D9">
        <w:rPr>
          <w:lang w:val="en-GB"/>
        </w:rPr>
        <w:t>(</w:t>
      </w:r>
      <w:proofErr w:type="spellStart"/>
      <w:r w:rsidR="00131B5C" w:rsidRPr="00E551D9">
        <w:rPr>
          <w:lang w:val="en-GB"/>
        </w:rPr>
        <w:t>Cascetta</w:t>
      </w:r>
      <w:proofErr w:type="spellEnd"/>
      <w:r w:rsidR="00131B5C" w:rsidRPr="00E551D9">
        <w:rPr>
          <w:lang w:val="en-GB"/>
        </w:rPr>
        <w:t xml:space="preserve"> 1984)</w:t>
      </w:r>
      <w:r w:rsidR="005C2FAC" w:rsidRPr="00E551D9">
        <w:rPr>
          <w:lang w:val="en-GB"/>
        </w:rPr>
        <w:t xml:space="preserve">. These have now been complemented by dynamic, model-based, and data-driven techniques. </w:t>
      </w:r>
      <w:r w:rsidR="00B063BA" w:rsidRPr="00E551D9">
        <w:rPr>
          <w:lang w:val="en-GB"/>
        </w:rPr>
        <w:t xml:space="preserve">For example, </w:t>
      </w:r>
      <w:proofErr w:type="spellStart"/>
      <w:r w:rsidR="00B063BA" w:rsidRPr="00E551D9">
        <w:rPr>
          <w:lang w:val="en-GB"/>
        </w:rPr>
        <w:t>Asmael</w:t>
      </w:r>
      <w:proofErr w:type="spellEnd"/>
      <w:r w:rsidR="00B063BA" w:rsidRPr="00E551D9">
        <w:rPr>
          <w:lang w:val="en-GB"/>
        </w:rPr>
        <w:t xml:space="preserve"> and </w:t>
      </w:r>
      <w:proofErr w:type="spellStart"/>
      <w:r w:rsidR="00B063BA" w:rsidRPr="00E551D9">
        <w:rPr>
          <w:lang w:val="en-GB"/>
        </w:rPr>
        <w:t>Wazer</w:t>
      </w:r>
      <w:proofErr w:type="spellEnd"/>
      <w:r w:rsidR="00131B5C" w:rsidRPr="00E551D9">
        <w:rPr>
          <w:lang w:val="en-GB"/>
        </w:rPr>
        <w:t xml:space="preserve"> (2022)</w:t>
      </w:r>
      <w:r w:rsidR="00B063BA" w:rsidRPr="00E551D9">
        <w:rPr>
          <w:lang w:val="en-GB"/>
        </w:rPr>
        <w:t xml:space="preserve"> showed that GIS-based spatial and land-use data can be used to estimate freight OD matrices, reducing reliance on traditional surveys. </w:t>
      </w:r>
      <w:r w:rsidR="005C2FAC" w:rsidRPr="00E551D9">
        <w:rPr>
          <w:lang w:val="en-GB"/>
        </w:rPr>
        <w:t>The Cell Transmission Model (CTM) and its derivatives enable OD estimation even with limited sensor coverage, while data-driven approaches use flow and speed data to infer trip patterns</w:t>
      </w:r>
      <w:r w:rsidR="00A25E99" w:rsidRPr="00E551D9">
        <w:rPr>
          <w:lang w:val="en-GB"/>
        </w:rPr>
        <w:t xml:space="preserve"> </w:t>
      </w:r>
      <w:r w:rsidR="00F95563" w:rsidRPr="00E551D9">
        <w:rPr>
          <w:lang w:val="en-GB"/>
        </w:rPr>
        <w:t>(</w:t>
      </w:r>
      <w:proofErr w:type="spellStart"/>
      <w:r w:rsidR="00F95563" w:rsidRPr="00E551D9">
        <w:rPr>
          <w:lang w:val="en-GB"/>
        </w:rPr>
        <w:t>Englezou</w:t>
      </w:r>
      <w:proofErr w:type="spellEnd"/>
      <w:r w:rsidR="00F95563" w:rsidRPr="00E551D9">
        <w:rPr>
          <w:lang w:val="en-GB"/>
        </w:rPr>
        <w:t xml:space="preserve"> et al. 2022, 2024b, 2024a)</w:t>
      </w:r>
      <w:r w:rsidR="005C2FAC" w:rsidRPr="00E551D9">
        <w:rPr>
          <w:lang w:val="en-GB"/>
        </w:rPr>
        <w:t>.</w:t>
      </w:r>
      <w:r w:rsidR="00F95563" w:rsidRPr="00E551D9">
        <w:rPr>
          <w:lang w:val="en-GB"/>
        </w:rPr>
        <w:t xml:space="preserve"> </w:t>
      </w:r>
      <w:r w:rsidR="005C2FAC" w:rsidRPr="00E551D9">
        <w:rPr>
          <w:lang w:val="en-GB"/>
        </w:rPr>
        <w:t>Recent work in deep learning has introduced models such as LSTM and autoencoders to predict OD matrices with high accuracy and resilience to missing data</w:t>
      </w:r>
      <w:r w:rsidR="00040257" w:rsidRPr="00E551D9">
        <w:rPr>
          <w:lang w:val="en-GB"/>
        </w:rPr>
        <w:t xml:space="preserve"> </w:t>
      </w:r>
      <w:r w:rsidR="00273E23" w:rsidRPr="00E551D9">
        <w:rPr>
          <w:lang w:val="en-GB"/>
        </w:rPr>
        <w:t>(</w:t>
      </w:r>
      <w:proofErr w:type="spellStart"/>
      <w:r w:rsidR="00273E23" w:rsidRPr="00E551D9">
        <w:rPr>
          <w:lang w:val="en-GB"/>
        </w:rPr>
        <w:t>Pamuła</w:t>
      </w:r>
      <w:proofErr w:type="spellEnd"/>
      <w:r w:rsidR="00273E23" w:rsidRPr="00E551D9">
        <w:rPr>
          <w:lang w:val="en-GB"/>
        </w:rPr>
        <w:t xml:space="preserve"> &amp; </w:t>
      </w:r>
      <w:proofErr w:type="spellStart"/>
      <w:r w:rsidR="00273E23" w:rsidRPr="00E551D9">
        <w:rPr>
          <w:lang w:val="en-GB"/>
        </w:rPr>
        <w:t>Żochowska</w:t>
      </w:r>
      <w:proofErr w:type="spellEnd"/>
      <w:r w:rsidR="00273E23" w:rsidRPr="00E551D9">
        <w:rPr>
          <w:lang w:val="en-GB"/>
        </w:rPr>
        <w:t xml:space="preserve"> 2023</w:t>
      </w:r>
      <w:r w:rsidR="007E7F83">
        <w:rPr>
          <w:lang w:val="en-GB"/>
        </w:rPr>
        <w:t>,</w:t>
      </w:r>
      <w:r w:rsidR="00273E23" w:rsidRPr="00E551D9">
        <w:rPr>
          <w:lang w:val="en-GB"/>
        </w:rPr>
        <w:t xml:space="preserve"> Pan 2006)</w:t>
      </w:r>
      <w:r w:rsidR="005C2FAC" w:rsidRPr="00E551D9">
        <w:rPr>
          <w:lang w:val="en-GB"/>
        </w:rPr>
        <w:t xml:space="preserve">. Although </w:t>
      </w:r>
      <w:r w:rsidR="003B09B1">
        <w:rPr>
          <w:lang w:val="en-GB"/>
        </w:rPr>
        <w:t>initi</w:t>
      </w:r>
      <w:r w:rsidR="005C2FAC" w:rsidRPr="00E551D9">
        <w:rPr>
          <w:lang w:val="en-GB"/>
        </w:rPr>
        <w:t xml:space="preserve">ally developed for passenger transport, these methods are adaptable to freight </w:t>
      </w:r>
      <w:r w:rsidR="008B7D5E" w:rsidRPr="00E551D9">
        <w:rPr>
          <w:lang w:val="en-GB"/>
        </w:rPr>
        <w:t>modelling</w:t>
      </w:r>
      <w:r w:rsidR="005C2FAC" w:rsidRPr="00E551D9">
        <w:rPr>
          <w:lang w:val="en-GB"/>
        </w:rPr>
        <w:t>, as shown by Pan</w:t>
      </w:r>
      <w:r w:rsidR="00273E23" w:rsidRPr="00E551D9">
        <w:rPr>
          <w:lang w:val="en-GB"/>
        </w:rPr>
        <w:t xml:space="preserve"> (2006)</w:t>
      </w:r>
      <w:r w:rsidR="005C2FAC" w:rsidRPr="00E551D9">
        <w:rPr>
          <w:lang w:val="en-GB"/>
        </w:rPr>
        <w:t xml:space="preserve"> and </w:t>
      </w:r>
      <w:proofErr w:type="spellStart"/>
      <w:r w:rsidR="005C2FAC" w:rsidRPr="00E551D9">
        <w:rPr>
          <w:lang w:val="en-GB"/>
        </w:rPr>
        <w:t>Wisetjindawat</w:t>
      </w:r>
      <w:proofErr w:type="spellEnd"/>
      <w:r w:rsidR="005C2FAC" w:rsidRPr="00E551D9">
        <w:rPr>
          <w:lang w:val="en-GB"/>
        </w:rPr>
        <w:t xml:space="preserve"> et al.</w:t>
      </w:r>
      <w:r w:rsidR="00273E23" w:rsidRPr="00E551D9">
        <w:rPr>
          <w:lang w:val="en-GB"/>
        </w:rPr>
        <w:t xml:space="preserve"> (2007)</w:t>
      </w:r>
      <w:r w:rsidR="005C2FAC" w:rsidRPr="00E551D9">
        <w:rPr>
          <w:lang w:val="en-GB"/>
        </w:rPr>
        <w:t>, who used business registries and economic data to estimate freight OD matrices. The resulting models directly support environmental policy evaluation by linking OD estimates with emission inventories and fuel consumption data</w:t>
      </w:r>
      <w:r w:rsidR="00030333" w:rsidRPr="00E551D9">
        <w:rPr>
          <w:lang w:val="en-GB"/>
        </w:rPr>
        <w:t xml:space="preserve"> </w:t>
      </w:r>
      <w:r w:rsidR="00273E23" w:rsidRPr="00E551D9">
        <w:rPr>
          <w:lang w:val="en-GB"/>
        </w:rPr>
        <w:t>(Alho et al. 2017a</w:t>
      </w:r>
      <w:r w:rsidR="007E7F83">
        <w:rPr>
          <w:lang w:val="en-GB"/>
        </w:rPr>
        <w:t>,</w:t>
      </w:r>
      <w:r w:rsidR="00273E23" w:rsidRPr="00E551D9">
        <w:rPr>
          <w:lang w:val="en-GB"/>
        </w:rPr>
        <w:t xml:space="preserve"> De Bok et al. 2022</w:t>
      </w:r>
      <w:r w:rsidR="007E7F83">
        <w:rPr>
          <w:lang w:val="en-GB"/>
        </w:rPr>
        <w:t>,</w:t>
      </w:r>
      <w:r w:rsidR="00273E23" w:rsidRPr="00E551D9">
        <w:rPr>
          <w:lang w:val="en-GB"/>
        </w:rPr>
        <w:t xml:space="preserve"> Sakai et al. 2020)</w:t>
      </w:r>
      <w:r w:rsidR="005C2FAC" w:rsidRPr="00E551D9">
        <w:rPr>
          <w:lang w:val="en-GB"/>
        </w:rPr>
        <w:t>.</w:t>
      </w:r>
      <w:r w:rsidR="008B76B7" w:rsidRPr="00E551D9">
        <w:rPr>
          <w:lang w:val="en-GB"/>
        </w:rPr>
        <w:t xml:space="preserve"> </w:t>
      </w:r>
      <w:r w:rsidR="005C2FAC" w:rsidRPr="00E551D9">
        <w:rPr>
          <w:lang w:val="en-GB"/>
        </w:rPr>
        <w:t>Freight OD matrix construction relies on integrating diverse data types</w:t>
      </w:r>
      <w:r w:rsidR="008B76B7" w:rsidRPr="00E551D9">
        <w:rPr>
          <w:lang w:val="en-GB"/>
        </w:rPr>
        <w:t xml:space="preserve"> (</w:t>
      </w:r>
      <w:r w:rsidR="005C2FAC" w:rsidRPr="00E551D9">
        <w:rPr>
          <w:lang w:val="en-GB"/>
        </w:rPr>
        <w:t>logistics</w:t>
      </w:r>
      <w:r w:rsidR="00605CCD" w:rsidRPr="00E551D9">
        <w:rPr>
          <w:lang w:val="en-GB"/>
        </w:rPr>
        <w:t xml:space="preserve"> (</w:t>
      </w:r>
      <w:proofErr w:type="spellStart"/>
      <w:r w:rsidR="00605CCD" w:rsidRPr="00E551D9">
        <w:rPr>
          <w:lang w:val="en-GB"/>
        </w:rPr>
        <w:t>Dyczkowska</w:t>
      </w:r>
      <w:proofErr w:type="spellEnd"/>
      <w:r w:rsidR="00605CCD" w:rsidRPr="00E551D9">
        <w:rPr>
          <w:lang w:val="en-GB"/>
        </w:rPr>
        <w:t xml:space="preserve"> et al. 2023a)</w:t>
      </w:r>
      <w:r w:rsidR="005C2FAC" w:rsidRPr="00E551D9">
        <w:rPr>
          <w:lang w:val="en-GB"/>
        </w:rPr>
        <w:t>, telematics, and regulatory sources</w:t>
      </w:r>
      <w:r w:rsidR="008B76B7" w:rsidRPr="00E551D9">
        <w:rPr>
          <w:lang w:val="en-GB"/>
        </w:rPr>
        <w:t xml:space="preserve">) </w:t>
      </w:r>
      <w:r w:rsidR="005C2FAC" w:rsidRPr="00E551D9">
        <w:rPr>
          <w:lang w:val="en-GB"/>
        </w:rPr>
        <w:t>and aligning them with FTG-based estimates. Despite challenges related to data confidentiality, this integration is essential for reducing uncertainty in energy and emission assessments and for improving freight policy design.</w:t>
      </w:r>
    </w:p>
    <w:p w14:paraId="4AD81541" w14:textId="69004B03" w:rsidR="005C2FAC" w:rsidRPr="00E551D9" w:rsidRDefault="005C2FAC" w:rsidP="007E7F83">
      <w:pPr>
        <w:spacing w:after="0" w:line="240" w:lineRule="auto"/>
        <w:ind w:firstLine="284"/>
        <w:jc w:val="both"/>
        <w:rPr>
          <w:lang w:val="en-GB"/>
        </w:rPr>
      </w:pPr>
      <w:r w:rsidRPr="00E551D9">
        <w:rPr>
          <w:lang w:val="en-GB"/>
        </w:rPr>
        <w:t>Mode choice</w:t>
      </w:r>
      <w:r w:rsidR="008B76B7" w:rsidRPr="00E551D9">
        <w:rPr>
          <w:lang w:val="en-GB"/>
        </w:rPr>
        <w:t xml:space="preserve"> </w:t>
      </w:r>
      <w:r w:rsidRPr="00E551D9">
        <w:rPr>
          <w:lang w:val="en-GB"/>
        </w:rPr>
        <w:t xml:space="preserve">represents the third step </w:t>
      </w:r>
      <w:r w:rsidR="008B76B7" w:rsidRPr="00E551D9">
        <w:rPr>
          <w:lang w:val="en-GB"/>
        </w:rPr>
        <w:t xml:space="preserve">(S3) </w:t>
      </w:r>
      <w:r w:rsidRPr="00E551D9">
        <w:rPr>
          <w:lang w:val="en-GB"/>
        </w:rPr>
        <w:t xml:space="preserve">of the </w:t>
      </w:r>
      <w:r w:rsidR="008B7D5E" w:rsidRPr="00E551D9">
        <w:rPr>
          <w:lang w:val="en-GB"/>
        </w:rPr>
        <w:t>modelling</w:t>
      </w:r>
      <w:r w:rsidRPr="00E551D9">
        <w:rPr>
          <w:lang w:val="en-GB"/>
        </w:rPr>
        <w:t xml:space="preserve"> sequence and remains less developed for freight transport. While passenger models use detailed discrete</w:t>
      </w:r>
      <w:r w:rsidR="003B09B1">
        <w:rPr>
          <w:lang w:val="en-GB"/>
        </w:rPr>
        <w:t>-choice frameworks (</w:t>
      </w:r>
      <w:proofErr w:type="spellStart"/>
      <w:r w:rsidR="003B09B1">
        <w:rPr>
          <w:lang w:val="en-GB"/>
        </w:rPr>
        <w:t>Szarata</w:t>
      </w:r>
      <w:proofErr w:type="spellEnd"/>
      <w:r w:rsidR="003B09B1">
        <w:rPr>
          <w:lang w:val="en-GB"/>
        </w:rPr>
        <w:t xml:space="preserve"> 2014), freight mode choice typically distinguishes between road, rail, and, occasionally,</w:t>
      </w:r>
      <w:r w:rsidRPr="00E551D9">
        <w:rPr>
          <w:lang w:val="en-GB"/>
        </w:rPr>
        <w:t xml:space="preserve"> air transport. Early applications of logit and elimination-by-aspects (EBA) models captured cost and time trade-offs, while more recent approaches integrate </w:t>
      </w:r>
      <w:r w:rsidR="008B7D5E" w:rsidRPr="00E551D9">
        <w:rPr>
          <w:lang w:val="en-GB"/>
        </w:rPr>
        <w:t>behavioural</w:t>
      </w:r>
      <w:r w:rsidRPr="00E551D9">
        <w:rPr>
          <w:lang w:val="en-GB"/>
        </w:rPr>
        <w:t xml:space="preserve"> diversity through stated preference (SP) experiments</w:t>
      </w:r>
      <w:r w:rsidR="001C4D2E" w:rsidRPr="00E551D9">
        <w:rPr>
          <w:lang w:val="en-GB"/>
        </w:rPr>
        <w:t xml:space="preserve"> </w:t>
      </w:r>
      <w:r w:rsidR="00C60A93" w:rsidRPr="00E551D9">
        <w:rPr>
          <w:lang w:val="en-GB"/>
        </w:rPr>
        <w:t>(Young et al. 1983)</w:t>
      </w:r>
      <w:r w:rsidRPr="00E551D9">
        <w:rPr>
          <w:lang w:val="en-GB"/>
        </w:rPr>
        <w:t>.</w:t>
      </w:r>
      <w:r w:rsidR="00243D77" w:rsidRPr="00E551D9">
        <w:rPr>
          <w:lang w:val="en-GB"/>
        </w:rPr>
        <w:t xml:space="preserve"> </w:t>
      </w:r>
      <w:r w:rsidRPr="00E551D9">
        <w:rPr>
          <w:lang w:val="en-GB"/>
        </w:rPr>
        <w:t xml:space="preserve">Hybrid frameworks such as the Freight Origin Destination Synthesis with Mode Choice (FODS MC) model link gravity-based flow estimation with binary mode choice and empty-trip </w:t>
      </w:r>
      <w:r w:rsidR="008B7D5E" w:rsidRPr="00E551D9">
        <w:rPr>
          <w:lang w:val="en-GB"/>
        </w:rPr>
        <w:t>modelling</w:t>
      </w:r>
      <w:r w:rsidR="00AB655E" w:rsidRPr="00E551D9">
        <w:rPr>
          <w:lang w:val="en-GB"/>
        </w:rPr>
        <w:t xml:space="preserve"> </w:t>
      </w:r>
      <w:r w:rsidR="00C60A93" w:rsidRPr="00E551D9">
        <w:rPr>
          <w:lang w:val="en-GB"/>
        </w:rPr>
        <w:t>(</w:t>
      </w:r>
      <w:proofErr w:type="spellStart"/>
      <w:r w:rsidR="00C60A93" w:rsidRPr="00E551D9">
        <w:rPr>
          <w:lang w:val="en-GB"/>
        </w:rPr>
        <w:t>Kalahasthi</w:t>
      </w:r>
      <w:proofErr w:type="spellEnd"/>
      <w:r w:rsidR="00C60A93" w:rsidRPr="00E551D9">
        <w:rPr>
          <w:lang w:val="en-GB"/>
        </w:rPr>
        <w:t xml:space="preserve"> et al. 2022)</w:t>
      </w:r>
      <w:r w:rsidRPr="00E551D9">
        <w:rPr>
          <w:lang w:val="en-GB"/>
        </w:rPr>
        <w:t>. Machine learning approaches, including SHAP-interpretable multinomial logit models and ensemble learning applied to the Commodity Flow Survey, have demonstrated over 90% predictive accuracy and improved transparency</w:t>
      </w:r>
      <w:r w:rsidR="003043F4" w:rsidRPr="00E551D9">
        <w:rPr>
          <w:lang w:val="en-GB"/>
        </w:rPr>
        <w:t xml:space="preserve"> </w:t>
      </w:r>
      <w:r w:rsidR="00C60A93" w:rsidRPr="00E551D9">
        <w:rPr>
          <w:lang w:val="en-GB"/>
        </w:rPr>
        <w:t>(</w:t>
      </w:r>
      <w:r w:rsidR="003C6198" w:rsidRPr="00E551D9">
        <w:rPr>
          <w:lang w:val="en-GB"/>
        </w:rPr>
        <w:t>Ansu &amp; Anjaneyulu 2022</w:t>
      </w:r>
      <w:r w:rsidR="007E7F83">
        <w:rPr>
          <w:lang w:val="en-GB"/>
        </w:rPr>
        <w:t>,</w:t>
      </w:r>
      <w:r w:rsidR="003C6198" w:rsidRPr="00E551D9">
        <w:rPr>
          <w:lang w:val="en-GB"/>
        </w:rPr>
        <w:t xml:space="preserve"> </w:t>
      </w:r>
      <w:r w:rsidR="00C60A93" w:rsidRPr="00E551D9">
        <w:rPr>
          <w:lang w:val="en-GB"/>
        </w:rPr>
        <w:t>Liu et al. 2024</w:t>
      </w:r>
      <w:r w:rsidR="007E7F83">
        <w:rPr>
          <w:lang w:val="en-GB"/>
        </w:rPr>
        <w:t>,</w:t>
      </w:r>
      <w:r w:rsidR="00C60A93" w:rsidRPr="00E551D9">
        <w:rPr>
          <w:lang w:val="en-GB"/>
        </w:rPr>
        <w:t xml:space="preserve"> </w:t>
      </w:r>
      <w:r w:rsidR="00230BA1" w:rsidRPr="00E551D9">
        <w:rPr>
          <w:lang w:val="en-GB"/>
        </w:rPr>
        <w:t xml:space="preserve">X. </w:t>
      </w:r>
      <w:r w:rsidR="00C60A93" w:rsidRPr="00E551D9">
        <w:rPr>
          <w:lang w:val="en-GB"/>
        </w:rPr>
        <w:t>Xu</w:t>
      </w:r>
      <w:r w:rsidR="00230BA1" w:rsidRPr="00E551D9">
        <w:rPr>
          <w:lang w:val="en-GB"/>
        </w:rPr>
        <w:t xml:space="preserve"> </w:t>
      </w:r>
      <w:r w:rsidR="00C60A93" w:rsidRPr="00E551D9">
        <w:rPr>
          <w:lang w:val="en-GB"/>
        </w:rPr>
        <w:t>et al. 2024)</w:t>
      </w:r>
      <w:r w:rsidRPr="00E551D9">
        <w:rPr>
          <w:lang w:val="en-GB"/>
        </w:rPr>
        <w:t>.</w:t>
      </w:r>
      <w:r w:rsidR="00243D77" w:rsidRPr="00E551D9">
        <w:rPr>
          <w:lang w:val="en-GB"/>
        </w:rPr>
        <w:t xml:space="preserve"> </w:t>
      </w:r>
      <w:r w:rsidRPr="00E551D9">
        <w:rPr>
          <w:lang w:val="en-GB"/>
        </w:rPr>
        <w:t xml:space="preserve">Despite these advances, urban freight </w:t>
      </w:r>
      <w:proofErr w:type="spellStart"/>
      <w:r w:rsidRPr="00E551D9">
        <w:rPr>
          <w:lang w:val="en-GB"/>
        </w:rPr>
        <w:t>modeling</w:t>
      </w:r>
      <w:proofErr w:type="spellEnd"/>
      <w:r w:rsidRPr="00E551D9">
        <w:rPr>
          <w:lang w:val="en-GB"/>
        </w:rPr>
        <w:t xml:space="preserve"> remains limited in its representation of new and emerging delivery modes, including cargo bikes, electric vans, and drones. The lack of models addressing modal splits at this granular level represents a </w:t>
      </w:r>
      <w:r w:rsidR="003B09B1">
        <w:rPr>
          <w:lang w:val="en-GB"/>
        </w:rPr>
        <w:t>significant</w:t>
      </w:r>
      <w:r w:rsidRPr="00E551D9">
        <w:rPr>
          <w:lang w:val="en-GB"/>
        </w:rPr>
        <w:t xml:space="preserve"> research gap in urban logistics and sustainability studies</w:t>
      </w:r>
      <w:r w:rsidR="006423FA" w:rsidRPr="00E551D9">
        <w:rPr>
          <w:lang w:val="en-GB"/>
        </w:rPr>
        <w:t xml:space="preserve"> (</w:t>
      </w:r>
      <w:proofErr w:type="spellStart"/>
      <w:r w:rsidR="006423FA" w:rsidRPr="00E551D9">
        <w:rPr>
          <w:lang w:val="en-GB"/>
        </w:rPr>
        <w:t>Chamier-Gliszczyński</w:t>
      </w:r>
      <w:proofErr w:type="spellEnd"/>
      <w:r w:rsidR="006423FA" w:rsidRPr="00E551D9">
        <w:rPr>
          <w:lang w:val="en-GB"/>
        </w:rPr>
        <w:t xml:space="preserve"> 2012).</w:t>
      </w:r>
    </w:p>
    <w:p w14:paraId="011F7DBD" w14:textId="08429FFA" w:rsidR="003D674B" w:rsidRPr="00E551D9" w:rsidRDefault="005C2FAC" w:rsidP="007E7F83">
      <w:pPr>
        <w:spacing w:after="0" w:line="240" w:lineRule="auto"/>
        <w:ind w:firstLine="284"/>
        <w:jc w:val="both"/>
        <w:rPr>
          <w:lang w:val="en-GB"/>
        </w:rPr>
      </w:pPr>
      <w:r w:rsidRPr="00E551D9">
        <w:rPr>
          <w:lang w:val="en-GB"/>
        </w:rPr>
        <w:t xml:space="preserve">Traffic Assignment (TAP) </w:t>
      </w:r>
      <w:r w:rsidR="003B09B1">
        <w:rPr>
          <w:lang w:val="en-GB"/>
        </w:rPr>
        <w:t>is the final stage (S4) of freight modelling and determines how flows are distributed</w:t>
      </w:r>
      <w:r w:rsidRPr="00E551D9">
        <w:rPr>
          <w:lang w:val="en-GB"/>
        </w:rPr>
        <w:t xml:space="preserve"> across the transport network. Grounded in Wardrop</w:t>
      </w:r>
      <w:r w:rsidR="003B09B1">
        <w:rPr>
          <w:lang w:val="en-GB"/>
        </w:rPr>
        <w:t>'</w:t>
      </w:r>
      <w:r w:rsidRPr="00E551D9">
        <w:rPr>
          <w:lang w:val="en-GB"/>
        </w:rPr>
        <w:t>s principles of user equilibrium (UE) and system optimum (SO)</w:t>
      </w:r>
      <w:r w:rsidR="006E028A" w:rsidRPr="00E551D9">
        <w:rPr>
          <w:lang w:val="en-GB"/>
        </w:rPr>
        <w:t xml:space="preserve"> </w:t>
      </w:r>
      <w:r w:rsidR="00AD20C9" w:rsidRPr="00E551D9">
        <w:rPr>
          <w:lang w:val="en-GB"/>
        </w:rPr>
        <w:t>(Wardrop 1952)</w:t>
      </w:r>
      <w:r w:rsidRPr="00E551D9">
        <w:rPr>
          <w:lang w:val="en-GB"/>
        </w:rPr>
        <w:t xml:space="preserve">, TAP identifies optimal routing under </w:t>
      </w:r>
      <w:r w:rsidR="008B7D5E" w:rsidRPr="00E551D9">
        <w:rPr>
          <w:lang w:val="en-GB"/>
        </w:rPr>
        <w:t>behavioural</w:t>
      </w:r>
      <w:r w:rsidRPr="00E551D9">
        <w:rPr>
          <w:lang w:val="en-GB"/>
        </w:rPr>
        <w:t xml:space="preserve"> or system-wide efficiency assumptions. Advanced formulations</w:t>
      </w:r>
      <w:r w:rsidR="003B09B1">
        <w:rPr>
          <w:lang w:val="en-GB"/>
        </w:rPr>
        <w:t>,</w:t>
      </w:r>
      <w:r w:rsidR="00243D77" w:rsidRPr="00E551D9">
        <w:rPr>
          <w:lang w:val="en-GB"/>
        </w:rPr>
        <w:t xml:space="preserve"> </w:t>
      </w:r>
      <w:r w:rsidRPr="00E551D9">
        <w:rPr>
          <w:lang w:val="en-GB"/>
        </w:rPr>
        <w:t>such as stochastic, boundedly rational, and dynamic user equilibria</w:t>
      </w:r>
      <w:r w:rsidR="00243D77" w:rsidRPr="00E551D9">
        <w:rPr>
          <w:lang w:val="en-GB"/>
        </w:rPr>
        <w:t xml:space="preserve">, </w:t>
      </w:r>
      <w:r w:rsidRPr="00E551D9">
        <w:rPr>
          <w:lang w:val="en-GB"/>
        </w:rPr>
        <w:t xml:space="preserve">add realism through temporal and </w:t>
      </w:r>
      <w:r w:rsidR="008B7D5E" w:rsidRPr="00E551D9">
        <w:rPr>
          <w:lang w:val="en-GB"/>
        </w:rPr>
        <w:t>behavioural</w:t>
      </w:r>
      <w:r w:rsidRPr="00E551D9">
        <w:rPr>
          <w:lang w:val="en-GB"/>
        </w:rPr>
        <w:t xml:space="preserve"> flexibility.</w:t>
      </w:r>
      <w:r w:rsidR="00243D77" w:rsidRPr="00E551D9">
        <w:rPr>
          <w:lang w:val="en-GB"/>
        </w:rPr>
        <w:t xml:space="preserve"> </w:t>
      </w:r>
      <w:r w:rsidRPr="00E551D9">
        <w:rPr>
          <w:lang w:val="en-GB"/>
        </w:rPr>
        <w:t xml:space="preserve">Computational advances now employ graph neural networks </w:t>
      </w:r>
      <w:r w:rsidR="00AD20C9" w:rsidRPr="00E551D9">
        <w:rPr>
          <w:lang w:val="en-GB"/>
        </w:rPr>
        <w:t>(</w:t>
      </w:r>
      <w:proofErr w:type="spellStart"/>
      <w:r w:rsidR="00AD20C9" w:rsidRPr="00E551D9">
        <w:rPr>
          <w:lang w:val="en-GB"/>
        </w:rPr>
        <w:t>Mądziel</w:t>
      </w:r>
      <w:proofErr w:type="spellEnd"/>
      <w:r w:rsidR="00AD20C9" w:rsidRPr="00E551D9">
        <w:rPr>
          <w:lang w:val="en-GB"/>
        </w:rPr>
        <w:t xml:space="preserve"> 2023)</w:t>
      </w:r>
      <w:r w:rsidRPr="00E551D9">
        <w:rPr>
          <w:lang w:val="en-GB"/>
        </w:rPr>
        <w:t>, decomposition, and parallel algorithms to handle large-scale assignments efficiently. Environmental extensions embed emission and energy costs into objective functions, improving ecological realism</w:t>
      </w:r>
      <w:r w:rsidR="006A3133" w:rsidRPr="00E551D9">
        <w:rPr>
          <w:lang w:val="en-GB"/>
        </w:rPr>
        <w:t xml:space="preserve"> </w:t>
      </w:r>
      <w:r w:rsidR="00AD20C9" w:rsidRPr="00E551D9">
        <w:rPr>
          <w:lang w:val="en-GB"/>
        </w:rPr>
        <w:t>(Shi et al. 2025</w:t>
      </w:r>
      <w:r w:rsidR="007E7F83">
        <w:rPr>
          <w:lang w:val="en-GB"/>
        </w:rPr>
        <w:t>,</w:t>
      </w:r>
      <w:r w:rsidR="00AD20C9" w:rsidRPr="00E551D9">
        <w:rPr>
          <w:lang w:val="en-GB"/>
        </w:rPr>
        <w:t xml:space="preserve"> Z. Xu et al. 2024</w:t>
      </w:r>
      <w:r w:rsidR="007E7F83">
        <w:rPr>
          <w:lang w:val="en-GB"/>
        </w:rPr>
        <w:t>,</w:t>
      </w:r>
      <w:r w:rsidR="00AD20C9" w:rsidRPr="00E551D9">
        <w:rPr>
          <w:lang w:val="en-GB"/>
        </w:rPr>
        <w:t xml:space="preserve"> S. Zhao</w:t>
      </w:r>
      <w:r w:rsidR="00230BA1" w:rsidRPr="00E551D9">
        <w:rPr>
          <w:lang w:val="en-GB"/>
        </w:rPr>
        <w:t xml:space="preserve"> </w:t>
      </w:r>
      <w:r w:rsidR="00AD20C9" w:rsidRPr="00E551D9">
        <w:rPr>
          <w:lang w:val="en-GB"/>
        </w:rPr>
        <w:t>et al.</w:t>
      </w:r>
      <w:r w:rsidR="007E7F83">
        <w:rPr>
          <w:lang w:val="en-GB"/>
        </w:rPr>
        <w:t xml:space="preserve"> </w:t>
      </w:r>
      <w:r w:rsidR="00AD20C9" w:rsidRPr="00E551D9">
        <w:rPr>
          <w:lang w:val="en-GB"/>
        </w:rPr>
        <w:t>2023)</w:t>
      </w:r>
      <w:r w:rsidRPr="00E551D9">
        <w:rPr>
          <w:lang w:val="en-GB"/>
        </w:rPr>
        <w:t>. Although freight-specific TAP studies are rare, hybrid simulations (e.g.,</w:t>
      </w:r>
      <w:r w:rsidR="00AD20C9" w:rsidRPr="00E551D9">
        <w:rPr>
          <w:lang w:val="en-GB"/>
        </w:rPr>
        <w:t xml:space="preserve"> Simoni &amp; Claudel 2018) </w:t>
      </w:r>
      <w:r w:rsidRPr="00E551D9">
        <w:rPr>
          <w:lang w:val="en-GB"/>
        </w:rPr>
        <w:t xml:space="preserve">and </w:t>
      </w:r>
      <w:proofErr w:type="spellStart"/>
      <w:r w:rsidRPr="00E551D9">
        <w:rPr>
          <w:lang w:val="en-GB"/>
        </w:rPr>
        <w:t>behavioral</w:t>
      </w:r>
      <w:proofErr w:type="spellEnd"/>
      <w:r w:rsidRPr="00E551D9">
        <w:rPr>
          <w:lang w:val="en-GB"/>
        </w:rPr>
        <w:t xml:space="preserve"> analyses (e.g., </w:t>
      </w:r>
      <w:proofErr w:type="spellStart"/>
      <w:r w:rsidRPr="00E551D9">
        <w:rPr>
          <w:lang w:val="en-GB"/>
        </w:rPr>
        <w:t>Davidich</w:t>
      </w:r>
      <w:proofErr w:type="spellEnd"/>
      <w:r w:rsidR="00AD20C9" w:rsidRPr="00E551D9">
        <w:rPr>
          <w:lang w:val="en-GB"/>
        </w:rPr>
        <w:t xml:space="preserve"> et al. 2021</w:t>
      </w:r>
      <w:r w:rsidRPr="00E551D9">
        <w:rPr>
          <w:lang w:val="en-GB"/>
        </w:rPr>
        <w:t>)</w:t>
      </w:r>
      <w:r w:rsidR="00AD20C9" w:rsidRPr="00E551D9">
        <w:rPr>
          <w:lang w:val="en-GB"/>
        </w:rPr>
        <w:t xml:space="preserve"> </w:t>
      </w:r>
      <w:r w:rsidRPr="00E551D9">
        <w:rPr>
          <w:lang w:val="en-GB"/>
        </w:rPr>
        <w:t>show progress toward multimodal and environmentally adaptive freight models</w:t>
      </w:r>
      <w:r w:rsidR="00B92245" w:rsidRPr="00E551D9">
        <w:rPr>
          <w:lang w:val="en-GB"/>
        </w:rPr>
        <w:t xml:space="preserve"> (Woźniak et al. 2015a)</w:t>
      </w:r>
      <w:r w:rsidRPr="00E551D9">
        <w:rPr>
          <w:lang w:val="en-GB"/>
        </w:rPr>
        <w:t>.</w:t>
      </w:r>
      <w:r w:rsidR="00243D77" w:rsidRPr="00E551D9">
        <w:rPr>
          <w:lang w:val="en-GB"/>
        </w:rPr>
        <w:t xml:space="preserve"> </w:t>
      </w:r>
      <w:r w:rsidRPr="003B48B3">
        <w:rPr>
          <w:spacing w:val="-2"/>
          <w:lang w:val="en-GB"/>
        </w:rPr>
        <w:t xml:space="preserve">Overall, TAP research is evolving toward environmentally conscious, disruption-resilient, and machine-learning-enhanced models. The remaining challenge is integrating emissions, energy costs, and operator </w:t>
      </w:r>
      <w:r w:rsidR="008B7D5E" w:rsidRPr="003B48B3">
        <w:rPr>
          <w:spacing w:val="-2"/>
          <w:lang w:val="en-GB"/>
        </w:rPr>
        <w:t>behaviour</w:t>
      </w:r>
      <w:r w:rsidRPr="003B48B3">
        <w:rPr>
          <w:spacing w:val="-2"/>
          <w:lang w:val="en-GB"/>
        </w:rPr>
        <w:t xml:space="preserve"> into unified frameworks suitable for sustainable urban freight management</w:t>
      </w:r>
      <w:r w:rsidR="006423FA" w:rsidRPr="003B48B3">
        <w:rPr>
          <w:spacing w:val="-2"/>
          <w:lang w:val="en-GB"/>
        </w:rPr>
        <w:t xml:space="preserve"> (</w:t>
      </w:r>
      <w:proofErr w:type="spellStart"/>
      <w:r w:rsidR="006423FA" w:rsidRPr="003B48B3">
        <w:rPr>
          <w:spacing w:val="-2"/>
          <w:lang w:val="en-GB"/>
        </w:rPr>
        <w:t>Klodawski</w:t>
      </w:r>
      <w:proofErr w:type="spellEnd"/>
      <w:r w:rsidR="006423FA" w:rsidRPr="003B48B3">
        <w:rPr>
          <w:spacing w:val="-2"/>
          <w:lang w:val="en-GB"/>
        </w:rPr>
        <w:t xml:space="preserve"> et al. 2024)</w:t>
      </w:r>
      <w:r w:rsidRPr="003B48B3">
        <w:rPr>
          <w:spacing w:val="-2"/>
          <w:lang w:val="en-GB"/>
        </w:rPr>
        <w:t>.</w:t>
      </w:r>
    </w:p>
    <w:p w14:paraId="20956D3A" w14:textId="73D6F214" w:rsidR="00841849" w:rsidRPr="00E551D9" w:rsidRDefault="00C666CB" w:rsidP="00F6615F">
      <w:pPr>
        <w:pStyle w:val="Rn2"/>
      </w:pPr>
      <w:r w:rsidRPr="00E551D9">
        <w:rPr>
          <w:bCs/>
        </w:rPr>
        <w:lastRenderedPageBreak/>
        <w:t xml:space="preserve">2.2. </w:t>
      </w:r>
      <w:r w:rsidR="007673E7" w:rsidRPr="00E551D9">
        <w:t>Emission model</w:t>
      </w:r>
      <w:r w:rsidR="0059455B" w:rsidRPr="00E551D9">
        <w:t xml:space="preserve">s in </w:t>
      </w:r>
      <w:r w:rsidR="0004347D" w:rsidRPr="00E551D9">
        <w:t>urban freight transport</w:t>
      </w:r>
      <w:r w:rsidR="005E07F9" w:rsidRPr="00E551D9">
        <w:t xml:space="preserve"> </w:t>
      </w:r>
    </w:p>
    <w:p w14:paraId="20551862" w14:textId="3DB7B1D4" w:rsidR="00F9374C" w:rsidRPr="00E551D9" w:rsidRDefault="00F9374C" w:rsidP="007E7F83">
      <w:pPr>
        <w:spacing w:after="0" w:line="240" w:lineRule="auto"/>
        <w:ind w:firstLine="284"/>
        <w:jc w:val="both"/>
        <w:rPr>
          <w:lang w:val="en-GB"/>
        </w:rPr>
      </w:pPr>
      <w:r w:rsidRPr="00E551D9">
        <w:rPr>
          <w:lang w:val="en-GB"/>
        </w:rPr>
        <w:t>Emission models quantify pollutants such as CO₂, CH₄, N₂O, CO, NO₂, hydrocarbons, and particulate matter (PM), a</w:t>
      </w:r>
      <w:r w:rsidR="003B09B1">
        <w:rPr>
          <w:lang w:val="en-GB"/>
        </w:rPr>
        <w:t>s well as</w:t>
      </w:r>
      <w:r w:rsidRPr="00E551D9">
        <w:rPr>
          <w:lang w:val="en-GB"/>
        </w:rPr>
        <w:t xml:space="preserve"> energy consumption. Their calibration frequently depends on government-supported frameworks using Portable Emission Measurement Systems (PEMS) or laboratory tests. Macro models (e.g., MOVES, COPERT, HBEFA, TREM) rely on average emission factors linked to speed and vehicle type</w:t>
      </w:r>
      <w:r w:rsidR="00933BE4" w:rsidRPr="00E551D9">
        <w:rPr>
          <w:lang w:val="en-GB"/>
        </w:rPr>
        <w:t xml:space="preserve"> (Bo et al. 2025</w:t>
      </w:r>
      <w:r w:rsidR="007E7F83">
        <w:rPr>
          <w:lang w:val="en-GB"/>
        </w:rPr>
        <w:t>,</w:t>
      </w:r>
      <w:r w:rsidR="00933BE4" w:rsidRPr="00E551D9">
        <w:rPr>
          <w:lang w:val="en-GB"/>
        </w:rPr>
        <w:t xml:space="preserve"> Hu et al. 2021</w:t>
      </w:r>
      <w:r w:rsidR="007E7F83">
        <w:rPr>
          <w:lang w:val="en-GB"/>
        </w:rPr>
        <w:t>,</w:t>
      </w:r>
      <w:r w:rsidR="00933BE4" w:rsidRPr="00E551D9">
        <w:rPr>
          <w:lang w:val="en-GB"/>
        </w:rPr>
        <w:t xml:space="preserve"> </w:t>
      </w:r>
      <w:proofErr w:type="spellStart"/>
      <w:r w:rsidR="00933BE4" w:rsidRPr="00E551D9">
        <w:rPr>
          <w:lang w:val="en-GB"/>
        </w:rPr>
        <w:t>Mangones</w:t>
      </w:r>
      <w:proofErr w:type="spellEnd"/>
      <w:r w:rsidR="00933BE4" w:rsidRPr="00E551D9">
        <w:rPr>
          <w:lang w:val="en-GB"/>
        </w:rPr>
        <w:t xml:space="preserve"> et al. 2019</w:t>
      </w:r>
      <w:r w:rsidR="007E7F83">
        <w:rPr>
          <w:lang w:val="en-GB"/>
        </w:rPr>
        <w:t>,</w:t>
      </w:r>
      <w:r w:rsidR="00933BE4" w:rsidRPr="00E551D9">
        <w:rPr>
          <w:lang w:val="en-GB"/>
        </w:rPr>
        <w:t xml:space="preserve"> Schnieder et al. 2021)</w:t>
      </w:r>
      <w:r w:rsidRPr="00E551D9">
        <w:rPr>
          <w:lang w:val="en-GB"/>
        </w:rPr>
        <w:t>. Micro-scale models (e.g., IVE, CMEM, PHEM) depend on real-world trajectories, Vehicle Specific Power, and driving cycles</w:t>
      </w:r>
      <w:r w:rsidR="0099449D" w:rsidRPr="00E551D9">
        <w:rPr>
          <w:lang w:val="en-GB"/>
        </w:rPr>
        <w:t xml:space="preserve"> </w:t>
      </w:r>
      <w:r w:rsidR="00EA7457" w:rsidRPr="00E551D9">
        <w:rPr>
          <w:lang w:val="en-GB"/>
        </w:rPr>
        <w:t>(Patiño-Aroca et al. 2022</w:t>
      </w:r>
      <w:r w:rsidR="007E7F83">
        <w:rPr>
          <w:lang w:val="en-GB"/>
        </w:rPr>
        <w:t>,</w:t>
      </w:r>
      <w:r w:rsidR="00EA7457" w:rsidRPr="00E551D9">
        <w:rPr>
          <w:lang w:val="en-GB"/>
        </w:rPr>
        <w:t xml:space="preserve"> Song et al. 2023</w:t>
      </w:r>
      <w:r w:rsidR="007E7F83">
        <w:rPr>
          <w:lang w:val="en-GB"/>
        </w:rPr>
        <w:t>,</w:t>
      </w:r>
      <w:r w:rsidR="00EA7457" w:rsidRPr="00E551D9">
        <w:rPr>
          <w:lang w:val="en-GB"/>
        </w:rPr>
        <w:t xml:space="preserve"> </w:t>
      </w:r>
      <w:proofErr w:type="spellStart"/>
      <w:r w:rsidR="00EA7457" w:rsidRPr="00E551D9">
        <w:rPr>
          <w:lang w:val="en-GB"/>
        </w:rPr>
        <w:t>Turkensteen</w:t>
      </w:r>
      <w:proofErr w:type="spellEnd"/>
      <w:r w:rsidR="00EA7457" w:rsidRPr="00E551D9">
        <w:rPr>
          <w:lang w:val="en-GB"/>
        </w:rPr>
        <w:t xml:space="preserve"> 2017)</w:t>
      </w:r>
      <w:r w:rsidRPr="00E551D9">
        <w:rPr>
          <w:lang w:val="en-GB"/>
        </w:rPr>
        <w:t>.</w:t>
      </w:r>
    </w:p>
    <w:p w14:paraId="597E2CCC" w14:textId="4CB4BBA0" w:rsidR="00390A03" w:rsidRPr="00E551D9" w:rsidRDefault="00F9374C" w:rsidP="007E7F83">
      <w:pPr>
        <w:spacing w:after="0" w:line="240" w:lineRule="auto"/>
        <w:ind w:firstLine="284"/>
        <w:jc w:val="both"/>
        <w:rPr>
          <w:lang w:val="en-GB"/>
        </w:rPr>
      </w:pPr>
      <w:r w:rsidRPr="00E551D9">
        <w:rPr>
          <w:lang w:val="en-GB"/>
        </w:rPr>
        <w:t>Freight-specific applications remain limited, yet key insights have emerged. Studies such as Samaras et</w:t>
      </w:r>
      <w:r w:rsidR="007A0458">
        <w:rPr>
          <w:lang w:val="en-GB"/>
        </w:rPr>
        <w:t> </w:t>
      </w:r>
      <w:r w:rsidRPr="00E551D9">
        <w:rPr>
          <w:lang w:val="en-GB"/>
        </w:rPr>
        <w:t>al.</w:t>
      </w:r>
      <w:r w:rsidR="00EA7457" w:rsidRPr="00E551D9">
        <w:rPr>
          <w:lang w:val="en-GB"/>
        </w:rPr>
        <w:t xml:space="preserve"> (2019)</w:t>
      </w:r>
      <w:r w:rsidRPr="00E551D9">
        <w:rPr>
          <w:lang w:val="en-GB"/>
        </w:rPr>
        <w:t xml:space="preserve"> integrated AVL CRUISE with COPERT and AIMSUN to represent emission </w:t>
      </w:r>
      <w:r w:rsidR="008B7D5E" w:rsidRPr="00E551D9">
        <w:rPr>
          <w:lang w:val="en-GB"/>
        </w:rPr>
        <w:t>behaviours</w:t>
      </w:r>
      <w:r w:rsidRPr="00E551D9">
        <w:rPr>
          <w:lang w:val="en-GB"/>
        </w:rPr>
        <w:t xml:space="preserve"> for non-standard vehicle types. Such integrations bridge the gap between micro</w:t>
      </w:r>
      <w:r w:rsidR="003B09B1">
        <w:rPr>
          <w:lang w:val="en-GB"/>
        </w:rPr>
        <w:t>-simulation precision and macro-applicability, particularly when data on</w:t>
      </w:r>
      <w:r w:rsidRPr="00E551D9">
        <w:rPr>
          <w:lang w:val="en-GB"/>
        </w:rPr>
        <w:t xml:space="preserve"> freight vehicles is scarce.</w:t>
      </w:r>
    </w:p>
    <w:p w14:paraId="157D02F5" w14:textId="3CF114E2" w:rsidR="00F9374C" w:rsidRPr="00E551D9" w:rsidRDefault="00F9374C" w:rsidP="007E7F83">
      <w:pPr>
        <w:spacing w:after="0" w:line="240" w:lineRule="auto"/>
        <w:ind w:firstLine="284"/>
        <w:jc w:val="both"/>
        <w:rPr>
          <w:lang w:val="en-GB"/>
        </w:rPr>
      </w:pPr>
      <w:r w:rsidRPr="00E551D9">
        <w:rPr>
          <w:lang w:val="en-GB"/>
        </w:rPr>
        <w:t xml:space="preserve">Macroscopic </w:t>
      </w:r>
      <w:r w:rsidR="008B7D5E" w:rsidRPr="00E551D9">
        <w:rPr>
          <w:lang w:val="en-GB"/>
        </w:rPr>
        <w:t>modelling</w:t>
      </w:r>
      <w:r w:rsidRPr="00E551D9">
        <w:rPr>
          <w:lang w:val="en-GB"/>
        </w:rPr>
        <w:t xml:space="preserve"> tools like SATURN, VISUM, EMME, </w:t>
      </w:r>
      <w:proofErr w:type="spellStart"/>
      <w:r w:rsidRPr="00E551D9">
        <w:rPr>
          <w:lang w:val="en-GB"/>
        </w:rPr>
        <w:t>TransCAD</w:t>
      </w:r>
      <w:proofErr w:type="spellEnd"/>
      <w:r w:rsidRPr="00E551D9">
        <w:rPr>
          <w:lang w:val="en-GB"/>
        </w:rPr>
        <w:t xml:space="preserve">, and CUBE dominate large-scale emission studies. They are typically applied within top-down frameworks, linking traffic flows to emission models through aggregated variables. Early work, such as </w:t>
      </w:r>
      <w:proofErr w:type="spellStart"/>
      <w:r w:rsidRPr="00E551D9">
        <w:rPr>
          <w:lang w:val="en-GB"/>
        </w:rPr>
        <w:t>Namdeo</w:t>
      </w:r>
      <w:proofErr w:type="spellEnd"/>
      <w:r w:rsidRPr="00E551D9">
        <w:rPr>
          <w:lang w:val="en-GB"/>
        </w:rPr>
        <w:t xml:space="preserve"> et al.</w:t>
      </w:r>
      <w:r w:rsidR="000663ED" w:rsidRPr="00E551D9">
        <w:rPr>
          <w:lang w:val="en-GB"/>
        </w:rPr>
        <w:t xml:space="preserve"> </w:t>
      </w:r>
      <w:r w:rsidR="00933BE4" w:rsidRPr="00E551D9">
        <w:rPr>
          <w:lang w:val="en-GB"/>
        </w:rPr>
        <w:t>(2002)</w:t>
      </w:r>
      <w:r w:rsidRPr="00E551D9">
        <w:rPr>
          <w:lang w:val="en-GB"/>
        </w:rPr>
        <w:t xml:space="preserve">, integrated SATURN with ADMS-URBAN to produce pollutant dispersion maps, while </w:t>
      </w:r>
      <w:proofErr w:type="spellStart"/>
      <w:r w:rsidRPr="00E551D9">
        <w:rPr>
          <w:lang w:val="en-GB"/>
        </w:rPr>
        <w:t>Nejadkoorki</w:t>
      </w:r>
      <w:proofErr w:type="spellEnd"/>
      <w:r w:rsidRPr="00E551D9">
        <w:rPr>
          <w:lang w:val="en-GB"/>
        </w:rPr>
        <w:t xml:space="preserve"> et al.</w:t>
      </w:r>
      <w:r w:rsidR="00A256DC" w:rsidRPr="00E551D9">
        <w:rPr>
          <w:lang w:val="en-GB"/>
        </w:rPr>
        <w:t xml:space="preserve"> (2008)</w:t>
      </w:r>
      <w:r w:rsidRPr="00E551D9">
        <w:rPr>
          <w:lang w:val="en-GB"/>
        </w:rPr>
        <w:t xml:space="preserve"> used SATURN with MATLAB and ArcGIS to map CO₂ across road classes.</w:t>
      </w:r>
    </w:p>
    <w:p w14:paraId="7AF642C4" w14:textId="19AF885D" w:rsidR="00F9374C" w:rsidRPr="00E551D9" w:rsidRDefault="00F9374C" w:rsidP="007E7F83">
      <w:pPr>
        <w:spacing w:after="0" w:line="240" w:lineRule="auto"/>
        <w:ind w:firstLine="284"/>
        <w:jc w:val="both"/>
        <w:rPr>
          <w:lang w:val="en-GB"/>
        </w:rPr>
      </w:pPr>
      <w:r w:rsidRPr="00E551D9">
        <w:rPr>
          <w:lang w:val="en-GB"/>
        </w:rPr>
        <w:t>VISUM is the most widely adopted platform for macroscopic traffic-emission coupling. Applications include CO₂ reduction analysis in Gdynia</w:t>
      </w:r>
      <w:r w:rsidR="00425056" w:rsidRPr="00E551D9">
        <w:rPr>
          <w:lang w:val="en-GB"/>
        </w:rPr>
        <w:t xml:space="preserve"> </w:t>
      </w:r>
      <w:r w:rsidR="00A256DC" w:rsidRPr="00E551D9">
        <w:rPr>
          <w:lang w:val="en-GB"/>
        </w:rPr>
        <w:t>(</w:t>
      </w:r>
      <w:proofErr w:type="spellStart"/>
      <w:r w:rsidR="00A256DC" w:rsidRPr="00E551D9">
        <w:rPr>
          <w:lang w:val="en-GB"/>
        </w:rPr>
        <w:t>Oskarbski</w:t>
      </w:r>
      <w:proofErr w:type="spellEnd"/>
      <w:r w:rsidR="00A256DC" w:rsidRPr="00E551D9">
        <w:rPr>
          <w:lang w:val="en-GB"/>
        </w:rPr>
        <w:t xml:space="preserve"> &amp; Kaszubowski 2018)</w:t>
      </w:r>
      <w:r w:rsidRPr="00E551D9">
        <w:rPr>
          <w:lang w:val="en-GB"/>
        </w:rPr>
        <w:t>, emission assessment of on-demand deliveries in New York</w:t>
      </w:r>
      <w:r w:rsidR="00A70BBE" w:rsidRPr="00E551D9">
        <w:rPr>
          <w:lang w:val="en-GB"/>
        </w:rPr>
        <w:t xml:space="preserve"> </w:t>
      </w:r>
      <w:r w:rsidR="00A256DC" w:rsidRPr="00E551D9">
        <w:rPr>
          <w:lang w:val="en-GB"/>
        </w:rPr>
        <w:t>(Schnieder et al. 2022)</w:t>
      </w:r>
      <w:r w:rsidRPr="00E551D9">
        <w:rPr>
          <w:lang w:val="en-GB"/>
        </w:rPr>
        <w:t xml:space="preserve">, and multi-scenario energy </w:t>
      </w:r>
      <w:r w:rsidR="008B7D5E" w:rsidRPr="00E551D9">
        <w:rPr>
          <w:lang w:val="en-GB"/>
        </w:rPr>
        <w:t>modelling</w:t>
      </w:r>
      <w:r w:rsidRPr="00E551D9">
        <w:rPr>
          <w:lang w:val="en-GB"/>
        </w:rPr>
        <w:t xml:space="preserve"> in Budapest</w:t>
      </w:r>
      <w:r w:rsidR="00715510" w:rsidRPr="00E551D9">
        <w:rPr>
          <w:lang w:val="en-GB"/>
        </w:rPr>
        <w:t xml:space="preserve"> </w:t>
      </w:r>
      <w:r w:rsidR="00A256DC" w:rsidRPr="00E551D9">
        <w:rPr>
          <w:lang w:val="en-GB"/>
        </w:rPr>
        <w:t>(Al-lami et al. 2025)</w:t>
      </w:r>
      <w:r w:rsidRPr="00E551D9">
        <w:rPr>
          <w:lang w:val="en-GB"/>
        </w:rPr>
        <w:t xml:space="preserve">. Studies for Dublin </w:t>
      </w:r>
      <w:r w:rsidR="00A256DC" w:rsidRPr="00E551D9">
        <w:rPr>
          <w:lang w:val="en-GB"/>
        </w:rPr>
        <w:t>(Tang et al. 2017)</w:t>
      </w:r>
      <w:r w:rsidRPr="00E551D9">
        <w:rPr>
          <w:lang w:val="en-GB"/>
        </w:rPr>
        <w:t xml:space="preserve"> and </w:t>
      </w:r>
      <w:proofErr w:type="spellStart"/>
      <w:r w:rsidRPr="00E551D9">
        <w:rPr>
          <w:lang w:val="en-GB"/>
        </w:rPr>
        <w:t>Bielsko-Biała</w:t>
      </w:r>
      <w:proofErr w:type="spellEnd"/>
      <w:r w:rsidRPr="00E551D9">
        <w:rPr>
          <w:lang w:val="en-GB"/>
        </w:rPr>
        <w:t xml:space="preserve"> </w:t>
      </w:r>
      <w:r w:rsidR="00A256DC" w:rsidRPr="00E551D9">
        <w:rPr>
          <w:lang w:val="en-GB"/>
        </w:rPr>
        <w:t>(</w:t>
      </w:r>
      <w:proofErr w:type="spellStart"/>
      <w:r w:rsidR="00A256DC" w:rsidRPr="00E551D9">
        <w:rPr>
          <w:lang w:val="en-GB"/>
        </w:rPr>
        <w:t>Jacyna</w:t>
      </w:r>
      <w:proofErr w:type="spellEnd"/>
      <w:r w:rsidR="00A256DC" w:rsidRPr="00E551D9">
        <w:rPr>
          <w:lang w:val="en-GB"/>
        </w:rPr>
        <w:t xml:space="preserve"> et al. 2021)</w:t>
      </w:r>
      <w:r w:rsidRPr="00E551D9">
        <w:rPr>
          <w:lang w:val="en-GB"/>
        </w:rPr>
        <w:t xml:space="preserve"> evaluated </w:t>
      </w:r>
      <w:r w:rsidR="003B09B1">
        <w:rPr>
          <w:lang w:val="en-GB"/>
        </w:rPr>
        <w:t>the effects of policie</w:t>
      </w:r>
      <w:r w:rsidRPr="00E551D9">
        <w:rPr>
          <w:lang w:val="en-GB"/>
        </w:rPr>
        <w:t xml:space="preserve">s such as HGV restrictions and emission zones using COPERT and HBEFA. The EMITRANSYS framework </w:t>
      </w:r>
      <w:r w:rsidR="00A256DC" w:rsidRPr="00E551D9">
        <w:rPr>
          <w:lang w:val="en-GB"/>
        </w:rPr>
        <w:t>(</w:t>
      </w:r>
      <w:proofErr w:type="spellStart"/>
      <w:r w:rsidR="00A256DC" w:rsidRPr="00E551D9">
        <w:rPr>
          <w:lang w:val="en-GB"/>
        </w:rPr>
        <w:t>Jacyna</w:t>
      </w:r>
      <w:proofErr w:type="spellEnd"/>
      <w:r w:rsidR="00A256DC" w:rsidRPr="00E551D9">
        <w:rPr>
          <w:lang w:val="en-GB"/>
        </w:rPr>
        <w:t xml:space="preserve"> et al. 2014)</w:t>
      </w:r>
      <w:r w:rsidRPr="00E551D9">
        <w:rPr>
          <w:lang w:val="en-GB"/>
        </w:rPr>
        <w:t xml:space="preserve"> </w:t>
      </w:r>
      <w:r w:rsidR="003B09B1">
        <w:rPr>
          <w:lang w:val="en-GB"/>
        </w:rPr>
        <w:t>is among</w:t>
      </w:r>
      <w:r w:rsidRPr="00E551D9">
        <w:rPr>
          <w:lang w:val="en-GB"/>
        </w:rPr>
        <w:t xml:space="preserve"> the most comprehensive approaches, integrating passenger and freight modules to compute modal splits and emissions for policy evaluation. </w:t>
      </w:r>
      <w:proofErr w:type="spellStart"/>
      <w:r w:rsidR="003024FD" w:rsidRPr="00E551D9">
        <w:rPr>
          <w:lang w:val="en-GB"/>
        </w:rPr>
        <w:t>Jacyna-Gołda</w:t>
      </w:r>
      <w:proofErr w:type="spellEnd"/>
      <w:r w:rsidR="003024FD" w:rsidRPr="00E551D9">
        <w:rPr>
          <w:lang w:val="en-GB"/>
        </w:rPr>
        <w:t xml:space="preserve"> </w:t>
      </w:r>
      <w:r w:rsidR="00CA6C9F" w:rsidRPr="00E551D9">
        <w:rPr>
          <w:lang w:val="en-GB"/>
        </w:rPr>
        <w:t>et</w:t>
      </w:r>
      <w:r w:rsidR="007A0458">
        <w:rPr>
          <w:lang w:val="en-GB"/>
        </w:rPr>
        <w:t> </w:t>
      </w:r>
      <w:r w:rsidR="003024FD" w:rsidRPr="00E551D9">
        <w:rPr>
          <w:lang w:val="en-GB"/>
        </w:rPr>
        <w:t>al.</w:t>
      </w:r>
      <w:r w:rsidR="004463EE" w:rsidRPr="00E551D9">
        <w:rPr>
          <w:lang w:val="en-GB"/>
        </w:rPr>
        <w:t xml:space="preserve"> </w:t>
      </w:r>
      <w:r w:rsidR="00A256DC" w:rsidRPr="00E551D9">
        <w:rPr>
          <w:lang w:val="en-GB"/>
        </w:rPr>
        <w:t>(</w:t>
      </w:r>
      <w:proofErr w:type="spellStart"/>
      <w:r w:rsidR="00A256DC" w:rsidRPr="00E551D9">
        <w:rPr>
          <w:lang w:val="en-GB"/>
        </w:rPr>
        <w:t>Jacyna-Gołda</w:t>
      </w:r>
      <w:proofErr w:type="spellEnd"/>
      <w:r w:rsidR="00A256DC" w:rsidRPr="00E551D9">
        <w:rPr>
          <w:lang w:val="en-GB"/>
        </w:rPr>
        <w:t xml:space="preserve"> et al. 2014)</w:t>
      </w:r>
      <w:r w:rsidR="003024FD" w:rsidRPr="00E551D9">
        <w:rPr>
          <w:lang w:val="en-GB"/>
        </w:rPr>
        <w:t xml:space="preserve"> </w:t>
      </w:r>
      <w:r w:rsidR="00CA6C9F" w:rsidRPr="00E551D9">
        <w:rPr>
          <w:lang w:val="en-GB"/>
        </w:rPr>
        <w:t>demonstrated</w:t>
      </w:r>
      <w:r w:rsidR="003024FD" w:rsidRPr="00E551D9">
        <w:rPr>
          <w:lang w:val="en-GB"/>
        </w:rPr>
        <w:t xml:space="preserve"> that </w:t>
      </w:r>
      <w:r w:rsidR="00CA6C9F" w:rsidRPr="00E551D9">
        <w:rPr>
          <w:lang w:val="en-GB"/>
        </w:rPr>
        <w:t xml:space="preserve">the </w:t>
      </w:r>
      <w:r w:rsidR="008C1E17" w:rsidRPr="00E551D9">
        <w:rPr>
          <w:lang w:val="en-GB"/>
        </w:rPr>
        <w:t xml:space="preserve">EMITRANSYS framework </w:t>
      </w:r>
      <w:r w:rsidR="00CA6C9F" w:rsidRPr="00E551D9">
        <w:rPr>
          <w:lang w:val="en-GB"/>
        </w:rPr>
        <w:t>enables a comparative assessment</w:t>
      </w:r>
      <w:r w:rsidR="003024FD" w:rsidRPr="00E551D9">
        <w:rPr>
          <w:lang w:val="en-GB"/>
        </w:rPr>
        <w:t xml:space="preserve"> of </w:t>
      </w:r>
      <w:r w:rsidR="00CA6C9F" w:rsidRPr="00E551D9">
        <w:rPr>
          <w:lang w:val="en-GB"/>
        </w:rPr>
        <w:t xml:space="preserve">alternative freight transport </w:t>
      </w:r>
      <w:r w:rsidR="003024FD" w:rsidRPr="00E551D9">
        <w:rPr>
          <w:lang w:val="en-GB"/>
        </w:rPr>
        <w:t xml:space="preserve">development scenarios </w:t>
      </w:r>
      <w:r w:rsidR="00CA6C9F" w:rsidRPr="00E551D9">
        <w:rPr>
          <w:lang w:val="en-GB"/>
        </w:rPr>
        <w:t>while explicitly accounting for environmental costs.</w:t>
      </w:r>
      <w:r w:rsidR="008C1E17" w:rsidRPr="00E551D9">
        <w:rPr>
          <w:lang w:val="en-GB"/>
        </w:rPr>
        <w:t xml:space="preserve"> </w:t>
      </w:r>
      <w:proofErr w:type="spellStart"/>
      <w:r w:rsidRPr="00E551D9">
        <w:rPr>
          <w:lang w:val="en-GB"/>
        </w:rPr>
        <w:t>TransCAD</w:t>
      </w:r>
      <w:proofErr w:type="spellEnd"/>
      <w:r w:rsidRPr="00E551D9">
        <w:rPr>
          <w:lang w:val="en-GB"/>
        </w:rPr>
        <w:t xml:space="preserve"> supports spatial emission mapping, as in </w:t>
      </w:r>
      <w:proofErr w:type="spellStart"/>
      <w:r w:rsidRPr="00E551D9">
        <w:rPr>
          <w:lang w:val="en-GB"/>
        </w:rPr>
        <w:t>Florianópolis</w:t>
      </w:r>
      <w:proofErr w:type="spellEnd"/>
      <w:r w:rsidR="005304EF" w:rsidRPr="00E551D9">
        <w:rPr>
          <w:lang w:val="en-GB"/>
        </w:rPr>
        <w:t xml:space="preserve"> </w:t>
      </w:r>
      <w:r w:rsidR="00A256DC" w:rsidRPr="00E551D9">
        <w:rPr>
          <w:lang w:val="en-GB"/>
        </w:rPr>
        <w:t>(Maes et al. 2019) and Macau (Zhang et al. 2016), while EMME and CUBE-based models have been used for high-resolution inventories in Thessaloniki (Nikolaou et al. 2002), Bogotá (</w:t>
      </w:r>
      <w:proofErr w:type="spellStart"/>
      <w:r w:rsidR="00A256DC" w:rsidRPr="00E551D9">
        <w:rPr>
          <w:lang w:val="en-GB"/>
        </w:rPr>
        <w:t>Mangones</w:t>
      </w:r>
      <w:proofErr w:type="spellEnd"/>
      <w:r w:rsidR="00A256DC" w:rsidRPr="00E551D9">
        <w:rPr>
          <w:lang w:val="en-GB"/>
        </w:rPr>
        <w:t xml:space="preserve"> et al. 2019), and Tartu (Orru et al. 2008). Despite varying geographical focus, these tools demonstrate the feasibility of combining macroscopic traffic assignment with emission modelling for urban freight analysis</w:t>
      </w:r>
      <w:r w:rsidRPr="00E551D9">
        <w:rPr>
          <w:lang w:val="en-GB"/>
        </w:rPr>
        <w:t>.</w:t>
      </w:r>
    </w:p>
    <w:p w14:paraId="58226565" w14:textId="37387E16" w:rsidR="00F9374C" w:rsidRPr="00E551D9" w:rsidRDefault="00F9374C" w:rsidP="007E7F83">
      <w:pPr>
        <w:spacing w:after="0" w:line="240" w:lineRule="auto"/>
        <w:ind w:firstLine="284"/>
        <w:jc w:val="both"/>
        <w:rPr>
          <w:lang w:val="en-GB"/>
        </w:rPr>
      </w:pPr>
      <w:r w:rsidRPr="00E551D9">
        <w:rPr>
          <w:lang w:val="en-GB"/>
        </w:rPr>
        <w:t>At smaller scales, micro</w:t>
      </w:r>
      <w:r w:rsidR="003B09B1">
        <w:rPr>
          <w:lang w:val="en-GB"/>
        </w:rPr>
        <w:t xml:space="preserve">- and mesoscopic tools such as VISSIM, AIMSUN, SUMO, </w:t>
      </w:r>
      <w:proofErr w:type="spellStart"/>
      <w:r w:rsidR="003B09B1">
        <w:rPr>
          <w:lang w:val="en-GB"/>
        </w:rPr>
        <w:t>CarSim</w:t>
      </w:r>
      <w:proofErr w:type="spellEnd"/>
      <w:r w:rsidR="003B09B1">
        <w:rPr>
          <w:lang w:val="en-GB"/>
        </w:rPr>
        <w:t>/</w:t>
      </w:r>
      <w:proofErr w:type="spellStart"/>
      <w:r w:rsidR="003B09B1">
        <w:rPr>
          <w:lang w:val="en-GB"/>
        </w:rPr>
        <w:t>TruckSim</w:t>
      </w:r>
      <w:proofErr w:type="spellEnd"/>
      <w:r w:rsidR="003B09B1">
        <w:rPr>
          <w:lang w:val="en-GB"/>
        </w:rPr>
        <w:t>, and AVL CRUISE enable</w:t>
      </w:r>
      <w:r w:rsidRPr="00E551D9">
        <w:rPr>
          <w:lang w:val="en-GB"/>
        </w:rPr>
        <w:t xml:space="preserve"> detailed analysis of freight vehicle operations. </w:t>
      </w:r>
      <w:r w:rsidR="008101E3" w:rsidRPr="00E551D9">
        <w:rPr>
          <w:lang w:val="en-GB"/>
        </w:rPr>
        <w:t>For example,</w:t>
      </w:r>
      <w:r w:rsidR="00120FF7" w:rsidRPr="00E551D9">
        <w:rPr>
          <w:lang w:val="en-GB"/>
        </w:rPr>
        <w:t xml:space="preserve"> </w:t>
      </w:r>
      <w:r w:rsidR="008101E3" w:rsidRPr="00E551D9">
        <w:rPr>
          <w:lang w:val="en-GB"/>
        </w:rPr>
        <w:t>Sharma and Swami</w:t>
      </w:r>
      <w:r w:rsidR="00A256DC" w:rsidRPr="00E551D9">
        <w:rPr>
          <w:lang w:val="en-GB"/>
        </w:rPr>
        <w:t xml:space="preserve"> (2012)</w:t>
      </w:r>
      <w:r w:rsidR="008101E3" w:rsidRPr="00E551D9">
        <w:rPr>
          <w:lang w:val="en-GB"/>
        </w:rPr>
        <w:t xml:space="preserve"> demonstrated</w:t>
      </w:r>
      <w:r w:rsidR="00293AA8" w:rsidRPr="00E551D9">
        <w:rPr>
          <w:lang w:val="en-GB"/>
        </w:rPr>
        <w:t xml:space="preserve"> </w:t>
      </w:r>
      <w:r w:rsidR="008101E3" w:rsidRPr="00E551D9">
        <w:rPr>
          <w:lang w:val="en-GB"/>
        </w:rPr>
        <w:t xml:space="preserve">that microscopic simulation </w:t>
      </w:r>
      <w:r w:rsidR="00293AA8" w:rsidRPr="00E551D9">
        <w:rPr>
          <w:lang w:val="en-GB"/>
        </w:rPr>
        <w:t xml:space="preserve">using VISSUM </w:t>
      </w:r>
      <w:r w:rsidR="008101E3" w:rsidRPr="00E551D9">
        <w:rPr>
          <w:lang w:val="en-GB"/>
        </w:rPr>
        <w:t>can substantially improve estimates of emissions and energy consumption by accurately capturing heterogeneous traffic dynamics.</w:t>
      </w:r>
      <w:r w:rsidR="00D10901" w:rsidRPr="00E551D9">
        <w:rPr>
          <w:lang w:val="en-GB"/>
        </w:rPr>
        <w:t xml:space="preserve"> </w:t>
      </w:r>
      <w:r w:rsidRPr="00E551D9">
        <w:rPr>
          <w:lang w:val="en-GB"/>
        </w:rPr>
        <w:t xml:space="preserve">Samaras et al. </w:t>
      </w:r>
      <w:r w:rsidR="00A256DC" w:rsidRPr="00E551D9">
        <w:rPr>
          <w:lang w:val="en-GB"/>
        </w:rPr>
        <w:t xml:space="preserve">(2018) </w:t>
      </w:r>
      <w:r w:rsidRPr="00E551D9">
        <w:rPr>
          <w:lang w:val="en-GB"/>
        </w:rPr>
        <w:t xml:space="preserve">used AVL CRUISE to simulate </w:t>
      </w:r>
      <w:r w:rsidR="003B09B1">
        <w:rPr>
          <w:lang w:val="en-GB"/>
        </w:rPr>
        <w:t>the impacts of congestion on CO₂ emissions</w:t>
      </w:r>
      <w:r w:rsidRPr="00E551D9">
        <w:rPr>
          <w:lang w:val="en-GB"/>
        </w:rPr>
        <w:t>, while Dias et al.</w:t>
      </w:r>
      <w:r w:rsidR="00A256DC" w:rsidRPr="00E551D9">
        <w:rPr>
          <w:lang w:val="en-GB"/>
        </w:rPr>
        <w:t xml:space="preserve"> (2017) </w:t>
      </w:r>
      <w:r w:rsidRPr="00E551D9">
        <w:rPr>
          <w:lang w:val="en-GB"/>
        </w:rPr>
        <w:t>compared AIMSUN–Panis with VISSIM–</w:t>
      </w:r>
      <w:proofErr w:type="spellStart"/>
      <w:r w:rsidRPr="00E551D9">
        <w:rPr>
          <w:lang w:val="en-GB"/>
        </w:rPr>
        <w:t>EnViver</w:t>
      </w:r>
      <w:proofErr w:type="spellEnd"/>
      <w:r w:rsidRPr="00E551D9">
        <w:rPr>
          <w:lang w:val="en-GB"/>
        </w:rPr>
        <w:t xml:space="preserve"> models, finding superior accuracy in instantaneous emission estimation. SUMO has been increasingly employed for urban freight applications: Stolfi et al.</w:t>
      </w:r>
      <w:r w:rsidR="00A256DC" w:rsidRPr="00E551D9">
        <w:rPr>
          <w:lang w:val="en-GB"/>
        </w:rPr>
        <w:t xml:space="preserve"> (2018)</w:t>
      </w:r>
      <w:r w:rsidRPr="00E551D9">
        <w:rPr>
          <w:lang w:val="en-GB"/>
        </w:rPr>
        <w:t xml:space="preserve"> assessed fleet restructuring in Malaga, </w:t>
      </w:r>
      <w:proofErr w:type="spellStart"/>
      <w:r w:rsidRPr="00E551D9">
        <w:rPr>
          <w:lang w:val="en-GB"/>
        </w:rPr>
        <w:t>Billhardt</w:t>
      </w:r>
      <w:proofErr w:type="spellEnd"/>
      <w:r w:rsidRPr="00E551D9">
        <w:rPr>
          <w:lang w:val="en-GB"/>
        </w:rPr>
        <w:t xml:space="preserve"> et al.</w:t>
      </w:r>
      <w:r w:rsidR="00C02392" w:rsidRPr="00E551D9">
        <w:rPr>
          <w:lang w:val="en-GB"/>
        </w:rPr>
        <w:t xml:space="preserve"> </w:t>
      </w:r>
      <w:r w:rsidR="00A256DC" w:rsidRPr="00E551D9">
        <w:rPr>
          <w:lang w:val="en-GB"/>
        </w:rPr>
        <w:t xml:space="preserve">(2022) </w:t>
      </w:r>
      <w:r w:rsidRPr="00E551D9">
        <w:rPr>
          <w:lang w:val="en-GB"/>
        </w:rPr>
        <w:t>tested access control strategies, and Shin et al.</w:t>
      </w:r>
      <w:r w:rsidR="00A256DC" w:rsidRPr="00E551D9">
        <w:rPr>
          <w:lang w:val="en-GB"/>
        </w:rPr>
        <w:t xml:space="preserve"> (2025)</w:t>
      </w:r>
      <w:r w:rsidR="00B84D02" w:rsidRPr="00E551D9">
        <w:rPr>
          <w:lang w:val="en-GB"/>
        </w:rPr>
        <w:t xml:space="preserve"> </w:t>
      </w:r>
      <w:r w:rsidRPr="00E551D9">
        <w:rPr>
          <w:lang w:val="en-GB"/>
        </w:rPr>
        <w:t>simulated low-emission zones in Glasgow. Enhancements to built-in HBEFA models, validated using PEMS data, further improve emission estimates</w:t>
      </w:r>
      <w:r w:rsidR="00191C6F" w:rsidRPr="00E551D9">
        <w:rPr>
          <w:lang w:val="en-GB"/>
        </w:rPr>
        <w:t xml:space="preserve"> </w:t>
      </w:r>
      <w:r w:rsidR="00A256DC" w:rsidRPr="00E551D9">
        <w:rPr>
          <w:lang w:val="en-GB"/>
        </w:rPr>
        <w:t>(Varga et al. 2024)</w:t>
      </w:r>
      <w:r w:rsidRPr="00E551D9">
        <w:rPr>
          <w:lang w:val="en-GB"/>
        </w:rPr>
        <w:t>. These platforms provide operational realism, though freight often appears as a marginal traffic class.</w:t>
      </w:r>
    </w:p>
    <w:p w14:paraId="0EEFA474" w14:textId="0212E400" w:rsidR="00F9374C" w:rsidRPr="00E551D9" w:rsidRDefault="00F9374C" w:rsidP="007E7F83">
      <w:pPr>
        <w:spacing w:after="0" w:line="240" w:lineRule="auto"/>
        <w:ind w:firstLine="284"/>
        <w:jc w:val="both"/>
        <w:rPr>
          <w:lang w:val="en-GB"/>
        </w:rPr>
      </w:pPr>
      <w:r w:rsidRPr="00E551D9">
        <w:rPr>
          <w:lang w:val="en-GB"/>
        </w:rPr>
        <w:t xml:space="preserve">Agent-based </w:t>
      </w:r>
      <w:r w:rsidR="008B7D5E" w:rsidRPr="00E551D9">
        <w:rPr>
          <w:lang w:val="en-GB"/>
        </w:rPr>
        <w:t>modelling</w:t>
      </w:r>
      <w:r w:rsidRPr="00E551D9">
        <w:rPr>
          <w:lang w:val="en-GB"/>
        </w:rPr>
        <w:t xml:space="preserve"> (ABM) enables </w:t>
      </w:r>
      <w:r w:rsidR="003B09B1">
        <w:rPr>
          <w:lang w:val="en-GB"/>
        </w:rPr>
        <w:t xml:space="preserve">the </w:t>
      </w:r>
      <w:r w:rsidRPr="00E551D9">
        <w:rPr>
          <w:lang w:val="en-GB"/>
        </w:rPr>
        <w:t xml:space="preserve">simulation of individual actor decisions within complex freight networks. </w:t>
      </w:r>
      <w:proofErr w:type="spellStart"/>
      <w:r w:rsidRPr="00E551D9">
        <w:rPr>
          <w:lang w:val="en-GB"/>
        </w:rPr>
        <w:t>MATSim</w:t>
      </w:r>
      <w:proofErr w:type="spellEnd"/>
      <w:r w:rsidRPr="00E551D9">
        <w:rPr>
          <w:lang w:val="en-GB"/>
        </w:rPr>
        <w:t xml:space="preserve"> is the dominant ABM tool</w:t>
      </w:r>
      <w:r w:rsidR="003B09B1">
        <w:rPr>
          <w:lang w:val="en-GB"/>
        </w:rPr>
        <w:t xml:space="preserve"> used to evaluate</w:t>
      </w:r>
      <w:r w:rsidRPr="00E551D9">
        <w:rPr>
          <w:lang w:val="en-GB"/>
        </w:rPr>
        <w:t xml:space="preserve"> the electrification of vehicle fleets, last-mile consolidation, and logistics reorganization. Martins-Turner et al.</w:t>
      </w:r>
      <w:r w:rsidR="00A256DC" w:rsidRPr="00E551D9">
        <w:rPr>
          <w:lang w:val="en-GB"/>
        </w:rPr>
        <w:t xml:space="preserve"> (2020)</w:t>
      </w:r>
      <w:r w:rsidRPr="00E551D9">
        <w:rPr>
          <w:lang w:val="en-GB"/>
        </w:rPr>
        <w:t xml:space="preserve"> </w:t>
      </w:r>
      <w:r w:rsidR="008B7D5E" w:rsidRPr="00E551D9">
        <w:rPr>
          <w:lang w:val="en-GB"/>
        </w:rPr>
        <w:t>analysed</w:t>
      </w:r>
      <w:r w:rsidRPr="00E551D9">
        <w:rPr>
          <w:lang w:val="en-GB"/>
        </w:rPr>
        <w:t xml:space="preserve"> BEV adoption in Berlin</w:t>
      </w:r>
      <w:r w:rsidR="003B09B1">
        <w:rPr>
          <w:lang w:val="en-GB"/>
        </w:rPr>
        <w:t>'</w:t>
      </w:r>
      <w:r w:rsidRPr="00E551D9">
        <w:rPr>
          <w:lang w:val="en-GB"/>
        </w:rPr>
        <w:t>s retail sector, while Ewert et al.</w:t>
      </w:r>
      <w:r w:rsidR="00A256DC" w:rsidRPr="00E551D9">
        <w:rPr>
          <w:lang w:val="en-GB"/>
        </w:rPr>
        <w:t xml:space="preserve"> (2021, 2025)</w:t>
      </w:r>
      <w:r w:rsidR="00F4752C" w:rsidRPr="00E551D9">
        <w:rPr>
          <w:lang w:val="en-GB"/>
        </w:rPr>
        <w:t xml:space="preserve"> </w:t>
      </w:r>
      <w:r w:rsidRPr="00E551D9">
        <w:rPr>
          <w:lang w:val="en-GB"/>
        </w:rPr>
        <w:t xml:space="preserve">extended this to waste collection, finding that electric trucks are feasible but cost-intensive. Other applications in Aachen and Hamburg used </w:t>
      </w:r>
      <w:proofErr w:type="spellStart"/>
      <w:r w:rsidRPr="00E551D9">
        <w:rPr>
          <w:lang w:val="en-GB"/>
        </w:rPr>
        <w:t>MATSim</w:t>
      </w:r>
      <w:proofErr w:type="spellEnd"/>
      <w:r w:rsidRPr="00E551D9">
        <w:rPr>
          <w:lang w:val="en-GB"/>
        </w:rPr>
        <w:t xml:space="preserve"> to assess collaborative last-mile systems and hydrogen vehicle adoption</w:t>
      </w:r>
      <w:r w:rsidR="00FD6AAC" w:rsidRPr="00E551D9">
        <w:rPr>
          <w:lang w:val="en-GB"/>
        </w:rPr>
        <w:t xml:space="preserve"> </w:t>
      </w:r>
      <w:r w:rsidR="00A256DC" w:rsidRPr="00E551D9">
        <w:rPr>
          <w:lang w:val="en-GB"/>
        </w:rPr>
        <w:t>(Adeniran et al. 2023</w:t>
      </w:r>
      <w:r w:rsidR="007E7F83">
        <w:rPr>
          <w:lang w:val="en-GB"/>
        </w:rPr>
        <w:t>,</w:t>
      </w:r>
      <w:r w:rsidR="00A256DC" w:rsidRPr="00E551D9">
        <w:rPr>
          <w:lang w:val="en-GB"/>
        </w:rPr>
        <w:t xml:space="preserve"> </w:t>
      </w:r>
      <w:proofErr w:type="spellStart"/>
      <w:r w:rsidR="00A256DC" w:rsidRPr="00E551D9">
        <w:rPr>
          <w:lang w:val="en-GB"/>
        </w:rPr>
        <w:t>Buerklen</w:t>
      </w:r>
      <w:proofErr w:type="spellEnd"/>
      <w:r w:rsidR="00A256DC" w:rsidRPr="00E551D9">
        <w:rPr>
          <w:lang w:val="en-GB"/>
        </w:rPr>
        <w:t xml:space="preserve"> et al. 2025</w:t>
      </w:r>
      <w:r w:rsidR="007E7F83">
        <w:rPr>
          <w:lang w:val="en-GB"/>
        </w:rPr>
        <w:t>,</w:t>
      </w:r>
      <w:r w:rsidR="00A256DC" w:rsidRPr="00E551D9">
        <w:rPr>
          <w:lang w:val="en-GB"/>
        </w:rPr>
        <w:t xml:space="preserve"> Ghazal et al. 2025)</w:t>
      </w:r>
      <w:r w:rsidR="008E42E1" w:rsidRPr="00E551D9">
        <w:rPr>
          <w:lang w:val="en-GB"/>
        </w:rPr>
        <w:t>.</w:t>
      </w:r>
      <w:r w:rsidRPr="00E551D9">
        <w:rPr>
          <w:lang w:val="en-GB"/>
        </w:rPr>
        <w:t xml:space="preserve"> Comparative work by Tirico et al</w:t>
      </w:r>
      <w:r w:rsidR="00017429" w:rsidRPr="00E551D9">
        <w:rPr>
          <w:lang w:val="en-GB"/>
        </w:rPr>
        <w:t>.</w:t>
      </w:r>
      <w:r w:rsidR="00A256DC" w:rsidRPr="00E551D9">
        <w:rPr>
          <w:lang w:val="en-GB"/>
        </w:rPr>
        <w:t xml:space="preserve"> (2025)</w:t>
      </w:r>
      <w:r w:rsidRPr="00E551D9">
        <w:rPr>
          <w:lang w:val="en-GB"/>
        </w:rPr>
        <w:t xml:space="preserve"> showed that aligning </w:t>
      </w:r>
      <w:proofErr w:type="spellStart"/>
      <w:r w:rsidRPr="00E551D9">
        <w:rPr>
          <w:lang w:val="en-GB"/>
        </w:rPr>
        <w:t>MATSim</w:t>
      </w:r>
      <w:proofErr w:type="spellEnd"/>
      <w:r w:rsidRPr="00E551D9">
        <w:rPr>
          <w:lang w:val="en-GB"/>
        </w:rPr>
        <w:t xml:space="preserve"> with COPERT </w:t>
      </w:r>
      <w:r w:rsidR="003B09B1">
        <w:rPr>
          <w:lang w:val="en-GB"/>
        </w:rPr>
        <w:t>yields coherent emission results for inner cities, whereas aligning</w:t>
      </w:r>
      <w:r w:rsidRPr="00E551D9">
        <w:rPr>
          <w:lang w:val="en-GB"/>
        </w:rPr>
        <w:t xml:space="preserve"> </w:t>
      </w:r>
      <w:proofErr w:type="spellStart"/>
      <w:r w:rsidRPr="00E551D9">
        <w:rPr>
          <w:lang w:val="en-GB"/>
        </w:rPr>
        <w:t>Symuvia</w:t>
      </w:r>
      <w:proofErr w:type="spellEnd"/>
      <w:r w:rsidRPr="00E551D9">
        <w:rPr>
          <w:lang w:val="en-GB"/>
        </w:rPr>
        <w:t xml:space="preserve"> with HBEFA is more suitable for highways. Although freight-dedicated </w:t>
      </w:r>
      <w:r w:rsidR="00A256DC" w:rsidRPr="00E551D9">
        <w:rPr>
          <w:lang w:val="en-GB"/>
        </w:rPr>
        <w:t xml:space="preserve">ABMs such as </w:t>
      </w:r>
      <w:proofErr w:type="spellStart"/>
      <w:r w:rsidR="00A256DC" w:rsidRPr="00E551D9">
        <w:rPr>
          <w:lang w:val="en-GB"/>
        </w:rPr>
        <w:t>SIMmobility</w:t>
      </w:r>
      <w:proofErr w:type="spellEnd"/>
      <w:r w:rsidR="00A256DC" w:rsidRPr="00E551D9">
        <w:rPr>
          <w:lang w:val="en-GB"/>
        </w:rPr>
        <w:t xml:space="preserve"> Freight (Alho et al. 2017b</w:t>
      </w:r>
      <w:r w:rsidR="007E7F83">
        <w:rPr>
          <w:lang w:val="en-GB"/>
        </w:rPr>
        <w:t>,</w:t>
      </w:r>
      <w:r w:rsidR="00A256DC" w:rsidRPr="00E551D9">
        <w:rPr>
          <w:lang w:val="en-GB"/>
        </w:rPr>
        <w:t xml:space="preserve"> Sakai et al. 2020) or MASS-GT (De Bok et al. 2022) exist, they rarely incorporate emission models</w:t>
      </w:r>
      <w:r w:rsidRPr="00E551D9">
        <w:rPr>
          <w:lang w:val="en-GB"/>
        </w:rPr>
        <w:t>.</w:t>
      </w:r>
    </w:p>
    <w:p w14:paraId="6C695B38" w14:textId="7F07358B" w:rsidR="00F9374C" w:rsidRPr="00E551D9" w:rsidRDefault="00F9374C" w:rsidP="007E7F83">
      <w:pPr>
        <w:spacing w:after="0" w:line="240" w:lineRule="auto"/>
        <w:ind w:firstLine="284"/>
        <w:jc w:val="both"/>
        <w:rPr>
          <w:lang w:val="en-GB"/>
        </w:rPr>
      </w:pPr>
      <w:r w:rsidRPr="00E551D9">
        <w:rPr>
          <w:lang w:val="en-GB"/>
        </w:rPr>
        <w:t>Beyond simulation tools, real-world data and AI-driven models increasingly contribute to emission analysis. GPS-based studies by Holguín-Veras et al.</w:t>
      </w:r>
      <w:r w:rsidR="000D6762" w:rsidRPr="00E551D9">
        <w:rPr>
          <w:lang w:val="en-GB"/>
        </w:rPr>
        <w:t xml:space="preserve"> (2018)</w:t>
      </w:r>
      <w:r w:rsidR="00F12650" w:rsidRPr="00E551D9">
        <w:rPr>
          <w:lang w:val="en-GB"/>
        </w:rPr>
        <w:t xml:space="preserve"> </w:t>
      </w:r>
      <w:r w:rsidRPr="00E551D9">
        <w:rPr>
          <w:lang w:val="en-GB"/>
        </w:rPr>
        <w:t xml:space="preserve">and </w:t>
      </w:r>
      <w:r w:rsidR="00230BA1" w:rsidRPr="00E551D9">
        <w:rPr>
          <w:lang w:val="en-GB"/>
        </w:rPr>
        <w:t xml:space="preserve">C. </w:t>
      </w:r>
      <w:r w:rsidRPr="00E551D9">
        <w:rPr>
          <w:lang w:val="en-GB"/>
        </w:rPr>
        <w:t>Zhao et al.</w:t>
      </w:r>
      <w:r w:rsidR="00507C90" w:rsidRPr="00E551D9">
        <w:rPr>
          <w:lang w:val="en-GB"/>
        </w:rPr>
        <w:t xml:space="preserve"> </w:t>
      </w:r>
      <w:r w:rsidR="000D6762" w:rsidRPr="00E551D9">
        <w:rPr>
          <w:lang w:val="en-GB"/>
        </w:rPr>
        <w:t xml:space="preserve">(2023) </w:t>
      </w:r>
      <w:r w:rsidRPr="00E551D9">
        <w:rPr>
          <w:lang w:val="en-GB"/>
        </w:rPr>
        <w:t>mapped vehicle traces to evaluate emission reductions from off-peak deliveries and spatial emission distributions in Chinese cities. Peng et al.</w:t>
      </w:r>
      <w:r w:rsidR="00AF2012" w:rsidRPr="00E551D9">
        <w:rPr>
          <w:lang w:val="en-GB"/>
        </w:rPr>
        <w:t xml:space="preserve"> (2024)</w:t>
      </w:r>
      <w:r w:rsidRPr="00E551D9">
        <w:rPr>
          <w:lang w:val="en-GB"/>
        </w:rPr>
        <w:t xml:space="preserve"> applied gradient-boosting regression trees with the IVE model to </w:t>
      </w:r>
      <w:r w:rsidR="008B7D5E" w:rsidRPr="00E551D9">
        <w:rPr>
          <w:lang w:val="en-GB"/>
        </w:rPr>
        <w:t>analyse</w:t>
      </w:r>
      <w:r w:rsidRPr="00E551D9">
        <w:rPr>
          <w:lang w:val="en-GB"/>
        </w:rPr>
        <w:t xml:space="preserve"> the influence of the built environment on freight vehicle emissions. Machine learning applications, such as </w:t>
      </w:r>
      <w:r w:rsidR="003B09B1">
        <w:rPr>
          <w:lang w:val="en-GB"/>
        </w:rPr>
        <w:t xml:space="preserve">those by Khajavi </w:t>
      </w:r>
      <w:r w:rsidR="003B09B1">
        <w:rPr>
          <w:lang w:val="en-GB"/>
        </w:rPr>
        <w:lastRenderedPageBreak/>
        <w:t xml:space="preserve">and </w:t>
      </w:r>
      <w:proofErr w:type="spellStart"/>
      <w:r w:rsidR="003B09B1">
        <w:rPr>
          <w:lang w:val="en-GB"/>
        </w:rPr>
        <w:t>Rastgoo</w:t>
      </w:r>
      <w:proofErr w:type="spellEnd"/>
      <w:r w:rsidR="003B09B1">
        <w:rPr>
          <w:lang w:val="en-GB"/>
        </w:rPr>
        <w:t xml:space="preserve"> (2023), have modelled CO₂ emissions</w:t>
      </w:r>
      <w:r w:rsidRPr="00E551D9">
        <w:rPr>
          <w:lang w:val="en-GB"/>
        </w:rPr>
        <w:t xml:space="preserve"> from multi-city datasets using random forests, highlighting the value of integrating large-scale data into freight emission research.</w:t>
      </w:r>
    </w:p>
    <w:p w14:paraId="6625E78A" w14:textId="7552B32C" w:rsidR="00F9374C" w:rsidRPr="00E551D9" w:rsidRDefault="00F9374C" w:rsidP="007E7F83">
      <w:pPr>
        <w:spacing w:after="0" w:line="240" w:lineRule="auto"/>
        <w:ind w:firstLine="284"/>
        <w:jc w:val="both"/>
        <w:rPr>
          <w:lang w:val="en-GB"/>
        </w:rPr>
      </w:pPr>
      <w:r w:rsidRPr="00E551D9">
        <w:rPr>
          <w:lang w:val="en-GB"/>
        </w:rPr>
        <w:t>Overall, macroscopic, micro</w:t>
      </w:r>
      <w:r w:rsidR="003B09B1">
        <w:rPr>
          <w:lang w:val="en-GB"/>
        </w:rPr>
        <w:t xml:space="preserve">- and </w:t>
      </w:r>
      <w:r w:rsidRPr="00E551D9">
        <w:rPr>
          <w:lang w:val="en-GB"/>
        </w:rPr>
        <w:t xml:space="preserve">mesoscopic, and agent-based approaches collectively advance understanding of urban freight emissions. Macro-scale models (e.g., VISUM, EMME, </w:t>
      </w:r>
      <w:proofErr w:type="spellStart"/>
      <w:r w:rsidRPr="00E551D9">
        <w:rPr>
          <w:lang w:val="en-GB"/>
        </w:rPr>
        <w:t>TransCAD</w:t>
      </w:r>
      <w:proofErr w:type="spellEnd"/>
      <w:r w:rsidRPr="00E551D9">
        <w:rPr>
          <w:lang w:val="en-GB"/>
        </w:rPr>
        <w:t xml:space="preserve">) facilitate large-area scenario testing and policy evaluation but lack </w:t>
      </w:r>
      <w:r w:rsidR="008B7D5E" w:rsidRPr="00E551D9">
        <w:rPr>
          <w:lang w:val="en-GB"/>
        </w:rPr>
        <w:t>behavioural</w:t>
      </w:r>
      <w:r w:rsidRPr="00E551D9">
        <w:rPr>
          <w:lang w:val="en-GB"/>
        </w:rPr>
        <w:t xml:space="preserve"> realism. Micro and meso simulations (AIMSUN, SUMO, VISSIM) capture congestion dynamics and vehicle-specific details, though freight representation remains limited. Agent-based frameworks (</w:t>
      </w:r>
      <w:r w:rsidR="003B09B1">
        <w:rPr>
          <w:lang w:val="en-GB"/>
        </w:rPr>
        <w:t xml:space="preserve">e.g., </w:t>
      </w:r>
      <w:proofErr w:type="spellStart"/>
      <w:r w:rsidR="003B09B1">
        <w:rPr>
          <w:lang w:val="en-GB"/>
        </w:rPr>
        <w:t>MATSim</w:t>
      </w:r>
      <w:proofErr w:type="spellEnd"/>
      <w:r w:rsidR="003B09B1">
        <w:rPr>
          <w:lang w:val="en-GB"/>
        </w:rPr>
        <w:t>) excel at modelling behavioural and technological aspects of freight operations, such as electrification and</w:t>
      </w:r>
      <w:r w:rsidRPr="00E551D9">
        <w:rPr>
          <w:lang w:val="en-GB"/>
        </w:rPr>
        <w:t xml:space="preserve"> collaboration.</w:t>
      </w:r>
    </w:p>
    <w:p w14:paraId="0BDD447C" w14:textId="0D7045B3" w:rsidR="003D674B" w:rsidRPr="00E551D9" w:rsidRDefault="000D6762" w:rsidP="007E7F83">
      <w:pPr>
        <w:spacing w:after="0" w:line="240" w:lineRule="auto"/>
        <w:ind w:firstLine="284"/>
        <w:jc w:val="both"/>
        <w:rPr>
          <w:lang w:val="en-GB"/>
        </w:rPr>
      </w:pPr>
      <w:r w:rsidRPr="00E551D9">
        <w:rPr>
          <w:lang w:val="en-GB"/>
        </w:rPr>
        <w:t>Despite methodological progress, fully integrated urban freight-emission modelling remains rare. VISUM hybrids for Gdynia (</w:t>
      </w:r>
      <w:proofErr w:type="spellStart"/>
      <w:r w:rsidRPr="00E551D9">
        <w:rPr>
          <w:lang w:val="en-GB"/>
        </w:rPr>
        <w:t>Oskarbski</w:t>
      </w:r>
      <w:proofErr w:type="spellEnd"/>
      <w:r w:rsidRPr="00E551D9">
        <w:rPr>
          <w:lang w:val="en-GB"/>
        </w:rPr>
        <w:t xml:space="preserve"> &amp; Kaszubowski 2018) and New York (Schnieder et al. 2022) and the EMITRANSYS applications for Poland (</w:t>
      </w:r>
      <w:proofErr w:type="spellStart"/>
      <w:r w:rsidRPr="00E551D9">
        <w:rPr>
          <w:lang w:val="en-GB"/>
        </w:rPr>
        <w:t>Jacyna</w:t>
      </w:r>
      <w:proofErr w:type="spellEnd"/>
      <w:r w:rsidRPr="00E551D9">
        <w:rPr>
          <w:lang w:val="en-GB"/>
        </w:rPr>
        <w:t xml:space="preserve"> et al. 2014</w:t>
      </w:r>
      <w:r w:rsidR="007E7F83">
        <w:rPr>
          <w:lang w:val="en-GB"/>
        </w:rPr>
        <w:t>,</w:t>
      </w:r>
      <w:r w:rsidRPr="00E551D9">
        <w:rPr>
          <w:lang w:val="en-GB"/>
        </w:rPr>
        <w:t xml:space="preserve"> </w:t>
      </w:r>
      <w:r w:rsidR="00230BA1" w:rsidRPr="00E551D9">
        <w:rPr>
          <w:lang w:val="en-GB"/>
        </w:rPr>
        <w:t>Jacyna-</w:t>
      </w:r>
      <w:proofErr w:type="spellStart"/>
      <w:r w:rsidRPr="00E551D9">
        <w:rPr>
          <w:lang w:val="en-GB"/>
        </w:rPr>
        <w:t>Gołda</w:t>
      </w:r>
      <w:proofErr w:type="spellEnd"/>
      <w:r w:rsidRPr="00E551D9">
        <w:rPr>
          <w:lang w:val="en-GB"/>
        </w:rPr>
        <w:t xml:space="preserve"> et al. 2017) illustrate scalable frameworks, while </w:t>
      </w:r>
      <w:proofErr w:type="spellStart"/>
      <w:r w:rsidRPr="00E551D9">
        <w:rPr>
          <w:lang w:val="en-GB"/>
        </w:rPr>
        <w:t>TransCAD</w:t>
      </w:r>
      <w:proofErr w:type="spellEnd"/>
      <w:r w:rsidRPr="00E551D9">
        <w:rPr>
          <w:lang w:val="en-GB"/>
        </w:rPr>
        <w:t xml:space="preserve"> (Maes et al. 2019) and SUMO-based studies (Stolfi et al. 2018) highlight spatially explicit inventories. However, most models treat freight as a secondary component of mixed traffic. Future progress depends on harmonizing micro-level behavioural realism with macro-level scalability and embedding freight-specific emission factors into integrated traffic-environment frameworks.</w:t>
      </w:r>
    </w:p>
    <w:p w14:paraId="5D9AB05C" w14:textId="4E728794" w:rsidR="00A140AA" w:rsidRPr="00E551D9" w:rsidRDefault="00C666CB" w:rsidP="007E7F83">
      <w:pPr>
        <w:spacing w:before="240" w:after="120" w:line="240" w:lineRule="auto"/>
        <w:rPr>
          <w:b/>
          <w:sz w:val="24"/>
          <w:lang w:val="en-GB"/>
        </w:rPr>
      </w:pPr>
      <w:r w:rsidRPr="00E551D9">
        <w:rPr>
          <w:b/>
          <w:sz w:val="24"/>
          <w:lang w:val="en-GB"/>
        </w:rPr>
        <w:t xml:space="preserve">3. </w:t>
      </w:r>
      <w:r w:rsidR="00A140AA" w:rsidRPr="00E551D9">
        <w:rPr>
          <w:b/>
          <w:sz w:val="24"/>
          <w:lang w:val="en-GB"/>
        </w:rPr>
        <w:t xml:space="preserve">Research </w:t>
      </w:r>
      <w:r w:rsidR="00E551D9">
        <w:rPr>
          <w:b/>
          <w:sz w:val="24"/>
          <w:lang w:val="en-GB"/>
        </w:rPr>
        <w:t>M</w:t>
      </w:r>
      <w:r w:rsidR="00A140AA" w:rsidRPr="00E551D9">
        <w:rPr>
          <w:b/>
          <w:sz w:val="24"/>
          <w:lang w:val="en-GB"/>
        </w:rPr>
        <w:t>ethodology</w:t>
      </w:r>
    </w:p>
    <w:p w14:paraId="1389C0DA" w14:textId="127A2ADA" w:rsidR="00A140AA" w:rsidRPr="00E551D9" w:rsidRDefault="00C666CB" w:rsidP="00F6615F">
      <w:pPr>
        <w:pStyle w:val="Rn2"/>
      </w:pPr>
      <w:r w:rsidRPr="00E551D9">
        <w:rPr>
          <w:bCs/>
        </w:rPr>
        <w:t xml:space="preserve">3.1. </w:t>
      </w:r>
      <w:r w:rsidR="00A140AA" w:rsidRPr="00E551D9">
        <w:t>GZM model</w:t>
      </w:r>
    </w:p>
    <w:p w14:paraId="199D9855" w14:textId="3E3CA9D7" w:rsidR="00426465" w:rsidRPr="00E551D9" w:rsidRDefault="00DB0384" w:rsidP="007E7F83">
      <w:pPr>
        <w:spacing w:before="120" w:after="120" w:line="240" w:lineRule="auto"/>
        <w:rPr>
          <w:i/>
          <w:lang w:val="en-GB"/>
        </w:rPr>
      </w:pPr>
      <w:r w:rsidRPr="00E551D9">
        <w:rPr>
          <w:i/>
          <w:iCs/>
          <w:lang w:val="en-GB"/>
        </w:rPr>
        <w:t>3.1.1</w:t>
      </w:r>
      <w:r w:rsidR="00E50263" w:rsidRPr="00E551D9">
        <w:rPr>
          <w:i/>
          <w:iCs/>
          <w:lang w:val="en-GB"/>
        </w:rPr>
        <w:t xml:space="preserve">. </w:t>
      </w:r>
      <w:r w:rsidR="00426465" w:rsidRPr="00E551D9">
        <w:rPr>
          <w:i/>
          <w:lang w:val="en-GB"/>
        </w:rPr>
        <w:t>Demand modelling</w:t>
      </w:r>
    </w:p>
    <w:p w14:paraId="718DFD3E" w14:textId="116AB689" w:rsidR="000361C9" w:rsidRPr="00E551D9" w:rsidRDefault="000361C9" w:rsidP="007E7F83">
      <w:pPr>
        <w:spacing w:after="0" w:line="240" w:lineRule="auto"/>
        <w:ind w:firstLine="284"/>
        <w:jc w:val="both"/>
        <w:rPr>
          <w:lang w:val="en-GB"/>
        </w:rPr>
      </w:pPr>
      <w:r w:rsidRPr="00E551D9">
        <w:rPr>
          <w:lang w:val="en-GB"/>
        </w:rPr>
        <w:t>The research focuses on the area of the GZM, a metropolitan union located in southern Poland. GZM comprises 41 cities and municipalities covering an area of approximately 2,500 km² and inhabited by more than 2.1 million residents (as of 2024). The region is situated at the intersection of major transport corridors, including the A1 and A4 motorways, the S1 and S86 expressways, a</w:t>
      </w:r>
      <w:r w:rsidR="003B09B1">
        <w:rPr>
          <w:lang w:val="en-GB"/>
        </w:rPr>
        <w:t>nd</w:t>
      </w:r>
      <w:r w:rsidRPr="00E551D9">
        <w:rPr>
          <w:lang w:val="en-GB"/>
        </w:rPr>
        <w:t xml:space="preserve"> a dense network of railway lines. GZM benefits from extensive infrastructure and organisational capacity that enable the execution of complex logistics operations. Additional advantages of the region include the technological potential of its heavy industry and the presence of well-developed sectors such as electromechanical, automotive, and chemical industries. Approximately 280</w:t>
      </w:r>
      <w:r w:rsidR="003B09B1">
        <w:rPr>
          <w:lang w:val="en-GB"/>
        </w:rPr>
        <w:t>,</w:t>
      </w:r>
      <w:r w:rsidRPr="00E551D9">
        <w:rPr>
          <w:lang w:val="en-GB"/>
        </w:rPr>
        <w:t>000 business entities operate within the GZM area, making it one of the most important economic centres in the country. Factors such as its strategic location, highly developed road and rail infrastructure, and access to a skilled workforce contribute to the region</w:t>
      </w:r>
      <w:r w:rsidR="003B09B1">
        <w:rPr>
          <w:lang w:val="en-GB"/>
        </w:rPr>
        <w:t>'</w:t>
      </w:r>
      <w:r w:rsidRPr="00E551D9">
        <w:rPr>
          <w:lang w:val="en-GB"/>
        </w:rPr>
        <w:t xml:space="preserve">s high level of economic growth </w:t>
      </w:r>
      <w:r w:rsidR="000D6762" w:rsidRPr="00E551D9">
        <w:rPr>
          <w:lang w:val="en-GB"/>
        </w:rPr>
        <w:t>(</w:t>
      </w:r>
      <w:proofErr w:type="spellStart"/>
      <w:r w:rsidR="000D6762" w:rsidRPr="00E551D9">
        <w:rPr>
          <w:lang w:val="en-GB"/>
        </w:rPr>
        <w:t>Burdzik</w:t>
      </w:r>
      <w:proofErr w:type="spellEnd"/>
      <w:r w:rsidR="000D6762" w:rsidRPr="00E551D9">
        <w:rPr>
          <w:lang w:val="en-GB"/>
        </w:rPr>
        <w:t xml:space="preserve"> et al. 2013)</w:t>
      </w:r>
      <w:r w:rsidR="001926C6" w:rsidRPr="00E551D9">
        <w:rPr>
          <w:lang w:val="en-GB"/>
        </w:rPr>
        <w:t>.</w:t>
      </w:r>
    </w:p>
    <w:p w14:paraId="5FD7698F" w14:textId="27B2194A" w:rsidR="00624560" w:rsidRPr="00E551D9" w:rsidRDefault="000361C9" w:rsidP="007E7F83">
      <w:pPr>
        <w:spacing w:after="0" w:line="240" w:lineRule="auto"/>
        <w:ind w:firstLine="284"/>
        <w:jc w:val="both"/>
        <w:rPr>
          <w:lang w:val="en-GB"/>
        </w:rPr>
      </w:pPr>
      <w:r w:rsidRPr="00E551D9">
        <w:rPr>
          <w:lang w:val="en-GB"/>
        </w:rPr>
        <w:t>The selection of GZM as the subject of analysis is also motivated by its high level of urbanisation and population density, which generate considerable traffic volumes and congestion. According to</w:t>
      </w:r>
      <w:r w:rsidR="001926C6" w:rsidRPr="00E551D9">
        <w:rPr>
          <w:lang w:val="en-GB"/>
        </w:rPr>
        <w:t xml:space="preserve"> </w:t>
      </w:r>
      <w:r w:rsidR="003B09B1">
        <w:rPr>
          <w:lang w:val="en-GB"/>
        </w:rPr>
        <w:t>Caban (2021), residents of Katowice (the capital of the Silesian voivodeship) lost an average of 65 hours per year</w:t>
      </w:r>
      <w:r w:rsidRPr="00E551D9">
        <w:rPr>
          <w:lang w:val="en-GB"/>
        </w:rPr>
        <w:t xml:space="preserve"> to road congestion in 2018, underscoring the scale of transport challenges faced by the metropolis.</w:t>
      </w:r>
    </w:p>
    <w:p w14:paraId="474391B1" w14:textId="2FE06E39" w:rsidR="00DA3014" w:rsidRPr="00E551D9" w:rsidRDefault="00092118" w:rsidP="007E7F83">
      <w:pPr>
        <w:spacing w:after="0" w:line="240" w:lineRule="auto"/>
        <w:ind w:firstLine="284"/>
        <w:jc w:val="both"/>
        <w:rPr>
          <w:lang w:val="en-GB"/>
        </w:rPr>
      </w:pPr>
      <w:r w:rsidRPr="00E551D9">
        <w:rPr>
          <w:lang w:val="en-GB"/>
        </w:rPr>
        <w:t xml:space="preserve">The </w:t>
      </w:r>
      <w:r w:rsidR="008B7D5E" w:rsidRPr="00E551D9">
        <w:rPr>
          <w:lang w:val="en-GB"/>
        </w:rPr>
        <w:t>modelling</w:t>
      </w:r>
      <w:r w:rsidRPr="00E551D9">
        <w:rPr>
          <w:lang w:val="en-GB"/>
        </w:rPr>
        <w:t xml:space="preserve"> phase </w:t>
      </w:r>
      <w:r w:rsidR="003B09B1">
        <w:rPr>
          <w:lang w:val="en-GB"/>
        </w:rPr>
        <w:t>is the most critical stage for</w:t>
      </w:r>
      <w:r w:rsidRPr="00E551D9">
        <w:rPr>
          <w:lang w:val="en-GB"/>
        </w:rPr>
        <w:t xml:space="preserve"> providing robust indicators and a solid analytical foundation. </w:t>
      </w:r>
      <w:r w:rsidR="003E6D8B" w:rsidRPr="00E551D9">
        <w:rPr>
          <w:lang w:val="en-GB"/>
        </w:rPr>
        <w:t xml:space="preserve">For this purpose, an existing planning-oriented transport model developed in PTV VISUM for the GZM area was adapted to the needs of this study. </w:t>
      </w:r>
      <w:r w:rsidRPr="00E551D9">
        <w:rPr>
          <w:lang w:val="en-GB"/>
        </w:rPr>
        <w:t xml:space="preserve">This model is based on the classical four-step </w:t>
      </w:r>
      <w:r w:rsidR="008B7D5E" w:rsidRPr="00E551D9">
        <w:rPr>
          <w:lang w:val="en-GB"/>
        </w:rPr>
        <w:t>modelling</w:t>
      </w:r>
      <w:r w:rsidRPr="00E551D9">
        <w:rPr>
          <w:lang w:val="en-GB"/>
        </w:rPr>
        <w:t xml:space="preserve"> approach. The study area was divided into Transport Analysis Zones (TAZ) in accordance with spatial development plans, natural barriers, administrative divisions, and historical boundaries. The road network reflects the actual road layout, and the impedance function is based on the BPR2 (Bureau of Public Roads) formula. The determination of (FTG) for each zone, comprising Freight Trip Production (FTP) and Freight Trip Attraction (FTA), was conducted using spatial studies supported by surveys among residents and suppliers, as well as data on population, employment, and the surface area of office, warehouse, industrial, and commercial buildings. The origin-destination (O-D) matrix was developed based on travel motivation surveys and calibrated using traffic counts on selected urban road sections. Travel purposes considered in the model included </w:t>
      </w:r>
      <w:r w:rsidR="003B09B1">
        <w:rPr>
          <w:lang w:val="en-GB"/>
        </w:rPr>
        <w:t>combinations of origins and destinations such as</w:t>
      </w:r>
      <w:r w:rsidRPr="00E551D9">
        <w:rPr>
          <w:lang w:val="en-GB"/>
        </w:rPr>
        <w:t xml:space="preserve"> vehicle depots; warehouses and wholesale </w:t>
      </w:r>
      <w:r w:rsidR="008B7D5E" w:rsidRPr="00E551D9">
        <w:rPr>
          <w:lang w:val="en-GB"/>
        </w:rPr>
        <w:t>centres</w:t>
      </w:r>
      <w:r w:rsidRPr="00E551D9">
        <w:rPr>
          <w:lang w:val="en-GB"/>
        </w:rPr>
        <w:t>; retail and service facilities; industrial plants; logistics hubs; and others. Traffic measurements were also used to determine the vehicle mix on individual road segments, including public transport lines and freight transport vehicles. The assignment of traffic to the transport network was carried out using a distance-based impedance function between traffic zones (</w:t>
      </w:r>
      <w:r w:rsidRPr="00E551D9">
        <w:rPr>
          <w:i/>
          <w:lang w:val="en-GB"/>
        </w:rPr>
        <w:t>D</w:t>
      </w:r>
      <w:r w:rsidRPr="00E551D9">
        <w:rPr>
          <w:lang w:val="en-GB"/>
        </w:rPr>
        <w:t>), defined by Equation (1):</w:t>
      </w:r>
    </w:p>
    <w:p w14:paraId="17B72EB2" w14:textId="353DDBDE" w:rsidR="00092118" w:rsidRPr="00E551D9" w:rsidRDefault="00092118" w:rsidP="007E7F83">
      <w:pPr>
        <w:tabs>
          <w:tab w:val="center" w:pos="4536"/>
          <w:tab w:val="right" w:pos="9638"/>
        </w:tabs>
        <w:spacing w:before="120" w:after="120" w:line="240" w:lineRule="auto"/>
        <w:jc w:val="center"/>
        <w:rPr>
          <w:rFonts w:eastAsiaTheme="minorEastAsia"/>
          <w:lang w:val="en-GB"/>
        </w:rPr>
      </w:pPr>
      <w:r w:rsidRPr="00E551D9">
        <w:rPr>
          <w:rFonts w:eastAsiaTheme="minorEastAsia"/>
          <w:lang w:val="en-GB"/>
        </w:rPr>
        <w:tab/>
      </w:r>
      <w:r w:rsidR="003935B5" w:rsidRPr="00E551D9">
        <w:rPr>
          <w:rFonts w:eastAsiaTheme="minorEastAsia"/>
          <w:position w:val="-10"/>
          <w:lang w:val="en-GB"/>
        </w:rPr>
        <w:object w:dxaOrig="1760" w:dyaOrig="340" w14:anchorId="5F96E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6.5pt" o:ole="">
            <v:imagedata r:id="rId9" o:title=""/>
          </v:shape>
          <o:OLEObject Type="Embed" ProgID="Equation.DSMT4" ShapeID="_x0000_i1025" DrawAspect="Content" ObjectID="_1827387234" r:id="rId10"/>
        </w:object>
      </w:r>
      <w:r w:rsidRPr="00E551D9">
        <w:rPr>
          <w:rFonts w:eastAsiaTheme="minorEastAsia"/>
          <w:lang w:val="en-GB"/>
        </w:rPr>
        <w:t xml:space="preserve"> </w:t>
      </w:r>
      <w:r w:rsidRPr="00E551D9">
        <w:rPr>
          <w:rFonts w:eastAsiaTheme="minorEastAsia"/>
          <w:lang w:val="en-GB"/>
        </w:rPr>
        <w:tab/>
        <w:t>(1)</w:t>
      </w:r>
    </w:p>
    <w:p w14:paraId="69872725" w14:textId="37572354" w:rsidR="00092118" w:rsidRPr="00E551D9" w:rsidRDefault="00092118" w:rsidP="007E7F83">
      <w:pPr>
        <w:spacing w:after="0" w:line="240" w:lineRule="auto"/>
        <w:jc w:val="both"/>
        <w:rPr>
          <w:lang w:val="en-GB"/>
        </w:rPr>
      </w:pPr>
      <w:r w:rsidRPr="00E551D9">
        <w:rPr>
          <w:lang w:val="en-GB"/>
        </w:rPr>
        <w:t xml:space="preserve">where the impedance coefficients </w:t>
      </w:r>
      <w:r w:rsidRPr="00E551D9">
        <w:rPr>
          <w:rFonts w:cs="Times New Roman"/>
          <w:i/>
          <w:iCs/>
          <w:lang w:val="en-GB"/>
        </w:rPr>
        <w:t>α</w:t>
      </w:r>
      <w:r w:rsidRPr="00E551D9">
        <w:rPr>
          <w:rFonts w:cs="Times New Roman"/>
          <w:i/>
          <w:vertAlign w:val="subscript"/>
          <w:lang w:val="en-GB"/>
        </w:rPr>
        <w:t>m</w:t>
      </w:r>
      <w:r w:rsidRPr="00E551D9">
        <w:rPr>
          <w:rFonts w:cs="Times New Roman"/>
          <w:i/>
          <w:lang w:val="en-GB"/>
        </w:rPr>
        <w:t xml:space="preserve">, </w:t>
      </w:r>
      <w:r w:rsidRPr="00E551D9">
        <w:rPr>
          <w:rFonts w:cs="Times New Roman"/>
          <w:i/>
          <w:iCs/>
          <w:lang w:val="en-GB"/>
        </w:rPr>
        <w:t>β</w:t>
      </w:r>
      <w:r w:rsidRPr="00E551D9">
        <w:rPr>
          <w:rFonts w:cs="Times New Roman"/>
          <w:i/>
          <w:vertAlign w:val="subscript"/>
          <w:lang w:val="en-GB"/>
        </w:rPr>
        <w:t>m</w:t>
      </w:r>
      <w:r w:rsidRPr="00E551D9">
        <w:rPr>
          <w:rFonts w:cs="Times New Roman"/>
          <w:i/>
          <w:lang w:val="en-GB"/>
        </w:rPr>
        <w:t xml:space="preserve">, </w:t>
      </w:r>
      <w:proofErr w:type="spellStart"/>
      <w:r w:rsidRPr="00E551D9">
        <w:rPr>
          <w:rFonts w:cs="Times New Roman"/>
          <w:i/>
          <w:iCs/>
          <w:lang w:val="en-GB"/>
        </w:rPr>
        <w:t>γ</w:t>
      </w:r>
      <w:r w:rsidRPr="00E551D9">
        <w:rPr>
          <w:rFonts w:cs="Times New Roman"/>
          <w:i/>
          <w:vertAlign w:val="subscript"/>
          <w:lang w:val="en-GB"/>
        </w:rPr>
        <w:t>m</w:t>
      </w:r>
      <w:proofErr w:type="spellEnd"/>
      <w:r w:rsidRPr="00E551D9">
        <w:rPr>
          <w:lang w:val="en-GB"/>
        </w:rPr>
        <w:t xml:space="preserve"> were calibrated by the creators of the GZM model and enabled the derivation of travel distribution for different trip motivation</w:t>
      </w:r>
      <w:r w:rsidR="003B09B1">
        <w:rPr>
          <w:lang w:val="en-GB"/>
        </w:rPr>
        <w:t>s</w:t>
      </w:r>
      <w:r w:rsidRPr="00E551D9">
        <w:rPr>
          <w:lang w:val="en-GB"/>
        </w:rPr>
        <w:t xml:space="preserve"> (</w:t>
      </w:r>
      <w:r w:rsidRPr="00E551D9">
        <w:rPr>
          <w:i/>
          <w:lang w:val="en-GB"/>
        </w:rPr>
        <w:t>m</w:t>
      </w:r>
      <w:r w:rsidRPr="00E551D9">
        <w:rPr>
          <w:lang w:val="en-GB"/>
        </w:rPr>
        <w:t>), subsequently verified using traffic count data.</w:t>
      </w:r>
    </w:p>
    <w:p w14:paraId="01DC2B9C" w14:textId="77866C6F" w:rsidR="00426465" w:rsidRPr="00E551D9" w:rsidRDefault="00E50263" w:rsidP="007E7F83">
      <w:pPr>
        <w:spacing w:before="120" w:after="120" w:line="240" w:lineRule="auto"/>
        <w:rPr>
          <w:i/>
          <w:lang w:val="en-GB"/>
        </w:rPr>
      </w:pPr>
      <w:r w:rsidRPr="00E551D9">
        <w:rPr>
          <w:i/>
          <w:iCs/>
          <w:lang w:val="en-GB"/>
        </w:rPr>
        <w:lastRenderedPageBreak/>
        <w:t xml:space="preserve">3.1.2. </w:t>
      </w:r>
      <w:r w:rsidR="00426465" w:rsidRPr="00E551D9">
        <w:rPr>
          <w:i/>
          <w:lang w:val="en-GB"/>
        </w:rPr>
        <w:t>Transportation network link data description</w:t>
      </w:r>
    </w:p>
    <w:p w14:paraId="4E4278F3" w14:textId="24F3293B" w:rsidR="0035359D" w:rsidRPr="00E551D9" w:rsidRDefault="0035359D" w:rsidP="007E7F83">
      <w:pPr>
        <w:spacing w:after="0" w:line="240" w:lineRule="auto"/>
        <w:ind w:firstLine="284"/>
        <w:rPr>
          <w:lang w:val="en-GB"/>
        </w:rPr>
      </w:pPr>
      <w:r w:rsidRPr="00E551D9">
        <w:rPr>
          <w:lang w:val="en-GB"/>
        </w:rPr>
        <w:t>Parameters of the transportation network links were selected to analyse emission</w:t>
      </w:r>
      <w:r w:rsidR="003B09B1">
        <w:rPr>
          <w:lang w:val="en-GB"/>
        </w:rPr>
        <w:t>s</w:t>
      </w:r>
      <w:r w:rsidRPr="00E551D9">
        <w:rPr>
          <w:lang w:val="en-GB"/>
        </w:rPr>
        <w:t xml:space="preserve"> and energy consumption. The most important are:</w:t>
      </w:r>
    </w:p>
    <w:p w14:paraId="6726DAD7" w14:textId="78770FEC"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Link number</w:t>
      </w:r>
      <w:r w:rsidR="00D4728B" w:rsidRPr="00E551D9">
        <w:rPr>
          <w:lang w:val="en-GB"/>
        </w:rPr>
        <w:t>,</w:t>
      </w:r>
    </w:p>
    <w:p w14:paraId="58A65EC5" w14:textId="66421537" w:rsidR="0035359D" w:rsidRPr="00E551D9" w:rsidRDefault="0035359D" w:rsidP="007F7DB2">
      <w:pPr>
        <w:pStyle w:val="Akapitzlist"/>
        <w:numPr>
          <w:ilvl w:val="0"/>
          <w:numId w:val="8"/>
        </w:numPr>
        <w:spacing w:after="0" w:line="240" w:lineRule="auto"/>
        <w:ind w:left="588" w:hanging="284"/>
        <w:rPr>
          <w:lang w:val="en-GB"/>
        </w:rPr>
      </w:pPr>
      <w:proofErr w:type="spellStart"/>
      <w:r w:rsidRPr="00E551D9">
        <w:rPr>
          <w:lang w:val="en-GB"/>
        </w:rPr>
        <w:t>Typeno</w:t>
      </w:r>
      <w:proofErr w:type="spellEnd"/>
      <w:r w:rsidRPr="00E551D9">
        <w:rPr>
          <w:lang w:val="en-GB"/>
        </w:rPr>
        <w:t xml:space="preserve"> – link type</w:t>
      </w:r>
      <w:r w:rsidRPr="00E551D9" w:rsidDel="0060155A">
        <w:rPr>
          <w:lang w:val="en-GB"/>
        </w:rPr>
        <w:t xml:space="preserve">, </w:t>
      </w:r>
      <w:r w:rsidR="0060155A" w:rsidRPr="00E551D9">
        <w:rPr>
          <w:lang w:val="en-GB"/>
        </w:rPr>
        <w:t>compl</w:t>
      </w:r>
      <w:r w:rsidR="003B09B1">
        <w:rPr>
          <w:lang w:val="en-GB"/>
        </w:rPr>
        <w:t>e</w:t>
      </w:r>
      <w:r w:rsidR="0060155A" w:rsidRPr="00E551D9">
        <w:rPr>
          <w:lang w:val="en-GB"/>
        </w:rPr>
        <w:t xml:space="preserve">mentary </w:t>
      </w:r>
      <w:r w:rsidR="003B09B1">
        <w:rPr>
          <w:lang w:val="en-GB"/>
        </w:rPr>
        <w:t>to</w:t>
      </w:r>
      <w:r w:rsidR="0060155A" w:rsidRPr="00E551D9">
        <w:rPr>
          <w:lang w:val="en-GB"/>
        </w:rPr>
        <w:t xml:space="preserve"> the road class</w:t>
      </w:r>
      <w:r w:rsidR="00D4728B" w:rsidRPr="00E551D9">
        <w:rPr>
          <w:lang w:val="en-GB"/>
        </w:rPr>
        <w:t>,</w:t>
      </w:r>
    </w:p>
    <w:p w14:paraId="171E0B31" w14:textId="285F397E"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Capacity</w:t>
      </w:r>
      <w:r w:rsidR="00D4728B" w:rsidRPr="00E551D9">
        <w:rPr>
          <w:lang w:val="en-GB"/>
        </w:rPr>
        <w:t>,</w:t>
      </w:r>
    </w:p>
    <w:p w14:paraId="76A00388" w14:textId="682D6AC4"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Traffic volume: for the vehicle types</w:t>
      </w:r>
      <w:r w:rsidR="00D4728B" w:rsidRPr="00E551D9">
        <w:rPr>
          <w:lang w:val="en-GB"/>
        </w:rPr>
        <w:t>,</w:t>
      </w:r>
    </w:p>
    <w:p w14:paraId="73B4631A" w14:textId="3165D2CC"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Vehicle kilometres travelled</w:t>
      </w:r>
      <w:r w:rsidR="00D4728B" w:rsidRPr="00E551D9">
        <w:rPr>
          <w:lang w:val="en-GB"/>
        </w:rPr>
        <w:t>.</w:t>
      </w:r>
    </w:p>
    <w:p w14:paraId="4ED8F37D" w14:textId="77777777" w:rsidR="00E551D9" w:rsidRDefault="00E551D9" w:rsidP="007E7F83">
      <w:pPr>
        <w:spacing w:after="0" w:line="240" w:lineRule="auto"/>
        <w:ind w:firstLine="284"/>
        <w:jc w:val="both"/>
        <w:rPr>
          <w:lang w:val="en-GB"/>
        </w:rPr>
      </w:pPr>
    </w:p>
    <w:p w14:paraId="6A4ACF75" w14:textId="69C6A9F3" w:rsidR="0035359D" w:rsidRPr="00E551D9" w:rsidRDefault="0035359D" w:rsidP="007E7F83">
      <w:pPr>
        <w:spacing w:after="0" w:line="240" w:lineRule="auto"/>
        <w:ind w:firstLine="284"/>
        <w:jc w:val="both"/>
        <w:rPr>
          <w:lang w:val="en-GB"/>
        </w:rPr>
      </w:pPr>
      <w:r w:rsidRPr="00E551D9">
        <w:rPr>
          <w:lang w:val="en-GB"/>
        </w:rPr>
        <w:t>The base scenario shows the state of the traffic</w:t>
      </w:r>
      <w:r w:rsidR="003B09B1">
        <w:rPr>
          <w:lang w:val="en-GB"/>
        </w:rPr>
        <w:t xml:space="preserve"> as modelled and calibrated during model creation</w:t>
      </w:r>
      <w:r w:rsidRPr="00E551D9">
        <w:rPr>
          <w:lang w:val="en-GB"/>
        </w:rPr>
        <w:t xml:space="preserve">. The </w:t>
      </w:r>
      <w:r w:rsidR="003B09B1">
        <w:rPr>
          <w:lang w:val="en-GB"/>
        </w:rPr>
        <w:t>model's traffic data, as well as the transport network, are up to date as of</w:t>
      </w:r>
      <w:r w:rsidRPr="00E551D9">
        <w:rPr>
          <w:lang w:val="en-GB"/>
        </w:rPr>
        <w:t xml:space="preserve"> 2022. This is the base year for the analysis and also the reference year for the vehicle compositions in the emission model. The base scenario will also </w:t>
      </w:r>
      <w:r w:rsidR="003B09B1">
        <w:rPr>
          <w:lang w:val="en-GB"/>
        </w:rPr>
        <w:t>serve as the basis</w:t>
      </w:r>
      <w:r w:rsidRPr="00E551D9">
        <w:rPr>
          <w:lang w:val="en-GB"/>
        </w:rPr>
        <w:t xml:space="preserve"> for the two simulated scenarios described below.</w:t>
      </w:r>
    </w:p>
    <w:p w14:paraId="5305B4D0" w14:textId="362AAB6E" w:rsidR="0035359D" w:rsidRPr="00E551D9" w:rsidRDefault="0035359D" w:rsidP="007E7F83">
      <w:pPr>
        <w:spacing w:after="0" w:line="240" w:lineRule="auto"/>
        <w:ind w:firstLine="284"/>
        <w:jc w:val="both"/>
        <w:rPr>
          <w:lang w:val="en-GB"/>
        </w:rPr>
      </w:pPr>
      <w:r w:rsidRPr="00E551D9">
        <w:rPr>
          <w:lang w:val="en-GB"/>
        </w:rPr>
        <w:t xml:space="preserve">The whole model of the GZM metropolis carries 2629777 vehicle kilometres </w:t>
      </w:r>
      <w:r w:rsidR="003B09B1">
        <w:rPr>
          <w:lang w:val="en-GB"/>
        </w:rPr>
        <w:t xml:space="preserve">across all vehicle trips; among them, 419,675 </w:t>
      </w:r>
      <w:proofErr w:type="spellStart"/>
      <w:r w:rsidR="003B09B1">
        <w:rPr>
          <w:lang w:val="en-GB"/>
        </w:rPr>
        <w:t>vehkm</w:t>
      </w:r>
      <w:proofErr w:type="spellEnd"/>
      <w:r w:rsidR="003B09B1">
        <w:rPr>
          <w:lang w:val="en-GB"/>
        </w:rPr>
        <w:t xml:space="preserve"> (16%) are the trips of</w:t>
      </w:r>
      <w:r w:rsidRPr="00E551D9">
        <w:rPr>
          <w:lang w:val="en-GB"/>
        </w:rPr>
        <w:t xml:space="preserve"> freight vehicles. The transportation network consists of 7 general road classes:</w:t>
      </w:r>
    </w:p>
    <w:p w14:paraId="1CF66C54" w14:textId="2A549DAC"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A – highway</w:t>
      </w:r>
      <w:r w:rsidR="00D4728B" w:rsidRPr="00E551D9">
        <w:rPr>
          <w:lang w:val="en-GB"/>
        </w:rPr>
        <w:t>,</w:t>
      </w:r>
    </w:p>
    <w:p w14:paraId="34A6810C" w14:textId="0B31A6DB"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S – expressway</w:t>
      </w:r>
      <w:r w:rsidR="00D4728B" w:rsidRPr="00E551D9">
        <w:rPr>
          <w:lang w:val="en-GB"/>
        </w:rPr>
        <w:t>,</w:t>
      </w:r>
    </w:p>
    <w:p w14:paraId="72B17B7A" w14:textId="58159497"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 xml:space="preserve">GP – </w:t>
      </w:r>
      <w:r w:rsidR="00DA3014" w:rsidRPr="00E551D9">
        <w:rPr>
          <w:lang w:val="en-GB"/>
        </w:rPr>
        <w:t>m</w:t>
      </w:r>
      <w:r w:rsidRPr="00E551D9">
        <w:rPr>
          <w:lang w:val="en-GB"/>
        </w:rPr>
        <w:t>ain express road</w:t>
      </w:r>
      <w:r w:rsidR="00D4728B" w:rsidRPr="00E551D9">
        <w:rPr>
          <w:lang w:val="en-GB"/>
        </w:rPr>
        <w:t>,</w:t>
      </w:r>
    </w:p>
    <w:p w14:paraId="1DDAFA86" w14:textId="06AE1FA7"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G – main road</w:t>
      </w:r>
      <w:r w:rsidR="00D4728B" w:rsidRPr="00E551D9">
        <w:rPr>
          <w:lang w:val="en-GB"/>
        </w:rPr>
        <w:t>,</w:t>
      </w:r>
    </w:p>
    <w:p w14:paraId="74C99C40" w14:textId="40D467E2"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 xml:space="preserve">Z – </w:t>
      </w:r>
      <w:r w:rsidR="00DA3014" w:rsidRPr="00E551D9">
        <w:rPr>
          <w:lang w:val="en-GB"/>
        </w:rPr>
        <w:t>s</w:t>
      </w:r>
      <w:r w:rsidRPr="00E551D9">
        <w:rPr>
          <w:lang w:val="en-GB"/>
        </w:rPr>
        <w:t>econdary road</w:t>
      </w:r>
      <w:r w:rsidR="00D4728B" w:rsidRPr="00E551D9">
        <w:rPr>
          <w:lang w:val="en-GB"/>
        </w:rPr>
        <w:t>,</w:t>
      </w:r>
    </w:p>
    <w:p w14:paraId="757C3E94" w14:textId="7C2E71AF" w:rsidR="0035359D" w:rsidRPr="00E551D9" w:rsidRDefault="0035359D" w:rsidP="007F7DB2">
      <w:pPr>
        <w:pStyle w:val="Akapitzlist"/>
        <w:numPr>
          <w:ilvl w:val="0"/>
          <w:numId w:val="8"/>
        </w:numPr>
        <w:spacing w:after="0" w:line="240" w:lineRule="auto"/>
        <w:ind w:left="588" w:hanging="284"/>
        <w:rPr>
          <w:lang w:val="en-GB"/>
        </w:rPr>
      </w:pPr>
      <w:r w:rsidRPr="00E551D9">
        <w:rPr>
          <w:lang w:val="en-GB"/>
        </w:rPr>
        <w:t xml:space="preserve">L – </w:t>
      </w:r>
      <w:r w:rsidR="00DA3014" w:rsidRPr="00E551D9">
        <w:rPr>
          <w:lang w:val="en-GB"/>
        </w:rPr>
        <w:t>l</w:t>
      </w:r>
      <w:r w:rsidRPr="00E551D9">
        <w:rPr>
          <w:lang w:val="en-GB"/>
        </w:rPr>
        <w:t>ocal road</w:t>
      </w:r>
      <w:r w:rsidR="00D4728B" w:rsidRPr="00E551D9">
        <w:rPr>
          <w:lang w:val="en-GB"/>
        </w:rPr>
        <w:t>,</w:t>
      </w:r>
    </w:p>
    <w:p w14:paraId="3A79B35F" w14:textId="60883749" w:rsidR="0035359D" w:rsidRPr="00E551D9" w:rsidRDefault="00DA3014" w:rsidP="007F7DB2">
      <w:pPr>
        <w:pStyle w:val="Akapitzlist"/>
        <w:numPr>
          <w:ilvl w:val="0"/>
          <w:numId w:val="8"/>
        </w:numPr>
        <w:spacing w:after="0" w:line="240" w:lineRule="auto"/>
        <w:ind w:left="588" w:hanging="284"/>
        <w:rPr>
          <w:lang w:val="en-GB"/>
        </w:rPr>
      </w:pPr>
      <w:r w:rsidRPr="00E551D9">
        <w:rPr>
          <w:lang w:val="en-GB"/>
        </w:rPr>
        <w:t>s</w:t>
      </w:r>
      <w:r w:rsidR="0035359D" w:rsidRPr="00E551D9">
        <w:rPr>
          <w:lang w:val="en-GB"/>
        </w:rPr>
        <w:t>ervice road</w:t>
      </w:r>
      <w:r w:rsidR="00D4728B" w:rsidRPr="00E551D9">
        <w:rPr>
          <w:lang w:val="en-GB"/>
        </w:rPr>
        <w:t>.</w:t>
      </w:r>
    </w:p>
    <w:p w14:paraId="0731AC01" w14:textId="77777777" w:rsidR="00E551D9" w:rsidRDefault="00E551D9" w:rsidP="00F6615F">
      <w:pPr>
        <w:spacing w:after="0" w:line="240" w:lineRule="auto"/>
        <w:ind w:firstLine="284"/>
        <w:jc w:val="both"/>
        <w:rPr>
          <w:lang w:val="en-GB"/>
        </w:rPr>
      </w:pPr>
    </w:p>
    <w:p w14:paraId="231272AB" w14:textId="272A5A90" w:rsidR="001B5650" w:rsidRDefault="00CC52AD" w:rsidP="00F6615F">
      <w:pPr>
        <w:spacing w:after="0" w:line="240" w:lineRule="auto"/>
        <w:ind w:firstLine="284"/>
        <w:jc w:val="both"/>
        <w:rPr>
          <w:lang w:val="en-GB"/>
        </w:rPr>
      </w:pPr>
      <w:r w:rsidRPr="00E551D9">
        <w:rPr>
          <w:lang w:val="en-GB"/>
        </w:rPr>
        <w:t>In Fig</w:t>
      </w:r>
      <w:r w:rsidR="00652207" w:rsidRPr="00E551D9">
        <w:rPr>
          <w:lang w:val="en-GB"/>
        </w:rPr>
        <w:t>ure</w:t>
      </w:r>
      <w:r w:rsidRPr="00E551D9">
        <w:rPr>
          <w:lang w:val="en-GB"/>
        </w:rPr>
        <w:t xml:space="preserve"> 1,</w:t>
      </w:r>
      <w:r w:rsidR="00A11F1F" w:rsidRPr="00E551D9">
        <w:rPr>
          <w:lang w:val="en-GB"/>
        </w:rPr>
        <w:t xml:space="preserve"> the map of the GZM metropolis</w:t>
      </w:r>
      <w:r w:rsidR="000E325E" w:rsidRPr="00E551D9">
        <w:rPr>
          <w:lang w:val="en-GB"/>
        </w:rPr>
        <w:t xml:space="preserve"> with </w:t>
      </w:r>
      <w:r w:rsidR="003B09B1">
        <w:rPr>
          <w:lang w:val="en-GB"/>
        </w:rPr>
        <w:t>graphical representation of road classes is shown, whereas in Figure 2,</w:t>
      </w:r>
      <w:r w:rsidR="006B20E7" w:rsidRPr="00E551D9">
        <w:rPr>
          <w:lang w:val="en-GB"/>
        </w:rPr>
        <w:t xml:space="preserve"> traffic volumes on the network </w:t>
      </w:r>
      <w:r w:rsidR="003B09B1">
        <w:rPr>
          <w:lang w:val="en-GB"/>
        </w:rPr>
        <w:t>are</w:t>
      </w:r>
      <w:r w:rsidRPr="00E551D9">
        <w:rPr>
          <w:lang w:val="en-GB"/>
        </w:rPr>
        <w:t xml:space="preserve"> shown</w:t>
      </w:r>
      <w:r w:rsidR="001B5650" w:rsidRPr="00E551D9">
        <w:rPr>
          <w:lang w:val="en-GB"/>
        </w:rPr>
        <w:t>.</w:t>
      </w:r>
      <w:r w:rsidR="006039DD" w:rsidRPr="00E551D9">
        <w:rPr>
          <w:lang w:val="en-GB"/>
        </w:rPr>
        <w:t xml:space="preserve"> Moreover, </w:t>
      </w:r>
      <w:r w:rsidR="001B5650" w:rsidRPr="00E551D9">
        <w:rPr>
          <w:lang w:val="en-GB"/>
        </w:rPr>
        <w:t xml:space="preserve">Figure </w:t>
      </w:r>
      <w:r w:rsidR="006B20E7" w:rsidRPr="00E551D9">
        <w:rPr>
          <w:lang w:val="en-GB"/>
        </w:rPr>
        <w:t>3</w:t>
      </w:r>
      <w:r w:rsidR="001B5650" w:rsidRPr="00E551D9">
        <w:rPr>
          <w:lang w:val="en-GB"/>
        </w:rPr>
        <w:t xml:space="preserve"> shows the share of the vehicle kilometres for each road class. </w:t>
      </w:r>
      <w:r w:rsidR="003B09B1">
        <w:rPr>
          <w:lang w:val="en-GB"/>
        </w:rPr>
        <w:t>The b</w:t>
      </w:r>
      <w:r w:rsidR="001B5650" w:rsidRPr="00E551D9">
        <w:rPr>
          <w:lang w:val="en-GB"/>
        </w:rPr>
        <w:t>ackbone of t</w:t>
      </w:r>
      <w:r w:rsidR="003B09B1">
        <w:rPr>
          <w:lang w:val="en-GB"/>
        </w:rPr>
        <w:t>raffic in the metropolis is made up of</w:t>
      </w:r>
      <w:r w:rsidR="001B5650" w:rsidRPr="00E551D9">
        <w:rPr>
          <w:lang w:val="en-GB"/>
        </w:rPr>
        <w:t xml:space="preserve"> higher-category urban streets, from GP (main express) to Z (Secondary) class. This is a standard share </w:t>
      </w:r>
      <w:r w:rsidR="003B09B1">
        <w:rPr>
          <w:lang w:val="en-GB"/>
        </w:rPr>
        <w:t>in most</w:t>
      </w:r>
      <w:r w:rsidR="001B5650" w:rsidRPr="00E551D9">
        <w:rPr>
          <w:lang w:val="en-GB"/>
        </w:rPr>
        <w:t xml:space="preserve"> urban areas in Poland. However, in this case, the A1 and</w:t>
      </w:r>
      <w:r w:rsidR="003B09B1">
        <w:rPr>
          <w:lang w:val="en-GB"/>
        </w:rPr>
        <w:t>, especially, the A4 highways account for a significant share of traffic due to their proximity to</w:t>
      </w:r>
      <w:r w:rsidR="001B5650" w:rsidRPr="00E551D9">
        <w:rPr>
          <w:lang w:val="en-GB"/>
        </w:rPr>
        <w:t xml:space="preserve"> urban areas.</w:t>
      </w:r>
    </w:p>
    <w:p w14:paraId="1A31B502" w14:textId="77777777" w:rsidR="00E551D9" w:rsidRPr="00E551D9" w:rsidRDefault="00E551D9" w:rsidP="007E7F83">
      <w:pPr>
        <w:spacing w:after="0" w:line="240" w:lineRule="auto"/>
        <w:ind w:firstLine="284"/>
        <w:jc w:val="both"/>
        <w:rPr>
          <w:lang w:val="en-GB"/>
        </w:rPr>
      </w:pPr>
    </w:p>
    <w:p w14:paraId="45188357" w14:textId="77777777" w:rsidR="0035359D" w:rsidRPr="00E551D9" w:rsidRDefault="0035359D" w:rsidP="007E7F83">
      <w:pPr>
        <w:spacing w:after="0" w:line="240" w:lineRule="auto"/>
        <w:jc w:val="center"/>
        <w:rPr>
          <w:lang w:val="en-GB"/>
        </w:rPr>
      </w:pPr>
      <w:r w:rsidRPr="00E551D9">
        <w:rPr>
          <w:noProof/>
          <w:lang w:val="en-GB" w:eastAsia="pl-PL"/>
        </w:rPr>
        <w:drawing>
          <wp:anchor distT="0" distB="0" distL="114300" distR="114300" simplePos="0" relativeHeight="251656192" behindDoc="0" locked="0" layoutInCell="1" allowOverlap="1" wp14:anchorId="7FBC7B33" wp14:editId="20F8CD66">
            <wp:simplePos x="0" y="0"/>
            <wp:positionH relativeFrom="margin">
              <wp:posOffset>42545</wp:posOffset>
            </wp:positionH>
            <wp:positionV relativeFrom="paragraph">
              <wp:posOffset>2424325</wp:posOffset>
            </wp:positionV>
            <wp:extent cx="797931" cy="899795"/>
            <wp:effectExtent l="0" t="0" r="2540" b="0"/>
            <wp:wrapNone/>
            <wp:docPr id="459940691" name="Obraz 1" descr="Obraz zawierający zrzut ekranu, Czcionka, tekst,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40691" name="Obraz 1" descr="Obraz zawierający zrzut ekranu, Czcionka, tekst, linia&#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797931" cy="899795"/>
                    </a:xfrm>
                    <a:prstGeom prst="rect">
                      <a:avLst/>
                    </a:prstGeom>
                  </pic:spPr>
                </pic:pic>
              </a:graphicData>
            </a:graphic>
            <wp14:sizeRelH relativeFrom="page">
              <wp14:pctWidth>0</wp14:pctWidth>
            </wp14:sizeRelH>
            <wp14:sizeRelV relativeFrom="page">
              <wp14:pctHeight>0</wp14:pctHeight>
            </wp14:sizeRelV>
          </wp:anchor>
        </w:drawing>
      </w:r>
      <w:r w:rsidRPr="00E551D9">
        <w:rPr>
          <w:noProof/>
          <w:lang w:val="en-GB" w:eastAsia="pl-PL"/>
        </w:rPr>
        <w:drawing>
          <wp:inline distT="0" distB="0" distL="0" distR="0" wp14:anchorId="39A674DA" wp14:editId="26C0EA9E">
            <wp:extent cx="6116283" cy="3354670"/>
            <wp:effectExtent l="0" t="0" r="0" b="0"/>
            <wp:docPr id="645972067" name="Obraz 1"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72067" name="Obraz 1" descr="Obraz zawierający tekst, mapa, atlas&#10;&#10;Opis wygenerowany automatycznie"/>
                    <pic:cNvPicPr/>
                  </pic:nvPicPr>
                  <pic:blipFill>
                    <a:blip r:embed="rId12"/>
                    <a:stretch>
                      <a:fillRect/>
                    </a:stretch>
                  </pic:blipFill>
                  <pic:spPr>
                    <a:xfrm>
                      <a:off x="0" y="0"/>
                      <a:ext cx="6184381" cy="3392021"/>
                    </a:xfrm>
                    <a:prstGeom prst="rect">
                      <a:avLst/>
                    </a:prstGeom>
                  </pic:spPr>
                </pic:pic>
              </a:graphicData>
            </a:graphic>
          </wp:inline>
        </w:drawing>
      </w:r>
    </w:p>
    <w:p w14:paraId="324F4A30" w14:textId="7D791584" w:rsidR="00CC52AD" w:rsidRPr="00E551D9" w:rsidRDefault="00CC52AD" w:rsidP="007E7F83">
      <w:pPr>
        <w:pStyle w:val="Rrys"/>
      </w:pPr>
      <w:r w:rsidRPr="00E551D9">
        <w:rPr>
          <w:b/>
        </w:rPr>
        <w:t>Fig</w:t>
      </w:r>
      <w:r w:rsidR="00E551D9">
        <w:rPr>
          <w:b/>
        </w:rPr>
        <w:t>.</w:t>
      </w:r>
      <w:r w:rsidRPr="00E551D9">
        <w:rPr>
          <w:b/>
        </w:rPr>
        <w:t xml:space="preserve"> 1.</w:t>
      </w:r>
      <w:r w:rsidRPr="00E551D9">
        <w:t xml:space="preserve"> Map of road classes in GZM metropolis</w:t>
      </w:r>
    </w:p>
    <w:p w14:paraId="2ECFF6C8" w14:textId="77777777" w:rsidR="006B20E7" w:rsidRPr="00E551D9" w:rsidRDefault="006B20E7" w:rsidP="007E7F83">
      <w:pPr>
        <w:spacing w:after="0" w:line="240" w:lineRule="auto"/>
        <w:jc w:val="center"/>
        <w:rPr>
          <w:lang w:val="en-GB"/>
        </w:rPr>
      </w:pPr>
      <w:r w:rsidRPr="00E551D9">
        <w:rPr>
          <w:noProof/>
          <w:lang w:val="en-GB" w:eastAsia="pl-PL"/>
        </w:rPr>
        <w:lastRenderedPageBreak/>
        <w:drawing>
          <wp:inline distT="0" distB="0" distL="0" distR="0" wp14:anchorId="28FF2AFE" wp14:editId="2CC10D70">
            <wp:extent cx="5280171" cy="2588821"/>
            <wp:effectExtent l="0" t="0" r="0" b="2540"/>
            <wp:docPr id="1720970410" name="Obraz 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70410" name="Obraz 1" descr="Obraz zawierający mapa, atlas, tekst&#10;&#10;Opis wygenerowany automatycznie"/>
                    <pic:cNvPicPr/>
                  </pic:nvPicPr>
                  <pic:blipFill>
                    <a:blip r:embed="rId13"/>
                    <a:stretch>
                      <a:fillRect/>
                    </a:stretch>
                  </pic:blipFill>
                  <pic:spPr>
                    <a:xfrm>
                      <a:off x="0" y="0"/>
                      <a:ext cx="5303434" cy="2600226"/>
                    </a:xfrm>
                    <a:prstGeom prst="rect">
                      <a:avLst/>
                    </a:prstGeom>
                  </pic:spPr>
                </pic:pic>
              </a:graphicData>
            </a:graphic>
          </wp:inline>
        </w:drawing>
      </w:r>
    </w:p>
    <w:p w14:paraId="7B3B3222" w14:textId="6B2E7127" w:rsidR="006B20E7" w:rsidRPr="00E551D9" w:rsidRDefault="006B20E7" w:rsidP="007E7F83">
      <w:pPr>
        <w:pStyle w:val="Rrys"/>
      </w:pPr>
      <w:r w:rsidRPr="00E551D9">
        <w:rPr>
          <w:b/>
        </w:rPr>
        <w:t xml:space="preserve">Fig. </w:t>
      </w:r>
      <w:r w:rsidR="00C32759" w:rsidRPr="00E551D9">
        <w:rPr>
          <w:b/>
        </w:rPr>
        <w:t>2</w:t>
      </w:r>
      <w:r w:rsidRPr="00E551D9">
        <w:rPr>
          <w:b/>
          <w:bCs/>
        </w:rPr>
        <w:t>.</w:t>
      </w:r>
      <w:r w:rsidRPr="00E551D9">
        <w:t xml:space="preserve"> Map of the </w:t>
      </w:r>
      <w:proofErr w:type="spellStart"/>
      <w:r w:rsidRPr="00E551D9">
        <w:t>traffic</w:t>
      </w:r>
      <w:proofErr w:type="spellEnd"/>
      <w:r w:rsidRPr="00E551D9">
        <w:t xml:space="preserve"> </w:t>
      </w:r>
      <w:proofErr w:type="spellStart"/>
      <w:r w:rsidRPr="00E551D9">
        <w:t>volume</w:t>
      </w:r>
      <w:proofErr w:type="spellEnd"/>
      <w:r w:rsidRPr="00E551D9">
        <w:t xml:space="preserve"> on the </w:t>
      </w:r>
      <w:proofErr w:type="spellStart"/>
      <w:r w:rsidRPr="00E551D9">
        <w:t>links</w:t>
      </w:r>
      <w:proofErr w:type="spellEnd"/>
      <w:r w:rsidRPr="00E551D9">
        <w:t xml:space="preserve"> in </w:t>
      </w:r>
      <w:r w:rsidR="003B09B1">
        <w:t xml:space="preserve">the </w:t>
      </w:r>
      <w:r w:rsidRPr="00E551D9">
        <w:t xml:space="preserve">GZM </w:t>
      </w:r>
      <w:proofErr w:type="spellStart"/>
      <w:r w:rsidRPr="00E551D9">
        <w:t>metropolis</w:t>
      </w:r>
      <w:proofErr w:type="spellEnd"/>
    </w:p>
    <w:p w14:paraId="2E595420" w14:textId="77777777" w:rsidR="007E7F83" w:rsidRDefault="007E7F83" w:rsidP="007E7F83">
      <w:pPr>
        <w:spacing w:after="0" w:line="240" w:lineRule="auto"/>
        <w:jc w:val="both"/>
        <w:rPr>
          <w:lang w:val="en-GB"/>
        </w:rPr>
      </w:pPr>
    </w:p>
    <w:p w14:paraId="5E5E996A" w14:textId="0AF68502" w:rsidR="0035359D" w:rsidRPr="00E551D9" w:rsidRDefault="0035359D" w:rsidP="007E7F83">
      <w:pPr>
        <w:spacing w:after="0" w:line="240" w:lineRule="auto"/>
        <w:jc w:val="center"/>
        <w:rPr>
          <w:lang w:val="en-GB"/>
        </w:rPr>
      </w:pPr>
      <w:r w:rsidRPr="00E551D9">
        <w:rPr>
          <w:noProof/>
          <w:lang w:val="en-GB" w:eastAsia="pl-PL"/>
        </w:rPr>
        <w:drawing>
          <wp:inline distT="0" distB="0" distL="0" distR="0" wp14:anchorId="6FB60F6C" wp14:editId="357AFCB2">
            <wp:extent cx="4705350" cy="2819400"/>
            <wp:effectExtent l="0" t="0" r="0" b="0"/>
            <wp:docPr id="908247349" name="Wykres 1">
              <a:extLst xmlns:a="http://schemas.openxmlformats.org/drawingml/2006/main">
                <a:ext uri="{FF2B5EF4-FFF2-40B4-BE49-F238E27FC236}">
                  <a16:creationId xmlns:a16="http://schemas.microsoft.com/office/drawing/2014/main" id="{F39BE3BB-115A-34FA-3F62-8271D6D1A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32BB68" w14:textId="7FF9CDF0" w:rsidR="00CC52AD" w:rsidRPr="00E551D9" w:rsidRDefault="00CC52AD" w:rsidP="007E7F83">
      <w:pPr>
        <w:pStyle w:val="Rrys"/>
      </w:pPr>
      <w:r w:rsidRPr="00E551D9">
        <w:rPr>
          <w:b/>
        </w:rPr>
        <w:t xml:space="preserve">Fig. </w:t>
      </w:r>
      <w:r w:rsidR="00C32759" w:rsidRPr="00E551D9">
        <w:rPr>
          <w:b/>
        </w:rPr>
        <w:t>3</w:t>
      </w:r>
      <w:r w:rsidRPr="00E551D9">
        <w:rPr>
          <w:b/>
        </w:rPr>
        <w:t>.</w:t>
      </w:r>
      <w:r w:rsidRPr="00E551D9">
        <w:t xml:space="preserve"> </w:t>
      </w:r>
      <w:r w:rsidR="00FB6152" w:rsidRPr="00E551D9">
        <w:t xml:space="preserve">Total </w:t>
      </w:r>
      <w:proofErr w:type="spellStart"/>
      <w:r w:rsidR="00FB6152" w:rsidRPr="00E551D9">
        <w:t>vehicle</w:t>
      </w:r>
      <w:proofErr w:type="spellEnd"/>
      <w:r w:rsidR="00FB6152" w:rsidRPr="00E551D9">
        <w:t xml:space="preserve"> </w:t>
      </w:r>
      <w:proofErr w:type="spellStart"/>
      <w:r w:rsidR="00FB6152" w:rsidRPr="00E551D9">
        <w:t>kilometres</w:t>
      </w:r>
      <w:proofErr w:type="spellEnd"/>
      <w:r w:rsidR="00FB6152" w:rsidRPr="00E551D9">
        <w:t xml:space="preserve"> on transport network</w:t>
      </w:r>
    </w:p>
    <w:p w14:paraId="1B3E9A9F" w14:textId="77777777" w:rsidR="00E551D9" w:rsidRDefault="00E551D9" w:rsidP="007E7F83">
      <w:pPr>
        <w:spacing w:after="0" w:line="240" w:lineRule="auto"/>
        <w:ind w:firstLine="284"/>
        <w:rPr>
          <w:lang w:val="en-GB"/>
        </w:rPr>
      </w:pPr>
    </w:p>
    <w:p w14:paraId="0B0CD1AC" w14:textId="6FA40DB4" w:rsidR="0035359D" w:rsidRDefault="0035359D" w:rsidP="003B09B1">
      <w:pPr>
        <w:spacing w:after="0" w:line="240" w:lineRule="auto"/>
        <w:ind w:firstLine="284"/>
        <w:jc w:val="both"/>
        <w:rPr>
          <w:lang w:val="en-GB"/>
        </w:rPr>
      </w:pPr>
      <w:r w:rsidRPr="00E551D9">
        <w:rPr>
          <w:lang w:val="en-GB"/>
        </w:rPr>
        <w:t>T</w:t>
      </w:r>
      <w:r w:rsidR="003B09B1">
        <w:rPr>
          <w:lang w:val="en-GB"/>
        </w:rPr>
        <w:t>he t</w:t>
      </w:r>
      <w:r w:rsidRPr="00E551D9">
        <w:rPr>
          <w:lang w:val="en-GB"/>
        </w:rPr>
        <w:t xml:space="preserve">raffic assignment of the model calculates </w:t>
      </w:r>
      <w:r w:rsidR="003B09B1">
        <w:rPr>
          <w:lang w:val="en-GB"/>
        </w:rPr>
        <w:t>the</w:t>
      </w:r>
      <w:r w:rsidRPr="00E551D9">
        <w:rPr>
          <w:lang w:val="en-GB"/>
        </w:rPr>
        <w:t xml:space="preserve"> traffic volumes on each road link. Additionally, the volume-capacity ratio is calculated, </w:t>
      </w:r>
      <w:r w:rsidR="003B09B1">
        <w:rPr>
          <w:lang w:val="en-GB"/>
        </w:rPr>
        <w:t>representing the percentage of capacity utilization</w:t>
      </w:r>
      <w:r w:rsidRPr="00E551D9">
        <w:rPr>
          <w:lang w:val="en-GB"/>
        </w:rPr>
        <w:t xml:space="preserve"> in each link. Volume capacity ratio can be classified into levels of service</w:t>
      </w:r>
      <w:r w:rsidR="004D0B5E" w:rsidRPr="00E551D9">
        <w:rPr>
          <w:lang w:val="en-GB"/>
        </w:rPr>
        <w:t xml:space="preserve"> (</w:t>
      </w:r>
      <w:proofErr w:type="spellStart"/>
      <w:r w:rsidR="004D0B5E" w:rsidRPr="00E551D9">
        <w:rPr>
          <w:lang w:val="en-GB"/>
        </w:rPr>
        <w:t>LoS</w:t>
      </w:r>
      <w:proofErr w:type="spellEnd"/>
      <w:r w:rsidR="004D0B5E" w:rsidRPr="00E551D9">
        <w:rPr>
          <w:lang w:val="en-GB"/>
        </w:rPr>
        <w:t>)</w:t>
      </w:r>
      <w:r w:rsidR="003B09B1">
        <w:rPr>
          <w:lang w:val="en-GB"/>
        </w:rPr>
        <w:t>, an indicator of the link's congestion level</w:t>
      </w:r>
      <w:r w:rsidRPr="00E551D9">
        <w:rPr>
          <w:lang w:val="en-GB"/>
        </w:rPr>
        <w:t>. In</w:t>
      </w:r>
      <w:r w:rsidR="000049F6">
        <w:rPr>
          <w:lang w:val="en-GB"/>
        </w:rPr>
        <w:t> </w:t>
      </w:r>
      <w:r w:rsidRPr="00E551D9">
        <w:rPr>
          <w:lang w:val="en-GB"/>
        </w:rPr>
        <w:t>Tab</w:t>
      </w:r>
      <w:r w:rsidR="004D0B5E" w:rsidRPr="00E551D9">
        <w:rPr>
          <w:lang w:val="en-GB"/>
        </w:rPr>
        <w:t>le</w:t>
      </w:r>
      <w:r w:rsidR="008C5FB0" w:rsidRPr="00E551D9">
        <w:rPr>
          <w:lang w:val="en-GB"/>
        </w:rPr>
        <w:t xml:space="preserve"> 1</w:t>
      </w:r>
      <w:r w:rsidRPr="00E551D9">
        <w:rPr>
          <w:lang w:val="en-GB"/>
        </w:rPr>
        <w:t xml:space="preserve">, </w:t>
      </w:r>
      <w:proofErr w:type="spellStart"/>
      <w:r w:rsidRPr="00E551D9">
        <w:rPr>
          <w:lang w:val="en-GB"/>
        </w:rPr>
        <w:t>volcap</w:t>
      </w:r>
      <w:proofErr w:type="spellEnd"/>
      <w:r w:rsidRPr="00E551D9">
        <w:rPr>
          <w:lang w:val="en-GB"/>
        </w:rPr>
        <w:t xml:space="preserve"> ratios are classified into the levels of services.</w:t>
      </w:r>
    </w:p>
    <w:p w14:paraId="17352C2B" w14:textId="77777777" w:rsidR="00E551D9" w:rsidRPr="00E551D9" w:rsidRDefault="00E551D9" w:rsidP="007E7F83">
      <w:pPr>
        <w:spacing w:after="0" w:line="240" w:lineRule="auto"/>
        <w:ind w:firstLine="284"/>
        <w:jc w:val="both"/>
        <w:rPr>
          <w:lang w:val="en-GB"/>
        </w:rPr>
      </w:pPr>
    </w:p>
    <w:p w14:paraId="4307DA81" w14:textId="7E7400A7" w:rsidR="0002145A" w:rsidRPr="00E551D9" w:rsidRDefault="0002145A" w:rsidP="007E7F83">
      <w:pPr>
        <w:pStyle w:val="Rtab"/>
      </w:pPr>
      <w:r w:rsidRPr="00E551D9">
        <w:rPr>
          <w:b/>
        </w:rPr>
        <w:t>Tab</w:t>
      </w:r>
      <w:r w:rsidR="00E551D9">
        <w:rPr>
          <w:b/>
        </w:rPr>
        <w:t>le</w:t>
      </w:r>
      <w:r w:rsidR="00F50DA1" w:rsidRPr="00E551D9">
        <w:rPr>
          <w:b/>
        </w:rPr>
        <w:t xml:space="preserve"> 1.</w:t>
      </w:r>
      <w:r w:rsidR="00F50DA1" w:rsidRPr="00E551D9">
        <w:t xml:space="preserve"> </w:t>
      </w:r>
      <w:r w:rsidR="001E6736" w:rsidRPr="00E551D9">
        <w:t xml:space="preserve">Level of service </w:t>
      </w:r>
      <w:proofErr w:type="spellStart"/>
      <w:r w:rsidR="001E6736" w:rsidRPr="00E551D9">
        <w:t>according</w:t>
      </w:r>
      <w:proofErr w:type="spellEnd"/>
      <w:r w:rsidR="001E6736" w:rsidRPr="00E551D9">
        <w:t xml:space="preserve"> to </w:t>
      </w:r>
      <w:r w:rsidR="003B09B1">
        <w:t xml:space="preserve">the </w:t>
      </w:r>
      <w:proofErr w:type="spellStart"/>
      <w:r w:rsidR="001E6736" w:rsidRPr="00E551D9">
        <w:t>Volcap</w:t>
      </w:r>
      <w:proofErr w:type="spellEnd"/>
      <w:r w:rsidR="001E6736" w:rsidRPr="00E551D9">
        <w:t xml:space="preserve"> ratio in the model</w:t>
      </w:r>
    </w:p>
    <w:tbl>
      <w:tblPr>
        <w:tblStyle w:val="Tabela-Siatka"/>
        <w:tblW w:w="0" w:type="auto"/>
        <w:jc w:val="center"/>
        <w:tblLook w:val="04A0" w:firstRow="1" w:lastRow="0" w:firstColumn="1" w:lastColumn="0" w:noHBand="0" w:noVBand="1"/>
      </w:tblPr>
      <w:tblGrid>
        <w:gridCol w:w="2340"/>
        <w:gridCol w:w="1954"/>
        <w:gridCol w:w="2023"/>
      </w:tblGrid>
      <w:tr w:rsidR="0035359D" w:rsidRPr="00E551D9" w14:paraId="20263B67" w14:textId="77777777" w:rsidTr="00F6615F">
        <w:trPr>
          <w:trHeight w:val="397"/>
          <w:jc w:val="center"/>
        </w:trPr>
        <w:tc>
          <w:tcPr>
            <w:tcW w:w="2340" w:type="dxa"/>
            <w:vAlign w:val="center"/>
          </w:tcPr>
          <w:p w14:paraId="05D471AE" w14:textId="77777777" w:rsidR="0035359D" w:rsidRPr="00E551D9" w:rsidRDefault="0035359D" w:rsidP="00F6615F">
            <w:pPr>
              <w:jc w:val="center"/>
              <w:rPr>
                <w:sz w:val="20"/>
                <w:szCs w:val="20"/>
                <w:lang w:val="en-GB"/>
              </w:rPr>
            </w:pPr>
            <w:proofErr w:type="spellStart"/>
            <w:r w:rsidRPr="00E551D9">
              <w:rPr>
                <w:sz w:val="20"/>
                <w:szCs w:val="20"/>
                <w:lang w:val="en-GB"/>
              </w:rPr>
              <w:t>Volcap</w:t>
            </w:r>
            <w:proofErr w:type="spellEnd"/>
            <w:r w:rsidRPr="00E551D9">
              <w:rPr>
                <w:sz w:val="20"/>
                <w:szCs w:val="20"/>
                <w:lang w:val="en-GB"/>
              </w:rPr>
              <w:t xml:space="preserve"> ratio from</w:t>
            </w:r>
          </w:p>
        </w:tc>
        <w:tc>
          <w:tcPr>
            <w:tcW w:w="1954" w:type="dxa"/>
            <w:vAlign w:val="center"/>
          </w:tcPr>
          <w:p w14:paraId="4219CA8C" w14:textId="77777777" w:rsidR="0035359D" w:rsidRPr="00E551D9" w:rsidRDefault="0035359D" w:rsidP="00F6615F">
            <w:pPr>
              <w:jc w:val="center"/>
              <w:rPr>
                <w:sz w:val="20"/>
                <w:szCs w:val="20"/>
                <w:lang w:val="en-GB"/>
              </w:rPr>
            </w:pPr>
            <w:proofErr w:type="spellStart"/>
            <w:r w:rsidRPr="00E551D9">
              <w:rPr>
                <w:sz w:val="20"/>
                <w:szCs w:val="20"/>
                <w:lang w:val="en-GB"/>
              </w:rPr>
              <w:t>Volcap</w:t>
            </w:r>
            <w:proofErr w:type="spellEnd"/>
            <w:r w:rsidRPr="00E551D9">
              <w:rPr>
                <w:sz w:val="20"/>
                <w:szCs w:val="20"/>
                <w:lang w:val="en-GB"/>
              </w:rPr>
              <w:t xml:space="preserve"> ratio to</w:t>
            </w:r>
          </w:p>
        </w:tc>
        <w:tc>
          <w:tcPr>
            <w:tcW w:w="2023" w:type="dxa"/>
            <w:vAlign w:val="center"/>
          </w:tcPr>
          <w:p w14:paraId="727C2862" w14:textId="77777777" w:rsidR="0035359D" w:rsidRPr="00E551D9" w:rsidRDefault="0035359D" w:rsidP="00F6615F">
            <w:pPr>
              <w:jc w:val="center"/>
              <w:rPr>
                <w:sz w:val="20"/>
                <w:szCs w:val="20"/>
                <w:lang w:val="en-GB"/>
              </w:rPr>
            </w:pPr>
            <w:r w:rsidRPr="00E551D9">
              <w:rPr>
                <w:sz w:val="20"/>
                <w:szCs w:val="20"/>
                <w:lang w:val="en-GB"/>
              </w:rPr>
              <w:t>Level of service</w:t>
            </w:r>
          </w:p>
        </w:tc>
      </w:tr>
      <w:tr w:rsidR="0035359D" w:rsidRPr="00E551D9" w14:paraId="32363189" w14:textId="77777777" w:rsidTr="00F6615F">
        <w:trPr>
          <w:trHeight w:val="283"/>
          <w:jc w:val="center"/>
        </w:trPr>
        <w:tc>
          <w:tcPr>
            <w:tcW w:w="2340" w:type="dxa"/>
            <w:vAlign w:val="center"/>
          </w:tcPr>
          <w:p w14:paraId="75C1A55F" w14:textId="77777777" w:rsidR="0035359D" w:rsidRPr="00E551D9" w:rsidRDefault="0035359D" w:rsidP="00F6615F">
            <w:pPr>
              <w:jc w:val="center"/>
              <w:rPr>
                <w:sz w:val="20"/>
                <w:szCs w:val="20"/>
                <w:lang w:val="en-GB"/>
              </w:rPr>
            </w:pPr>
            <w:r w:rsidRPr="00E551D9">
              <w:rPr>
                <w:sz w:val="20"/>
                <w:szCs w:val="20"/>
                <w:lang w:val="en-GB"/>
              </w:rPr>
              <w:t>&gt;=0</w:t>
            </w:r>
          </w:p>
        </w:tc>
        <w:tc>
          <w:tcPr>
            <w:tcW w:w="1954" w:type="dxa"/>
            <w:vAlign w:val="center"/>
          </w:tcPr>
          <w:p w14:paraId="20F22E3E" w14:textId="77777777" w:rsidR="0035359D" w:rsidRPr="00E551D9" w:rsidRDefault="0035359D" w:rsidP="00F6615F">
            <w:pPr>
              <w:jc w:val="center"/>
              <w:rPr>
                <w:sz w:val="20"/>
                <w:szCs w:val="20"/>
                <w:lang w:val="en-GB"/>
              </w:rPr>
            </w:pPr>
            <w:r w:rsidRPr="00E551D9">
              <w:rPr>
                <w:sz w:val="20"/>
                <w:szCs w:val="20"/>
                <w:lang w:val="en-GB"/>
              </w:rPr>
              <w:t>&lt;0,3</w:t>
            </w:r>
          </w:p>
        </w:tc>
        <w:tc>
          <w:tcPr>
            <w:tcW w:w="2023" w:type="dxa"/>
            <w:vAlign w:val="center"/>
          </w:tcPr>
          <w:p w14:paraId="05E4B667" w14:textId="77777777" w:rsidR="0035359D" w:rsidRPr="00E551D9" w:rsidRDefault="0035359D" w:rsidP="00F6615F">
            <w:pPr>
              <w:jc w:val="center"/>
              <w:rPr>
                <w:sz w:val="20"/>
                <w:szCs w:val="20"/>
                <w:lang w:val="en-GB"/>
              </w:rPr>
            </w:pPr>
            <w:r w:rsidRPr="00E551D9">
              <w:rPr>
                <w:sz w:val="20"/>
                <w:szCs w:val="20"/>
                <w:lang w:val="en-GB"/>
              </w:rPr>
              <w:t>1</w:t>
            </w:r>
          </w:p>
        </w:tc>
      </w:tr>
      <w:tr w:rsidR="0035359D" w:rsidRPr="00E551D9" w14:paraId="2B0EF603" w14:textId="77777777" w:rsidTr="00F6615F">
        <w:trPr>
          <w:trHeight w:val="283"/>
          <w:jc w:val="center"/>
        </w:trPr>
        <w:tc>
          <w:tcPr>
            <w:tcW w:w="2340" w:type="dxa"/>
            <w:vAlign w:val="center"/>
          </w:tcPr>
          <w:p w14:paraId="64171D60" w14:textId="77777777" w:rsidR="0035359D" w:rsidRPr="00E551D9" w:rsidRDefault="0035359D" w:rsidP="00F6615F">
            <w:pPr>
              <w:jc w:val="center"/>
              <w:rPr>
                <w:sz w:val="20"/>
                <w:szCs w:val="20"/>
                <w:lang w:val="en-GB"/>
              </w:rPr>
            </w:pPr>
            <w:r w:rsidRPr="00E551D9">
              <w:rPr>
                <w:sz w:val="20"/>
                <w:szCs w:val="20"/>
                <w:lang w:val="en-GB"/>
              </w:rPr>
              <w:t>&gt;=0,3</w:t>
            </w:r>
          </w:p>
        </w:tc>
        <w:tc>
          <w:tcPr>
            <w:tcW w:w="1954" w:type="dxa"/>
            <w:vAlign w:val="center"/>
          </w:tcPr>
          <w:p w14:paraId="65CEC616" w14:textId="77777777" w:rsidR="0035359D" w:rsidRPr="00E551D9" w:rsidRDefault="0035359D" w:rsidP="00F6615F">
            <w:pPr>
              <w:jc w:val="center"/>
              <w:rPr>
                <w:sz w:val="20"/>
                <w:szCs w:val="20"/>
                <w:lang w:val="en-GB"/>
              </w:rPr>
            </w:pPr>
            <w:r w:rsidRPr="00E551D9">
              <w:rPr>
                <w:sz w:val="20"/>
                <w:szCs w:val="20"/>
                <w:lang w:val="en-GB"/>
              </w:rPr>
              <w:t>&lt;0,75</w:t>
            </w:r>
          </w:p>
        </w:tc>
        <w:tc>
          <w:tcPr>
            <w:tcW w:w="2023" w:type="dxa"/>
            <w:vAlign w:val="center"/>
          </w:tcPr>
          <w:p w14:paraId="48922E81" w14:textId="77777777" w:rsidR="0035359D" w:rsidRPr="00E551D9" w:rsidRDefault="0035359D" w:rsidP="00F6615F">
            <w:pPr>
              <w:jc w:val="center"/>
              <w:rPr>
                <w:sz w:val="20"/>
                <w:szCs w:val="20"/>
                <w:lang w:val="en-GB"/>
              </w:rPr>
            </w:pPr>
            <w:r w:rsidRPr="00E551D9">
              <w:rPr>
                <w:sz w:val="20"/>
                <w:szCs w:val="20"/>
                <w:lang w:val="en-GB"/>
              </w:rPr>
              <w:t>2</w:t>
            </w:r>
          </w:p>
        </w:tc>
      </w:tr>
      <w:tr w:rsidR="0035359D" w:rsidRPr="00E551D9" w14:paraId="1123C7E4" w14:textId="77777777" w:rsidTr="00F6615F">
        <w:trPr>
          <w:trHeight w:val="283"/>
          <w:jc w:val="center"/>
        </w:trPr>
        <w:tc>
          <w:tcPr>
            <w:tcW w:w="2340" w:type="dxa"/>
            <w:vAlign w:val="center"/>
          </w:tcPr>
          <w:p w14:paraId="7800A12F" w14:textId="77777777" w:rsidR="0035359D" w:rsidRPr="00E551D9" w:rsidRDefault="0035359D" w:rsidP="00F6615F">
            <w:pPr>
              <w:jc w:val="center"/>
              <w:rPr>
                <w:sz w:val="20"/>
                <w:szCs w:val="20"/>
                <w:lang w:val="en-GB"/>
              </w:rPr>
            </w:pPr>
            <w:r w:rsidRPr="00E551D9">
              <w:rPr>
                <w:sz w:val="20"/>
                <w:szCs w:val="20"/>
                <w:lang w:val="en-GB"/>
              </w:rPr>
              <w:t>&gt;=0,75</w:t>
            </w:r>
          </w:p>
        </w:tc>
        <w:tc>
          <w:tcPr>
            <w:tcW w:w="1954" w:type="dxa"/>
            <w:vAlign w:val="center"/>
          </w:tcPr>
          <w:p w14:paraId="4B348EF2" w14:textId="77777777" w:rsidR="0035359D" w:rsidRPr="00E551D9" w:rsidRDefault="0035359D" w:rsidP="00F6615F">
            <w:pPr>
              <w:jc w:val="center"/>
              <w:rPr>
                <w:sz w:val="20"/>
                <w:szCs w:val="20"/>
                <w:lang w:val="en-GB"/>
              </w:rPr>
            </w:pPr>
            <w:r w:rsidRPr="00E551D9">
              <w:rPr>
                <w:sz w:val="20"/>
                <w:szCs w:val="20"/>
                <w:lang w:val="en-GB"/>
              </w:rPr>
              <w:t>&lt;0,85</w:t>
            </w:r>
          </w:p>
        </w:tc>
        <w:tc>
          <w:tcPr>
            <w:tcW w:w="2023" w:type="dxa"/>
            <w:vAlign w:val="center"/>
          </w:tcPr>
          <w:p w14:paraId="3A5CB1F5" w14:textId="77777777" w:rsidR="0035359D" w:rsidRPr="00E551D9" w:rsidRDefault="0035359D" w:rsidP="00F6615F">
            <w:pPr>
              <w:jc w:val="center"/>
              <w:rPr>
                <w:sz w:val="20"/>
                <w:szCs w:val="20"/>
                <w:lang w:val="en-GB"/>
              </w:rPr>
            </w:pPr>
            <w:r w:rsidRPr="00E551D9">
              <w:rPr>
                <w:sz w:val="20"/>
                <w:szCs w:val="20"/>
                <w:lang w:val="en-GB"/>
              </w:rPr>
              <w:t>3</w:t>
            </w:r>
          </w:p>
        </w:tc>
      </w:tr>
      <w:tr w:rsidR="0035359D" w:rsidRPr="00E551D9" w14:paraId="5DC7D4ED" w14:textId="77777777" w:rsidTr="00F6615F">
        <w:trPr>
          <w:trHeight w:val="283"/>
          <w:jc w:val="center"/>
        </w:trPr>
        <w:tc>
          <w:tcPr>
            <w:tcW w:w="2340" w:type="dxa"/>
            <w:vAlign w:val="center"/>
          </w:tcPr>
          <w:p w14:paraId="24B83F09" w14:textId="77777777" w:rsidR="0035359D" w:rsidRPr="00E551D9" w:rsidRDefault="0035359D" w:rsidP="00F6615F">
            <w:pPr>
              <w:jc w:val="center"/>
              <w:rPr>
                <w:sz w:val="20"/>
                <w:szCs w:val="20"/>
                <w:lang w:val="en-GB"/>
              </w:rPr>
            </w:pPr>
            <w:r w:rsidRPr="00E551D9">
              <w:rPr>
                <w:sz w:val="20"/>
                <w:szCs w:val="20"/>
                <w:lang w:val="en-GB"/>
              </w:rPr>
              <w:t>&gt;=0,85</w:t>
            </w:r>
          </w:p>
        </w:tc>
        <w:tc>
          <w:tcPr>
            <w:tcW w:w="1954" w:type="dxa"/>
            <w:vAlign w:val="center"/>
          </w:tcPr>
          <w:p w14:paraId="4B570181" w14:textId="77777777" w:rsidR="0035359D" w:rsidRPr="00E551D9" w:rsidRDefault="0035359D" w:rsidP="00F6615F">
            <w:pPr>
              <w:jc w:val="center"/>
              <w:rPr>
                <w:sz w:val="20"/>
                <w:szCs w:val="20"/>
                <w:lang w:val="en-GB"/>
              </w:rPr>
            </w:pPr>
            <w:r w:rsidRPr="00E551D9">
              <w:rPr>
                <w:sz w:val="20"/>
                <w:szCs w:val="20"/>
                <w:lang w:val="en-GB"/>
              </w:rPr>
              <w:t>&lt;1</w:t>
            </w:r>
          </w:p>
        </w:tc>
        <w:tc>
          <w:tcPr>
            <w:tcW w:w="2023" w:type="dxa"/>
            <w:vAlign w:val="center"/>
          </w:tcPr>
          <w:p w14:paraId="63E18568" w14:textId="77777777" w:rsidR="0035359D" w:rsidRPr="00E551D9" w:rsidRDefault="0035359D" w:rsidP="00F6615F">
            <w:pPr>
              <w:jc w:val="center"/>
              <w:rPr>
                <w:sz w:val="20"/>
                <w:szCs w:val="20"/>
                <w:lang w:val="en-GB"/>
              </w:rPr>
            </w:pPr>
            <w:r w:rsidRPr="00E551D9">
              <w:rPr>
                <w:sz w:val="20"/>
                <w:szCs w:val="20"/>
                <w:lang w:val="en-GB"/>
              </w:rPr>
              <w:t>4</w:t>
            </w:r>
          </w:p>
        </w:tc>
      </w:tr>
      <w:tr w:rsidR="0035359D" w:rsidRPr="00E551D9" w14:paraId="5E8C8694" w14:textId="77777777" w:rsidTr="00F6615F">
        <w:trPr>
          <w:trHeight w:val="283"/>
          <w:jc w:val="center"/>
        </w:trPr>
        <w:tc>
          <w:tcPr>
            <w:tcW w:w="2340" w:type="dxa"/>
            <w:vAlign w:val="center"/>
          </w:tcPr>
          <w:p w14:paraId="56406263" w14:textId="77777777" w:rsidR="0035359D" w:rsidRPr="00E551D9" w:rsidRDefault="0035359D" w:rsidP="00F6615F">
            <w:pPr>
              <w:jc w:val="center"/>
              <w:rPr>
                <w:sz w:val="20"/>
                <w:szCs w:val="20"/>
                <w:lang w:val="en-GB"/>
              </w:rPr>
            </w:pPr>
            <w:r w:rsidRPr="00E551D9">
              <w:rPr>
                <w:sz w:val="20"/>
                <w:szCs w:val="20"/>
                <w:lang w:val="en-GB"/>
              </w:rPr>
              <w:t>&gt;=1</w:t>
            </w:r>
          </w:p>
        </w:tc>
        <w:tc>
          <w:tcPr>
            <w:tcW w:w="1954" w:type="dxa"/>
            <w:vAlign w:val="center"/>
          </w:tcPr>
          <w:p w14:paraId="7F0B4514" w14:textId="77777777" w:rsidR="0035359D" w:rsidRPr="00E551D9" w:rsidRDefault="0035359D" w:rsidP="00F6615F">
            <w:pPr>
              <w:jc w:val="center"/>
              <w:rPr>
                <w:sz w:val="20"/>
                <w:szCs w:val="20"/>
                <w:lang w:val="en-GB"/>
              </w:rPr>
            </w:pPr>
          </w:p>
        </w:tc>
        <w:tc>
          <w:tcPr>
            <w:tcW w:w="2023" w:type="dxa"/>
            <w:vAlign w:val="center"/>
          </w:tcPr>
          <w:p w14:paraId="6E661DA7" w14:textId="77777777" w:rsidR="0035359D" w:rsidRPr="00E551D9" w:rsidRDefault="0035359D" w:rsidP="00F6615F">
            <w:pPr>
              <w:jc w:val="center"/>
              <w:rPr>
                <w:sz w:val="20"/>
                <w:szCs w:val="20"/>
                <w:lang w:val="en-GB"/>
              </w:rPr>
            </w:pPr>
            <w:r w:rsidRPr="00E551D9">
              <w:rPr>
                <w:sz w:val="20"/>
                <w:szCs w:val="20"/>
                <w:lang w:val="en-GB"/>
              </w:rPr>
              <w:t>5</w:t>
            </w:r>
          </w:p>
        </w:tc>
      </w:tr>
    </w:tbl>
    <w:p w14:paraId="2266EE51" w14:textId="77777777" w:rsidR="00F6615F" w:rsidRDefault="00F6615F" w:rsidP="007E7F83">
      <w:pPr>
        <w:spacing w:after="0" w:line="240" w:lineRule="auto"/>
        <w:ind w:firstLine="284"/>
        <w:jc w:val="both"/>
        <w:rPr>
          <w:rFonts w:eastAsia="Aptos" w:cs="Times New Roman"/>
          <w:lang w:val="en-GB"/>
        </w:rPr>
      </w:pPr>
    </w:p>
    <w:p w14:paraId="20B1BB65" w14:textId="68A8B245" w:rsidR="0035359D" w:rsidRDefault="0035359D" w:rsidP="007E7F83">
      <w:pPr>
        <w:spacing w:after="0" w:line="240" w:lineRule="auto"/>
        <w:ind w:firstLine="284"/>
        <w:jc w:val="both"/>
        <w:rPr>
          <w:rFonts w:eastAsia="Aptos" w:cs="Times New Roman"/>
          <w:lang w:val="en-GB"/>
        </w:rPr>
      </w:pPr>
      <w:r w:rsidRPr="00E551D9">
        <w:rPr>
          <w:rFonts w:eastAsia="Aptos" w:cs="Times New Roman"/>
          <w:lang w:val="en-GB"/>
        </w:rPr>
        <w:t xml:space="preserve">In </w:t>
      </w:r>
      <w:r w:rsidR="00C653EB" w:rsidRPr="00E551D9">
        <w:rPr>
          <w:rFonts w:eastAsia="Aptos" w:cs="Times New Roman"/>
          <w:lang w:val="en-GB"/>
        </w:rPr>
        <w:t>Figure</w:t>
      </w:r>
      <w:r w:rsidR="00CC3706" w:rsidRPr="00E551D9">
        <w:rPr>
          <w:rFonts w:eastAsia="Aptos" w:cs="Times New Roman"/>
          <w:lang w:val="en-GB"/>
        </w:rPr>
        <w:t xml:space="preserve"> </w:t>
      </w:r>
      <w:r w:rsidR="008C5FB0" w:rsidRPr="00E551D9">
        <w:rPr>
          <w:rFonts w:eastAsia="Aptos" w:cs="Times New Roman"/>
          <w:lang w:val="en-GB"/>
        </w:rPr>
        <w:t>4</w:t>
      </w:r>
      <w:r w:rsidR="003B09B1">
        <w:rPr>
          <w:rFonts w:eastAsia="Aptos" w:cs="Times New Roman"/>
          <w:lang w:val="en-GB"/>
        </w:rPr>
        <w:t>,</w:t>
      </w:r>
      <w:r w:rsidR="008C5FB0" w:rsidRPr="00E551D9">
        <w:rPr>
          <w:rFonts w:eastAsia="Aptos" w:cs="Times New Roman"/>
          <w:lang w:val="en-GB"/>
        </w:rPr>
        <w:t xml:space="preserve"> </w:t>
      </w:r>
      <w:r w:rsidRPr="00E551D9">
        <w:rPr>
          <w:rFonts w:eastAsia="Aptos" w:cs="Times New Roman"/>
          <w:lang w:val="en-GB"/>
        </w:rPr>
        <w:t xml:space="preserve">a share of the </w:t>
      </w:r>
      <w:proofErr w:type="spellStart"/>
      <w:r w:rsidR="004D0B5E" w:rsidRPr="00E551D9">
        <w:rPr>
          <w:rFonts w:eastAsia="Aptos" w:cs="Times New Roman"/>
          <w:lang w:val="en-GB"/>
        </w:rPr>
        <w:t>LoS</w:t>
      </w:r>
      <w:proofErr w:type="spellEnd"/>
      <w:r w:rsidRPr="00E551D9">
        <w:rPr>
          <w:rFonts w:eastAsia="Aptos" w:cs="Times New Roman"/>
          <w:lang w:val="en-GB"/>
        </w:rPr>
        <w:t xml:space="preserve"> </w:t>
      </w:r>
      <w:r w:rsidR="00A340B7" w:rsidRPr="00E551D9">
        <w:rPr>
          <w:rFonts w:eastAsia="Aptos" w:cs="Times New Roman"/>
          <w:lang w:val="en-GB"/>
        </w:rPr>
        <w:t>in each</w:t>
      </w:r>
      <w:r w:rsidRPr="00E551D9">
        <w:rPr>
          <w:rFonts w:eastAsia="Aptos" w:cs="Times New Roman"/>
          <w:lang w:val="en-GB"/>
        </w:rPr>
        <w:t xml:space="preserve"> road class is shown. </w:t>
      </w:r>
      <w:r w:rsidR="004A2967" w:rsidRPr="00E551D9">
        <w:rPr>
          <w:rFonts w:eastAsia="Aptos" w:cs="Times New Roman"/>
          <w:lang w:val="en-GB"/>
        </w:rPr>
        <w:t xml:space="preserve">According to the data, </w:t>
      </w:r>
      <w:r w:rsidR="00882333" w:rsidRPr="00E551D9">
        <w:rPr>
          <w:rFonts w:eastAsia="Aptos" w:cs="Times New Roman"/>
          <w:lang w:val="en-GB"/>
        </w:rPr>
        <w:t xml:space="preserve">highways and expressways tend to have a </w:t>
      </w:r>
      <w:proofErr w:type="spellStart"/>
      <w:r w:rsidR="00882333" w:rsidRPr="00E551D9">
        <w:rPr>
          <w:rFonts w:eastAsia="Aptos" w:cs="Times New Roman"/>
          <w:lang w:val="en-GB"/>
        </w:rPr>
        <w:t>LoS</w:t>
      </w:r>
      <w:proofErr w:type="spellEnd"/>
      <w:r w:rsidR="00882333" w:rsidRPr="00E551D9">
        <w:rPr>
          <w:rFonts w:eastAsia="Aptos" w:cs="Times New Roman"/>
          <w:lang w:val="en-GB"/>
        </w:rPr>
        <w:t xml:space="preserve"> 5, meaning congestion. </w:t>
      </w:r>
      <w:r w:rsidR="00DE6FAC" w:rsidRPr="00E551D9">
        <w:rPr>
          <w:rFonts w:eastAsia="Aptos" w:cs="Times New Roman"/>
          <w:lang w:val="en-GB"/>
        </w:rPr>
        <w:t>However, a majority of the highways ha</w:t>
      </w:r>
      <w:r w:rsidR="003B09B1">
        <w:rPr>
          <w:rFonts w:eastAsia="Aptos" w:cs="Times New Roman"/>
          <w:lang w:val="en-GB"/>
        </w:rPr>
        <w:t>ve</w:t>
      </w:r>
      <w:r w:rsidR="00DE6FAC" w:rsidRPr="00E551D9">
        <w:rPr>
          <w:rFonts w:eastAsia="Aptos" w:cs="Times New Roman"/>
          <w:lang w:val="en-GB"/>
        </w:rPr>
        <w:t xml:space="preserve"> the remaining traffic </w:t>
      </w:r>
      <w:proofErr w:type="spellStart"/>
      <w:r w:rsidR="00DE6FAC" w:rsidRPr="00E551D9">
        <w:rPr>
          <w:rFonts w:eastAsia="Aptos" w:cs="Times New Roman"/>
          <w:lang w:val="en-GB"/>
        </w:rPr>
        <w:t>Lo</w:t>
      </w:r>
      <w:r w:rsidR="004D0B5E" w:rsidRPr="00E551D9">
        <w:rPr>
          <w:rFonts w:eastAsia="Aptos" w:cs="Times New Roman"/>
          <w:lang w:val="en-GB"/>
        </w:rPr>
        <w:t>S</w:t>
      </w:r>
      <w:proofErr w:type="spellEnd"/>
      <w:r w:rsidR="00DE6FAC" w:rsidRPr="00E551D9">
        <w:rPr>
          <w:rFonts w:eastAsia="Aptos" w:cs="Times New Roman"/>
          <w:lang w:val="en-GB"/>
        </w:rPr>
        <w:t xml:space="preserve"> in levels 1 and 2, </w:t>
      </w:r>
      <w:r w:rsidR="00125151" w:rsidRPr="00E551D9">
        <w:rPr>
          <w:rFonts w:eastAsia="Aptos" w:cs="Times New Roman"/>
          <w:lang w:val="en-GB"/>
        </w:rPr>
        <w:t xml:space="preserve">indicating uninterrupted traffic. The lowest share </w:t>
      </w:r>
      <w:r w:rsidR="004E5C7B" w:rsidRPr="00E551D9">
        <w:rPr>
          <w:rFonts w:eastAsia="Aptos" w:cs="Times New Roman"/>
          <w:lang w:val="en-GB"/>
        </w:rPr>
        <w:t xml:space="preserve">of </w:t>
      </w:r>
      <w:proofErr w:type="spellStart"/>
      <w:r w:rsidR="003B09B1">
        <w:rPr>
          <w:rFonts w:eastAsia="Aptos" w:cs="Times New Roman"/>
          <w:lang w:val="en-GB"/>
        </w:rPr>
        <w:t>LoS</w:t>
      </w:r>
      <w:proofErr w:type="spellEnd"/>
      <w:r w:rsidR="003B09B1">
        <w:rPr>
          <w:rFonts w:eastAsia="Aptos" w:cs="Times New Roman"/>
          <w:lang w:val="en-GB"/>
        </w:rPr>
        <w:t xml:space="preserve"> 1 is in G-class (main roads), which is important given that the majority of traffic uses roads in</w:t>
      </w:r>
      <w:r w:rsidR="00713E3C" w:rsidRPr="00E551D9">
        <w:rPr>
          <w:rFonts w:eastAsia="Aptos" w:cs="Times New Roman"/>
          <w:lang w:val="en-GB"/>
        </w:rPr>
        <w:t xml:space="preserve"> those classes.</w:t>
      </w:r>
    </w:p>
    <w:p w14:paraId="13132AA4" w14:textId="77777777" w:rsidR="006039DD" w:rsidRPr="00E551D9" w:rsidRDefault="006039DD" w:rsidP="007E7F83">
      <w:pPr>
        <w:spacing w:after="0" w:line="240" w:lineRule="auto"/>
        <w:jc w:val="center"/>
        <w:rPr>
          <w:rFonts w:ascii="Aptos" w:eastAsia="Aptos" w:hAnsi="Aptos" w:cs="Aptos"/>
          <w:lang w:val="en-GB"/>
        </w:rPr>
      </w:pPr>
      <w:r w:rsidRPr="00E551D9">
        <w:rPr>
          <w:noProof/>
          <w:lang w:val="en-GB" w:eastAsia="pl-PL"/>
        </w:rPr>
        <w:lastRenderedPageBreak/>
        <w:drawing>
          <wp:inline distT="0" distB="0" distL="0" distR="0" wp14:anchorId="74FB3DB9" wp14:editId="5DD6FB14">
            <wp:extent cx="4654550" cy="3009900"/>
            <wp:effectExtent l="0" t="0" r="12700" b="0"/>
            <wp:docPr id="1139415917" name="Wykres 1">
              <a:extLst xmlns:a="http://schemas.openxmlformats.org/drawingml/2006/main">
                <a:ext uri="{FF2B5EF4-FFF2-40B4-BE49-F238E27FC236}">
                  <a16:creationId xmlns:a16="http://schemas.microsoft.com/office/drawing/2014/main" id="{5CBA4088-1E61-4093-87CE-E2170F0D1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5780F6" w14:textId="77777777" w:rsidR="006039DD" w:rsidRPr="00E551D9" w:rsidRDefault="006039DD" w:rsidP="007E7F83">
      <w:pPr>
        <w:pStyle w:val="Rrys"/>
      </w:pPr>
      <w:r w:rsidRPr="00E551D9">
        <w:rPr>
          <w:b/>
        </w:rPr>
        <w:t>Fig. 4.</w:t>
      </w:r>
      <w:r w:rsidRPr="00E551D9">
        <w:t xml:space="preserve"> Share of level of service in each road class</w:t>
      </w:r>
    </w:p>
    <w:p w14:paraId="0CD1E0F1" w14:textId="77777777" w:rsidR="0034788B" w:rsidRPr="00F6615F" w:rsidRDefault="0034788B" w:rsidP="00F6615F">
      <w:pPr>
        <w:pStyle w:val="Rn3"/>
      </w:pPr>
      <w:r w:rsidRPr="00F6615F">
        <w:t>3.1.3. Traffic zones description</w:t>
      </w:r>
    </w:p>
    <w:p w14:paraId="39C9C686" w14:textId="4D446ECF" w:rsidR="0034788B" w:rsidRPr="00E551D9" w:rsidRDefault="0034788B" w:rsidP="007E7F83">
      <w:pPr>
        <w:spacing w:after="0" w:line="240" w:lineRule="auto"/>
        <w:ind w:firstLine="284"/>
        <w:jc w:val="both"/>
        <w:rPr>
          <w:lang w:val="en-GB"/>
        </w:rPr>
      </w:pPr>
      <w:r w:rsidRPr="00E551D9">
        <w:rPr>
          <w:lang w:val="en-GB"/>
        </w:rPr>
        <w:t>Traffic zone</w:t>
      </w:r>
      <w:r w:rsidR="003B09B1">
        <w:rPr>
          <w:lang w:val="en-GB"/>
        </w:rPr>
        <w:t xml:space="preserve"> emission and energy consumption data have been calculated as the sum of links within</w:t>
      </w:r>
      <w:r w:rsidRPr="00E551D9">
        <w:rPr>
          <w:lang w:val="en-GB"/>
        </w:rPr>
        <w:t xml:space="preserve"> the traffic zone. </w:t>
      </w:r>
      <w:r w:rsidR="003B09B1">
        <w:rPr>
          <w:lang w:val="en-GB"/>
        </w:rPr>
        <w:t>The links have been assigned to the specific zones using spatial analysis in QGIS</w:t>
      </w:r>
      <w:r w:rsidRPr="00E551D9">
        <w:rPr>
          <w:lang w:val="en-GB"/>
        </w:rPr>
        <w:t xml:space="preserve">. Therefore, the emission and energy consumption data have the same type as for the link. However, </w:t>
      </w:r>
      <w:r w:rsidR="003B09B1">
        <w:rPr>
          <w:lang w:val="en-GB"/>
        </w:rPr>
        <w:t>to describe the zones, parameters related to traffic potential have been used to show the influence of zone development and mobility on energy consumption and pollution with</w:t>
      </w:r>
      <w:r w:rsidRPr="00E551D9">
        <w:rPr>
          <w:lang w:val="en-GB"/>
        </w:rPr>
        <w:t xml:space="preserve">in the zone. Traffic potential data have </w:t>
      </w:r>
      <w:r w:rsidR="003B09B1">
        <w:rPr>
          <w:lang w:val="en-GB"/>
        </w:rPr>
        <w:t xml:space="preserve">been </w:t>
      </w:r>
      <w:r w:rsidRPr="00E551D9">
        <w:rPr>
          <w:lang w:val="en-GB"/>
        </w:rPr>
        <w:t>aggregated into categories based on motivation</w:t>
      </w:r>
      <w:r w:rsidR="003B09B1">
        <w:rPr>
          <w:lang w:val="en-GB"/>
        </w:rPr>
        <w:t xml:space="preserve"> and</w:t>
      </w:r>
      <w:r w:rsidRPr="00E551D9">
        <w:rPr>
          <w:lang w:val="en-GB"/>
        </w:rPr>
        <w:t xml:space="preserve"> divided into two groups: passenger and cargo traffic. Passenger traffic includes trips generated by residential areas, workplaces, schools, universities, and other everyday activities. Cargo traffic, in turn, arises from functions such as warehouses and wholesale facilities, trade and retail establishments, manufacturing units, logistics centres, as well as other freight-related activities.</w:t>
      </w:r>
    </w:p>
    <w:p w14:paraId="0F77A788" w14:textId="1C1F802B" w:rsidR="0035359D" w:rsidRPr="00E551D9" w:rsidRDefault="0035359D" w:rsidP="007E7F83">
      <w:pPr>
        <w:spacing w:after="0" w:line="240" w:lineRule="auto"/>
        <w:ind w:firstLine="284"/>
        <w:jc w:val="both"/>
        <w:rPr>
          <w:lang w:val="en-GB"/>
        </w:rPr>
      </w:pPr>
      <w:r w:rsidRPr="00E551D9">
        <w:rPr>
          <w:lang w:val="en-GB"/>
        </w:rPr>
        <w:t xml:space="preserve">Traffic potentials have </w:t>
      </w:r>
      <w:r w:rsidR="003B09B1">
        <w:rPr>
          <w:lang w:val="en-GB"/>
        </w:rPr>
        <w:t>also been</w:t>
      </w:r>
      <w:r w:rsidRPr="00E551D9">
        <w:rPr>
          <w:lang w:val="en-GB"/>
        </w:rPr>
        <w:t xml:space="preserve"> summed up for each zone to estimate </w:t>
      </w:r>
      <w:r w:rsidR="003B09B1">
        <w:rPr>
          <w:lang w:val="en-GB"/>
        </w:rPr>
        <w:t>the</w:t>
      </w:r>
      <w:r w:rsidRPr="00E551D9">
        <w:rPr>
          <w:lang w:val="en-GB"/>
        </w:rPr>
        <w:t xml:space="preserve"> total development of the zone</w:t>
      </w:r>
      <w:r w:rsidR="003B09B1">
        <w:rPr>
          <w:lang w:val="en-GB"/>
        </w:rPr>
        <w:t>,</w:t>
      </w:r>
      <w:r w:rsidRPr="00E551D9">
        <w:rPr>
          <w:lang w:val="en-GB"/>
        </w:rPr>
        <w:t xml:space="preserve"> </w:t>
      </w:r>
      <w:r w:rsidR="003B09B1">
        <w:rPr>
          <w:lang w:val="en-GB"/>
        </w:rPr>
        <w:t xml:space="preserve">and </w:t>
      </w:r>
      <w:r w:rsidRPr="00E551D9">
        <w:rPr>
          <w:lang w:val="en-GB"/>
        </w:rPr>
        <w:t>it was related to the zone area to estimate a development intensity. Finally, a dominating motivation of each zone ha</w:t>
      </w:r>
      <w:r w:rsidR="003B09B1">
        <w:rPr>
          <w:lang w:val="en-GB"/>
        </w:rPr>
        <w:t>s</w:t>
      </w:r>
      <w:r w:rsidRPr="00E551D9">
        <w:rPr>
          <w:lang w:val="en-GB"/>
        </w:rPr>
        <w:t xml:space="preserve"> been selected. </w:t>
      </w:r>
    </w:p>
    <w:p w14:paraId="2960D721" w14:textId="5711848C" w:rsidR="00752C7B" w:rsidRPr="00E551D9" w:rsidRDefault="00715542" w:rsidP="007E7F83">
      <w:pPr>
        <w:spacing w:after="0" w:line="240" w:lineRule="auto"/>
        <w:ind w:firstLine="284"/>
        <w:jc w:val="both"/>
        <w:rPr>
          <w:lang w:val="en-GB"/>
        </w:rPr>
      </w:pPr>
      <w:r w:rsidRPr="00E551D9">
        <w:rPr>
          <w:lang w:val="en-GB"/>
        </w:rPr>
        <w:t>Finally, to analyse energy consumption and emissions at the zone level, it was necessary to construct an indicator that distinguishes impacts generated within the zone from those resulting from vehicles merely transiting through it. For this purpose, a transit rate (TR) indicator was developed, as defined in Equation (2). Zone data include detailed trip-motivation characteristics, and the dominant trip motivations for each zone are illustrated in Figure 5.</w:t>
      </w:r>
    </w:p>
    <w:p w14:paraId="18045BC6" w14:textId="656C4D41" w:rsidR="00E4183F" w:rsidRPr="00E551D9" w:rsidRDefault="00EE70F6" w:rsidP="007E7F83">
      <w:pPr>
        <w:tabs>
          <w:tab w:val="right" w:pos="9638"/>
        </w:tabs>
        <w:spacing w:before="120" w:after="0" w:line="240" w:lineRule="auto"/>
        <w:ind w:left="4395"/>
        <w:jc w:val="right"/>
        <w:rPr>
          <w:lang w:val="en-GB"/>
        </w:rPr>
      </w:pPr>
      <w:r w:rsidRPr="00E551D9">
        <w:rPr>
          <w:rFonts w:eastAsiaTheme="minorEastAsia"/>
          <w:position w:val="-20"/>
          <w:lang w:val="en-GB"/>
        </w:rPr>
        <w:object w:dxaOrig="800" w:dyaOrig="540" w14:anchorId="3615F56C">
          <v:shape id="_x0000_i1026" type="#_x0000_t75" style="width:40.5pt;height:27.75pt" o:ole="">
            <v:imagedata r:id="rId16" o:title=""/>
          </v:shape>
          <o:OLEObject Type="Embed" ProgID="Equation.DSMT4" ShapeID="_x0000_i1026" DrawAspect="Content" ObjectID="_1827387235" r:id="rId17"/>
        </w:object>
      </w:r>
      <w:r w:rsidR="000D6762" w:rsidRPr="00E551D9">
        <w:rPr>
          <w:lang w:val="en-GB"/>
        </w:rPr>
        <w:t xml:space="preserve"> </w:t>
      </w:r>
      <w:r w:rsidR="00473BF4" w:rsidRPr="00E551D9">
        <w:rPr>
          <w:lang w:val="en-GB"/>
        </w:rPr>
        <w:tab/>
      </w:r>
      <w:r w:rsidR="00E551D9" w:rsidRPr="00E551D9">
        <w:rPr>
          <w:lang w:val="en-GB"/>
        </w:rPr>
        <w:t xml:space="preserve"> </w:t>
      </w:r>
      <w:r w:rsidR="00473BF4" w:rsidRPr="00E551D9">
        <w:rPr>
          <w:lang w:val="en-GB"/>
        </w:rPr>
        <w:t>(2)</w:t>
      </w:r>
    </w:p>
    <w:p w14:paraId="12326EBB" w14:textId="564C65E1" w:rsidR="0035359D" w:rsidRPr="00E551D9" w:rsidRDefault="00502B0C" w:rsidP="007E7F83">
      <w:pPr>
        <w:spacing w:after="0" w:line="240" w:lineRule="auto"/>
        <w:rPr>
          <w:rFonts w:eastAsiaTheme="minorEastAsia"/>
          <w:lang w:val="en-GB"/>
        </w:rPr>
      </w:pPr>
      <w:r w:rsidRPr="00E551D9">
        <w:rPr>
          <w:rFonts w:eastAsiaTheme="minorEastAsia"/>
          <w:lang w:val="en-GB"/>
        </w:rPr>
        <w:t>w</w:t>
      </w:r>
      <w:r w:rsidR="0035359D" w:rsidRPr="00E551D9">
        <w:rPr>
          <w:rFonts w:eastAsiaTheme="minorEastAsia"/>
          <w:lang w:val="en-GB"/>
        </w:rPr>
        <w:t>here:</w:t>
      </w:r>
    </w:p>
    <w:p w14:paraId="645D5875" w14:textId="77777777" w:rsidR="002641D4" w:rsidRPr="00E551D9" w:rsidRDefault="00502B0C" w:rsidP="007E7F83">
      <w:pPr>
        <w:spacing w:after="0" w:line="240" w:lineRule="auto"/>
        <w:rPr>
          <w:lang w:val="en-GB"/>
        </w:rPr>
      </w:pPr>
      <w:r w:rsidRPr="00E551D9">
        <w:rPr>
          <w:i/>
          <w:iCs/>
          <w:lang w:val="en-GB"/>
        </w:rPr>
        <w:t>TR</w:t>
      </w:r>
      <w:r w:rsidRPr="00E551D9">
        <w:rPr>
          <w:lang w:val="en-GB"/>
        </w:rPr>
        <w:t xml:space="preserve"> – trans</w:t>
      </w:r>
      <w:r w:rsidR="002641D4" w:rsidRPr="00E551D9">
        <w:rPr>
          <w:lang w:val="en-GB"/>
        </w:rPr>
        <w:t>it rate,</w:t>
      </w:r>
    </w:p>
    <w:p w14:paraId="2077A357" w14:textId="5C3113F6" w:rsidR="002641D4" w:rsidRPr="00E551D9" w:rsidRDefault="002641D4" w:rsidP="007E7F83">
      <w:pPr>
        <w:spacing w:after="0" w:line="240" w:lineRule="auto"/>
        <w:rPr>
          <w:lang w:val="en-GB"/>
        </w:rPr>
      </w:pPr>
      <w:r w:rsidRPr="00E551D9">
        <w:rPr>
          <w:i/>
          <w:iCs/>
          <w:lang w:val="en-GB"/>
        </w:rPr>
        <w:t>TK</w:t>
      </w:r>
      <w:r w:rsidRPr="00E551D9">
        <w:rPr>
          <w:lang w:val="en-GB"/>
        </w:rPr>
        <w:t xml:space="preserve"> – total kilometres travelled (sum of the vehicle kilometres in all of the links in the zone),</w:t>
      </w:r>
    </w:p>
    <w:p w14:paraId="0A7D3C02" w14:textId="5797DC28" w:rsidR="0035359D" w:rsidRPr="00E551D9" w:rsidRDefault="002641D4" w:rsidP="007E7F83">
      <w:pPr>
        <w:spacing w:after="120" w:line="240" w:lineRule="auto"/>
        <w:rPr>
          <w:lang w:val="en-GB"/>
        </w:rPr>
      </w:pPr>
      <w:r w:rsidRPr="00E551D9">
        <w:rPr>
          <w:i/>
          <w:iCs/>
          <w:lang w:val="en-GB"/>
        </w:rPr>
        <w:t>I</w:t>
      </w:r>
      <w:r w:rsidRPr="00E551D9">
        <w:rPr>
          <w:lang w:val="en-GB"/>
        </w:rPr>
        <w:t xml:space="preserve"> – intensity</w:t>
      </w:r>
      <w:r w:rsidR="00532753" w:rsidRPr="00E551D9">
        <w:rPr>
          <w:lang w:val="en-GB"/>
        </w:rPr>
        <w:t xml:space="preserve"> (s</w:t>
      </w:r>
      <w:r w:rsidRPr="00E551D9">
        <w:rPr>
          <w:lang w:val="en-GB"/>
        </w:rPr>
        <w:t>um of all motivations in the zone</w:t>
      </w:r>
      <w:r w:rsidR="00532753" w:rsidRPr="00E551D9">
        <w:rPr>
          <w:lang w:val="en-GB"/>
        </w:rPr>
        <w:t>).</w:t>
      </w:r>
    </w:p>
    <w:p w14:paraId="0173DF17" w14:textId="15D5D972" w:rsidR="0035359D" w:rsidRPr="00E551D9" w:rsidRDefault="0035359D" w:rsidP="007E7F83">
      <w:pPr>
        <w:spacing w:after="0" w:line="240" w:lineRule="auto"/>
        <w:jc w:val="center"/>
        <w:rPr>
          <w:rFonts w:ascii="Aptos" w:eastAsia="Aptos" w:hAnsi="Aptos" w:cs="Aptos"/>
          <w:lang w:val="en-GB"/>
        </w:rPr>
      </w:pPr>
      <w:r w:rsidRPr="00E551D9">
        <w:rPr>
          <w:noProof/>
          <w:lang w:val="en-GB" w:eastAsia="pl-PL"/>
        </w:rPr>
        <w:lastRenderedPageBreak/>
        <w:drawing>
          <wp:anchor distT="0" distB="0" distL="114300" distR="114300" simplePos="0" relativeHeight="251658240" behindDoc="0" locked="0" layoutInCell="1" allowOverlap="1" wp14:anchorId="52F3D72D" wp14:editId="107108AB">
            <wp:simplePos x="0" y="0"/>
            <wp:positionH relativeFrom="margin">
              <wp:posOffset>227832</wp:posOffset>
            </wp:positionH>
            <wp:positionV relativeFrom="paragraph">
              <wp:posOffset>31504</wp:posOffset>
            </wp:positionV>
            <wp:extent cx="877316" cy="895350"/>
            <wp:effectExtent l="0" t="0" r="0" b="0"/>
            <wp:wrapNone/>
            <wp:docPr id="150621151" name="Obraz 1" descr="Obraz zawierający tekst, zrzut ekranu, Wielobarwność,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1151" name="Obraz 1" descr="Obraz zawierający tekst, zrzut ekranu, Wielobarwność, design&#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877316" cy="895350"/>
                    </a:xfrm>
                    <a:prstGeom prst="rect">
                      <a:avLst/>
                    </a:prstGeom>
                  </pic:spPr>
                </pic:pic>
              </a:graphicData>
            </a:graphic>
            <wp14:sizeRelH relativeFrom="page">
              <wp14:pctWidth>0</wp14:pctWidth>
            </wp14:sizeRelH>
            <wp14:sizeRelV relativeFrom="page">
              <wp14:pctHeight>0</wp14:pctHeight>
            </wp14:sizeRelV>
          </wp:anchor>
        </w:drawing>
      </w:r>
      <w:r w:rsidRPr="00E551D9">
        <w:rPr>
          <w:noProof/>
          <w:lang w:val="en-GB" w:eastAsia="pl-PL"/>
        </w:rPr>
        <w:drawing>
          <wp:inline distT="0" distB="0" distL="0" distR="0" wp14:anchorId="6B9D56D6" wp14:editId="55132FDF">
            <wp:extent cx="5736527" cy="3102229"/>
            <wp:effectExtent l="0" t="0" r="0" b="3175"/>
            <wp:docPr id="2143633669"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33669" name="Obraz 1" descr="Obraz zawierający mapa&#10;&#10;Opis wygenerowany automatycznie"/>
                    <pic:cNvPicPr/>
                  </pic:nvPicPr>
                  <pic:blipFill>
                    <a:blip r:embed="rId19"/>
                    <a:stretch>
                      <a:fillRect/>
                    </a:stretch>
                  </pic:blipFill>
                  <pic:spPr>
                    <a:xfrm>
                      <a:off x="0" y="0"/>
                      <a:ext cx="5764465" cy="3117337"/>
                    </a:xfrm>
                    <a:prstGeom prst="rect">
                      <a:avLst/>
                    </a:prstGeom>
                  </pic:spPr>
                </pic:pic>
              </a:graphicData>
            </a:graphic>
          </wp:inline>
        </w:drawing>
      </w:r>
    </w:p>
    <w:p w14:paraId="6B11A586" w14:textId="36AB4D2A" w:rsidR="00D3565D" w:rsidRPr="00E551D9" w:rsidRDefault="00C53FC1" w:rsidP="007E7F83">
      <w:pPr>
        <w:pStyle w:val="Rrys"/>
      </w:pPr>
      <w:r w:rsidRPr="00E551D9">
        <w:rPr>
          <w:b/>
        </w:rPr>
        <w:t>Fig. 5.</w:t>
      </w:r>
      <w:r w:rsidRPr="00E551D9">
        <w:t xml:space="preserve"> </w:t>
      </w:r>
      <w:r w:rsidR="0035359D" w:rsidRPr="00E551D9">
        <w:t>Map of zone category</w:t>
      </w:r>
    </w:p>
    <w:p w14:paraId="6A91FCF4" w14:textId="6120684A" w:rsidR="00D3565D" w:rsidRPr="00E551D9" w:rsidRDefault="00E50263" w:rsidP="00F6615F">
      <w:pPr>
        <w:pStyle w:val="Rn2"/>
      </w:pPr>
      <w:r w:rsidRPr="00E551D9">
        <w:rPr>
          <w:bCs/>
        </w:rPr>
        <w:t xml:space="preserve">3.2. </w:t>
      </w:r>
      <w:r w:rsidR="00D3565D" w:rsidRPr="00E551D9">
        <w:t xml:space="preserve">Emission and Energy data description </w:t>
      </w:r>
    </w:p>
    <w:p w14:paraId="6E4D0A09" w14:textId="09EA3779" w:rsidR="00C325D3" w:rsidRPr="00726F2C" w:rsidRDefault="00DB3F65" w:rsidP="00726F2C">
      <w:pPr>
        <w:spacing w:after="0" w:line="240" w:lineRule="auto"/>
        <w:ind w:firstLine="284"/>
        <w:jc w:val="both"/>
        <w:rPr>
          <w:spacing w:val="-2"/>
          <w:lang w:val="en-GB"/>
        </w:rPr>
      </w:pPr>
      <w:r w:rsidRPr="00726F2C">
        <w:rPr>
          <w:spacing w:val="-2"/>
          <w:lang w:val="en-GB"/>
        </w:rPr>
        <w:t>Using the average vehicle speeds on the links, unit emission factors, and unit costs, the total emission cost was calculated according to Equation (</w:t>
      </w:r>
      <w:r w:rsidR="00C325D3" w:rsidRPr="00726F2C">
        <w:rPr>
          <w:spacing w:val="-2"/>
          <w:lang w:val="en-GB"/>
        </w:rPr>
        <w:t>3</w:t>
      </w:r>
      <w:r w:rsidRPr="00726F2C">
        <w:rPr>
          <w:spacing w:val="-2"/>
          <w:lang w:val="en-GB"/>
        </w:rPr>
        <w:t>), and energy consumption was estimated as expressed in Equation (</w:t>
      </w:r>
      <w:r w:rsidR="00C325D3" w:rsidRPr="00726F2C">
        <w:rPr>
          <w:spacing w:val="-2"/>
          <w:lang w:val="en-GB"/>
        </w:rPr>
        <w:t>4</w:t>
      </w:r>
      <w:r w:rsidRPr="00726F2C">
        <w:rPr>
          <w:spacing w:val="-2"/>
          <w:lang w:val="en-GB"/>
        </w:rPr>
        <w:t>)</w:t>
      </w:r>
      <w:r w:rsidR="00360A29" w:rsidRPr="00726F2C">
        <w:rPr>
          <w:spacing w:val="-2"/>
          <w:lang w:val="en-GB"/>
        </w:rPr>
        <w:t>.</w:t>
      </w:r>
    </w:p>
    <w:p w14:paraId="6450F6BD" w14:textId="7158787F" w:rsidR="00DB3F65" w:rsidRPr="00E551D9" w:rsidRDefault="00DB3F65" w:rsidP="00726F2C">
      <w:pPr>
        <w:tabs>
          <w:tab w:val="center" w:pos="4536"/>
          <w:tab w:val="right" w:pos="9638"/>
        </w:tabs>
        <w:spacing w:before="120" w:after="0" w:line="240" w:lineRule="auto"/>
        <w:jc w:val="center"/>
        <w:rPr>
          <w:rFonts w:eastAsiaTheme="minorEastAsia"/>
          <w:lang w:val="en-GB"/>
        </w:rPr>
      </w:pPr>
      <w:r w:rsidRPr="00E551D9">
        <w:rPr>
          <w:rFonts w:eastAsiaTheme="minorEastAsia"/>
          <w:lang w:val="en-GB"/>
        </w:rPr>
        <w:tab/>
      </w:r>
      <w:r w:rsidRPr="00E551D9">
        <w:rPr>
          <w:position w:val="-26"/>
          <w:lang w:val="en-GB"/>
        </w:rPr>
        <w:object w:dxaOrig="3480" w:dyaOrig="620" w14:anchorId="0FF95A79">
          <v:shape id="_x0000_i1027" type="#_x0000_t75" style="width:174pt;height:31.5pt" o:ole="">
            <v:imagedata r:id="rId20" o:title=""/>
          </v:shape>
          <o:OLEObject Type="Embed" ProgID="Equation.DSMT4" ShapeID="_x0000_i1027" DrawAspect="Content" ObjectID="_1827387236" r:id="rId21"/>
        </w:object>
      </w:r>
      <w:r w:rsidRPr="00E551D9">
        <w:rPr>
          <w:rFonts w:eastAsiaTheme="minorEastAsia"/>
          <w:lang w:val="en-GB"/>
        </w:rPr>
        <w:tab/>
        <w:t>(</w:t>
      </w:r>
      <w:r w:rsidR="00C325D3" w:rsidRPr="00E551D9">
        <w:rPr>
          <w:rFonts w:eastAsiaTheme="minorEastAsia"/>
          <w:lang w:val="en-GB"/>
        </w:rPr>
        <w:t>3</w:t>
      </w:r>
      <w:r w:rsidRPr="00E551D9">
        <w:rPr>
          <w:rFonts w:eastAsiaTheme="minorEastAsia"/>
          <w:lang w:val="en-GB"/>
        </w:rPr>
        <w:t>)</w:t>
      </w:r>
    </w:p>
    <w:p w14:paraId="1116A64D" w14:textId="0C546E4B" w:rsidR="00DB3F65" w:rsidRPr="00E551D9" w:rsidRDefault="00DB3F65" w:rsidP="007E7F83">
      <w:pPr>
        <w:tabs>
          <w:tab w:val="center" w:pos="4536"/>
          <w:tab w:val="right" w:pos="9638"/>
        </w:tabs>
        <w:spacing w:before="120" w:after="0" w:line="240" w:lineRule="auto"/>
        <w:jc w:val="center"/>
        <w:rPr>
          <w:rFonts w:eastAsiaTheme="minorEastAsia"/>
          <w:lang w:val="en-GB"/>
        </w:rPr>
      </w:pPr>
      <w:r w:rsidRPr="00E551D9">
        <w:rPr>
          <w:rFonts w:eastAsiaTheme="minorEastAsia"/>
          <w:lang w:val="en-GB"/>
        </w:rPr>
        <w:tab/>
      </w:r>
      <w:r w:rsidRPr="00E551D9">
        <w:rPr>
          <w:position w:val="-26"/>
          <w:lang w:val="en-GB"/>
        </w:rPr>
        <w:object w:dxaOrig="2659" w:dyaOrig="480" w14:anchorId="6C108C87">
          <v:shape id="_x0000_i1028" type="#_x0000_t75" style="width:133.5pt;height:24pt" o:ole="">
            <v:imagedata r:id="rId22" o:title=""/>
          </v:shape>
          <o:OLEObject Type="Embed" ProgID="Equation.DSMT4" ShapeID="_x0000_i1028" DrawAspect="Content" ObjectID="_1827387237" r:id="rId23"/>
        </w:object>
      </w:r>
      <w:r w:rsidRPr="00E551D9">
        <w:rPr>
          <w:rFonts w:eastAsiaTheme="minorEastAsia"/>
          <w:lang w:val="en-GB"/>
        </w:rPr>
        <w:tab/>
        <w:t>(</w:t>
      </w:r>
      <w:r w:rsidR="00C325D3" w:rsidRPr="00E551D9">
        <w:rPr>
          <w:rFonts w:eastAsiaTheme="minorEastAsia"/>
          <w:lang w:val="en-GB"/>
        </w:rPr>
        <w:t>4</w:t>
      </w:r>
      <w:r w:rsidRPr="00E551D9">
        <w:rPr>
          <w:rFonts w:eastAsiaTheme="minorEastAsia"/>
          <w:lang w:val="en-GB"/>
        </w:rPr>
        <w:t>)</w:t>
      </w:r>
    </w:p>
    <w:p w14:paraId="2CF69232" w14:textId="77777777" w:rsidR="00DB3F65" w:rsidRPr="00E551D9" w:rsidRDefault="00DB3F65" w:rsidP="007E7F83">
      <w:pPr>
        <w:spacing w:after="0" w:line="240" w:lineRule="auto"/>
        <w:jc w:val="both"/>
        <w:rPr>
          <w:lang w:val="en-GB"/>
        </w:rPr>
      </w:pPr>
      <w:r w:rsidRPr="00E551D9">
        <w:rPr>
          <w:lang w:val="en-GB"/>
        </w:rPr>
        <w:t>where:</w:t>
      </w:r>
    </w:p>
    <w:p w14:paraId="0A5340D0" w14:textId="77777777" w:rsidR="00DB3F65" w:rsidRPr="00E551D9" w:rsidRDefault="00DB3F65" w:rsidP="007E7F83">
      <w:pPr>
        <w:spacing w:after="0" w:line="240" w:lineRule="auto"/>
        <w:jc w:val="both"/>
        <w:rPr>
          <w:lang w:val="en-GB"/>
        </w:rPr>
      </w:pPr>
      <w:r w:rsidRPr="00E551D9">
        <w:rPr>
          <w:i/>
          <w:lang w:val="en-GB"/>
        </w:rPr>
        <w:t>CTPE</w:t>
      </w:r>
      <w:r w:rsidRPr="00E551D9">
        <w:rPr>
          <w:lang w:val="en-GB"/>
        </w:rPr>
        <w:t xml:space="preserve"> – total emission cost [EUR],</w:t>
      </w:r>
    </w:p>
    <w:p w14:paraId="36EA2B54" w14:textId="77777777" w:rsidR="00DB3F65" w:rsidRPr="00E551D9" w:rsidRDefault="00DB3F65" w:rsidP="007E7F83">
      <w:pPr>
        <w:spacing w:after="0" w:line="240" w:lineRule="auto"/>
        <w:jc w:val="both"/>
        <w:rPr>
          <w:lang w:val="en-GB"/>
        </w:rPr>
      </w:pPr>
      <w:r w:rsidRPr="00E551D9">
        <w:rPr>
          <w:i/>
          <w:lang w:val="en-GB"/>
        </w:rPr>
        <w:t>C(p)</w:t>
      </w:r>
      <w:r w:rsidRPr="00E551D9">
        <w:rPr>
          <w:lang w:val="en-GB"/>
        </w:rPr>
        <w:t xml:space="preserve"> – cost of pollutant type </w:t>
      </w:r>
      <w:r w:rsidRPr="00E551D9">
        <w:rPr>
          <w:i/>
          <w:lang w:val="en-GB"/>
        </w:rPr>
        <w:t>p</w:t>
      </w:r>
      <w:r w:rsidRPr="00E551D9">
        <w:rPr>
          <w:lang w:val="en-GB"/>
        </w:rPr>
        <w:t xml:space="preserve"> [EUR/g],</w:t>
      </w:r>
    </w:p>
    <w:p w14:paraId="508CFF18" w14:textId="77777777" w:rsidR="00DB3F65" w:rsidRPr="00E551D9" w:rsidRDefault="00DB3F65" w:rsidP="007E7F83">
      <w:pPr>
        <w:spacing w:after="0" w:line="240" w:lineRule="auto"/>
        <w:jc w:val="both"/>
        <w:rPr>
          <w:lang w:val="en-GB"/>
        </w:rPr>
      </w:pPr>
      <w:r w:rsidRPr="00E551D9">
        <w:rPr>
          <w:i/>
          <w:lang w:val="en-GB"/>
        </w:rPr>
        <w:t>EF(</w:t>
      </w:r>
      <w:proofErr w:type="spellStart"/>
      <w:r w:rsidRPr="00E551D9">
        <w:rPr>
          <w:i/>
          <w:lang w:val="en-GB"/>
        </w:rPr>
        <w:t>p,v</w:t>
      </w:r>
      <w:proofErr w:type="spellEnd"/>
      <w:r w:rsidRPr="00E551D9">
        <w:rPr>
          <w:i/>
          <w:lang w:val="en-GB"/>
        </w:rPr>
        <w:t>)</w:t>
      </w:r>
      <w:r w:rsidRPr="00E551D9">
        <w:rPr>
          <w:lang w:val="en-GB"/>
        </w:rPr>
        <w:t xml:space="preserve"> – unit emission factor of pollutant type </w:t>
      </w:r>
      <w:r w:rsidRPr="00E551D9">
        <w:rPr>
          <w:i/>
          <w:lang w:val="en-GB"/>
        </w:rPr>
        <w:t>p</w:t>
      </w:r>
      <w:r w:rsidRPr="00E551D9">
        <w:rPr>
          <w:lang w:val="en-GB"/>
        </w:rPr>
        <w:t xml:space="preserve"> for vehicle class </w:t>
      </w:r>
      <w:r w:rsidRPr="00E551D9">
        <w:rPr>
          <w:i/>
          <w:lang w:val="en-GB"/>
        </w:rPr>
        <w:t>v</w:t>
      </w:r>
      <w:r w:rsidRPr="00E551D9">
        <w:rPr>
          <w:lang w:val="en-GB"/>
        </w:rPr>
        <w:t xml:space="preserve"> on link </w:t>
      </w:r>
      <w:r w:rsidRPr="00E551D9">
        <w:rPr>
          <w:i/>
          <w:lang w:val="en-GB"/>
        </w:rPr>
        <w:t>l</w:t>
      </w:r>
      <w:r w:rsidRPr="00E551D9">
        <w:rPr>
          <w:lang w:val="en-GB"/>
        </w:rPr>
        <w:t xml:space="preserve"> [g/km],</w:t>
      </w:r>
    </w:p>
    <w:p w14:paraId="4C2323CB" w14:textId="66CD4000" w:rsidR="00DB3F65" w:rsidRPr="00E551D9" w:rsidRDefault="00DB3F65" w:rsidP="007E7F83">
      <w:pPr>
        <w:spacing w:after="0" w:line="240" w:lineRule="auto"/>
        <w:jc w:val="both"/>
        <w:rPr>
          <w:lang w:val="en-GB"/>
        </w:rPr>
      </w:pPr>
      <w:r w:rsidRPr="00E551D9">
        <w:rPr>
          <w:i/>
          <w:lang w:val="en-GB"/>
        </w:rPr>
        <w:t>EC(</w:t>
      </w:r>
      <w:proofErr w:type="spellStart"/>
      <w:r w:rsidRPr="00E551D9">
        <w:rPr>
          <w:i/>
          <w:lang w:val="en-GB"/>
        </w:rPr>
        <w:t>p,v</w:t>
      </w:r>
      <w:proofErr w:type="spellEnd"/>
      <w:r w:rsidRPr="00E551D9">
        <w:rPr>
          <w:i/>
          <w:lang w:val="en-GB"/>
        </w:rPr>
        <w:t>)</w:t>
      </w:r>
      <w:r w:rsidRPr="00E551D9">
        <w:rPr>
          <w:lang w:val="en-GB"/>
        </w:rPr>
        <w:t xml:space="preserve"> – unit energy consumption factor </w:t>
      </w:r>
      <w:r w:rsidR="00676F55" w:rsidRPr="00E551D9">
        <w:rPr>
          <w:lang w:val="en-GB"/>
        </w:rPr>
        <w:t>for</w:t>
      </w:r>
      <w:r w:rsidRPr="00E551D9">
        <w:rPr>
          <w:lang w:val="en-GB"/>
        </w:rPr>
        <w:t xml:space="preserve"> pollutant type </w:t>
      </w:r>
      <w:r w:rsidRPr="00E551D9">
        <w:rPr>
          <w:i/>
          <w:lang w:val="en-GB"/>
        </w:rPr>
        <w:t>p</w:t>
      </w:r>
      <w:r w:rsidRPr="00E551D9">
        <w:rPr>
          <w:lang w:val="en-GB"/>
        </w:rPr>
        <w:t xml:space="preserve"> </w:t>
      </w:r>
      <w:r w:rsidR="001257D9" w:rsidRPr="00E551D9">
        <w:rPr>
          <w:lang w:val="en-GB"/>
        </w:rPr>
        <w:t xml:space="preserve">and </w:t>
      </w:r>
      <w:r w:rsidRPr="00E551D9">
        <w:rPr>
          <w:lang w:val="en-GB"/>
        </w:rPr>
        <w:t xml:space="preserve">vehicle class </w:t>
      </w:r>
      <w:r w:rsidRPr="00E551D9">
        <w:rPr>
          <w:i/>
          <w:lang w:val="en-GB"/>
        </w:rPr>
        <w:t>v</w:t>
      </w:r>
      <w:r w:rsidRPr="00E551D9">
        <w:rPr>
          <w:lang w:val="en-GB"/>
        </w:rPr>
        <w:t xml:space="preserve"> on link </w:t>
      </w:r>
      <w:r w:rsidRPr="00E551D9">
        <w:rPr>
          <w:i/>
          <w:lang w:val="en-GB"/>
        </w:rPr>
        <w:t>l</w:t>
      </w:r>
      <w:r w:rsidRPr="00E551D9">
        <w:rPr>
          <w:lang w:val="en-GB"/>
        </w:rPr>
        <w:t xml:space="preserve"> [MJ/km],</w:t>
      </w:r>
    </w:p>
    <w:p w14:paraId="7B21080C" w14:textId="0C0E616F" w:rsidR="00DB3F65" w:rsidRPr="00E551D9" w:rsidRDefault="00DB3F65" w:rsidP="007E7F83">
      <w:pPr>
        <w:spacing w:after="120" w:line="240" w:lineRule="auto"/>
        <w:jc w:val="both"/>
        <w:rPr>
          <w:lang w:val="en-GB"/>
        </w:rPr>
      </w:pPr>
      <w:r w:rsidRPr="00E551D9">
        <w:rPr>
          <w:i/>
          <w:lang w:val="en-GB"/>
        </w:rPr>
        <w:t>x(</w:t>
      </w:r>
      <w:proofErr w:type="spellStart"/>
      <w:r w:rsidRPr="00E551D9">
        <w:rPr>
          <w:i/>
          <w:lang w:val="en-GB"/>
        </w:rPr>
        <w:t>v,l</w:t>
      </w:r>
      <w:proofErr w:type="spellEnd"/>
      <w:r w:rsidRPr="00E551D9">
        <w:rPr>
          <w:i/>
          <w:lang w:val="en-GB"/>
        </w:rPr>
        <w:t>)</w:t>
      </w:r>
      <w:r w:rsidRPr="00E551D9">
        <w:rPr>
          <w:lang w:val="en-GB"/>
        </w:rPr>
        <w:t xml:space="preserve"> – traffic volume of vehicle class </w:t>
      </w:r>
      <w:r w:rsidRPr="00E551D9">
        <w:rPr>
          <w:i/>
          <w:lang w:val="en-GB"/>
        </w:rPr>
        <w:t>v</w:t>
      </w:r>
      <w:r w:rsidRPr="00E551D9">
        <w:rPr>
          <w:lang w:val="en-GB"/>
        </w:rPr>
        <w:t xml:space="preserve"> on link </w:t>
      </w:r>
      <w:r w:rsidRPr="00E551D9">
        <w:rPr>
          <w:i/>
          <w:lang w:val="en-GB"/>
        </w:rPr>
        <w:t>l</w:t>
      </w:r>
      <w:r w:rsidR="00DF3B35" w:rsidRPr="00E551D9">
        <w:rPr>
          <w:lang w:val="en-GB"/>
        </w:rPr>
        <w:t xml:space="preserve"> [vehicle-</w:t>
      </w:r>
      <w:proofErr w:type="spellStart"/>
      <w:r w:rsidR="00DF3B35" w:rsidRPr="00E551D9">
        <w:rPr>
          <w:lang w:val="en-GB"/>
        </w:rPr>
        <w:t>kilometers</w:t>
      </w:r>
      <w:proofErr w:type="spellEnd"/>
      <w:r w:rsidR="00DF3B35" w:rsidRPr="00E551D9">
        <w:rPr>
          <w:lang w:val="en-GB"/>
        </w:rPr>
        <w:t>]</w:t>
      </w:r>
      <w:r w:rsidRPr="00E551D9">
        <w:rPr>
          <w:lang w:val="en-GB"/>
        </w:rPr>
        <w:t>.</w:t>
      </w:r>
    </w:p>
    <w:p w14:paraId="2734E5FF" w14:textId="77777777" w:rsidR="00DB3F65" w:rsidRPr="00E551D9" w:rsidRDefault="00DB3F65" w:rsidP="007E7F83">
      <w:pPr>
        <w:spacing w:after="0" w:line="240" w:lineRule="auto"/>
        <w:ind w:firstLine="284"/>
        <w:jc w:val="both"/>
        <w:rPr>
          <w:lang w:val="en-GB"/>
        </w:rPr>
      </w:pPr>
      <w:r w:rsidRPr="00E551D9">
        <w:rPr>
          <w:lang w:val="en-GB"/>
        </w:rPr>
        <w:t>In relation to the stated research objectives, it is important to emphasize that this study provides a rare opportunity to embed freight flows into a calibrated, metropolitan-scale transport model and to analyse their environmental consequences with full spatial resolution. Such an integrated approach remains underrepresented in the existing body of research on urban emission modelling.</w:t>
      </w:r>
    </w:p>
    <w:p w14:paraId="42D263C5" w14:textId="3BCD8A85" w:rsidR="00A26BAD" w:rsidRDefault="003B09B1" w:rsidP="007E7F83">
      <w:pPr>
        <w:spacing w:after="0" w:line="240" w:lineRule="auto"/>
        <w:ind w:firstLine="284"/>
        <w:jc w:val="both"/>
        <w:rPr>
          <w:lang w:val="en-GB"/>
        </w:rPr>
      </w:pPr>
      <w:r>
        <w:rPr>
          <w:lang w:val="en-GB"/>
        </w:rPr>
        <w:t>The v</w:t>
      </w:r>
      <w:r w:rsidR="00D3565D" w:rsidRPr="00E551D9">
        <w:rPr>
          <w:lang w:val="en-GB"/>
        </w:rPr>
        <w:t>alues discussed below in this paper are calculated for the peak hour traffic for all vehicles together, separately for cars, light cargo vehicles</w:t>
      </w:r>
      <w:r>
        <w:rPr>
          <w:lang w:val="en-GB"/>
        </w:rPr>
        <w:t>,</w:t>
      </w:r>
      <w:r w:rsidR="00D3565D" w:rsidRPr="00E551D9">
        <w:rPr>
          <w:lang w:val="en-GB"/>
        </w:rPr>
        <w:t xml:space="preserve"> and heavy cargo vehicles</w:t>
      </w:r>
      <w:r>
        <w:rPr>
          <w:lang w:val="en-GB"/>
        </w:rPr>
        <w:t>,</w:t>
      </w:r>
      <w:r w:rsidR="00D3565D" w:rsidRPr="00E551D9">
        <w:rPr>
          <w:lang w:val="en-GB"/>
        </w:rPr>
        <w:t xml:space="preserve"> and for the cargo vehicles together. Vehicle fleet compositions to calculate the emissions are taken from </w:t>
      </w:r>
      <w:r>
        <w:rPr>
          <w:lang w:val="en-GB"/>
        </w:rPr>
        <w:t xml:space="preserve">the </w:t>
      </w:r>
      <w:r w:rsidR="00D3565D" w:rsidRPr="00E551D9">
        <w:rPr>
          <w:lang w:val="en-GB"/>
        </w:rPr>
        <w:t xml:space="preserve">COPERT database. Among those, the compositions closest to the analysed area compositions have been selected. According to the base scenario year, the year of the vehicle composition is 2022. The country of the vehicle composition selected for COPERT </w:t>
      </w:r>
      <w:r>
        <w:rPr>
          <w:lang w:val="en-GB"/>
        </w:rPr>
        <w:t>is th</w:t>
      </w:r>
      <w:r w:rsidR="00D3565D" w:rsidRPr="00E551D9">
        <w:rPr>
          <w:lang w:val="en-GB"/>
        </w:rPr>
        <w:t>e EU27 countries.</w:t>
      </w:r>
      <w:r w:rsidR="00987000" w:rsidRPr="00E551D9">
        <w:rPr>
          <w:lang w:val="en-GB"/>
        </w:rPr>
        <w:t xml:space="preserve"> </w:t>
      </w:r>
      <w:r w:rsidR="00524AA7" w:rsidRPr="00E551D9">
        <w:rPr>
          <w:lang w:val="en-GB"/>
        </w:rPr>
        <w:t xml:space="preserve">For the vehicle classes </w:t>
      </w:r>
      <w:r w:rsidR="00AF75E9" w:rsidRPr="00E551D9">
        <w:rPr>
          <w:lang w:val="en-GB"/>
        </w:rPr>
        <w:t xml:space="preserve">set in </w:t>
      </w:r>
      <w:r>
        <w:rPr>
          <w:lang w:val="en-GB"/>
        </w:rPr>
        <w:t xml:space="preserve">the </w:t>
      </w:r>
      <w:proofErr w:type="spellStart"/>
      <w:r w:rsidR="00AF75E9" w:rsidRPr="00E551D9">
        <w:rPr>
          <w:lang w:val="en-GB"/>
        </w:rPr>
        <w:t>Visum</w:t>
      </w:r>
      <w:proofErr w:type="spellEnd"/>
      <w:r w:rsidR="00AF75E9" w:rsidRPr="00E551D9">
        <w:rPr>
          <w:lang w:val="en-GB"/>
        </w:rPr>
        <w:t xml:space="preserve"> model, </w:t>
      </w:r>
      <w:r w:rsidR="00CA099A" w:rsidRPr="00E551D9">
        <w:rPr>
          <w:lang w:val="en-GB"/>
        </w:rPr>
        <w:t>compl</w:t>
      </w:r>
      <w:r>
        <w:rPr>
          <w:lang w:val="en-GB"/>
        </w:rPr>
        <w:t>e</w:t>
      </w:r>
      <w:r w:rsidR="00CA099A" w:rsidRPr="00E551D9">
        <w:rPr>
          <w:lang w:val="en-GB"/>
        </w:rPr>
        <w:t xml:space="preserve">mentary classes </w:t>
      </w:r>
      <w:r w:rsidR="008733F9" w:rsidRPr="00E551D9">
        <w:rPr>
          <w:lang w:val="en-GB"/>
        </w:rPr>
        <w:t xml:space="preserve">have been selected from the </w:t>
      </w:r>
      <w:proofErr w:type="spellStart"/>
      <w:r w:rsidR="008733F9" w:rsidRPr="00E551D9">
        <w:rPr>
          <w:lang w:val="en-GB"/>
        </w:rPr>
        <w:t>Copert</w:t>
      </w:r>
      <w:proofErr w:type="spellEnd"/>
      <w:r w:rsidR="008733F9" w:rsidRPr="00E551D9">
        <w:rPr>
          <w:lang w:val="en-GB"/>
        </w:rPr>
        <w:t xml:space="preserve"> vehicle classes database</w:t>
      </w:r>
      <w:r w:rsidR="00AF46EE" w:rsidRPr="00E551D9">
        <w:rPr>
          <w:lang w:val="en-GB"/>
        </w:rPr>
        <w:t xml:space="preserve"> (Table 2)</w:t>
      </w:r>
      <w:r w:rsidR="008A2825" w:rsidRPr="00E551D9">
        <w:rPr>
          <w:lang w:val="en-GB"/>
        </w:rPr>
        <w:t>.</w:t>
      </w:r>
    </w:p>
    <w:p w14:paraId="1CC842C4" w14:textId="77777777" w:rsidR="00E551D9" w:rsidRPr="00E551D9" w:rsidRDefault="00E551D9" w:rsidP="007E7F83">
      <w:pPr>
        <w:spacing w:after="0" w:line="240" w:lineRule="auto"/>
        <w:ind w:firstLine="284"/>
        <w:jc w:val="both"/>
        <w:rPr>
          <w:lang w:val="en-GB"/>
        </w:rPr>
      </w:pPr>
    </w:p>
    <w:p w14:paraId="1978A155" w14:textId="6911155F" w:rsidR="00A340B7" w:rsidRPr="00DC4E32" w:rsidRDefault="00EF740E" w:rsidP="007E7F83">
      <w:pPr>
        <w:pStyle w:val="Rtab"/>
        <w:rPr>
          <w:lang w:val="en-GB"/>
        </w:rPr>
      </w:pPr>
      <w:r w:rsidRPr="00DC4E32">
        <w:rPr>
          <w:b/>
          <w:lang w:val="en-GB"/>
        </w:rPr>
        <w:t>Tab</w:t>
      </w:r>
      <w:r w:rsidR="00E551D9" w:rsidRPr="00DC4E32">
        <w:rPr>
          <w:b/>
          <w:lang w:val="en-GB"/>
        </w:rPr>
        <w:t>le</w:t>
      </w:r>
      <w:r w:rsidRPr="00DC4E32">
        <w:rPr>
          <w:b/>
          <w:lang w:val="en-GB"/>
        </w:rPr>
        <w:t xml:space="preserve"> 2.</w:t>
      </w:r>
      <w:r w:rsidRPr="00DC4E32">
        <w:rPr>
          <w:lang w:val="en-GB"/>
        </w:rPr>
        <w:t xml:space="preserve"> Vehicle classes in the model</w:t>
      </w:r>
    </w:p>
    <w:tbl>
      <w:tblPr>
        <w:tblStyle w:val="Tabela-Siatka"/>
        <w:tblW w:w="0" w:type="auto"/>
        <w:jc w:val="center"/>
        <w:tblLook w:val="04A0" w:firstRow="1" w:lastRow="0" w:firstColumn="1" w:lastColumn="0" w:noHBand="0" w:noVBand="1"/>
      </w:tblPr>
      <w:tblGrid>
        <w:gridCol w:w="3115"/>
        <w:gridCol w:w="6231"/>
      </w:tblGrid>
      <w:tr w:rsidR="005F6970" w:rsidRPr="00E551D9" w14:paraId="6FD59F38" w14:textId="77777777" w:rsidTr="000049F6">
        <w:trPr>
          <w:trHeight w:val="397"/>
          <w:jc w:val="center"/>
        </w:trPr>
        <w:tc>
          <w:tcPr>
            <w:tcW w:w="3115" w:type="dxa"/>
            <w:noWrap/>
            <w:vAlign w:val="center"/>
            <w:hideMark/>
          </w:tcPr>
          <w:p w14:paraId="3C670032" w14:textId="77777777" w:rsidR="005F6970" w:rsidRPr="00E551D9" w:rsidRDefault="005F6970" w:rsidP="007E7F83">
            <w:pPr>
              <w:rPr>
                <w:lang w:val="en-GB"/>
              </w:rPr>
            </w:pPr>
            <w:proofErr w:type="spellStart"/>
            <w:r w:rsidRPr="00E551D9">
              <w:rPr>
                <w:lang w:val="en-GB"/>
              </w:rPr>
              <w:t>Visum</w:t>
            </w:r>
            <w:proofErr w:type="spellEnd"/>
            <w:r w:rsidRPr="00E551D9">
              <w:rPr>
                <w:lang w:val="en-GB"/>
              </w:rPr>
              <w:t xml:space="preserve"> vehicle class</w:t>
            </w:r>
          </w:p>
        </w:tc>
        <w:tc>
          <w:tcPr>
            <w:tcW w:w="6231" w:type="dxa"/>
            <w:noWrap/>
            <w:vAlign w:val="center"/>
            <w:hideMark/>
          </w:tcPr>
          <w:p w14:paraId="567F61BE" w14:textId="77777777" w:rsidR="005F6970" w:rsidRPr="00E551D9" w:rsidRDefault="005F6970" w:rsidP="007E7F83">
            <w:pPr>
              <w:rPr>
                <w:lang w:val="en-GB"/>
              </w:rPr>
            </w:pPr>
            <w:proofErr w:type="spellStart"/>
            <w:r w:rsidRPr="00E551D9">
              <w:rPr>
                <w:lang w:val="en-GB"/>
              </w:rPr>
              <w:t>Copert</w:t>
            </w:r>
            <w:proofErr w:type="spellEnd"/>
            <w:r w:rsidRPr="00E551D9">
              <w:rPr>
                <w:lang w:val="en-GB"/>
              </w:rPr>
              <w:t xml:space="preserve"> vehicle class</w:t>
            </w:r>
          </w:p>
        </w:tc>
      </w:tr>
      <w:tr w:rsidR="005F6970" w:rsidRPr="00E551D9" w14:paraId="7103CC6D" w14:textId="77777777" w:rsidTr="000049F6">
        <w:trPr>
          <w:trHeight w:val="283"/>
          <w:jc w:val="center"/>
        </w:trPr>
        <w:tc>
          <w:tcPr>
            <w:tcW w:w="3115" w:type="dxa"/>
            <w:noWrap/>
            <w:vAlign w:val="center"/>
            <w:hideMark/>
          </w:tcPr>
          <w:p w14:paraId="714A2871" w14:textId="77777777" w:rsidR="005F6970" w:rsidRPr="00E551D9" w:rsidRDefault="005F6970" w:rsidP="007E7F83">
            <w:pPr>
              <w:rPr>
                <w:lang w:val="en-GB"/>
              </w:rPr>
            </w:pPr>
            <w:r w:rsidRPr="00E551D9">
              <w:rPr>
                <w:lang w:val="en-GB"/>
              </w:rPr>
              <w:t>SO: Car</w:t>
            </w:r>
          </w:p>
        </w:tc>
        <w:tc>
          <w:tcPr>
            <w:tcW w:w="6231" w:type="dxa"/>
            <w:noWrap/>
            <w:vAlign w:val="center"/>
            <w:hideMark/>
          </w:tcPr>
          <w:p w14:paraId="44FE760E" w14:textId="77777777" w:rsidR="005F6970" w:rsidRPr="00E551D9" w:rsidRDefault="005F6970" w:rsidP="007E7F83">
            <w:pPr>
              <w:rPr>
                <w:lang w:val="en-GB"/>
              </w:rPr>
            </w:pPr>
            <w:r w:rsidRPr="00E551D9">
              <w:rPr>
                <w:lang w:val="en-GB"/>
              </w:rPr>
              <w:t>Personal car</w:t>
            </w:r>
          </w:p>
        </w:tc>
      </w:tr>
      <w:tr w:rsidR="005F6970" w:rsidRPr="00E551D9" w14:paraId="0FF36BCF" w14:textId="77777777" w:rsidTr="000049F6">
        <w:trPr>
          <w:trHeight w:val="283"/>
          <w:jc w:val="center"/>
        </w:trPr>
        <w:tc>
          <w:tcPr>
            <w:tcW w:w="3115" w:type="dxa"/>
            <w:noWrap/>
            <w:vAlign w:val="center"/>
            <w:hideMark/>
          </w:tcPr>
          <w:p w14:paraId="39C66D88" w14:textId="5E22B434" w:rsidR="005F6970" w:rsidRPr="00E551D9" w:rsidRDefault="005F6970" w:rsidP="007E7F83">
            <w:pPr>
              <w:rPr>
                <w:lang w:val="en-GB"/>
              </w:rPr>
            </w:pPr>
            <w:r w:rsidRPr="00E551D9">
              <w:rPr>
                <w:lang w:val="en-GB"/>
              </w:rPr>
              <w:t>SD: Freight vehicle up to 3,5</w:t>
            </w:r>
            <w:r w:rsidR="001535CC" w:rsidRPr="00E551D9">
              <w:rPr>
                <w:lang w:val="en-GB"/>
              </w:rPr>
              <w:t xml:space="preserve"> </w:t>
            </w:r>
            <w:r w:rsidRPr="00E551D9">
              <w:rPr>
                <w:lang w:val="en-GB"/>
              </w:rPr>
              <w:t>t</w:t>
            </w:r>
          </w:p>
        </w:tc>
        <w:tc>
          <w:tcPr>
            <w:tcW w:w="6231" w:type="dxa"/>
            <w:noWrap/>
            <w:vAlign w:val="center"/>
            <w:hideMark/>
          </w:tcPr>
          <w:p w14:paraId="0C64BEAB" w14:textId="77777777" w:rsidR="005F6970" w:rsidRPr="00E551D9" w:rsidRDefault="005F6970" w:rsidP="007E7F83">
            <w:pPr>
              <w:rPr>
                <w:lang w:val="en-GB"/>
              </w:rPr>
            </w:pPr>
            <w:r w:rsidRPr="00E551D9">
              <w:rPr>
                <w:lang w:val="en-GB"/>
              </w:rPr>
              <w:t>Light commercial vehicle</w:t>
            </w:r>
          </w:p>
        </w:tc>
      </w:tr>
      <w:tr w:rsidR="005F6970" w:rsidRPr="00E551D9" w14:paraId="6A78A4DC" w14:textId="77777777" w:rsidTr="000049F6">
        <w:trPr>
          <w:trHeight w:val="283"/>
          <w:jc w:val="center"/>
        </w:trPr>
        <w:tc>
          <w:tcPr>
            <w:tcW w:w="3115" w:type="dxa"/>
            <w:noWrap/>
            <w:vAlign w:val="center"/>
            <w:hideMark/>
          </w:tcPr>
          <w:p w14:paraId="087B94D5" w14:textId="77777777" w:rsidR="005F6970" w:rsidRPr="00E551D9" w:rsidRDefault="005F6970" w:rsidP="007E7F83">
            <w:pPr>
              <w:rPr>
                <w:lang w:val="en-GB"/>
              </w:rPr>
            </w:pPr>
            <w:r w:rsidRPr="00E551D9">
              <w:rPr>
                <w:lang w:val="en-GB"/>
              </w:rPr>
              <w:t xml:space="preserve">SC: Heavy freight vehicle </w:t>
            </w:r>
          </w:p>
        </w:tc>
        <w:tc>
          <w:tcPr>
            <w:tcW w:w="6231" w:type="dxa"/>
            <w:noWrap/>
            <w:vAlign w:val="center"/>
            <w:hideMark/>
          </w:tcPr>
          <w:p w14:paraId="08095E70" w14:textId="77777777" w:rsidR="005F6970" w:rsidRPr="00E551D9" w:rsidRDefault="005F6970" w:rsidP="007E7F83">
            <w:pPr>
              <w:rPr>
                <w:lang w:val="en-GB"/>
              </w:rPr>
            </w:pPr>
            <w:r w:rsidRPr="00E551D9">
              <w:rPr>
                <w:lang w:val="en-GB"/>
              </w:rPr>
              <w:t>Heavy vehicle</w:t>
            </w:r>
          </w:p>
        </w:tc>
      </w:tr>
    </w:tbl>
    <w:p w14:paraId="43C37BE6" w14:textId="77777777" w:rsidR="00DC4E32" w:rsidRDefault="00DC4E32" w:rsidP="00DC4E32">
      <w:pPr>
        <w:spacing w:after="0" w:line="240" w:lineRule="auto"/>
        <w:ind w:firstLine="284"/>
        <w:jc w:val="both"/>
        <w:rPr>
          <w:lang w:val="en-GB"/>
        </w:rPr>
      </w:pPr>
    </w:p>
    <w:p w14:paraId="4E476416" w14:textId="52865A1E" w:rsidR="00D3565D" w:rsidRPr="00E551D9" w:rsidRDefault="00D3565D" w:rsidP="00DC4E32">
      <w:pPr>
        <w:spacing w:after="0" w:line="240" w:lineRule="auto"/>
        <w:ind w:firstLine="284"/>
        <w:jc w:val="both"/>
        <w:rPr>
          <w:lang w:val="en-GB"/>
        </w:rPr>
      </w:pPr>
      <w:r w:rsidRPr="00E551D9">
        <w:rPr>
          <w:lang w:val="en-GB"/>
        </w:rPr>
        <w:lastRenderedPageBreak/>
        <w:t xml:space="preserve">Energy consumptions and emissions calculated by the emission modules makes it possible to estimate </w:t>
      </w:r>
      <w:r w:rsidR="003B09B1">
        <w:rPr>
          <w:lang w:val="en-GB"/>
        </w:rPr>
        <w:t>the</w:t>
      </w:r>
      <w:r w:rsidRPr="00E551D9">
        <w:rPr>
          <w:lang w:val="en-GB"/>
        </w:rPr>
        <w:t xml:space="preserve"> total energy consumption of transport and to estimate </w:t>
      </w:r>
      <w:r w:rsidR="003B09B1">
        <w:rPr>
          <w:lang w:val="en-GB"/>
        </w:rPr>
        <w:t>the</w:t>
      </w:r>
      <w:r w:rsidRPr="00E551D9">
        <w:rPr>
          <w:lang w:val="en-GB"/>
        </w:rPr>
        <w:t xml:space="preserve"> emission cost of the chosen emission factors.</w:t>
      </w:r>
      <w:r w:rsidR="0027707C" w:rsidRPr="00E551D9">
        <w:rPr>
          <w:lang w:val="en-GB"/>
        </w:rPr>
        <w:t xml:space="preserve"> </w:t>
      </w:r>
      <w:r w:rsidRPr="00E551D9">
        <w:rPr>
          <w:lang w:val="en-GB"/>
        </w:rPr>
        <w:t xml:space="preserve">Energy consumption calculated </w:t>
      </w:r>
      <w:r w:rsidR="003B09B1">
        <w:rPr>
          <w:lang w:val="en-GB"/>
        </w:rPr>
        <w:t>is</w:t>
      </w:r>
      <w:r w:rsidRPr="00E551D9">
        <w:rPr>
          <w:lang w:val="en-GB"/>
        </w:rPr>
        <w:t xml:space="preserve">: </w:t>
      </w:r>
    </w:p>
    <w:p w14:paraId="23D772CA" w14:textId="39697F06" w:rsidR="00D3565D" w:rsidRPr="00E551D9" w:rsidRDefault="001B6751" w:rsidP="007F7DB2">
      <w:pPr>
        <w:pStyle w:val="Akapitzlist"/>
        <w:numPr>
          <w:ilvl w:val="0"/>
          <w:numId w:val="13"/>
        </w:numPr>
        <w:spacing w:after="0" w:line="240" w:lineRule="auto"/>
        <w:ind w:left="560" w:hanging="284"/>
        <w:contextualSpacing w:val="0"/>
        <w:rPr>
          <w:lang w:val="en-GB"/>
        </w:rPr>
      </w:pPr>
      <w:r w:rsidRPr="00E551D9">
        <w:rPr>
          <w:lang w:val="en-GB"/>
        </w:rPr>
        <w:t>g</w:t>
      </w:r>
      <w:r w:rsidR="00D3565D" w:rsidRPr="00E551D9">
        <w:rPr>
          <w:lang w:val="en-GB"/>
        </w:rPr>
        <w:t>asoline consumption [g]</w:t>
      </w:r>
      <w:r w:rsidR="00A47BF1" w:rsidRPr="00E551D9">
        <w:rPr>
          <w:lang w:val="en-GB"/>
        </w:rPr>
        <w:t>,</w:t>
      </w:r>
    </w:p>
    <w:p w14:paraId="1B5B7E36" w14:textId="2F49BDD4" w:rsidR="00D3565D" w:rsidRPr="00E551D9" w:rsidRDefault="001B6751" w:rsidP="007F7DB2">
      <w:pPr>
        <w:pStyle w:val="Akapitzlist"/>
        <w:numPr>
          <w:ilvl w:val="0"/>
          <w:numId w:val="13"/>
        </w:numPr>
        <w:spacing w:after="0" w:line="240" w:lineRule="auto"/>
        <w:ind w:left="560" w:hanging="284"/>
        <w:contextualSpacing w:val="0"/>
        <w:rPr>
          <w:lang w:val="en-GB"/>
        </w:rPr>
      </w:pPr>
      <w:r w:rsidRPr="00E551D9">
        <w:rPr>
          <w:lang w:val="en-GB"/>
        </w:rPr>
        <w:t>d</w:t>
      </w:r>
      <w:r w:rsidR="00D3565D" w:rsidRPr="00E551D9">
        <w:rPr>
          <w:lang w:val="en-GB"/>
        </w:rPr>
        <w:t>iesel consumption [g]</w:t>
      </w:r>
      <w:r w:rsidR="00A47BF1" w:rsidRPr="00E551D9">
        <w:rPr>
          <w:lang w:val="en-GB"/>
        </w:rPr>
        <w:t>,</w:t>
      </w:r>
    </w:p>
    <w:p w14:paraId="20059464" w14:textId="2C9EE13E" w:rsidR="00D3565D" w:rsidRPr="00E551D9" w:rsidRDefault="001B6751" w:rsidP="007F7DB2">
      <w:pPr>
        <w:pStyle w:val="Akapitzlist"/>
        <w:numPr>
          <w:ilvl w:val="0"/>
          <w:numId w:val="13"/>
        </w:numPr>
        <w:spacing w:after="0" w:line="240" w:lineRule="auto"/>
        <w:ind w:left="560" w:hanging="284"/>
        <w:contextualSpacing w:val="0"/>
        <w:rPr>
          <w:lang w:val="en-GB"/>
        </w:rPr>
      </w:pPr>
      <w:r w:rsidRPr="00E551D9">
        <w:rPr>
          <w:lang w:val="en-GB"/>
        </w:rPr>
        <w:t>e</w:t>
      </w:r>
      <w:r w:rsidR="00D3565D" w:rsidRPr="00E551D9">
        <w:rPr>
          <w:lang w:val="en-GB"/>
        </w:rPr>
        <w:t>nergy consumption of electric vehicles [MJ]</w:t>
      </w:r>
      <w:r w:rsidR="00A47BF1" w:rsidRPr="00E551D9">
        <w:rPr>
          <w:lang w:val="en-GB"/>
        </w:rPr>
        <w:t>.</w:t>
      </w:r>
    </w:p>
    <w:p w14:paraId="41954D0C" w14:textId="77777777" w:rsidR="00E551D9" w:rsidRDefault="00E551D9" w:rsidP="007E7F83">
      <w:pPr>
        <w:spacing w:after="0" w:line="240" w:lineRule="auto"/>
        <w:rPr>
          <w:lang w:val="en-GB"/>
        </w:rPr>
      </w:pPr>
    </w:p>
    <w:p w14:paraId="111A91B4" w14:textId="4F6DC7C2" w:rsidR="00D3565D" w:rsidRPr="00E551D9" w:rsidRDefault="00D3565D" w:rsidP="007E7F83">
      <w:pPr>
        <w:spacing w:after="0" w:line="240" w:lineRule="auto"/>
        <w:ind w:firstLine="284"/>
        <w:rPr>
          <w:lang w:val="en-GB"/>
        </w:rPr>
      </w:pPr>
      <w:r w:rsidRPr="00E551D9">
        <w:rPr>
          <w:lang w:val="en-GB"/>
        </w:rPr>
        <w:t xml:space="preserve">Those consumptions are summed up to present a total energy consumption [MJ] for the whole fuel types using the following energy production data of the fuels: </w:t>
      </w:r>
    </w:p>
    <w:p w14:paraId="435463E8" w14:textId="1A6252A1" w:rsidR="00D3565D" w:rsidRPr="00E551D9" w:rsidRDefault="001B6751" w:rsidP="007F7DB2">
      <w:pPr>
        <w:pStyle w:val="Akapitzlist"/>
        <w:numPr>
          <w:ilvl w:val="0"/>
          <w:numId w:val="14"/>
        </w:numPr>
        <w:spacing w:after="0" w:line="240" w:lineRule="auto"/>
        <w:ind w:left="560" w:hanging="284"/>
        <w:contextualSpacing w:val="0"/>
        <w:rPr>
          <w:lang w:val="en-GB"/>
        </w:rPr>
      </w:pPr>
      <w:r w:rsidRPr="00E551D9">
        <w:rPr>
          <w:lang w:val="en-GB"/>
        </w:rPr>
        <w:t>g</w:t>
      </w:r>
      <w:r w:rsidR="00D3565D" w:rsidRPr="00E551D9">
        <w:rPr>
          <w:lang w:val="en-GB"/>
        </w:rPr>
        <w:t>asoline energy production: 46</w:t>
      </w:r>
      <w:r w:rsidR="007F7DB2">
        <w:rPr>
          <w:lang w:val="en-GB"/>
        </w:rPr>
        <w:t>.</w:t>
      </w:r>
      <w:r w:rsidR="00D3565D" w:rsidRPr="00E551D9">
        <w:rPr>
          <w:lang w:val="en-GB"/>
        </w:rPr>
        <w:t xml:space="preserve">7 </w:t>
      </w:r>
      <w:r w:rsidR="001535CC" w:rsidRPr="00E551D9">
        <w:rPr>
          <w:lang w:val="en-GB"/>
        </w:rPr>
        <w:t>[</w:t>
      </w:r>
      <w:r w:rsidR="00D3565D" w:rsidRPr="00E551D9">
        <w:rPr>
          <w:lang w:val="en-GB"/>
        </w:rPr>
        <w:t>MJ/kg</w:t>
      </w:r>
      <w:r w:rsidR="001535CC" w:rsidRPr="00E551D9">
        <w:rPr>
          <w:lang w:val="en-GB"/>
        </w:rPr>
        <w:t>]</w:t>
      </w:r>
      <w:r w:rsidR="00A47BF1" w:rsidRPr="00E551D9">
        <w:rPr>
          <w:lang w:val="en-GB"/>
        </w:rPr>
        <w:t>,</w:t>
      </w:r>
    </w:p>
    <w:p w14:paraId="178999FE" w14:textId="6C3ECBC7" w:rsidR="00D3565D" w:rsidRPr="00E551D9" w:rsidRDefault="001B6751" w:rsidP="007F7DB2">
      <w:pPr>
        <w:pStyle w:val="Akapitzlist"/>
        <w:numPr>
          <w:ilvl w:val="0"/>
          <w:numId w:val="14"/>
        </w:numPr>
        <w:spacing w:after="0" w:line="240" w:lineRule="auto"/>
        <w:ind w:left="560" w:hanging="284"/>
        <w:contextualSpacing w:val="0"/>
        <w:rPr>
          <w:lang w:val="en-GB"/>
        </w:rPr>
      </w:pPr>
      <w:r w:rsidRPr="00E551D9">
        <w:rPr>
          <w:lang w:val="en-GB"/>
        </w:rPr>
        <w:t>d</w:t>
      </w:r>
      <w:r w:rsidR="00D3565D" w:rsidRPr="00E551D9">
        <w:rPr>
          <w:lang w:val="en-GB"/>
        </w:rPr>
        <w:t>iesel energy production: 43</w:t>
      </w:r>
      <w:r w:rsidR="007F7DB2">
        <w:rPr>
          <w:lang w:val="en-GB"/>
        </w:rPr>
        <w:t>.</w:t>
      </w:r>
      <w:r w:rsidR="00D3565D" w:rsidRPr="00E551D9">
        <w:rPr>
          <w:lang w:val="en-GB"/>
        </w:rPr>
        <w:t xml:space="preserve">1 </w:t>
      </w:r>
      <w:r w:rsidR="001535CC" w:rsidRPr="00E551D9">
        <w:rPr>
          <w:lang w:val="en-GB"/>
        </w:rPr>
        <w:t>[</w:t>
      </w:r>
      <w:r w:rsidR="00D3565D" w:rsidRPr="00E551D9">
        <w:rPr>
          <w:lang w:val="en-GB"/>
        </w:rPr>
        <w:t>MJ/kg</w:t>
      </w:r>
      <w:r w:rsidR="001535CC" w:rsidRPr="00E551D9">
        <w:rPr>
          <w:lang w:val="en-GB"/>
        </w:rPr>
        <w:t>]</w:t>
      </w:r>
      <w:r w:rsidR="00A47BF1" w:rsidRPr="00E551D9">
        <w:rPr>
          <w:lang w:val="en-GB"/>
        </w:rPr>
        <w:t>.</w:t>
      </w:r>
    </w:p>
    <w:p w14:paraId="4406BCC4" w14:textId="77777777" w:rsidR="00E551D9" w:rsidRDefault="00E551D9" w:rsidP="007E7F83">
      <w:pPr>
        <w:spacing w:after="0" w:line="240" w:lineRule="auto"/>
        <w:rPr>
          <w:lang w:val="en-GB"/>
        </w:rPr>
      </w:pPr>
    </w:p>
    <w:p w14:paraId="14E56F88" w14:textId="28CD5FCB" w:rsidR="00D3565D" w:rsidRPr="00E551D9" w:rsidRDefault="00D3565D" w:rsidP="007E7F83">
      <w:pPr>
        <w:spacing w:after="0" w:line="240" w:lineRule="auto"/>
        <w:ind w:firstLine="284"/>
        <w:rPr>
          <w:lang w:val="en-GB"/>
        </w:rPr>
      </w:pPr>
      <w:r w:rsidRPr="00E551D9">
        <w:rPr>
          <w:lang w:val="en-GB"/>
        </w:rPr>
        <w:t xml:space="preserve">Emission values are calculated in </w:t>
      </w:r>
      <w:r w:rsidR="003B09B1">
        <w:rPr>
          <w:lang w:val="en-GB"/>
        </w:rPr>
        <w:t xml:space="preserve">the </w:t>
      </w:r>
      <w:r w:rsidRPr="00E551D9">
        <w:rPr>
          <w:lang w:val="en-GB"/>
        </w:rPr>
        <w:t xml:space="preserve">COPERT module. The unit </w:t>
      </w:r>
      <w:r w:rsidR="003B09B1">
        <w:rPr>
          <w:lang w:val="en-GB"/>
        </w:rPr>
        <w:t xml:space="preserve">in which </w:t>
      </w:r>
      <w:r w:rsidRPr="00E551D9">
        <w:rPr>
          <w:lang w:val="en-GB"/>
        </w:rPr>
        <w:t>the results are presented is gram [g]. Those are:</w:t>
      </w:r>
    </w:p>
    <w:p w14:paraId="40F4681B" w14:textId="6527ECDA"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CO</w:t>
      </w:r>
      <w:r w:rsidRPr="00E551D9">
        <w:rPr>
          <w:vertAlign w:val="subscript"/>
          <w:lang w:val="en-GB"/>
        </w:rPr>
        <w:t>2</w:t>
      </w:r>
      <w:r w:rsidRPr="00E551D9">
        <w:rPr>
          <w:lang w:val="en-GB"/>
        </w:rPr>
        <w:t xml:space="preserve"> carbon dioxide</w:t>
      </w:r>
      <w:r w:rsidR="00A47BF1" w:rsidRPr="00E551D9">
        <w:rPr>
          <w:lang w:val="en-GB"/>
        </w:rPr>
        <w:t>,</w:t>
      </w:r>
    </w:p>
    <w:p w14:paraId="7B4ABA62" w14:textId="47B6551D"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CH</w:t>
      </w:r>
      <w:r w:rsidRPr="00E551D9">
        <w:rPr>
          <w:vertAlign w:val="subscript"/>
          <w:lang w:val="en-GB"/>
        </w:rPr>
        <w:t>4</w:t>
      </w:r>
      <w:r w:rsidRPr="00E551D9">
        <w:rPr>
          <w:lang w:val="en-GB"/>
        </w:rPr>
        <w:t xml:space="preserve"> methane</w:t>
      </w:r>
      <w:r w:rsidR="00A47BF1" w:rsidRPr="00E551D9">
        <w:rPr>
          <w:lang w:val="en-GB"/>
        </w:rPr>
        <w:t>,</w:t>
      </w:r>
    </w:p>
    <w:p w14:paraId="7CDD34FD" w14:textId="38EC2548"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N</w:t>
      </w:r>
      <w:r w:rsidRPr="00E551D9">
        <w:rPr>
          <w:vertAlign w:val="subscript"/>
          <w:lang w:val="en-GB"/>
        </w:rPr>
        <w:t>2</w:t>
      </w:r>
      <w:r w:rsidRPr="00E551D9">
        <w:rPr>
          <w:lang w:val="en-GB"/>
        </w:rPr>
        <w:t>O nitrous oxide</w:t>
      </w:r>
      <w:r w:rsidR="00A47BF1" w:rsidRPr="00E551D9">
        <w:rPr>
          <w:lang w:val="en-GB"/>
        </w:rPr>
        <w:t>,</w:t>
      </w:r>
    </w:p>
    <w:p w14:paraId="4D46C39F" w14:textId="57F86B4D"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PM particle matters up to 10</w:t>
      </w:r>
      <w:r w:rsidR="001535CC" w:rsidRPr="00E551D9">
        <w:rPr>
          <w:lang w:val="en-GB"/>
        </w:rPr>
        <w:t xml:space="preserve"> [</w:t>
      </w:r>
      <w:r w:rsidRPr="00E551D9">
        <w:rPr>
          <w:lang w:val="en-GB"/>
        </w:rPr>
        <w:t>µm</w:t>
      </w:r>
      <w:r w:rsidR="001535CC" w:rsidRPr="00E551D9">
        <w:rPr>
          <w:lang w:val="en-GB"/>
        </w:rPr>
        <w:t>]</w:t>
      </w:r>
      <w:r w:rsidR="00A47BF1" w:rsidRPr="00E551D9">
        <w:rPr>
          <w:lang w:val="en-GB"/>
        </w:rPr>
        <w:t>,</w:t>
      </w:r>
    </w:p>
    <w:p w14:paraId="2ECB9264" w14:textId="3D2C454B"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PM non-exhaust particle matters up to 10</w:t>
      </w:r>
      <w:r w:rsidR="001535CC" w:rsidRPr="00E551D9">
        <w:rPr>
          <w:lang w:val="en-GB"/>
        </w:rPr>
        <w:t xml:space="preserve"> [</w:t>
      </w:r>
      <w:r w:rsidRPr="00E551D9">
        <w:rPr>
          <w:lang w:val="en-GB"/>
        </w:rPr>
        <w:t>µm</w:t>
      </w:r>
      <w:r w:rsidR="001535CC" w:rsidRPr="00E551D9">
        <w:rPr>
          <w:lang w:val="en-GB"/>
        </w:rPr>
        <w:t>]</w:t>
      </w:r>
      <w:r w:rsidRPr="00E551D9">
        <w:rPr>
          <w:lang w:val="en-GB"/>
        </w:rPr>
        <w:t>, non-exhaust</w:t>
      </w:r>
      <w:r w:rsidR="00A47BF1" w:rsidRPr="00E551D9">
        <w:rPr>
          <w:lang w:val="en-GB"/>
        </w:rPr>
        <w:t>,</w:t>
      </w:r>
    </w:p>
    <w:p w14:paraId="52BBC1D2" w14:textId="4E354E93"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PM2.5 particle matters up to 2.5</w:t>
      </w:r>
      <w:r w:rsidR="001535CC" w:rsidRPr="00E551D9">
        <w:rPr>
          <w:lang w:val="en-GB"/>
        </w:rPr>
        <w:t xml:space="preserve"> [</w:t>
      </w:r>
      <w:r w:rsidRPr="00E551D9">
        <w:rPr>
          <w:lang w:val="en-GB"/>
        </w:rPr>
        <w:t>µm</w:t>
      </w:r>
      <w:r w:rsidR="001535CC" w:rsidRPr="00E551D9">
        <w:rPr>
          <w:lang w:val="en-GB"/>
        </w:rPr>
        <w:t>]</w:t>
      </w:r>
      <w:r w:rsidR="00A47BF1" w:rsidRPr="00E551D9">
        <w:rPr>
          <w:lang w:val="en-GB"/>
        </w:rPr>
        <w:t>,</w:t>
      </w:r>
    </w:p>
    <w:p w14:paraId="080777AC" w14:textId="547501C6"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PM2.5 non-exhaust particle matters up to 2.5</w:t>
      </w:r>
      <w:r w:rsidR="001535CC" w:rsidRPr="00E551D9">
        <w:rPr>
          <w:lang w:val="en-GB"/>
        </w:rPr>
        <w:t xml:space="preserve"> [</w:t>
      </w:r>
      <w:r w:rsidRPr="00E551D9">
        <w:rPr>
          <w:lang w:val="en-GB"/>
        </w:rPr>
        <w:t>µm</w:t>
      </w:r>
      <w:r w:rsidR="001535CC" w:rsidRPr="00E551D9">
        <w:rPr>
          <w:lang w:val="en-GB"/>
        </w:rPr>
        <w:t>]</w:t>
      </w:r>
      <w:r w:rsidRPr="00E551D9">
        <w:rPr>
          <w:lang w:val="en-GB"/>
        </w:rPr>
        <w:t>, non-exhaust</w:t>
      </w:r>
      <w:r w:rsidR="00A47BF1" w:rsidRPr="00E551D9">
        <w:rPr>
          <w:lang w:val="en-GB"/>
        </w:rPr>
        <w:t>,</w:t>
      </w:r>
    </w:p>
    <w:p w14:paraId="2186C7EB" w14:textId="10DCDBAC"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BC exhaust black carbon, exhaust</w:t>
      </w:r>
      <w:r w:rsidR="00A47BF1" w:rsidRPr="00E551D9">
        <w:rPr>
          <w:lang w:val="en-GB"/>
        </w:rPr>
        <w:t>,</w:t>
      </w:r>
    </w:p>
    <w:p w14:paraId="4AB05252" w14:textId="6B700468"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 xml:space="preserve">BC non-exhaust </w:t>
      </w:r>
      <w:r w:rsidR="001B6751" w:rsidRPr="00E551D9">
        <w:rPr>
          <w:lang w:val="en-GB"/>
        </w:rPr>
        <w:t>b</w:t>
      </w:r>
      <w:r w:rsidRPr="00E551D9">
        <w:rPr>
          <w:lang w:val="en-GB"/>
        </w:rPr>
        <w:t>lack carbon, non-exhaust</w:t>
      </w:r>
      <w:r w:rsidR="00A47BF1" w:rsidRPr="00E551D9">
        <w:rPr>
          <w:lang w:val="en-GB"/>
        </w:rPr>
        <w:t>,</w:t>
      </w:r>
    </w:p>
    <w:p w14:paraId="6952E65C" w14:textId="5F77A8AF"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Pb lead</w:t>
      </w:r>
      <w:r w:rsidR="00A47BF1" w:rsidRPr="00E551D9">
        <w:rPr>
          <w:lang w:val="en-GB"/>
        </w:rPr>
        <w:t>,</w:t>
      </w:r>
    </w:p>
    <w:p w14:paraId="2C5C37B5" w14:textId="0C8F1DE4"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NH</w:t>
      </w:r>
      <w:r w:rsidRPr="00E551D9">
        <w:rPr>
          <w:vertAlign w:val="subscript"/>
          <w:lang w:val="en-GB"/>
        </w:rPr>
        <w:t>3</w:t>
      </w:r>
      <w:r w:rsidRPr="00E551D9">
        <w:rPr>
          <w:lang w:val="en-GB"/>
        </w:rPr>
        <w:t xml:space="preserve"> ammoniac</w:t>
      </w:r>
      <w:r w:rsidR="00A47BF1" w:rsidRPr="00E551D9">
        <w:rPr>
          <w:lang w:val="en-GB"/>
        </w:rPr>
        <w:t>,</w:t>
      </w:r>
    </w:p>
    <w:p w14:paraId="68D1DDE3" w14:textId="697A5EE9"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SO</w:t>
      </w:r>
      <w:r w:rsidRPr="00E551D9">
        <w:rPr>
          <w:vertAlign w:val="subscript"/>
          <w:lang w:val="en-GB"/>
        </w:rPr>
        <w:t>2</w:t>
      </w:r>
      <w:r w:rsidRPr="00E551D9">
        <w:rPr>
          <w:lang w:val="en-GB"/>
        </w:rPr>
        <w:t xml:space="preserve"> sulphur dioxide</w:t>
      </w:r>
      <w:r w:rsidR="00A47BF1" w:rsidRPr="00E551D9">
        <w:rPr>
          <w:lang w:val="en-GB"/>
        </w:rPr>
        <w:t>,</w:t>
      </w:r>
    </w:p>
    <w:p w14:paraId="563A4413" w14:textId="1697FB7F"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NO</w:t>
      </w:r>
      <w:r w:rsidRPr="00E551D9">
        <w:rPr>
          <w:vertAlign w:val="subscript"/>
          <w:lang w:val="en-GB"/>
        </w:rPr>
        <w:t>2</w:t>
      </w:r>
      <w:r w:rsidRPr="00E551D9">
        <w:rPr>
          <w:lang w:val="en-GB"/>
        </w:rPr>
        <w:t xml:space="preserve"> nitrogen dioxide</w:t>
      </w:r>
      <w:r w:rsidR="00A47BF1" w:rsidRPr="00E551D9">
        <w:rPr>
          <w:lang w:val="en-GB"/>
        </w:rPr>
        <w:t>,</w:t>
      </w:r>
    </w:p>
    <w:p w14:paraId="14527B5A" w14:textId="5F97EB5C"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HC hydrocarbons</w:t>
      </w:r>
      <w:r w:rsidR="00A47BF1" w:rsidRPr="00E551D9">
        <w:rPr>
          <w:lang w:val="en-GB"/>
        </w:rPr>
        <w:t>,</w:t>
      </w:r>
    </w:p>
    <w:p w14:paraId="3B52D522" w14:textId="2D3B3652"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 xml:space="preserve">NMHC </w:t>
      </w:r>
      <w:r w:rsidR="001B6751" w:rsidRPr="00E551D9">
        <w:rPr>
          <w:lang w:val="en-GB"/>
        </w:rPr>
        <w:t>n</w:t>
      </w:r>
      <w:r w:rsidRPr="00E551D9">
        <w:rPr>
          <w:lang w:val="en-GB"/>
        </w:rPr>
        <w:t>on-methane hydrocarbons</w:t>
      </w:r>
      <w:r w:rsidR="00A47BF1" w:rsidRPr="00E551D9">
        <w:rPr>
          <w:lang w:val="en-GB"/>
        </w:rPr>
        <w:t>,</w:t>
      </w:r>
    </w:p>
    <w:p w14:paraId="73C73DFC" w14:textId="30A66840" w:rsidR="00D3565D" w:rsidRPr="00E551D9" w:rsidRDefault="001B6751" w:rsidP="007F7DB2">
      <w:pPr>
        <w:pStyle w:val="Akapitzlist"/>
        <w:numPr>
          <w:ilvl w:val="0"/>
          <w:numId w:val="15"/>
        </w:numPr>
        <w:spacing w:after="0" w:line="240" w:lineRule="auto"/>
        <w:ind w:left="546" w:hanging="284"/>
        <w:contextualSpacing w:val="0"/>
        <w:rPr>
          <w:lang w:val="en-GB"/>
        </w:rPr>
      </w:pPr>
      <w:r w:rsidRPr="00E551D9">
        <w:rPr>
          <w:lang w:val="en-GB"/>
        </w:rPr>
        <w:t>b</w:t>
      </w:r>
      <w:r w:rsidR="00D3565D" w:rsidRPr="00E551D9">
        <w:rPr>
          <w:lang w:val="en-GB"/>
        </w:rPr>
        <w:t>enzene</w:t>
      </w:r>
      <w:r w:rsidR="00A47BF1" w:rsidRPr="00E551D9">
        <w:rPr>
          <w:lang w:val="en-GB"/>
        </w:rPr>
        <w:t>,</w:t>
      </w:r>
    </w:p>
    <w:p w14:paraId="3DA1D513" w14:textId="3FD19AB2"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NOx nitrogen oxide</w:t>
      </w:r>
      <w:r w:rsidR="00A47BF1" w:rsidRPr="00E551D9">
        <w:rPr>
          <w:lang w:val="en-GB"/>
        </w:rPr>
        <w:t>,</w:t>
      </w:r>
    </w:p>
    <w:p w14:paraId="0477FC5E" w14:textId="67286DB6" w:rsidR="00D3565D" w:rsidRPr="00E551D9" w:rsidRDefault="00D3565D" w:rsidP="007F7DB2">
      <w:pPr>
        <w:pStyle w:val="Akapitzlist"/>
        <w:numPr>
          <w:ilvl w:val="0"/>
          <w:numId w:val="15"/>
        </w:numPr>
        <w:spacing w:after="0" w:line="240" w:lineRule="auto"/>
        <w:ind w:left="546" w:hanging="284"/>
        <w:contextualSpacing w:val="0"/>
        <w:rPr>
          <w:lang w:val="en-GB"/>
        </w:rPr>
      </w:pPr>
      <w:r w:rsidRPr="00E551D9">
        <w:rPr>
          <w:lang w:val="en-GB"/>
        </w:rPr>
        <w:t>CO carbon monoxide</w:t>
      </w:r>
      <w:r w:rsidR="00A47BF1" w:rsidRPr="00E551D9">
        <w:rPr>
          <w:lang w:val="en-GB"/>
        </w:rPr>
        <w:t>.</w:t>
      </w:r>
    </w:p>
    <w:p w14:paraId="1CB47078" w14:textId="77777777" w:rsidR="00E551D9" w:rsidRDefault="00E551D9" w:rsidP="007E7F83">
      <w:pPr>
        <w:spacing w:after="0" w:line="240" w:lineRule="auto"/>
        <w:ind w:firstLine="284"/>
        <w:jc w:val="both"/>
        <w:rPr>
          <w:lang w:val="en-GB"/>
        </w:rPr>
      </w:pPr>
    </w:p>
    <w:p w14:paraId="0A195A0C" w14:textId="2201CD3F" w:rsidR="00D3565D" w:rsidRPr="00E551D9" w:rsidRDefault="00D3565D" w:rsidP="007E7F83">
      <w:pPr>
        <w:spacing w:after="0" w:line="240" w:lineRule="auto"/>
        <w:ind w:firstLine="284"/>
        <w:jc w:val="both"/>
        <w:rPr>
          <w:lang w:val="en-GB"/>
        </w:rPr>
      </w:pPr>
      <w:r w:rsidRPr="00E551D9">
        <w:rPr>
          <w:lang w:val="en-GB"/>
        </w:rPr>
        <w:t>Among those emissions, emission cost</w:t>
      </w:r>
      <w:r w:rsidR="003B09B1">
        <w:rPr>
          <w:lang w:val="en-GB"/>
        </w:rPr>
        <w:t>s</w:t>
      </w:r>
      <w:r w:rsidRPr="00E551D9">
        <w:rPr>
          <w:lang w:val="en-GB"/>
        </w:rPr>
        <w:t xml:space="preserve"> have been calculated according to </w:t>
      </w:r>
      <w:r w:rsidR="003B09B1">
        <w:rPr>
          <w:lang w:val="en-GB"/>
        </w:rPr>
        <w:t xml:space="preserve">the </w:t>
      </w:r>
      <w:r w:rsidRPr="00E551D9">
        <w:rPr>
          <w:lang w:val="en-GB"/>
        </w:rPr>
        <w:t xml:space="preserve">Handbook on External Costs of Transport prepared by </w:t>
      </w:r>
      <w:r w:rsidR="003B09B1">
        <w:rPr>
          <w:lang w:val="en-GB"/>
        </w:rPr>
        <w:t xml:space="preserve">the </w:t>
      </w:r>
      <w:r w:rsidRPr="00E551D9">
        <w:rPr>
          <w:lang w:val="en-GB"/>
        </w:rPr>
        <w:t xml:space="preserve">European Commission. To calculate an emission cost for </w:t>
      </w:r>
      <w:r w:rsidR="003B09B1">
        <w:rPr>
          <w:lang w:val="en-GB"/>
        </w:rPr>
        <w:t>a</w:t>
      </w:r>
      <w:r w:rsidRPr="00E551D9">
        <w:rPr>
          <w:lang w:val="en-GB"/>
        </w:rPr>
        <w:t xml:space="preserve"> better comparison of the results, three emission factors have been considered. Below</w:t>
      </w:r>
      <w:r w:rsidR="003B09B1">
        <w:rPr>
          <w:lang w:val="en-GB"/>
        </w:rPr>
        <w:t>,</w:t>
      </w:r>
      <w:r w:rsidRPr="00E551D9">
        <w:rPr>
          <w:lang w:val="en-GB"/>
        </w:rPr>
        <w:t xml:space="preserve"> the emission cost</w:t>
      </w:r>
      <w:r w:rsidR="003B09B1">
        <w:rPr>
          <w:lang w:val="en-GB"/>
        </w:rPr>
        <w:t>s</w:t>
      </w:r>
      <w:r w:rsidRPr="00E551D9">
        <w:rPr>
          <w:lang w:val="en-GB"/>
        </w:rPr>
        <w:t xml:space="preserve"> have been shown:</w:t>
      </w:r>
    </w:p>
    <w:p w14:paraId="09A0452C" w14:textId="67420B73" w:rsidR="00D3565D" w:rsidRPr="00E551D9" w:rsidRDefault="00D3565D" w:rsidP="007F7DB2">
      <w:pPr>
        <w:pStyle w:val="Akapitzlist"/>
        <w:numPr>
          <w:ilvl w:val="0"/>
          <w:numId w:val="16"/>
        </w:numPr>
        <w:spacing w:after="0" w:line="240" w:lineRule="auto"/>
        <w:ind w:left="560" w:hanging="284"/>
        <w:contextualSpacing w:val="0"/>
        <w:rPr>
          <w:lang w:val="en-GB"/>
        </w:rPr>
      </w:pPr>
      <w:r w:rsidRPr="00E551D9">
        <w:rPr>
          <w:lang w:val="en-GB"/>
        </w:rPr>
        <w:t>NO</w:t>
      </w:r>
      <w:r w:rsidRPr="007F7DB2">
        <w:rPr>
          <w:vertAlign w:val="subscript"/>
          <w:lang w:val="en-GB"/>
        </w:rPr>
        <w:t>x</w:t>
      </w:r>
      <w:r w:rsidRPr="00E551D9">
        <w:rPr>
          <w:lang w:val="en-GB"/>
        </w:rPr>
        <w:t xml:space="preserve">: 3900 </w:t>
      </w:r>
      <w:r w:rsidR="00DF3B35" w:rsidRPr="00E551D9">
        <w:rPr>
          <w:lang w:val="en-GB"/>
        </w:rPr>
        <w:t>[EURO</w:t>
      </w:r>
      <w:r w:rsidRPr="00E551D9">
        <w:rPr>
          <w:lang w:val="en-GB"/>
        </w:rPr>
        <w:t>/t</w:t>
      </w:r>
      <w:r w:rsidR="001535CC" w:rsidRPr="00E551D9">
        <w:rPr>
          <w:lang w:val="en-GB"/>
        </w:rPr>
        <w:t>]</w:t>
      </w:r>
      <w:r w:rsidR="00A47BF1" w:rsidRPr="00E551D9">
        <w:rPr>
          <w:lang w:val="en-GB"/>
        </w:rPr>
        <w:t>,</w:t>
      </w:r>
    </w:p>
    <w:p w14:paraId="648A4F0C" w14:textId="15FA343D" w:rsidR="00D3565D" w:rsidRPr="00E551D9" w:rsidRDefault="00D3565D" w:rsidP="007F7DB2">
      <w:pPr>
        <w:pStyle w:val="Akapitzlist"/>
        <w:numPr>
          <w:ilvl w:val="0"/>
          <w:numId w:val="16"/>
        </w:numPr>
        <w:spacing w:after="0" w:line="240" w:lineRule="auto"/>
        <w:ind w:left="560" w:hanging="284"/>
        <w:contextualSpacing w:val="0"/>
        <w:rPr>
          <w:lang w:val="en-GB"/>
        </w:rPr>
      </w:pPr>
      <w:r w:rsidRPr="00E551D9">
        <w:rPr>
          <w:lang w:val="en-GB"/>
        </w:rPr>
        <w:t>SO</w:t>
      </w:r>
      <w:r w:rsidRPr="00E551D9">
        <w:rPr>
          <w:vertAlign w:val="subscript"/>
          <w:lang w:val="en-GB"/>
        </w:rPr>
        <w:t>2</w:t>
      </w:r>
      <w:r w:rsidRPr="00E551D9">
        <w:rPr>
          <w:lang w:val="en-GB"/>
        </w:rPr>
        <w:t>: 5600</w:t>
      </w:r>
      <w:r w:rsidR="001535CC" w:rsidRPr="00E551D9">
        <w:rPr>
          <w:lang w:val="en-GB"/>
        </w:rPr>
        <w:t>[E</w:t>
      </w:r>
      <w:r w:rsidR="00DF3B35" w:rsidRPr="00E551D9">
        <w:rPr>
          <w:lang w:val="en-GB"/>
        </w:rPr>
        <w:t>URO</w:t>
      </w:r>
      <w:r w:rsidRPr="00E551D9">
        <w:rPr>
          <w:lang w:val="en-GB"/>
        </w:rPr>
        <w:t>/t</w:t>
      </w:r>
      <w:r w:rsidR="001535CC" w:rsidRPr="00E551D9">
        <w:rPr>
          <w:lang w:val="en-GB"/>
        </w:rPr>
        <w:t>]</w:t>
      </w:r>
      <w:r w:rsidR="00A47BF1" w:rsidRPr="00E551D9">
        <w:rPr>
          <w:lang w:val="en-GB"/>
        </w:rPr>
        <w:t>,</w:t>
      </w:r>
    </w:p>
    <w:p w14:paraId="68C63B1B" w14:textId="3A2BA827" w:rsidR="00E01673" w:rsidRPr="00E551D9" w:rsidRDefault="00D3565D" w:rsidP="007F7DB2">
      <w:pPr>
        <w:pStyle w:val="Akapitzlist"/>
        <w:numPr>
          <w:ilvl w:val="0"/>
          <w:numId w:val="16"/>
        </w:numPr>
        <w:spacing w:after="0" w:line="240" w:lineRule="auto"/>
        <w:ind w:left="560" w:hanging="284"/>
        <w:contextualSpacing w:val="0"/>
        <w:rPr>
          <w:lang w:val="en-GB"/>
        </w:rPr>
      </w:pPr>
      <w:r w:rsidRPr="00E551D9">
        <w:rPr>
          <w:lang w:val="en-GB"/>
        </w:rPr>
        <w:t>PM2.5 174</w:t>
      </w:r>
      <w:r w:rsidR="003B09B1">
        <w:rPr>
          <w:lang w:val="en-GB"/>
        </w:rPr>
        <w:t>,</w:t>
      </w:r>
      <w:r w:rsidRPr="00E551D9">
        <w:rPr>
          <w:lang w:val="en-GB"/>
        </w:rPr>
        <w:t xml:space="preserve">500 </w:t>
      </w:r>
      <w:r w:rsidR="001535CC" w:rsidRPr="00E551D9">
        <w:rPr>
          <w:lang w:val="en-GB"/>
        </w:rPr>
        <w:t>[E</w:t>
      </w:r>
      <w:r w:rsidR="00DF3B35" w:rsidRPr="00E551D9">
        <w:rPr>
          <w:lang w:val="en-GB"/>
        </w:rPr>
        <w:t>URO</w:t>
      </w:r>
      <w:r w:rsidRPr="00E551D9">
        <w:rPr>
          <w:lang w:val="en-GB"/>
        </w:rPr>
        <w:t>/t</w:t>
      </w:r>
      <w:r w:rsidR="001535CC" w:rsidRPr="00E551D9">
        <w:rPr>
          <w:lang w:val="en-GB"/>
        </w:rPr>
        <w:t>]</w:t>
      </w:r>
      <w:r w:rsidR="00A47BF1" w:rsidRPr="00E551D9">
        <w:rPr>
          <w:lang w:val="en-GB"/>
        </w:rPr>
        <w:t>.</w:t>
      </w:r>
    </w:p>
    <w:p w14:paraId="215CF1E9" w14:textId="172217CA" w:rsidR="0035359D" w:rsidRPr="00E551D9" w:rsidRDefault="00E50263" w:rsidP="007E7F83">
      <w:pPr>
        <w:pStyle w:val="Rn2"/>
      </w:pPr>
      <w:r w:rsidRPr="00E551D9">
        <w:rPr>
          <w:bCs/>
        </w:rPr>
        <w:t xml:space="preserve">3.3. </w:t>
      </w:r>
      <w:r w:rsidR="00E01673" w:rsidRPr="00E551D9">
        <w:t>Scenario description</w:t>
      </w:r>
    </w:p>
    <w:p w14:paraId="393C22EF" w14:textId="552B729D" w:rsidR="00EA606A" w:rsidRPr="00E551D9" w:rsidRDefault="00EA606A" w:rsidP="007E7F83">
      <w:pPr>
        <w:spacing w:after="0" w:line="240" w:lineRule="auto"/>
        <w:ind w:firstLine="284"/>
        <w:jc w:val="both"/>
        <w:rPr>
          <w:lang w:val="en-GB"/>
        </w:rPr>
      </w:pPr>
      <w:r w:rsidRPr="00E551D9">
        <w:rPr>
          <w:lang w:val="en-GB"/>
        </w:rPr>
        <w:t xml:space="preserve">The unit emission and energy consumption factors were sourced from the COPERT V model, while traffic volumes were derived from the traffic assignment results in the GZM transport model developed in PTV </w:t>
      </w:r>
      <w:proofErr w:type="spellStart"/>
      <w:r w:rsidRPr="00E551D9">
        <w:rPr>
          <w:lang w:val="en-GB"/>
        </w:rPr>
        <w:t>Visum</w:t>
      </w:r>
      <w:proofErr w:type="spellEnd"/>
      <w:r w:rsidRPr="00E551D9">
        <w:rPr>
          <w:lang w:val="en-GB"/>
        </w:rPr>
        <w:t xml:space="preserve">. Emission and energy consumption assessments were conducted under three scenarios. These scenarios represented modifications to the base scenario (S0), which reflects average daily traffic conditions. The first scenario (S1) simulated peak seasonal traffic, while the second scenario (S2) assumed full electrification of delivery vehicles. This approach enabled an evaluation of the impact of urban logistics on overall traffic structure, as well as its contribution to total emissions and energy demand. To support strategic-level urban logistics planning, spatial analyses were carried out to identify road classes and city zones where additional regulations could have the most significant effects. These analyses also allowed for the assessment of the magnitude of such impacts. </w:t>
      </w:r>
      <w:r w:rsidR="00067483" w:rsidRPr="00E551D9">
        <w:rPr>
          <w:lang w:val="en-GB"/>
        </w:rPr>
        <w:t>The research scenarios assumed:</w:t>
      </w:r>
    </w:p>
    <w:p w14:paraId="0C7A3CAD" w14:textId="4FAE57B9" w:rsidR="001F73C2" w:rsidRPr="00E551D9" w:rsidRDefault="00665800" w:rsidP="007E7F83">
      <w:pPr>
        <w:pStyle w:val="Akapitzlist"/>
        <w:numPr>
          <w:ilvl w:val="0"/>
          <w:numId w:val="16"/>
        </w:numPr>
        <w:spacing w:after="0" w:line="240" w:lineRule="auto"/>
        <w:ind w:left="284" w:hanging="284"/>
        <w:jc w:val="both"/>
        <w:rPr>
          <w:lang w:val="en-GB"/>
        </w:rPr>
      </w:pPr>
      <w:r w:rsidRPr="00E551D9">
        <w:rPr>
          <w:lang w:val="en-GB"/>
        </w:rPr>
        <w:t xml:space="preserve">S0: </w:t>
      </w:r>
      <w:r w:rsidR="00C9201E" w:rsidRPr="00E551D9">
        <w:rPr>
          <w:lang w:val="en-GB"/>
        </w:rPr>
        <w:t xml:space="preserve">Traffic in </w:t>
      </w:r>
      <w:r w:rsidR="003B09B1">
        <w:rPr>
          <w:lang w:val="en-GB"/>
        </w:rPr>
        <w:t xml:space="preserve">the </w:t>
      </w:r>
      <w:r w:rsidR="00C9201E" w:rsidRPr="00E551D9">
        <w:rPr>
          <w:lang w:val="en-GB"/>
        </w:rPr>
        <w:t xml:space="preserve">existing state </w:t>
      </w:r>
      <w:r w:rsidR="00DC4E32">
        <w:rPr>
          <w:lang w:val="en-GB"/>
        </w:rPr>
        <w:t>–</w:t>
      </w:r>
      <w:r w:rsidR="00067483" w:rsidRPr="00E551D9">
        <w:rPr>
          <w:lang w:val="en-GB"/>
        </w:rPr>
        <w:t xml:space="preserve"> b</w:t>
      </w:r>
      <w:r w:rsidR="00244CCA" w:rsidRPr="00E551D9">
        <w:rPr>
          <w:lang w:val="en-GB"/>
        </w:rPr>
        <w:t>ase scenario represents standard traffic conditions</w:t>
      </w:r>
      <w:r w:rsidR="00AA1940" w:rsidRPr="00E551D9">
        <w:rPr>
          <w:lang w:val="en-GB"/>
        </w:rPr>
        <w:t xml:space="preserve"> as </w:t>
      </w:r>
      <w:r w:rsidR="009873E7" w:rsidRPr="00E551D9">
        <w:rPr>
          <w:lang w:val="en-GB"/>
        </w:rPr>
        <w:t xml:space="preserve">modelled in the GZM model and calibrated with the traffic research. </w:t>
      </w:r>
      <w:r w:rsidR="003522BD" w:rsidRPr="00E551D9">
        <w:rPr>
          <w:lang w:val="en-GB"/>
        </w:rPr>
        <w:t xml:space="preserve">Values of the </w:t>
      </w:r>
      <w:r w:rsidR="003E3647" w:rsidRPr="00E551D9">
        <w:rPr>
          <w:lang w:val="en-GB"/>
        </w:rPr>
        <w:t xml:space="preserve">base model will be compared </w:t>
      </w:r>
      <w:r w:rsidR="003B09B1">
        <w:rPr>
          <w:lang w:val="en-GB"/>
        </w:rPr>
        <w:t xml:space="preserve">and </w:t>
      </w:r>
      <w:r w:rsidR="003E3647" w:rsidRPr="00E551D9">
        <w:rPr>
          <w:lang w:val="en-GB"/>
        </w:rPr>
        <w:t xml:space="preserve">presented as nominal values </w:t>
      </w:r>
      <w:r w:rsidR="00B86BA7" w:rsidRPr="00E551D9">
        <w:rPr>
          <w:lang w:val="en-GB"/>
        </w:rPr>
        <w:t xml:space="preserve">of the energy consumption </w:t>
      </w:r>
      <w:r w:rsidR="007C0945" w:rsidRPr="00E551D9">
        <w:rPr>
          <w:lang w:val="en-GB"/>
        </w:rPr>
        <w:t>a</w:t>
      </w:r>
      <w:r w:rsidR="00B86BA7" w:rsidRPr="00E551D9">
        <w:rPr>
          <w:lang w:val="en-GB"/>
        </w:rPr>
        <w:t>nd</w:t>
      </w:r>
      <w:r w:rsidR="007C0945" w:rsidRPr="00E551D9">
        <w:rPr>
          <w:lang w:val="en-GB"/>
        </w:rPr>
        <w:t xml:space="preserve"> the</w:t>
      </w:r>
      <w:r w:rsidR="00B86BA7" w:rsidRPr="00E551D9">
        <w:rPr>
          <w:lang w:val="en-GB"/>
        </w:rPr>
        <w:t xml:space="preserve"> emission cost</w:t>
      </w:r>
      <w:r w:rsidR="001D7A2F" w:rsidRPr="00E551D9">
        <w:rPr>
          <w:lang w:val="en-GB"/>
        </w:rPr>
        <w:t xml:space="preserve">. </w:t>
      </w:r>
      <w:r w:rsidR="00E44BE1" w:rsidRPr="00E551D9">
        <w:rPr>
          <w:lang w:val="en-GB"/>
        </w:rPr>
        <w:t xml:space="preserve">Those values will </w:t>
      </w:r>
      <w:r w:rsidR="003B09B1">
        <w:rPr>
          <w:lang w:val="en-GB"/>
        </w:rPr>
        <w:t>then be</w:t>
      </w:r>
      <w:r w:rsidR="00E44BE1" w:rsidRPr="00E551D9">
        <w:rPr>
          <w:lang w:val="en-GB"/>
        </w:rPr>
        <w:t xml:space="preserve"> compared with the S1 and S2 scenario</w:t>
      </w:r>
      <w:r w:rsidR="003B09B1">
        <w:rPr>
          <w:lang w:val="en-GB"/>
        </w:rPr>
        <w:t>s</w:t>
      </w:r>
      <w:r w:rsidR="00E44BE1" w:rsidRPr="00E551D9">
        <w:rPr>
          <w:lang w:val="en-GB"/>
        </w:rPr>
        <w:t xml:space="preserve"> as the percentage of change referenced to </w:t>
      </w:r>
      <w:r w:rsidR="00F34AAF" w:rsidRPr="00E551D9">
        <w:rPr>
          <w:lang w:val="en-GB"/>
        </w:rPr>
        <w:t>S0.</w:t>
      </w:r>
    </w:p>
    <w:p w14:paraId="1B500F65" w14:textId="2A22309C" w:rsidR="001839FD" w:rsidRPr="00E551D9" w:rsidRDefault="00665800" w:rsidP="007E7F83">
      <w:pPr>
        <w:pStyle w:val="Akapitzlist"/>
        <w:numPr>
          <w:ilvl w:val="0"/>
          <w:numId w:val="16"/>
        </w:numPr>
        <w:spacing w:after="0" w:line="240" w:lineRule="auto"/>
        <w:ind w:left="284" w:hanging="284"/>
        <w:jc w:val="both"/>
        <w:rPr>
          <w:lang w:val="en-GB"/>
        </w:rPr>
      </w:pPr>
      <w:r w:rsidRPr="00E551D9">
        <w:rPr>
          <w:lang w:val="en-GB"/>
        </w:rPr>
        <w:lastRenderedPageBreak/>
        <w:t xml:space="preserve">S1: </w:t>
      </w:r>
      <w:r w:rsidR="00C9201E" w:rsidRPr="00E551D9">
        <w:rPr>
          <w:lang w:val="en-GB"/>
        </w:rPr>
        <w:t>Scenario of the seasonal freight traffic increase</w:t>
      </w:r>
      <w:r w:rsidR="00067483" w:rsidRPr="00E551D9">
        <w:rPr>
          <w:lang w:val="en-GB"/>
        </w:rPr>
        <w:t xml:space="preserve"> </w:t>
      </w:r>
      <w:r w:rsidR="00DC4E32">
        <w:rPr>
          <w:lang w:val="en-GB"/>
        </w:rPr>
        <w:t>–</w:t>
      </w:r>
      <w:r w:rsidR="00067483" w:rsidRPr="00E551D9">
        <w:rPr>
          <w:lang w:val="en-GB"/>
        </w:rPr>
        <w:t xml:space="preserve"> a</w:t>
      </w:r>
      <w:r w:rsidR="00A72387" w:rsidRPr="00E551D9">
        <w:rPr>
          <w:lang w:val="en-GB"/>
        </w:rPr>
        <w:t>ccording to literature</w:t>
      </w:r>
      <w:r w:rsidR="00B4476F" w:rsidRPr="00E551D9">
        <w:rPr>
          <w:lang w:val="en-GB"/>
        </w:rPr>
        <w:t xml:space="preserve"> (Dabo et al. 2025</w:t>
      </w:r>
      <w:r w:rsidR="00DC4E32">
        <w:rPr>
          <w:lang w:val="en-GB"/>
        </w:rPr>
        <w:t>,</w:t>
      </w:r>
      <w:r w:rsidR="00B4476F" w:rsidRPr="00E551D9">
        <w:rPr>
          <w:lang w:val="en-GB"/>
        </w:rPr>
        <w:t xml:space="preserve"> </w:t>
      </w:r>
      <w:proofErr w:type="spellStart"/>
      <w:r w:rsidR="000D6762" w:rsidRPr="00E551D9">
        <w:rPr>
          <w:lang w:val="en-GB"/>
        </w:rPr>
        <w:t>Ranjbari</w:t>
      </w:r>
      <w:proofErr w:type="spellEnd"/>
      <w:r w:rsidR="000D6762" w:rsidRPr="00E551D9">
        <w:rPr>
          <w:lang w:val="en-GB"/>
        </w:rPr>
        <w:t xml:space="preserve"> et</w:t>
      </w:r>
      <w:r w:rsidR="00F403AE">
        <w:rPr>
          <w:lang w:val="en-GB"/>
        </w:rPr>
        <w:t> </w:t>
      </w:r>
      <w:r w:rsidR="000D6762" w:rsidRPr="00E551D9">
        <w:rPr>
          <w:lang w:val="en-GB"/>
        </w:rPr>
        <w:t>al. 2023)</w:t>
      </w:r>
      <w:r w:rsidR="00A72387" w:rsidRPr="00E551D9">
        <w:rPr>
          <w:lang w:val="en-GB"/>
        </w:rPr>
        <w:t xml:space="preserve">, during the seasonal </w:t>
      </w:r>
      <w:r w:rsidR="000A49AE" w:rsidRPr="00E551D9">
        <w:rPr>
          <w:lang w:val="en-GB"/>
        </w:rPr>
        <w:t xml:space="preserve">peak, freight traffic increase </w:t>
      </w:r>
      <w:r w:rsidR="004D5C65" w:rsidRPr="00E551D9">
        <w:rPr>
          <w:lang w:val="en-GB"/>
        </w:rPr>
        <w:t>was set on</w:t>
      </w:r>
      <w:r w:rsidR="000A49AE" w:rsidRPr="00E551D9">
        <w:rPr>
          <w:lang w:val="en-GB"/>
        </w:rPr>
        <w:t xml:space="preserve"> 20% more than the standard freight flow. </w:t>
      </w:r>
      <w:r w:rsidR="00C016E0" w:rsidRPr="00E551D9">
        <w:rPr>
          <w:lang w:val="en-GB"/>
        </w:rPr>
        <w:t xml:space="preserve">To reproduce this, a </w:t>
      </w:r>
      <w:proofErr w:type="spellStart"/>
      <w:r w:rsidR="00C016E0" w:rsidRPr="00E551D9">
        <w:rPr>
          <w:lang w:val="en-GB"/>
        </w:rPr>
        <w:t>Visum</w:t>
      </w:r>
      <w:proofErr w:type="spellEnd"/>
      <w:r w:rsidR="00C016E0" w:rsidRPr="00E551D9">
        <w:rPr>
          <w:lang w:val="en-GB"/>
        </w:rPr>
        <w:t xml:space="preserve"> model was modified. </w:t>
      </w:r>
      <w:r w:rsidR="005822B1" w:rsidRPr="00E551D9">
        <w:rPr>
          <w:lang w:val="en-GB"/>
        </w:rPr>
        <w:t>All of the</w:t>
      </w:r>
      <w:r w:rsidR="00B145DF" w:rsidRPr="00E551D9">
        <w:rPr>
          <w:lang w:val="en-GB"/>
        </w:rPr>
        <w:t xml:space="preserve"> trip generation</w:t>
      </w:r>
      <w:r w:rsidR="005822B1" w:rsidRPr="00E551D9">
        <w:rPr>
          <w:lang w:val="en-GB"/>
        </w:rPr>
        <w:t xml:space="preserve"> </w:t>
      </w:r>
      <w:r w:rsidR="00640604" w:rsidRPr="00E551D9">
        <w:rPr>
          <w:lang w:val="en-GB"/>
        </w:rPr>
        <w:t>(</w:t>
      </w:r>
      <w:r w:rsidR="005822B1" w:rsidRPr="00E551D9">
        <w:rPr>
          <w:lang w:val="en-GB"/>
        </w:rPr>
        <w:t>production and attraction</w:t>
      </w:r>
      <w:r w:rsidR="00640604" w:rsidRPr="00E551D9">
        <w:rPr>
          <w:lang w:val="en-GB"/>
        </w:rPr>
        <w:t>)</w:t>
      </w:r>
      <w:r w:rsidR="005822B1" w:rsidRPr="00E551D9">
        <w:rPr>
          <w:lang w:val="en-GB"/>
        </w:rPr>
        <w:t xml:space="preserve"> elements </w:t>
      </w:r>
      <w:r w:rsidR="00640604" w:rsidRPr="00E551D9">
        <w:rPr>
          <w:lang w:val="en-GB"/>
        </w:rPr>
        <w:t>associated</w:t>
      </w:r>
      <w:r w:rsidR="005822B1" w:rsidRPr="00E551D9">
        <w:rPr>
          <w:lang w:val="en-GB"/>
        </w:rPr>
        <w:t xml:space="preserve"> with </w:t>
      </w:r>
      <w:r w:rsidR="003E25C1" w:rsidRPr="00E551D9">
        <w:rPr>
          <w:lang w:val="en-GB"/>
        </w:rPr>
        <w:t>the freight traffic have been enlarged by 20% (</w:t>
      </w:r>
      <w:r w:rsidR="00640604" w:rsidRPr="00E551D9">
        <w:rPr>
          <w:lang w:val="en-GB"/>
        </w:rPr>
        <w:t>each</w:t>
      </w:r>
      <w:r w:rsidR="00B145DF" w:rsidRPr="00E551D9">
        <w:rPr>
          <w:lang w:val="en-GB"/>
        </w:rPr>
        <w:t xml:space="preserve"> </w:t>
      </w:r>
      <w:r w:rsidR="00A64D8E" w:rsidRPr="00E551D9">
        <w:rPr>
          <w:lang w:val="en-GB"/>
        </w:rPr>
        <w:t>data vector</w:t>
      </w:r>
      <w:r w:rsidR="00597248" w:rsidRPr="00E551D9">
        <w:rPr>
          <w:lang w:val="en-GB"/>
        </w:rPr>
        <w:t xml:space="preserve"> of the freight production and attraction</w:t>
      </w:r>
      <w:r w:rsidR="00B145DF" w:rsidRPr="00E551D9">
        <w:rPr>
          <w:lang w:val="en-GB"/>
        </w:rPr>
        <w:t xml:space="preserve"> ha</w:t>
      </w:r>
      <w:r w:rsidR="003B09B1">
        <w:rPr>
          <w:lang w:val="en-GB"/>
        </w:rPr>
        <w:t>s</w:t>
      </w:r>
      <w:r w:rsidR="00B145DF" w:rsidRPr="00E551D9">
        <w:rPr>
          <w:lang w:val="en-GB"/>
        </w:rPr>
        <w:t xml:space="preserve"> been </w:t>
      </w:r>
      <w:r w:rsidR="00640604" w:rsidRPr="00E551D9">
        <w:rPr>
          <w:lang w:val="en-GB"/>
        </w:rPr>
        <w:t>multiplied by 1,2</w:t>
      </w:r>
      <w:r w:rsidR="00431D56" w:rsidRPr="00E551D9">
        <w:rPr>
          <w:lang w:val="en-GB"/>
        </w:rPr>
        <w:t xml:space="preserve">). Later, the </w:t>
      </w:r>
      <w:r w:rsidR="003B09B1">
        <w:rPr>
          <w:lang w:val="en-GB"/>
        </w:rPr>
        <w:t>whole</w:t>
      </w:r>
      <w:r w:rsidR="00431D56" w:rsidRPr="00E551D9">
        <w:rPr>
          <w:lang w:val="en-GB"/>
        </w:rPr>
        <w:t xml:space="preserve"> procedure of the trip dis</w:t>
      </w:r>
      <w:r w:rsidR="00512D1C" w:rsidRPr="00E551D9">
        <w:rPr>
          <w:lang w:val="en-GB"/>
        </w:rPr>
        <w:t>tribution</w:t>
      </w:r>
      <w:r w:rsidR="00972B49" w:rsidRPr="00E551D9">
        <w:rPr>
          <w:lang w:val="en-GB"/>
        </w:rPr>
        <w:t>, modal split</w:t>
      </w:r>
      <w:r w:rsidR="003B09B1">
        <w:rPr>
          <w:lang w:val="en-GB"/>
        </w:rPr>
        <w:t>,</w:t>
      </w:r>
      <w:r w:rsidR="00972B49" w:rsidRPr="00E551D9">
        <w:rPr>
          <w:lang w:val="en-GB"/>
        </w:rPr>
        <w:t xml:space="preserve"> and traffic assignment </w:t>
      </w:r>
      <w:r w:rsidR="003B09B1">
        <w:rPr>
          <w:lang w:val="en-GB"/>
        </w:rPr>
        <w:t>was</w:t>
      </w:r>
      <w:r w:rsidR="00972B49" w:rsidRPr="00E551D9">
        <w:rPr>
          <w:lang w:val="en-GB"/>
        </w:rPr>
        <w:t xml:space="preserve"> calculated</w:t>
      </w:r>
      <w:r w:rsidR="00AA3276" w:rsidRPr="00E551D9">
        <w:rPr>
          <w:lang w:val="en-GB"/>
        </w:rPr>
        <w:t>.</w:t>
      </w:r>
      <w:r w:rsidR="00A64D8E" w:rsidRPr="00E551D9">
        <w:rPr>
          <w:lang w:val="en-GB"/>
        </w:rPr>
        <w:t xml:space="preserve"> </w:t>
      </w:r>
    </w:p>
    <w:p w14:paraId="31AF2E4B" w14:textId="572458B1" w:rsidR="00923522" w:rsidRPr="00E551D9" w:rsidRDefault="00665800" w:rsidP="007E7F83">
      <w:pPr>
        <w:pStyle w:val="Akapitzlist"/>
        <w:numPr>
          <w:ilvl w:val="0"/>
          <w:numId w:val="16"/>
        </w:numPr>
        <w:spacing w:after="0" w:line="240" w:lineRule="auto"/>
        <w:ind w:left="284" w:hanging="284"/>
        <w:jc w:val="both"/>
        <w:rPr>
          <w:lang w:val="en-GB"/>
        </w:rPr>
      </w:pPr>
      <w:r w:rsidRPr="00E551D9">
        <w:rPr>
          <w:lang w:val="en-GB"/>
        </w:rPr>
        <w:t xml:space="preserve">S2: </w:t>
      </w:r>
      <w:r w:rsidR="00C9201E" w:rsidRPr="00E551D9">
        <w:rPr>
          <w:lang w:val="en-GB"/>
        </w:rPr>
        <w:t>Scenario of the freight traffic replacement to EVs</w:t>
      </w:r>
      <w:r w:rsidR="00067483" w:rsidRPr="00E551D9">
        <w:rPr>
          <w:lang w:val="en-GB"/>
        </w:rPr>
        <w:t xml:space="preserve"> </w:t>
      </w:r>
      <w:r w:rsidR="00806C2B">
        <w:rPr>
          <w:lang w:val="en-GB"/>
        </w:rPr>
        <w:t>–</w:t>
      </w:r>
      <w:r w:rsidR="00067483" w:rsidRPr="00E551D9">
        <w:rPr>
          <w:lang w:val="en-GB"/>
        </w:rPr>
        <w:t xml:space="preserve"> f</w:t>
      </w:r>
      <w:r w:rsidR="004D5C65" w:rsidRPr="00E551D9">
        <w:rPr>
          <w:lang w:val="en-GB"/>
        </w:rPr>
        <w:t xml:space="preserve">or the S2, </w:t>
      </w:r>
      <w:r w:rsidR="00DB600B" w:rsidRPr="00E551D9">
        <w:rPr>
          <w:lang w:val="en-GB"/>
        </w:rPr>
        <w:t>custom</w:t>
      </w:r>
      <w:r w:rsidR="00CC62F6" w:rsidRPr="00E551D9">
        <w:rPr>
          <w:lang w:val="en-GB"/>
        </w:rPr>
        <w:t xml:space="preserve"> freight </w:t>
      </w:r>
      <w:r w:rsidR="00DB600B" w:rsidRPr="00E551D9">
        <w:rPr>
          <w:lang w:val="en-GB"/>
        </w:rPr>
        <w:t>vehicle categories</w:t>
      </w:r>
      <w:r w:rsidR="00F6251E" w:rsidRPr="00E551D9">
        <w:rPr>
          <w:lang w:val="en-GB"/>
        </w:rPr>
        <w:t xml:space="preserve"> in </w:t>
      </w:r>
      <w:proofErr w:type="spellStart"/>
      <w:r w:rsidR="00F6251E" w:rsidRPr="00E551D9">
        <w:rPr>
          <w:lang w:val="en-GB"/>
        </w:rPr>
        <w:t>Copert</w:t>
      </w:r>
      <w:proofErr w:type="spellEnd"/>
      <w:r w:rsidR="00F6251E" w:rsidRPr="00E551D9">
        <w:rPr>
          <w:lang w:val="en-GB"/>
        </w:rPr>
        <w:t xml:space="preserve"> were</w:t>
      </w:r>
      <w:r w:rsidR="00DB1EE8" w:rsidRPr="00E551D9">
        <w:rPr>
          <w:lang w:val="en-GB"/>
        </w:rPr>
        <w:t xml:space="preserve"> set. </w:t>
      </w:r>
      <w:r w:rsidR="009404AC" w:rsidRPr="00E551D9">
        <w:rPr>
          <w:lang w:val="en-GB"/>
        </w:rPr>
        <w:t>Instead of</w:t>
      </w:r>
      <w:r w:rsidR="00DB1EE8" w:rsidRPr="00E551D9">
        <w:rPr>
          <w:lang w:val="en-GB"/>
        </w:rPr>
        <w:t xml:space="preserve"> the mix of vehicles</w:t>
      </w:r>
      <w:r w:rsidR="009404AC" w:rsidRPr="00E551D9">
        <w:rPr>
          <w:lang w:val="en-GB"/>
        </w:rPr>
        <w:t xml:space="preserve"> with various emission standards</w:t>
      </w:r>
      <w:r w:rsidR="00DB1EE8" w:rsidRPr="00E551D9">
        <w:rPr>
          <w:lang w:val="en-GB"/>
        </w:rPr>
        <w:t xml:space="preserve"> </w:t>
      </w:r>
      <w:r w:rsidR="009404AC" w:rsidRPr="00E551D9">
        <w:rPr>
          <w:lang w:val="en-GB"/>
        </w:rPr>
        <w:t xml:space="preserve">stated for the region and year, </w:t>
      </w:r>
      <w:r w:rsidR="00DB4BD0" w:rsidRPr="00E551D9">
        <w:rPr>
          <w:lang w:val="en-GB"/>
        </w:rPr>
        <w:t>only the zero-emiss</w:t>
      </w:r>
      <w:r w:rsidR="000478E8" w:rsidRPr="00E551D9">
        <w:rPr>
          <w:lang w:val="en-GB"/>
        </w:rPr>
        <w:t>ion vehicle types were chosen.</w:t>
      </w:r>
      <w:r w:rsidR="007950CD" w:rsidRPr="00E551D9">
        <w:rPr>
          <w:lang w:val="en-GB"/>
        </w:rPr>
        <w:t xml:space="preserve"> </w:t>
      </w:r>
      <w:r w:rsidR="00EE55CA" w:rsidRPr="00E551D9">
        <w:rPr>
          <w:lang w:val="en-GB"/>
        </w:rPr>
        <w:t xml:space="preserve">In this case, no </w:t>
      </w:r>
      <w:r w:rsidR="00FD2585" w:rsidRPr="00E551D9">
        <w:rPr>
          <w:lang w:val="en-GB"/>
        </w:rPr>
        <w:t>traffic flow has been changed.</w:t>
      </w:r>
      <w:r w:rsidR="000478E8" w:rsidRPr="00E551D9">
        <w:rPr>
          <w:lang w:val="en-GB"/>
        </w:rPr>
        <w:t xml:space="preserve"> For this </w:t>
      </w:r>
      <w:r w:rsidR="00FD2585" w:rsidRPr="00E551D9">
        <w:rPr>
          <w:lang w:val="en-GB"/>
        </w:rPr>
        <w:t>scenario only</w:t>
      </w:r>
      <w:r w:rsidR="000478E8" w:rsidRPr="00E551D9">
        <w:rPr>
          <w:lang w:val="en-GB"/>
        </w:rPr>
        <w:t>, the emission</w:t>
      </w:r>
      <w:r w:rsidR="00AE126C" w:rsidRPr="00E551D9">
        <w:rPr>
          <w:lang w:val="en-GB"/>
        </w:rPr>
        <w:t>s were re</w:t>
      </w:r>
      <w:r w:rsidR="000478E8" w:rsidRPr="00E551D9">
        <w:rPr>
          <w:lang w:val="en-GB"/>
        </w:rPr>
        <w:t>calculat</w:t>
      </w:r>
      <w:r w:rsidR="00AE126C" w:rsidRPr="00E551D9">
        <w:rPr>
          <w:lang w:val="en-GB"/>
        </w:rPr>
        <w:t>ed</w:t>
      </w:r>
      <w:r w:rsidR="007950CD" w:rsidRPr="00E551D9">
        <w:rPr>
          <w:lang w:val="en-GB"/>
        </w:rPr>
        <w:t xml:space="preserve"> and compared with the S0.</w:t>
      </w:r>
    </w:p>
    <w:p w14:paraId="0DD8D4DC" w14:textId="23590382" w:rsidR="0035359D" w:rsidRPr="00E551D9" w:rsidRDefault="00EB5B09" w:rsidP="007E7F83">
      <w:pPr>
        <w:pStyle w:val="Rn1"/>
      </w:pPr>
      <w:r w:rsidRPr="00E551D9">
        <w:t xml:space="preserve">4. </w:t>
      </w:r>
      <w:r w:rsidR="0035359D" w:rsidRPr="00E551D9">
        <w:t>Results</w:t>
      </w:r>
    </w:p>
    <w:p w14:paraId="698C84EA" w14:textId="585FF64A" w:rsidR="00B82F3B" w:rsidRPr="00E551D9" w:rsidRDefault="00EB5B09" w:rsidP="00F6615F">
      <w:pPr>
        <w:pStyle w:val="Rn2"/>
      </w:pPr>
      <w:r w:rsidRPr="00E551D9">
        <w:rPr>
          <w:bCs/>
        </w:rPr>
        <w:t xml:space="preserve">4.1. </w:t>
      </w:r>
      <w:proofErr w:type="spellStart"/>
      <w:r w:rsidR="00B82F3B" w:rsidRPr="00E551D9">
        <w:t>Traffic</w:t>
      </w:r>
      <w:proofErr w:type="spellEnd"/>
      <w:r w:rsidR="00B82F3B" w:rsidRPr="00E551D9">
        <w:t xml:space="preserve"> in </w:t>
      </w:r>
      <w:r w:rsidR="003B09B1">
        <w:t xml:space="preserve">the </w:t>
      </w:r>
      <w:proofErr w:type="spellStart"/>
      <w:r w:rsidR="00B82F3B" w:rsidRPr="00E551D9">
        <w:t>existing</w:t>
      </w:r>
      <w:proofErr w:type="spellEnd"/>
      <w:r w:rsidR="00B82F3B" w:rsidRPr="00E551D9">
        <w:t xml:space="preserve"> </w:t>
      </w:r>
      <w:proofErr w:type="spellStart"/>
      <w:r w:rsidR="00B82F3B" w:rsidRPr="00E551D9">
        <w:t>state</w:t>
      </w:r>
      <w:proofErr w:type="spellEnd"/>
    </w:p>
    <w:p w14:paraId="1446929D" w14:textId="74784A99" w:rsidR="00B82F3B" w:rsidRDefault="00B82F3B" w:rsidP="007E7F83">
      <w:pPr>
        <w:spacing w:after="0" w:line="240" w:lineRule="auto"/>
        <w:ind w:firstLine="284"/>
        <w:jc w:val="both"/>
        <w:rPr>
          <w:rFonts w:eastAsia="Aptos" w:cs="Times New Roman"/>
          <w:lang w:val="en-GB"/>
        </w:rPr>
      </w:pPr>
      <w:r w:rsidRPr="00E551D9">
        <w:rPr>
          <w:rFonts w:eastAsia="Aptos" w:cs="Times New Roman"/>
          <w:lang w:val="en-GB"/>
        </w:rPr>
        <w:t xml:space="preserve">Energy consumption and emission costs have been presented for the links and related </w:t>
      </w:r>
      <w:r w:rsidR="003B09B1">
        <w:rPr>
          <w:rFonts w:eastAsia="Aptos" w:cs="Times New Roman"/>
          <w:lang w:val="en-GB"/>
        </w:rPr>
        <w:t xml:space="preserve">to </w:t>
      </w:r>
      <w:r w:rsidRPr="00E551D9">
        <w:rPr>
          <w:rFonts w:eastAsia="Aptos" w:cs="Times New Roman"/>
          <w:lang w:val="en-GB"/>
        </w:rPr>
        <w:t xml:space="preserve">per vehicle </w:t>
      </w:r>
      <w:proofErr w:type="spellStart"/>
      <w:r w:rsidRPr="00E551D9">
        <w:rPr>
          <w:rFonts w:eastAsia="Aptos" w:cs="Times New Roman"/>
          <w:lang w:val="en-GB"/>
        </w:rPr>
        <w:t>kilometer</w:t>
      </w:r>
      <w:proofErr w:type="spellEnd"/>
      <w:r w:rsidRPr="00E551D9">
        <w:rPr>
          <w:rFonts w:eastAsia="Aptos" w:cs="Times New Roman"/>
          <w:lang w:val="en-GB"/>
        </w:rPr>
        <w:t>. It was presented for the road class</w:t>
      </w:r>
      <w:r w:rsidR="00C53FC1" w:rsidRPr="00E551D9">
        <w:rPr>
          <w:rFonts w:eastAsia="Aptos" w:cs="Times New Roman"/>
          <w:lang w:val="en-GB"/>
        </w:rPr>
        <w:t xml:space="preserve"> </w:t>
      </w:r>
      <w:r w:rsidR="00E31B1C" w:rsidRPr="00E551D9">
        <w:rPr>
          <w:rFonts w:eastAsia="Aptos" w:cs="Times New Roman"/>
          <w:lang w:val="en-GB"/>
        </w:rPr>
        <w:t>(Fig</w:t>
      </w:r>
      <w:r w:rsidR="00C653EB" w:rsidRPr="00E551D9">
        <w:rPr>
          <w:rFonts w:eastAsia="Aptos" w:cs="Times New Roman"/>
          <w:lang w:val="en-GB"/>
        </w:rPr>
        <w:t>ure</w:t>
      </w:r>
      <w:r w:rsidR="00E31B1C" w:rsidRPr="00E551D9">
        <w:rPr>
          <w:rFonts w:eastAsia="Aptos" w:cs="Times New Roman"/>
          <w:lang w:val="en-GB"/>
        </w:rPr>
        <w:t xml:space="preserve"> 6)</w:t>
      </w:r>
      <w:r w:rsidRPr="00E551D9">
        <w:rPr>
          <w:rFonts w:eastAsia="Aptos" w:cs="Times New Roman"/>
          <w:lang w:val="en-GB"/>
        </w:rPr>
        <w:t xml:space="preserve"> and the level of service</w:t>
      </w:r>
      <w:r w:rsidR="00E31B1C" w:rsidRPr="00E551D9">
        <w:rPr>
          <w:rFonts w:eastAsia="Aptos" w:cs="Times New Roman"/>
          <w:lang w:val="en-GB"/>
        </w:rPr>
        <w:t xml:space="preserve"> (Fig</w:t>
      </w:r>
      <w:r w:rsidR="00C653EB" w:rsidRPr="00E551D9">
        <w:rPr>
          <w:rFonts w:eastAsia="Aptos" w:cs="Times New Roman"/>
          <w:lang w:val="en-GB"/>
        </w:rPr>
        <w:t>ure</w:t>
      </w:r>
      <w:r w:rsidR="00E31B1C" w:rsidRPr="00E551D9">
        <w:rPr>
          <w:rFonts w:eastAsia="Aptos" w:cs="Times New Roman"/>
          <w:lang w:val="en-GB"/>
        </w:rPr>
        <w:t xml:space="preserve"> 7)</w:t>
      </w:r>
      <w:r w:rsidRPr="00E551D9">
        <w:rPr>
          <w:rFonts w:eastAsia="Aptos" w:cs="Times New Roman"/>
          <w:lang w:val="en-GB"/>
        </w:rPr>
        <w:t xml:space="preserve">. </w:t>
      </w:r>
    </w:p>
    <w:p w14:paraId="719674DE" w14:textId="77777777" w:rsidR="00606365" w:rsidRDefault="00606365" w:rsidP="00606365">
      <w:pPr>
        <w:spacing w:after="0" w:line="240" w:lineRule="auto"/>
        <w:ind w:firstLine="284"/>
        <w:jc w:val="both"/>
        <w:rPr>
          <w:rFonts w:eastAsia="Aptos" w:cs="Times New Roman"/>
          <w:lang w:val="en-GB"/>
        </w:rPr>
      </w:pPr>
      <w:r w:rsidRPr="00E551D9">
        <w:rPr>
          <w:rFonts w:eastAsia="Aptos" w:cs="Times New Roman"/>
          <w:lang w:val="en-GB"/>
        </w:rPr>
        <w:t>Figure 6 shows that energy consumption and emissions are highest on the roads of the highest functional classes, primarily due to high travel speeds, which significantly increase aerodynamic drag and fuel demand. Similarly, roads of the lowest classes also exhibit elevated values, but for the opposite reason: very low speeds, frequent stops, and acceleration cycles, all of which worsen vehicle efficiency. In contrast, main roads demonstrate comparatively lower energy use and emissions, as traffic typically moves more smoothly and at near-optimal speeds, allowing vehicles to operate closer to their most efficient range.</w:t>
      </w:r>
    </w:p>
    <w:p w14:paraId="5DBB56F1" w14:textId="77777777" w:rsidR="00E551D9" w:rsidRPr="00E551D9" w:rsidRDefault="00E551D9" w:rsidP="007E7F83">
      <w:pPr>
        <w:spacing w:after="0" w:line="240" w:lineRule="auto"/>
        <w:ind w:firstLine="284"/>
        <w:jc w:val="both"/>
        <w:rPr>
          <w:rFonts w:eastAsia="Aptos" w:cs="Times New Roman"/>
          <w:lang w:val="en-GB"/>
        </w:rPr>
      </w:pPr>
    </w:p>
    <w:p w14:paraId="72733FF0" w14:textId="77777777" w:rsidR="00B82F3B" w:rsidRPr="00E551D9" w:rsidRDefault="00B82F3B" w:rsidP="007E7F83">
      <w:pPr>
        <w:spacing w:after="0" w:line="240" w:lineRule="auto"/>
        <w:jc w:val="center"/>
        <w:rPr>
          <w:rFonts w:cs="Times New Roman"/>
          <w:lang w:val="en-GB"/>
        </w:rPr>
      </w:pPr>
      <w:r w:rsidRPr="00E551D9">
        <w:rPr>
          <w:rFonts w:cs="Times New Roman"/>
          <w:noProof/>
          <w:lang w:val="en-GB" w:eastAsia="pl-PL"/>
        </w:rPr>
        <w:drawing>
          <wp:inline distT="0" distB="0" distL="0" distR="0" wp14:anchorId="52A2738D" wp14:editId="5D44284F">
            <wp:extent cx="6010275" cy="2698750"/>
            <wp:effectExtent l="0" t="0" r="9525" b="6350"/>
            <wp:docPr id="1965956424" name="Wykres 1">
              <a:extLst xmlns:a="http://schemas.openxmlformats.org/drawingml/2006/main">
                <a:ext uri="{FF2B5EF4-FFF2-40B4-BE49-F238E27FC236}">
                  <a16:creationId xmlns:a16="http://schemas.microsoft.com/office/drawing/2014/main" id="{536733E9-DAB6-4EA4-9439-B6B407D64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68CF26" w14:textId="45D2C7FE" w:rsidR="00B82F3B" w:rsidRPr="00E551D9" w:rsidRDefault="00B82F3B" w:rsidP="007E7F83">
      <w:pPr>
        <w:pStyle w:val="Rrys"/>
      </w:pPr>
      <w:r w:rsidRPr="00E551D9">
        <w:rPr>
          <w:b/>
        </w:rPr>
        <w:t xml:space="preserve">Fig. </w:t>
      </w:r>
      <w:r w:rsidR="00C043A3" w:rsidRPr="00E551D9">
        <w:rPr>
          <w:b/>
        </w:rPr>
        <w:t>6</w:t>
      </w:r>
      <w:r w:rsidR="00C75F19" w:rsidRPr="00E551D9">
        <w:rPr>
          <w:b/>
          <w:bCs/>
        </w:rPr>
        <w:t>.</w:t>
      </w:r>
      <w:r w:rsidR="00C043A3" w:rsidRPr="00E551D9">
        <w:t xml:space="preserve"> </w:t>
      </w:r>
      <w:proofErr w:type="spellStart"/>
      <w:r w:rsidRPr="00E551D9">
        <w:t>Consumption</w:t>
      </w:r>
      <w:proofErr w:type="spellEnd"/>
      <w:r w:rsidRPr="00E551D9">
        <w:t xml:space="preserve"> and </w:t>
      </w:r>
      <w:proofErr w:type="spellStart"/>
      <w:r w:rsidRPr="00E551D9">
        <w:t>emission</w:t>
      </w:r>
      <w:proofErr w:type="spellEnd"/>
      <w:r w:rsidRPr="00E551D9">
        <w:t xml:space="preserve"> of the </w:t>
      </w:r>
      <w:proofErr w:type="spellStart"/>
      <w:r w:rsidRPr="00E551D9">
        <w:t>vehicles</w:t>
      </w:r>
      <w:proofErr w:type="spellEnd"/>
      <w:r w:rsidRPr="00E551D9">
        <w:t xml:space="preserve"> in </w:t>
      </w:r>
      <w:proofErr w:type="spellStart"/>
      <w:r w:rsidRPr="00E551D9">
        <w:t>road</w:t>
      </w:r>
      <w:proofErr w:type="spellEnd"/>
      <w:r w:rsidRPr="00E551D9">
        <w:t xml:space="preserve"> </w:t>
      </w:r>
      <w:proofErr w:type="spellStart"/>
      <w:r w:rsidRPr="00E551D9">
        <w:t>classes</w:t>
      </w:r>
      <w:proofErr w:type="spellEnd"/>
      <w:r w:rsidRPr="00E551D9">
        <w:t xml:space="preserve"> (per </w:t>
      </w:r>
      <w:proofErr w:type="spellStart"/>
      <w:r w:rsidRPr="00E551D9">
        <w:t>vehkm</w:t>
      </w:r>
      <w:proofErr w:type="spellEnd"/>
      <w:r w:rsidRPr="00E551D9">
        <w:t>)</w:t>
      </w:r>
    </w:p>
    <w:p w14:paraId="22DC9560" w14:textId="77777777" w:rsidR="00E551D9" w:rsidRDefault="00E551D9" w:rsidP="00F6615F">
      <w:pPr>
        <w:spacing w:after="0" w:line="240" w:lineRule="auto"/>
        <w:ind w:firstLine="284"/>
        <w:jc w:val="both"/>
        <w:rPr>
          <w:rFonts w:eastAsia="Aptos" w:cs="Times New Roman"/>
          <w:lang w:val="en-GB"/>
        </w:rPr>
      </w:pPr>
    </w:p>
    <w:p w14:paraId="5FE5A6BA" w14:textId="7A9EA2B2" w:rsidR="00606365" w:rsidRPr="00E551D9" w:rsidRDefault="00606365" w:rsidP="00606365">
      <w:pPr>
        <w:tabs>
          <w:tab w:val="left" w:pos="720"/>
        </w:tabs>
        <w:spacing w:after="0" w:line="240" w:lineRule="auto"/>
        <w:ind w:firstLine="284"/>
        <w:jc w:val="both"/>
        <w:rPr>
          <w:rFonts w:eastAsia="Aptos" w:cs="Times New Roman"/>
          <w:lang w:val="en-GB"/>
        </w:rPr>
      </w:pPr>
      <w:r w:rsidRPr="00E551D9">
        <w:rPr>
          <w:rFonts w:eastAsia="Aptos" w:cs="Times New Roman"/>
          <w:lang w:val="en-GB"/>
        </w:rPr>
        <w:t>Figure 7 presents energy consumption and emission costs of the road traffic depending on the road class and level of service from 1 (free flow of traffic) to 5 (traffic volume reaches capacity). Results show the sensitivity of the freight vehicles to the level of services connected with high traffic, especially on lower</w:t>
      </w:r>
      <w:r w:rsidR="003B09B1">
        <w:rPr>
          <w:rFonts w:eastAsia="Aptos" w:cs="Times New Roman"/>
          <w:lang w:val="en-GB"/>
        </w:rPr>
        <w:t>-</w:t>
      </w:r>
      <w:r w:rsidRPr="00E551D9">
        <w:rPr>
          <w:rFonts w:eastAsia="Aptos" w:cs="Times New Roman"/>
          <w:lang w:val="en-GB"/>
        </w:rPr>
        <w:t>class urban streets, such as main, secondary</w:t>
      </w:r>
      <w:r w:rsidR="003B09B1">
        <w:rPr>
          <w:rFonts w:eastAsia="Aptos" w:cs="Times New Roman"/>
          <w:lang w:val="en-GB"/>
        </w:rPr>
        <w:t>,</w:t>
      </w:r>
      <w:r w:rsidRPr="00E551D9">
        <w:rPr>
          <w:rFonts w:eastAsia="Aptos" w:cs="Times New Roman"/>
          <w:lang w:val="en-GB"/>
        </w:rPr>
        <w:t xml:space="preserve"> and local streets.</w:t>
      </w:r>
    </w:p>
    <w:p w14:paraId="2A8E1AFD" w14:textId="7B3581E6" w:rsidR="00606365" w:rsidRPr="00E551D9" w:rsidRDefault="00606365" w:rsidP="00606365">
      <w:pPr>
        <w:spacing w:after="0" w:line="240" w:lineRule="auto"/>
        <w:ind w:firstLine="284"/>
        <w:jc w:val="both"/>
        <w:rPr>
          <w:rFonts w:eastAsia="Aptos" w:cs="Times New Roman"/>
          <w:lang w:val="en-GB"/>
        </w:rPr>
      </w:pPr>
      <w:r w:rsidRPr="00E551D9">
        <w:rPr>
          <w:rFonts w:eastAsia="Aptos" w:cs="Times New Roman"/>
          <w:lang w:val="en-GB"/>
        </w:rPr>
        <w:t xml:space="preserve">Consumptions and emissions in the zones have been calculated using the transit rate coefficient described in </w:t>
      </w:r>
      <w:r w:rsidR="003B09B1">
        <w:rPr>
          <w:rFonts w:eastAsia="Aptos" w:cs="Times New Roman"/>
          <w:lang w:val="en-GB"/>
        </w:rPr>
        <w:t xml:space="preserve">the </w:t>
      </w:r>
      <w:r w:rsidRPr="00E551D9">
        <w:rPr>
          <w:rFonts w:eastAsia="Aptos" w:cs="Times New Roman"/>
          <w:lang w:val="en-GB"/>
        </w:rPr>
        <w:t>chapter</w:t>
      </w:r>
      <w:r w:rsidR="003B09B1">
        <w:rPr>
          <w:rFonts w:eastAsia="Aptos" w:cs="Times New Roman"/>
          <w:lang w:val="en-GB"/>
        </w:rPr>
        <w:t>,</w:t>
      </w:r>
      <w:r w:rsidRPr="00E551D9">
        <w:rPr>
          <w:rFonts w:eastAsia="Aptos" w:cs="Times New Roman"/>
          <w:lang w:val="en-GB"/>
        </w:rPr>
        <w:t xml:space="preserve"> not </w:t>
      </w:r>
      <w:r w:rsidR="003B09B1" w:rsidRPr="00E551D9">
        <w:rPr>
          <w:rFonts w:eastAsia="Aptos" w:cs="Times New Roman"/>
          <w:lang w:val="en-GB"/>
        </w:rPr>
        <w:t xml:space="preserve">to </w:t>
      </w:r>
      <w:r w:rsidRPr="00E551D9">
        <w:rPr>
          <w:rFonts w:eastAsia="Aptos" w:cs="Times New Roman"/>
          <w:lang w:val="en-GB"/>
        </w:rPr>
        <w:t>influenc</w:t>
      </w:r>
      <w:r w:rsidR="003B09B1">
        <w:rPr>
          <w:rFonts w:eastAsia="Aptos" w:cs="Times New Roman"/>
          <w:lang w:val="en-GB"/>
        </w:rPr>
        <w:t>e</w:t>
      </w:r>
      <w:r w:rsidRPr="00E551D9">
        <w:rPr>
          <w:rFonts w:eastAsia="Aptos" w:cs="Times New Roman"/>
          <w:lang w:val="en-GB"/>
        </w:rPr>
        <w:t xml:space="preserve"> the results by the transit traffic</w:t>
      </w:r>
      <w:r w:rsidR="003B09B1">
        <w:rPr>
          <w:rFonts w:eastAsia="Aptos" w:cs="Times New Roman"/>
          <w:lang w:val="en-GB"/>
        </w:rPr>
        <w:t>,</w:t>
      </w:r>
      <w:r w:rsidRPr="00E551D9">
        <w:rPr>
          <w:rFonts w:eastAsia="Aptos" w:cs="Times New Roman"/>
          <w:lang w:val="en-GB"/>
        </w:rPr>
        <w:t xml:space="preserve"> and are related to the area of the zone and shown per square kilometre (Figure 8).</w:t>
      </w:r>
    </w:p>
    <w:p w14:paraId="2555775E" w14:textId="4EC53BCE" w:rsidR="00606365" w:rsidRPr="00E551D9" w:rsidRDefault="00606365" w:rsidP="00606365">
      <w:pPr>
        <w:tabs>
          <w:tab w:val="left" w:pos="720"/>
        </w:tabs>
        <w:spacing w:after="0" w:line="240" w:lineRule="auto"/>
        <w:ind w:firstLine="284"/>
        <w:jc w:val="both"/>
        <w:rPr>
          <w:lang w:val="en-GB"/>
        </w:rPr>
      </w:pPr>
      <w:r w:rsidRPr="00E551D9">
        <w:rPr>
          <w:lang w:val="en-GB"/>
        </w:rPr>
        <w:t xml:space="preserve">In Figure 8, a chart of the energy consumption and emission cost by the square km of the zone area according to the zone type is presented. The results, obtained using the COPERT model, indicate that the highest total energy consumption and emission costs are associated with work and university zones, followed by residential and retail areas. Freight-related energy use and emission costs are the highest in other and warehouse zones, which represent city centre areas or areas with logistics activity. Industrial and logistics centre zones show relatively lower overall values due to their smaller spatial extent and limited internal traffic. The detailed map of the energy consumption for freight traffic is presented in Figure 9. </w:t>
      </w:r>
    </w:p>
    <w:p w14:paraId="1C622B7E" w14:textId="77777777" w:rsidR="00606365" w:rsidRPr="00E551D9" w:rsidRDefault="00606365" w:rsidP="00F6615F">
      <w:pPr>
        <w:spacing w:after="0" w:line="240" w:lineRule="auto"/>
        <w:ind w:firstLine="284"/>
        <w:jc w:val="both"/>
        <w:rPr>
          <w:rFonts w:eastAsia="Aptos" w:cs="Times New Roman"/>
          <w:lang w:val="en-GB"/>
        </w:rPr>
      </w:pPr>
    </w:p>
    <w:p w14:paraId="72C0ADA8" w14:textId="77777777" w:rsidR="00B82F3B" w:rsidRPr="00E551D9" w:rsidRDefault="00B82F3B" w:rsidP="007E7F83">
      <w:pPr>
        <w:spacing w:after="0" w:line="240" w:lineRule="auto"/>
        <w:jc w:val="center"/>
        <w:rPr>
          <w:lang w:val="en-GB"/>
        </w:rPr>
      </w:pPr>
      <w:r w:rsidRPr="00E551D9">
        <w:rPr>
          <w:noProof/>
          <w:lang w:val="en-GB" w:eastAsia="pl-PL"/>
        </w:rPr>
        <w:lastRenderedPageBreak/>
        <w:drawing>
          <wp:inline distT="0" distB="0" distL="0" distR="0" wp14:anchorId="21A93421" wp14:editId="7E847275">
            <wp:extent cx="2934000" cy="3798000"/>
            <wp:effectExtent l="0" t="0" r="0" b="12065"/>
            <wp:docPr id="457417922" name="Wykres 1">
              <a:extLst xmlns:a="http://schemas.openxmlformats.org/drawingml/2006/main">
                <a:ext uri="{FF2B5EF4-FFF2-40B4-BE49-F238E27FC236}">
                  <a16:creationId xmlns:a16="http://schemas.microsoft.com/office/drawing/2014/main" id="{3BEC075A-41F3-A88D-A92A-67CA0F43E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551D9">
        <w:rPr>
          <w:noProof/>
          <w:lang w:val="en-GB" w:eastAsia="pl-PL"/>
        </w:rPr>
        <w:drawing>
          <wp:inline distT="0" distB="0" distL="0" distR="0" wp14:anchorId="37BBA3F1" wp14:editId="21EE4DEE">
            <wp:extent cx="2934000" cy="3798614"/>
            <wp:effectExtent l="0" t="0" r="0" b="11430"/>
            <wp:docPr id="1711104027" name="Wykres 1">
              <a:extLst xmlns:a="http://schemas.openxmlformats.org/drawingml/2006/main">
                <a:ext uri="{FF2B5EF4-FFF2-40B4-BE49-F238E27FC236}">
                  <a16:creationId xmlns:a16="http://schemas.microsoft.com/office/drawing/2014/main" id="{323D00D6-56BB-4EF9-A771-B7C66E329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D30B07" w14:textId="77777777" w:rsidR="00B82F3B" w:rsidRPr="00E551D9" w:rsidRDefault="00B82F3B" w:rsidP="007E7F83">
      <w:pPr>
        <w:tabs>
          <w:tab w:val="left" w:pos="720"/>
        </w:tabs>
        <w:spacing w:after="0" w:line="240" w:lineRule="auto"/>
        <w:jc w:val="center"/>
        <w:rPr>
          <w:rFonts w:ascii="Aptos" w:eastAsia="Aptos" w:hAnsi="Aptos" w:cs="Aptos"/>
          <w:lang w:val="en-GB"/>
        </w:rPr>
      </w:pPr>
      <w:r w:rsidRPr="00E551D9">
        <w:rPr>
          <w:noProof/>
          <w:lang w:val="en-GB" w:eastAsia="pl-PL"/>
        </w:rPr>
        <w:drawing>
          <wp:inline distT="0" distB="0" distL="0" distR="0" wp14:anchorId="260E9174" wp14:editId="62943082">
            <wp:extent cx="2934000" cy="3798000"/>
            <wp:effectExtent l="0" t="0" r="0" b="12065"/>
            <wp:docPr id="309490445" name="Wykres 1">
              <a:extLst xmlns:a="http://schemas.openxmlformats.org/drawingml/2006/main">
                <a:ext uri="{FF2B5EF4-FFF2-40B4-BE49-F238E27FC236}">
                  <a16:creationId xmlns:a16="http://schemas.microsoft.com/office/drawing/2014/main" id="{93410522-CA1D-4303-BEF4-65B95BC8A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551D9">
        <w:rPr>
          <w:noProof/>
          <w:lang w:val="en-GB" w:eastAsia="pl-PL"/>
        </w:rPr>
        <w:drawing>
          <wp:inline distT="0" distB="0" distL="0" distR="0" wp14:anchorId="3E98AE77" wp14:editId="40FF3790">
            <wp:extent cx="2934000" cy="3796931"/>
            <wp:effectExtent l="0" t="0" r="0" b="13335"/>
            <wp:docPr id="235142973" name="Wykres 1">
              <a:extLst xmlns:a="http://schemas.openxmlformats.org/drawingml/2006/main">
                <a:ext uri="{FF2B5EF4-FFF2-40B4-BE49-F238E27FC236}">
                  <a16:creationId xmlns:a16="http://schemas.microsoft.com/office/drawing/2014/main" id="{C4D03D1F-768E-4227-9787-6DF0475C4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8016DC" w14:textId="543912FD" w:rsidR="00B82F3B" w:rsidRPr="00E551D9" w:rsidRDefault="00B82F3B" w:rsidP="007E7F83">
      <w:pPr>
        <w:pStyle w:val="Rrys"/>
      </w:pPr>
      <w:r w:rsidRPr="00E551D9">
        <w:rPr>
          <w:b/>
        </w:rPr>
        <w:t xml:space="preserve">Fig. </w:t>
      </w:r>
      <w:r w:rsidR="00CD6CE5" w:rsidRPr="00E551D9">
        <w:rPr>
          <w:b/>
        </w:rPr>
        <w:t>7</w:t>
      </w:r>
      <w:r w:rsidR="00C75F19" w:rsidRPr="00E551D9">
        <w:rPr>
          <w:b/>
          <w:bCs/>
        </w:rPr>
        <w:t>.</w:t>
      </w:r>
      <w:r w:rsidR="00CD6CE5" w:rsidRPr="00E551D9">
        <w:t xml:space="preserve"> </w:t>
      </w:r>
      <w:r w:rsidRPr="00E551D9">
        <w:t>Consumptions and emission of the vehicles in road classes in a level of service</w:t>
      </w:r>
    </w:p>
    <w:p w14:paraId="57DDB6BA" w14:textId="77777777" w:rsidR="00E551D9" w:rsidRDefault="00E551D9" w:rsidP="007E7F83">
      <w:pPr>
        <w:tabs>
          <w:tab w:val="left" w:pos="720"/>
        </w:tabs>
        <w:spacing w:after="0" w:line="240" w:lineRule="auto"/>
        <w:ind w:firstLine="284"/>
        <w:jc w:val="both"/>
        <w:rPr>
          <w:rFonts w:eastAsia="Aptos" w:cs="Times New Roman"/>
          <w:lang w:val="en-GB"/>
        </w:rPr>
      </w:pPr>
    </w:p>
    <w:p w14:paraId="0E6DDA51" w14:textId="77777777" w:rsidR="00B82F3B" w:rsidRPr="00E551D9" w:rsidRDefault="00B82F3B" w:rsidP="007E7F83">
      <w:pPr>
        <w:tabs>
          <w:tab w:val="left" w:pos="720"/>
        </w:tabs>
        <w:spacing w:after="0" w:line="240" w:lineRule="auto"/>
        <w:jc w:val="center"/>
        <w:rPr>
          <w:lang w:val="en-GB"/>
        </w:rPr>
      </w:pPr>
      <w:r w:rsidRPr="00E551D9">
        <w:rPr>
          <w:noProof/>
          <w:lang w:val="en-GB" w:eastAsia="pl-PL"/>
        </w:rPr>
        <w:lastRenderedPageBreak/>
        <w:drawing>
          <wp:inline distT="0" distB="0" distL="0" distR="0" wp14:anchorId="348E2950" wp14:editId="20A4CE55">
            <wp:extent cx="5800725" cy="2477135"/>
            <wp:effectExtent l="0" t="0" r="9525" b="18415"/>
            <wp:docPr id="911552807" name="Wykres 1">
              <a:extLst xmlns:a="http://schemas.openxmlformats.org/drawingml/2006/main">
                <a:ext uri="{FF2B5EF4-FFF2-40B4-BE49-F238E27FC236}">
                  <a16:creationId xmlns:a16="http://schemas.microsoft.com/office/drawing/2014/main" id="{CCB1870A-8587-448D-758F-541E65981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F10BB8" w14:textId="7F94335C" w:rsidR="00A70845" w:rsidRPr="00E551D9" w:rsidRDefault="00374B3B" w:rsidP="007E7F83">
      <w:pPr>
        <w:pStyle w:val="Rrys"/>
      </w:pPr>
      <w:r w:rsidRPr="00E551D9">
        <w:rPr>
          <w:b/>
        </w:rPr>
        <w:t>Fig. 8</w:t>
      </w:r>
      <w:r w:rsidR="001E71FC" w:rsidRPr="00E551D9">
        <w:rPr>
          <w:b/>
          <w:bCs/>
        </w:rPr>
        <w:t>.</w:t>
      </w:r>
      <w:r w:rsidRPr="00E551D9">
        <w:t xml:space="preserve"> </w:t>
      </w:r>
      <w:proofErr w:type="spellStart"/>
      <w:r w:rsidR="00A70845" w:rsidRPr="00E551D9">
        <w:t>C</w:t>
      </w:r>
      <w:r w:rsidRPr="00E551D9">
        <w:t>onsumption</w:t>
      </w:r>
      <w:proofErr w:type="spellEnd"/>
      <w:r w:rsidRPr="00E551D9">
        <w:t xml:space="preserve"> and </w:t>
      </w:r>
      <w:proofErr w:type="spellStart"/>
      <w:r w:rsidRPr="00E551D9">
        <w:t>emissions</w:t>
      </w:r>
      <w:proofErr w:type="spellEnd"/>
      <w:r w:rsidRPr="00E551D9">
        <w:t xml:space="preserve"> for the dominating function of the zone</w:t>
      </w:r>
    </w:p>
    <w:p w14:paraId="0E906B0A" w14:textId="77777777" w:rsidR="00E551D9" w:rsidRPr="00E551D9" w:rsidRDefault="00E551D9" w:rsidP="007E7F83">
      <w:pPr>
        <w:tabs>
          <w:tab w:val="left" w:pos="720"/>
        </w:tabs>
        <w:spacing w:after="0" w:line="240" w:lineRule="auto"/>
        <w:ind w:firstLine="284"/>
        <w:jc w:val="both"/>
        <w:rPr>
          <w:lang w:val="en-GB"/>
        </w:rPr>
      </w:pPr>
    </w:p>
    <w:p w14:paraId="39EE77C7" w14:textId="62094C9B" w:rsidR="00B82F3B" w:rsidRPr="00E551D9" w:rsidRDefault="006131DD" w:rsidP="007E7F83">
      <w:pPr>
        <w:tabs>
          <w:tab w:val="left" w:pos="720"/>
        </w:tabs>
        <w:spacing w:after="0" w:line="240" w:lineRule="auto"/>
        <w:jc w:val="center"/>
        <w:rPr>
          <w:lang w:val="en-GB"/>
        </w:rPr>
      </w:pPr>
      <w:r w:rsidRPr="00E551D9">
        <w:rPr>
          <w:noProof/>
          <w:lang w:val="en-GB" w:eastAsia="pl-PL"/>
        </w:rPr>
        <w:drawing>
          <wp:inline distT="0" distB="0" distL="0" distR="0" wp14:anchorId="01239751" wp14:editId="515C7F78">
            <wp:extent cx="4741200" cy="2516400"/>
            <wp:effectExtent l="0" t="0" r="2540" b="0"/>
            <wp:docPr id="375865858" name="Obraz 1" descr="Obraz zawierający tekst, mapa, atlas, wizualizacj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65858" name="Obraz 1" descr="Obraz zawierający tekst, mapa, atlas, wizualizacja&#10;&#10;Zawartość wygenerowana przez AI może być niepoprawna."/>
                    <pic:cNvPicPr/>
                  </pic:nvPicPr>
                  <pic:blipFill>
                    <a:blip r:embed="rId30"/>
                    <a:stretch>
                      <a:fillRect/>
                    </a:stretch>
                  </pic:blipFill>
                  <pic:spPr>
                    <a:xfrm>
                      <a:off x="0" y="0"/>
                      <a:ext cx="4741200" cy="2516400"/>
                    </a:xfrm>
                    <a:prstGeom prst="rect">
                      <a:avLst/>
                    </a:prstGeom>
                  </pic:spPr>
                </pic:pic>
              </a:graphicData>
            </a:graphic>
          </wp:inline>
        </w:drawing>
      </w:r>
    </w:p>
    <w:p w14:paraId="41E1218E" w14:textId="2D10CFDF" w:rsidR="00F409F3" w:rsidRPr="00E551D9" w:rsidRDefault="00F409F3" w:rsidP="007E7F83">
      <w:pPr>
        <w:pStyle w:val="Rrys"/>
      </w:pPr>
      <w:r w:rsidRPr="00E551D9">
        <w:rPr>
          <w:b/>
          <w:bCs/>
        </w:rPr>
        <w:t>Fig. 9</w:t>
      </w:r>
      <w:r w:rsidR="00D14AFB" w:rsidRPr="00E551D9">
        <w:rPr>
          <w:b/>
          <w:bCs/>
        </w:rPr>
        <w:t>.</w:t>
      </w:r>
      <w:r w:rsidRPr="00E551D9">
        <w:t xml:space="preserve"> </w:t>
      </w:r>
      <w:r w:rsidR="00D103E1" w:rsidRPr="00E551D9">
        <w:t xml:space="preserve">Energy </w:t>
      </w:r>
      <w:proofErr w:type="spellStart"/>
      <w:r w:rsidR="00D103E1" w:rsidRPr="00E551D9">
        <w:t>consumption</w:t>
      </w:r>
      <w:proofErr w:type="spellEnd"/>
      <w:r w:rsidR="00D103E1" w:rsidRPr="00E551D9">
        <w:t xml:space="preserve"> map</w:t>
      </w:r>
      <w:r w:rsidR="00152506" w:rsidRPr="00E551D9">
        <w:t xml:space="preserve"> for </w:t>
      </w:r>
      <w:proofErr w:type="spellStart"/>
      <w:r w:rsidR="00152506" w:rsidRPr="00E551D9">
        <w:t>freight</w:t>
      </w:r>
      <w:proofErr w:type="spellEnd"/>
      <w:r w:rsidR="00152506" w:rsidRPr="00E551D9">
        <w:t xml:space="preserve"> </w:t>
      </w:r>
      <w:proofErr w:type="spellStart"/>
      <w:r w:rsidR="00D103E1" w:rsidRPr="00E551D9">
        <w:t>traffic</w:t>
      </w:r>
      <w:proofErr w:type="spellEnd"/>
      <w:r w:rsidRPr="00E551D9">
        <w:t xml:space="preserve"> in the </w:t>
      </w:r>
      <w:proofErr w:type="spellStart"/>
      <w:r w:rsidRPr="00E551D9">
        <w:t>zones</w:t>
      </w:r>
      <w:proofErr w:type="spellEnd"/>
    </w:p>
    <w:p w14:paraId="0FC74660" w14:textId="77777777" w:rsidR="00606365" w:rsidRDefault="00606365" w:rsidP="00606365">
      <w:pPr>
        <w:tabs>
          <w:tab w:val="left" w:pos="720"/>
        </w:tabs>
        <w:spacing w:after="0" w:line="240" w:lineRule="auto"/>
        <w:ind w:firstLine="284"/>
        <w:jc w:val="both"/>
        <w:rPr>
          <w:lang w:val="en-GB"/>
        </w:rPr>
      </w:pPr>
    </w:p>
    <w:p w14:paraId="1E9268F7" w14:textId="3AD791C9" w:rsidR="00606365" w:rsidRDefault="00606365" w:rsidP="00606365">
      <w:pPr>
        <w:tabs>
          <w:tab w:val="left" w:pos="720"/>
        </w:tabs>
        <w:spacing w:after="0" w:line="240" w:lineRule="auto"/>
        <w:ind w:firstLine="284"/>
        <w:jc w:val="both"/>
        <w:rPr>
          <w:lang w:val="en-GB"/>
        </w:rPr>
      </w:pPr>
      <w:r w:rsidRPr="00E551D9">
        <w:rPr>
          <w:lang w:val="en-GB"/>
        </w:rPr>
        <w:t xml:space="preserve">Explaining Figure 9, in the case of energy consumption, the highest values are observed in areas characterized by the </w:t>
      </w:r>
      <w:r w:rsidR="003B09B1">
        <w:rPr>
          <w:lang w:val="en-GB"/>
        </w:rPr>
        <w:t>highest</w:t>
      </w:r>
      <w:r w:rsidRPr="00E551D9">
        <w:rPr>
          <w:lang w:val="en-GB"/>
        </w:rPr>
        <w:t xml:space="preserve"> population density. This pattern reflects the concentration of households, commercial activities, and service infrastructure, which together generate higher overall energy demand.</w:t>
      </w:r>
    </w:p>
    <w:p w14:paraId="46EF6B4F" w14:textId="7195CEDB" w:rsidR="007233EB" w:rsidRPr="00E551D9" w:rsidRDefault="00EB5B09" w:rsidP="00F6615F">
      <w:pPr>
        <w:pStyle w:val="Rn2"/>
      </w:pPr>
      <w:r w:rsidRPr="00E551D9">
        <w:rPr>
          <w:bCs/>
        </w:rPr>
        <w:t xml:space="preserve">4.2. </w:t>
      </w:r>
      <w:r w:rsidR="00785ECB" w:rsidRPr="00E551D9">
        <w:t>Comparison of scenarios</w:t>
      </w:r>
    </w:p>
    <w:p w14:paraId="44A2EACD" w14:textId="15BB41C6" w:rsidR="00D14AFB" w:rsidRPr="00E551D9" w:rsidRDefault="00F51346" w:rsidP="007E7F83">
      <w:pPr>
        <w:spacing w:after="0" w:line="240" w:lineRule="auto"/>
        <w:ind w:firstLine="284"/>
        <w:jc w:val="both"/>
        <w:rPr>
          <w:lang w:val="en-GB"/>
        </w:rPr>
      </w:pPr>
      <w:r w:rsidRPr="00E551D9">
        <w:rPr>
          <w:lang w:val="en-GB"/>
        </w:rPr>
        <w:t xml:space="preserve">In this subchapter, the scenarios described in subchapter </w:t>
      </w:r>
      <w:r w:rsidR="00277583" w:rsidRPr="00E551D9">
        <w:rPr>
          <w:lang w:val="en-GB"/>
        </w:rPr>
        <w:t>3.3</w:t>
      </w:r>
      <w:r w:rsidRPr="00E551D9">
        <w:rPr>
          <w:lang w:val="en-GB"/>
        </w:rPr>
        <w:t xml:space="preserve"> are analysed. </w:t>
      </w:r>
      <w:r w:rsidR="0095009B" w:rsidRPr="00E551D9">
        <w:rPr>
          <w:lang w:val="en-GB"/>
        </w:rPr>
        <w:t xml:space="preserve">First, spatial changes in freight energy consumption and emission costs for the seasonal peak scenario and the </w:t>
      </w:r>
      <w:r w:rsidR="003B09B1">
        <w:rPr>
          <w:lang w:val="en-GB"/>
        </w:rPr>
        <w:t>whole</w:t>
      </w:r>
      <w:r w:rsidR="0095009B" w:rsidRPr="00E551D9">
        <w:rPr>
          <w:lang w:val="en-GB"/>
        </w:rPr>
        <w:t xml:space="preserve"> freight fleet electrification scenario are illustrated using link- and zone-level maps (Fig</w:t>
      </w:r>
      <w:r w:rsidR="00C653EB" w:rsidRPr="00E551D9">
        <w:rPr>
          <w:lang w:val="en-GB"/>
        </w:rPr>
        <w:t>ure</w:t>
      </w:r>
      <w:r w:rsidR="0095009B" w:rsidRPr="00E551D9">
        <w:rPr>
          <w:lang w:val="en-GB"/>
        </w:rPr>
        <w:t xml:space="preserve"> 10 and Fig</w:t>
      </w:r>
      <w:r w:rsidR="00C653EB" w:rsidRPr="00E551D9">
        <w:rPr>
          <w:lang w:val="en-GB"/>
        </w:rPr>
        <w:t>ure</w:t>
      </w:r>
      <w:r w:rsidR="0095009B" w:rsidRPr="00E551D9">
        <w:rPr>
          <w:lang w:val="en-GB"/>
        </w:rPr>
        <w:t xml:space="preserve"> 11). Subsequently, the overall impacts of the scenarios are summarised using charts that compare energy consumption and emission costs by road class </w:t>
      </w:r>
      <w:r w:rsidR="00F161CD" w:rsidRPr="00E551D9">
        <w:rPr>
          <w:lang w:val="en-GB"/>
        </w:rPr>
        <w:t>(Figure</w:t>
      </w:r>
      <w:r w:rsidR="003B09B1">
        <w:rPr>
          <w:lang w:val="en-GB"/>
        </w:rPr>
        <w:t>s</w:t>
      </w:r>
      <w:r w:rsidR="00F161CD" w:rsidRPr="00E551D9">
        <w:rPr>
          <w:lang w:val="en-GB"/>
        </w:rPr>
        <w:t xml:space="preserve"> </w:t>
      </w:r>
      <w:r w:rsidR="00DE14D7" w:rsidRPr="00E551D9">
        <w:rPr>
          <w:lang w:val="en-GB"/>
        </w:rPr>
        <w:t>12</w:t>
      </w:r>
      <w:r w:rsidR="0090098D" w:rsidRPr="00E551D9">
        <w:rPr>
          <w:lang w:val="en-GB"/>
        </w:rPr>
        <w:t xml:space="preserve"> and 13</w:t>
      </w:r>
      <w:r w:rsidR="00DE14D7" w:rsidRPr="00E551D9">
        <w:rPr>
          <w:lang w:val="en-GB"/>
        </w:rPr>
        <w:t>)</w:t>
      </w:r>
      <w:r w:rsidR="0095009B" w:rsidRPr="00E551D9">
        <w:rPr>
          <w:lang w:val="en-GB"/>
        </w:rPr>
        <w:t xml:space="preserve"> and dominant zone type</w:t>
      </w:r>
      <w:r w:rsidR="00DE14D7" w:rsidRPr="00E551D9">
        <w:rPr>
          <w:lang w:val="en-GB"/>
        </w:rPr>
        <w:t xml:space="preserve"> (Figure 1</w:t>
      </w:r>
      <w:r w:rsidR="0090098D" w:rsidRPr="00E551D9">
        <w:rPr>
          <w:lang w:val="en-GB"/>
        </w:rPr>
        <w:t>4</w:t>
      </w:r>
      <w:r w:rsidR="00DE14D7" w:rsidRPr="00E551D9">
        <w:rPr>
          <w:lang w:val="en-GB"/>
        </w:rPr>
        <w:t>)</w:t>
      </w:r>
      <w:r w:rsidR="0095009B" w:rsidRPr="00E551D9">
        <w:rPr>
          <w:lang w:val="en-GB"/>
        </w:rPr>
        <w:t>.</w:t>
      </w:r>
    </w:p>
    <w:p w14:paraId="789052A7" w14:textId="5AAC6F5B" w:rsidR="00D14AFB" w:rsidRDefault="00D14AFB" w:rsidP="00606365">
      <w:pPr>
        <w:spacing w:after="0" w:line="240" w:lineRule="auto"/>
        <w:ind w:firstLine="284"/>
        <w:jc w:val="both"/>
        <w:rPr>
          <w:lang w:val="en-GB"/>
        </w:rPr>
      </w:pPr>
      <w:r w:rsidRPr="00E551D9">
        <w:rPr>
          <w:lang w:val="en-GB"/>
        </w:rPr>
        <w:t>During the peak freight traffic scenario, freight energy consumption increased much more noticeably in these densely developed regions, reflecting the concentratio</w:t>
      </w:r>
      <w:r w:rsidR="001535CC" w:rsidRPr="00E551D9">
        <w:rPr>
          <w:lang w:val="en-GB"/>
        </w:rPr>
        <w:t>n of freight-related movements.</w:t>
      </w:r>
    </w:p>
    <w:p w14:paraId="2D51162D" w14:textId="77777777" w:rsidR="00606365" w:rsidRDefault="00606365" w:rsidP="00606365">
      <w:pPr>
        <w:spacing w:after="0" w:line="240" w:lineRule="auto"/>
        <w:ind w:firstLine="284"/>
        <w:jc w:val="both"/>
        <w:rPr>
          <w:noProof/>
          <w:lang w:val="en-GB"/>
        </w:rPr>
      </w:pPr>
      <w:r w:rsidRPr="00E551D9">
        <w:rPr>
          <w:noProof/>
          <w:lang w:val="en-GB"/>
        </w:rPr>
        <w:t>Analogically, after the replacement of freight vehicles with zero-emission vehicles, several spatial effects can be observed. Freight energy consumption showed a more pronounced decline in regions with a high share of freight traffic, indicating that these areas benefited the most from the transition to zero-emission freight transport. The freight emission cost dropped to zero, as zero-emission vehicles do not produce the types of pollutants considered within this category.</w:t>
      </w:r>
    </w:p>
    <w:p w14:paraId="4855FAF4" w14:textId="77777777" w:rsidR="00606365" w:rsidRPr="00E551D9" w:rsidRDefault="00606365" w:rsidP="007E7F83">
      <w:pPr>
        <w:spacing w:after="120" w:line="240" w:lineRule="auto"/>
        <w:ind w:firstLine="284"/>
        <w:jc w:val="both"/>
        <w:rPr>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157"/>
      </w:tblGrid>
      <w:tr w:rsidR="001535CC" w:rsidRPr="00E551D9" w14:paraId="7B03A264" w14:textId="77777777" w:rsidTr="009946E1">
        <w:tc>
          <w:tcPr>
            <w:tcW w:w="7621" w:type="dxa"/>
            <w:vMerge w:val="restart"/>
            <w:vAlign w:val="center"/>
          </w:tcPr>
          <w:p w14:paraId="6C19E1EB" w14:textId="46FF256F" w:rsidR="001535CC" w:rsidRPr="00E551D9" w:rsidRDefault="001535CC" w:rsidP="007E7F83">
            <w:pPr>
              <w:jc w:val="center"/>
              <w:rPr>
                <w:lang w:val="en-GB"/>
              </w:rPr>
            </w:pPr>
            <w:r w:rsidRPr="00E551D9">
              <w:rPr>
                <w:noProof/>
                <w:lang w:val="en-GB" w:eastAsia="pl-PL"/>
              </w:rPr>
              <w:lastRenderedPageBreak/>
              <w:drawing>
                <wp:inline distT="0" distB="0" distL="0" distR="0" wp14:anchorId="454BF854" wp14:editId="1EB0661D">
                  <wp:extent cx="4298400" cy="2296800"/>
                  <wp:effectExtent l="0" t="0" r="6985" b="8255"/>
                  <wp:docPr id="842465510" name="Obraz 1" descr="Obraz zawierający mapa, teks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5510" name="Obraz 1" descr="Obraz zawierający mapa, tekst&#10;&#10;Zawartość wygenerowana przez AI może być niepoprawna."/>
                          <pic:cNvPicPr/>
                        </pic:nvPicPr>
                        <pic:blipFill>
                          <a:blip r:embed="rId31"/>
                          <a:stretch>
                            <a:fillRect/>
                          </a:stretch>
                        </pic:blipFill>
                        <pic:spPr>
                          <a:xfrm>
                            <a:off x="0" y="0"/>
                            <a:ext cx="4298400" cy="2296800"/>
                          </a:xfrm>
                          <a:prstGeom prst="rect">
                            <a:avLst/>
                          </a:prstGeom>
                        </pic:spPr>
                      </pic:pic>
                    </a:graphicData>
                  </a:graphic>
                </wp:inline>
              </w:drawing>
            </w:r>
          </w:p>
        </w:tc>
        <w:tc>
          <w:tcPr>
            <w:tcW w:w="2157" w:type="dxa"/>
            <w:tcBorders>
              <w:bottom w:val="single" w:sz="4" w:space="0" w:color="auto"/>
            </w:tcBorders>
          </w:tcPr>
          <w:p w14:paraId="37FCDEFF" w14:textId="28719F4C" w:rsidR="001535CC" w:rsidRPr="00E551D9" w:rsidRDefault="001535CC" w:rsidP="007E7F83">
            <w:pPr>
              <w:jc w:val="center"/>
              <w:rPr>
                <w:lang w:val="en-GB"/>
              </w:rPr>
            </w:pPr>
            <w:r w:rsidRPr="00E551D9">
              <w:rPr>
                <w:noProof/>
                <w:lang w:val="en-GB" w:eastAsia="pl-PL"/>
              </w:rPr>
              <w:drawing>
                <wp:inline distT="0" distB="0" distL="0" distR="0" wp14:anchorId="29F8E819" wp14:editId="704A1F7A">
                  <wp:extent cx="1112400" cy="1360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01"/>
                          <a:stretch/>
                        </pic:blipFill>
                        <pic:spPr bwMode="auto">
                          <a:xfrm>
                            <a:off x="0" y="0"/>
                            <a:ext cx="1112400" cy="1360800"/>
                          </a:xfrm>
                          <a:prstGeom prst="rect">
                            <a:avLst/>
                          </a:prstGeom>
                          <a:ln>
                            <a:noFill/>
                          </a:ln>
                          <a:extLst>
                            <a:ext uri="{53640926-AAD7-44D8-BBD7-CCE9431645EC}">
                              <a14:shadowObscured xmlns:a14="http://schemas.microsoft.com/office/drawing/2010/main"/>
                            </a:ext>
                          </a:extLst>
                        </pic:spPr>
                      </pic:pic>
                    </a:graphicData>
                  </a:graphic>
                </wp:inline>
              </w:drawing>
            </w:r>
          </w:p>
        </w:tc>
      </w:tr>
      <w:tr w:rsidR="001535CC" w:rsidRPr="00E551D9" w14:paraId="4E7EE562" w14:textId="77777777" w:rsidTr="009946E1">
        <w:tc>
          <w:tcPr>
            <w:tcW w:w="7621" w:type="dxa"/>
            <w:vMerge/>
            <w:vAlign w:val="center"/>
          </w:tcPr>
          <w:p w14:paraId="5579DAA7" w14:textId="77777777" w:rsidR="001535CC" w:rsidRPr="00E551D9" w:rsidRDefault="001535CC" w:rsidP="007E7F83">
            <w:pPr>
              <w:spacing w:after="120"/>
              <w:jc w:val="both"/>
              <w:rPr>
                <w:lang w:val="en-GB"/>
              </w:rPr>
            </w:pPr>
          </w:p>
        </w:tc>
        <w:tc>
          <w:tcPr>
            <w:tcW w:w="2157" w:type="dxa"/>
            <w:tcBorders>
              <w:top w:val="single" w:sz="4" w:space="0" w:color="auto"/>
            </w:tcBorders>
          </w:tcPr>
          <w:p w14:paraId="3EC60A1E" w14:textId="399286A7" w:rsidR="001535CC" w:rsidRPr="00E551D9" w:rsidRDefault="001535CC" w:rsidP="007E7F83">
            <w:pPr>
              <w:jc w:val="center"/>
              <w:rPr>
                <w:lang w:val="en-GB"/>
              </w:rPr>
            </w:pPr>
            <w:r w:rsidRPr="00E551D9">
              <w:rPr>
                <w:noProof/>
                <w:lang w:val="en-GB" w:eastAsia="pl-PL"/>
              </w:rPr>
              <w:drawing>
                <wp:inline distT="0" distB="0" distL="0" distR="0" wp14:anchorId="454482D1" wp14:editId="66A68D52">
                  <wp:extent cx="1137600" cy="914400"/>
                  <wp:effectExtent l="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37600" cy="914400"/>
                          </a:xfrm>
                          <a:prstGeom prst="rect">
                            <a:avLst/>
                          </a:prstGeom>
                        </pic:spPr>
                      </pic:pic>
                    </a:graphicData>
                  </a:graphic>
                </wp:inline>
              </w:drawing>
            </w:r>
          </w:p>
        </w:tc>
      </w:tr>
    </w:tbl>
    <w:p w14:paraId="3C760640" w14:textId="0DD6ADB7" w:rsidR="007F54A4" w:rsidRDefault="009858C3" w:rsidP="007E7F83">
      <w:pPr>
        <w:pStyle w:val="Rrys"/>
        <w:rPr>
          <w:noProof/>
        </w:rPr>
      </w:pPr>
      <w:r w:rsidRPr="00E551D9">
        <w:rPr>
          <w:b/>
        </w:rPr>
        <w:t xml:space="preserve">Fig. </w:t>
      </w:r>
      <w:r w:rsidR="00A50464" w:rsidRPr="00E551D9">
        <w:rPr>
          <w:b/>
        </w:rPr>
        <w:t>10.</w:t>
      </w:r>
      <w:r w:rsidR="00A50464" w:rsidRPr="00E551D9">
        <w:rPr>
          <w:noProof/>
        </w:rPr>
        <w:t xml:space="preserve"> </w:t>
      </w:r>
      <w:r w:rsidR="00131BE0" w:rsidRPr="00E551D9">
        <w:rPr>
          <w:noProof/>
        </w:rPr>
        <w:t xml:space="preserve">Comparison of link </w:t>
      </w:r>
      <w:r w:rsidR="006E19CF" w:rsidRPr="00E551D9">
        <w:rPr>
          <w:noProof/>
        </w:rPr>
        <w:t xml:space="preserve">and zone </w:t>
      </w:r>
      <w:r w:rsidR="00AB2FEB" w:rsidRPr="00E551D9">
        <w:t>frei</w:t>
      </w:r>
      <w:r w:rsidR="00321CA4" w:rsidRPr="00E551D9">
        <w:t>ght energy</w:t>
      </w:r>
      <w:r w:rsidR="006E19CF" w:rsidRPr="00E551D9">
        <w:rPr>
          <w:noProof/>
        </w:rPr>
        <w:t xml:space="preserve"> consumption changes </w:t>
      </w:r>
      <w:r w:rsidR="00AF195A" w:rsidRPr="00E551D9">
        <w:rPr>
          <w:noProof/>
        </w:rPr>
        <w:t>f</w:t>
      </w:r>
      <w:r w:rsidR="003264EF" w:rsidRPr="00E551D9">
        <w:rPr>
          <w:noProof/>
        </w:rPr>
        <w:t>or the peak freight traffic</w:t>
      </w:r>
    </w:p>
    <w:p w14:paraId="0093A753" w14:textId="77777777" w:rsidR="00C901BE" w:rsidRPr="00E551D9" w:rsidRDefault="00C901BE" w:rsidP="007E7F83">
      <w:pPr>
        <w:pStyle w:val="Rrys"/>
        <w:spacing w:before="0"/>
        <w:rPr>
          <w:noProof/>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440"/>
      </w:tblGrid>
      <w:tr w:rsidR="009946E1" w:rsidRPr="00E551D9" w14:paraId="5AA17FB7" w14:textId="77777777" w:rsidTr="009946E1">
        <w:tc>
          <w:tcPr>
            <w:tcW w:w="7338" w:type="dxa"/>
            <w:vMerge w:val="restart"/>
          </w:tcPr>
          <w:p w14:paraId="46D882CB" w14:textId="4874043D" w:rsidR="009946E1" w:rsidRPr="00E551D9" w:rsidRDefault="009946E1" w:rsidP="007E7F83">
            <w:pPr>
              <w:jc w:val="center"/>
              <w:rPr>
                <w:lang w:val="en-GB"/>
              </w:rPr>
            </w:pPr>
            <w:r w:rsidRPr="00E551D9">
              <w:rPr>
                <w:noProof/>
                <w:lang w:val="en-GB" w:eastAsia="pl-PL"/>
              </w:rPr>
              <w:drawing>
                <wp:inline distT="0" distB="0" distL="0" distR="0" wp14:anchorId="25D37F57" wp14:editId="2CF0D40E">
                  <wp:extent cx="4294800" cy="2383200"/>
                  <wp:effectExtent l="0" t="0" r="0" b="0"/>
                  <wp:docPr id="303258343" name="Obraz 1" descr="Obraz zawierający mapa, wizualizacj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58343" name="Obraz 1" descr="Obraz zawierający mapa, wizualizacja&#10;&#10;Zawartość wygenerowana przez AI może być niepoprawna."/>
                          <pic:cNvPicPr/>
                        </pic:nvPicPr>
                        <pic:blipFill rotWithShape="1">
                          <a:blip r:embed="rId34"/>
                          <a:srcRect r="6425"/>
                          <a:stretch>
                            <a:fillRect/>
                          </a:stretch>
                        </pic:blipFill>
                        <pic:spPr bwMode="auto">
                          <a:xfrm>
                            <a:off x="0" y="0"/>
                            <a:ext cx="4294800" cy="2383200"/>
                          </a:xfrm>
                          <a:prstGeom prst="rect">
                            <a:avLst/>
                          </a:prstGeom>
                          <a:ln>
                            <a:noFill/>
                          </a:ln>
                          <a:extLst>
                            <a:ext uri="{53640926-AAD7-44D8-BBD7-CCE9431645EC}">
                              <a14:shadowObscured xmlns:a14="http://schemas.microsoft.com/office/drawing/2010/main"/>
                            </a:ext>
                          </a:extLst>
                        </pic:spPr>
                      </pic:pic>
                    </a:graphicData>
                  </a:graphic>
                </wp:inline>
              </w:drawing>
            </w:r>
          </w:p>
        </w:tc>
        <w:tc>
          <w:tcPr>
            <w:tcW w:w="2440" w:type="dxa"/>
            <w:tcBorders>
              <w:bottom w:val="single" w:sz="4" w:space="0" w:color="auto"/>
            </w:tcBorders>
          </w:tcPr>
          <w:p w14:paraId="7B1E75FE" w14:textId="5328A1A3" w:rsidR="009946E1" w:rsidRPr="00E551D9" w:rsidRDefault="009946E1" w:rsidP="007E7F83">
            <w:pPr>
              <w:jc w:val="center"/>
              <w:rPr>
                <w:lang w:val="en-GB"/>
              </w:rPr>
            </w:pPr>
            <w:r w:rsidRPr="00E551D9">
              <w:rPr>
                <w:noProof/>
                <w:lang w:val="en-GB" w:eastAsia="pl-PL"/>
              </w:rPr>
              <w:drawing>
                <wp:inline distT="0" distB="0" distL="0" distR="0" wp14:anchorId="58CDDDE7" wp14:editId="2E03F248">
                  <wp:extent cx="1015200" cy="1184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15200" cy="1184400"/>
                          </a:xfrm>
                          <a:prstGeom prst="rect">
                            <a:avLst/>
                          </a:prstGeom>
                        </pic:spPr>
                      </pic:pic>
                    </a:graphicData>
                  </a:graphic>
                </wp:inline>
              </w:drawing>
            </w:r>
          </w:p>
        </w:tc>
      </w:tr>
      <w:tr w:rsidR="009946E1" w:rsidRPr="00E551D9" w14:paraId="4F0034F9" w14:textId="77777777" w:rsidTr="009946E1">
        <w:tc>
          <w:tcPr>
            <w:tcW w:w="7338" w:type="dxa"/>
            <w:vMerge/>
          </w:tcPr>
          <w:p w14:paraId="4370F6B6" w14:textId="77777777" w:rsidR="009946E1" w:rsidRPr="00E551D9" w:rsidRDefault="009946E1" w:rsidP="007E7F83">
            <w:pPr>
              <w:spacing w:after="120"/>
              <w:rPr>
                <w:lang w:val="en-GB"/>
              </w:rPr>
            </w:pPr>
          </w:p>
        </w:tc>
        <w:tc>
          <w:tcPr>
            <w:tcW w:w="2440" w:type="dxa"/>
            <w:tcBorders>
              <w:top w:val="single" w:sz="4" w:space="0" w:color="auto"/>
            </w:tcBorders>
          </w:tcPr>
          <w:p w14:paraId="5FB572C1" w14:textId="12E585A5" w:rsidR="009946E1" w:rsidRPr="00E551D9" w:rsidRDefault="009946E1" w:rsidP="007E7F83">
            <w:pPr>
              <w:jc w:val="center"/>
              <w:rPr>
                <w:lang w:val="en-GB"/>
              </w:rPr>
            </w:pPr>
            <w:r w:rsidRPr="00E551D9">
              <w:rPr>
                <w:noProof/>
                <w:lang w:val="en-GB" w:eastAsia="pl-PL"/>
              </w:rPr>
              <w:drawing>
                <wp:inline distT="0" distB="0" distL="0" distR="0" wp14:anchorId="0A44BE1F" wp14:editId="68727BC9">
                  <wp:extent cx="1018800" cy="1224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18800" cy="1224000"/>
                          </a:xfrm>
                          <a:prstGeom prst="rect">
                            <a:avLst/>
                          </a:prstGeom>
                        </pic:spPr>
                      </pic:pic>
                    </a:graphicData>
                  </a:graphic>
                </wp:inline>
              </w:drawing>
            </w:r>
          </w:p>
        </w:tc>
      </w:tr>
    </w:tbl>
    <w:p w14:paraId="1C04CB87" w14:textId="1CB536C6" w:rsidR="00AF195A" w:rsidRPr="00E551D9" w:rsidRDefault="00AF195A" w:rsidP="007E7F83">
      <w:pPr>
        <w:pStyle w:val="Rrys"/>
        <w:rPr>
          <w:noProof/>
        </w:rPr>
      </w:pPr>
      <w:r w:rsidRPr="00E551D9">
        <w:rPr>
          <w:b/>
        </w:rPr>
        <w:t>Fig. 11.</w:t>
      </w:r>
      <w:r w:rsidRPr="00E551D9">
        <w:rPr>
          <w:noProof/>
        </w:rPr>
        <w:t xml:space="preserve"> Comparison of link and zone </w:t>
      </w:r>
      <w:r w:rsidR="00321CA4" w:rsidRPr="00E551D9">
        <w:t xml:space="preserve">freight </w:t>
      </w:r>
      <w:r w:rsidR="00852F30" w:rsidRPr="00E551D9">
        <w:t>energy</w:t>
      </w:r>
      <w:r w:rsidRPr="00E551D9">
        <w:rPr>
          <w:noProof/>
        </w:rPr>
        <w:t xml:space="preserve"> consumption changes for the zero emission freight traffic scenario</w:t>
      </w:r>
      <w:r w:rsidR="00BF4015" w:rsidRPr="00E551D9">
        <w:t xml:space="preserve"> = map </w:t>
      </w:r>
      <w:proofErr w:type="spellStart"/>
      <w:r w:rsidR="00BF4015" w:rsidRPr="00E551D9">
        <w:t>shows</w:t>
      </w:r>
      <w:proofErr w:type="spellEnd"/>
      <w:r w:rsidR="00BF4015" w:rsidRPr="00E551D9">
        <w:t xml:space="preserve"> a </w:t>
      </w:r>
      <w:proofErr w:type="spellStart"/>
      <w:r w:rsidR="00BF4015" w:rsidRPr="00E551D9">
        <w:t>decrease</w:t>
      </w:r>
      <w:proofErr w:type="spellEnd"/>
      <w:r w:rsidR="00BF4015" w:rsidRPr="00E551D9">
        <w:t xml:space="preserve"> in </w:t>
      </w:r>
      <w:proofErr w:type="spellStart"/>
      <w:r w:rsidR="00BF4015" w:rsidRPr="00E551D9">
        <w:t>values</w:t>
      </w:r>
      <w:proofErr w:type="spellEnd"/>
    </w:p>
    <w:p w14:paraId="60B1F119" w14:textId="77777777" w:rsidR="00C901BE" w:rsidRPr="00E551D9" w:rsidRDefault="00C901BE" w:rsidP="00606365">
      <w:pPr>
        <w:spacing w:after="0" w:line="240" w:lineRule="auto"/>
        <w:jc w:val="both"/>
        <w:rPr>
          <w:noProof/>
          <w:lang w:val="en-GB"/>
        </w:rPr>
      </w:pPr>
    </w:p>
    <w:p w14:paraId="58CA5D8A" w14:textId="3C5F9149" w:rsidR="00942E23" w:rsidRPr="00E551D9" w:rsidRDefault="00942E23" w:rsidP="007E7F83">
      <w:pPr>
        <w:spacing w:after="120" w:line="240" w:lineRule="auto"/>
        <w:jc w:val="center"/>
        <w:rPr>
          <w:noProof/>
          <w:lang w:val="en-GB"/>
        </w:rPr>
      </w:pPr>
      <w:r w:rsidRPr="00E551D9">
        <w:rPr>
          <w:noProof/>
          <w:lang w:val="en-GB" w:eastAsia="pl-PL"/>
        </w:rPr>
        <w:drawing>
          <wp:inline distT="0" distB="0" distL="0" distR="0" wp14:anchorId="195DFFCF" wp14:editId="0B50FED6">
            <wp:extent cx="2934000" cy="2445385"/>
            <wp:effectExtent l="0" t="0" r="0" b="12065"/>
            <wp:docPr id="2000303287" name="Wykres 1">
              <a:extLst xmlns:a="http://schemas.openxmlformats.org/drawingml/2006/main">
                <a:ext uri="{FF2B5EF4-FFF2-40B4-BE49-F238E27FC236}">
                  <a16:creationId xmlns:a16="http://schemas.microsoft.com/office/drawing/2014/main" id="{355DB553-FC92-4B97-9A54-E9B167D7D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551D9">
        <w:rPr>
          <w:noProof/>
          <w:lang w:val="en-GB" w:eastAsia="pl-PL"/>
        </w:rPr>
        <w:drawing>
          <wp:inline distT="0" distB="0" distL="0" distR="0" wp14:anchorId="39558299" wp14:editId="4E38C616">
            <wp:extent cx="2934000" cy="2445385"/>
            <wp:effectExtent l="0" t="0" r="0" b="12065"/>
            <wp:docPr id="605799769" name="Wykres 3">
              <a:extLst xmlns:a="http://schemas.openxmlformats.org/drawingml/2006/main">
                <a:ext uri="{FF2B5EF4-FFF2-40B4-BE49-F238E27FC236}">
                  <a16:creationId xmlns:a16="http://schemas.microsoft.com/office/drawing/2014/main" id="{3D9D2BA3-4E87-4E83-A048-0D1A7F728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412059A" w14:textId="078FB922" w:rsidR="00D80EDF" w:rsidRDefault="00D80EDF" w:rsidP="007E7F83">
      <w:pPr>
        <w:pStyle w:val="Rrys"/>
      </w:pPr>
      <w:r w:rsidRPr="00E551D9">
        <w:rPr>
          <w:b/>
        </w:rPr>
        <w:t>Fig. 1</w:t>
      </w:r>
      <w:r w:rsidR="0090098D" w:rsidRPr="00E551D9">
        <w:rPr>
          <w:b/>
        </w:rPr>
        <w:t>2</w:t>
      </w:r>
      <w:r w:rsidRPr="00E551D9">
        <w:rPr>
          <w:b/>
        </w:rPr>
        <w:t>.</w:t>
      </w:r>
      <w:r w:rsidRPr="00E551D9">
        <w:t xml:space="preserve"> </w:t>
      </w:r>
      <w:proofErr w:type="spellStart"/>
      <w:r w:rsidRPr="00E551D9">
        <w:t>Changes</w:t>
      </w:r>
      <w:proofErr w:type="spellEnd"/>
      <w:r w:rsidRPr="00E551D9">
        <w:t xml:space="preserve"> on the </w:t>
      </w:r>
      <w:proofErr w:type="spellStart"/>
      <w:r w:rsidRPr="00E551D9">
        <w:t>energy</w:t>
      </w:r>
      <w:proofErr w:type="spellEnd"/>
      <w:r w:rsidRPr="00E551D9">
        <w:t xml:space="preserve"> </w:t>
      </w:r>
      <w:proofErr w:type="spellStart"/>
      <w:r w:rsidRPr="00E551D9">
        <w:t>consumptions</w:t>
      </w:r>
      <w:proofErr w:type="spellEnd"/>
      <w:r w:rsidRPr="00E551D9">
        <w:t xml:space="preserve"> </w:t>
      </w:r>
      <w:proofErr w:type="spellStart"/>
      <w:r w:rsidRPr="00E551D9">
        <w:t>according</w:t>
      </w:r>
      <w:proofErr w:type="spellEnd"/>
      <w:r w:rsidRPr="00E551D9">
        <w:t xml:space="preserve"> to the </w:t>
      </w:r>
      <w:proofErr w:type="spellStart"/>
      <w:r w:rsidRPr="00E551D9">
        <w:t>road</w:t>
      </w:r>
      <w:proofErr w:type="spellEnd"/>
      <w:r w:rsidRPr="00E551D9">
        <w:t xml:space="preserve"> </w:t>
      </w:r>
      <w:proofErr w:type="spellStart"/>
      <w:r w:rsidRPr="00E551D9">
        <w:t>class</w:t>
      </w:r>
      <w:proofErr w:type="spellEnd"/>
    </w:p>
    <w:p w14:paraId="273296B0" w14:textId="77777777" w:rsidR="00C901BE" w:rsidRPr="00E551D9" w:rsidRDefault="00C901BE" w:rsidP="007E7F83">
      <w:pPr>
        <w:pStyle w:val="Rrys"/>
        <w:spacing w:before="0"/>
        <w:jc w:val="both"/>
      </w:pPr>
    </w:p>
    <w:p w14:paraId="0EB08C70" w14:textId="77777777" w:rsidR="00942E23" w:rsidRPr="00E551D9" w:rsidRDefault="00942E23" w:rsidP="007E7F83">
      <w:pPr>
        <w:spacing w:after="120" w:line="240" w:lineRule="auto"/>
        <w:jc w:val="center"/>
        <w:rPr>
          <w:b/>
          <w:lang w:val="en-GB"/>
        </w:rPr>
      </w:pPr>
      <w:r w:rsidRPr="00E551D9">
        <w:rPr>
          <w:noProof/>
          <w:lang w:val="en-GB" w:eastAsia="pl-PL"/>
        </w:rPr>
        <w:lastRenderedPageBreak/>
        <w:drawing>
          <wp:inline distT="0" distB="0" distL="0" distR="0" wp14:anchorId="36EB378D" wp14:editId="1DE247C8">
            <wp:extent cx="2934000" cy="2700000"/>
            <wp:effectExtent l="0" t="0" r="0" b="5715"/>
            <wp:docPr id="132511023" name="Wykres 2">
              <a:extLst xmlns:a="http://schemas.openxmlformats.org/drawingml/2006/main">
                <a:ext uri="{FF2B5EF4-FFF2-40B4-BE49-F238E27FC236}">
                  <a16:creationId xmlns:a16="http://schemas.microsoft.com/office/drawing/2014/main" id="{BBCE2147-6678-4004-A9EE-8F2E5BE63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551D9">
        <w:rPr>
          <w:noProof/>
          <w:lang w:val="en-GB" w:eastAsia="pl-PL"/>
        </w:rPr>
        <w:drawing>
          <wp:inline distT="0" distB="0" distL="0" distR="0" wp14:anchorId="429BB371" wp14:editId="4007581B">
            <wp:extent cx="2934000" cy="2700000"/>
            <wp:effectExtent l="0" t="0" r="0" b="5715"/>
            <wp:docPr id="1437733982" name="Wykres 4">
              <a:extLst xmlns:a="http://schemas.openxmlformats.org/drawingml/2006/main">
                <a:ext uri="{FF2B5EF4-FFF2-40B4-BE49-F238E27FC236}">
                  <a16:creationId xmlns:a16="http://schemas.microsoft.com/office/drawing/2014/main" id="{CE6AE1E5-D13A-4E9D-B34D-4E1F87CF7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D82FBC" w14:textId="4C4A3BB6" w:rsidR="00DF6DCF" w:rsidRPr="00E551D9" w:rsidRDefault="001E269B" w:rsidP="007E7F83">
      <w:pPr>
        <w:pStyle w:val="Rrys"/>
      </w:pPr>
      <w:r w:rsidRPr="00E551D9">
        <w:rPr>
          <w:b/>
        </w:rPr>
        <w:t>Fig. 1</w:t>
      </w:r>
      <w:r w:rsidR="0090098D" w:rsidRPr="00E551D9">
        <w:rPr>
          <w:b/>
        </w:rPr>
        <w:t>3</w:t>
      </w:r>
      <w:r w:rsidRPr="00E551D9">
        <w:rPr>
          <w:b/>
        </w:rPr>
        <w:t>.</w:t>
      </w:r>
      <w:r w:rsidRPr="00E551D9">
        <w:t xml:space="preserve"> </w:t>
      </w:r>
      <w:proofErr w:type="spellStart"/>
      <w:r w:rsidR="00DA528E" w:rsidRPr="00E551D9">
        <w:t>Changes</w:t>
      </w:r>
      <w:proofErr w:type="spellEnd"/>
      <w:r w:rsidR="00DA528E" w:rsidRPr="00E551D9">
        <w:t xml:space="preserve"> on the </w:t>
      </w:r>
      <w:proofErr w:type="spellStart"/>
      <w:r w:rsidR="00DA528E" w:rsidRPr="00E551D9">
        <w:t>emissions</w:t>
      </w:r>
      <w:proofErr w:type="spellEnd"/>
      <w:r w:rsidR="00DA528E" w:rsidRPr="00E551D9">
        <w:t xml:space="preserve"> </w:t>
      </w:r>
      <w:proofErr w:type="spellStart"/>
      <w:r w:rsidR="00DF6DCF" w:rsidRPr="00E551D9">
        <w:t>according</w:t>
      </w:r>
      <w:proofErr w:type="spellEnd"/>
      <w:r w:rsidR="00DF6DCF" w:rsidRPr="00E551D9">
        <w:t xml:space="preserve"> to the </w:t>
      </w:r>
      <w:proofErr w:type="spellStart"/>
      <w:r w:rsidR="00DF6DCF" w:rsidRPr="00E551D9">
        <w:t>road</w:t>
      </w:r>
      <w:proofErr w:type="spellEnd"/>
      <w:r w:rsidR="00DF6DCF" w:rsidRPr="00E551D9">
        <w:t xml:space="preserve"> </w:t>
      </w:r>
      <w:proofErr w:type="spellStart"/>
      <w:r w:rsidR="00DF6DCF" w:rsidRPr="00E551D9">
        <w:t>class</w:t>
      </w:r>
      <w:proofErr w:type="spellEnd"/>
    </w:p>
    <w:p w14:paraId="05F7A67A" w14:textId="77777777" w:rsidR="00C901BE" w:rsidRDefault="00C901BE" w:rsidP="007E7F83">
      <w:pPr>
        <w:pStyle w:val="Akapitzlist"/>
        <w:spacing w:after="0" w:line="240" w:lineRule="auto"/>
        <w:ind w:left="0" w:firstLine="284"/>
        <w:contextualSpacing w:val="0"/>
        <w:jc w:val="both"/>
        <w:rPr>
          <w:lang w:val="en-GB"/>
        </w:rPr>
      </w:pPr>
    </w:p>
    <w:p w14:paraId="2A3AD347" w14:textId="2D4F70BE" w:rsidR="00B82F3B" w:rsidRPr="000049F6" w:rsidRDefault="00B82F3B" w:rsidP="007E7F83">
      <w:pPr>
        <w:pStyle w:val="Akapitzlist"/>
        <w:spacing w:after="0" w:line="240" w:lineRule="auto"/>
        <w:ind w:left="0"/>
        <w:contextualSpacing w:val="0"/>
        <w:jc w:val="center"/>
        <w:rPr>
          <w:lang w:val="en-GB"/>
        </w:rPr>
      </w:pPr>
      <w:r w:rsidRPr="00E551D9">
        <w:rPr>
          <w:noProof/>
          <w:lang w:val="en-GB" w:eastAsia="pl-PL"/>
        </w:rPr>
        <w:drawing>
          <wp:inline distT="0" distB="0" distL="0" distR="0" wp14:anchorId="4E3AB738" wp14:editId="5A5FBF4D">
            <wp:extent cx="2934000" cy="2556000"/>
            <wp:effectExtent l="0" t="0" r="0" b="15875"/>
            <wp:docPr id="494487684" name="Wykres 1">
              <a:extLst xmlns:a="http://schemas.openxmlformats.org/drawingml/2006/main">
                <a:ext uri="{FF2B5EF4-FFF2-40B4-BE49-F238E27FC236}">
                  <a16:creationId xmlns:a16="http://schemas.microsoft.com/office/drawing/2014/main" id="{A3A320BA-A2C0-154B-6AAE-FB11883D3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551D9">
        <w:rPr>
          <w:noProof/>
          <w:lang w:val="en-GB" w:eastAsia="pl-PL"/>
        </w:rPr>
        <w:drawing>
          <wp:inline distT="0" distB="0" distL="0" distR="0" wp14:anchorId="659EC3FB" wp14:editId="40B7CD5C">
            <wp:extent cx="2934000" cy="2556000"/>
            <wp:effectExtent l="0" t="0" r="0" b="15875"/>
            <wp:docPr id="1474787236" name="Wykres 2">
              <a:extLst xmlns:a="http://schemas.openxmlformats.org/drawingml/2006/main">
                <a:ext uri="{FF2B5EF4-FFF2-40B4-BE49-F238E27FC236}">
                  <a16:creationId xmlns:a16="http://schemas.microsoft.com/office/drawing/2014/main" id="{98EF79CA-9965-4DEB-8586-8E2B3B9E4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E551D9">
        <w:rPr>
          <w:noProof/>
          <w:lang w:val="en-GB" w:eastAsia="pl-PL"/>
        </w:rPr>
        <w:drawing>
          <wp:inline distT="0" distB="0" distL="0" distR="0" wp14:anchorId="777164ED" wp14:editId="63D95658">
            <wp:extent cx="2934000" cy="2556000"/>
            <wp:effectExtent l="0" t="0" r="0" b="15875"/>
            <wp:docPr id="459578632" name="Wykres 3">
              <a:extLst xmlns:a="http://schemas.openxmlformats.org/drawingml/2006/main">
                <a:ext uri="{FF2B5EF4-FFF2-40B4-BE49-F238E27FC236}">
                  <a16:creationId xmlns:a16="http://schemas.microsoft.com/office/drawing/2014/main" id="{100C0B69-BC1B-4DAD-AA5A-937E7DD76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551D9">
        <w:rPr>
          <w:noProof/>
          <w:lang w:val="en-GB" w:eastAsia="pl-PL"/>
        </w:rPr>
        <w:drawing>
          <wp:inline distT="0" distB="0" distL="0" distR="0" wp14:anchorId="47BC0FDC" wp14:editId="50EDEB35">
            <wp:extent cx="2934000" cy="2556000"/>
            <wp:effectExtent l="0" t="0" r="0" b="15875"/>
            <wp:docPr id="720938867" name="Wykres 4">
              <a:extLst xmlns:a="http://schemas.openxmlformats.org/drawingml/2006/main">
                <a:ext uri="{FF2B5EF4-FFF2-40B4-BE49-F238E27FC236}">
                  <a16:creationId xmlns:a16="http://schemas.microsoft.com/office/drawing/2014/main" id="{826C6933-15C8-44BD-B498-3CFCA62A5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CB97C7A" w14:textId="7EB04B6B" w:rsidR="00D451E5" w:rsidRPr="00E551D9" w:rsidRDefault="00D451E5" w:rsidP="007E7F83">
      <w:pPr>
        <w:pStyle w:val="Rrys"/>
      </w:pPr>
      <w:r w:rsidRPr="00E551D9">
        <w:rPr>
          <w:b/>
          <w:bCs/>
        </w:rPr>
        <w:t>Fig. 1</w:t>
      </w:r>
      <w:r w:rsidR="00584E5C" w:rsidRPr="00E551D9">
        <w:rPr>
          <w:b/>
          <w:bCs/>
        </w:rPr>
        <w:t>4</w:t>
      </w:r>
      <w:r w:rsidRPr="00E551D9">
        <w:rPr>
          <w:b/>
          <w:bCs/>
        </w:rPr>
        <w:t>.</w:t>
      </w:r>
      <w:r w:rsidRPr="00E551D9">
        <w:t xml:space="preserve"> </w:t>
      </w:r>
      <w:proofErr w:type="spellStart"/>
      <w:r w:rsidR="002F1BA6" w:rsidRPr="00E551D9">
        <w:t>Changes</w:t>
      </w:r>
      <w:proofErr w:type="spellEnd"/>
      <w:r w:rsidR="002F1BA6" w:rsidRPr="00E551D9">
        <w:t xml:space="preserve"> in </w:t>
      </w:r>
      <w:proofErr w:type="spellStart"/>
      <w:r w:rsidR="002F1BA6" w:rsidRPr="00E551D9">
        <w:t>simulated</w:t>
      </w:r>
      <w:proofErr w:type="spellEnd"/>
      <w:r w:rsidR="002F1BA6" w:rsidRPr="00E551D9">
        <w:t xml:space="preserve"> </w:t>
      </w:r>
      <w:proofErr w:type="spellStart"/>
      <w:r w:rsidR="002F1BA6" w:rsidRPr="00E551D9">
        <w:t>scenarios</w:t>
      </w:r>
      <w:proofErr w:type="spellEnd"/>
      <w:r w:rsidR="002F1BA6" w:rsidRPr="00E551D9">
        <w:t xml:space="preserve"> </w:t>
      </w:r>
      <w:proofErr w:type="spellStart"/>
      <w:r w:rsidR="002F1BA6" w:rsidRPr="00E551D9">
        <w:t>according</w:t>
      </w:r>
      <w:proofErr w:type="spellEnd"/>
      <w:r w:rsidR="002F1BA6" w:rsidRPr="00E551D9">
        <w:t xml:space="preserve"> to the </w:t>
      </w:r>
      <w:proofErr w:type="spellStart"/>
      <w:r w:rsidR="002F1BA6" w:rsidRPr="00E551D9">
        <w:t>dominating</w:t>
      </w:r>
      <w:proofErr w:type="spellEnd"/>
      <w:r w:rsidR="002F1BA6" w:rsidRPr="00E551D9">
        <w:t xml:space="preserve"> </w:t>
      </w:r>
      <w:proofErr w:type="spellStart"/>
      <w:r w:rsidR="002F1BA6" w:rsidRPr="00E551D9">
        <w:t>zone</w:t>
      </w:r>
      <w:proofErr w:type="spellEnd"/>
      <w:r w:rsidR="002F1BA6" w:rsidRPr="00E551D9">
        <w:t xml:space="preserve"> </w:t>
      </w:r>
      <w:proofErr w:type="spellStart"/>
      <w:r w:rsidR="002F1BA6" w:rsidRPr="00E551D9">
        <w:t>type</w:t>
      </w:r>
      <w:proofErr w:type="spellEnd"/>
    </w:p>
    <w:p w14:paraId="19854095" w14:textId="77777777" w:rsidR="00C901BE" w:rsidRDefault="00C901BE" w:rsidP="007E7F83">
      <w:pPr>
        <w:tabs>
          <w:tab w:val="left" w:pos="720"/>
        </w:tabs>
        <w:spacing w:after="0" w:line="240" w:lineRule="auto"/>
        <w:ind w:firstLine="284"/>
        <w:jc w:val="both"/>
        <w:rPr>
          <w:lang w:val="en-GB"/>
        </w:rPr>
      </w:pPr>
    </w:p>
    <w:p w14:paraId="3B09D8C4" w14:textId="77777777" w:rsidR="00806C2B" w:rsidRDefault="00806C2B">
      <w:pPr>
        <w:rPr>
          <w:lang w:val="en-GB"/>
        </w:rPr>
      </w:pPr>
      <w:r>
        <w:rPr>
          <w:lang w:val="en-GB"/>
        </w:rPr>
        <w:br w:type="page"/>
      </w:r>
    </w:p>
    <w:p w14:paraId="370477B0" w14:textId="286B64E1" w:rsidR="00606365" w:rsidRPr="00E551D9" w:rsidRDefault="00606365" w:rsidP="00606365">
      <w:pPr>
        <w:pStyle w:val="Akapitzlist"/>
        <w:spacing w:after="0" w:line="240" w:lineRule="auto"/>
        <w:ind w:left="0" w:firstLine="284"/>
        <w:contextualSpacing w:val="0"/>
        <w:jc w:val="both"/>
        <w:rPr>
          <w:lang w:val="en-GB"/>
        </w:rPr>
      </w:pPr>
      <w:r w:rsidRPr="00E551D9">
        <w:rPr>
          <w:lang w:val="en-GB"/>
        </w:rPr>
        <w:lastRenderedPageBreak/>
        <w:t>As seen in Figure</w:t>
      </w:r>
      <w:r w:rsidR="003B09B1">
        <w:rPr>
          <w:lang w:val="en-GB"/>
        </w:rPr>
        <w:t>s</w:t>
      </w:r>
      <w:r w:rsidRPr="00E551D9">
        <w:rPr>
          <w:lang w:val="en-GB"/>
        </w:rPr>
        <w:t xml:space="preserve"> 12 and 13, for all vehicle classes, the biggest changes, both in the peak hour increases and zero-emission freight vehicles scenarios</w:t>
      </w:r>
      <w:r w:rsidR="003B09B1">
        <w:rPr>
          <w:lang w:val="en-GB"/>
        </w:rPr>
        <w:t>,</w:t>
      </w:r>
      <w:r w:rsidRPr="00E551D9">
        <w:rPr>
          <w:lang w:val="en-GB"/>
        </w:rPr>
        <w:t xml:space="preserve"> are in the higher road classes, confirming the bigger share of the freight vehicles in those classes. When analysing the freight vehicles individually, it can be seen that the biggest changes occur in the lower road class, confirming the </w:t>
      </w:r>
      <w:r w:rsidR="003B09B1">
        <w:rPr>
          <w:lang w:val="en-GB"/>
        </w:rPr>
        <w:t>highest</w:t>
      </w:r>
      <w:r w:rsidRPr="00E551D9">
        <w:rPr>
          <w:lang w:val="en-GB"/>
        </w:rPr>
        <w:t xml:space="preserve"> energy consumption in this vehicle type. Emission costs for the freight vehicles in this scenario decreased to 0.</w:t>
      </w:r>
    </w:p>
    <w:p w14:paraId="61598B66" w14:textId="7E8471AB" w:rsidR="004E5052" w:rsidRPr="00E551D9" w:rsidRDefault="000B0F52" w:rsidP="007E7F83">
      <w:pPr>
        <w:tabs>
          <w:tab w:val="left" w:pos="720"/>
        </w:tabs>
        <w:spacing w:after="0" w:line="240" w:lineRule="auto"/>
        <w:ind w:firstLine="284"/>
        <w:jc w:val="both"/>
        <w:rPr>
          <w:lang w:val="en-GB"/>
        </w:rPr>
      </w:pPr>
      <w:r w:rsidRPr="00E551D9">
        <w:rPr>
          <w:lang w:val="en-GB"/>
        </w:rPr>
        <w:t>Similarly</w:t>
      </w:r>
      <w:r w:rsidR="00FE18E9" w:rsidRPr="00E551D9">
        <w:rPr>
          <w:lang w:val="en-GB"/>
        </w:rPr>
        <w:t xml:space="preserve"> to the previous case,</w:t>
      </w:r>
      <w:r w:rsidR="00B52BB7" w:rsidRPr="00E551D9">
        <w:rPr>
          <w:lang w:val="en-GB"/>
        </w:rPr>
        <w:t xml:space="preserve"> emission</w:t>
      </w:r>
      <w:r w:rsidR="00FE18E9" w:rsidRPr="00E551D9">
        <w:rPr>
          <w:lang w:val="en-GB"/>
        </w:rPr>
        <w:t xml:space="preserve"> </w:t>
      </w:r>
      <w:r w:rsidR="003363F8" w:rsidRPr="00E551D9">
        <w:rPr>
          <w:lang w:val="en-GB"/>
        </w:rPr>
        <w:t xml:space="preserve">differences </w:t>
      </w:r>
      <w:r w:rsidR="004F3AAD" w:rsidRPr="00E551D9">
        <w:rPr>
          <w:lang w:val="en-GB"/>
        </w:rPr>
        <w:t xml:space="preserve">in the scenario </w:t>
      </w:r>
      <w:r w:rsidR="007264FC" w:rsidRPr="00E551D9">
        <w:rPr>
          <w:lang w:val="en-GB"/>
        </w:rPr>
        <w:t>are the greatest in the zones with a</w:t>
      </w:r>
      <w:r w:rsidR="00F403AE">
        <w:rPr>
          <w:lang w:val="en-GB"/>
        </w:rPr>
        <w:t> </w:t>
      </w:r>
      <w:r w:rsidR="003A6571" w:rsidRPr="00E551D9">
        <w:rPr>
          <w:lang w:val="en-GB"/>
        </w:rPr>
        <w:t>greater share of the freight vehicles</w:t>
      </w:r>
      <w:r w:rsidR="0090098D" w:rsidRPr="00E551D9">
        <w:rPr>
          <w:lang w:val="en-GB"/>
        </w:rPr>
        <w:t xml:space="preserve">, </w:t>
      </w:r>
      <w:r w:rsidR="003A6571" w:rsidRPr="00E551D9">
        <w:rPr>
          <w:lang w:val="en-GB"/>
        </w:rPr>
        <w:t xml:space="preserve">especially logistic centres. </w:t>
      </w:r>
      <w:r w:rsidR="00B52BB7" w:rsidRPr="00E551D9">
        <w:rPr>
          <w:lang w:val="en-GB"/>
        </w:rPr>
        <w:t>F</w:t>
      </w:r>
      <w:r w:rsidR="003B09B1">
        <w:rPr>
          <w:lang w:val="en-GB"/>
        </w:rPr>
        <w:t>or</w:t>
      </w:r>
      <w:r w:rsidR="00B52BB7" w:rsidRPr="00E551D9">
        <w:rPr>
          <w:lang w:val="en-GB"/>
        </w:rPr>
        <w:t xml:space="preserve"> the same reason, considering only freight traffic, </w:t>
      </w:r>
      <w:r w:rsidR="009E6673" w:rsidRPr="00E551D9">
        <w:rPr>
          <w:lang w:val="en-GB"/>
        </w:rPr>
        <w:t>in the logistic centres</w:t>
      </w:r>
      <w:r w:rsidR="003B09B1">
        <w:rPr>
          <w:lang w:val="en-GB"/>
        </w:rPr>
        <w:t>,</w:t>
      </w:r>
      <w:r w:rsidR="009E6673" w:rsidRPr="00E551D9">
        <w:rPr>
          <w:lang w:val="en-GB"/>
        </w:rPr>
        <w:t xml:space="preserve"> changes are the lowest in </w:t>
      </w:r>
      <w:r w:rsidR="003B09B1">
        <w:rPr>
          <w:lang w:val="en-GB"/>
        </w:rPr>
        <w:t>term</w:t>
      </w:r>
      <w:r w:rsidR="009E6673" w:rsidRPr="00E551D9">
        <w:rPr>
          <w:lang w:val="en-GB"/>
        </w:rPr>
        <w:t>s of energy consumption</w:t>
      </w:r>
      <w:r w:rsidR="00411474" w:rsidRPr="00E551D9">
        <w:rPr>
          <w:lang w:val="en-GB"/>
        </w:rPr>
        <w:t xml:space="preserve">. Noticeable differences can also be seen in zones with dominating </w:t>
      </w:r>
      <w:r w:rsidR="003B09B1">
        <w:rPr>
          <w:lang w:val="en-GB"/>
        </w:rPr>
        <w:t>"</w:t>
      </w:r>
      <w:r w:rsidR="00411474" w:rsidRPr="00E551D9">
        <w:rPr>
          <w:lang w:val="en-GB"/>
        </w:rPr>
        <w:t>residential</w:t>
      </w:r>
      <w:r w:rsidR="003B09B1">
        <w:rPr>
          <w:lang w:val="en-GB"/>
        </w:rPr>
        <w:t>"</w:t>
      </w:r>
      <w:r w:rsidR="00411474" w:rsidRPr="00E551D9">
        <w:rPr>
          <w:lang w:val="en-GB"/>
        </w:rPr>
        <w:t xml:space="preserve"> and </w:t>
      </w:r>
      <w:r w:rsidR="003B09B1">
        <w:rPr>
          <w:lang w:val="en-GB"/>
        </w:rPr>
        <w:t>"</w:t>
      </w:r>
      <w:r w:rsidR="00411474" w:rsidRPr="00E551D9">
        <w:rPr>
          <w:lang w:val="en-GB"/>
        </w:rPr>
        <w:t>other</w:t>
      </w:r>
      <w:r w:rsidR="003B09B1">
        <w:rPr>
          <w:lang w:val="en-GB"/>
        </w:rPr>
        <w:t>"</w:t>
      </w:r>
      <w:r w:rsidR="00411474" w:rsidRPr="00E551D9">
        <w:rPr>
          <w:lang w:val="en-GB"/>
        </w:rPr>
        <w:t xml:space="preserve"> motivation</w:t>
      </w:r>
      <w:r w:rsidR="003B09B1">
        <w:rPr>
          <w:lang w:val="en-GB"/>
        </w:rPr>
        <w:t>s</w:t>
      </w:r>
      <w:r w:rsidR="00411474" w:rsidRPr="00E551D9">
        <w:rPr>
          <w:lang w:val="en-GB"/>
        </w:rPr>
        <w:t>.</w:t>
      </w:r>
    </w:p>
    <w:p w14:paraId="2DC80C9E" w14:textId="7E30F09D" w:rsidR="00B82F3B" w:rsidRPr="00606365" w:rsidRDefault="00EB5B09" w:rsidP="007E7F83">
      <w:pPr>
        <w:pStyle w:val="Rn1"/>
        <w:rPr>
          <w:lang w:val="en-GB"/>
        </w:rPr>
      </w:pPr>
      <w:r w:rsidRPr="00606365">
        <w:rPr>
          <w:lang w:val="en-GB"/>
        </w:rPr>
        <w:t xml:space="preserve">5. </w:t>
      </w:r>
      <w:r w:rsidR="00B82F3B" w:rsidRPr="00606365">
        <w:rPr>
          <w:lang w:val="en-GB"/>
        </w:rPr>
        <w:t xml:space="preserve">Summary, </w:t>
      </w:r>
      <w:r w:rsidR="00C901BE" w:rsidRPr="00606365">
        <w:rPr>
          <w:lang w:val="en-GB"/>
        </w:rPr>
        <w:t>C</w:t>
      </w:r>
      <w:r w:rsidR="00B82F3B" w:rsidRPr="00606365">
        <w:rPr>
          <w:lang w:val="en-GB"/>
        </w:rPr>
        <w:t>onclusions</w:t>
      </w:r>
      <w:r w:rsidR="003B09B1">
        <w:rPr>
          <w:lang w:val="en-GB"/>
        </w:rPr>
        <w:t>,</w:t>
      </w:r>
      <w:r w:rsidR="00B82F3B" w:rsidRPr="00606365">
        <w:rPr>
          <w:lang w:val="en-GB"/>
        </w:rPr>
        <w:t xml:space="preserve"> and </w:t>
      </w:r>
      <w:r w:rsidR="00C901BE" w:rsidRPr="00606365">
        <w:rPr>
          <w:lang w:val="en-GB"/>
        </w:rPr>
        <w:t>F</w:t>
      </w:r>
      <w:r w:rsidR="00B82F3B" w:rsidRPr="00606365">
        <w:rPr>
          <w:lang w:val="en-GB"/>
        </w:rPr>
        <w:t xml:space="preserve">urther </w:t>
      </w:r>
      <w:r w:rsidR="00C901BE" w:rsidRPr="00606365">
        <w:rPr>
          <w:lang w:val="en-GB"/>
        </w:rPr>
        <w:t>S</w:t>
      </w:r>
      <w:r w:rsidR="00B82F3B" w:rsidRPr="00606365">
        <w:rPr>
          <w:lang w:val="en-GB"/>
        </w:rPr>
        <w:t>tudies</w:t>
      </w:r>
    </w:p>
    <w:p w14:paraId="1BE09154" w14:textId="2ADF5F82" w:rsidR="006620DB" w:rsidRPr="00E551D9" w:rsidRDefault="006620DB" w:rsidP="007E7F83">
      <w:pPr>
        <w:spacing w:after="0" w:line="240" w:lineRule="auto"/>
        <w:ind w:firstLine="284"/>
        <w:jc w:val="both"/>
        <w:rPr>
          <w:rFonts w:cs="Times New Roman"/>
          <w:lang w:val="en-GB" w:eastAsia="pl-PL"/>
        </w:rPr>
      </w:pPr>
      <w:r w:rsidRPr="00E551D9">
        <w:rPr>
          <w:rFonts w:cs="Times New Roman"/>
          <w:lang w:val="en-GB" w:eastAsia="pl-PL"/>
        </w:rPr>
        <w:t xml:space="preserve">This study analyses the spatial distribution of energy consumption and emission costs generated by road traffic, with particular attention to freight vehicles and the functional characteristics of the road network and urban zones. The results show that roads </w:t>
      </w:r>
      <w:r w:rsidR="003B09B1">
        <w:rPr>
          <w:rFonts w:cs="Times New Roman"/>
          <w:lang w:val="en-GB" w:eastAsia="pl-PL"/>
        </w:rPr>
        <w:t>in the highest functional classes experience the larges</w:t>
      </w:r>
      <w:r w:rsidRPr="00E551D9">
        <w:rPr>
          <w:rFonts w:cs="Times New Roman"/>
          <w:lang w:val="en-GB" w:eastAsia="pl-PL"/>
        </w:rPr>
        <w:t>t increases in total energy use and emissions, driven by high travel speeds and substantial traffic volumes. Roads of the lowest classes also exhibit elevated values due to low operating speeds and frequent stop-and-go conditions. In contrast, main roads operate closer to optimal speeds, resulting in comparatively lower impacts.</w:t>
      </w:r>
    </w:p>
    <w:p w14:paraId="11341185" w14:textId="56B27455" w:rsidR="006620DB" w:rsidRPr="00E551D9" w:rsidRDefault="006620DB" w:rsidP="007E7F83">
      <w:pPr>
        <w:spacing w:after="0" w:line="240" w:lineRule="auto"/>
        <w:ind w:firstLine="284"/>
        <w:jc w:val="both"/>
        <w:rPr>
          <w:rFonts w:cs="Times New Roman"/>
          <w:lang w:val="en-GB" w:eastAsia="pl-PL"/>
        </w:rPr>
      </w:pPr>
      <w:r w:rsidRPr="00E551D9">
        <w:rPr>
          <w:rFonts w:cs="Times New Roman"/>
          <w:lang w:val="en-GB" w:eastAsia="pl-PL"/>
        </w:rPr>
        <w:t xml:space="preserve">Zone-level analysis reveals strong differentiation in sensitivity to traffic variations. Total energy consumption is most sensitive to changes in zones dominated by </w:t>
      </w:r>
      <w:r w:rsidR="003B09B1">
        <w:rPr>
          <w:rFonts w:cs="Times New Roman"/>
          <w:lang w:val="en-GB" w:eastAsia="pl-PL"/>
        </w:rPr>
        <w:t>"</w:t>
      </w:r>
      <w:r w:rsidRPr="00E551D9">
        <w:rPr>
          <w:rFonts w:cs="Times New Roman"/>
          <w:lang w:val="en-GB" w:eastAsia="pl-PL"/>
        </w:rPr>
        <w:t>other</w:t>
      </w:r>
      <w:r w:rsidR="003B09B1">
        <w:rPr>
          <w:rFonts w:cs="Times New Roman"/>
          <w:lang w:val="en-GB" w:eastAsia="pl-PL"/>
        </w:rPr>
        <w:t>"</w:t>
      </w:r>
      <w:r w:rsidRPr="00E551D9">
        <w:rPr>
          <w:rFonts w:cs="Times New Roman"/>
          <w:lang w:val="en-GB" w:eastAsia="pl-PL"/>
        </w:rPr>
        <w:t xml:space="preserve"> trip motivations and, to a lesser extent, logistics centres. Freight energy consumption responds most strongly in zones with a high share of retail-related activity, followed by warehouse areas. </w:t>
      </w:r>
      <w:r w:rsidRPr="00F403AE">
        <w:rPr>
          <w:rFonts w:cs="Times New Roman"/>
          <w:spacing w:val="-2"/>
          <w:lang w:val="en-GB" w:eastAsia="pl-PL"/>
        </w:rPr>
        <w:t>Total emission costs show the highest sensitivity in logistics centre zones</w:t>
      </w:r>
      <w:r w:rsidR="001D0A22" w:rsidRPr="00F403AE">
        <w:rPr>
          <w:rFonts w:cs="Times New Roman"/>
          <w:spacing w:val="-2"/>
          <w:lang w:val="en-GB" w:eastAsia="pl-PL"/>
        </w:rPr>
        <w:t xml:space="preserve"> (</w:t>
      </w:r>
      <w:r w:rsidRPr="00F403AE">
        <w:rPr>
          <w:rFonts w:cs="Times New Roman"/>
          <w:spacing w:val="-2"/>
          <w:lang w:val="en-GB" w:eastAsia="pl-PL"/>
        </w:rPr>
        <w:t>reflecting the dominant share of freight vehicles</w:t>
      </w:r>
      <w:r w:rsidR="001D0A22" w:rsidRPr="00F403AE">
        <w:rPr>
          <w:rFonts w:cs="Times New Roman"/>
          <w:spacing w:val="-2"/>
          <w:lang w:val="en-GB" w:eastAsia="pl-PL"/>
        </w:rPr>
        <w:t xml:space="preserve">) </w:t>
      </w:r>
      <w:r w:rsidRPr="00F403AE">
        <w:rPr>
          <w:rFonts w:cs="Times New Roman"/>
          <w:spacing w:val="-2"/>
          <w:lang w:val="en-GB" w:eastAsia="pl-PL"/>
        </w:rPr>
        <w:t xml:space="preserve">and in retail areas. For freight emissions specifically, the most sensitive zones are those associated with </w:t>
      </w:r>
      <w:r w:rsidR="003B09B1" w:rsidRPr="00F403AE">
        <w:rPr>
          <w:rFonts w:cs="Times New Roman"/>
          <w:spacing w:val="-2"/>
          <w:lang w:val="en-GB" w:eastAsia="pl-PL"/>
        </w:rPr>
        <w:t>"</w:t>
      </w:r>
      <w:r w:rsidRPr="00F403AE">
        <w:rPr>
          <w:rFonts w:cs="Times New Roman"/>
          <w:spacing w:val="-2"/>
          <w:lang w:val="en-GB" w:eastAsia="pl-PL"/>
        </w:rPr>
        <w:t>other</w:t>
      </w:r>
      <w:r w:rsidR="003B09B1" w:rsidRPr="00F403AE">
        <w:rPr>
          <w:rFonts w:cs="Times New Roman"/>
          <w:spacing w:val="-2"/>
          <w:lang w:val="en-GB" w:eastAsia="pl-PL"/>
        </w:rPr>
        <w:t>"</w:t>
      </w:r>
      <w:r w:rsidRPr="00F403AE">
        <w:rPr>
          <w:rFonts w:cs="Times New Roman"/>
          <w:spacing w:val="-2"/>
          <w:lang w:val="en-GB" w:eastAsia="pl-PL"/>
        </w:rPr>
        <w:t xml:space="preserve"> trip purposes, followed by warehouse zones.</w:t>
      </w:r>
    </w:p>
    <w:p w14:paraId="1590D22B" w14:textId="36BE7914" w:rsidR="006620DB" w:rsidRPr="00E551D9" w:rsidRDefault="006620DB" w:rsidP="007E7F83">
      <w:pPr>
        <w:spacing w:after="0" w:line="240" w:lineRule="auto"/>
        <w:ind w:firstLine="284"/>
        <w:jc w:val="both"/>
        <w:rPr>
          <w:rFonts w:cs="Times New Roman"/>
          <w:lang w:val="en-GB" w:eastAsia="pl-PL"/>
        </w:rPr>
      </w:pPr>
      <w:r w:rsidRPr="00E551D9">
        <w:rPr>
          <w:rFonts w:cs="Times New Roman"/>
          <w:lang w:val="en-GB" w:eastAsia="pl-PL"/>
        </w:rPr>
        <w:t xml:space="preserve">Scenario analysis further highlights </w:t>
      </w:r>
      <w:r w:rsidR="003B09B1">
        <w:rPr>
          <w:rFonts w:cs="Times New Roman"/>
          <w:lang w:val="en-GB" w:eastAsia="pl-PL"/>
        </w:rPr>
        <w:t xml:space="preserve">the </w:t>
      </w:r>
      <w:r w:rsidR="00BF54DE" w:rsidRPr="00E551D9">
        <w:rPr>
          <w:rFonts w:cs="Times New Roman"/>
          <w:lang w:val="en-GB" w:eastAsia="pl-PL"/>
        </w:rPr>
        <w:t>mentioned</w:t>
      </w:r>
      <w:r w:rsidRPr="00E551D9">
        <w:rPr>
          <w:rFonts w:cs="Times New Roman"/>
          <w:lang w:val="en-GB" w:eastAsia="pl-PL"/>
        </w:rPr>
        <w:t xml:space="preserve"> patterns. Under peak freight traffic conditions, both total and freight-related energy consumption and emissions increase, with the strongest effects observed in zones with high development intensity and high freight shares. </w:t>
      </w:r>
      <w:r w:rsidR="00BE5EBD" w:rsidRPr="00E551D9">
        <w:rPr>
          <w:rFonts w:cs="Times New Roman"/>
          <w:lang w:val="en-GB" w:eastAsia="pl-PL"/>
        </w:rPr>
        <w:t xml:space="preserve">Conversely, replacing freight vehicles with zero-emission alternatives results in a marked decline in freight energy use, with the most substantial reductions observed in areas with intensive freight activity, and it also eliminates freight emission costs entirely. </w:t>
      </w:r>
      <w:r w:rsidRPr="00E551D9">
        <w:rPr>
          <w:rFonts w:cs="Times New Roman"/>
          <w:lang w:val="en-GB" w:eastAsia="pl-PL"/>
        </w:rPr>
        <w:t xml:space="preserve">Across all scenarios, the largest changes for all vehicle classes occur on higher-class roads, whereas freight-specific impacts are </w:t>
      </w:r>
      <w:r w:rsidR="003B09B1">
        <w:rPr>
          <w:rFonts w:cs="Times New Roman"/>
          <w:lang w:val="en-GB" w:eastAsia="pl-PL"/>
        </w:rPr>
        <w:t>most significan</w:t>
      </w:r>
      <w:r w:rsidRPr="00E551D9">
        <w:rPr>
          <w:rFonts w:cs="Times New Roman"/>
          <w:lang w:val="en-GB" w:eastAsia="pl-PL"/>
        </w:rPr>
        <w:t xml:space="preserve">t on lower-class urban streets. Emission and energy variations are also most pronounced in zones </w:t>
      </w:r>
      <w:r w:rsidR="003B09B1">
        <w:rPr>
          <w:rFonts w:cs="Times New Roman"/>
          <w:lang w:val="en-GB" w:eastAsia="pl-PL"/>
        </w:rPr>
        <w:t>with a significant presence of freight traffic, especially in</w:t>
      </w:r>
      <w:r w:rsidRPr="00E551D9">
        <w:rPr>
          <w:rFonts w:cs="Times New Roman"/>
          <w:lang w:val="en-GB" w:eastAsia="pl-PL"/>
        </w:rPr>
        <w:t xml:space="preserve"> logistics centres.</w:t>
      </w:r>
    </w:p>
    <w:p w14:paraId="455F0733" w14:textId="45B4D736" w:rsidR="00DF02FA" w:rsidRPr="00E551D9" w:rsidRDefault="00DF02FA" w:rsidP="007E7F83">
      <w:pPr>
        <w:spacing w:after="0" w:line="240" w:lineRule="auto"/>
        <w:ind w:firstLine="284"/>
        <w:jc w:val="both"/>
        <w:rPr>
          <w:rFonts w:cs="Times New Roman"/>
          <w:lang w:val="en-GB" w:eastAsia="pl-PL"/>
        </w:rPr>
      </w:pPr>
      <w:r w:rsidRPr="00E551D9">
        <w:rPr>
          <w:rFonts w:cs="Times New Roman"/>
          <w:lang w:val="en-GB" w:eastAsia="pl-PL"/>
        </w:rPr>
        <w:t xml:space="preserve">The results obtained may serve as a foundation for formulating targeted transport policies </w:t>
      </w:r>
      <w:r w:rsidR="003B09B1">
        <w:rPr>
          <w:rFonts w:cs="Times New Roman"/>
          <w:lang w:val="en-GB" w:eastAsia="pl-PL"/>
        </w:rPr>
        <w:t>to reduce</w:t>
      </w:r>
      <w:r w:rsidRPr="00E551D9">
        <w:rPr>
          <w:rFonts w:cs="Times New Roman"/>
          <w:lang w:val="en-GB" w:eastAsia="pl-PL"/>
        </w:rPr>
        <w:t xml:space="preserve"> the negative environmental impacts of freight transport within the GZM area. Such policies may include, for example, the introduction of transit traffic restrictions in metropolitan city centres, time-based limitations on delivery operations, or selective regulations concerning specific vehicle categories. Moreover, the findings may provide a basis for creating favourable conditions for the development of zero- and low-emission urban freight solutions, such as electric vehicles, cargo bikes, or pedestrian-based delivery systems. </w:t>
      </w:r>
      <w:r w:rsidR="003B09B1">
        <w:rPr>
          <w:rFonts w:cs="Times New Roman"/>
          <w:lang w:val="en-GB" w:eastAsia="pl-PL"/>
        </w:rPr>
        <w:t>By identifying the spatial distribution of emissions in detail, it is possible to pinpoint zones where</w:t>
      </w:r>
      <w:r w:rsidRPr="00E551D9">
        <w:rPr>
          <w:rFonts w:cs="Times New Roman"/>
          <w:lang w:val="en-GB" w:eastAsia="pl-PL"/>
        </w:rPr>
        <w:t xml:space="preserve"> such measures are particularly critical, thereby enhancing the effectiveness of planned interventions.</w:t>
      </w:r>
    </w:p>
    <w:p w14:paraId="63A77D88" w14:textId="16F50A82" w:rsidR="001529A5" w:rsidRPr="00E551D9" w:rsidRDefault="00516D1F" w:rsidP="007E7F83">
      <w:pPr>
        <w:spacing w:after="0" w:line="240" w:lineRule="auto"/>
        <w:ind w:firstLine="284"/>
        <w:jc w:val="both"/>
        <w:rPr>
          <w:lang w:val="en-GB" w:eastAsia="pl-PL"/>
        </w:rPr>
      </w:pPr>
      <w:r w:rsidRPr="00E551D9">
        <w:rPr>
          <w:lang w:val="en-GB" w:eastAsia="pl-PL"/>
        </w:rPr>
        <w:t xml:space="preserve">Further research should focus on </w:t>
      </w:r>
      <w:r w:rsidR="001529A5" w:rsidRPr="00E551D9">
        <w:rPr>
          <w:lang w:val="en-GB" w:eastAsia="pl-PL"/>
        </w:rPr>
        <w:t xml:space="preserve">the following </w:t>
      </w:r>
      <w:r w:rsidR="00A642E4" w:rsidRPr="00E551D9">
        <w:rPr>
          <w:lang w:val="en-GB" w:eastAsia="pl-PL"/>
        </w:rPr>
        <w:t>directions:</w:t>
      </w:r>
    </w:p>
    <w:p w14:paraId="5A1FE083" w14:textId="21B82A8D" w:rsidR="00516D1F" w:rsidRPr="00E551D9" w:rsidRDefault="001529A5" w:rsidP="007E7F83">
      <w:pPr>
        <w:pStyle w:val="Akapitzlist"/>
        <w:numPr>
          <w:ilvl w:val="0"/>
          <w:numId w:val="25"/>
        </w:numPr>
        <w:spacing w:after="0" w:line="240" w:lineRule="auto"/>
        <w:ind w:left="284" w:hanging="284"/>
        <w:jc w:val="both"/>
        <w:rPr>
          <w:lang w:val="en-GB" w:eastAsia="pl-PL"/>
        </w:rPr>
      </w:pPr>
      <w:r w:rsidRPr="00E551D9">
        <w:rPr>
          <w:lang w:val="en-GB" w:eastAsia="pl-PL"/>
        </w:rPr>
        <w:t xml:space="preserve">Emission modelling and pollutant scope </w:t>
      </w:r>
      <w:r w:rsidR="00F403AE">
        <w:rPr>
          <w:lang w:val="en-GB" w:eastAsia="pl-PL"/>
        </w:rPr>
        <w:t>–</w:t>
      </w:r>
      <w:r w:rsidR="00516D1F" w:rsidRPr="00E551D9">
        <w:rPr>
          <w:lang w:val="en-GB" w:eastAsia="pl-PL"/>
        </w:rPr>
        <w:t xml:space="preserve"> refining the comparison of emissions and extending the range of scenarios considered, especially in the context of freight-related impacts. Although the current study applies COPERT emission factors and provides a consistent spatial picture of energy consumption and emission costs, future work should explore alternative emission modelling approaches and verify whether the same spatial patterns appear when using other datasets, particularly in zones with high shares of freight traffic. A broader comparison of pollutants, including non-exhaust emissions, may also help capture the full environmental burden associated with different road classes and zone types.</w:t>
      </w:r>
    </w:p>
    <w:p w14:paraId="13F4E579" w14:textId="469813C1" w:rsidR="00516D1F" w:rsidRPr="00E551D9" w:rsidRDefault="00A642E4" w:rsidP="007E7F83">
      <w:pPr>
        <w:pStyle w:val="Akapitzlist"/>
        <w:numPr>
          <w:ilvl w:val="0"/>
          <w:numId w:val="25"/>
        </w:numPr>
        <w:spacing w:after="0" w:line="240" w:lineRule="auto"/>
        <w:ind w:left="284" w:hanging="284"/>
        <w:jc w:val="both"/>
        <w:rPr>
          <w:lang w:val="en-GB" w:eastAsia="pl-PL"/>
        </w:rPr>
      </w:pPr>
      <w:r w:rsidRPr="00E551D9">
        <w:rPr>
          <w:lang w:val="en-GB" w:eastAsia="pl-PL"/>
        </w:rPr>
        <w:t xml:space="preserve">Scenario design and demand assumptions </w:t>
      </w:r>
      <w:r w:rsidR="00F403AE">
        <w:rPr>
          <w:lang w:val="en-GB" w:eastAsia="pl-PL"/>
        </w:rPr>
        <w:t>–</w:t>
      </w:r>
      <w:r w:rsidR="00746590" w:rsidRPr="00E551D9">
        <w:rPr>
          <w:lang w:val="en-GB"/>
        </w:rPr>
        <w:t xml:space="preserve"> </w:t>
      </w:r>
      <w:r w:rsidR="00746590" w:rsidRPr="00E551D9">
        <w:rPr>
          <w:lang w:val="en-GB" w:eastAsia="pl-PL"/>
        </w:rPr>
        <w:t>extending</w:t>
      </w:r>
      <w:r w:rsidRPr="00E551D9">
        <w:rPr>
          <w:lang w:val="en-GB" w:eastAsia="pl-PL"/>
        </w:rPr>
        <w:t xml:space="preserve"> t</w:t>
      </w:r>
      <w:r w:rsidR="00516D1F" w:rsidRPr="00E551D9">
        <w:rPr>
          <w:lang w:val="en-GB" w:eastAsia="pl-PL"/>
        </w:rPr>
        <w:t>he analysis of scenarios could be extended by introducing more diverse assumptions regarding vehicle technologies, operational conditions, and changes in travel demand. Intermediate stages of freight fleet electrification, partial adoption of zero-emission vehicles, or adjustments to delivery timing could reveal additional sensitivities not captured in the current peak freight and full zero-emission scenarios. Exploring scenarios that incorporate changes in land-use intensity or the redistribution of logistics activities would allow for a more detailed understanding of how zone characteristics influence the magnitude of energy and emission responses.</w:t>
      </w:r>
    </w:p>
    <w:p w14:paraId="35140B4E" w14:textId="0D013EB4" w:rsidR="00516D1F" w:rsidRPr="00E551D9" w:rsidRDefault="00A642E4" w:rsidP="007E7F83">
      <w:pPr>
        <w:pStyle w:val="Akapitzlist"/>
        <w:numPr>
          <w:ilvl w:val="0"/>
          <w:numId w:val="25"/>
        </w:numPr>
        <w:spacing w:after="0" w:line="240" w:lineRule="auto"/>
        <w:ind w:left="284" w:hanging="284"/>
        <w:jc w:val="both"/>
        <w:rPr>
          <w:lang w:val="en-GB" w:eastAsia="pl-PL"/>
        </w:rPr>
      </w:pPr>
      <w:r w:rsidRPr="00E551D9">
        <w:rPr>
          <w:lang w:val="en-GB" w:eastAsia="pl-PL"/>
        </w:rPr>
        <w:t xml:space="preserve">Empirical validation on emission patterns </w:t>
      </w:r>
      <w:r w:rsidR="00F403AE">
        <w:rPr>
          <w:lang w:val="en-GB" w:eastAsia="pl-PL"/>
        </w:rPr>
        <w:t>–</w:t>
      </w:r>
      <w:r w:rsidRPr="00E551D9">
        <w:rPr>
          <w:lang w:val="en-GB" w:eastAsia="pl-PL"/>
        </w:rPr>
        <w:t xml:space="preserve"> a</w:t>
      </w:r>
      <w:r w:rsidR="00516D1F" w:rsidRPr="00E551D9">
        <w:rPr>
          <w:lang w:val="en-GB" w:eastAsia="pl-PL"/>
        </w:rPr>
        <w:t xml:space="preserve"> key direction of further work is the validation of the emission results through on-site measurements. While the current modelling approach provides a coherent </w:t>
      </w:r>
      <w:r w:rsidR="00516D1F" w:rsidRPr="00E551D9">
        <w:rPr>
          <w:lang w:val="en-GB" w:eastAsia="pl-PL"/>
        </w:rPr>
        <w:lastRenderedPageBreak/>
        <w:t xml:space="preserve">spatial representation, direct measurements of pollutant concentrations near major roads and in zones with intensive freight activity would allow for testing whether the identified patterns correspond to actual emission levels. Such measurements, combined with short-term traffic counts or GPS-based observations of freight movements, could help determine how well the model captures the relationship between traffic conditions and local air quality. This type of validation is particularly important in logistics centres and other freight-dominated zones, where the </w:t>
      </w:r>
      <w:r w:rsidR="003B09B1">
        <w:rPr>
          <w:lang w:val="en-GB" w:eastAsia="pl-PL"/>
        </w:rPr>
        <w:t>most considerable</w:t>
      </w:r>
      <w:r w:rsidR="00516D1F" w:rsidRPr="00E551D9">
        <w:rPr>
          <w:lang w:val="en-GB" w:eastAsia="pl-PL"/>
        </w:rPr>
        <w:t xml:space="preserve"> changes were observed and where model uncertainty is typically the highest. Integrating empirical measurements with the modelling framework would allow future studies to assess not only the spatial tendencies identified here but also the extent to which they reflect real-world emission behaviour.</w:t>
      </w:r>
    </w:p>
    <w:p w14:paraId="75E3228D" w14:textId="5FB4A513" w:rsidR="002E60E3" w:rsidRPr="00E551D9" w:rsidRDefault="00043B3F" w:rsidP="007E7F83">
      <w:pPr>
        <w:spacing w:before="120" w:after="120" w:line="240" w:lineRule="auto"/>
        <w:jc w:val="center"/>
        <w:rPr>
          <w:lang w:val="en-GB"/>
        </w:rPr>
      </w:pPr>
      <w:r w:rsidRPr="00E551D9">
        <w:rPr>
          <w:i/>
          <w:iCs/>
          <w:lang w:val="en-GB"/>
        </w:rPr>
        <w:t xml:space="preserve">This research was funded by the National Science Centre, Poland (project no. 2022/04/Y/ST8/00134). </w:t>
      </w:r>
      <w:r w:rsidR="00DC4E32">
        <w:rPr>
          <w:i/>
          <w:iCs/>
          <w:lang w:val="en-GB"/>
        </w:rPr>
        <w:br/>
      </w:r>
      <w:r w:rsidRPr="00E551D9">
        <w:rPr>
          <w:i/>
          <w:iCs/>
          <w:lang w:val="en-GB"/>
        </w:rPr>
        <w:t xml:space="preserve">Project title: Energy optimal urban logistics as a service (E-Laas). Project implemented as part of the call ERA-NET </w:t>
      </w:r>
      <w:proofErr w:type="spellStart"/>
      <w:r w:rsidRPr="00E551D9">
        <w:rPr>
          <w:i/>
          <w:iCs/>
          <w:lang w:val="en-GB"/>
        </w:rPr>
        <w:t>Cofund</w:t>
      </w:r>
      <w:proofErr w:type="spellEnd"/>
      <w:r w:rsidRPr="00E551D9">
        <w:rPr>
          <w:i/>
          <w:iCs/>
          <w:lang w:val="en-GB"/>
        </w:rPr>
        <w:t xml:space="preserve"> Urban Accessibility and Connectivity (EN-UAC China Call) organized by JPI Urban </w:t>
      </w:r>
      <w:r w:rsidRPr="00E551D9">
        <w:rPr>
          <w:i/>
          <w:iCs/>
          <w:lang w:val="en-GB"/>
        </w:rPr>
        <w:br/>
        <w:t>Europe and the National Natural Science Foundation of China (NSFC) funded from the European Union's Horizon 2020 research and innovation programme under grant agreement No 875022.</w:t>
      </w:r>
    </w:p>
    <w:p w14:paraId="502996CF" w14:textId="3D532B04" w:rsidR="00A140AA" w:rsidRPr="00E551D9" w:rsidRDefault="000A31D5" w:rsidP="007E7F83">
      <w:pPr>
        <w:pStyle w:val="Rn2"/>
      </w:pPr>
      <w:r w:rsidRPr="00E551D9">
        <w:t>References</w:t>
      </w:r>
    </w:p>
    <w:p w14:paraId="2E57E276" w14:textId="65A9D6C2" w:rsidR="00EF7F63" w:rsidRPr="00DC4E32" w:rsidRDefault="00261CB8" w:rsidP="007E7F83">
      <w:pPr>
        <w:pStyle w:val="Rlit"/>
        <w:rPr>
          <w:spacing w:val="-2"/>
        </w:rPr>
      </w:pPr>
      <w:r w:rsidRPr="00E551D9">
        <w:fldChar w:fldCharType="begin"/>
      </w:r>
      <w:r w:rsidR="00EF7F63" w:rsidRPr="00E551D9">
        <w:instrText xml:space="preserve"> ADDIN ZOTERO_BIBL {"uncited":[],"omitted":[],"custom":[]} CSL_BIBLIOGRAPHY </w:instrText>
      </w:r>
      <w:r w:rsidRPr="00E551D9">
        <w:fldChar w:fldCharType="separate"/>
      </w:r>
      <w:r w:rsidR="00EF7F63" w:rsidRPr="00DC4E32">
        <w:rPr>
          <w:spacing w:val="-2"/>
        </w:rPr>
        <w:t xml:space="preserve">Adeniran, I. O., Ghazal, A., &amp; Thaller, C. (2023). Simulation-Based Impact Assessment of Electric and Hydrogen Vehicles in Urban Parcel Delivery Operations. In U. Clausen &amp; M. Dellbrügge (Eds), </w:t>
      </w:r>
      <w:r w:rsidR="00EF7F63" w:rsidRPr="00DC4E32">
        <w:rPr>
          <w:i/>
          <w:iCs/>
          <w:spacing w:val="-2"/>
        </w:rPr>
        <w:t>Advances in Resilient and Sustainable Transport</w:t>
      </w:r>
      <w:r w:rsidR="00EF7F63" w:rsidRPr="00DC4E32">
        <w:rPr>
          <w:spacing w:val="-2"/>
        </w:rPr>
        <w:t xml:space="preserve"> (pp. 163</w:t>
      </w:r>
      <w:r w:rsidR="00DC4E32" w:rsidRPr="00DC4E32">
        <w:rPr>
          <w:spacing w:val="-2"/>
        </w:rPr>
        <w:t>-</w:t>
      </w:r>
      <w:r w:rsidR="00EF7F63" w:rsidRPr="00DC4E32">
        <w:rPr>
          <w:spacing w:val="-2"/>
        </w:rPr>
        <w:t>182). Springer International Publishing. https://doi.org/10.1007/978-3-031-28236-2_11</w:t>
      </w:r>
    </w:p>
    <w:p w14:paraId="7C9781A9" w14:textId="138FE1A2" w:rsidR="00EF7F63" w:rsidRPr="00E551D9" w:rsidRDefault="00EF7F63" w:rsidP="007E7F83">
      <w:pPr>
        <w:pStyle w:val="Rlit"/>
      </w:pPr>
      <w:r w:rsidRPr="00E551D9">
        <w:t xml:space="preserve">Alho, A., Bhavathrathan, B. K., Stinson, M., Gopalakrishnan, R., Le, D.-T., &amp; Ben-Akiva, M. (2017a). A multi-scale agent-based modelling framework for urban freight distribution. </w:t>
      </w:r>
      <w:r w:rsidRPr="00E551D9">
        <w:rPr>
          <w:i/>
          <w:iCs/>
        </w:rPr>
        <w:t>Transportation Research Procedia</w:t>
      </w:r>
      <w:r w:rsidRPr="00E551D9">
        <w:t xml:space="preserve">, </w:t>
      </w:r>
      <w:r w:rsidRPr="00E551D9">
        <w:rPr>
          <w:i/>
          <w:iCs/>
        </w:rPr>
        <w:t>27</w:t>
      </w:r>
      <w:r w:rsidRPr="00E551D9">
        <w:t>, 188</w:t>
      </w:r>
      <w:r w:rsidR="00DC4E32">
        <w:t>-</w:t>
      </w:r>
      <w:r w:rsidRPr="00E551D9">
        <w:t>196. https://doi.org/10.1016/j.trpro.2017.12.138</w:t>
      </w:r>
    </w:p>
    <w:p w14:paraId="5B562475" w14:textId="699ED8D7" w:rsidR="00EF7F63" w:rsidRPr="00E551D9" w:rsidRDefault="00EF7F63" w:rsidP="007E7F83">
      <w:pPr>
        <w:pStyle w:val="Rlit"/>
      </w:pPr>
      <w:r w:rsidRPr="00E551D9">
        <w:t xml:space="preserve">Alho, A., Bhavathrathan, B. K., Stinson, M., Gopalakrishnan, R., Le, D.-T., &amp; Ben-Akiva, M. (2017b). A multi-scale agent-based modelling framework for urban freight distribution. </w:t>
      </w:r>
      <w:r w:rsidRPr="00E551D9">
        <w:rPr>
          <w:i/>
          <w:iCs/>
        </w:rPr>
        <w:t>Transportation Research Procedia</w:t>
      </w:r>
      <w:r w:rsidRPr="00E551D9">
        <w:t xml:space="preserve">, </w:t>
      </w:r>
      <w:r w:rsidRPr="00E551D9">
        <w:rPr>
          <w:i/>
          <w:iCs/>
        </w:rPr>
        <w:t>27</w:t>
      </w:r>
      <w:r w:rsidRPr="00E551D9">
        <w:t>, 188</w:t>
      </w:r>
      <w:r w:rsidR="00DC4E32">
        <w:t>-</w:t>
      </w:r>
      <w:r w:rsidRPr="00E551D9">
        <w:t>196. https://doi.org/10.1016/j.trpro.2017.12.138</w:t>
      </w:r>
    </w:p>
    <w:p w14:paraId="12C18448" w14:textId="77777777" w:rsidR="00EF7F63" w:rsidRPr="00E551D9" w:rsidRDefault="00EF7F63" w:rsidP="00DC4E32">
      <w:pPr>
        <w:pStyle w:val="Rlit"/>
        <w:jc w:val="left"/>
      </w:pPr>
      <w:r w:rsidRPr="00E551D9">
        <w:t xml:space="preserve">Al-lami, A., Török, A., Alatawneh, A., &amp; Alrubaye, M. (2025). Future Energy Consumption and Economic Implications of Transport Policies: A Scenario-Based Analysis for 2030 and 2050. </w:t>
      </w:r>
      <w:r w:rsidRPr="00E551D9">
        <w:rPr>
          <w:i/>
          <w:iCs/>
        </w:rPr>
        <w:t>Energies</w:t>
      </w:r>
      <w:r w:rsidRPr="00E551D9">
        <w:t xml:space="preserve">, </w:t>
      </w:r>
      <w:r w:rsidRPr="00E551D9">
        <w:rPr>
          <w:i/>
          <w:iCs/>
        </w:rPr>
        <w:t>18</w:t>
      </w:r>
      <w:r w:rsidRPr="00E551D9">
        <w:t>(12), 3012. https://doi.org/10.3390/en18123012</w:t>
      </w:r>
    </w:p>
    <w:p w14:paraId="4D1AFC4E" w14:textId="1CDDBD80" w:rsidR="003C6198" w:rsidRPr="00E551D9" w:rsidRDefault="003C6198" w:rsidP="00DC4E32">
      <w:pPr>
        <w:pStyle w:val="Rlit"/>
        <w:jc w:val="left"/>
      </w:pPr>
      <w:r w:rsidRPr="00E551D9">
        <w:t>Ansu, V., &amp; Anjaneyulu, M. V. L. R. (2022). The optimum strategy for mode choice modelling of interregional fish transport considering shippers</w:t>
      </w:r>
      <w:r w:rsidR="003B09B1">
        <w:t>'</w:t>
      </w:r>
      <w:r w:rsidRPr="00E551D9">
        <w:t xml:space="preserve"> heterogeneity.</w:t>
      </w:r>
      <w:r w:rsidR="00DC4E32">
        <w:t xml:space="preserve"> </w:t>
      </w:r>
      <w:r w:rsidRPr="00E551D9">
        <w:rPr>
          <w:i/>
          <w:iCs/>
        </w:rPr>
        <w:t>Archives of Transport</w:t>
      </w:r>
      <w:r w:rsidRPr="00E551D9">
        <w:t>,</w:t>
      </w:r>
      <w:r w:rsidR="00DC4E32">
        <w:t xml:space="preserve"> </w:t>
      </w:r>
      <w:r w:rsidRPr="00E551D9">
        <w:rPr>
          <w:i/>
          <w:iCs/>
        </w:rPr>
        <w:t>64</w:t>
      </w:r>
      <w:r w:rsidRPr="00E551D9">
        <w:t>(4), 7-26.</w:t>
      </w:r>
      <w:r w:rsidR="00DC4E32">
        <w:t xml:space="preserve"> </w:t>
      </w:r>
      <w:r w:rsidRPr="00E551D9">
        <w:t>https://doi.org/10.5604/01.3001.0016.1046</w:t>
      </w:r>
    </w:p>
    <w:p w14:paraId="24FC8797" w14:textId="6BF7089D" w:rsidR="00EF7F63" w:rsidRPr="00E551D9" w:rsidRDefault="00EF7F63" w:rsidP="007E7F83">
      <w:pPr>
        <w:pStyle w:val="Rlit"/>
      </w:pPr>
      <w:r w:rsidRPr="00E551D9">
        <w:t>Asmael, N. M., &amp; Wazer, Z. A. (2022). P</w:t>
      </w:r>
      <w:r w:rsidR="00486AB7" w:rsidRPr="00E551D9">
        <w:t>rediction origin-destination matrix of freight travel demand in Baghdad city</w:t>
      </w:r>
      <w:r w:rsidRPr="00E551D9">
        <w:t xml:space="preserve">. </w:t>
      </w:r>
      <w:r w:rsidRPr="00E551D9">
        <w:rPr>
          <w:i/>
          <w:iCs/>
        </w:rPr>
        <w:t>Transport Problems</w:t>
      </w:r>
      <w:r w:rsidRPr="00E551D9">
        <w:t xml:space="preserve">, </w:t>
      </w:r>
      <w:r w:rsidRPr="00E551D9">
        <w:rPr>
          <w:i/>
          <w:iCs/>
        </w:rPr>
        <w:t>17</w:t>
      </w:r>
      <w:r w:rsidRPr="00E551D9">
        <w:t>(3), 203</w:t>
      </w:r>
      <w:r w:rsidR="00DC4E32">
        <w:t>-</w:t>
      </w:r>
      <w:r w:rsidRPr="00E551D9">
        <w:t>212. https://doi.org/10.20858/tp.2022.17.3.16</w:t>
      </w:r>
    </w:p>
    <w:p w14:paraId="06EA5FA2" w14:textId="2771358F" w:rsidR="00EF7F63" w:rsidRPr="00E551D9" w:rsidRDefault="00EF7F63" w:rsidP="007E7F83">
      <w:pPr>
        <w:pStyle w:val="Rlit"/>
      </w:pPr>
      <w:r w:rsidRPr="00E551D9">
        <w:t xml:space="preserve">Billhardt, H., Fernández, A., Gómez-Gálvez, S., Martí, P., Prieto Tejedor, J., &amp; Ossowski, S. (2022). Reducing Emissions Prioritising Transport Utility. In J. M. Corchado &amp; S. Trabelsi (Eds), </w:t>
      </w:r>
      <w:r w:rsidRPr="00E551D9">
        <w:rPr>
          <w:i/>
          <w:iCs/>
        </w:rPr>
        <w:t>Sustainable Smart Cities and Territories</w:t>
      </w:r>
      <w:r w:rsidRPr="00E551D9">
        <w:t xml:space="preserve"> </w:t>
      </w:r>
      <w:r w:rsidRPr="00DC4E32">
        <w:rPr>
          <w:i/>
          <w:iCs/>
        </w:rPr>
        <w:t>253</w:t>
      </w:r>
      <w:r w:rsidRPr="00E551D9">
        <w:t>, 300</w:t>
      </w:r>
      <w:r w:rsidR="00DC4E32">
        <w:t>-</w:t>
      </w:r>
      <w:r w:rsidRPr="00E551D9">
        <w:t>311. Springer International Publishing. https://doi.org/10.1007/978-3-030-78901-5_26</w:t>
      </w:r>
    </w:p>
    <w:p w14:paraId="68639108" w14:textId="1758B63F" w:rsidR="00EF7F63" w:rsidRPr="00E551D9" w:rsidRDefault="00EF7F63" w:rsidP="007E7F83">
      <w:pPr>
        <w:pStyle w:val="Rlit"/>
      </w:pPr>
      <w:r w:rsidRPr="00E551D9">
        <w:t>Bo, Y., Zhang, L., Zhong, J., Zhong, W., &amp; Zhu, P. (2025). Bottom-up analysis for carbon emissions from passenger and freight transport sectors in Xi</w:t>
      </w:r>
      <w:r w:rsidR="003B09B1">
        <w:t>'</w:t>
      </w:r>
      <w:r w:rsidRPr="00E551D9">
        <w:t xml:space="preserve">an: A city-level study using MOVES and LMDI models. </w:t>
      </w:r>
      <w:r w:rsidRPr="00E551D9">
        <w:rPr>
          <w:i/>
          <w:iCs/>
        </w:rPr>
        <w:t>Environmental Research Communications</w:t>
      </w:r>
      <w:r w:rsidRPr="00E551D9">
        <w:t xml:space="preserve">, </w:t>
      </w:r>
      <w:r w:rsidRPr="00E551D9">
        <w:rPr>
          <w:i/>
          <w:iCs/>
        </w:rPr>
        <w:t>7</w:t>
      </w:r>
      <w:r w:rsidRPr="00E551D9">
        <w:t>(2), 025010. https://doi.org/10.1088/2515-7620/adb096</w:t>
      </w:r>
    </w:p>
    <w:p w14:paraId="4EBFCF2D" w14:textId="7A19795F" w:rsidR="00EF7F63" w:rsidRPr="00E551D9" w:rsidRDefault="00EF7F63" w:rsidP="007E7F83">
      <w:pPr>
        <w:pStyle w:val="Rlit"/>
      </w:pPr>
      <w:r w:rsidRPr="00E551D9">
        <w:t xml:space="preserve">Buerklen, A., Adeniran, I., &amp; Kehrt, C. (2025). A simulative assessment of collaborative last mile delivery solutions. </w:t>
      </w:r>
      <w:r w:rsidRPr="00E551D9">
        <w:rPr>
          <w:i/>
          <w:iCs/>
        </w:rPr>
        <w:t>Transportation Research Procedia</w:t>
      </w:r>
      <w:r w:rsidRPr="00E551D9">
        <w:t xml:space="preserve">, </w:t>
      </w:r>
      <w:r w:rsidRPr="00E551D9">
        <w:rPr>
          <w:i/>
          <w:iCs/>
        </w:rPr>
        <w:t>82</w:t>
      </w:r>
      <w:r w:rsidRPr="00E551D9">
        <w:t>, 3925</w:t>
      </w:r>
      <w:r w:rsidR="00DC4E32">
        <w:t>-</w:t>
      </w:r>
      <w:r w:rsidRPr="00E551D9">
        <w:t>3942. https://doi.org/10.1016/j.trpro.2024.12.004</w:t>
      </w:r>
    </w:p>
    <w:p w14:paraId="2F7BC113" w14:textId="70F9BA6E" w:rsidR="00EF7F63" w:rsidRPr="00E551D9" w:rsidRDefault="00EF7F63" w:rsidP="007E7F83">
      <w:pPr>
        <w:pStyle w:val="Rlit"/>
      </w:pPr>
      <w:r w:rsidRPr="00E551D9">
        <w:t xml:space="preserve">Burdzik, R., Macioszek, E., Sierpiński, G., &amp; Warczek, J. (2013). Analiza rozbudowy i lokalizacji centrów i obiektów logistycznych w aglomeracji śląskiej. </w:t>
      </w:r>
      <w:r w:rsidRPr="00E551D9">
        <w:rPr>
          <w:i/>
          <w:iCs/>
        </w:rPr>
        <w:t>Zeszyty Naukowe. Transport/Politechnika Śląska</w:t>
      </w:r>
      <w:r w:rsidRPr="00E551D9">
        <w:t xml:space="preserve">, </w:t>
      </w:r>
      <w:r w:rsidRPr="00E551D9">
        <w:rPr>
          <w:i/>
          <w:iCs/>
        </w:rPr>
        <w:t>78</w:t>
      </w:r>
      <w:r w:rsidRPr="00E551D9">
        <w:t>, 19</w:t>
      </w:r>
      <w:r w:rsidR="00DC4E32">
        <w:t>-</w:t>
      </w:r>
      <w:r w:rsidRPr="00E551D9">
        <w:t>29.</w:t>
      </w:r>
    </w:p>
    <w:p w14:paraId="39AAB392" w14:textId="2D205862" w:rsidR="00EF7F63" w:rsidRPr="00E551D9" w:rsidRDefault="00EF7F63" w:rsidP="007E7F83">
      <w:pPr>
        <w:pStyle w:val="Rlit"/>
      </w:pPr>
      <w:r w:rsidRPr="00E551D9">
        <w:t xml:space="preserve">Caban, J. (2021). </w:t>
      </w:r>
      <w:r w:rsidR="00486AB7" w:rsidRPr="00E551D9">
        <w:t>Traffic congestion level in 10 selected cities of Poland</w:t>
      </w:r>
      <w:r w:rsidRPr="00E551D9">
        <w:t xml:space="preserve">. </w:t>
      </w:r>
      <w:r w:rsidRPr="00E551D9">
        <w:rPr>
          <w:i/>
          <w:iCs/>
        </w:rPr>
        <w:t>Scientific Journal of Silesian University of Technology. Series Transport</w:t>
      </w:r>
      <w:r w:rsidRPr="00E551D9">
        <w:t xml:space="preserve">, </w:t>
      </w:r>
      <w:r w:rsidRPr="00E551D9">
        <w:rPr>
          <w:i/>
          <w:iCs/>
        </w:rPr>
        <w:t>112</w:t>
      </w:r>
      <w:r w:rsidRPr="00E551D9">
        <w:t>, 17</w:t>
      </w:r>
      <w:r w:rsidR="00DC4E32">
        <w:t>-</w:t>
      </w:r>
      <w:r w:rsidRPr="00E551D9">
        <w:t>31. https://doi.org/10.20858/sjsutst.2021.112.2</w:t>
      </w:r>
    </w:p>
    <w:p w14:paraId="64B7AE52" w14:textId="6FC45553" w:rsidR="00EF7F63" w:rsidRPr="00E551D9" w:rsidRDefault="00EF7F63" w:rsidP="00DC4E32">
      <w:pPr>
        <w:pStyle w:val="Rlit"/>
        <w:jc w:val="left"/>
      </w:pPr>
      <w:r w:rsidRPr="00E551D9">
        <w:t xml:space="preserve">Cascetta, E. (1984). Estimation of trip matrices from traffic counts and survey data: A generalized least squares estimator. </w:t>
      </w:r>
      <w:r w:rsidRPr="00E551D9">
        <w:rPr>
          <w:i/>
          <w:iCs/>
        </w:rPr>
        <w:t>Transportation Research Part B: Methodological</w:t>
      </w:r>
      <w:r w:rsidRPr="00E551D9">
        <w:t xml:space="preserve">, </w:t>
      </w:r>
      <w:r w:rsidRPr="00E551D9">
        <w:rPr>
          <w:i/>
          <w:iCs/>
        </w:rPr>
        <w:t>18</w:t>
      </w:r>
      <w:r w:rsidRPr="00E551D9">
        <w:t>(4</w:t>
      </w:r>
      <w:r w:rsidR="00DC4E32">
        <w:t>-</w:t>
      </w:r>
      <w:r w:rsidRPr="00E551D9">
        <w:t>5), 289</w:t>
      </w:r>
      <w:r w:rsidR="00DC4E32">
        <w:t>-</w:t>
      </w:r>
      <w:r w:rsidRPr="00E551D9">
        <w:t xml:space="preserve">299. </w:t>
      </w:r>
      <w:r w:rsidR="00DC4E32">
        <w:br/>
      </w:r>
      <w:r w:rsidRPr="00E551D9">
        <w:t>https://doi.org/10.1016/0191-2615(84)90012-2</w:t>
      </w:r>
    </w:p>
    <w:p w14:paraId="4454C936" w14:textId="4120D313" w:rsidR="006423FA" w:rsidRPr="00E551D9" w:rsidRDefault="006423FA" w:rsidP="007E7F83">
      <w:pPr>
        <w:pStyle w:val="Rlit"/>
      </w:pPr>
      <w:r w:rsidRPr="00E551D9">
        <w:t xml:space="preserve">Chamier-Gliszczyński, N. (2012). </w:t>
      </w:r>
      <w:r w:rsidRPr="00E551D9">
        <w:rPr>
          <w:i/>
        </w:rPr>
        <w:t>Structure analysis of system mobility in urban areas</w:t>
      </w:r>
      <w:r w:rsidRPr="00E551D9">
        <w:t>. Congress Proceedings, CLC 2012: Carpathian Logistics Congress, 509-515, 111467, Jesenik, Czech Republic, Tanger Ltd.</w:t>
      </w:r>
    </w:p>
    <w:p w14:paraId="08D41965" w14:textId="642FB63B" w:rsidR="00FA116F" w:rsidRPr="00E551D9" w:rsidRDefault="00FA116F" w:rsidP="007E7F83">
      <w:pPr>
        <w:pStyle w:val="Rlit"/>
      </w:pPr>
      <w:r w:rsidRPr="00E551D9">
        <w:t xml:space="preserve">Chamier-Gliszczynski, N. (2016). City Logistics – Sustainable Urban Mobility. CLC 2015: Carpathian Logistics Congress – Conference Proceedings, 263-268, Jesenik, Czech Republic, Tanger Ltd. </w:t>
      </w:r>
    </w:p>
    <w:p w14:paraId="75A76829" w14:textId="06490BCF" w:rsidR="00EF7F63" w:rsidRPr="00E551D9" w:rsidRDefault="00EF7F63" w:rsidP="007E7F83">
      <w:pPr>
        <w:pStyle w:val="Rlit"/>
      </w:pPr>
      <w:r w:rsidRPr="00E551D9">
        <w:t xml:space="preserve">Comi, A., Delle Site, P., Filippi, F., &amp; Nuzzolo, A. (2012, March). </w:t>
      </w:r>
      <w:r w:rsidRPr="00E551D9">
        <w:rPr>
          <w:i/>
          <w:iCs/>
        </w:rPr>
        <w:t>Urban Freight Transport Demand Modelling: A State of the Art</w:t>
      </w:r>
      <w:r w:rsidRPr="00E551D9">
        <w:t>. http://hdl.handle.net/10077/6123</w:t>
      </w:r>
    </w:p>
    <w:p w14:paraId="3F70E955" w14:textId="59CA274D" w:rsidR="000A0B8B" w:rsidRPr="00E551D9" w:rsidRDefault="000A0B8B" w:rsidP="007E7F83">
      <w:pPr>
        <w:pStyle w:val="Rlit"/>
      </w:pPr>
      <w:r w:rsidRPr="00E551D9">
        <w:t xml:space="preserve">Dabo, A.-A. A., Mor, R., Albatal, M. M., Raji, M., &amp; Aina, M. (2025). Logistics planning strategies for seasonal traffic management. </w:t>
      </w:r>
      <w:r w:rsidRPr="00E551D9">
        <w:rPr>
          <w:i/>
          <w:iCs/>
        </w:rPr>
        <w:t>Logforum</w:t>
      </w:r>
      <w:r w:rsidRPr="00E551D9">
        <w:t xml:space="preserve">, </w:t>
      </w:r>
      <w:r w:rsidRPr="00E551D9">
        <w:rPr>
          <w:i/>
          <w:iCs/>
        </w:rPr>
        <w:t>21</w:t>
      </w:r>
      <w:r w:rsidRPr="00E551D9">
        <w:t>(2), 167</w:t>
      </w:r>
      <w:r w:rsidR="00DC4E32">
        <w:t>-</w:t>
      </w:r>
      <w:r w:rsidRPr="00E551D9">
        <w:t>181. https://doi.org/10.17270/J.LOG.001150</w:t>
      </w:r>
    </w:p>
    <w:p w14:paraId="3253EE12" w14:textId="77777777" w:rsidR="00EF7F63" w:rsidRPr="00E551D9" w:rsidRDefault="00EF7F63" w:rsidP="00DC4E32">
      <w:pPr>
        <w:pStyle w:val="Rlit"/>
        <w:jc w:val="left"/>
      </w:pPr>
      <w:r w:rsidRPr="00E551D9">
        <w:t xml:space="preserve">Davidich, N., Galkin, A., Iwan, S., Kijewska, K., Chumachenko, I., &amp; Davidich, Y. (2021). Monitoring of urban freight flows distribution considering the human factor. </w:t>
      </w:r>
      <w:r w:rsidRPr="00E551D9">
        <w:rPr>
          <w:i/>
          <w:iCs/>
        </w:rPr>
        <w:t>Sustainable Cities and Society</w:t>
      </w:r>
      <w:r w:rsidRPr="00E551D9">
        <w:t xml:space="preserve">, </w:t>
      </w:r>
      <w:r w:rsidRPr="00E551D9">
        <w:rPr>
          <w:i/>
          <w:iCs/>
        </w:rPr>
        <w:t>75</w:t>
      </w:r>
      <w:r w:rsidRPr="00E551D9">
        <w:t>, 103168. https://doi.org/10.1016/j.scs.2021.103168</w:t>
      </w:r>
    </w:p>
    <w:p w14:paraId="58E10812" w14:textId="6C2611BD" w:rsidR="00EF7F63" w:rsidRPr="00E551D9" w:rsidRDefault="00EF7F63" w:rsidP="00DC4E32">
      <w:pPr>
        <w:pStyle w:val="Rlit"/>
        <w:jc w:val="left"/>
      </w:pPr>
      <w:r w:rsidRPr="00E551D9">
        <w:lastRenderedPageBreak/>
        <w:t xml:space="preserve">De Bok, M., Tavasszy, L., &amp; Sebastiaan Thoen. (2022). Application of an empirical multi-agent model for urban goods transport to analyze impacts of zero emission zones in The Netherlands. </w:t>
      </w:r>
      <w:r w:rsidRPr="00E551D9">
        <w:rPr>
          <w:i/>
          <w:iCs/>
        </w:rPr>
        <w:t>Transport Policy</w:t>
      </w:r>
      <w:r w:rsidRPr="00E551D9">
        <w:t xml:space="preserve">, </w:t>
      </w:r>
      <w:r w:rsidRPr="00E551D9">
        <w:rPr>
          <w:i/>
          <w:iCs/>
        </w:rPr>
        <w:t>124</w:t>
      </w:r>
      <w:r w:rsidRPr="00E551D9">
        <w:t>, 119</w:t>
      </w:r>
      <w:r w:rsidR="00DC4E32">
        <w:t>-</w:t>
      </w:r>
      <w:r w:rsidRPr="00E551D9">
        <w:t>127. https://doi.org/10.1016/j.tranpol.2020.07.010</w:t>
      </w:r>
    </w:p>
    <w:p w14:paraId="4BFF8B15" w14:textId="77777777" w:rsidR="00EF7F63" w:rsidRPr="00E551D9" w:rsidRDefault="00EF7F63" w:rsidP="007E7F83">
      <w:pPr>
        <w:pStyle w:val="Rlit"/>
      </w:pPr>
      <w:r w:rsidRPr="00E551D9">
        <w:t xml:space="preserve">Dias, H. L. F., Bertoncini, B. V., Oliveira, M. L. M. D., Cavalcante, F. S. Á., &amp; Lima, E. P. (2017). Analysis of emission models integrated with traffic models for freight transportation study in urban areas. </w:t>
      </w:r>
      <w:r w:rsidRPr="00E551D9">
        <w:rPr>
          <w:i/>
          <w:iCs/>
        </w:rPr>
        <w:t>International Journal of Environmental Technology and Management</w:t>
      </w:r>
      <w:r w:rsidRPr="00E551D9">
        <w:t xml:space="preserve">, </w:t>
      </w:r>
      <w:r w:rsidRPr="00E551D9">
        <w:rPr>
          <w:i/>
          <w:iCs/>
        </w:rPr>
        <w:t>20</w:t>
      </w:r>
      <w:r w:rsidRPr="00E551D9">
        <w:t>(1/2), 60. https://doi.org/10.1504/IJETM.2017.086440</w:t>
      </w:r>
    </w:p>
    <w:p w14:paraId="258777BA" w14:textId="4A01AA2E" w:rsidR="00EF7F63" w:rsidRPr="00E551D9" w:rsidRDefault="00EF7F63" w:rsidP="00DC4E32">
      <w:pPr>
        <w:pStyle w:val="Rlit"/>
        <w:jc w:val="left"/>
      </w:pPr>
      <w:r w:rsidRPr="00E551D9">
        <w:t xml:space="preserve">Ducret, R., &amp; Gonzalez-Feliu, J. (2016). Connecting Demand Estimation and Spatial Category Models for Urban Freight: First Attempt and Research Implications. </w:t>
      </w:r>
      <w:r w:rsidRPr="00E551D9">
        <w:rPr>
          <w:i/>
          <w:iCs/>
        </w:rPr>
        <w:t>Transportation Research Procedia</w:t>
      </w:r>
      <w:r w:rsidRPr="00E551D9">
        <w:t xml:space="preserve">, </w:t>
      </w:r>
      <w:r w:rsidRPr="00E551D9">
        <w:rPr>
          <w:i/>
          <w:iCs/>
        </w:rPr>
        <w:t>12</w:t>
      </w:r>
      <w:r w:rsidRPr="00E551D9">
        <w:t>, 142</w:t>
      </w:r>
      <w:r w:rsidR="00DC4E32">
        <w:t>-</w:t>
      </w:r>
      <w:r w:rsidRPr="00E551D9">
        <w:t>156. https://doi.org/10.1016/j.trpro.2016.02.054</w:t>
      </w:r>
    </w:p>
    <w:p w14:paraId="531F29C9" w14:textId="38D8C3B4" w:rsidR="006423FA" w:rsidRPr="00E551D9" w:rsidRDefault="006423FA" w:rsidP="007E7F83">
      <w:pPr>
        <w:pStyle w:val="Rlit"/>
      </w:pPr>
      <w:r w:rsidRPr="00E551D9">
        <w:t>Dyczkowska, J., Olkiewi</w:t>
      </w:r>
      <w:r w:rsidR="00605CCD" w:rsidRPr="00E551D9">
        <w:t>cz, M., Chamier-Gliczynski, N.</w:t>
      </w:r>
      <w:r w:rsidR="00660C56">
        <w:t>,</w:t>
      </w:r>
      <w:r w:rsidR="00605CCD" w:rsidRPr="00E551D9">
        <w:t xml:space="preserve"> &amp; </w:t>
      </w:r>
      <w:r w:rsidRPr="00E551D9">
        <w:t>Królikowski, T. (2023). Mobility-as-a-Service (MaaS) as</w:t>
      </w:r>
      <w:r w:rsidR="00DC4E32">
        <w:t> </w:t>
      </w:r>
      <w:r w:rsidRPr="00E551D9">
        <w:t>a</w:t>
      </w:r>
      <w:r w:rsidR="00DC4E32">
        <w:t> </w:t>
      </w:r>
      <w:r w:rsidRPr="00E551D9">
        <w:t xml:space="preserve">solution platform for the city and the region: case study. </w:t>
      </w:r>
      <w:r w:rsidRPr="00E551D9">
        <w:rPr>
          <w:i/>
        </w:rPr>
        <w:t>Procedia Computer Science</w:t>
      </w:r>
      <w:r w:rsidRPr="00E551D9">
        <w:t xml:space="preserve">, </w:t>
      </w:r>
      <w:r w:rsidRPr="00DC4E32">
        <w:rPr>
          <w:i/>
          <w:iCs/>
        </w:rPr>
        <w:t>225</w:t>
      </w:r>
      <w:r w:rsidRPr="00E551D9">
        <w:t>, 4092-4100, 196245. https://doi.org/10.1016/j.procs.2023.10.405</w:t>
      </w:r>
    </w:p>
    <w:p w14:paraId="4492AB5A" w14:textId="2074B88D" w:rsidR="00605CCD" w:rsidRPr="00E551D9" w:rsidRDefault="00605CCD" w:rsidP="007E7F83">
      <w:pPr>
        <w:pStyle w:val="Rlit"/>
      </w:pPr>
      <w:r w:rsidRPr="00E551D9">
        <w:t>Dyczkowska, J., Olkiewicz, M., Chamier-Gliczynski, N.</w:t>
      </w:r>
      <w:r w:rsidR="00660C56">
        <w:t>,</w:t>
      </w:r>
      <w:r w:rsidRPr="00E551D9">
        <w:t xml:space="preserve"> &amp; Królikowski, T. (2023a). Decision support in the area of Logistics 4.0. </w:t>
      </w:r>
      <w:r w:rsidRPr="00E551D9">
        <w:rPr>
          <w:i/>
        </w:rPr>
        <w:t>Procedia Computer Science</w:t>
      </w:r>
      <w:r w:rsidRPr="00E551D9">
        <w:t xml:space="preserve">, </w:t>
      </w:r>
      <w:r w:rsidRPr="00DC4E32">
        <w:rPr>
          <w:i/>
          <w:iCs/>
        </w:rPr>
        <w:t>225</w:t>
      </w:r>
      <w:r w:rsidRPr="00E551D9">
        <w:t>, 4758-4765, https://doi.org/10.1016/j.procs.2023.10.475</w:t>
      </w:r>
    </w:p>
    <w:p w14:paraId="5908DEE7" w14:textId="6950E905" w:rsidR="00EF7F63" w:rsidRPr="00E551D9" w:rsidRDefault="00EF7F63" w:rsidP="007E7F83">
      <w:pPr>
        <w:pStyle w:val="Rlit"/>
      </w:pPr>
      <w:r w:rsidRPr="00E551D9">
        <w:t xml:space="preserve">Englezou, Y., Timotheou, S., &amp; Panayiotou, C. G. (2022). Estimating the origin-destination matrix using link count observations and traffic flow dynamics. </w:t>
      </w:r>
      <w:r w:rsidRPr="00E551D9">
        <w:rPr>
          <w:i/>
          <w:iCs/>
        </w:rPr>
        <w:t>2022 IEEE 25th International Conference on Intelligent Transportation Systems (ITSC)</w:t>
      </w:r>
      <w:r w:rsidRPr="00E551D9">
        <w:t>, 3213</w:t>
      </w:r>
      <w:r w:rsidR="00DC4E32">
        <w:t>-</w:t>
      </w:r>
      <w:r w:rsidRPr="00E551D9">
        <w:t>3218. https://doi.org/10.1109/ITSC55140.2022.9921951</w:t>
      </w:r>
    </w:p>
    <w:p w14:paraId="445C36EF" w14:textId="38AE9550" w:rsidR="00EF7F63" w:rsidRPr="00E551D9" w:rsidRDefault="00EF7F63" w:rsidP="007E7F83">
      <w:pPr>
        <w:pStyle w:val="Rlit"/>
      </w:pPr>
      <w:r w:rsidRPr="00E551D9">
        <w:t xml:space="preserve">Englezou, Y., Timotheou, S., &amp; Panayiotou, C. G. (2024a). Dynamic origin-destination matrix estimation for networks operating under free-flow conditions using macroscopic flow dynamics. </w:t>
      </w:r>
      <w:r w:rsidRPr="00E551D9">
        <w:rPr>
          <w:i/>
          <w:iCs/>
        </w:rPr>
        <w:t>IFAC-PapersOnLine</w:t>
      </w:r>
      <w:r w:rsidRPr="00E551D9">
        <w:t xml:space="preserve">, </w:t>
      </w:r>
      <w:r w:rsidRPr="00E551D9">
        <w:rPr>
          <w:i/>
          <w:iCs/>
        </w:rPr>
        <w:t>58</w:t>
      </w:r>
      <w:r w:rsidRPr="00E551D9">
        <w:t>(10), 213</w:t>
      </w:r>
      <w:r w:rsidR="00DC4E32">
        <w:t>-</w:t>
      </w:r>
      <w:r w:rsidRPr="00E551D9">
        <w:t>218. https://doi.org/10.1016/j.ifacol.2024.07.342</w:t>
      </w:r>
    </w:p>
    <w:p w14:paraId="20B441B2" w14:textId="343AFD03" w:rsidR="00EF7F63" w:rsidRPr="00E551D9" w:rsidRDefault="00EF7F63" w:rsidP="007E7F83">
      <w:pPr>
        <w:pStyle w:val="Rlit"/>
      </w:pPr>
      <w:r w:rsidRPr="00E551D9">
        <w:t xml:space="preserve">Englezou, Y., Timotheou, S., &amp; Panayiotou, C. G. (2024b). Path-Based Origin-Destination Matrix Estimation Utilizing Macroscopic Traffic Dynamics. </w:t>
      </w:r>
      <w:r w:rsidRPr="00E551D9">
        <w:rPr>
          <w:i/>
          <w:iCs/>
        </w:rPr>
        <w:t>IEEE Transactions on Intelligent Transportation Systems</w:t>
      </w:r>
      <w:r w:rsidRPr="00E551D9">
        <w:t xml:space="preserve">, </w:t>
      </w:r>
      <w:r w:rsidRPr="00E551D9">
        <w:rPr>
          <w:i/>
          <w:iCs/>
        </w:rPr>
        <w:t>25</w:t>
      </w:r>
      <w:r w:rsidRPr="00E551D9">
        <w:t>(8), 8819</w:t>
      </w:r>
      <w:r w:rsidR="00DC4E32">
        <w:t>-</w:t>
      </w:r>
      <w:r w:rsidRPr="00E551D9">
        <w:t>8836. https://doi.org/10.1109/TITS.2024.3370473</w:t>
      </w:r>
    </w:p>
    <w:p w14:paraId="3E491F75" w14:textId="77777777" w:rsidR="00EF7F63" w:rsidRPr="00E551D9" w:rsidRDefault="00EF7F63" w:rsidP="007E7F83">
      <w:pPr>
        <w:pStyle w:val="Rlit"/>
      </w:pPr>
      <w:r w:rsidRPr="00E551D9">
        <w:t xml:space="preserve">Ewert, R., Grahle, A., Martins-Turner, K., Syré, A. M., Nagel, K., &amp; Göhlich, D. (2021). Electrification of Urban Waste Collection: Introducing a Simulation-Based Methodology for Technical Feasibility, Impact and Cost Analysis. </w:t>
      </w:r>
      <w:r w:rsidRPr="00E551D9">
        <w:rPr>
          <w:i/>
          <w:iCs/>
        </w:rPr>
        <w:t>World Electric Vehicle Journal</w:t>
      </w:r>
      <w:r w:rsidRPr="00E551D9">
        <w:t xml:space="preserve">, </w:t>
      </w:r>
      <w:r w:rsidRPr="00E551D9">
        <w:rPr>
          <w:i/>
          <w:iCs/>
        </w:rPr>
        <w:t>12</w:t>
      </w:r>
      <w:r w:rsidRPr="00E551D9">
        <w:t>(3), 122. https://doi.org/10.3390/wevj12030122</w:t>
      </w:r>
    </w:p>
    <w:p w14:paraId="1648A486" w14:textId="38BA7067" w:rsidR="00EF7F63" w:rsidRPr="00E551D9" w:rsidRDefault="3F390F60" w:rsidP="007E7F83">
      <w:pPr>
        <w:pStyle w:val="Rlit"/>
      </w:pPr>
      <w:r w:rsidRPr="00E551D9">
        <w:t xml:space="preserve">Ewert, R., Martins-Turner, K., Grahle, A., Syré, A., Göhlich, D., &amp; Nagel, K. (2025). Showing the cost benefits for commercial electric vehicles—Case Study of Battery Electric Vehicles in Urban Food Distribution. </w:t>
      </w:r>
      <w:r w:rsidRPr="00E551D9">
        <w:rPr>
          <w:i/>
          <w:iCs/>
        </w:rPr>
        <w:t>Transportation Research Procedia</w:t>
      </w:r>
      <w:r w:rsidRPr="00E551D9">
        <w:t xml:space="preserve">, </w:t>
      </w:r>
      <w:r w:rsidRPr="00E551D9">
        <w:rPr>
          <w:i/>
          <w:iCs/>
        </w:rPr>
        <w:t>86</w:t>
      </w:r>
      <w:r w:rsidRPr="00E551D9">
        <w:t>, 532</w:t>
      </w:r>
      <w:r w:rsidR="00DC4E32">
        <w:t>-</w:t>
      </w:r>
      <w:r w:rsidRPr="00E551D9">
        <w:t>539. https://doi.org/10.1016/j.trpro.2025.04.067</w:t>
      </w:r>
    </w:p>
    <w:p w14:paraId="4E91CA2B" w14:textId="663C8B09" w:rsidR="00EF7F63" w:rsidRPr="00E551D9" w:rsidRDefault="00EF7F63" w:rsidP="007E7F83">
      <w:pPr>
        <w:pStyle w:val="Rlit"/>
      </w:pPr>
      <w:r w:rsidRPr="00E551D9">
        <w:t xml:space="preserve">Galkin, A. (2017). Urban environment influence on distribution part of logistics systems. </w:t>
      </w:r>
      <w:r w:rsidRPr="00E551D9">
        <w:rPr>
          <w:i/>
          <w:iCs/>
        </w:rPr>
        <w:t>Archives of Transport</w:t>
      </w:r>
      <w:r w:rsidRPr="00E551D9">
        <w:t xml:space="preserve">, </w:t>
      </w:r>
      <w:r w:rsidRPr="00E551D9">
        <w:rPr>
          <w:i/>
          <w:iCs/>
        </w:rPr>
        <w:t>42</w:t>
      </w:r>
      <w:r w:rsidRPr="00E551D9">
        <w:t>(2), 7</w:t>
      </w:r>
      <w:r w:rsidR="00DC4E32">
        <w:t>-</w:t>
      </w:r>
      <w:r w:rsidRPr="00E551D9">
        <w:t>23. https://doi.org/10.5604/01.3001.0010.0522</w:t>
      </w:r>
    </w:p>
    <w:p w14:paraId="4A05C43D" w14:textId="77777777" w:rsidR="00EF7F63" w:rsidRPr="00E551D9" w:rsidRDefault="00EF7F63" w:rsidP="007E7F83">
      <w:pPr>
        <w:pStyle w:val="Rlit"/>
      </w:pPr>
      <w:r w:rsidRPr="00E551D9">
        <w:t xml:space="preserve">Ghazal, A., Narayanan, S., Adeniran, I. O., Kehrt, C., &amp; Antoniou, C. (2025). Analysis of logistics measures of CEP service providers for the last-mile delivery in small- and medium-sized cities: A case study for the Aachen city region. </w:t>
      </w:r>
      <w:r w:rsidRPr="00E551D9">
        <w:rPr>
          <w:i/>
          <w:iCs/>
        </w:rPr>
        <w:t>European Transport Research Review</w:t>
      </w:r>
      <w:r w:rsidRPr="00E551D9">
        <w:t xml:space="preserve">, </w:t>
      </w:r>
      <w:r w:rsidRPr="00E551D9">
        <w:rPr>
          <w:i/>
          <w:iCs/>
        </w:rPr>
        <w:t>17</w:t>
      </w:r>
      <w:r w:rsidRPr="00E551D9">
        <w:t>(1), 5. https://doi.org/10.1186/s12544-025-00706-z</w:t>
      </w:r>
    </w:p>
    <w:p w14:paraId="52019B48" w14:textId="39BCB948" w:rsidR="00EF7F63" w:rsidRPr="00E551D9" w:rsidRDefault="00EF7F63" w:rsidP="00DC4E32">
      <w:pPr>
        <w:pStyle w:val="Rlit"/>
        <w:jc w:val="left"/>
      </w:pPr>
      <w:r w:rsidRPr="00E551D9">
        <w:t xml:space="preserve">Holguín-Veras, J., Encarnación, T., González-Calderón, C. A., Winebrake, J., Wang, C., Kyle, S., Herazo-Padilla, N., Kalahasthi, L., Adarme, W., Cantillo, V., Yoshizaki, H., &amp; Garrido, R. (2018). Direct impacts of off-hour deliveries on urban freight emissions. </w:t>
      </w:r>
      <w:r w:rsidRPr="00E551D9">
        <w:rPr>
          <w:i/>
          <w:iCs/>
        </w:rPr>
        <w:t>Transportation Research Part D: Transport and Environment</w:t>
      </w:r>
      <w:r w:rsidRPr="00E551D9">
        <w:t xml:space="preserve">, </w:t>
      </w:r>
      <w:r w:rsidRPr="00E551D9">
        <w:rPr>
          <w:i/>
          <w:iCs/>
        </w:rPr>
        <w:t>61</w:t>
      </w:r>
      <w:r w:rsidRPr="00E551D9">
        <w:t>, 84</w:t>
      </w:r>
      <w:r w:rsidR="00DC4E32">
        <w:t>-</w:t>
      </w:r>
      <w:r w:rsidRPr="00E551D9">
        <w:t>103. https://doi.org/10.1016/j.trd.2016.10.013</w:t>
      </w:r>
    </w:p>
    <w:p w14:paraId="22AF0C8C" w14:textId="77777777" w:rsidR="00EF7F63" w:rsidRPr="00E551D9" w:rsidRDefault="00EF7F63" w:rsidP="007E7F83">
      <w:pPr>
        <w:pStyle w:val="Rlit"/>
      </w:pPr>
      <w:r w:rsidRPr="00E551D9">
        <w:t xml:space="preserve">Hu, X., Chen, N., Wu, N., &amp; Yin, B. (2021). The Potential Impacts of Electric Vehicles on Urban Air Quality in Shanghai City. </w:t>
      </w:r>
      <w:r w:rsidRPr="00E551D9">
        <w:rPr>
          <w:i/>
          <w:iCs/>
        </w:rPr>
        <w:t>Sustainability</w:t>
      </w:r>
      <w:r w:rsidRPr="00E551D9">
        <w:t xml:space="preserve">, </w:t>
      </w:r>
      <w:r w:rsidRPr="00E551D9">
        <w:rPr>
          <w:i/>
          <w:iCs/>
        </w:rPr>
        <w:t>13</w:t>
      </w:r>
      <w:r w:rsidRPr="00E551D9">
        <w:t>(2), 496. https://doi.org/10.3390/su13020496</w:t>
      </w:r>
    </w:p>
    <w:p w14:paraId="30812636" w14:textId="53B5DA91" w:rsidR="00EF7F63" w:rsidRPr="00E551D9" w:rsidRDefault="00EF7F63" w:rsidP="00082409">
      <w:pPr>
        <w:pStyle w:val="Rlit"/>
        <w:jc w:val="left"/>
      </w:pPr>
      <w:r w:rsidRPr="00082409">
        <w:rPr>
          <w:spacing w:val="-2"/>
        </w:rPr>
        <w:t xml:space="preserve">Jacyna, M., Wasiak, M., Kłodawski, M., &amp; Lewczuk, K. (2014). </w:t>
      </w:r>
      <w:r w:rsidR="00486AB7" w:rsidRPr="00082409">
        <w:rPr>
          <w:spacing w:val="-2"/>
        </w:rPr>
        <w:t>Simulation model of transport system of Poland as a tool for developing sustainable transport</w:t>
      </w:r>
      <w:r w:rsidRPr="00082409">
        <w:rPr>
          <w:spacing w:val="-2"/>
        </w:rPr>
        <w:t xml:space="preserve">. </w:t>
      </w:r>
      <w:r w:rsidRPr="00E551D9">
        <w:rPr>
          <w:i/>
          <w:iCs/>
        </w:rPr>
        <w:t>Archives of Transport</w:t>
      </w:r>
      <w:r w:rsidRPr="00E551D9">
        <w:t xml:space="preserve">, </w:t>
      </w:r>
      <w:r w:rsidRPr="00E551D9">
        <w:rPr>
          <w:i/>
          <w:iCs/>
        </w:rPr>
        <w:t>31</w:t>
      </w:r>
      <w:r w:rsidRPr="00E551D9">
        <w:t>(3), 23</w:t>
      </w:r>
      <w:r w:rsidR="00082409">
        <w:t>-</w:t>
      </w:r>
      <w:r w:rsidRPr="00E551D9">
        <w:t>35. https://doi.org/10.5604/08669546.1146982</w:t>
      </w:r>
    </w:p>
    <w:p w14:paraId="65A3A6CE" w14:textId="77777777" w:rsidR="00EF7F63" w:rsidRPr="00E551D9" w:rsidRDefault="00EF7F63" w:rsidP="00082409">
      <w:pPr>
        <w:pStyle w:val="Rlit"/>
        <w:jc w:val="left"/>
      </w:pPr>
      <w:r w:rsidRPr="00E551D9">
        <w:t xml:space="preserve">Jacyna, M., Żochowska, R., Sobota, A., &amp; Wasiak, M. (2021). Scenario Analyses of Exhaust Emissions Reduction through the Introduction of Electric Vehicles into the City. </w:t>
      </w:r>
      <w:r w:rsidRPr="00E551D9">
        <w:rPr>
          <w:i/>
          <w:iCs/>
        </w:rPr>
        <w:t>Energies</w:t>
      </w:r>
      <w:r w:rsidRPr="00E551D9">
        <w:t xml:space="preserve">, </w:t>
      </w:r>
      <w:r w:rsidRPr="00E551D9">
        <w:rPr>
          <w:i/>
          <w:iCs/>
        </w:rPr>
        <w:t>14</w:t>
      </w:r>
      <w:r w:rsidRPr="00E551D9">
        <w:t>(7), 2030. https://doi.org/10.3390/en14072030</w:t>
      </w:r>
    </w:p>
    <w:p w14:paraId="4C9BD4DF" w14:textId="39BBCF20" w:rsidR="00230BA1" w:rsidRPr="00E551D9" w:rsidRDefault="00230BA1" w:rsidP="007E7F83">
      <w:pPr>
        <w:pStyle w:val="Rlit"/>
      </w:pPr>
      <w:r w:rsidRPr="00E551D9">
        <w:t xml:space="preserve">Jacyna-Gołda, I., Gołębiowski, P., Izdebski, M., Kłodawski, M., Jachimowski, R., &amp; Szczepański, E. (2017). The evaluation of the sustainable transport system development with the scenario analyses procedure. </w:t>
      </w:r>
      <w:r w:rsidRPr="00E551D9">
        <w:rPr>
          <w:i/>
          <w:iCs/>
        </w:rPr>
        <w:t>Journal of Vibroengineering</w:t>
      </w:r>
      <w:r w:rsidRPr="00E551D9">
        <w:t xml:space="preserve">, </w:t>
      </w:r>
      <w:r w:rsidRPr="00E551D9">
        <w:rPr>
          <w:i/>
          <w:iCs/>
        </w:rPr>
        <w:t>19</w:t>
      </w:r>
      <w:r w:rsidRPr="00E551D9">
        <w:t>(7), 5627</w:t>
      </w:r>
      <w:r w:rsidR="00082409">
        <w:t>-</w:t>
      </w:r>
      <w:r w:rsidRPr="00E551D9">
        <w:t>5638. https://doi.org/10.21595/jve.2017.19275</w:t>
      </w:r>
    </w:p>
    <w:p w14:paraId="524307B9" w14:textId="7D90276B" w:rsidR="00EF7F63" w:rsidRPr="00E551D9" w:rsidRDefault="00EF7F63" w:rsidP="00082409">
      <w:pPr>
        <w:pStyle w:val="Rlit"/>
        <w:jc w:val="left"/>
      </w:pPr>
      <w:r w:rsidRPr="00E551D9">
        <w:t xml:space="preserve">Jacyna-Gołda, I., Żak, J., &amp; Gołębiowski, P. (2014). </w:t>
      </w:r>
      <w:r w:rsidR="00486AB7" w:rsidRPr="00E551D9">
        <w:t>Models of traffic flow distribution for various scenarios of the development of proecological transport system</w:t>
      </w:r>
      <w:r w:rsidRPr="00E551D9">
        <w:t xml:space="preserve">. </w:t>
      </w:r>
      <w:r w:rsidRPr="00E551D9">
        <w:rPr>
          <w:i/>
          <w:iCs/>
        </w:rPr>
        <w:t>Archives of Transport</w:t>
      </w:r>
      <w:r w:rsidRPr="00E551D9">
        <w:t xml:space="preserve">, </w:t>
      </w:r>
      <w:r w:rsidRPr="00E551D9">
        <w:rPr>
          <w:i/>
          <w:iCs/>
        </w:rPr>
        <w:t>32</w:t>
      </w:r>
      <w:r w:rsidRPr="00E551D9">
        <w:t>(4), 17</w:t>
      </w:r>
      <w:r w:rsidR="00082409">
        <w:t>-</w:t>
      </w:r>
      <w:r w:rsidRPr="00E551D9">
        <w:t>28. https://doi.org/10.5604/08669546.1146994</w:t>
      </w:r>
    </w:p>
    <w:p w14:paraId="708C2AB5" w14:textId="77777777" w:rsidR="00EF7F63" w:rsidRPr="00E551D9" w:rsidRDefault="00EF7F63" w:rsidP="00082409">
      <w:pPr>
        <w:pStyle w:val="Rlit"/>
        <w:jc w:val="left"/>
      </w:pPr>
      <w:r w:rsidRPr="00E551D9">
        <w:t xml:space="preserve">Kalahasthi, L., Holguín-Veras, J., &amp; Yushimito, W. F. (2022). A freight origin-destination synthesis model with mode choice. </w:t>
      </w:r>
      <w:r w:rsidRPr="00E551D9">
        <w:rPr>
          <w:i/>
          <w:iCs/>
        </w:rPr>
        <w:t>Transportation Research Part E: Logistics and Transportation Review</w:t>
      </w:r>
      <w:r w:rsidRPr="00E551D9">
        <w:t xml:space="preserve">, </w:t>
      </w:r>
      <w:r w:rsidRPr="00E551D9">
        <w:rPr>
          <w:i/>
          <w:iCs/>
        </w:rPr>
        <w:t>157</w:t>
      </w:r>
      <w:r w:rsidRPr="00E551D9">
        <w:t>, 102595. https://doi.org/10.1016/j.tre.2021.102595</w:t>
      </w:r>
    </w:p>
    <w:p w14:paraId="4C4F4E2D" w14:textId="77777777" w:rsidR="00EF7F63" w:rsidRPr="00E551D9" w:rsidRDefault="00EF7F63" w:rsidP="00082409">
      <w:pPr>
        <w:pStyle w:val="Rlit"/>
        <w:jc w:val="left"/>
      </w:pPr>
      <w:r w:rsidRPr="00E551D9">
        <w:t xml:space="preserve">Khajavi, H., &amp; Rastgoo, A. (2023). Predicting the carbon dioxide emission caused by road transport using a Random Forest (RF) model combined by Meta-Heuristic Algorithms. </w:t>
      </w:r>
      <w:r w:rsidRPr="00E551D9">
        <w:rPr>
          <w:i/>
          <w:iCs/>
        </w:rPr>
        <w:t>Sustainable Cities and Society</w:t>
      </w:r>
      <w:r w:rsidRPr="00E551D9">
        <w:t xml:space="preserve">, </w:t>
      </w:r>
      <w:r w:rsidRPr="00E551D9">
        <w:rPr>
          <w:i/>
          <w:iCs/>
        </w:rPr>
        <w:t>93</w:t>
      </w:r>
      <w:r w:rsidRPr="00E551D9">
        <w:t>, 104503. https://doi.org/10.1016/j.scs.2023.104503</w:t>
      </w:r>
    </w:p>
    <w:p w14:paraId="15708EA5" w14:textId="6ED898FE" w:rsidR="00FA116F" w:rsidRPr="00E551D9" w:rsidRDefault="00FA116F" w:rsidP="00082409">
      <w:pPr>
        <w:pStyle w:val="Rlit"/>
        <w:jc w:val="left"/>
      </w:pPr>
      <w:r w:rsidRPr="00E551D9">
        <w:t>Klodawski, M., Jachimowski, R.</w:t>
      </w:r>
      <w:r w:rsidR="00660C56">
        <w:t>,</w:t>
      </w:r>
      <w:r w:rsidRPr="00E551D9">
        <w:t xml:space="preserve"> &amp; Chamier-Gliszczynski, N. (2024). Analysis of the Overhead Crane Energy Consumption Using Different Container Loading Strategies in Urban Logistics Hubs. </w:t>
      </w:r>
      <w:r w:rsidRPr="00E551D9">
        <w:rPr>
          <w:i/>
        </w:rPr>
        <w:t xml:space="preserve">Energies, </w:t>
      </w:r>
      <w:r w:rsidRPr="00E551D9">
        <w:t>17(5), 985, https://doi.org/10.3390/en17050985</w:t>
      </w:r>
    </w:p>
    <w:p w14:paraId="1976E7E5" w14:textId="036D26F6" w:rsidR="00EF7F63" w:rsidRPr="00E551D9" w:rsidRDefault="00FA116F" w:rsidP="007E7F83">
      <w:pPr>
        <w:pStyle w:val="Rlit"/>
      </w:pPr>
      <w:r w:rsidRPr="00E551D9">
        <w:lastRenderedPageBreak/>
        <w:t xml:space="preserve"> </w:t>
      </w:r>
      <w:r w:rsidR="00EF7F63" w:rsidRPr="00E551D9">
        <w:t xml:space="preserve">Liu, D., Lim, H., Uddin, M., Liu, Y., Han, L. D., Hwang, H., &amp; Chin, S.-M. (2024). Improving the accuracy of freight mode choice models: A case study using the 2017 CFS PUF data set and ensemble learning techniques. </w:t>
      </w:r>
      <w:r w:rsidR="00EF7F63" w:rsidRPr="00E551D9">
        <w:rPr>
          <w:i/>
          <w:iCs/>
        </w:rPr>
        <w:t>Expert Systems with Applications</w:t>
      </w:r>
      <w:r w:rsidR="00EF7F63" w:rsidRPr="00E551D9">
        <w:t xml:space="preserve">, </w:t>
      </w:r>
      <w:r w:rsidR="00EF7F63" w:rsidRPr="00E551D9">
        <w:rPr>
          <w:i/>
          <w:iCs/>
        </w:rPr>
        <w:t>240</w:t>
      </w:r>
      <w:r w:rsidR="00EF7F63" w:rsidRPr="00E551D9">
        <w:t>, 122478. https://doi.org/10.1016/j.eswa.2023.122478</w:t>
      </w:r>
    </w:p>
    <w:p w14:paraId="01AB03FA" w14:textId="77777777" w:rsidR="00EF7F63" w:rsidRPr="00E551D9" w:rsidRDefault="00EF7F63" w:rsidP="00082409">
      <w:pPr>
        <w:pStyle w:val="Rlit"/>
        <w:jc w:val="left"/>
      </w:pPr>
      <w:r w:rsidRPr="00E551D9">
        <w:t xml:space="preserve">Mądziel, M. (2023). Vehicle Emission Models and Traffic Simulators: A Review. </w:t>
      </w:r>
      <w:r w:rsidRPr="00E551D9">
        <w:rPr>
          <w:i/>
          <w:iCs/>
        </w:rPr>
        <w:t>Energies</w:t>
      </w:r>
      <w:r w:rsidRPr="00E551D9">
        <w:t xml:space="preserve">, </w:t>
      </w:r>
      <w:r w:rsidRPr="00E551D9">
        <w:rPr>
          <w:i/>
          <w:iCs/>
        </w:rPr>
        <w:t>16</w:t>
      </w:r>
      <w:r w:rsidRPr="00E551D9">
        <w:t>(9), 3941. https://doi.org/10.3390/en16093941</w:t>
      </w:r>
    </w:p>
    <w:p w14:paraId="18C441C0" w14:textId="67D10511" w:rsidR="00EF7F63" w:rsidRPr="00E551D9" w:rsidRDefault="00EF7F63" w:rsidP="00082409">
      <w:pPr>
        <w:pStyle w:val="Rlit"/>
        <w:jc w:val="left"/>
      </w:pPr>
      <w:r w:rsidRPr="00E551D9">
        <w:t xml:space="preserve">Maes, A. D. S., Hoinaski, L., Meirelles, T. B., &amp; Carlson, R. C. (2019). A methodology for high resolution vehicular emissions inventories in metropolitan areas: Evaluating the effect of automotive technologies improvement. </w:t>
      </w:r>
      <w:r w:rsidRPr="00E551D9">
        <w:rPr>
          <w:i/>
          <w:iCs/>
        </w:rPr>
        <w:t>Transportation Research Part D: Transport and Environment</w:t>
      </w:r>
      <w:r w:rsidRPr="00E551D9">
        <w:t xml:space="preserve">, </w:t>
      </w:r>
      <w:r w:rsidRPr="00E551D9">
        <w:rPr>
          <w:i/>
          <w:iCs/>
        </w:rPr>
        <w:t>77</w:t>
      </w:r>
      <w:r w:rsidRPr="00E551D9">
        <w:t>, 303</w:t>
      </w:r>
      <w:r w:rsidR="00082409">
        <w:t>-</w:t>
      </w:r>
      <w:r w:rsidRPr="00E551D9">
        <w:t>319. https://doi.org/10.1016/j.trd.2019.10.007</w:t>
      </w:r>
    </w:p>
    <w:p w14:paraId="3C1B1182" w14:textId="4B7CD940" w:rsidR="00EF7F63" w:rsidRPr="00E551D9" w:rsidRDefault="00EF7F63" w:rsidP="007E7F83">
      <w:pPr>
        <w:pStyle w:val="Rlit"/>
      </w:pPr>
      <w:r w:rsidRPr="00E551D9">
        <w:t xml:space="preserve">Mangones, S. C., Jaramillo, P., Fischbeck, P., &amp; Rojas, N. Y. (2019). Development of a high-resolution traffic emission model: Lessons and key insights from the case of Bogotá, Colombia. </w:t>
      </w:r>
      <w:r w:rsidRPr="00E551D9">
        <w:rPr>
          <w:i/>
          <w:iCs/>
        </w:rPr>
        <w:t>Environmental Pollution</w:t>
      </w:r>
      <w:r w:rsidRPr="00E551D9">
        <w:t xml:space="preserve">, </w:t>
      </w:r>
      <w:r w:rsidRPr="00E551D9">
        <w:rPr>
          <w:i/>
          <w:iCs/>
        </w:rPr>
        <w:t>253</w:t>
      </w:r>
      <w:r w:rsidRPr="00E551D9">
        <w:t>, 552</w:t>
      </w:r>
      <w:r w:rsidR="00082409">
        <w:t>-</w:t>
      </w:r>
      <w:r w:rsidRPr="00E551D9">
        <w:t>559. https://doi.org/10.1016/j.envpol.2019.07.008</w:t>
      </w:r>
    </w:p>
    <w:p w14:paraId="757B7FE4" w14:textId="1D92250A" w:rsidR="00EF7F63" w:rsidRPr="00E551D9" w:rsidRDefault="00EF7F63" w:rsidP="00082409">
      <w:pPr>
        <w:pStyle w:val="Rlit"/>
        <w:jc w:val="left"/>
      </w:pPr>
      <w:r w:rsidRPr="00E551D9">
        <w:t xml:space="preserve">Martins-Turner, K., Grahle, A., Nagel, K., &amp; Göhlich, D. (2020). Electrification of Urban Freight Transport—A Case Study of the Food Retailing Industry. </w:t>
      </w:r>
      <w:r w:rsidRPr="00E551D9">
        <w:rPr>
          <w:i/>
          <w:iCs/>
        </w:rPr>
        <w:t>Procedia Computer Science</w:t>
      </w:r>
      <w:r w:rsidRPr="00E551D9">
        <w:t xml:space="preserve">, </w:t>
      </w:r>
      <w:r w:rsidRPr="00E551D9">
        <w:rPr>
          <w:i/>
          <w:iCs/>
        </w:rPr>
        <w:t>170</w:t>
      </w:r>
      <w:r w:rsidRPr="00E551D9">
        <w:t>, 757</w:t>
      </w:r>
      <w:r w:rsidR="00082409">
        <w:t>-</w:t>
      </w:r>
      <w:r w:rsidRPr="00E551D9">
        <w:t>763. https://doi.org/10.1016/j.procs.2020.03.159</w:t>
      </w:r>
    </w:p>
    <w:p w14:paraId="7018255A" w14:textId="4756843E" w:rsidR="00933BE4" w:rsidRPr="00E551D9" w:rsidRDefault="00933BE4" w:rsidP="00082409">
      <w:pPr>
        <w:pStyle w:val="Rlit"/>
        <w:jc w:val="left"/>
      </w:pPr>
      <w:r w:rsidRPr="00E551D9">
        <w:t xml:space="preserve">Namdeo, A., Mitchell, G., &amp; Dixon, R. (2002). TEMMS: An integrated package for modelling and mapping urban traffic emissions and air quality. </w:t>
      </w:r>
      <w:r w:rsidRPr="00E551D9">
        <w:rPr>
          <w:i/>
          <w:iCs/>
        </w:rPr>
        <w:t>Environmental Modelling &amp; Software, 17</w:t>
      </w:r>
      <w:r w:rsidRPr="00E551D9">
        <w:t>(2), 177</w:t>
      </w:r>
      <w:r w:rsidR="00082409">
        <w:t>-</w:t>
      </w:r>
      <w:r w:rsidRPr="00E551D9">
        <w:t>188. https://doi.org/10.1016/S1364-8152(01)00063-9</w:t>
      </w:r>
    </w:p>
    <w:p w14:paraId="24893A78" w14:textId="1A9A510E" w:rsidR="00EF7F63" w:rsidRPr="00E551D9" w:rsidRDefault="00EF7F63" w:rsidP="007E7F83">
      <w:pPr>
        <w:pStyle w:val="Rlit"/>
      </w:pPr>
      <w:r w:rsidRPr="00E551D9">
        <w:t xml:space="preserve">Narayanan, S., Salanova Grau, J. M., Frederix, R., Tympakianaki, A., Masegosa, A. D., &amp; Antoniou, C. (2025). Modeling of shared mobility services—An approach in between aggregate four-step and disaggregate agent-based approaches for strategic transport planning. </w:t>
      </w:r>
      <w:r w:rsidRPr="00E551D9">
        <w:rPr>
          <w:i/>
          <w:iCs/>
        </w:rPr>
        <w:t>Journal of Intelligent Transportation Systems</w:t>
      </w:r>
      <w:r w:rsidRPr="00E551D9">
        <w:t xml:space="preserve">, </w:t>
      </w:r>
      <w:r w:rsidRPr="00E551D9">
        <w:rPr>
          <w:i/>
          <w:iCs/>
        </w:rPr>
        <w:t>29</w:t>
      </w:r>
      <w:r w:rsidRPr="00E551D9">
        <w:t>(4), 435</w:t>
      </w:r>
      <w:r w:rsidR="00082409">
        <w:t>-</w:t>
      </w:r>
      <w:r w:rsidRPr="00E551D9">
        <w:t>452. https://doi.org/10.1080/15472450.2023.2246374</w:t>
      </w:r>
    </w:p>
    <w:p w14:paraId="3F94D7EC" w14:textId="406FCC05" w:rsidR="00EF7F63" w:rsidRPr="00E551D9" w:rsidRDefault="00EF7F63" w:rsidP="00082409">
      <w:pPr>
        <w:pStyle w:val="Rlit"/>
        <w:jc w:val="left"/>
      </w:pPr>
      <w:r w:rsidRPr="00E551D9">
        <w:t>Nejadkoorki, F., Nicholson, K., Lake, I., &amp; Davies, T. (2008). An approach for modelling CO</w:t>
      </w:r>
      <w:r w:rsidRPr="00082409">
        <w:rPr>
          <w:vertAlign w:val="subscript"/>
        </w:rPr>
        <w:t>2</w:t>
      </w:r>
      <w:r w:rsidRPr="00E551D9">
        <w:t xml:space="preserve"> emissions from road traffic in urban areas. </w:t>
      </w:r>
      <w:r w:rsidRPr="00E551D9">
        <w:rPr>
          <w:i/>
          <w:iCs/>
        </w:rPr>
        <w:t>Science of The Total Environment</w:t>
      </w:r>
      <w:r w:rsidRPr="00E551D9">
        <w:t xml:space="preserve">, </w:t>
      </w:r>
      <w:r w:rsidRPr="00E551D9">
        <w:rPr>
          <w:i/>
          <w:iCs/>
        </w:rPr>
        <w:t>406</w:t>
      </w:r>
      <w:r w:rsidRPr="00E551D9">
        <w:t>(1</w:t>
      </w:r>
      <w:r w:rsidR="00082409">
        <w:t>-</w:t>
      </w:r>
      <w:r w:rsidRPr="00E551D9">
        <w:t>2), 269</w:t>
      </w:r>
      <w:r w:rsidR="00082409">
        <w:t>-</w:t>
      </w:r>
      <w:r w:rsidRPr="00E551D9">
        <w:t>278. https://doi.org/10.1016/j.scitotenv.2008.07.055</w:t>
      </w:r>
    </w:p>
    <w:p w14:paraId="4C2C59C4" w14:textId="4B3DC809" w:rsidR="00EF7F63" w:rsidRPr="00E551D9" w:rsidRDefault="00EF7F63" w:rsidP="007E7F83">
      <w:pPr>
        <w:pStyle w:val="Rlit"/>
      </w:pPr>
      <w:r w:rsidRPr="00E551D9">
        <w:t xml:space="preserve">Nikolaou, K., Basbas, S., &amp; G., T. (2002). Air pollutant emissions and concentrations based on urban traffic modelling. </w:t>
      </w:r>
      <w:r w:rsidRPr="00E551D9">
        <w:rPr>
          <w:i/>
          <w:iCs/>
        </w:rPr>
        <w:t>Fresenius Environmental Bulletin</w:t>
      </w:r>
      <w:r w:rsidRPr="00E551D9">
        <w:t xml:space="preserve">, </w:t>
      </w:r>
      <w:r w:rsidRPr="00E551D9">
        <w:rPr>
          <w:i/>
          <w:iCs/>
        </w:rPr>
        <w:t>11</w:t>
      </w:r>
      <w:r w:rsidRPr="00E551D9">
        <w:t>, 494</w:t>
      </w:r>
      <w:r w:rsidR="00082409">
        <w:t>-</w:t>
      </w:r>
      <w:r w:rsidRPr="00E551D9">
        <w:t>498.</w:t>
      </w:r>
    </w:p>
    <w:p w14:paraId="5C7C96A8" w14:textId="74DB5CFC" w:rsidR="00EF7F63" w:rsidRPr="00E551D9" w:rsidRDefault="00EF7F63" w:rsidP="007E7F83">
      <w:pPr>
        <w:pStyle w:val="Rlit"/>
      </w:pPr>
      <w:r w:rsidRPr="00E551D9">
        <w:t xml:space="preserve">Orru, H., Kaasik, M., Antov, D., &amp; Forsberg, B. (2008). Evolution of Traffic Flows and Traffic-Induced Air Pollution Due to Structural Changes and Development during 1993-2006 in Tartu (Estonia). </w:t>
      </w:r>
      <w:r w:rsidRPr="00E551D9">
        <w:rPr>
          <w:i/>
          <w:iCs/>
        </w:rPr>
        <w:t>The Baltic Journal of Road and Bridge Engineering</w:t>
      </w:r>
      <w:r w:rsidRPr="00E551D9">
        <w:t xml:space="preserve">, </w:t>
      </w:r>
      <w:r w:rsidRPr="00E551D9">
        <w:rPr>
          <w:i/>
          <w:iCs/>
        </w:rPr>
        <w:t>3</w:t>
      </w:r>
      <w:r w:rsidRPr="00E551D9">
        <w:t>(4), 206</w:t>
      </w:r>
      <w:r w:rsidR="00082409">
        <w:t>-</w:t>
      </w:r>
      <w:r w:rsidRPr="00E551D9">
        <w:t>212. https://doi.org/10.3846/1822-427X.2008.3.206-212</w:t>
      </w:r>
    </w:p>
    <w:p w14:paraId="32AC9ECC" w14:textId="77777777" w:rsidR="00EF7F63" w:rsidRPr="00E551D9" w:rsidRDefault="00EF7F63" w:rsidP="00082409">
      <w:pPr>
        <w:pStyle w:val="Rlit"/>
        <w:jc w:val="left"/>
      </w:pPr>
      <w:r w:rsidRPr="00E551D9">
        <w:t xml:space="preserve">Oskarbski, J., &amp; Kaszubowski, D. (2018). Applying a Mesoscopic Transport Model to Analyse the Effects of Urban Freight Regulatory Measures on Transport Emissions—An Assessment. </w:t>
      </w:r>
      <w:r w:rsidRPr="00E551D9">
        <w:rPr>
          <w:i/>
          <w:iCs/>
        </w:rPr>
        <w:t>Sustainability</w:t>
      </w:r>
      <w:r w:rsidRPr="00E551D9">
        <w:t xml:space="preserve">, </w:t>
      </w:r>
      <w:r w:rsidRPr="00E551D9">
        <w:rPr>
          <w:i/>
          <w:iCs/>
        </w:rPr>
        <w:t>10</w:t>
      </w:r>
      <w:r w:rsidRPr="00E551D9">
        <w:t>(7), 2515. https://doi.org/10.3390/su10072515</w:t>
      </w:r>
    </w:p>
    <w:p w14:paraId="2354C3F0" w14:textId="77777777" w:rsidR="00EF7F63" w:rsidRPr="00E551D9" w:rsidRDefault="00EF7F63" w:rsidP="007E7F83">
      <w:pPr>
        <w:pStyle w:val="Rlit"/>
      </w:pPr>
      <w:r w:rsidRPr="00E551D9">
        <w:t xml:space="preserve">Pamuła, T., &amp; Żochowska, R. (2023). Estimation and prediction of the OD matrix in uncongested urban road network based on traffic flows using deep learning. </w:t>
      </w:r>
      <w:r w:rsidRPr="00E551D9">
        <w:rPr>
          <w:i/>
          <w:iCs/>
        </w:rPr>
        <w:t>Engineering Applications of Artificial Intelligence</w:t>
      </w:r>
      <w:r w:rsidRPr="00E551D9">
        <w:t xml:space="preserve">, </w:t>
      </w:r>
      <w:r w:rsidRPr="00E551D9">
        <w:rPr>
          <w:i/>
          <w:iCs/>
        </w:rPr>
        <w:t>117</w:t>
      </w:r>
      <w:r w:rsidRPr="00E551D9">
        <w:t>, 105550. https://doi.org/10.1016/j.engappai.2022.105550</w:t>
      </w:r>
    </w:p>
    <w:p w14:paraId="05EDA123" w14:textId="5BBF5590" w:rsidR="00EF7F63" w:rsidRPr="00E551D9" w:rsidRDefault="00EF7F63" w:rsidP="007E7F83">
      <w:pPr>
        <w:pStyle w:val="Rlit"/>
      </w:pPr>
      <w:r w:rsidRPr="00E551D9">
        <w:t xml:space="preserve">Pan, Q. (2006). Freight Data Assembling and Modeling: Methodologies and Practice. </w:t>
      </w:r>
      <w:r w:rsidRPr="00E551D9">
        <w:rPr>
          <w:i/>
          <w:iCs/>
        </w:rPr>
        <w:t>Transportation Planning and Technology</w:t>
      </w:r>
      <w:r w:rsidRPr="00E551D9">
        <w:t xml:space="preserve">, </w:t>
      </w:r>
      <w:r w:rsidRPr="00E551D9">
        <w:rPr>
          <w:i/>
          <w:iCs/>
        </w:rPr>
        <w:t>29</w:t>
      </w:r>
      <w:r w:rsidRPr="00E551D9">
        <w:t>(1), 43</w:t>
      </w:r>
      <w:r w:rsidR="00082409">
        <w:t>-</w:t>
      </w:r>
      <w:r w:rsidRPr="00E551D9">
        <w:t>74. https://doi.org/10.1080/03081060600585327</w:t>
      </w:r>
    </w:p>
    <w:p w14:paraId="084B721E" w14:textId="77777777" w:rsidR="00EF7F63" w:rsidRPr="00E551D9" w:rsidRDefault="00EF7F63" w:rsidP="00082409">
      <w:pPr>
        <w:pStyle w:val="Rlit"/>
        <w:jc w:val="left"/>
      </w:pPr>
      <w:r w:rsidRPr="00E551D9">
        <w:t xml:space="preserve">Patiño-Aroca, M., Parra, A., &amp; Borge, R. (2022). On-road vehicle emission inventory and its spatial and temporal distribution in the city of Guayaquil, Ecuador. </w:t>
      </w:r>
      <w:r w:rsidRPr="00E551D9">
        <w:rPr>
          <w:i/>
          <w:iCs/>
        </w:rPr>
        <w:t>Science of The Total Environment</w:t>
      </w:r>
      <w:r w:rsidRPr="00E551D9">
        <w:t xml:space="preserve">, </w:t>
      </w:r>
      <w:r w:rsidRPr="00E551D9">
        <w:rPr>
          <w:i/>
          <w:iCs/>
        </w:rPr>
        <w:t>848</w:t>
      </w:r>
      <w:r w:rsidRPr="00E551D9">
        <w:t>, 157664. https://doi.org/10.1016/j.scitotenv.2022.157664</w:t>
      </w:r>
    </w:p>
    <w:p w14:paraId="5165976E" w14:textId="77777777" w:rsidR="00EF7F63" w:rsidRPr="00E551D9" w:rsidRDefault="00EF7F63" w:rsidP="00082409">
      <w:pPr>
        <w:pStyle w:val="Rlit"/>
        <w:jc w:val="left"/>
      </w:pPr>
      <w:r w:rsidRPr="00E551D9">
        <w:t xml:space="preserve">Peng, T., Gan, M., Yao, Z., Yang, X., &amp; Liu, X. (2024). Nonlinear impacts of urban built environment on freight emissions. </w:t>
      </w:r>
      <w:r w:rsidRPr="00E551D9">
        <w:rPr>
          <w:i/>
          <w:iCs/>
        </w:rPr>
        <w:t>Transportation Research Part D: Transport and Environment</w:t>
      </w:r>
      <w:r w:rsidRPr="00E551D9">
        <w:t xml:space="preserve">, </w:t>
      </w:r>
      <w:r w:rsidRPr="00E551D9">
        <w:rPr>
          <w:i/>
          <w:iCs/>
        </w:rPr>
        <w:t>134</w:t>
      </w:r>
      <w:r w:rsidRPr="00E551D9">
        <w:t>, 104358. https://doi.org/10.1016/j.trd.2024.104358</w:t>
      </w:r>
    </w:p>
    <w:p w14:paraId="416F2915" w14:textId="77777777" w:rsidR="00EF7F63" w:rsidRPr="00E551D9" w:rsidRDefault="00EF7F63" w:rsidP="00082409">
      <w:pPr>
        <w:pStyle w:val="Rlit"/>
        <w:jc w:val="left"/>
      </w:pPr>
      <w:r w:rsidRPr="00E551D9">
        <w:rPr>
          <w:i/>
          <w:iCs/>
        </w:rPr>
        <w:t>Poland E-commerce Market Size &amp; Forecast. Verified Market Research</w:t>
      </w:r>
      <w:r w:rsidRPr="00E551D9">
        <w:t>. (2025). [Data set]. https://www.verifiedmarketresearch.com/product/poland-ecommerce-market/</w:t>
      </w:r>
    </w:p>
    <w:p w14:paraId="2EDBDCA2" w14:textId="4C373B5B" w:rsidR="003C6198" w:rsidRPr="00E551D9" w:rsidRDefault="003C6198" w:rsidP="007E7F83">
      <w:pPr>
        <w:pStyle w:val="Rlit"/>
      </w:pPr>
      <w:r w:rsidRPr="00E551D9">
        <w:t>Pompigna, A., &amp; Mauro, R. (2020). Input/Output models for freight transport demand: a macro approach to traffic analysis for a freight corridor. </w:t>
      </w:r>
      <w:r w:rsidRPr="00E551D9">
        <w:rPr>
          <w:i/>
          <w:iCs/>
        </w:rPr>
        <w:t>Archives of Transport</w:t>
      </w:r>
      <w:r w:rsidRPr="00E551D9">
        <w:t>, </w:t>
      </w:r>
      <w:r w:rsidRPr="00E551D9">
        <w:rPr>
          <w:i/>
          <w:iCs/>
        </w:rPr>
        <w:t>54</w:t>
      </w:r>
      <w:r w:rsidRPr="00E551D9">
        <w:t>(2), 21-42. https://doi.org/10.5604/01.3001.0014.2729</w:t>
      </w:r>
    </w:p>
    <w:p w14:paraId="6087E777" w14:textId="4BA95CE5" w:rsidR="00EF7F63" w:rsidRPr="00E551D9" w:rsidRDefault="00EF7F63" w:rsidP="00082409">
      <w:pPr>
        <w:pStyle w:val="Rlit"/>
        <w:jc w:val="left"/>
      </w:pPr>
      <w:r w:rsidRPr="00082409">
        <w:rPr>
          <w:spacing w:val="-2"/>
        </w:rPr>
        <w:t xml:space="preserve">Ranjbari, A., Diehl, C., Dalla Chiara, G., &amp; Goodchild, A. (2023). What is the Right Size for a Residential Building Parcel Locker? </w:t>
      </w:r>
      <w:r w:rsidRPr="00082409">
        <w:rPr>
          <w:i/>
          <w:iCs/>
          <w:spacing w:val="-2"/>
        </w:rPr>
        <w:t>Transportation Research Record: Journal of the Transportation Research Board</w:t>
      </w:r>
      <w:r w:rsidRPr="00082409">
        <w:rPr>
          <w:spacing w:val="-2"/>
        </w:rPr>
        <w:t xml:space="preserve">, </w:t>
      </w:r>
      <w:r w:rsidRPr="00082409">
        <w:rPr>
          <w:i/>
          <w:iCs/>
          <w:spacing w:val="-2"/>
        </w:rPr>
        <w:t>2677</w:t>
      </w:r>
      <w:r w:rsidRPr="00082409">
        <w:rPr>
          <w:spacing w:val="-2"/>
        </w:rPr>
        <w:t>(3), 1397</w:t>
      </w:r>
      <w:r w:rsidR="00082409">
        <w:rPr>
          <w:spacing w:val="-2"/>
        </w:rPr>
        <w:t>-</w:t>
      </w:r>
      <w:r w:rsidRPr="00082409">
        <w:rPr>
          <w:spacing w:val="-2"/>
        </w:rPr>
        <w:t xml:space="preserve">1407. </w:t>
      </w:r>
      <w:r w:rsidRPr="00E551D9">
        <w:t>https://doi.org/10.1177/03611981221123807</w:t>
      </w:r>
    </w:p>
    <w:p w14:paraId="7CBC12B7" w14:textId="1315A173" w:rsidR="00EF7F63" w:rsidRPr="00E551D9" w:rsidRDefault="00EF7F63" w:rsidP="00082409">
      <w:pPr>
        <w:pStyle w:val="Rlit"/>
        <w:jc w:val="left"/>
      </w:pPr>
      <w:r w:rsidRPr="00E551D9">
        <w:t>Sakai, T., Romano Alho, A., Bhavathrathan, B. K., Chiara, G. D., Gopalakrishnan, R., Jing, P., Hyodo, T., Cheah, L., &amp;</w:t>
      </w:r>
      <w:r w:rsidR="00082409">
        <w:t> </w:t>
      </w:r>
      <w:r w:rsidRPr="00E551D9">
        <w:t xml:space="preserve">Ben-Akiva, M. (2020). SimMobility Freight: An agent-based urban freight simulator for evaluating logistics solutions. </w:t>
      </w:r>
      <w:r w:rsidRPr="00E551D9">
        <w:rPr>
          <w:i/>
          <w:iCs/>
        </w:rPr>
        <w:t>Transportation Research Part E: Logistics and Transportation Review</w:t>
      </w:r>
      <w:r w:rsidRPr="00E551D9">
        <w:t xml:space="preserve">, </w:t>
      </w:r>
      <w:r w:rsidRPr="00E551D9">
        <w:rPr>
          <w:i/>
          <w:iCs/>
        </w:rPr>
        <w:t>141</w:t>
      </w:r>
      <w:r w:rsidRPr="00E551D9">
        <w:t>, 102017. https://doi.org/10.1016/j.tre.2020.102017</w:t>
      </w:r>
    </w:p>
    <w:p w14:paraId="5626FA0E" w14:textId="790C6DFF" w:rsidR="00EF7F63" w:rsidRPr="00E551D9" w:rsidRDefault="00EF7F63" w:rsidP="00082409">
      <w:pPr>
        <w:pStyle w:val="Rlit"/>
        <w:jc w:val="left"/>
      </w:pPr>
      <w:r w:rsidRPr="00E551D9">
        <w:t>Samaras, C., Tsokolis, D., Toffolo, S., Magra, G., Ntziachristos, L., &amp; Samaras, Z. (2018). Improving fuel consumption and CO</w:t>
      </w:r>
      <w:r w:rsidRPr="00082409">
        <w:rPr>
          <w:vertAlign w:val="subscript"/>
        </w:rPr>
        <w:t>2</w:t>
      </w:r>
      <w:r w:rsidRPr="00E551D9">
        <w:t xml:space="preserve"> emissions calculations in urban areas by coupling a dynamic micro traffic model with an instantaneous emissions model. </w:t>
      </w:r>
      <w:r w:rsidRPr="00E551D9">
        <w:rPr>
          <w:i/>
          <w:iCs/>
        </w:rPr>
        <w:t>Transportation Research Part D: Transport and Environment</w:t>
      </w:r>
      <w:r w:rsidRPr="00E551D9">
        <w:t xml:space="preserve">, </w:t>
      </w:r>
      <w:r w:rsidRPr="00E551D9">
        <w:rPr>
          <w:i/>
          <w:iCs/>
        </w:rPr>
        <w:t>65</w:t>
      </w:r>
      <w:r w:rsidRPr="00E551D9">
        <w:t>, 772</w:t>
      </w:r>
      <w:r w:rsidR="00082409">
        <w:t>-</w:t>
      </w:r>
      <w:r w:rsidRPr="00E551D9">
        <w:t>783. https://doi.org/10.1016/j.trd.2017.10.016</w:t>
      </w:r>
    </w:p>
    <w:p w14:paraId="3053C36D" w14:textId="226D8C9D" w:rsidR="00EF7F63" w:rsidRPr="00E551D9" w:rsidRDefault="00EF7F63" w:rsidP="007E7F83">
      <w:pPr>
        <w:pStyle w:val="Rlit"/>
      </w:pPr>
      <w:r w:rsidRPr="00E551D9">
        <w:t xml:space="preserve">Samaras, C., Tsokolis, D., Toffolo, S., Magra, G., Ntziachristos, L., &amp; Samaras, Z. (2019). Enhancing average speed emission models to account for congestion impacts in traffic network link-based simulations. </w:t>
      </w:r>
      <w:r w:rsidRPr="00E551D9">
        <w:rPr>
          <w:i/>
          <w:iCs/>
        </w:rPr>
        <w:t>Transportation Research Part D: Transport and Environment</w:t>
      </w:r>
      <w:r w:rsidRPr="00E551D9">
        <w:t xml:space="preserve">, </w:t>
      </w:r>
      <w:r w:rsidRPr="00E551D9">
        <w:rPr>
          <w:i/>
          <w:iCs/>
        </w:rPr>
        <w:t>75</w:t>
      </w:r>
      <w:r w:rsidRPr="00E551D9">
        <w:t>, 197</w:t>
      </w:r>
      <w:r w:rsidR="00082409">
        <w:t>-</w:t>
      </w:r>
      <w:r w:rsidRPr="00E551D9">
        <w:t>210. https://doi.org/10.1016/j.trd.2019.08.029</w:t>
      </w:r>
    </w:p>
    <w:p w14:paraId="187D0C5C" w14:textId="37804C04" w:rsidR="00EF7F63" w:rsidRPr="00E551D9" w:rsidRDefault="00EF7F63" w:rsidP="007E7F83">
      <w:pPr>
        <w:pStyle w:val="Rlit"/>
      </w:pPr>
      <w:r w:rsidRPr="00E551D9">
        <w:lastRenderedPageBreak/>
        <w:t xml:space="preserve">Sánchez-Díaz, I., Holguín-Veras, J., &amp; Wang, X. (2016). An exploratory analysis of spatial effects on freight trip attraction. </w:t>
      </w:r>
      <w:r w:rsidRPr="00E551D9">
        <w:rPr>
          <w:i/>
          <w:iCs/>
        </w:rPr>
        <w:t>Transportation</w:t>
      </w:r>
      <w:r w:rsidRPr="00E551D9">
        <w:t xml:space="preserve">, </w:t>
      </w:r>
      <w:r w:rsidRPr="00E551D9">
        <w:rPr>
          <w:i/>
          <w:iCs/>
        </w:rPr>
        <w:t>43</w:t>
      </w:r>
      <w:r w:rsidRPr="00E551D9">
        <w:t>(1), 177</w:t>
      </w:r>
      <w:r w:rsidR="00082409">
        <w:t>-</w:t>
      </w:r>
      <w:r w:rsidRPr="00E551D9">
        <w:t>196. https://doi.org/10.1007/s11116-014-9570-1</w:t>
      </w:r>
    </w:p>
    <w:p w14:paraId="104FDE25" w14:textId="77777777" w:rsidR="00EF7F63" w:rsidRPr="00E551D9" w:rsidRDefault="00EF7F63" w:rsidP="007E7F83">
      <w:pPr>
        <w:pStyle w:val="Rlit"/>
      </w:pPr>
      <w:r w:rsidRPr="00E551D9">
        <w:t xml:space="preserve">Schnieder, M., Hinde, C., &amp; West, A. (2021). Sensitivity Analysis of Emission Models of Parcel Lockers vs. Home Delivery Based on HBEFA. </w:t>
      </w:r>
      <w:r w:rsidRPr="00E551D9">
        <w:rPr>
          <w:i/>
          <w:iCs/>
        </w:rPr>
        <w:t>International Journal of Environmental Research and Public Health</w:t>
      </w:r>
      <w:r w:rsidRPr="00E551D9">
        <w:t xml:space="preserve">, </w:t>
      </w:r>
      <w:r w:rsidRPr="00E551D9">
        <w:rPr>
          <w:i/>
          <w:iCs/>
        </w:rPr>
        <w:t>18</w:t>
      </w:r>
      <w:r w:rsidRPr="00E551D9">
        <w:t>(12), 6325. https://doi.org/10.3390/ijerph18126325</w:t>
      </w:r>
    </w:p>
    <w:p w14:paraId="6309F82C" w14:textId="3FB56F37" w:rsidR="00EF7F63" w:rsidRPr="00E551D9" w:rsidRDefault="00EF7F63" w:rsidP="007E7F83">
      <w:pPr>
        <w:pStyle w:val="Rlit"/>
      </w:pPr>
      <w:r w:rsidRPr="00E551D9">
        <w:t>Schnieder, M., Hinde, C., &amp; West, A. (2022). Emission Estimation of On-Demand Meal Delivery Services Using a</w:t>
      </w:r>
      <w:r w:rsidR="00111ABC">
        <w:t> </w:t>
      </w:r>
      <w:r w:rsidRPr="00E551D9">
        <w:t xml:space="preserve">Macroscopic Simulation. </w:t>
      </w:r>
      <w:r w:rsidRPr="00E551D9">
        <w:rPr>
          <w:i/>
          <w:iCs/>
        </w:rPr>
        <w:t>International Journal of Environmental Research and Public Health</w:t>
      </w:r>
      <w:r w:rsidRPr="00E551D9">
        <w:t xml:space="preserve">, </w:t>
      </w:r>
      <w:r w:rsidRPr="00E551D9">
        <w:rPr>
          <w:i/>
          <w:iCs/>
        </w:rPr>
        <w:t>19</w:t>
      </w:r>
      <w:r w:rsidRPr="00E551D9">
        <w:t>(18), 11667. https://doi.org/10.3390/ijerph191811667</w:t>
      </w:r>
    </w:p>
    <w:p w14:paraId="10829BCF" w14:textId="6E2F3E8E" w:rsidR="00EF7F63" w:rsidRPr="00E551D9" w:rsidRDefault="00EF7F63" w:rsidP="007E7F83">
      <w:pPr>
        <w:pStyle w:val="Rlit"/>
      </w:pPr>
      <w:r w:rsidRPr="00E551D9">
        <w:t xml:space="preserve">Sharma, H., &amp; Swami, B. (2012). Emission and energy consumption characteristics of interrupted over-saturated flow for urban roads with heterogeneous traffic. </w:t>
      </w:r>
      <w:r w:rsidRPr="00E551D9">
        <w:rPr>
          <w:i/>
          <w:iCs/>
        </w:rPr>
        <w:t>Transport Problems</w:t>
      </w:r>
      <w:r w:rsidRPr="00E551D9">
        <w:t xml:space="preserve">, </w:t>
      </w:r>
      <w:r w:rsidRPr="00E551D9">
        <w:rPr>
          <w:i/>
          <w:iCs/>
        </w:rPr>
        <w:t>7</w:t>
      </w:r>
      <w:r w:rsidRPr="00E551D9">
        <w:t>(3), 29</w:t>
      </w:r>
      <w:r w:rsidR="00082409">
        <w:t>-</w:t>
      </w:r>
      <w:r w:rsidRPr="00E551D9">
        <w:t>40.</w:t>
      </w:r>
    </w:p>
    <w:p w14:paraId="7DA01648" w14:textId="77777777" w:rsidR="00EF7F63" w:rsidRPr="00E551D9" w:rsidRDefault="00EF7F63" w:rsidP="007E7F83">
      <w:pPr>
        <w:pStyle w:val="Rlit"/>
      </w:pPr>
      <w:r w:rsidRPr="00E551D9">
        <w:t xml:space="preserve">Shi, Y., Lam, W. H. K., Fu, H., Ho, H. W., Tam, M. L., &amp; Ma, W. (2025). Modeling instantaneous queuing effects in the traffic assignment problem with consideration of demand fluctuations in the modeling period. </w:t>
      </w:r>
      <w:r w:rsidRPr="00E551D9">
        <w:rPr>
          <w:i/>
          <w:iCs/>
        </w:rPr>
        <w:t>Transportation Research Part B: Methodological</w:t>
      </w:r>
      <w:r w:rsidRPr="00E551D9">
        <w:t xml:space="preserve">, </w:t>
      </w:r>
      <w:r w:rsidRPr="00E551D9">
        <w:rPr>
          <w:i/>
          <w:iCs/>
        </w:rPr>
        <w:t>197</w:t>
      </w:r>
      <w:r w:rsidRPr="00E551D9">
        <w:t>, 103248. https://doi.org/10.1016/j.trb.2025.103248</w:t>
      </w:r>
    </w:p>
    <w:p w14:paraId="0183D04E" w14:textId="59FE7561" w:rsidR="00EF7F63" w:rsidRPr="00E551D9" w:rsidRDefault="00EF7F63" w:rsidP="008D2F70">
      <w:pPr>
        <w:pStyle w:val="Rlit"/>
        <w:jc w:val="left"/>
      </w:pPr>
      <w:r w:rsidRPr="00E551D9">
        <w:t xml:space="preserve">Shin, H., Silverman, E., Heppenstall, A., Malleson, N., Ilic, M., Abeysinghe, S., &amp; Sonnenschein, T. (2025). Are Low Emission Zones Effective in Reducing Emissions and Ambient Air Pollution? In J. Thompson &amp; I. Stankov (Eds), </w:t>
      </w:r>
      <w:r w:rsidRPr="00E551D9">
        <w:rPr>
          <w:i/>
          <w:iCs/>
        </w:rPr>
        <w:t>Multi-Agent-Based Simulation XXV</w:t>
      </w:r>
      <w:r w:rsidR="008D2F70">
        <w:t xml:space="preserve">, </w:t>
      </w:r>
      <w:r w:rsidRPr="008D2F70">
        <w:rPr>
          <w:i/>
          <w:iCs/>
        </w:rPr>
        <w:t>15583</w:t>
      </w:r>
      <w:r w:rsidRPr="00E551D9">
        <w:t>, 28</w:t>
      </w:r>
      <w:r w:rsidR="008D2F70">
        <w:t>-</w:t>
      </w:r>
      <w:r w:rsidRPr="00E551D9">
        <w:t xml:space="preserve">36. Springer Nature Switzerland. </w:t>
      </w:r>
      <w:r w:rsidR="008D2F70">
        <w:br/>
      </w:r>
      <w:r w:rsidRPr="00E551D9">
        <w:t>https://doi.org/10.1007/978-3-031-88017-9_3</w:t>
      </w:r>
    </w:p>
    <w:p w14:paraId="38DAF576" w14:textId="22CB491D" w:rsidR="00EF7F63" w:rsidRPr="00E551D9" w:rsidRDefault="00EF7F63" w:rsidP="008D2F70">
      <w:pPr>
        <w:pStyle w:val="Rlit"/>
        <w:jc w:val="left"/>
      </w:pPr>
      <w:r w:rsidRPr="00E551D9">
        <w:t xml:space="preserve">Simoni, M. D., &amp; Claudel, C. G. (2018). A simulation framework for modeling urban freight operations impacts on traffic networks. </w:t>
      </w:r>
      <w:r w:rsidRPr="00E551D9">
        <w:rPr>
          <w:i/>
          <w:iCs/>
        </w:rPr>
        <w:t>Simulation Modelling Practice and Theory</w:t>
      </w:r>
      <w:r w:rsidRPr="00E551D9">
        <w:t xml:space="preserve">, </w:t>
      </w:r>
      <w:r w:rsidRPr="00E551D9">
        <w:rPr>
          <w:i/>
          <w:iCs/>
        </w:rPr>
        <w:t>86</w:t>
      </w:r>
      <w:r w:rsidRPr="00E551D9">
        <w:t>, 36</w:t>
      </w:r>
      <w:r w:rsidR="008D2F70">
        <w:t>-</w:t>
      </w:r>
      <w:r w:rsidRPr="00E551D9">
        <w:t>54. https://doi.org/10.1016/j.simpat.2018.05.001</w:t>
      </w:r>
    </w:p>
    <w:p w14:paraId="43078164" w14:textId="77777777" w:rsidR="00EF7F63" w:rsidRPr="00E551D9" w:rsidRDefault="00EF7F63" w:rsidP="008D2F70">
      <w:pPr>
        <w:pStyle w:val="Rlit"/>
        <w:jc w:val="left"/>
      </w:pPr>
      <w:r w:rsidRPr="00E551D9">
        <w:t xml:space="preserve">Song, R., Qin, W., Shi, W., &amp; Xue, X. (2023). Optimizing Freight Vehicle Routing in Dynamic Time-Varying Networks with Carbon Dioxide Emission Trajectory Analysis. </w:t>
      </w:r>
      <w:r w:rsidRPr="00E551D9">
        <w:rPr>
          <w:i/>
          <w:iCs/>
        </w:rPr>
        <w:t>Sustainability</w:t>
      </w:r>
      <w:r w:rsidRPr="00E551D9">
        <w:t xml:space="preserve">, </w:t>
      </w:r>
      <w:r w:rsidRPr="00E551D9">
        <w:rPr>
          <w:i/>
          <w:iCs/>
        </w:rPr>
        <w:t>15</w:t>
      </w:r>
      <w:r w:rsidRPr="00E551D9">
        <w:t>(21), 15504. https://doi.org/10.3390/su152115504</w:t>
      </w:r>
    </w:p>
    <w:p w14:paraId="11FBB040" w14:textId="77777777" w:rsidR="00EF7F63" w:rsidRPr="00E551D9" w:rsidRDefault="00EF7F63" w:rsidP="007E7F83">
      <w:pPr>
        <w:pStyle w:val="Rlit"/>
      </w:pPr>
      <w:r w:rsidRPr="00E551D9">
        <w:rPr>
          <w:i/>
          <w:iCs/>
        </w:rPr>
        <w:t>Statistics Poland</w:t>
      </w:r>
      <w:r w:rsidRPr="00E551D9">
        <w:t>. (2025). [Data set]. https://bdl.stat.gov.pl/</w:t>
      </w:r>
    </w:p>
    <w:p w14:paraId="7FA52F55" w14:textId="04E60850" w:rsidR="00EF7F63" w:rsidRPr="00E551D9" w:rsidRDefault="00EF7F63" w:rsidP="007E7F83">
      <w:pPr>
        <w:pStyle w:val="Rlit"/>
      </w:pPr>
      <w:r w:rsidRPr="00E551D9">
        <w:t xml:space="preserve">Stolfi, D. H., Cintrano, C., Chicano, F., &amp; Alba, E. (2018). An Intelligent Advisor for City Traffic Policies. In F. Herrera, S. Damas, R. Montes, S. Alonso, Ó. Cordón, A. González, &amp; A. Troncoso (Eds), </w:t>
      </w:r>
      <w:r w:rsidRPr="00E551D9">
        <w:rPr>
          <w:i/>
          <w:iCs/>
        </w:rPr>
        <w:t>Advances in Artificial Intelligence</w:t>
      </w:r>
      <w:r w:rsidR="00111ABC">
        <w:t xml:space="preserve">, </w:t>
      </w:r>
      <w:r w:rsidRPr="00111ABC">
        <w:rPr>
          <w:i/>
          <w:iCs/>
        </w:rPr>
        <w:t>11160</w:t>
      </w:r>
      <w:r w:rsidRPr="00E551D9">
        <w:t>, 383</w:t>
      </w:r>
      <w:r w:rsidR="00111ABC">
        <w:t>-</w:t>
      </w:r>
      <w:r w:rsidRPr="00E551D9">
        <w:t>393. Springer International Publishing. https://doi.org/10.1007/978-3-030-00374-6_36</w:t>
      </w:r>
    </w:p>
    <w:p w14:paraId="5D86D6F1" w14:textId="45BDAB04" w:rsidR="003C6198" w:rsidRPr="00E551D9" w:rsidRDefault="003C6198" w:rsidP="007E7F83">
      <w:pPr>
        <w:pStyle w:val="Rlit"/>
      </w:pPr>
      <w:r w:rsidRPr="00E551D9">
        <w:t>Szarata, A. (2014). The Multimodal Approach to The Modelling of Modal Split.</w:t>
      </w:r>
      <w:r w:rsidR="008D2F70">
        <w:t xml:space="preserve"> </w:t>
      </w:r>
      <w:r w:rsidRPr="00E551D9">
        <w:rPr>
          <w:i/>
          <w:iCs/>
        </w:rPr>
        <w:t>Archives of Transport</w:t>
      </w:r>
      <w:r w:rsidRPr="00E551D9">
        <w:t>,</w:t>
      </w:r>
      <w:r w:rsidR="008D2F70">
        <w:t xml:space="preserve"> </w:t>
      </w:r>
      <w:r w:rsidRPr="00E551D9">
        <w:rPr>
          <w:i/>
          <w:iCs/>
        </w:rPr>
        <w:t>29</w:t>
      </w:r>
      <w:r w:rsidRPr="00E551D9">
        <w:t>(1), 55-63.</w:t>
      </w:r>
      <w:r w:rsidR="008D2F70">
        <w:t xml:space="preserve"> </w:t>
      </w:r>
      <w:r w:rsidRPr="00E551D9">
        <w:t>https://doi.org/10.5604/08669546.1146968</w:t>
      </w:r>
    </w:p>
    <w:p w14:paraId="7F15D6E5" w14:textId="4BC41E17" w:rsidR="00EF7F63" w:rsidRPr="00E551D9" w:rsidRDefault="00EF7F63" w:rsidP="007E7F83">
      <w:pPr>
        <w:pStyle w:val="Rlit"/>
      </w:pPr>
      <w:r w:rsidRPr="00E551D9">
        <w:t xml:space="preserve">Tang, J., McNabola, A., Misstear, B., &amp; Caulfield, B. (2017). An evaluation of the impact of the Dublin Port Tunnel and HGV management strategy on air pollution emissions. </w:t>
      </w:r>
      <w:r w:rsidRPr="00E551D9">
        <w:rPr>
          <w:i/>
          <w:iCs/>
        </w:rPr>
        <w:t>Transportation Research Part D: Transport and Environment</w:t>
      </w:r>
      <w:r w:rsidRPr="00E551D9">
        <w:t xml:space="preserve">, </w:t>
      </w:r>
      <w:r w:rsidRPr="00E551D9">
        <w:rPr>
          <w:i/>
          <w:iCs/>
        </w:rPr>
        <w:t>52</w:t>
      </w:r>
      <w:r w:rsidRPr="00E551D9">
        <w:t>, 1</w:t>
      </w:r>
      <w:r w:rsidR="008D2F70">
        <w:t>-</w:t>
      </w:r>
      <w:r w:rsidRPr="00E551D9">
        <w:t>14. https://doi.org/10.1016/j.trd.2017.02.009</w:t>
      </w:r>
    </w:p>
    <w:p w14:paraId="03E21BB0" w14:textId="77777777" w:rsidR="00EF7F63" w:rsidRPr="00E551D9" w:rsidRDefault="00EF7F63" w:rsidP="00111ABC">
      <w:pPr>
        <w:pStyle w:val="Rlit"/>
        <w:jc w:val="left"/>
      </w:pPr>
      <w:r w:rsidRPr="00E551D9">
        <w:t xml:space="preserve">Tirico, M., Bescond, V. L., Sengelin, D., Gastineau, P., &amp; Can, A. (2025). Multi-scale comparison of modeling chains for traffic-related air pollutant emission assessment. </w:t>
      </w:r>
      <w:r w:rsidRPr="00E551D9">
        <w:rPr>
          <w:i/>
          <w:iCs/>
        </w:rPr>
        <w:t>Sustainable Cities and Society</w:t>
      </w:r>
      <w:r w:rsidRPr="00E551D9">
        <w:t xml:space="preserve">, </w:t>
      </w:r>
      <w:r w:rsidRPr="00E551D9">
        <w:rPr>
          <w:i/>
          <w:iCs/>
        </w:rPr>
        <w:t>129</w:t>
      </w:r>
      <w:r w:rsidRPr="00E551D9">
        <w:t>, 106354. https://doi.org/10.1016/j.scs.2025.106354</w:t>
      </w:r>
    </w:p>
    <w:p w14:paraId="144CD23B" w14:textId="4D1F2FEE" w:rsidR="00EF7F63" w:rsidRPr="00E551D9" w:rsidRDefault="00EF7F63" w:rsidP="007E7F83">
      <w:pPr>
        <w:pStyle w:val="Rlit"/>
      </w:pPr>
      <w:r w:rsidRPr="00E551D9">
        <w:t xml:space="preserve">Turkensteen, M. (2017). The accuracy of carbon emission and fuel consumption computations in green vehicle routing. </w:t>
      </w:r>
      <w:r w:rsidRPr="00E551D9">
        <w:rPr>
          <w:i/>
          <w:iCs/>
        </w:rPr>
        <w:t>European Journal of Operational Research</w:t>
      </w:r>
      <w:r w:rsidRPr="00E551D9">
        <w:t xml:space="preserve">, </w:t>
      </w:r>
      <w:r w:rsidRPr="00E551D9">
        <w:rPr>
          <w:i/>
          <w:iCs/>
        </w:rPr>
        <w:t>262</w:t>
      </w:r>
      <w:r w:rsidRPr="00E551D9">
        <w:t>(2), 647</w:t>
      </w:r>
      <w:r w:rsidR="00111ABC">
        <w:t>-</w:t>
      </w:r>
      <w:r w:rsidRPr="00E551D9">
        <w:t>659. https://doi.org/10.1016/j.ejor.2017.04.005</w:t>
      </w:r>
    </w:p>
    <w:p w14:paraId="6229EA1D" w14:textId="5BE6EB67" w:rsidR="00EF7F63" w:rsidRPr="00E551D9" w:rsidRDefault="00EF7F63" w:rsidP="007E7F83">
      <w:pPr>
        <w:pStyle w:val="Rlit"/>
      </w:pPr>
      <w:r w:rsidRPr="00E551D9">
        <w:t>Varga, B., Lulić, Z., &amp; Tettamanti, T. (2024). Systematic Error Correction of SUMO Traffic Simulator</w:t>
      </w:r>
      <w:r w:rsidR="003B09B1">
        <w:t>'</w:t>
      </w:r>
      <w:r w:rsidRPr="00E551D9">
        <w:t xml:space="preserve">s HBEFA Vehicle Emission Model. </w:t>
      </w:r>
      <w:r w:rsidRPr="00E551D9">
        <w:rPr>
          <w:i/>
          <w:iCs/>
        </w:rPr>
        <w:t>2024 IEEE International Conference on Electrical Systems for Aircraft, Railway, Ship Propulsion and Road Vehicles &amp;amp; International Transportation Electrification Conference (ESARS-ITEC)</w:t>
      </w:r>
      <w:r w:rsidRPr="00E551D9">
        <w:t>, 1</w:t>
      </w:r>
      <w:r w:rsidR="00111ABC">
        <w:t>-</w:t>
      </w:r>
      <w:r w:rsidRPr="00E551D9">
        <w:t>6. https://doi.org/10.1109/ESARS-ITEC60450.2024.10819857</w:t>
      </w:r>
    </w:p>
    <w:p w14:paraId="7D073BB7" w14:textId="5B0FCFCB" w:rsidR="00EF7F63" w:rsidRPr="00E551D9" w:rsidRDefault="00EF7F63" w:rsidP="00111ABC">
      <w:pPr>
        <w:pStyle w:val="Rlit"/>
        <w:jc w:val="left"/>
      </w:pPr>
      <w:r w:rsidRPr="00E551D9">
        <w:t xml:space="preserve">Venkadavarahan, M., &amp; Marisamynathan, S. (2021). Exploring spatial interaction effects in freight trip generation model for intermediate and pure receiver establishment. </w:t>
      </w:r>
      <w:r w:rsidRPr="00E551D9">
        <w:rPr>
          <w:i/>
          <w:iCs/>
        </w:rPr>
        <w:t>Case Studies on Transport Policy</w:t>
      </w:r>
      <w:r w:rsidRPr="00E551D9">
        <w:t xml:space="preserve">, </w:t>
      </w:r>
      <w:r w:rsidRPr="00E551D9">
        <w:rPr>
          <w:i/>
          <w:iCs/>
        </w:rPr>
        <w:t>9</w:t>
      </w:r>
      <w:r w:rsidRPr="00E551D9">
        <w:t>(4), 1582</w:t>
      </w:r>
      <w:r w:rsidR="00111ABC">
        <w:t>-</w:t>
      </w:r>
      <w:r w:rsidRPr="00E551D9">
        <w:t>1592. https://doi.org/10.1016/j.cstp.2021.08.007</w:t>
      </w:r>
    </w:p>
    <w:p w14:paraId="198ACBE0" w14:textId="549DF4DB" w:rsidR="00EF7F63" w:rsidRPr="00E551D9" w:rsidRDefault="00EF7F63" w:rsidP="007E7F83">
      <w:pPr>
        <w:pStyle w:val="Rlit"/>
      </w:pPr>
      <w:r w:rsidRPr="00E551D9">
        <w:t>Wardrop, J. G. (1952). R</w:t>
      </w:r>
      <w:r w:rsidR="00486AB7" w:rsidRPr="00E551D9">
        <w:t>oad paper. Some theoretical aspects of road traffic research</w:t>
      </w:r>
      <w:r w:rsidRPr="00E551D9">
        <w:t xml:space="preserve">. </w:t>
      </w:r>
      <w:r w:rsidRPr="00E551D9">
        <w:rPr>
          <w:i/>
          <w:iCs/>
        </w:rPr>
        <w:t>Proceedings of the Institution of Civil Engineers</w:t>
      </w:r>
      <w:r w:rsidRPr="00E551D9">
        <w:t xml:space="preserve">, </w:t>
      </w:r>
      <w:r w:rsidRPr="00E551D9">
        <w:rPr>
          <w:i/>
          <w:iCs/>
        </w:rPr>
        <w:t>1</w:t>
      </w:r>
      <w:r w:rsidRPr="00E551D9">
        <w:t>(3), 325</w:t>
      </w:r>
      <w:r w:rsidR="00111ABC">
        <w:t>-</w:t>
      </w:r>
      <w:r w:rsidRPr="00E551D9">
        <w:t>362. https://doi.org/10.1680/ipeds.1952.11259</w:t>
      </w:r>
    </w:p>
    <w:p w14:paraId="7CBC1588" w14:textId="77777777" w:rsidR="00EF7F63" w:rsidRPr="00E551D9" w:rsidRDefault="00EF7F63" w:rsidP="007E7F83">
      <w:pPr>
        <w:pStyle w:val="Rlit"/>
      </w:pPr>
      <w:r w:rsidRPr="00E551D9">
        <w:t xml:space="preserve">Wisetjindawat, W., Sano, K., Matsumoto, S., &amp; Raothanachonkun, P. (2007). Micro-simulation model for modeling freight agents interactions in urban freight movement. </w:t>
      </w:r>
      <w:r w:rsidRPr="00E551D9">
        <w:rPr>
          <w:i/>
          <w:iCs/>
        </w:rPr>
        <w:t>Proceedings, 86th Annual Meeting of the Transportation Research Board</w:t>
      </w:r>
      <w:r w:rsidRPr="00E551D9">
        <w:t>.</w:t>
      </w:r>
    </w:p>
    <w:p w14:paraId="5F0BA43E" w14:textId="67B13D5F" w:rsidR="00A627AC" w:rsidRPr="00E551D9" w:rsidRDefault="00A627AC" w:rsidP="007E7F83">
      <w:pPr>
        <w:pStyle w:val="Rlit"/>
      </w:pPr>
      <w:r w:rsidRPr="00E551D9">
        <w:t>Woźniak, W.</w:t>
      </w:r>
      <w:r w:rsidR="00EA4B09">
        <w:t>,</w:t>
      </w:r>
      <w:r w:rsidRPr="00E551D9">
        <w:t xml:space="preserve"> &amp; Wojnarowski, T. (2015). </w:t>
      </w:r>
      <w:r w:rsidRPr="00EA4B09">
        <w:rPr>
          <w:i/>
          <w:iCs/>
        </w:rPr>
        <w:t>The method for a fast selection of the profitable transport offers derived from the freight exchange market</w:t>
      </w:r>
      <w:r w:rsidR="00EA4B09">
        <w:t>.</w:t>
      </w:r>
      <w:r w:rsidRPr="00E551D9">
        <w:t xml:space="preserve"> Proceedings of the 25th International Business Information Management Association Conference Innovation Vision 2020 from Regional Development Sustainability to Global Economic Growth IBIMA, Open source preview, pp. 2073</w:t>
      </w:r>
      <w:r w:rsidR="009E2463">
        <w:t>-</w:t>
      </w:r>
      <w:r w:rsidRPr="00E551D9">
        <w:t>2085.</w:t>
      </w:r>
    </w:p>
    <w:p w14:paraId="5CA8D4C2" w14:textId="6205E7AD" w:rsidR="00A627AC" w:rsidRPr="00E551D9" w:rsidRDefault="00A627AC" w:rsidP="007E7F83">
      <w:pPr>
        <w:pStyle w:val="Rlit"/>
      </w:pPr>
      <w:r w:rsidRPr="00E551D9">
        <w:t xml:space="preserve">Woźniak, W., Stryjski, R., </w:t>
      </w:r>
      <w:proofErr w:type="spellStart"/>
      <w:r w:rsidRPr="00E551D9">
        <w:t>Mielniczuk</w:t>
      </w:r>
      <w:proofErr w:type="spellEnd"/>
      <w:r w:rsidRPr="00E551D9">
        <w:t>, J.</w:t>
      </w:r>
      <w:r w:rsidR="00EA4B09">
        <w:t>,</w:t>
      </w:r>
      <w:r w:rsidRPr="00E551D9">
        <w:t xml:space="preserve"> &amp; Wojnarowski, T. (2015a). </w:t>
      </w:r>
      <w:r w:rsidRPr="00EA4B09">
        <w:rPr>
          <w:i/>
          <w:iCs/>
        </w:rPr>
        <w:t>Concept for the application of genetic algorithms in the management of transport offers in relation to homogenous cargo transport</w:t>
      </w:r>
      <w:r w:rsidR="00EA4B09">
        <w:t>.</w:t>
      </w:r>
      <w:r w:rsidRPr="00E551D9">
        <w:t xml:space="preserve"> Proceedings of the 26th International Business Information Management Association Conference Innovation Management and Sustainable Economic Competitive Advantage from Regional Development to Global Growth IBIMA, Open source preview, 2015, pp. 2329</w:t>
      </w:r>
      <w:r w:rsidR="00111ABC">
        <w:t>-</w:t>
      </w:r>
      <w:r w:rsidRPr="00E551D9">
        <w:t>2339.</w:t>
      </w:r>
    </w:p>
    <w:p w14:paraId="5692F558" w14:textId="75C9C80F" w:rsidR="00EF7F63" w:rsidRPr="00E551D9" w:rsidRDefault="00EF7F63" w:rsidP="007E7F83">
      <w:pPr>
        <w:pStyle w:val="Rlit"/>
      </w:pPr>
      <w:r w:rsidRPr="00E551D9">
        <w:t xml:space="preserve">Xu, X., Yang, H.-C., Jeong, K., Bui, W., Ravulaparthy, S., Laarabi, H., Needell, Z. A., &amp; Spurlock, C. A. (2024). Teaching freight mode choice models new tricks using interpretable machine learning methods. </w:t>
      </w:r>
      <w:r w:rsidRPr="00E551D9">
        <w:rPr>
          <w:i/>
          <w:iCs/>
        </w:rPr>
        <w:t>Frontiers in Future Transportation</w:t>
      </w:r>
      <w:r w:rsidRPr="00E551D9">
        <w:t xml:space="preserve">, </w:t>
      </w:r>
      <w:r w:rsidRPr="00E551D9">
        <w:rPr>
          <w:i/>
          <w:iCs/>
        </w:rPr>
        <w:t>5</w:t>
      </w:r>
      <w:r w:rsidRPr="00E551D9">
        <w:t>, 1339273. https://doi.org/10.3389/ffutr.2024.1339273</w:t>
      </w:r>
    </w:p>
    <w:p w14:paraId="5EDB2362" w14:textId="77777777" w:rsidR="00EF7F63" w:rsidRPr="00E551D9" w:rsidRDefault="00EF7F63" w:rsidP="00111ABC">
      <w:pPr>
        <w:pStyle w:val="Rlit"/>
        <w:jc w:val="left"/>
      </w:pPr>
      <w:r w:rsidRPr="00E551D9">
        <w:lastRenderedPageBreak/>
        <w:t xml:space="preserve">Xu, Z., Peng, Y., Li, G., Chen, A., &amp; Liu, X. (2024). Range-constrained traffic assignment for electric vehicles under heterogeneous range anxiety. </w:t>
      </w:r>
      <w:r w:rsidRPr="00E551D9">
        <w:rPr>
          <w:i/>
          <w:iCs/>
        </w:rPr>
        <w:t>Transportation Research Part C: Emerging Technologies</w:t>
      </w:r>
      <w:r w:rsidRPr="00E551D9">
        <w:t xml:space="preserve">, </w:t>
      </w:r>
      <w:r w:rsidRPr="00E551D9">
        <w:rPr>
          <w:i/>
          <w:iCs/>
        </w:rPr>
        <w:t>158</w:t>
      </w:r>
      <w:r w:rsidRPr="00E551D9">
        <w:t>, 104419. https://doi.org/10.1016/j.trc.2023.104419</w:t>
      </w:r>
    </w:p>
    <w:p w14:paraId="17E94E74" w14:textId="0AF90DF5" w:rsidR="00EF7F63" w:rsidRPr="00E551D9" w:rsidRDefault="00EF7F63" w:rsidP="007E7F83">
      <w:pPr>
        <w:pStyle w:val="Rlit"/>
      </w:pPr>
      <w:r w:rsidRPr="00E551D9">
        <w:t xml:space="preserve">Young, W., Richardson, A. J., Ogden, K. W., &amp; Rattray, A. L. (1983). An inter‐Urban freight mode choice model. </w:t>
      </w:r>
      <w:r w:rsidRPr="00E551D9">
        <w:rPr>
          <w:i/>
          <w:iCs/>
        </w:rPr>
        <w:t>Transportation Planning and Technology</w:t>
      </w:r>
      <w:r w:rsidRPr="00E551D9">
        <w:t xml:space="preserve">, </w:t>
      </w:r>
      <w:r w:rsidRPr="00E551D9">
        <w:rPr>
          <w:i/>
          <w:iCs/>
        </w:rPr>
        <w:t>8</w:t>
      </w:r>
      <w:r w:rsidRPr="00E551D9">
        <w:t>(1), 61</w:t>
      </w:r>
      <w:r w:rsidR="00111ABC">
        <w:t>-</w:t>
      </w:r>
      <w:r w:rsidRPr="00E551D9">
        <w:t>80. https://doi.org/10.1080/03081068308717238</w:t>
      </w:r>
    </w:p>
    <w:p w14:paraId="6C738889" w14:textId="71C703A4" w:rsidR="00EF7F63" w:rsidRPr="00E551D9" w:rsidRDefault="00EF7F63" w:rsidP="007E7F83">
      <w:pPr>
        <w:pStyle w:val="Rlit"/>
      </w:pPr>
      <w:r w:rsidRPr="00E551D9">
        <w:t xml:space="preserve">Zhang, S., Wu, Y., Huang, R., Wang, J., Yan, H., Zheng, Y., &amp; Hao, J. (2016). High-resolution simulation of link-level vehicle emissions and concentrations for air pollutants in a traffic-populated eastern Asian city. </w:t>
      </w:r>
      <w:r w:rsidRPr="00E551D9">
        <w:rPr>
          <w:i/>
          <w:iCs/>
        </w:rPr>
        <w:t>Atmospheric Chemistry and Physics</w:t>
      </w:r>
      <w:r w:rsidRPr="00E551D9">
        <w:t xml:space="preserve">, </w:t>
      </w:r>
      <w:r w:rsidRPr="00E551D9">
        <w:rPr>
          <w:i/>
          <w:iCs/>
        </w:rPr>
        <w:t>16</w:t>
      </w:r>
      <w:r w:rsidRPr="00E551D9">
        <w:t>(15), 9965</w:t>
      </w:r>
      <w:r w:rsidR="00111ABC">
        <w:t>-</w:t>
      </w:r>
      <w:r w:rsidRPr="00E551D9">
        <w:t>9981. https://doi.org/10.5194/acp-16-9965-2016</w:t>
      </w:r>
    </w:p>
    <w:p w14:paraId="2749EC27" w14:textId="77777777" w:rsidR="00EF7F63" w:rsidRPr="00E551D9" w:rsidRDefault="00EF7F63" w:rsidP="00111ABC">
      <w:pPr>
        <w:pStyle w:val="Rlit"/>
        <w:jc w:val="left"/>
      </w:pPr>
      <w:r w:rsidRPr="00E551D9">
        <w:t xml:space="preserve">Zhao, C., Tang, J., Zeng, Y., Li, Z., &amp; Gao, F. (2023). Understanding the spatio-temporally heterogeneous effects of built environment on urban travel emissions. </w:t>
      </w:r>
      <w:r w:rsidRPr="00E551D9">
        <w:rPr>
          <w:i/>
          <w:iCs/>
        </w:rPr>
        <w:t>Journal of Transport Geography</w:t>
      </w:r>
      <w:r w:rsidRPr="00E551D9">
        <w:t xml:space="preserve">, </w:t>
      </w:r>
      <w:r w:rsidRPr="00E551D9">
        <w:rPr>
          <w:i/>
          <w:iCs/>
        </w:rPr>
        <w:t>112</w:t>
      </w:r>
      <w:r w:rsidRPr="00E551D9">
        <w:t>, 103689. https://doi.org/10.1016/j.jtrangeo.2023.103689</w:t>
      </w:r>
    </w:p>
    <w:p w14:paraId="59F55BB9" w14:textId="755236B2" w:rsidR="00EF7F63" w:rsidRPr="00111ABC" w:rsidRDefault="00EF7F63" w:rsidP="007E7F83">
      <w:pPr>
        <w:pStyle w:val="Rlit"/>
        <w:rPr>
          <w:spacing w:val="-2"/>
        </w:rPr>
      </w:pPr>
      <w:r w:rsidRPr="00111ABC">
        <w:rPr>
          <w:spacing w:val="-2"/>
        </w:rPr>
        <w:t xml:space="preserve">Zhao, S., Liu, L., &amp; Zhao, P. (2023). Traffic assignment in urban transportation network problem with emission constraints in China: A cooperative game theory. </w:t>
      </w:r>
      <w:r w:rsidRPr="00111ABC">
        <w:rPr>
          <w:i/>
          <w:iCs/>
          <w:spacing w:val="-2"/>
        </w:rPr>
        <w:t>Environmental Science and Pollution Research</w:t>
      </w:r>
      <w:r w:rsidRPr="00111ABC">
        <w:rPr>
          <w:spacing w:val="-2"/>
        </w:rPr>
        <w:t xml:space="preserve">, </w:t>
      </w:r>
      <w:r w:rsidRPr="00111ABC">
        <w:rPr>
          <w:i/>
          <w:iCs/>
          <w:spacing w:val="-2"/>
        </w:rPr>
        <w:t>30</w:t>
      </w:r>
      <w:r w:rsidRPr="00111ABC">
        <w:rPr>
          <w:spacing w:val="-2"/>
        </w:rPr>
        <w:t>(26), 69274</w:t>
      </w:r>
      <w:r w:rsidR="00111ABC">
        <w:rPr>
          <w:spacing w:val="-2"/>
        </w:rPr>
        <w:t>-</w:t>
      </w:r>
      <w:r w:rsidRPr="00111ABC">
        <w:rPr>
          <w:spacing w:val="-2"/>
        </w:rPr>
        <w:t>69288. https://doi.org/10.1007/s11356-023-27108-9</w:t>
      </w:r>
    </w:p>
    <w:p w14:paraId="34CCB3F4" w14:textId="59625198" w:rsidR="00EF7F63" w:rsidRPr="00E551D9" w:rsidRDefault="00EF7F63" w:rsidP="00111ABC">
      <w:pPr>
        <w:pStyle w:val="Rlit"/>
        <w:jc w:val="left"/>
      </w:pPr>
      <w:r w:rsidRPr="00111ABC">
        <w:rPr>
          <w:spacing w:val="-2"/>
        </w:rPr>
        <w:t xml:space="preserve">Żochowska, R. (2014). </w:t>
      </w:r>
      <w:r w:rsidR="00AF4EB8" w:rsidRPr="00111ABC">
        <w:rPr>
          <w:spacing w:val="-2"/>
        </w:rPr>
        <w:t>Selected Issues in modelling of traffic flows in congested urban</w:t>
      </w:r>
      <w:r w:rsidR="002F3AD5" w:rsidRPr="00111ABC">
        <w:rPr>
          <w:spacing w:val="-2"/>
        </w:rPr>
        <w:t xml:space="preserve"> networks</w:t>
      </w:r>
      <w:r w:rsidRPr="00111ABC">
        <w:rPr>
          <w:spacing w:val="-2"/>
        </w:rPr>
        <w:t xml:space="preserve">. </w:t>
      </w:r>
      <w:r w:rsidRPr="00111ABC">
        <w:rPr>
          <w:i/>
          <w:iCs/>
          <w:spacing w:val="-2"/>
        </w:rPr>
        <w:t>Archives of Transport</w:t>
      </w:r>
      <w:r w:rsidRPr="00111ABC">
        <w:rPr>
          <w:spacing w:val="-2"/>
        </w:rPr>
        <w:t xml:space="preserve">, </w:t>
      </w:r>
      <w:r w:rsidRPr="00E551D9">
        <w:rPr>
          <w:i/>
          <w:iCs/>
        </w:rPr>
        <w:t>29</w:t>
      </w:r>
      <w:r w:rsidRPr="00E551D9">
        <w:t>(1), 77</w:t>
      </w:r>
      <w:r w:rsidR="00111ABC">
        <w:t>-</w:t>
      </w:r>
      <w:r w:rsidRPr="00E551D9">
        <w:t>89. https://doi.org/10.5604/08669546.1146971</w:t>
      </w:r>
    </w:p>
    <w:p w14:paraId="106BF52C" w14:textId="5E511124" w:rsidR="002723FF" w:rsidRPr="00E551D9" w:rsidRDefault="00261CB8" w:rsidP="007E7F83">
      <w:pPr>
        <w:pStyle w:val="Rlit"/>
      </w:pPr>
      <w:r w:rsidRPr="00E551D9">
        <w:fldChar w:fldCharType="end"/>
      </w:r>
    </w:p>
    <w:sectPr w:rsidR="002723FF" w:rsidRPr="00E551D9" w:rsidSect="00D44BEA">
      <w:headerReference w:type="even" r:id="rId45"/>
      <w:headerReference w:type="default" r:id="rId46"/>
      <w:footerReference w:type="first" r:id="rId47"/>
      <w:pgSz w:w="11906" w:h="16838" w:code="9"/>
      <w:pgMar w:top="1134" w:right="1134" w:bottom="1134" w:left="1134" w:header="567" w:footer="567" w:gutter="0"/>
      <w:pgNumType w:start="74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B33D8" w14:textId="77777777" w:rsidR="00262708" w:rsidRDefault="00262708" w:rsidP="00A76620">
      <w:pPr>
        <w:spacing w:after="0" w:line="240" w:lineRule="auto"/>
      </w:pPr>
      <w:r>
        <w:separator/>
      </w:r>
    </w:p>
  </w:endnote>
  <w:endnote w:type="continuationSeparator" w:id="0">
    <w:p w14:paraId="68C830BA" w14:textId="77777777" w:rsidR="00262708" w:rsidRDefault="00262708" w:rsidP="00A76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A76620" w:rsidRPr="007A749A" w14:paraId="34AC5A59" w14:textId="77777777" w:rsidTr="001174B2">
      <w:trPr>
        <w:trHeight w:val="198"/>
      </w:trPr>
      <w:tc>
        <w:tcPr>
          <w:tcW w:w="1384" w:type="dxa"/>
          <w:vAlign w:val="center"/>
        </w:tcPr>
        <w:p w14:paraId="716F2480" w14:textId="77777777" w:rsidR="00A76620" w:rsidRPr="007A749A" w:rsidRDefault="00A76620" w:rsidP="00A76620">
          <w:pPr>
            <w:spacing w:after="0" w:line="240" w:lineRule="auto"/>
            <w:ind w:left="-106"/>
          </w:pPr>
          <w:bookmarkStart w:id="4" w:name="_Hlk104286226"/>
          <w:bookmarkStart w:id="5" w:name="_Hlk104286227"/>
          <w:bookmarkStart w:id="6" w:name="_Hlk154270864"/>
          <w:bookmarkStart w:id="7" w:name="_Hlk154270865"/>
          <w:r>
            <w:rPr>
              <w:noProof/>
              <w:lang w:val="en-GB" w:eastAsia="en-GB"/>
            </w:rPr>
            <w:drawing>
              <wp:inline distT="0" distB="0" distL="0" distR="0" wp14:anchorId="154231C1" wp14:editId="277B8757">
                <wp:extent cx="690245" cy="235585"/>
                <wp:effectExtent l="0" t="0" r="0" b="0"/>
                <wp:docPr id="16587575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235585"/>
                        </a:xfrm>
                        <a:prstGeom prst="rect">
                          <a:avLst/>
                        </a:prstGeom>
                        <a:noFill/>
                        <a:ln>
                          <a:noFill/>
                        </a:ln>
                      </pic:spPr>
                    </pic:pic>
                  </a:graphicData>
                </a:graphic>
              </wp:inline>
            </w:drawing>
          </w:r>
        </w:p>
      </w:tc>
      <w:tc>
        <w:tcPr>
          <w:tcW w:w="5387" w:type="dxa"/>
          <w:vAlign w:val="center"/>
        </w:tcPr>
        <w:p w14:paraId="4FD8366A" w14:textId="77777777" w:rsidR="00A76620" w:rsidRPr="007A749A" w:rsidRDefault="00A76620" w:rsidP="00A76620">
          <w:pPr>
            <w:suppressAutoHyphens/>
            <w:spacing w:after="0" w:line="240" w:lineRule="auto"/>
            <w:ind w:left="-75"/>
            <w:rPr>
              <w:sz w:val="18"/>
              <w:lang w:val="en-GB"/>
            </w:rPr>
          </w:pPr>
          <w:r w:rsidRPr="007A749A">
            <w:rPr>
              <w:sz w:val="18"/>
              <w:lang w:val="en-GB"/>
            </w:rPr>
            <w:t>© 2025. Author(s). This work is licensed under a Creative Commons Attribution 4.0 International License (CC BY-SA)</w:t>
          </w:r>
        </w:p>
      </w:tc>
    </w:tr>
    <w:bookmarkEnd w:id="4"/>
    <w:bookmarkEnd w:id="5"/>
    <w:bookmarkEnd w:id="6"/>
    <w:bookmarkEnd w:id="7"/>
  </w:tbl>
  <w:p w14:paraId="5312DA01" w14:textId="77777777" w:rsidR="00A76620" w:rsidRPr="007A749A" w:rsidRDefault="00A76620" w:rsidP="00A76620">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79996" w14:textId="77777777" w:rsidR="00262708" w:rsidRDefault="00262708" w:rsidP="00A76620">
      <w:pPr>
        <w:spacing w:after="0" w:line="240" w:lineRule="auto"/>
      </w:pPr>
      <w:r>
        <w:separator/>
      </w:r>
    </w:p>
  </w:footnote>
  <w:footnote w:type="continuationSeparator" w:id="0">
    <w:p w14:paraId="1B8406F4" w14:textId="77777777" w:rsidR="00262708" w:rsidRDefault="00262708" w:rsidP="00A76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A76620" w:rsidRPr="00855C77" w14:paraId="5D1FC9E3" w14:textId="77777777" w:rsidTr="001174B2">
      <w:trPr>
        <w:trHeight w:hRule="exact" w:val="284"/>
      </w:trPr>
      <w:tc>
        <w:tcPr>
          <w:tcW w:w="397" w:type="dxa"/>
          <w:vAlign w:val="center"/>
        </w:tcPr>
        <w:p w14:paraId="3E8E1273" w14:textId="77777777" w:rsidR="00A76620" w:rsidRPr="00855C77" w:rsidRDefault="00A76620" w:rsidP="00A76620">
          <w:pPr>
            <w:pStyle w:val="Nagwek"/>
            <w:rPr>
              <w:rFonts w:ascii="Arial" w:hAnsi="Arial" w:cs="Arial"/>
              <w:i/>
              <w:sz w:val="20"/>
              <w:lang w:val="en-GB"/>
            </w:rPr>
          </w:pPr>
          <w:r w:rsidRPr="00855C77">
            <w:rPr>
              <w:rFonts w:ascii="Arial" w:hAnsi="Arial" w:cs="Arial"/>
              <w:sz w:val="20"/>
              <w:lang w:val="en-GB"/>
            </w:rPr>
            <w:fldChar w:fldCharType="begin"/>
          </w:r>
          <w:r w:rsidRPr="00855C77">
            <w:rPr>
              <w:rFonts w:ascii="Arial" w:hAnsi="Arial" w:cs="Arial"/>
              <w:sz w:val="20"/>
              <w:lang w:val="en-GB"/>
            </w:rPr>
            <w:instrText xml:space="preserve"> PAGE   \* MERGEFORMAT </w:instrText>
          </w:r>
          <w:r w:rsidRPr="00855C77">
            <w:rPr>
              <w:rFonts w:ascii="Arial" w:hAnsi="Arial" w:cs="Arial"/>
              <w:sz w:val="20"/>
              <w:lang w:val="en-GB"/>
            </w:rPr>
            <w:fldChar w:fldCharType="separate"/>
          </w:r>
          <w:r>
            <w:rPr>
              <w:rFonts w:ascii="Arial" w:hAnsi="Arial" w:cs="Arial"/>
              <w:sz w:val="20"/>
              <w:lang w:val="en-GB"/>
            </w:rPr>
            <w:t>2</w:t>
          </w:r>
          <w:r w:rsidRPr="00855C77">
            <w:rPr>
              <w:rFonts w:ascii="Arial" w:hAnsi="Arial" w:cs="Arial"/>
              <w:sz w:val="20"/>
              <w:lang w:val="en-GB"/>
            </w:rPr>
            <w:fldChar w:fldCharType="end"/>
          </w:r>
        </w:p>
      </w:tc>
      <w:tc>
        <w:tcPr>
          <w:tcW w:w="9242" w:type="dxa"/>
          <w:vAlign w:val="center"/>
        </w:tcPr>
        <w:p w14:paraId="6B66ADA0" w14:textId="42F11A59" w:rsidR="00A76620" w:rsidRPr="00361064" w:rsidRDefault="003B1CF8" w:rsidP="00A76620">
          <w:pPr>
            <w:pStyle w:val="Nagwek"/>
            <w:jc w:val="center"/>
            <w:rPr>
              <w:rFonts w:ascii="Arial" w:hAnsi="Arial" w:cs="Arial"/>
              <w:i/>
              <w:sz w:val="20"/>
            </w:rPr>
          </w:pPr>
          <w:r w:rsidRPr="003B1CF8">
            <w:rPr>
              <w:rFonts w:ascii="Arial" w:hAnsi="Arial" w:cs="Arial"/>
              <w:i/>
              <w:sz w:val="20"/>
            </w:rPr>
            <w:t>Jan Paszkowski</w:t>
          </w:r>
          <w:r>
            <w:rPr>
              <w:rFonts w:ascii="Arial" w:hAnsi="Arial" w:cs="Arial"/>
              <w:i/>
              <w:sz w:val="20"/>
            </w:rPr>
            <w:t xml:space="preserve"> et al.</w:t>
          </w:r>
        </w:p>
      </w:tc>
    </w:tr>
  </w:tbl>
  <w:p w14:paraId="2790DF8F" w14:textId="77777777" w:rsidR="00A76620" w:rsidRPr="00E90ABA" w:rsidRDefault="00A76620" w:rsidP="00A76620">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A76620" w:rsidRPr="00855C77" w14:paraId="3EBA05CD" w14:textId="77777777" w:rsidTr="001174B2">
      <w:trPr>
        <w:trHeight w:hRule="exact" w:val="284"/>
        <w:jc w:val="right"/>
      </w:trPr>
      <w:tc>
        <w:tcPr>
          <w:tcW w:w="9243" w:type="dxa"/>
          <w:vAlign w:val="center"/>
        </w:tcPr>
        <w:p w14:paraId="62BA7E35" w14:textId="19BB03A1" w:rsidR="00A76620" w:rsidRPr="00855C77" w:rsidRDefault="003B48B3" w:rsidP="00A76620">
          <w:pPr>
            <w:pStyle w:val="Nagwek"/>
            <w:jc w:val="center"/>
            <w:rPr>
              <w:rFonts w:ascii="Arial" w:hAnsi="Arial" w:cs="Arial"/>
              <w:i/>
              <w:sz w:val="20"/>
              <w:szCs w:val="12"/>
              <w:lang w:val="en-GB"/>
            </w:rPr>
          </w:pPr>
          <w:r w:rsidRPr="003B48B3">
            <w:rPr>
              <w:rFonts w:ascii="Arial" w:hAnsi="Arial" w:cs="Arial"/>
              <w:i/>
              <w:sz w:val="20"/>
              <w:szCs w:val="12"/>
              <w:lang w:val="en-GB"/>
            </w:rPr>
            <w:t>Environmental Impact Assessment of Urban Freight Transport</w:t>
          </w:r>
          <w:r w:rsidR="00A76620">
            <w:rPr>
              <w:rFonts w:ascii="Arial" w:hAnsi="Arial" w:cs="Arial"/>
              <w:i/>
              <w:sz w:val="20"/>
              <w:szCs w:val="12"/>
              <w:lang w:val="en-GB"/>
            </w:rPr>
            <w:t>…</w:t>
          </w:r>
        </w:p>
      </w:tc>
      <w:tc>
        <w:tcPr>
          <w:tcW w:w="397" w:type="dxa"/>
          <w:vAlign w:val="center"/>
        </w:tcPr>
        <w:p w14:paraId="27889B49" w14:textId="77777777" w:rsidR="00A76620" w:rsidRPr="00855C77" w:rsidRDefault="00A76620" w:rsidP="00A76620">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017D71DA" w14:textId="77777777" w:rsidR="00A76620" w:rsidRPr="00007E12" w:rsidRDefault="00A76620" w:rsidP="00A76620">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anumerowana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apunktowana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apunktowana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anumerowan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apunktowana"/>
      <w:lvlText w:val=""/>
      <w:lvlJc w:val="left"/>
      <w:pPr>
        <w:tabs>
          <w:tab w:val="num" w:pos="360"/>
        </w:tabs>
        <w:ind w:left="360" w:hanging="360"/>
      </w:pPr>
      <w:rPr>
        <w:rFonts w:ascii="Symbol" w:hAnsi="Symbol" w:hint="default"/>
      </w:rPr>
    </w:lvl>
  </w:abstractNum>
  <w:abstractNum w:abstractNumId="6" w15:restartNumberingAfterBreak="0">
    <w:nsid w:val="03EF1C64"/>
    <w:multiLevelType w:val="hybridMultilevel"/>
    <w:tmpl w:val="9D926EA2"/>
    <w:lvl w:ilvl="0" w:tplc="C2B057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98346A"/>
    <w:multiLevelType w:val="hybridMultilevel"/>
    <w:tmpl w:val="8F24B9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837191"/>
    <w:multiLevelType w:val="hybridMultilevel"/>
    <w:tmpl w:val="500669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20884C15"/>
    <w:multiLevelType w:val="hybridMultilevel"/>
    <w:tmpl w:val="0E3A1978"/>
    <w:lvl w:ilvl="0" w:tplc="5B9E36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41B4F39"/>
    <w:multiLevelType w:val="hybridMultilevel"/>
    <w:tmpl w:val="ED9AC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6F4C3E"/>
    <w:multiLevelType w:val="hybridMultilevel"/>
    <w:tmpl w:val="6D327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236550"/>
    <w:multiLevelType w:val="hybridMultilevel"/>
    <w:tmpl w:val="E3B66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CE7468"/>
    <w:multiLevelType w:val="hybridMultilevel"/>
    <w:tmpl w:val="199A7DDC"/>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 w15:restartNumberingAfterBreak="0">
    <w:nsid w:val="3ECC6400"/>
    <w:multiLevelType w:val="hybridMultilevel"/>
    <w:tmpl w:val="53AC47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AC118B2"/>
    <w:multiLevelType w:val="hybridMultilevel"/>
    <w:tmpl w:val="76F4EC06"/>
    <w:lvl w:ilvl="0" w:tplc="5C2422D4">
      <w:numFmt w:val="bullet"/>
      <w:lvlText w:val="-"/>
      <w:lvlJc w:val="left"/>
      <w:pPr>
        <w:ind w:left="720" w:hanging="360"/>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50A382E"/>
    <w:multiLevelType w:val="hybridMultilevel"/>
    <w:tmpl w:val="ED56B74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5B9A79AA"/>
    <w:multiLevelType w:val="hybridMultilevel"/>
    <w:tmpl w:val="4364C8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5D97EDA"/>
    <w:multiLevelType w:val="hybridMultilevel"/>
    <w:tmpl w:val="A5BC9A2C"/>
    <w:lvl w:ilvl="0" w:tplc="A072B208">
      <w:start w:val="1"/>
      <w:numFmt w:val="decimal"/>
      <w:lvlText w:val="S%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0D86C61"/>
    <w:multiLevelType w:val="hybridMultilevel"/>
    <w:tmpl w:val="10EEC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37824DD"/>
    <w:multiLevelType w:val="multilevel"/>
    <w:tmpl w:val="06C6585A"/>
    <w:lvl w:ilvl="0">
      <w:start w:val="1"/>
      <w:numFmt w:val="decimal"/>
      <w:pStyle w:val="Nagwek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D685594"/>
    <w:multiLevelType w:val="hybridMultilevel"/>
    <w:tmpl w:val="C5DE84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90409509">
    <w:abstractNumId w:val="5"/>
  </w:num>
  <w:num w:numId="2" w16cid:durableId="369649618">
    <w:abstractNumId w:val="3"/>
  </w:num>
  <w:num w:numId="3" w16cid:durableId="1650210643">
    <w:abstractNumId w:val="2"/>
  </w:num>
  <w:num w:numId="4" w16cid:durableId="723024098">
    <w:abstractNumId w:val="4"/>
  </w:num>
  <w:num w:numId="5" w16cid:durableId="79644655">
    <w:abstractNumId w:val="1"/>
  </w:num>
  <w:num w:numId="6" w16cid:durableId="532571244">
    <w:abstractNumId w:val="0"/>
  </w:num>
  <w:num w:numId="7" w16cid:durableId="1177617461">
    <w:abstractNumId w:val="20"/>
  </w:num>
  <w:num w:numId="8" w16cid:durableId="1512448473">
    <w:abstractNumId w:val="21"/>
  </w:num>
  <w:num w:numId="9" w16cid:durableId="1868252572">
    <w:abstractNumId w:val="8"/>
  </w:num>
  <w:num w:numId="10" w16cid:durableId="1918437943">
    <w:abstractNumId w:val="14"/>
  </w:num>
  <w:num w:numId="11" w16cid:durableId="970599306">
    <w:abstractNumId w:val="10"/>
  </w:num>
  <w:num w:numId="12" w16cid:durableId="1763331354">
    <w:abstractNumId w:val="15"/>
  </w:num>
  <w:num w:numId="13" w16cid:durableId="1976643233">
    <w:abstractNumId w:val="11"/>
  </w:num>
  <w:num w:numId="14" w16cid:durableId="243415983">
    <w:abstractNumId w:val="19"/>
  </w:num>
  <w:num w:numId="15" w16cid:durableId="1316763686">
    <w:abstractNumId w:val="12"/>
  </w:num>
  <w:num w:numId="16" w16cid:durableId="405689469">
    <w:abstractNumId w:val="13"/>
  </w:num>
  <w:num w:numId="17" w16cid:durableId="1647278932">
    <w:abstractNumId w:val="20"/>
  </w:num>
  <w:num w:numId="18" w16cid:durableId="1301768728">
    <w:abstractNumId w:val="9"/>
  </w:num>
  <w:num w:numId="19" w16cid:durableId="906379106">
    <w:abstractNumId w:val="18"/>
  </w:num>
  <w:num w:numId="20" w16cid:durableId="1688870352">
    <w:abstractNumId w:val="20"/>
  </w:num>
  <w:num w:numId="21" w16cid:durableId="2076539297">
    <w:abstractNumId w:val="20"/>
  </w:num>
  <w:num w:numId="22" w16cid:durableId="1601257776">
    <w:abstractNumId w:val="6"/>
  </w:num>
  <w:num w:numId="23" w16cid:durableId="835615497">
    <w:abstractNumId w:val="7"/>
  </w:num>
  <w:num w:numId="24" w16cid:durableId="923302723">
    <w:abstractNumId w:val="17"/>
  </w:num>
  <w:num w:numId="25" w16cid:durableId="45752616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QwszAyMrYwMzQ3sjBR0lEKTi0uzszPAykwrAUArbnxLiwAAAA="/>
  </w:docVars>
  <w:rsids>
    <w:rsidRoot w:val="00B47730"/>
    <w:rsid w:val="00000402"/>
    <w:rsid w:val="00001E65"/>
    <w:rsid w:val="00002055"/>
    <w:rsid w:val="00003BA3"/>
    <w:rsid w:val="000049F6"/>
    <w:rsid w:val="0000514C"/>
    <w:rsid w:val="000064F9"/>
    <w:rsid w:val="0000683F"/>
    <w:rsid w:val="0000777F"/>
    <w:rsid w:val="0000793B"/>
    <w:rsid w:val="00007B02"/>
    <w:rsid w:val="0001498A"/>
    <w:rsid w:val="00014F6A"/>
    <w:rsid w:val="00015B0B"/>
    <w:rsid w:val="00017429"/>
    <w:rsid w:val="00017A52"/>
    <w:rsid w:val="00020AB4"/>
    <w:rsid w:val="0002145A"/>
    <w:rsid w:val="00024528"/>
    <w:rsid w:val="00027A8E"/>
    <w:rsid w:val="00030333"/>
    <w:rsid w:val="00034616"/>
    <w:rsid w:val="000347D2"/>
    <w:rsid w:val="00034CA2"/>
    <w:rsid w:val="00034CB1"/>
    <w:rsid w:val="00035CB5"/>
    <w:rsid w:val="000361C9"/>
    <w:rsid w:val="00037B45"/>
    <w:rsid w:val="00040257"/>
    <w:rsid w:val="00040453"/>
    <w:rsid w:val="000425CE"/>
    <w:rsid w:val="0004347D"/>
    <w:rsid w:val="00043B3F"/>
    <w:rsid w:val="000472CA"/>
    <w:rsid w:val="000478E8"/>
    <w:rsid w:val="00047FC5"/>
    <w:rsid w:val="00054288"/>
    <w:rsid w:val="00055490"/>
    <w:rsid w:val="000563E0"/>
    <w:rsid w:val="00057110"/>
    <w:rsid w:val="0006063C"/>
    <w:rsid w:val="00064F89"/>
    <w:rsid w:val="00065373"/>
    <w:rsid w:val="000663ED"/>
    <w:rsid w:val="0006696B"/>
    <w:rsid w:val="00067483"/>
    <w:rsid w:val="00073545"/>
    <w:rsid w:val="00075E61"/>
    <w:rsid w:val="00080168"/>
    <w:rsid w:val="00080194"/>
    <w:rsid w:val="00081464"/>
    <w:rsid w:val="00082409"/>
    <w:rsid w:val="00084B46"/>
    <w:rsid w:val="0008756C"/>
    <w:rsid w:val="00087945"/>
    <w:rsid w:val="00087946"/>
    <w:rsid w:val="00090A35"/>
    <w:rsid w:val="0009122B"/>
    <w:rsid w:val="00091FB9"/>
    <w:rsid w:val="00092118"/>
    <w:rsid w:val="00093BA4"/>
    <w:rsid w:val="000967C6"/>
    <w:rsid w:val="00097442"/>
    <w:rsid w:val="00097D42"/>
    <w:rsid w:val="000A0B8B"/>
    <w:rsid w:val="000A31D5"/>
    <w:rsid w:val="000A3520"/>
    <w:rsid w:val="000A38B6"/>
    <w:rsid w:val="000A49AE"/>
    <w:rsid w:val="000A6345"/>
    <w:rsid w:val="000A7308"/>
    <w:rsid w:val="000B0F52"/>
    <w:rsid w:val="000B1B10"/>
    <w:rsid w:val="000B31AC"/>
    <w:rsid w:val="000B3384"/>
    <w:rsid w:val="000B38F3"/>
    <w:rsid w:val="000B5222"/>
    <w:rsid w:val="000B7A58"/>
    <w:rsid w:val="000C4741"/>
    <w:rsid w:val="000C60FF"/>
    <w:rsid w:val="000D386C"/>
    <w:rsid w:val="000D4667"/>
    <w:rsid w:val="000D553A"/>
    <w:rsid w:val="000D6762"/>
    <w:rsid w:val="000D7333"/>
    <w:rsid w:val="000D73B5"/>
    <w:rsid w:val="000E245E"/>
    <w:rsid w:val="000E325E"/>
    <w:rsid w:val="000E38EE"/>
    <w:rsid w:val="000E7CA8"/>
    <w:rsid w:val="000E7D73"/>
    <w:rsid w:val="000F04D2"/>
    <w:rsid w:val="000F2C6D"/>
    <w:rsid w:val="000F3033"/>
    <w:rsid w:val="000F3302"/>
    <w:rsid w:val="00101384"/>
    <w:rsid w:val="0010151C"/>
    <w:rsid w:val="00104EB4"/>
    <w:rsid w:val="001051BD"/>
    <w:rsid w:val="0010543F"/>
    <w:rsid w:val="00105A6C"/>
    <w:rsid w:val="00105D73"/>
    <w:rsid w:val="00110955"/>
    <w:rsid w:val="00111ABC"/>
    <w:rsid w:val="00112B07"/>
    <w:rsid w:val="00120FF7"/>
    <w:rsid w:val="00125151"/>
    <w:rsid w:val="001257D9"/>
    <w:rsid w:val="00126B71"/>
    <w:rsid w:val="00127B08"/>
    <w:rsid w:val="00130F14"/>
    <w:rsid w:val="00131453"/>
    <w:rsid w:val="00131B5C"/>
    <w:rsid w:val="00131BE0"/>
    <w:rsid w:val="00131E1F"/>
    <w:rsid w:val="00136104"/>
    <w:rsid w:val="00143886"/>
    <w:rsid w:val="0015074B"/>
    <w:rsid w:val="00152506"/>
    <w:rsid w:val="001529A5"/>
    <w:rsid w:val="001535CC"/>
    <w:rsid w:val="0015474B"/>
    <w:rsid w:val="0015492E"/>
    <w:rsid w:val="00157CEE"/>
    <w:rsid w:val="00162B53"/>
    <w:rsid w:val="00164998"/>
    <w:rsid w:val="00164CDF"/>
    <w:rsid w:val="00171406"/>
    <w:rsid w:val="00175FD1"/>
    <w:rsid w:val="001760B7"/>
    <w:rsid w:val="00177030"/>
    <w:rsid w:val="0017717D"/>
    <w:rsid w:val="00180B44"/>
    <w:rsid w:val="0018344A"/>
    <w:rsid w:val="001839FD"/>
    <w:rsid w:val="001865CA"/>
    <w:rsid w:val="00191912"/>
    <w:rsid w:val="00191C6F"/>
    <w:rsid w:val="0019252C"/>
    <w:rsid w:val="001926C6"/>
    <w:rsid w:val="001928E9"/>
    <w:rsid w:val="00196BF5"/>
    <w:rsid w:val="00197856"/>
    <w:rsid w:val="001A50FB"/>
    <w:rsid w:val="001A5850"/>
    <w:rsid w:val="001A636D"/>
    <w:rsid w:val="001B187B"/>
    <w:rsid w:val="001B2060"/>
    <w:rsid w:val="001B5525"/>
    <w:rsid w:val="001B5650"/>
    <w:rsid w:val="001B6751"/>
    <w:rsid w:val="001C2150"/>
    <w:rsid w:val="001C246A"/>
    <w:rsid w:val="001C4D2E"/>
    <w:rsid w:val="001C6060"/>
    <w:rsid w:val="001C6CA7"/>
    <w:rsid w:val="001D0A22"/>
    <w:rsid w:val="001D6853"/>
    <w:rsid w:val="001D7120"/>
    <w:rsid w:val="001D7A2F"/>
    <w:rsid w:val="001E2600"/>
    <w:rsid w:val="001E269B"/>
    <w:rsid w:val="001E553F"/>
    <w:rsid w:val="001E6736"/>
    <w:rsid w:val="001E71FC"/>
    <w:rsid w:val="001E7617"/>
    <w:rsid w:val="001E7F12"/>
    <w:rsid w:val="001F1922"/>
    <w:rsid w:val="001F51B5"/>
    <w:rsid w:val="001F612A"/>
    <w:rsid w:val="001F73C2"/>
    <w:rsid w:val="002017F1"/>
    <w:rsid w:val="00204C48"/>
    <w:rsid w:val="00207323"/>
    <w:rsid w:val="0020754A"/>
    <w:rsid w:val="0021073A"/>
    <w:rsid w:val="002133ED"/>
    <w:rsid w:val="00214981"/>
    <w:rsid w:val="00214B33"/>
    <w:rsid w:val="00216524"/>
    <w:rsid w:val="0022069B"/>
    <w:rsid w:val="002216E5"/>
    <w:rsid w:val="00225F0B"/>
    <w:rsid w:val="002260C5"/>
    <w:rsid w:val="00230BA1"/>
    <w:rsid w:val="00230C04"/>
    <w:rsid w:val="00233A6D"/>
    <w:rsid w:val="00236D01"/>
    <w:rsid w:val="00236E57"/>
    <w:rsid w:val="00240790"/>
    <w:rsid w:val="00240B0F"/>
    <w:rsid w:val="00243D77"/>
    <w:rsid w:val="00244CCA"/>
    <w:rsid w:val="00250FFD"/>
    <w:rsid w:val="00254852"/>
    <w:rsid w:val="00255166"/>
    <w:rsid w:val="00260377"/>
    <w:rsid w:val="00260F6A"/>
    <w:rsid w:val="00261CB8"/>
    <w:rsid w:val="00262708"/>
    <w:rsid w:val="002641D4"/>
    <w:rsid w:val="00265DBC"/>
    <w:rsid w:val="002662D7"/>
    <w:rsid w:val="00271439"/>
    <w:rsid w:val="002723FF"/>
    <w:rsid w:val="00273D86"/>
    <w:rsid w:val="00273E23"/>
    <w:rsid w:val="002765DB"/>
    <w:rsid w:val="0027707C"/>
    <w:rsid w:val="00277583"/>
    <w:rsid w:val="0028126D"/>
    <w:rsid w:val="0028589A"/>
    <w:rsid w:val="00286284"/>
    <w:rsid w:val="002877C4"/>
    <w:rsid w:val="00287D1F"/>
    <w:rsid w:val="002908AC"/>
    <w:rsid w:val="00293AA8"/>
    <w:rsid w:val="0029639D"/>
    <w:rsid w:val="002970F9"/>
    <w:rsid w:val="002A3137"/>
    <w:rsid w:val="002A7CCA"/>
    <w:rsid w:val="002B06FC"/>
    <w:rsid w:val="002B07B7"/>
    <w:rsid w:val="002B1003"/>
    <w:rsid w:val="002B2F8B"/>
    <w:rsid w:val="002B3C37"/>
    <w:rsid w:val="002B59AC"/>
    <w:rsid w:val="002C4098"/>
    <w:rsid w:val="002C4C8F"/>
    <w:rsid w:val="002C5ED3"/>
    <w:rsid w:val="002C7779"/>
    <w:rsid w:val="002C793A"/>
    <w:rsid w:val="002D142B"/>
    <w:rsid w:val="002D2645"/>
    <w:rsid w:val="002D2A91"/>
    <w:rsid w:val="002D334B"/>
    <w:rsid w:val="002D42DE"/>
    <w:rsid w:val="002D479E"/>
    <w:rsid w:val="002D5B04"/>
    <w:rsid w:val="002E45AF"/>
    <w:rsid w:val="002E4CFF"/>
    <w:rsid w:val="002E60E3"/>
    <w:rsid w:val="002E66E9"/>
    <w:rsid w:val="002F0E9F"/>
    <w:rsid w:val="002F1BA6"/>
    <w:rsid w:val="002F1F4C"/>
    <w:rsid w:val="002F28C2"/>
    <w:rsid w:val="002F3AD5"/>
    <w:rsid w:val="002F3D02"/>
    <w:rsid w:val="002F5CB9"/>
    <w:rsid w:val="002F67A5"/>
    <w:rsid w:val="002F6BA3"/>
    <w:rsid w:val="002F6C2D"/>
    <w:rsid w:val="003024FD"/>
    <w:rsid w:val="0030251D"/>
    <w:rsid w:val="003043F4"/>
    <w:rsid w:val="00304465"/>
    <w:rsid w:val="003062C5"/>
    <w:rsid w:val="0030719E"/>
    <w:rsid w:val="003076B9"/>
    <w:rsid w:val="00321CA4"/>
    <w:rsid w:val="003264EF"/>
    <w:rsid w:val="00326F90"/>
    <w:rsid w:val="00327991"/>
    <w:rsid w:val="00327F2D"/>
    <w:rsid w:val="00332487"/>
    <w:rsid w:val="00332F73"/>
    <w:rsid w:val="003361E7"/>
    <w:rsid w:val="003363F8"/>
    <w:rsid w:val="00342A23"/>
    <w:rsid w:val="00342B73"/>
    <w:rsid w:val="0034788B"/>
    <w:rsid w:val="003522BD"/>
    <w:rsid w:val="0035359D"/>
    <w:rsid w:val="00354319"/>
    <w:rsid w:val="003563BD"/>
    <w:rsid w:val="00356F71"/>
    <w:rsid w:val="00357067"/>
    <w:rsid w:val="00360A29"/>
    <w:rsid w:val="00361047"/>
    <w:rsid w:val="003639DC"/>
    <w:rsid w:val="00363C94"/>
    <w:rsid w:val="00371A29"/>
    <w:rsid w:val="00374B3B"/>
    <w:rsid w:val="003756DA"/>
    <w:rsid w:val="00376D54"/>
    <w:rsid w:val="00377F17"/>
    <w:rsid w:val="00380F3C"/>
    <w:rsid w:val="003816F0"/>
    <w:rsid w:val="00384245"/>
    <w:rsid w:val="0038678B"/>
    <w:rsid w:val="00387B2B"/>
    <w:rsid w:val="00390A03"/>
    <w:rsid w:val="00391442"/>
    <w:rsid w:val="0039213D"/>
    <w:rsid w:val="0039268E"/>
    <w:rsid w:val="003935B5"/>
    <w:rsid w:val="0039443C"/>
    <w:rsid w:val="00396CF7"/>
    <w:rsid w:val="00397166"/>
    <w:rsid w:val="00397403"/>
    <w:rsid w:val="00397F55"/>
    <w:rsid w:val="003A36FB"/>
    <w:rsid w:val="003A6090"/>
    <w:rsid w:val="003A6571"/>
    <w:rsid w:val="003A67DC"/>
    <w:rsid w:val="003A6E65"/>
    <w:rsid w:val="003B09B1"/>
    <w:rsid w:val="003B1CF8"/>
    <w:rsid w:val="003B1E62"/>
    <w:rsid w:val="003B48B3"/>
    <w:rsid w:val="003B702F"/>
    <w:rsid w:val="003C4102"/>
    <w:rsid w:val="003C4D2D"/>
    <w:rsid w:val="003C5A3B"/>
    <w:rsid w:val="003C5D27"/>
    <w:rsid w:val="003C6198"/>
    <w:rsid w:val="003D0FC0"/>
    <w:rsid w:val="003D5B37"/>
    <w:rsid w:val="003D674B"/>
    <w:rsid w:val="003E25C1"/>
    <w:rsid w:val="003E3647"/>
    <w:rsid w:val="003E37CE"/>
    <w:rsid w:val="003E61A8"/>
    <w:rsid w:val="003E6D8B"/>
    <w:rsid w:val="003F0CF9"/>
    <w:rsid w:val="003F52E0"/>
    <w:rsid w:val="003F6C9C"/>
    <w:rsid w:val="00402DEE"/>
    <w:rsid w:val="00411474"/>
    <w:rsid w:val="0041165D"/>
    <w:rsid w:val="0041364A"/>
    <w:rsid w:val="00414827"/>
    <w:rsid w:val="00417C56"/>
    <w:rsid w:val="00421A80"/>
    <w:rsid w:val="004231CA"/>
    <w:rsid w:val="004236F7"/>
    <w:rsid w:val="00425056"/>
    <w:rsid w:val="00426465"/>
    <w:rsid w:val="00427346"/>
    <w:rsid w:val="00431D56"/>
    <w:rsid w:val="00433359"/>
    <w:rsid w:val="0043367E"/>
    <w:rsid w:val="00437B14"/>
    <w:rsid w:val="00437B88"/>
    <w:rsid w:val="00445EF8"/>
    <w:rsid w:val="004463EE"/>
    <w:rsid w:val="004500A1"/>
    <w:rsid w:val="004519E7"/>
    <w:rsid w:val="00453D28"/>
    <w:rsid w:val="004632B4"/>
    <w:rsid w:val="00466970"/>
    <w:rsid w:val="004677E6"/>
    <w:rsid w:val="0046782F"/>
    <w:rsid w:val="0047061B"/>
    <w:rsid w:val="00470891"/>
    <w:rsid w:val="004717FD"/>
    <w:rsid w:val="00473BF4"/>
    <w:rsid w:val="00475413"/>
    <w:rsid w:val="00475985"/>
    <w:rsid w:val="0047631E"/>
    <w:rsid w:val="00477D0F"/>
    <w:rsid w:val="00481E44"/>
    <w:rsid w:val="004845AC"/>
    <w:rsid w:val="004849E2"/>
    <w:rsid w:val="00486AA8"/>
    <w:rsid w:val="00486AB7"/>
    <w:rsid w:val="004907E4"/>
    <w:rsid w:val="00490CB9"/>
    <w:rsid w:val="0049424A"/>
    <w:rsid w:val="00495CAB"/>
    <w:rsid w:val="004A11CD"/>
    <w:rsid w:val="004A1574"/>
    <w:rsid w:val="004A2127"/>
    <w:rsid w:val="004A2967"/>
    <w:rsid w:val="004A4CB9"/>
    <w:rsid w:val="004A6DD6"/>
    <w:rsid w:val="004A708D"/>
    <w:rsid w:val="004B13A9"/>
    <w:rsid w:val="004B5801"/>
    <w:rsid w:val="004C45E3"/>
    <w:rsid w:val="004C5CEC"/>
    <w:rsid w:val="004C694B"/>
    <w:rsid w:val="004D06D5"/>
    <w:rsid w:val="004D0B5E"/>
    <w:rsid w:val="004D5C65"/>
    <w:rsid w:val="004D5FD7"/>
    <w:rsid w:val="004E2ACC"/>
    <w:rsid w:val="004E3E3E"/>
    <w:rsid w:val="004E5052"/>
    <w:rsid w:val="004E5C7B"/>
    <w:rsid w:val="004F1EB6"/>
    <w:rsid w:val="004F2F64"/>
    <w:rsid w:val="004F3AAD"/>
    <w:rsid w:val="004F4EAF"/>
    <w:rsid w:val="00502B0C"/>
    <w:rsid w:val="00503DE7"/>
    <w:rsid w:val="00505138"/>
    <w:rsid w:val="0050772E"/>
    <w:rsid w:val="00507807"/>
    <w:rsid w:val="00507C90"/>
    <w:rsid w:val="00512D1C"/>
    <w:rsid w:val="005147F6"/>
    <w:rsid w:val="00515AC3"/>
    <w:rsid w:val="00515C20"/>
    <w:rsid w:val="0051647A"/>
    <w:rsid w:val="00516CA1"/>
    <w:rsid w:val="00516D1F"/>
    <w:rsid w:val="005178C2"/>
    <w:rsid w:val="00521CCB"/>
    <w:rsid w:val="00521E55"/>
    <w:rsid w:val="00522683"/>
    <w:rsid w:val="00524AA7"/>
    <w:rsid w:val="005304EF"/>
    <w:rsid w:val="005313FB"/>
    <w:rsid w:val="00532594"/>
    <w:rsid w:val="00532753"/>
    <w:rsid w:val="00533C15"/>
    <w:rsid w:val="0053592F"/>
    <w:rsid w:val="00535C68"/>
    <w:rsid w:val="005361FD"/>
    <w:rsid w:val="00541760"/>
    <w:rsid w:val="00541861"/>
    <w:rsid w:val="005439F4"/>
    <w:rsid w:val="00546C16"/>
    <w:rsid w:val="0054756A"/>
    <w:rsid w:val="00550B2D"/>
    <w:rsid w:val="00553572"/>
    <w:rsid w:val="005543C6"/>
    <w:rsid w:val="00560BC3"/>
    <w:rsid w:val="00563981"/>
    <w:rsid w:val="005656E4"/>
    <w:rsid w:val="00565F88"/>
    <w:rsid w:val="005678BF"/>
    <w:rsid w:val="005715D4"/>
    <w:rsid w:val="005742D5"/>
    <w:rsid w:val="00574B6D"/>
    <w:rsid w:val="005822B1"/>
    <w:rsid w:val="00583092"/>
    <w:rsid w:val="0058399E"/>
    <w:rsid w:val="00583B3F"/>
    <w:rsid w:val="005840D0"/>
    <w:rsid w:val="00584E5C"/>
    <w:rsid w:val="0059455B"/>
    <w:rsid w:val="00595064"/>
    <w:rsid w:val="00597248"/>
    <w:rsid w:val="00597598"/>
    <w:rsid w:val="005A05ED"/>
    <w:rsid w:val="005A0B34"/>
    <w:rsid w:val="005A4E58"/>
    <w:rsid w:val="005A5B65"/>
    <w:rsid w:val="005B3946"/>
    <w:rsid w:val="005B5B47"/>
    <w:rsid w:val="005B629B"/>
    <w:rsid w:val="005B6560"/>
    <w:rsid w:val="005C274C"/>
    <w:rsid w:val="005C2FAC"/>
    <w:rsid w:val="005C500D"/>
    <w:rsid w:val="005C5122"/>
    <w:rsid w:val="005C545B"/>
    <w:rsid w:val="005C55DB"/>
    <w:rsid w:val="005C5A03"/>
    <w:rsid w:val="005C5BD5"/>
    <w:rsid w:val="005D4127"/>
    <w:rsid w:val="005D4739"/>
    <w:rsid w:val="005D516B"/>
    <w:rsid w:val="005D5352"/>
    <w:rsid w:val="005D66EA"/>
    <w:rsid w:val="005E07F9"/>
    <w:rsid w:val="005E3850"/>
    <w:rsid w:val="005F07AB"/>
    <w:rsid w:val="005F2B1F"/>
    <w:rsid w:val="005F408F"/>
    <w:rsid w:val="005F4F8A"/>
    <w:rsid w:val="005F6970"/>
    <w:rsid w:val="0060155A"/>
    <w:rsid w:val="00603004"/>
    <w:rsid w:val="006039DD"/>
    <w:rsid w:val="006046AC"/>
    <w:rsid w:val="00604782"/>
    <w:rsid w:val="006049BE"/>
    <w:rsid w:val="00605447"/>
    <w:rsid w:val="00605CCD"/>
    <w:rsid w:val="00606365"/>
    <w:rsid w:val="0060748A"/>
    <w:rsid w:val="006131DD"/>
    <w:rsid w:val="00614E73"/>
    <w:rsid w:val="00615729"/>
    <w:rsid w:val="006158F8"/>
    <w:rsid w:val="006208FC"/>
    <w:rsid w:val="00622082"/>
    <w:rsid w:val="006237C7"/>
    <w:rsid w:val="006243A1"/>
    <w:rsid w:val="00624560"/>
    <w:rsid w:val="00625432"/>
    <w:rsid w:val="00631C80"/>
    <w:rsid w:val="00633909"/>
    <w:rsid w:val="00636FDE"/>
    <w:rsid w:val="00640604"/>
    <w:rsid w:val="006423FA"/>
    <w:rsid w:val="00642652"/>
    <w:rsid w:val="00652207"/>
    <w:rsid w:val="0065338C"/>
    <w:rsid w:val="006569C9"/>
    <w:rsid w:val="00656FC6"/>
    <w:rsid w:val="00660C56"/>
    <w:rsid w:val="006620DB"/>
    <w:rsid w:val="00665800"/>
    <w:rsid w:val="0067265E"/>
    <w:rsid w:val="00672E25"/>
    <w:rsid w:val="00675175"/>
    <w:rsid w:val="00676BF5"/>
    <w:rsid w:val="00676F55"/>
    <w:rsid w:val="00681411"/>
    <w:rsid w:val="00681933"/>
    <w:rsid w:val="00684B9A"/>
    <w:rsid w:val="00686F75"/>
    <w:rsid w:val="006874BA"/>
    <w:rsid w:val="00687AD7"/>
    <w:rsid w:val="00690988"/>
    <w:rsid w:val="00694053"/>
    <w:rsid w:val="006959FF"/>
    <w:rsid w:val="00695A22"/>
    <w:rsid w:val="00696BBB"/>
    <w:rsid w:val="006A13E5"/>
    <w:rsid w:val="006A1D00"/>
    <w:rsid w:val="006A21E2"/>
    <w:rsid w:val="006A2EFA"/>
    <w:rsid w:val="006A3133"/>
    <w:rsid w:val="006A5323"/>
    <w:rsid w:val="006A53EE"/>
    <w:rsid w:val="006A5FE7"/>
    <w:rsid w:val="006A7AEC"/>
    <w:rsid w:val="006A7B37"/>
    <w:rsid w:val="006A7F6B"/>
    <w:rsid w:val="006B1057"/>
    <w:rsid w:val="006B1136"/>
    <w:rsid w:val="006B20E7"/>
    <w:rsid w:val="006B228F"/>
    <w:rsid w:val="006B3909"/>
    <w:rsid w:val="006C0E1F"/>
    <w:rsid w:val="006C22D4"/>
    <w:rsid w:val="006C51DF"/>
    <w:rsid w:val="006C53D6"/>
    <w:rsid w:val="006D1271"/>
    <w:rsid w:val="006D7873"/>
    <w:rsid w:val="006E028A"/>
    <w:rsid w:val="006E19CF"/>
    <w:rsid w:val="006E4503"/>
    <w:rsid w:val="006F552D"/>
    <w:rsid w:val="006F5BAA"/>
    <w:rsid w:val="00700979"/>
    <w:rsid w:val="007055E5"/>
    <w:rsid w:val="00705969"/>
    <w:rsid w:val="00707ABC"/>
    <w:rsid w:val="00712A08"/>
    <w:rsid w:val="00713E3C"/>
    <w:rsid w:val="00715510"/>
    <w:rsid w:val="00715542"/>
    <w:rsid w:val="007212BC"/>
    <w:rsid w:val="007221FE"/>
    <w:rsid w:val="007233EB"/>
    <w:rsid w:val="007264FC"/>
    <w:rsid w:val="00726F2C"/>
    <w:rsid w:val="007270A4"/>
    <w:rsid w:val="007304DE"/>
    <w:rsid w:val="007347CE"/>
    <w:rsid w:val="007363C1"/>
    <w:rsid w:val="00741BDD"/>
    <w:rsid w:val="00743267"/>
    <w:rsid w:val="00745830"/>
    <w:rsid w:val="00746590"/>
    <w:rsid w:val="00752595"/>
    <w:rsid w:val="00752C7B"/>
    <w:rsid w:val="0075788F"/>
    <w:rsid w:val="00762437"/>
    <w:rsid w:val="00763BAC"/>
    <w:rsid w:val="007653B7"/>
    <w:rsid w:val="0076555A"/>
    <w:rsid w:val="007673E7"/>
    <w:rsid w:val="0076766C"/>
    <w:rsid w:val="00771BAC"/>
    <w:rsid w:val="00774B0F"/>
    <w:rsid w:val="00780740"/>
    <w:rsid w:val="00785ECB"/>
    <w:rsid w:val="00786F7F"/>
    <w:rsid w:val="007922AF"/>
    <w:rsid w:val="007950CD"/>
    <w:rsid w:val="007A0458"/>
    <w:rsid w:val="007A1329"/>
    <w:rsid w:val="007A156D"/>
    <w:rsid w:val="007A296B"/>
    <w:rsid w:val="007A6C9F"/>
    <w:rsid w:val="007A7A14"/>
    <w:rsid w:val="007B1628"/>
    <w:rsid w:val="007B52CC"/>
    <w:rsid w:val="007B55F7"/>
    <w:rsid w:val="007B5853"/>
    <w:rsid w:val="007B733B"/>
    <w:rsid w:val="007C0945"/>
    <w:rsid w:val="007D05D1"/>
    <w:rsid w:val="007D25D8"/>
    <w:rsid w:val="007D2F36"/>
    <w:rsid w:val="007D496F"/>
    <w:rsid w:val="007D5418"/>
    <w:rsid w:val="007E26F4"/>
    <w:rsid w:val="007E479B"/>
    <w:rsid w:val="007E600A"/>
    <w:rsid w:val="007E6D51"/>
    <w:rsid w:val="007E7F83"/>
    <w:rsid w:val="007F0730"/>
    <w:rsid w:val="007F1909"/>
    <w:rsid w:val="007F251D"/>
    <w:rsid w:val="007F3C2E"/>
    <w:rsid w:val="007F3CF4"/>
    <w:rsid w:val="007F49F3"/>
    <w:rsid w:val="007F54A4"/>
    <w:rsid w:val="007F5B75"/>
    <w:rsid w:val="007F7DB2"/>
    <w:rsid w:val="0080000B"/>
    <w:rsid w:val="008016C1"/>
    <w:rsid w:val="008016C5"/>
    <w:rsid w:val="0080420C"/>
    <w:rsid w:val="00806C2B"/>
    <w:rsid w:val="00806CEE"/>
    <w:rsid w:val="008101E3"/>
    <w:rsid w:val="008141C3"/>
    <w:rsid w:val="00816452"/>
    <w:rsid w:val="0081677B"/>
    <w:rsid w:val="0082234C"/>
    <w:rsid w:val="008325FD"/>
    <w:rsid w:val="00832F1B"/>
    <w:rsid w:val="0083495C"/>
    <w:rsid w:val="00834FF6"/>
    <w:rsid w:val="0083553A"/>
    <w:rsid w:val="00841849"/>
    <w:rsid w:val="008440FC"/>
    <w:rsid w:val="008448F8"/>
    <w:rsid w:val="0084691B"/>
    <w:rsid w:val="00847A92"/>
    <w:rsid w:val="0085164B"/>
    <w:rsid w:val="00851B93"/>
    <w:rsid w:val="00852F30"/>
    <w:rsid w:val="00855199"/>
    <w:rsid w:val="00860761"/>
    <w:rsid w:val="00863A8F"/>
    <w:rsid w:val="0086655B"/>
    <w:rsid w:val="00872065"/>
    <w:rsid w:val="008733F9"/>
    <w:rsid w:val="00873591"/>
    <w:rsid w:val="00874896"/>
    <w:rsid w:val="00880613"/>
    <w:rsid w:val="008809C2"/>
    <w:rsid w:val="00882333"/>
    <w:rsid w:val="00884ADA"/>
    <w:rsid w:val="00885B9A"/>
    <w:rsid w:val="008918D6"/>
    <w:rsid w:val="00894E9E"/>
    <w:rsid w:val="008A2825"/>
    <w:rsid w:val="008A2F7B"/>
    <w:rsid w:val="008A577D"/>
    <w:rsid w:val="008A6D4E"/>
    <w:rsid w:val="008B6198"/>
    <w:rsid w:val="008B76B7"/>
    <w:rsid w:val="008B7D5E"/>
    <w:rsid w:val="008C00E8"/>
    <w:rsid w:val="008C1E17"/>
    <w:rsid w:val="008C5FB0"/>
    <w:rsid w:val="008C6A86"/>
    <w:rsid w:val="008C77F1"/>
    <w:rsid w:val="008D050F"/>
    <w:rsid w:val="008D0786"/>
    <w:rsid w:val="008D1421"/>
    <w:rsid w:val="008D2F70"/>
    <w:rsid w:val="008E0C28"/>
    <w:rsid w:val="008E16F0"/>
    <w:rsid w:val="008E2ACF"/>
    <w:rsid w:val="008E42E1"/>
    <w:rsid w:val="008F2723"/>
    <w:rsid w:val="008F29FA"/>
    <w:rsid w:val="008F7566"/>
    <w:rsid w:val="0090098D"/>
    <w:rsid w:val="009009B7"/>
    <w:rsid w:val="00902480"/>
    <w:rsid w:val="0090309C"/>
    <w:rsid w:val="00903874"/>
    <w:rsid w:val="0090566C"/>
    <w:rsid w:val="0090613C"/>
    <w:rsid w:val="00906167"/>
    <w:rsid w:val="00907577"/>
    <w:rsid w:val="00915C1E"/>
    <w:rsid w:val="00916665"/>
    <w:rsid w:val="00922492"/>
    <w:rsid w:val="00923522"/>
    <w:rsid w:val="009246E5"/>
    <w:rsid w:val="00927889"/>
    <w:rsid w:val="00930B1C"/>
    <w:rsid w:val="0093197E"/>
    <w:rsid w:val="00932BB0"/>
    <w:rsid w:val="00933BE4"/>
    <w:rsid w:val="00940113"/>
    <w:rsid w:val="009404AC"/>
    <w:rsid w:val="00941107"/>
    <w:rsid w:val="00941769"/>
    <w:rsid w:val="00942E23"/>
    <w:rsid w:val="0095009B"/>
    <w:rsid w:val="0095126E"/>
    <w:rsid w:val="00953554"/>
    <w:rsid w:val="00963316"/>
    <w:rsid w:val="00964245"/>
    <w:rsid w:val="009644E9"/>
    <w:rsid w:val="0096479A"/>
    <w:rsid w:val="00966ABB"/>
    <w:rsid w:val="00966ABC"/>
    <w:rsid w:val="009672C2"/>
    <w:rsid w:val="00970314"/>
    <w:rsid w:val="00970BE7"/>
    <w:rsid w:val="009724C8"/>
    <w:rsid w:val="00972B49"/>
    <w:rsid w:val="009739C8"/>
    <w:rsid w:val="00974AB0"/>
    <w:rsid w:val="00974E2F"/>
    <w:rsid w:val="0098018E"/>
    <w:rsid w:val="009858C3"/>
    <w:rsid w:val="00985B0B"/>
    <w:rsid w:val="00987000"/>
    <w:rsid w:val="009873E7"/>
    <w:rsid w:val="0099229A"/>
    <w:rsid w:val="0099449D"/>
    <w:rsid w:val="009946E1"/>
    <w:rsid w:val="009959EE"/>
    <w:rsid w:val="009977DE"/>
    <w:rsid w:val="009A10AE"/>
    <w:rsid w:val="009A2608"/>
    <w:rsid w:val="009A6098"/>
    <w:rsid w:val="009A6775"/>
    <w:rsid w:val="009A6EFA"/>
    <w:rsid w:val="009B11C4"/>
    <w:rsid w:val="009B2A64"/>
    <w:rsid w:val="009B4A2E"/>
    <w:rsid w:val="009B7B3A"/>
    <w:rsid w:val="009C19AB"/>
    <w:rsid w:val="009C1E1D"/>
    <w:rsid w:val="009C2CB4"/>
    <w:rsid w:val="009C37ED"/>
    <w:rsid w:val="009C4A74"/>
    <w:rsid w:val="009C4B3E"/>
    <w:rsid w:val="009C6C9A"/>
    <w:rsid w:val="009C7FC9"/>
    <w:rsid w:val="009D0EFC"/>
    <w:rsid w:val="009D2E17"/>
    <w:rsid w:val="009D2F48"/>
    <w:rsid w:val="009D3498"/>
    <w:rsid w:val="009D4EE1"/>
    <w:rsid w:val="009D56FC"/>
    <w:rsid w:val="009D6631"/>
    <w:rsid w:val="009E1772"/>
    <w:rsid w:val="009E2463"/>
    <w:rsid w:val="009E2E2F"/>
    <w:rsid w:val="009E571A"/>
    <w:rsid w:val="009E6673"/>
    <w:rsid w:val="009E6856"/>
    <w:rsid w:val="009E7FB4"/>
    <w:rsid w:val="009F1A3D"/>
    <w:rsid w:val="009F3A16"/>
    <w:rsid w:val="009F53B3"/>
    <w:rsid w:val="009F6EE4"/>
    <w:rsid w:val="009F7784"/>
    <w:rsid w:val="00A013F8"/>
    <w:rsid w:val="00A02181"/>
    <w:rsid w:val="00A047A1"/>
    <w:rsid w:val="00A109EE"/>
    <w:rsid w:val="00A11F1F"/>
    <w:rsid w:val="00A13580"/>
    <w:rsid w:val="00A140AA"/>
    <w:rsid w:val="00A145F2"/>
    <w:rsid w:val="00A153B4"/>
    <w:rsid w:val="00A215A5"/>
    <w:rsid w:val="00A22A17"/>
    <w:rsid w:val="00A23E87"/>
    <w:rsid w:val="00A256DC"/>
    <w:rsid w:val="00A25E99"/>
    <w:rsid w:val="00A26466"/>
    <w:rsid w:val="00A26BAD"/>
    <w:rsid w:val="00A2704C"/>
    <w:rsid w:val="00A27AF4"/>
    <w:rsid w:val="00A340B7"/>
    <w:rsid w:val="00A35DDA"/>
    <w:rsid w:val="00A3629B"/>
    <w:rsid w:val="00A438B9"/>
    <w:rsid w:val="00A44417"/>
    <w:rsid w:val="00A44F2A"/>
    <w:rsid w:val="00A4664B"/>
    <w:rsid w:val="00A47BF1"/>
    <w:rsid w:val="00A50464"/>
    <w:rsid w:val="00A52655"/>
    <w:rsid w:val="00A54026"/>
    <w:rsid w:val="00A627AC"/>
    <w:rsid w:val="00A642E4"/>
    <w:rsid w:val="00A6441A"/>
    <w:rsid w:val="00A64D8E"/>
    <w:rsid w:val="00A70845"/>
    <w:rsid w:val="00A70BBE"/>
    <w:rsid w:val="00A719EF"/>
    <w:rsid w:val="00A72387"/>
    <w:rsid w:val="00A75ED8"/>
    <w:rsid w:val="00A76620"/>
    <w:rsid w:val="00A76AEC"/>
    <w:rsid w:val="00A86058"/>
    <w:rsid w:val="00A8716B"/>
    <w:rsid w:val="00A92AFD"/>
    <w:rsid w:val="00A932D2"/>
    <w:rsid w:val="00A933DF"/>
    <w:rsid w:val="00A94C53"/>
    <w:rsid w:val="00A96AB5"/>
    <w:rsid w:val="00A97FB1"/>
    <w:rsid w:val="00AA073A"/>
    <w:rsid w:val="00AA1940"/>
    <w:rsid w:val="00AA1D8D"/>
    <w:rsid w:val="00AA260B"/>
    <w:rsid w:val="00AA3276"/>
    <w:rsid w:val="00AA3701"/>
    <w:rsid w:val="00AA3FA1"/>
    <w:rsid w:val="00AA400D"/>
    <w:rsid w:val="00AA5DB7"/>
    <w:rsid w:val="00AB2012"/>
    <w:rsid w:val="00AB2FEB"/>
    <w:rsid w:val="00AB3742"/>
    <w:rsid w:val="00AB655E"/>
    <w:rsid w:val="00AC3174"/>
    <w:rsid w:val="00AC4AC8"/>
    <w:rsid w:val="00AC552F"/>
    <w:rsid w:val="00AD20C9"/>
    <w:rsid w:val="00AD7AE4"/>
    <w:rsid w:val="00AE126C"/>
    <w:rsid w:val="00AE3C3F"/>
    <w:rsid w:val="00AE697C"/>
    <w:rsid w:val="00AF195A"/>
    <w:rsid w:val="00AF2012"/>
    <w:rsid w:val="00AF46EE"/>
    <w:rsid w:val="00AF4EB8"/>
    <w:rsid w:val="00AF5F2A"/>
    <w:rsid w:val="00AF6A74"/>
    <w:rsid w:val="00AF6C8D"/>
    <w:rsid w:val="00AF75E9"/>
    <w:rsid w:val="00B04228"/>
    <w:rsid w:val="00B046E4"/>
    <w:rsid w:val="00B063BA"/>
    <w:rsid w:val="00B06433"/>
    <w:rsid w:val="00B10A82"/>
    <w:rsid w:val="00B1273B"/>
    <w:rsid w:val="00B13881"/>
    <w:rsid w:val="00B145DF"/>
    <w:rsid w:val="00B166F9"/>
    <w:rsid w:val="00B171CB"/>
    <w:rsid w:val="00B17468"/>
    <w:rsid w:val="00B176F5"/>
    <w:rsid w:val="00B17DF0"/>
    <w:rsid w:val="00B26FD6"/>
    <w:rsid w:val="00B336CC"/>
    <w:rsid w:val="00B363AC"/>
    <w:rsid w:val="00B420F2"/>
    <w:rsid w:val="00B437C4"/>
    <w:rsid w:val="00B4476F"/>
    <w:rsid w:val="00B4573B"/>
    <w:rsid w:val="00B4636F"/>
    <w:rsid w:val="00B47730"/>
    <w:rsid w:val="00B505E2"/>
    <w:rsid w:val="00B52569"/>
    <w:rsid w:val="00B52BB7"/>
    <w:rsid w:val="00B56FDF"/>
    <w:rsid w:val="00B60CB7"/>
    <w:rsid w:val="00B62825"/>
    <w:rsid w:val="00B62EB7"/>
    <w:rsid w:val="00B65CCE"/>
    <w:rsid w:val="00B7022E"/>
    <w:rsid w:val="00B712B5"/>
    <w:rsid w:val="00B727FB"/>
    <w:rsid w:val="00B729AC"/>
    <w:rsid w:val="00B72BAA"/>
    <w:rsid w:val="00B76756"/>
    <w:rsid w:val="00B7733D"/>
    <w:rsid w:val="00B82A41"/>
    <w:rsid w:val="00B82F3B"/>
    <w:rsid w:val="00B83AED"/>
    <w:rsid w:val="00B83C1E"/>
    <w:rsid w:val="00B84A37"/>
    <w:rsid w:val="00B84D02"/>
    <w:rsid w:val="00B8533D"/>
    <w:rsid w:val="00B85CC7"/>
    <w:rsid w:val="00B861CA"/>
    <w:rsid w:val="00B86BA7"/>
    <w:rsid w:val="00B87B6F"/>
    <w:rsid w:val="00B92245"/>
    <w:rsid w:val="00B93E33"/>
    <w:rsid w:val="00B94E87"/>
    <w:rsid w:val="00B97FA3"/>
    <w:rsid w:val="00BA2248"/>
    <w:rsid w:val="00BA2D3D"/>
    <w:rsid w:val="00BB682B"/>
    <w:rsid w:val="00BC0804"/>
    <w:rsid w:val="00BC09F1"/>
    <w:rsid w:val="00BC1FDE"/>
    <w:rsid w:val="00BC37C2"/>
    <w:rsid w:val="00BC3AA3"/>
    <w:rsid w:val="00BC636A"/>
    <w:rsid w:val="00BD176D"/>
    <w:rsid w:val="00BD20B6"/>
    <w:rsid w:val="00BD4289"/>
    <w:rsid w:val="00BD7DC1"/>
    <w:rsid w:val="00BE0FD4"/>
    <w:rsid w:val="00BE472F"/>
    <w:rsid w:val="00BE5EBD"/>
    <w:rsid w:val="00BE657A"/>
    <w:rsid w:val="00BE6979"/>
    <w:rsid w:val="00BF19C9"/>
    <w:rsid w:val="00BF1DBD"/>
    <w:rsid w:val="00BF4015"/>
    <w:rsid w:val="00BF4CE2"/>
    <w:rsid w:val="00BF54DE"/>
    <w:rsid w:val="00BF5E40"/>
    <w:rsid w:val="00BF65B8"/>
    <w:rsid w:val="00C016E0"/>
    <w:rsid w:val="00C02392"/>
    <w:rsid w:val="00C03A7B"/>
    <w:rsid w:val="00C03DB2"/>
    <w:rsid w:val="00C043A3"/>
    <w:rsid w:val="00C05956"/>
    <w:rsid w:val="00C07200"/>
    <w:rsid w:val="00C1163D"/>
    <w:rsid w:val="00C11BD1"/>
    <w:rsid w:val="00C120ED"/>
    <w:rsid w:val="00C13CB7"/>
    <w:rsid w:val="00C1650D"/>
    <w:rsid w:val="00C16C36"/>
    <w:rsid w:val="00C212A4"/>
    <w:rsid w:val="00C2134F"/>
    <w:rsid w:val="00C24118"/>
    <w:rsid w:val="00C248F6"/>
    <w:rsid w:val="00C26428"/>
    <w:rsid w:val="00C2763C"/>
    <w:rsid w:val="00C27C24"/>
    <w:rsid w:val="00C30EAB"/>
    <w:rsid w:val="00C325D3"/>
    <w:rsid w:val="00C32759"/>
    <w:rsid w:val="00C3466C"/>
    <w:rsid w:val="00C37EC6"/>
    <w:rsid w:val="00C41FC3"/>
    <w:rsid w:val="00C4580E"/>
    <w:rsid w:val="00C460F7"/>
    <w:rsid w:val="00C46DE6"/>
    <w:rsid w:val="00C47702"/>
    <w:rsid w:val="00C5043D"/>
    <w:rsid w:val="00C53D75"/>
    <w:rsid w:val="00C53FC1"/>
    <w:rsid w:val="00C54C26"/>
    <w:rsid w:val="00C60A93"/>
    <w:rsid w:val="00C62BA0"/>
    <w:rsid w:val="00C653EB"/>
    <w:rsid w:val="00C666CB"/>
    <w:rsid w:val="00C747CD"/>
    <w:rsid w:val="00C75127"/>
    <w:rsid w:val="00C75F19"/>
    <w:rsid w:val="00C76EE9"/>
    <w:rsid w:val="00C82148"/>
    <w:rsid w:val="00C855C2"/>
    <w:rsid w:val="00C85755"/>
    <w:rsid w:val="00C85E20"/>
    <w:rsid w:val="00C86DC4"/>
    <w:rsid w:val="00C901BE"/>
    <w:rsid w:val="00C903CD"/>
    <w:rsid w:val="00C90429"/>
    <w:rsid w:val="00C9201E"/>
    <w:rsid w:val="00C9745A"/>
    <w:rsid w:val="00CA05A2"/>
    <w:rsid w:val="00CA099A"/>
    <w:rsid w:val="00CA2B6B"/>
    <w:rsid w:val="00CA3DAF"/>
    <w:rsid w:val="00CA435C"/>
    <w:rsid w:val="00CA6C9F"/>
    <w:rsid w:val="00CA6FF1"/>
    <w:rsid w:val="00CB0664"/>
    <w:rsid w:val="00CB77AB"/>
    <w:rsid w:val="00CC0812"/>
    <w:rsid w:val="00CC36BC"/>
    <w:rsid w:val="00CC3706"/>
    <w:rsid w:val="00CC462B"/>
    <w:rsid w:val="00CC52AD"/>
    <w:rsid w:val="00CC52CE"/>
    <w:rsid w:val="00CC62F6"/>
    <w:rsid w:val="00CD6CE5"/>
    <w:rsid w:val="00CD7B69"/>
    <w:rsid w:val="00CE0356"/>
    <w:rsid w:val="00CE03B0"/>
    <w:rsid w:val="00CE0944"/>
    <w:rsid w:val="00CE1B11"/>
    <w:rsid w:val="00CE2E8D"/>
    <w:rsid w:val="00CE320E"/>
    <w:rsid w:val="00CF38A9"/>
    <w:rsid w:val="00CF50B4"/>
    <w:rsid w:val="00CF783F"/>
    <w:rsid w:val="00D04F9B"/>
    <w:rsid w:val="00D05238"/>
    <w:rsid w:val="00D056B1"/>
    <w:rsid w:val="00D103E1"/>
    <w:rsid w:val="00D10901"/>
    <w:rsid w:val="00D12023"/>
    <w:rsid w:val="00D1268D"/>
    <w:rsid w:val="00D13D44"/>
    <w:rsid w:val="00D14AFB"/>
    <w:rsid w:val="00D14F91"/>
    <w:rsid w:val="00D160F4"/>
    <w:rsid w:val="00D17AFD"/>
    <w:rsid w:val="00D20A27"/>
    <w:rsid w:val="00D2334D"/>
    <w:rsid w:val="00D23F80"/>
    <w:rsid w:val="00D27B6C"/>
    <w:rsid w:val="00D31151"/>
    <w:rsid w:val="00D3131A"/>
    <w:rsid w:val="00D3565D"/>
    <w:rsid w:val="00D35AB6"/>
    <w:rsid w:val="00D35B73"/>
    <w:rsid w:val="00D40799"/>
    <w:rsid w:val="00D41674"/>
    <w:rsid w:val="00D44231"/>
    <w:rsid w:val="00D44BEA"/>
    <w:rsid w:val="00D451E5"/>
    <w:rsid w:val="00D4728B"/>
    <w:rsid w:val="00D50FBE"/>
    <w:rsid w:val="00D53208"/>
    <w:rsid w:val="00D54D2E"/>
    <w:rsid w:val="00D54EDB"/>
    <w:rsid w:val="00D5581F"/>
    <w:rsid w:val="00D57CC5"/>
    <w:rsid w:val="00D60FED"/>
    <w:rsid w:val="00D62E5F"/>
    <w:rsid w:val="00D63A8A"/>
    <w:rsid w:val="00D6417E"/>
    <w:rsid w:val="00D65766"/>
    <w:rsid w:val="00D67511"/>
    <w:rsid w:val="00D77CE2"/>
    <w:rsid w:val="00D80EDF"/>
    <w:rsid w:val="00D81152"/>
    <w:rsid w:val="00D84A05"/>
    <w:rsid w:val="00D92D2E"/>
    <w:rsid w:val="00D960C3"/>
    <w:rsid w:val="00D96CA7"/>
    <w:rsid w:val="00D96D33"/>
    <w:rsid w:val="00DA3014"/>
    <w:rsid w:val="00DA4259"/>
    <w:rsid w:val="00DA4A81"/>
    <w:rsid w:val="00DA528E"/>
    <w:rsid w:val="00DB0384"/>
    <w:rsid w:val="00DB1EE8"/>
    <w:rsid w:val="00DB209C"/>
    <w:rsid w:val="00DB3545"/>
    <w:rsid w:val="00DB3B1D"/>
    <w:rsid w:val="00DB3DA2"/>
    <w:rsid w:val="00DB3F65"/>
    <w:rsid w:val="00DB4BD0"/>
    <w:rsid w:val="00DB600B"/>
    <w:rsid w:val="00DB7E5E"/>
    <w:rsid w:val="00DC4E32"/>
    <w:rsid w:val="00DD1B01"/>
    <w:rsid w:val="00DD3161"/>
    <w:rsid w:val="00DD3EC5"/>
    <w:rsid w:val="00DD5F22"/>
    <w:rsid w:val="00DE14D7"/>
    <w:rsid w:val="00DE3CA0"/>
    <w:rsid w:val="00DE4B53"/>
    <w:rsid w:val="00DE6FAC"/>
    <w:rsid w:val="00DF02FA"/>
    <w:rsid w:val="00DF1FBD"/>
    <w:rsid w:val="00DF355A"/>
    <w:rsid w:val="00DF366A"/>
    <w:rsid w:val="00DF3B35"/>
    <w:rsid w:val="00DF6DCF"/>
    <w:rsid w:val="00DF7B92"/>
    <w:rsid w:val="00DF7C28"/>
    <w:rsid w:val="00E01673"/>
    <w:rsid w:val="00E01C2D"/>
    <w:rsid w:val="00E11894"/>
    <w:rsid w:val="00E12AA1"/>
    <w:rsid w:val="00E14242"/>
    <w:rsid w:val="00E20894"/>
    <w:rsid w:val="00E2348A"/>
    <w:rsid w:val="00E26AD9"/>
    <w:rsid w:val="00E30A06"/>
    <w:rsid w:val="00E30B65"/>
    <w:rsid w:val="00E31B1C"/>
    <w:rsid w:val="00E35583"/>
    <w:rsid w:val="00E4183F"/>
    <w:rsid w:val="00E43961"/>
    <w:rsid w:val="00E44A67"/>
    <w:rsid w:val="00E44BE1"/>
    <w:rsid w:val="00E46A08"/>
    <w:rsid w:val="00E46F0F"/>
    <w:rsid w:val="00E50263"/>
    <w:rsid w:val="00E526B3"/>
    <w:rsid w:val="00E54C8C"/>
    <w:rsid w:val="00E551D9"/>
    <w:rsid w:val="00E555E5"/>
    <w:rsid w:val="00E61D38"/>
    <w:rsid w:val="00E626E9"/>
    <w:rsid w:val="00E67C86"/>
    <w:rsid w:val="00E72C0C"/>
    <w:rsid w:val="00E76A2F"/>
    <w:rsid w:val="00E778BC"/>
    <w:rsid w:val="00E77A1C"/>
    <w:rsid w:val="00E80316"/>
    <w:rsid w:val="00E81755"/>
    <w:rsid w:val="00E83EF5"/>
    <w:rsid w:val="00E84CED"/>
    <w:rsid w:val="00E86868"/>
    <w:rsid w:val="00E9289F"/>
    <w:rsid w:val="00E94245"/>
    <w:rsid w:val="00E94DC9"/>
    <w:rsid w:val="00EA1847"/>
    <w:rsid w:val="00EA25AB"/>
    <w:rsid w:val="00EA3B3E"/>
    <w:rsid w:val="00EA46BE"/>
    <w:rsid w:val="00EA46FE"/>
    <w:rsid w:val="00EA4B09"/>
    <w:rsid w:val="00EA5809"/>
    <w:rsid w:val="00EA58B9"/>
    <w:rsid w:val="00EA606A"/>
    <w:rsid w:val="00EA7457"/>
    <w:rsid w:val="00EB5B09"/>
    <w:rsid w:val="00EB6587"/>
    <w:rsid w:val="00EC3271"/>
    <w:rsid w:val="00EC4331"/>
    <w:rsid w:val="00EC6749"/>
    <w:rsid w:val="00EC6F11"/>
    <w:rsid w:val="00EC7832"/>
    <w:rsid w:val="00ED7109"/>
    <w:rsid w:val="00ED7A9E"/>
    <w:rsid w:val="00EE0565"/>
    <w:rsid w:val="00EE07F2"/>
    <w:rsid w:val="00EE2304"/>
    <w:rsid w:val="00EE3A9C"/>
    <w:rsid w:val="00EE3F19"/>
    <w:rsid w:val="00EE55CA"/>
    <w:rsid w:val="00EE70F6"/>
    <w:rsid w:val="00EF2107"/>
    <w:rsid w:val="00EF274B"/>
    <w:rsid w:val="00EF3D03"/>
    <w:rsid w:val="00EF4E5E"/>
    <w:rsid w:val="00EF740E"/>
    <w:rsid w:val="00EF7F63"/>
    <w:rsid w:val="00F0348D"/>
    <w:rsid w:val="00F04544"/>
    <w:rsid w:val="00F050C4"/>
    <w:rsid w:val="00F06FA3"/>
    <w:rsid w:val="00F073E9"/>
    <w:rsid w:val="00F12650"/>
    <w:rsid w:val="00F161CD"/>
    <w:rsid w:val="00F21396"/>
    <w:rsid w:val="00F244B5"/>
    <w:rsid w:val="00F26A96"/>
    <w:rsid w:val="00F27865"/>
    <w:rsid w:val="00F304CD"/>
    <w:rsid w:val="00F313E3"/>
    <w:rsid w:val="00F31C0E"/>
    <w:rsid w:val="00F34AAF"/>
    <w:rsid w:val="00F35DFE"/>
    <w:rsid w:val="00F403AE"/>
    <w:rsid w:val="00F409F3"/>
    <w:rsid w:val="00F41DE3"/>
    <w:rsid w:val="00F433E8"/>
    <w:rsid w:val="00F437DA"/>
    <w:rsid w:val="00F46B63"/>
    <w:rsid w:val="00F4752C"/>
    <w:rsid w:val="00F476DE"/>
    <w:rsid w:val="00F47AC7"/>
    <w:rsid w:val="00F50DA1"/>
    <w:rsid w:val="00F51346"/>
    <w:rsid w:val="00F51CE8"/>
    <w:rsid w:val="00F54A2F"/>
    <w:rsid w:val="00F60A1F"/>
    <w:rsid w:val="00F61867"/>
    <w:rsid w:val="00F61CBA"/>
    <w:rsid w:val="00F623C5"/>
    <w:rsid w:val="00F6251E"/>
    <w:rsid w:val="00F62718"/>
    <w:rsid w:val="00F650B3"/>
    <w:rsid w:val="00F6615F"/>
    <w:rsid w:val="00F70C98"/>
    <w:rsid w:val="00F7172F"/>
    <w:rsid w:val="00F80E64"/>
    <w:rsid w:val="00F825DA"/>
    <w:rsid w:val="00F87547"/>
    <w:rsid w:val="00F9061E"/>
    <w:rsid w:val="00F9374C"/>
    <w:rsid w:val="00F95563"/>
    <w:rsid w:val="00F9653D"/>
    <w:rsid w:val="00FA116F"/>
    <w:rsid w:val="00FA7F4F"/>
    <w:rsid w:val="00FB4E96"/>
    <w:rsid w:val="00FB6152"/>
    <w:rsid w:val="00FB6A10"/>
    <w:rsid w:val="00FC1E56"/>
    <w:rsid w:val="00FC693F"/>
    <w:rsid w:val="00FD1E76"/>
    <w:rsid w:val="00FD2585"/>
    <w:rsid w:val="00FD2F50"/>
    <w:rsid w:val="00FD68A8"/>
    <w:rsid w:val="00FD6AAC"/>
    <w:rsid w:val="00FE18E9"/>
    <w:rsid w:val="00FF3E9D"/>
    <w:rsid w:val="00FF433A"/>
    <w:rsid w:val="00FF5061"/>
    <w:rsid w:val="00FF7229"/>
    <w:rsid w:val="00FF7CD2"/>
    <w:rsid w:val="16C7839B"/>
    <w:rsid w:val="28A907CB"/>
    <w:rsid w:val="3F390F60"/>
    <w:rsid w:val="6439ECF3"/>
    <w:rsid w:val="76C935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929CB9"/>
  <w14:defaultImageDpi w14:val="300"/>
  <w15:docId w15:val="{D428E28B-15B9-4209-AE35-359638C5A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rPr>
      <w:rFonts w:ascii="Times New Roman" w:eastAsia="Times New Roman" w:hAnsi="Times New Roman"/>
    </w:rPr>
  </w:style>
  <w:style w:type="paragraph" w:styleId="Nagwek1">
    <w:name w:val="heading 1"/>
    <w:basedOn w:val="Akapitzlist"/>
    <w:next w:val="Normalny"/>
    <w:link w:val="Nagwek1Znak"/>
    <w:uiPriority w:val="9"/>
    <w:qFormat/>
    <w:rsid w:val="002B59AC"/>
    <w:pPr>
      <w:numPr>
        <w:numId w:val="17"/>
      </w:numPr>
      <w:outlineLvl w:val="0"/>
    </w:pPr>
    <w:rPr>
      <w:b/>
      <w:sz w:val="24"/>
    </w:rPr>
  </w:style>
  <w:style w:type="paragraph" w:styleId="Nagwek2">
    <w:name w:val="heading 2"/>
    <w:basedOn w:val="Normalny"/>
    <w:next w:val="Normalny"/>
    <w:link w:val="Nagwek2Znak"/>
    <w:uiPriority w:val="9"/>
    <w:unhideWhenUsed/>
    <w:qFormat/>
    <w:rsid w:val="00A140AA"/>
    <w:pPr>
      <w:outlineLvl w:val="1"/>
    </w:pPr>
    <w:rPr>
      <w:b/>
    </w:rPr>
  </w:style>
  <w:style w:type="paragraph" w:styleId="Nagwek3">
    <w:name w:val="heading 3"/>
    <w:basedOn w:val="Normalny"/>
    <w:next w:val="Normalny"/>
    <w:link w:val="Nagwek3Znak"/>
    <w:uiPriority w:val="9"/>
    <w:unhideWhenUsed/>
    <w:qFormat/>
    <w:rsid w:val="002B59AC"/>
    <w:pPr>
      <w:outlineLvl w:val="2"/>
    </w:pPr>
    <w:rPr>
      <w:i/>
    </w:rPr>
  </w:style>
  <w:style w:type="paragraph" w:styleId="Nagwek4">
    <w:name w:val="heading 4"/>
    <w:basedOn w:val="Normalny"/>
    <w:next w:val="Normalny"/>
    <w:link w:val="Nagwek4Znak"/>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2B59AC"/>
    <w:rPr>
      <w:rFonts w:ascii="Times New Roman" w:eastAsia="Times New Roman" w:hAnsi="Times New Roman"/>
      <w:b/>
      <w:sz w:val="24"/>
    </w:rPr>
  </w:style>
  <w:style w:type="character" w:customStyle="1" w:styleId="Nagwek2Znak">
    <w:name w:val="Nagłówek 2 Znak"/>
    <w:basedOn w:val="Domylnaczcionkaakapitu"/>
    <w:link w:val="Nagwek2"/>
    <w:uiPriority w:val="9"/>
    <w:rsid w:val="00A140AA"/>
    <w:rPr>
      <w:rFonts w:ascii="Times New Roman" w:eastAsia="Times New Roman" w:hAnsi="Times New Roman"/>
      <w:b/>
    </w:rPr>
  </w:style>
  <w:style w:type="character" w:customStyle="1" w:styleId="Nagwek3Znak">
    <w:name w:val="Nagłówek 3 Znak"/>
    <w:basedOn w:val="Domylnaczcionkaakapitu"/>
    <w:link w:val="Nagwek3"/>
    <w:uiPriority w:val="9"/>
    <w:rsid w:val="002B59AC"/>
    <w:rPr>
      <w:rFonts w:ascii="Times New Roman" w:eastAsia="Times New Roman" w:hAnsi="Times New Roman"/>
      <w:i/>
    </w:rPr>
  </w:style>
  <w:style w:type="paragraph" w:styleId="Tytu">
    <w:name w:val="Title"/>
    <w:basedOn w:val="Normalny"/>
    <w:next w:val="Normalny"/>
    <w:link w:val="TytuZnak"/>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numPr>
        <w:numId w:val="3"/>
      </w:numPr>
      <w:contextualSpacing/>
    </w:pPr>
  </w:style>
  <w:style w:type="paragraph" w:styleId="Listanumerowana">
    <w:name w:val="List Number"/>
    <w:basedOn w:val="Normalny"/>
    <w:uiPriority w:val="99"/>
    <w:unhideWhenUsed/>
    <w:rsid w:val="00326F90"/>
    <w:pPr>
      <w:numPr>
        <w:numId w:val="4"/>
      </w:numPr>
      <w:contextualSpacing/>
    </w:pPr>
  </w:style>
  <w:style w:type="paragraph" w:styleId="Listanumerowana2">
    <w:name w:val="List Number 2"/>
    <w:basedOn w:val="Normalny"/>
    <w:uiPriority w:val="99"/>
    <w:unhideWhenUsed/>
    <w:rsid w:val="0029639D"/>
    <w:pPr>
      <w:numPr>
        <w:numId w:val="5"/>
      </w:numPr>
      <w:contextualSpacing/>
    </w:pPr>
  </w:style>
  <w:style w:type="paragraph" w:styleId="Listanumerowana3">
    <w:name w:val="List Number 3"/>
    <w:basedOn w:val="Normalny"/>
    <w:uiPriority w:val="99"/>
    <w:unhideWhenUsed/>
    <w:rsid w:val="0029639D"/>
    <w:pPr>
      <w:numPr>
        <w:numId w:val="6"/>
      </w:numPr>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pPr>
      <w:spacing w:line="240" w:lineRule="auto"/>
    </w:pPr>
    <w:rPr>
      <w:b/>
      <w:bCs/>
      <w:color w:val="4F81BD" w:themeColor="accent1"/>
      <w:sz w:val="18"/>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ela">
    <w:name w:val="tabela"/>
    <w:basedOn w:val="Normalny"/>
    <w:link w:val="tabelaZnak"/>
    <w:qFormat/>
    <w:rsid w:val="002B59AC"/>
    <w:rPr>
      <w:sz w:val="20"/>
    </w:rPr>
  </w:style>
  <w:style w:type="character" w:customStyle="1" w:styleId="tabelaZnak">
    <w:name w:val="tabela Znak"/>
    <w:basedOn w:val="Domylnaczcionkaakapitu"/>
    <w:link w:val="tabela"/>
    <w:rsid w:val="002B59AC"/>
    <w:rPr>
      <w:rFonts w:ascii="Times New Roman" w:eastAsia="Times New Roman" w:hAnsi="Times New Roman"/>
      <w:sz w:val="20"/>
    </w:rPr>
  </w:style>
  <w:style w:type="paragraph" w:customStyle="1" w:styleId="rysunek">
    <w:name w:val="rysunek"/>
    <w:basedOn w:val="Normalny"/>
    <w:link w:val="rysunekZnak"/>
    <w:qFormat/>
    <w:rsid w:val="002B59AC"/>
    <w:rPr>
      <w:sz w:val="20"/>
    </w:rPr>
  </w:style>
  <w:style w:type="character" w:customStyle="1" w:styleId="rysunekZnak">
    <w:name w:val="rysunek Znak"/>
    <w:basedOn w:val="Domylnaczcionkaakapitu"/>
    <w:link w:val="rysunek"/>
    <w:rsid w:val="002B59AC"/>
    <w:rPr>
      <w:rFonts w:ascii="Times New Roman" w:eastAsia="Times New Roman" w:hAnsi="Times New Roman"/>
      <w:sz w:val="20"/>
    </w:rPr>
  </w:style>
  <w:style w:type="character" w:styleId="Hipercze">
    <w:name w:val="Hyperlink"/>
    <w:basedOn w:val="Domylnaczcionkaakapitu"/>
    <w:uiPriority w:val="99"/>
    <w:unhideWhenUsed/>
    <w:rsid w:val="00092118"/>
    <w:rPr>
      <w:color w:val="0000FF" w:themeColor="hyperlink"/>
      <w:u w:val="single"/>
    </w:rPr>
  </w:style>
  <w:style w:type="character" w:customStyle="1" w:styleId="Nierozpoznanawzmianka1">
    <w:name w:val="Nierozpoznana wzmianka1"/>
    <w:basedOn w:val="Domylnaczcionkaakapitu"/>
    <w:uiPriority w:val="99"/>
    <w:semiHidden/>
    <w:unhideWhenUsed/>
    <w:rsid w:val="00092118"/>
    <w:rPr>
      <w:color w:val="605E5C"/>
      <w:shd w:val="clear" w:color="auto" w:fill="E1DFDD"/>
    </w:rPr>
  </w:style>
  <w:style w:type="paragraph" w:styleId="NormalnyWeb">
    <w:name w:val="Normal (Web)"/>
    <w:basedOn w:val="Normalny"/>
    <w:uiPriority w:val="99"/>
    <w:semiHidden/>
    <w:unhideWhenUsed/>
    <w:rsid w:val="00092118"/>
    <w:pPr>
      <w:spacing w:after="160" w:line="278" w:lineRule="auto"/>
    </w:pPr>
    <w:rPr>
      <w:rFonts w:eastAsiaTheme="minorHAnsi" w:cs="Times New Roman"/>
      <w:kern w:val="2"/>
      <w:sz w:val="24"/>
      <w:szCs w:val="24"/>
      <w:lang w:val="pl-PL"/>
      <w14:ligatures w14:val="standardContextual"/>
    </w:rPr>
  </w:style>
  <w:style w:type="character" w:styleId="UyteHipercze">
    <w:name w:val="FollowedHyperlink"/>
    <w:basedOn w:val="Domylnaczcionkaakapitu"/>
    <w:uiPriority w:val="99"/>
    <w:semiHidden/>
    <w:unhideWhenUsed/>
    <w:rsid w:val="00092118"/>
    <w:rPr>
      <w:color w:val="800080" w:themeColor="followedHyperlink"/>
      <w:u w:val="single"/>
    </w:rPr>
  </w:style>
  <w:style w:type="paragraph" w:styleId="Tekstprzypisukocowego">
    <w:name w:val="endnote text"/>
    <w:basedOn w:val="Normalny"/>
    <w:link w:val="TekstprzypisukocowegoZnak"/>
    <w:uiPriority w:val="99"/>
    <w:semiHidden/>
    <w:unhideWhenUsed/>
    <w:rsid w:val="00092118"/>
    <w:pPr>
      <w:spacing w:after="0" w:line="240" w:lineRule="auto"/>
    </w:pPr>
    <w:rPr>
      <w:rFonts w:asciiTheme="minorHAnsi" w:eastAsiaTheme="minorHAnsi" w:hAnsiTheme="minorHAnsi"/>
      <w:kern w:val="2"/>
      <w:sz w:val="20"/>
      <w:szCs w:val="20"/>
      <w:lang w:val="pl-PL"/>
      <w14:ligatures w14:val="standardContextual"/>
    </w:rPr>
  </w:style>
  <w:style w:type="character" w:customStyle="1" w:styleId="TekstprzypisukocowegoZnak">
    <w:name w:val="Tekst przypisu końcowego Znak"/>
    <w:basedOn w:val="Domylnaczcionkaakapitu"/>
    <w:link w:val="Tekstprzypisukocowego"/>
    <w:uiPriority w:val="99"/>
    <w:semiHidden/>
    <w:rsid w:val="00092118"/>
    <w:rPr>
      <w:rFonts w:eastAsiaTheme="minorHAnsi"/>
      <w:kern w:val="2"/>
      <w:sz w:val="20"/>
      <w:szCs w:val="20"/>
      <w:lang w:val="pl-PL"/>
      <w14:ligatures w14:val="standardContextual"/>
    </w:rPr>
  </w:style>
  <w:style w:type="character" w:styleId="Odwoanieprzypisukocowego">
    <w:name w:val="endnote reference"/>
    <w:basedOn w:val="Domylnaczcionkaakapitu"/>
    <w:uiPriority w:val="99"/>
    <w:semiHidden/>
    <w:unhideWhenUsed/>
    <w:rsid w:val="00092118"/>
    <w:rPr>
      <w:vertAlign w:val="superscript"/>
    </w:rPr>
  </w:style>
  <w:style w:type="paragraph" w:styleId="Poprawka">
    <w:name w:val="Revision"/>
    <w:hidden/>
    <w:uiPriority w:val="99"/>
    <w:semiHidden/>
    <w:rsid w:val="00595064"/>
    <w:pPr>
      <w:spacing w:after="0" w:line="240" w:lineRule="auto"/>
    </w:pPr>
    <w:rPr>
      <w:rFonts w:ascii="Times New Roman" w:eastAsia="Times New Roman" w:hAnsi="Times New Roman"/>
    </w:rPr>
  </w:style>
  <w:style w:type="character" w:styleId="Odwoaniedokomentarza">
    <w:name w:val="annotation reference"/>
    <w:basedOn w:val="Domylnaczcionkaakapitu"/>
    <w:uiPriority w:val="99"/>
    <w:semiHidden/>
    <w:unhideWhenUsed/>
    <w:rsid w:val="00084B46"/>
    <w:rPr>
      <w:sz w:val="16"/>
      <w:szCs w:val="16"/>
    </w:rPr>
  </w:style>
  <w:style w:type="paragraph" w:styleId="Tekstkomentarza">
    <w:name w:val="annotation text"/>
    <w:basedOn w:val="Normalny"/>
    <w:link w:val="TekstkomentarzaZnak"/>
    <w:uiPriority w:val="99"/>
    <w:unhideWhenUsed/>
    <w:rsid w:val="00084B46"/>
    <w:pPr>
      <w:spacing w:line="240" w:lineRule="auto"/>
    </w:pPr>
    <w:rPr>
      <w:sz w:val="20"/>
      <w:szCs w:val="20"/>
    </w:rPr>
  </w:style>
  <w:style w:type="character" w:customStyle="1" w:styleId="TekstkomentarzaZnak">
    <w:name w:val="Tekst komentarza Znak"/>
    <w:basedOn w:val="Domylnaczcionkaakapitu"/>
    <w:link w:val="Tekstkomentarza"/>
    <w:uiPriority w:val="99"/>
    <w:rsid w:val="00084B46"/>
    <w:rPr>
      <w:rFonts w:ascii="Times New Roman" w:eastAsia="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84B46"/>
    <w:rPr>
      <w:b/>
      <w:bCs/>
    </w:rPr>
  </w:style>
  <w:style w:type="character" w:customStyle="1" w:styleId="TematkomentarzaZnak">
    <w:name w:val="Temat komentarza Znak"/>
    <w:basedOn w:val="TekstkomentarzaZnak"/>
    <w:link w:val="Tematkomentarza"/>
    <w:uiPriority w:val="99"/>
    <w:semiHidden/>
    <w:rsid w:val="00084B46"/>
    <w:rPr>
      <w:rFonts w:ascii="Times New Roman" w:eastAsia="Times New Roman" w:hAnsi="Times New Roman"/>
      <w:b/>
      <w:bCs/>
      <w:sz w:val="20"/>
      <w:szCs w:val="20"/>
    </w:rPr>
  </w:style>
  <w:style w:type="paragraph" w:styleId="Bibliografia">
    <w:name w:val="Bibliography"/>
    <w:basedOn w:val="Normalny"/>
    <w:next w:val="Normalny"/>
    <w:uiPriority w:val="37"/>
    <w:unhideWhenUsed/>
    <w:rsid w:val="00CA3DAF"/>
    <w:pPr>
      <w:spacing w:after="0" w:line="480" w:lineRule="auto"/>
      <w:ind w:left="720" w:hanging="720"/>
    </w:pPr>
    <w:rPr>
      <w:lang w:val="en-GB"/>
    </w:rPr>
  </w:style>
  <w:style w:type="character" w:styleId="Tekstzastpczy">
    <w:name w:val="Placeholder Text"/>
    <w:basedOn w:val="Domylnaczcionkaakapitu"/>
    <w:uiPriority w:val="99"/>
    <w:semiHidden/>
    <w:rsid w:val="00473BF4"/>
    <w:rPr>
      <w:color w:val="666666"/>
    </w:rPr>
  </w:style>
  <w:style w:type="paragraph" w:customStyle="1" w:styleId="Rab1">
    <w:name w:val="R_ab1"/>
    <w:next w:val="Normalny"/>
    <w:autoRedefine/>
    <w:qFormat/>
    <w:rsid w:val="00E551D9"/>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E551D9"/>
    <w:pPr>
      <w:spacing w:before="60"/>
    </w:pPr>
  </w:style>
  <w:style w:type="paragraph" w:customStyle="1" w:styleId="Rafiliacja">
    <w:name w:val="R_afiliacja"/>
    <w:basedOn w:val="Normalny"/>
    <w:link w:val="RafiliacjaZnak"/>
    <w:qFormat/>
    <w:rsid w:val="00E551D9"/>
    <w:pPr>
      <w:suppressAutoHyphens/>
      <w:spacing w:after="0" w:line="240" w:lineRule="auto"/>
      <w:jc w:val="center"/>
    </w:pPr>
    <w:rPr>
      <w:rFonts w:eastAsiaTheme="minorHAnsi" w:cs="Times New Roman"/>
      <w:i/>
      <w:kern w:val="2"/>
      <w:sz w:val="20"/>
      <w:szCs w:val="28"/>
      <w:lang w:val="pl-PL"/>
      <w14:ligatures w14:val="standardContextual"/>
    </w:rPr>
  </w:style>
  <w:style w:type="character" w:customStyle="1" w:styleId="RafiliacjaZnak">
    <w:name w:val="R_afiliacja Znak"/>
    <w:basedOn w:val="Domylnaczcionkaakapitu"/>
    <w:link w:val="Rafiliacja"/>
    <w:rsid w:val="00E551D9"/>
    <w:rPr>
      <w:rFonts w:ascii="Times New Roman" w:eastAsiaTheme="minorHAnsi" w:hAnsi="Times New Roman" w:cs="Times New Roman"/>
      <w:i/>
      <w:kern w:val="2"/>
      <w:sz w:val="20"/>
      <w:szCs w:val="28"/>
      <w:lang w:val="pl-PL"/>
      <w14:ligatures w14:val="standardContextual"/>
    </w:rPr>
  </w:style>
  <w:style w:type="paragraph" w:customStyle="1" w:styleId="Rauco">
    <w:name w:val="R_au_co"/>
    <w:basedOn w:val="Rafiliacja"/>
    <w:autoRedefine/>
    <w:qFormat/>
    <w:rsid w:val="00E551D9"/>
    <w:pPr>
      <w:spacing w:before="120"/>
    </w:pPr>
    <w:rPr>
      <w:lang w:val="en-GB"/>
    </w:rPr>
  </w:style>
  <w:style w:type="paragraph" w:customStyle="1" w:styleId="Rn1">
    <w:name w:val="R_n1"/>
    <w:basedOn w:val="Normalny"/>
    <w:link w:val="Rn1Znak"/>
    <w:qFormat/>
    <w:rsid w:val="00E551D9"/>
    <w:pPr>
      <w:suppressAutoHyphens/>
      <w:spacing w:before="240" w:after="120" w:line="240" w:lineRule="auto"/>
      <w:jc w:val="both"/>
    </w:pPr>
    <w:rPr>
      <w:rFonts w:eastAsiaTheme="minorHAnsi"/>
      <w:b/>
      <w:kern w:val="2"/>
      <w:sz w:val="24"/>
      <w:lang w:val="pl-PL"/>
      <w14:ligatures w14:val="standardContextual"/>
    </w:rPr>
  </w:style>
  <w:style w:type="character" w:customStyle="1" w:styleId="Rn1Znak">
    <w:name w:val="R_n1 Znak"/>
    <w:basedOn w:val="Domylnaczcionkaakapitu"/>
    <w:link w:val="Rn1"/>
    <w:rsid w:val="00E551D9"/>
    <w:rPr>
      <w:rFonts w:ascii="Times New Roman" w:eastAsiaTheme="minorHAnsi" w:hAnsi="Times New Roman"/>
      <w:b/>
      <w:kern w:val="2"/>
      <w:sz w:val="24"/>
      <w:lang w:val="pl-PL"/>
      <w14:ligatures w14:val="standardContextual"/>
    </w:rPr>
  </w:style>
  <w:style w:type="paragraph" w:customStyle="1" w:styleId="Rn2">
    <w:name w:val="R_n2"/>
    <w:basedOn w:val="Rn1"/>
    <w:link w:val="Rn2Znak"/>
    <w:qFormat/>
    <w:rsid w:val="00E551D9"/>
    <w:pPr>
      <w:spacing w:before="120"/>
      <w:jc w:val="left"/>
    </w:pPr>
    <w:rPr>
      <w:sz w:val="22"/>
    </w:rPr>
  </w:style>
  <w:style w:type="character" w:customStyle="1" w:styleId="Rn2Znak">
    <w:name w:val="R_n2 Znak"/>
    <w:link w:val="Rn2"/>
    <w:rsid w:val="00E551D9"/>
    <w:rPr>
      <w:rFonts w:ascii="Times New Roman" w:eastAsiaTheme="minorHAnsi" w:hAnsi="Times New Roman"/>
      <w:b/>
      <w:kern w:val="2"/>
      <w:lang w:val="pl-PL"/>
      <w14:ligatures w14:val="standardContextual"/>
    </w:rPr>
  </w:style>
  <w:style w:type="paragraph" w:customStyle="1" w:styleId="Rtytu">
    <w:name w:val="R_tytuł"/>
    <w:basedOn w:val="Rn2"/>
    <w:link w:val="RtytuZnak"/>
    <w:autoRedefine/>
    <w:qFormat/>
    <w:rsid w:val="00E551D9"/>
    <w:pPr>
      <w:spacing w:before="240" w:after="0"/>
      <w:jc w:val="center"/>
    </w:pPr>
    <w:rPr>
      <w:sz w:val="24"/>
      <w:szCs w:val="28"/>
    </w:rPr>
  </w:style>
  <w:style w:type="character" w:customStyle="1" w:styleId="RtytuZnak">
    <w:name w:val="R_tytuł Znak"/>
    <w:basedOn w:val="Rn2Znak"/>
    <w:link w:val="Rtytu"/>
    <w:rsid w:val="00E551D9"/>
    <w:rPr>
      <w:rFonts w:ascii="Times New Roman" w:eastAsiaTheme="minorHAnsi" w:hAnsi="Times New Roman"/>
      <w:b/>
      <w:kern w:val="2"/>
      <w:sz w:val="24"/>
      <w:szCs w:val="28"/>
      <w:lang w:val="pl-PL"/>
      <w14:ligatures w14:val="standardContextual"/>
    </w:rPr>
  </w:style>
  <w:style w:type="paragraph" w:customStyle="1" w:styleId="Rautor">
    <w:name w:val="R_autor"/>
    <w:basedOn w:val="Rtytu"/>
    <w:link w:val="RautorZnak"/>
    <w:autoRedefine/>
    <w:qFormat/>
    <w:rsid w:val="00E551D9"/>
    <w:pPr>
      <w:spacing w:before="120"/>
    </w:pPr>
    <w:rPr>
      <w:rFonts w:eastAsia="Calibri" w:cs="Times New Roman"/>
      <w:b w:val="0"/>
      <w:i/>
    </w:rPr>
  </w:style>
  <w:style w:type="character" w:customStyle="1" w:styleId="RautorZnak">
    <w:name w:val="R_autor Znak"/>
    <w:link w:val="Rautor"/>
    <w:rsid w:val="00E551D9"/>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E551D9"/>
    <w:pPr>
      <w:spacing w:after="0" w:line="240" w:lineRule="auto"/>
      <w:ind w:left="425" w:hanging="425"/>
      <w:jc w:val="both"/>
    </w:pPr>
    <w:rPr>
      <w:rFonts w:cs="Times New Roman"/>
      <w:kern w:val="2"/>
      <w:sz w:val="20"/>
      <w:szCs w:val="20"/>
      <w:lang w:eastAsia="pl-PL"/>
      <w14:ligatures w14:val="standardContextual"/>
    </w:rPr>
  </w:style>
  <w:style w:type="character" w:customStyle="1" w:styleId="RlitZnak">
    <w:name w:val="R_lit Znak"/>
    <w:basedOn w:val="Domylnaczcionkaakapitu"/>
    <w:link w:val="Rlit"/>
    <w:rsid w:val="00E551D9"/>
    <w:rPr>
      <w:rFonts w:ascii="Times New Roman" w:eastAsia="Times New Roman" w:hAnsi="Times New Roman" w:cs="Times New Roman"/>
      <w:kern w:val="2"/>
      <w:sz w:val="20"/>
      <w:szCs w:val="20"/>
      <w:lang w:eastAsia="pl-PL"/>
      <w14:ligatures w14:val="standardContextual"/>
    </w:rPr>
  </w:style>
  <w:style w:type="paragraph" w:customStyle="1" w:styleId="Rtab">
    <w:name w:val="R_tab"/>
    <w:basedOn w:val="Normalny"/>
    <w:link w:val="RtabZnak"/>
    <w:qFormat/>
    <w:rsid w:val="00E551D9"/>
    <w:pPr>
      <w:suppressAutoHyphens/>
      <w:spacing w:after="120" w:line="240" w:lineRule="auto"/>
    </w:pPr>
    <w:rPr>
      <w:rFonts w:eastAsiaTheme="minorHAnsi"/>
      <w:kern w:val="2"/>
      <w:sz w:val="20"/>
      <w:lang w:val="pl-PL"/>
      <w14:ligatures w14:val="standardContextual"/>
    </w:rPr>
  </w:style>
  <w:style w:type="character" w:customStyle="1" w:styleId="RtabZnak">
    <w:name w:val="R_tab Znak"/>
    <w:basedOn w:val="Domylnaczcionkaakapitu"/>
    <w:link w:val="Rtab"/>
    <w:rsid w:val="00E551D9"/>
    <w:rPr>
      <w:rFonts w:ascii="Times New Roman" w:eastAsiaTheme="minorHAnsi" w:hAnsi="Times New Roman"/>
      <w:kern w:val="2"/>
      <w:sz w:val="20"/>
      <w:lang w:val="pl-PL"/>
      <w14:ligatures w14:val="standardContextual"/>
    </w:rPr>
  </w:style>
  <w:style w:type="paragraph" w:customStyle="1" w:styleId="Rn3">
    <w:name w:val="R_n3"/>
    <w:basedOn w:val="Rtab"/>
    <w:link w:val="Rn3Znak"/>
    <w:autoRedefine/>
    <w:qFormat/>
    <w:rsid w:val="00F6615F"/>
    <w:pPr>
      <w:spacing w:before="120"/>
      <w:jc w:val="both"/>
    </w:pPr>
    <w:rPr>
      <w:i/>
      <w:iCs/>
      <w:sz w:val="22"/>
      <w:szCs w:val="24"/>
    </w:rPr>
  </w:style>
  <w:style w:type="character" w:customStyle="1" w:styleId="Rn3Znak">
    <w:name w:val="R_n3 Znak"/>
    <w:basedOn w:val="RtabZnak"/>
    <w:link w:val="Rn3"/>
    <w:rsid w:val="00F6615F"/>
    <w:rPr>
      <w:rFonts w:ascii="Times New Roman" w:eastAsiaTheme="minorHAnsi" w:hAnsi="Times New Roman"/>
      <w:i/>
      <w:iCs/>
      <w:kern w:val="2"/>
      <w:sz w:val="20"/>
      <w:szCs w:val="24"/>
      <w:lang w:val="pl-PL"/>
      <w14:ligatures w14:val="standardContextual"/>
    </w:rPr>
  </w:style>
  <w:style w:type="paragraph" w:customStyle="1" w:styleId="Rrys">
    <w:name w:val="R_rys"/>
    <w:basedOn w:val="Rafiliacja"/>
    <w:link w:val="RrysZnak"/>
    <w:qFormat/>
    <w:rsid w:val="00E551D9"/>
    <w:pPr>
      <w:spacing w:before="120"/>
      <w:jc w:val="left"/>
    </w:pPr>
    <w:rPr>
      <w:i w:val="0"/>
    </w:rPr>
  </w:style>
  <w:style w:type="character" w:customStyle="1" w:styleId="RrysZnak">
    <w:name w:val="R_rys Znak"/>
    <w:basedOn w:val="RafiliacjaZnak"/>
    <w:link w:val="Rrys"/>
    <w:rsid w:val="00E551D9"/>
    <w:rPr>
      <w:rFonts w:ascii="Times New Roman" w:eastAsiaTheme="minorHAnsi" w:hAnsi="Times New Roman" w:cs="Times New Roman"/>
      <w:i w:val="0"/>
      <w:kern w:val="2"/>
      <w:sz w:val="20"/>
      <w:szCs w:val="28"/>
      <w:lang w:val="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142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chart" Target="charts/chart5.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5.png"/><Relationship Id="rId42" Type="http://schemas.openxmlformats.org/officeDocument/2006/relationships/chart" Target="charts/chart14.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chart" Target="charts/chart4.xml"/><Relationship Id="rId33" Type="http://schemas.openxmlformats.org/officeDocument/2006/relationships/image" Target="media/image14.png"/><Relationship Id="rId38" Type="http://schemas.openxmlformats.org/officeDocument/2006/relationships/chart" Target="charts/chart10.xm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chart" Target="charts/chart8.xm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image" Target="media/image13.png"/><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oleObject" Target="embeddings/oleObject4.bin"/><Relationship Id="rId28" Type="http://schemas.openxmlformats.org/officeDocument/2006/relationships/chart" Target="charts/chart7.xm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image" Target="media/image10.wmf"/><Relationship Id="rId27" Type="http://schemas.openxmlformats.org/officeDocument/2006/relationships/chart" Target="charts/chart6.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chart" Target="charts/chart15.xm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01\Desktop\artyku&#322;%20zu&#380;ycie%20energii\Excele\Base\Copert%20new%20bas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01\Desktop\artyku&#322;%20zu&#380;ycie%20energii\Excele\Base\r&#243;&#380;nic&#243;wk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01\Desktop\artyku&#322;%20zu&#380;ycie%20energii\Excele\Base\r&#243;&#380;nic&#243;wk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01\Desktop\artyku&#322;%20zu&#380;ycie%20energii\Excele\Base\r&#243;&#380;nic&#243;wk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01\Desktop\artyku&#322;%20zu&#380;ycie%20energii\Excele\Base\r&#243;&#380;nic&#243;wk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01\Desktop\artyku&#322;%20zu&#380;ycie%20energii\Excele\Base\r&#243;&#380;nic&#243;wk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01\Desktop\artyku&#322;%20zu&#380;ycie%20energii\Excele\Base\r&#243;&#380;nic&#243;wk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01\Desktop\artyku&#322;%20zu&#380;ycie%20energii\Excele\Base\r&#243;&#380;nic&#243;wka.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01\Desktop\artyku&#322;%20zu&#380;ycie%20energii\Excele\Base\Copert%20new%20ba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01\Desktop\artyku&#322;%20zu&#380;ycie%20energii\Excele\Base\Copert%20new%20bas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01\Desktop\artyku&#322;%20zu&#380;ycie%20energii\Excele\Base\Copert%20new%20bas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01\Desktop\artyku&#322;%20zu&#380;ycie%20energii\Excele\Base\Copert%20new%20bas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01\Desktop\artyku&#322;%20zu&#380;ycie%20energii\Excele\Base\Copert%20new%20bas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01\Desktop\artyku&#322;%20zu&#380;ycie%20energii\Excele\Base\Copert%20new%20bas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01\Desktop\artyku&#322;%20zu&#380;ycie%20energii\Excele\Base\Copert%20new%20bas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01\Desktop\artyku&#322;%20zu&#380;ycie%20energii\Excele\Base\r&#243;&#380;nic&#243;wk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78279987728806"/>
          <c:y val="4.7311827956989246E-2"/>
          <c:w val="0.74401517992069177"/>
          <c:h val="0.63657764063275879"/>
        </c:manualLayout>
      </c:layout>
      <c:barChart>
        <c:barDir val="col"/>
        <c:grouping val="clustered"/>
        <c:varyColors val="0"/>
        <c:ser>
          <c:idx val="0"/>
          <c:order val="0"/>
          <c:tx>
            <c:strRef>
              <c:f>'link types'!$G$3</c:f>
              <c:strCache>
                <c:ptCount val="1"/>
                <c:pt idx="0">
                  <c:v>Total vehicles</c:v>
                </c:pt>
              </c:strCache>
            </c:strRef>
          </c:tx>
          <c:spPr>
            <a:solidFill>
              <a:schemeClr val="accent1"/>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types'!$G$4:$G$10</c:f>
              <c:numCache>
                <c:formatCode>0</c:formatCode>
                <c:ptCount val="7"/>
                <c:pt idx="0">
                  <c:v>453532.6575229906</c:v>
                </c:pt>
                <c:pt idx="1">
                  <c:v>171870.99330622287</c:v>
                </c:pt>
                <c:pt idx="2">
                  <c:v>578487.62080176489</c:v>
                </c:pt>
                <c:pt idx="3">
                  <c:v>541245.70004743501</c:v>
                </c:pt>
                <c:pt idx="4">
                  <c:v>545011.13229526579</c:v>
                </c:pt>
                <c:pt idx="5">
                  <c:v>151758.13726919977</c:v>
                </c:pt>
                <c:pt idx="6">
                  <c:v>165759.53728282786</c:v>
                </c:pt>
              </c:numCache>
            </c:numRef>
          </c:val>
          <c:extLst>
            <c:ext xmlns:c16="http://schemas.microsoft.com/office/drawing/2014/chart" uri="{C3380CC4-5D6E-409C-BE32-E72D297353CC}">
              <c16:uniqueId val="{00000000-C435-4220-B12D-1C2D84588AD4}"/>
            </c:ext>
          </c:extLst>
        </c:ser>
        <c:ser>
          <c:idx val="1"/>
          <c:order val="1"/>
          <c:tx>
            <c:strRef>
              <c:f>'link types'!$H$3</c:f>
              <c:strCache>
                <c:ptCount val="1"/>
                <c:pt idx="0">
                  <c:v>Freight vehicles</c:v>
                </c:pt>
              </c:strCache>
            </c:strRef>
          </c:tx>
          <c:spPr>
            <a:solidFill>
              <a:schemeClr val="accent2"/>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types'!$H$4:$H$10</c:f>
              <c:numCache>
                <c:formatCode>0</c:formatCode>
                <c:ptCount val="7"/>
                <c:pt idx="0">
                  <c:v>133399.1132301196</c:v>
                </c:pt>
                <c:pt idx="1">
                  <c:v>45568.237516577348</c:v>
                </c:pt>
                <c:pt idx="2">
                  <c:v>88514.525427832501</c:v>
                </c:pt>
                <c:pt idx="3">
                  <c:v>61093.05536121974</c:v>
                </c:pt>
                <c:pt idx="4">
                  <c:v>42436.898319845001</c:v>
                </c:pt>
                <c:pt idx="5">
                  <c:v>10101.098938920013</c:v>
                </c:pt>
                <c:pt idx="6">
                  <c:v>16268.697554513015</c:v>
                </c:pt>
              </c:numCache>
            </c:numRef>
          </c:val>
          <c:extLst>
            <c:ext xmlns:c16="http://schemas.microsoft.com/office/drawing/2014/chart" uri="{C3380CC4-5D6E-409C-BE32-E72D297353CC}">
              <c16:uniqueId val="{00000001-C435-4220-B12D-1C2D84588AD4}"/>
            </c:ext>
          </c:extLst>
        </c:ser>
        <c:dLbls>
          <c:showLegendKey val="0"/>
          <c:showVal val="0"/>
          <c:showCatName val="0"/>
          <c:showSerName val="0"/>
          <c:showPercent val="0"/>
          <c:showBubbleSize val="0"/>
        </c:dLbls>
        <c:gapWidth val="219"/>
        <c:overlap val="-27"/>
        <c:axId val="247907536"/>
        <c:axId val="247901296"/>
      </c:barChart>
      <c:catAx>
        <c:axId val="2479075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Road class</a:t>
                </a:r>
              </a:p>
            </c:rich>
          </c:tx>
          <c:layout>
            <c:manualLayout>
              <c:xMode val="edge"/>
              <c:yMode val="edge"/>
              <c:x val="0.49343151944063673"/>
              <c:y val="0.857867276725544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7901296"/>
        <c:crosses val="autoZero"/>
        <c:auto val="1"/>
        <c:lblAlgn val="ctr"/>
        <c:lblOffset val="100"/>
        <c:noMultiLvlLbl val="0"/>
      </c:catAx>
      <c:valAx>
        <c:axId val="24790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Vehkm</a:t>
                </a:r>
              </a:p>
            </c:rich>
          </c:tx>
          <c:layout>
            <c:manualLayout>
              <c:xMode val="edge"/>
              <c:yMode val="edge"/>
              <c:x val="5.772005772005772E-2"/>
              <c:y val="0.2698416730166793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7907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dTable>
      <c:spPr>
        <a:noFill/>
        <a:ln>
          <a:noFill/>
        </a:ln>
        <a:effectLst/>
      </c:spPr>
    </c:plotArea>
    <c:legend>
      <c:legendPos val="b"/>
      <c:layout>
        <c:manualLayout>
          <c:xMode val="edge"/>
          <c:yMode val="edge"/>
          <c:x val="0.30361099599392183"/>
          <c:y val="0.91345499042349432"/>
          <c:w val="0.43028893728709444"/>
          <c:h val="8.6545160875869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Freight energy consumption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strRef>
              <c:f>'link types'!$D$74</c:f>
              <c:strCache>
                <c:ptCount val="1"/>
                <c:pt idx="0">
                  <c:v>0 emission cargo</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types'!$F$92:$F$97</c:f>
              <c:strCache>
                <c:ptCount val="6"/>
                <c:pt idx="0">
                  <c:v>A</c:v>
                </c:pt>
                <c:pt idx="1">
                  <c:v>S</c:v>
                </c:pt>
                <c:pt idx="2">
                  <c:v>GP</c:v>
                </c:pt>
                <c:pt idx="3">
                  <c:v>G</c:v>
                </c:pt>
                <c:pt idx="4">
                  <c:v>Z</c:v>
                </c:pt>
                <c:pt idx="5">
                  <c:v>L</c:v>
                </c:pt>
              </c:strCache>
            </c:strRef>
          </c:cat>
          <c:val>
            <c:numRef>
              <c:f>'link types'!$K$77:$K$82</c:f>
              <c:numCache>
                <c:formatCode>0.0%</c:formatCode>
                <c:ptCount val="6"/>
                <c:pt idx="0">
                  <c:v>-0.24626829167229899</c:v>
                </c:pt>
                <c:pt idx="1">
                  <c:v>-0.26912687403855712</c:v>
                </c:pt>
                <c:pt idx="2">
                  <c:v>-0.35301730705195505</c:v>
                </c:pt>
                <c:pt idx="3">
                  <c:v>-0.59050236669633005</c:v>
                </c:pt>
                <c:pt idx="4">
                  <c:v>-0.65337238456258662</c:v>
                </c:pt>
                <c:pt idx="5">
                  <c:v>-0.65618998310729582</c:v>
                </c:pt>
              </c:numCache>
            </c:numRef>
          </c:val>
          <c:extLst>
            <c:ext xmlns:c16="http://schemas.microsoft.com/office/drawing/2014/chart" uri="{C3380CC4-5D6E-409C-BE32-E72D297353CC}">
              <c16:uniqueId val="{00000000-2C23-4549-8808-1E60504E519B}"/>
            </c:ext>
          </c:extLst>
        </c:ser>
        <c:ser>
          <c:idx val="1"/>
          <c:order val="1"/>
          <c:tx>
            <c:strRef>
              <c:f>'link types'!$D$89</c:f>
              <c:strCache>
                <c:ptCount val="1"/>
                <c:pt idx="0">
                  <c:v>peak cargo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types'!$F$92:$F$97</c:f>
              <c:strCache>
                <c:ptCount val="6"/>
                <c:pt idx="0">
                  <c:v>A</c:v>
                </c:pt>
                <c:pt idx="1">
                  <c:v>S</c:v>
                </c:pt>
                <c:pt idx="2">
                  <c:v>GP</c:v>
                </c:pt>
                <c:pt idx="3">
                  <c:v>G</c:v>
                </c:pt>
                <c:pt idx="4">
                  <c:v>Z</c:v>
                </c:pt>
                <c:pt idx="5">
                  <c:v>L</c:v>
                </c:pt>
              </c:strCache>
            </c:strRef>
          </c:cat>
          <c:val>
            <c:numRef>
              <c:f>'link types'!$K$92:$K$97</c:f>
              <c:numCache>
                <c:formatCode>0.0%</c:formatCode>
                <c:ptCount val="6"/>
                <c:pt idx="0">
                  <c:v>0.19508337843728268</c:v>
                </c:pt>
                <c:pt idx="1">
                  <c:v>0.19528465517730881</c:v>
                </c:pt>
                <c:pt idx="2">
                  <c:v>0.19983752760920065</c:v>
                </c:pt>
                <c:pt idx="3">
                  <c:v>0.20997230207402576</c:v>
                </c:pt>
                <c:pt idx="4">
                  <c:v>0.22658727848954294</c:v>
                </c:pt>
                <c:pt idx="5">
                  <c:v>0.2325497725061573</c:v>
                </c:pt>
              </c:numCache>
            </c:numRef>
          </c:val>
          <c:extLst>
            <c:ext xmlns:c16="http://schemas.microsoft.com/office/drawing/2014/chart" uri="{C3380CC4-5D6E-409C-BE32-E72D297353CC}">
              <c16:uniqueId val="{00000001-2C23-4549-8808-1E60504E519B}"/>
            </c:ext>
          </c:extLst>
        </c:ser>
        <c:dLbls>
          <c:dLblPos val="outEnd"/>
          <c:showLegendKey val="0"/>
          <c:showVal val="1"/>
          <c:showCatName val="0"/>
          <c:showSerName val="0"/>
          <c:showPercent val="0"/>
          <c:showBubbleSize val="0"/>
        </c:dLbls>
        <c:gapWidth val="219"/>
        <c:overlap val="-27"/>
        <c:axId val="1981640816"/>
        <c:axId val="1981651376"/>
      </c:barChart>
      <c:catAx>
        <c:axId val="198164081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981651376"/>
        <c:crosses val="autoZero"/>
        <c:auto val="1"/>
        <c:lblAlgn val="ctr"/>
        <c:lblOffset val="100"/>
        <c:noMultiLvlLbl val="0"/>
      </c:catAx>
      <c:valAx>
        <c:axId val="1981651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98164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Total emission cost</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strRef>
              <c:f>'link types'!$D$74</c:f>
              <c:strCache>
                <c:ptCount val="1"/>
                <c:pt idx="0">
                  <c:v>0 emission cargo</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types'!$F$77:$F$82</c:f>
              <c:strCache>
                <c:ptCount val="6"/>
                <c:pt idx="0">
                  <c:v>A</c:v>
                </c:pt>
                <c:pt idx="1">
                  <c:v>S</c:v>
                </c:pt>
                <c:pt idx="2">
                  <c:v>GP</c:v>
                </c:pt>
                <c:pt idx="3">
                  <c:v>G</c:v>
                </c:pt>
                <c:pt idx="4">
                  <c:v>Z</c:v>
                </c:pt>
                <c:pt idx="5">
                  <c:v>L</c:v>
                </c:pt>
              </c:strCache>
            </c:strRef>
          </c:cat>
          <c:val>
            <c:numRef>
              <c:f>'link types'!$J$77:$J$82</c:f>
              <c:numCache>
                <c:formatCode>0.0%</c:formatCode>
                <c:ptCount val="6"/>
                <c:pt idx="0">
                  <c:v>-0.61417055472799154</c:v>
                </c:pt>
                <c:pt idx="1">
                  <c:v>-0.59498900696240553</c:v>
                </c:pt>
                <c:pt idx="2">
                  <c:v>-0.41353543983362717</c:v>
                </c:pt>
                <c:pt idx="3">
                  <c:v>-0.32681092932886374</c:v>
                </c:pt>
                <c:pt idx="4">
                  <c:v>-0.24864467567243106</c:v>
                </c:pt>
                <c:pt idx="5">
                  <c:v>-0.21562041544593533</c:v>
                </c:pt>
              </c:numCache>
            </c:numRef>
          </c:val>
          <c:extLst>
            <c:ext xmlns:c16="http://schemas.microsoft.com/office/drawing/2014/chart" uri="{C3380CC4-5D6E-409C-BE32-E72D297353CC}">
              <c16:uniqueId val="{00000000-6941-4A25-8026-CD77CBBF5E7D}"/>
            </c:ext>
          </c:extLst>
        </c:ser>
        <c:ser>
          <c:idx val="1"/>
          <c:order val="1"/>
          <c:tx>
            <c:strRef>
              <c:f>'link types'!$D$89</c:f>
              <c:strCache>
                <c:ptCount val="1"/>
                <c:pt idx="0">
                  <c:v>peak cargo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types'!$F$77:$F$82</c:f>
              <c:strCache>
                <c:ptCount val="6"/>
                <c:pt idx="0">
                  <c:v>A</c:v>
                </c:pt>
                <c:pt idx="1">
                  <c:v>S</c:v>
                </c:pt>
                <c:pt idx="2">
                  <c:v>GP</c:v>
                </c:pt>
                <c:pt idx="3">
                  <c:v>G</c:v>
                </c:pt>
                <c:pt idx="4">
                  <c:v>Z</c:v>
                </c:pt>
                <c:pt idx="5">
                  <c:v>L</c:v>
                </c:pt>
              </c:strCache>
            </c:strRef>
          </c:cat>
          <c:val>
            <c:numRef>
              <c:f>'link types'!$J$92:$J$97</c:f>
              <c:numCache>
                <c:formatCode>0.0%</c:formatCode>
                <c:ptCount val="6"/>
                <c:pt idx="0">
                  <c:v>9.8262272498881989E-2</c:v>
                </c:pt>
                <c:pt idx="1">
                  <c:v>0.10309445461986162</c:v>
                </c:pt>
                <c:pt idx="2">
                  <c:v>7.5605639854271614E-2</c:v>
                </c:pt>
                <c:pt idx="3">
                  <c:v>7.2175362533801565E-2</c:v>
                </c:pt>
                <c:pt idx="4">
                  <c:v>6.678792423394081E-2</c:v>
                </c:pt>
                <c:pt idx="5">
                  <c:v>6.7315960509292366E-2</c:v>
                </c:pt>
              </c:numCache>
            </c:numRef>
          </c:val>
          <c:extLst>
            <c:ext xmlns:c16="http://schemas.microsoft.com/office/drawing/2014/chart" uri="{C3380CC4-5D6E-409C-BE32-E72D297353CC}">
              <c16:uniqueId val="{00000001-6941-4A25-8026-CD77CBBF5E7D}"/>
            </c:ext>
          </c:extLst>
        </c:ser>
        <c:dLbls>
          <c:dLblPos val="outEnd"/>
          <c:showLegendKey val="0"/>
          <c:showVal val="1"/>
          <c:showCatName val="0"/>
          <c:showSerName val="0"/>
          <c:showPercent val="0"/>
          <c:showBubbleSize val="0"/>
        </c:dLbls>
        <c:gapWidth val="219"/>
        <c:overlap val="-27"/>
        <c:axId val="1981640816"/>
        <c:axId val="1981651376"/>
      </c:barChart>
      <c:catAx>
        <c:axId val="198164081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981651376"/>
        <c:crosses val="autoZero"/>
        <c:auto val="1"/>
        <c:lblAlgn val="ctr"/>
        <c:lblOffset val="100"/>
        <c:noMultiLvlLbl val="0"/>
      </c:catAx>
      <c:valAx>
        <c:axId val="1981651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98164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Freight emission cost</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strRef>
              <c:f>'link types'!$D$74</c:f>
              <c:strCache>
                <c:ptCount val="1"/>
                <c:pt idx="0">
                  <c:v>0 emission cargo</c:v>
                </c:pt>
              </c:strCache>
            </c:strRef>
          </c:tx>
          <c:spPr>
            <a:solidFill>
              <a:schemeClr val="accent1"/>
            </a:solidFill>
            <a:ln>
              <a:noFill/>
            </a:ln>
            <a:effectLst/>
          </c:spPr>
          <c:invertIfNegative val="0"/>
          <c:dLbls>
            <c:dLbl>
              <c:idx val="1"/>
              <c:layout>
                <c:manualLayout>
                  <c:x val="-4.3279323766640204E-17"/>
                  <c:y val="-4.29645542427497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36-458B-B451-D252609BBCF7}"/>
                </c:ext>
              </c:extLst>
            </c:dLbl>
            <c:dLbl>
              <c:idx val="3"/>
              <c:layout>
                <c:manualLayout>
                  <c:x val="0"/>
                  <c:y val="-4.65449337629788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36-458B-B451-D252609BBCF7}"/>
                </c:ext>
              </c:extLst>
            </c:dLbl>
            <c:dLbl>
              <c:idx val="5"/>
              <c:layout>
                <c:manualLayout>
                  <c:x val="0"/>
                  <c:y val="-6.4446831364124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36-458B-B451-D252609BBCF7}"/>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types'!$F$92:$F$97</c:f>
              <c:strCache>
                <c:ptCount val="6"/>
                <c:pt idx="0">
                  <c:v>A</c:v>
                </c:pt>
                <c:pt idx="1">
                  <c:v>S</c:v>
                </c:pt>
                <c:pt idx="2">
                  <c:v>GP</c:v>
                </c:pt>
                <c:pt idx="3">
                  <c:v>G</c:v>
                </c:pt>
                <c:pt idx="4">
                  <c:v>Z</c:v>
                </c:pt>
                <c:pt idx="5">
                  <c:v>L</c:v>
                </c:pt>
              </c:strCache>
            </c:strRef>
          </c:cat>
          <c:val>
            <c:numRef>
              <c:f>'link types'!$L$77:$L$82</c:f>
              <c:numCache>
                <c:formatCode>0.0%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3-A736-458B-B451-D252609BBCF7}"/>
            </c:ext>
          </c:extLst>
        </c:ser>
        <c:ser>
          <c:idx val="1"/>
          <c:order val="1"/>
          <c:tx>
            <c:strRef>
              <c:f>'link types'!$D$89</c:f>
              <c:strCache>
                <c:ptCount val="1"/>
                <c:pt idx="0">
                  <c:v>peak cargo</c:v>
                </c:pt>
              </c:strCache>
            </c:strRef>
          </c:tx>
          <c:spPr>
            <a:solidFill>
              <a:schemeClr val="accent2"/>
            </a:solidFill>
            <a:ln>
              <a:noFill/>
            </a:ln>
            <a:effectLst/>
          </c:spPr>
          <c:invertIfNegative val="0"/>
          <c:dLbls>
            <c:dLbl>
              <c:idx val="0"/>
              <c:layout>
                <c:manualLayout>
                  <c:x val="-4.721435316336166E-3"/>
                  <c:y val="-1.18062581562779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36-458B-B451-D252609BBCF7}"/>
                </c:ext>
              </c:extLst>
            </c:dLbl>
            <c:dLbl>
              <c:idx val="2"/>
              <c:layout>
                <c:manualLayout>
                  <c:x val="-8.6558647533280407E-17"/>
                  <c:y val="1.08505989823897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36-458B-B451-D252609BBCF7}"/>
                </c:ext>
              </c:extLst>
            </c:dLbl>
            <c:dLbl>
              <c:idx val="4"/>
              <c:layout>
                <c:manualLayout>
                  <c:x val="-4.721435316336166E-3"/>
                  <c:y val="1.44027038519622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36-458B-B451-D252609BBCF7}"/>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types'!$F$92:$F$97</c:f>
              <c:strCache>
                <c:ptCount val="6"/>
                <c:pt idx="0">
                  <c:v>A</c:v>
                </c:pt>
                <c:pt idx="1">
                  <c:v>S</c:v>
                </c:pt>
                <c:pt idx="2">
                  <c:v>GP</c:v>
                </c:pt>
                <c:pt idx="3">
                  <c:v>G</c:v>
                </c:pt>
                <c:pt idx="4">
                  <c:v>Z</c:v>
                </c:pt>
                <c:pt idx="5">
                  <c:v>L</c:v>
                </c:pt>
              </c:strCache>
            </c:strRef>
          </c:cat>
          <c:val>
            <c:numRef>
              <c:f>'link types'!$L$92:$L$97</c:f>
              <c:numCache>
                <c:formatCode>0.0%</c:formatCode>
                <c:ptCount val="6"/>
                <c:pt idx="0">
                  <c:v>0.18065947378176817</c:v>
                </c:pt>
                <c:pt idx="1">
                  <c:v>0.19065947890028717</c:v>
                </c:pt>
                <c:pt idx="2">
                  <c:v>0.19685931250983577</c:v>
                </c:pt>
                <c:pt idx="3">
                  <c:v>0.21407664507096286</c:v>
                </c:pt>
                <c:pt idx="4">
                  <c:v>0.22960340353188272</c:v>
                </c:pt>
                <c:pt idx="5">
                  <c:v>0.23475578205242489</c:v>
                </c:pt>
              </c:numCache>
            </c:numRef>
          </c:val>
          <c:extLst>
            <c:ext xmlns:c16="http://schemas.microsoft.com/office/drawing/2014/chart" uri="{C3380CC4-5D6E-409C-BE32-E72D297353CC}">
              <c16:uniqueId val="{00000007-A736-458B-B451-D252609BBCF7}"/>
            </c:ext>
          </c:extLst>
        </c:ser>
        <c:dLbls>
          <c:dLblPos val="outEnd"/>
          <c:showLegendKey val="0"/>
          <c:showVal val="1"/>
          <c:showCatName val="0"/>
          <c:showSerName val="0"/>
          <c:showPercent val="0"/>
          <c:showBubbleSize val="0"/>
        </c:dLbls>
        <c:gapWidth val="219"/>
        <c:overlap val="-27"/>
        <c:axId val="1981640816"/>
        <c:axId val="1981651376"/>
      </c:barChart>
      <c:catAx>
        <c:axId val="198164081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981651376"/>
        <c:crosses val="autoZero"/>
        <c:auto val="1"/>
        <c:lblAlgn val="ctr"/>
        <c:lblOffset val="100"/>
        <c:noMultiLvlLbl val="0"/>
      </c:catAx>
      <c:valAx>
        <c:axId val="1981651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98164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Total energy consumption </a:t>
            </a:r>
          </a:p>
        </c:rich>
      </c:tx>
      <c:layout>
        <c:manualLayout>
          <c:xMode val="edge"/>
          <c:yMode val="edge"/>
          <c:x val="0.25964110285587344"/>
          <c:y val="2.611759296511293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8.062270341207349E-2"/>
          <c:y val="0.16561702589717139"/>
          <c:w val="0.88882174103237099"/>
          <c:h val="0.40263183438708716"/>
        </c:manualLayout>
      </c:layout>
      <c:barChart>
        <c:barDir val="col"/>
        <c:grouping val="clustered"/>
        <c:varyColors val="0"/>
        <c:ser>
          <c:idx val="0"/>
          <c:order val="0"/>
          <c:tx>
            <c:strRef>
              <c:f>'rejony shape transit rate'!$D$27</c:f>
              <c:strCache>
                <c:ptCount val="1"/>
                <c:pt idx="0">
                  <c:v>0 emission cargo</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rate'!$C$28:$C$35</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rate'!$D$28:$D$35</c:f>
              <c:numCache>
                <c:formatCode>0.0%</c:formatCode>
                <c:ptCount val="8"/>
                <c:pt idx="0">
                  <c:v>-9.5815410837829129E-2</c:v>
                </c:pt>
                <c:pt idx="1">
                  <c:v>-8.1504917245077982E-2</c:v>
                </c:pt>
                <c:pt idx="2">
                  <c:v>-9.8040381491035208E-2</c:v>
                </c:pt>
                <c:pt idx="3">
                  <c:v>-0.15712402642107143</c:v>
                </c:pt>
                <c:pt idx="4">
                  <c:v>-0.10520270437518392</c:v>
                </c:pt>
                <c:pt idx="5">
                  <c:v>-9.299695141844122E-2</c:v>
                </c:pt>
                <c:pt idx="6">
                  <c:v>-0.11258697091091466</c:v>
                </c:pt>
                <c:pt idx="7">
                  <c:v>-0.1507266452133956</c:v>
                </c:pt>
              </c:numCache>
            </c:numRef>
          </c:val>
          <c:extLst>
            <c:ext xmlns:c16="http://schemas.microsoft.com/office/drawing/2014/chart" uri="{C3380CC4-5D6E-409C-BE32-E72D297353CC}">
              <c16:uniqueId val="{00000000-9C8C-4395-AC29-CC71034D469E}"/>
            </c:ext>
          </c:extLst>
        </c:ser>
        <c:ser>
          <c:idx val="1"/>
          <c:order val="1"/>
          <c:tx>
            <c:strRef>
              <c:f>'rejony shape transit rate'!$E$27</c:f>
              <c:strCache>
                <c:ptCount val="1"/>
                <c:pt idx="0">
                  <c:v>peak cargo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rate'!$C$28:$C$35</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rate'!$E$28:$E$35</c:f>
              <c:numCache>
                <c:formatCode>0.0%</c:formatCode>
                <c:ptCount val="8"/>
                <c:pt idx="0">
                  <c:v>1.9043436157594677E-2</c:v>
                </c:pt>
                <c:pt idx="1">
                  <c:v>1.553651070527755E-2</c:v>
                </c:pt>
                <c:pt idx="2">
                  <c:v>1.8825293418200609E-2</c:v>
                </c:pt>
                <c:pt idx="3">
                  <c:v>3.7446163848908996E-2</c:v>
                </c:pt>
                <c:pt idx="4">
                  <c:v>2.1435979297557188E-2</c:v>
                </c:pt>
                <c:pt idx="5">
                  <c:v>2.1690187560066927E-2</c:v>
                </c:pt>
                <c:pt idx="6">
                  <c:v>2.4889505253888722E-2</c:v>
                </c:pt>
                <c:pt idx="7">
                  <c:v>3.4321147977434838E-2</c:v>
                </c:pt>
              </c:numCache>
            </c:numRef>
          </c:val>
          <c:extLst>
            <c:ext xmlns:c16="http://schemas.microsoft.com/office/drawing/2014/chart" uri="{C3380CC4-5D6E-409C-BE32-E72D297353CC}">
              <c16:uniqueId val="{00000001-9C8C-4395-AC29-CC71034D469E}"/>
            </c:ext>
          </c:extLst>
        </c:ser>
        <c:dLbls>
          <c:dLblPos val="outEnd"/>
          <c:showLegendKey val="0"/>
          <c:showVal val="1"/>
          <c:showCatName val="0"/>
          <c:showSerName val="0"/>
          <c:showPercent val="0"/>
          <c:showBubbleSize val="0"/>
        </c:dLbls>
        <c:gapWidth val="219"/>
        <c:overlap val="-27"/>
        <c:axId val="126021600"/>
        <c:axId val="126035040"/>
      </c:barChart>
      <c:catAx>
        <c:axId val="12602160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26035040"/>
        <c:crosses val="autoZero"/>
        <c:auto val="1"/>
        <c:lblAlgn val="ctr"/>
        <c:lblOffset val="100"/>
        <c:noMultiLvlLbl val="0"/>
      </c:catAx>
      <c:valAx>
        <c:axId val="126035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2602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Freight energy consumption </a:t>
            </a:r>
          </a:p>
        </c:rich>
      </c:tx>
      <c:layout>
        <c:manualLayout>
          <c:xMode val="edge"/>
          <c:yMode val="edge"/>
          <c:x val="0.30329106058004429"/>
          <c:y val="1.205255434441253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8.062270341207349E-2"/>
          <c:y val="0.13949930458970794"/>
          <c:w val="0.88882174103237099"/>
          <c:h val="0.5021724931600603"/>
        </c:manualLayout>
      </c:layout>
      <c:barChart>
        <c:barDir val="col"/>
        <c:grouping val="clustered"/>
        <c:varyColors val="0"/>
        <c:ser>
          <c:idx val="0"/>
          <c:order val="0"/>
          <c:tx>
            <c:strRef>
              <c:f>'rejony shape transit rate'!$F$27</c:f>
              <c:strCache>
                <c:ptCount val="1"/>
                <c:pt idx="0">
                  <c:v>0 emission cargo</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rate'!$C$28:$C$35</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rate'!$F$28:$F$35</c:f>
              <c:numCache>
                <c:formatCode>0.0%</c:formatCode>
                <c:ptCount val="8"/>
                <c:pt idx="0">
                  <c:v>-0.60044460141225631</c:v>
                </c:pt>
                <c:pt idx="1">
                  <c:v>-0.58634758517486496</c:v>
                </c:pt>
                <c:pt idx="2">
                  <c:v>-0.57891111001894691</c:v>
                </c:pt>
                <c:pt idx="3">
                  <c:v>-0.60776178442896855</c:v>
                </c:pt>
                <c:pt idx="4">
                  <c:v>-0.60717141935081831</c:v>
                </c:pt>
                <c:pt idx="5">
                  <c:v>-0.66476458315233022</c:v>
                </c:pt>
                <c:pt idx="6">
                  <c:v>-0.52548943994670161</c:v>
                </c:pt>
                <c:pt idx="7">
                  <c:v>-0.2665077842168953</c:v>
                </c:pt>
              </c:numCache>
            </c:numRef>
          </c:val>
          <c:extLst>
            <c:ext xmlns:c16="http://schemas.microsoft.com/office/drawing/2014/chart" uri="{C3380CC4-5D6E-409C-BE32-E72D297353CC}">
              <c16:uniqueId val="{00000000-6B22-422A-B3A5-E678D2104B33}"/>
            </c:ext>
          </c:extLst>
        </c:ser>
        <c:ser>
          <c:idx val="1"/>
          <c:order val="1"/>
          <c:tx>
            <c:strRef>
              <c:f>'rejony shape transit rate'!$G$27</c:f>
              <c:strCache>
                <c:ptCount val="1"/>
                <c:pt idx="0">
                  <c:v>peak cargo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rate'!$C$28:$C$35</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rate'!$G$28:$G$35</c:f>
              <c:numCache>
                <c:formatCode>0.0%</c:formatCode>
                <c:ptCount val="8"/>
                <c:pt idx="0">
                  <c:v>0.18455058892663734</c:v>
                </c:pt>
                <c:pt idx="1">
                  <c:v>0.19185212673889496</c:v>
                </c:pt>
                <c:pt idx="2">
                  <c:v>0.16780528103656195</c:v>
                </c:pt>
                <c:pt idx="3">
                  <c:v>0.17022386206043844</c:v>
                </c:pt>
                <c:pt idx="4">
                  <c:v>0.18196318040908996</c:v>
                </c:pt>
                <c:pt idx="5">
                  <c:v>0.20348780088419721</c:v>
                </c:pt>
                <c:pt idx="6">
                  <c:v>0.17464275557341638</c:v>
                </c:pt>
                <c:pt idx="7">
                  <c:v>0.13166223899271567</c:v>
                </c:pt>
              </c:numCache>
            </c:numRef>
          </c:val>
          <c:extLst>
            <c:ext xmlns:c16="http://schemas.microsoft.com/office/drawing/2014/chart" uri="{C3380CC4-5D6E-409C-BE32-E72D297353CC}">
              <c16:uniqueId val="{00000001-6B22-422A-B3A5-E678D2104B33}"/>
            </c:ext>
          </c:extLst>
        </c:ser>
        <c:dLbls>
          <c:dLblPos val="outEnd"/>
          <c:showLegendKey val="0"/>
          <c:showVal val="1"/>
          <c:showCatName val="0"/>
          <c:showSerName val="0"/>
          <c:showPercent val="0"/>
          <c:showBubbleSize val="0"/>
        </c:dLbls>
        <c:gapWidth val="219"/>
        <c:overlap val="-27"/>
        <c:axId val="126021600"/>
        <c:axId val="126035040"/>
      </c:barChart>
      <c:catAx>
        <c:axId val="12602160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26035040"/>
        <c:crosses val="autoZero"/>
        <c:auto val="1"/>
        <c:lblAlgn val="ctr"/>
        <c:lblOffset val="100"/>
        <c:noMultiLvlLbl val="0"/>
      </c:catAx>
      <c:valAx>
        <c:axId val="126035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2602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Total emission cost </a:t>
            </a:r>
          </a:p>
        </c:rich>
      </c:tx>
      <c:layout>
        <c:manualLayout>
          <c:xMode val="edge"/>
          <c:yMode val="edge"/>
          <c:x val="0.3179976559533832"/>
          <c:y val="2.0405619272777009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8.062270341207349E-2"/>
          <c:y val="0.13949930458970794"/>
          <c:w val="0.88882174103237099"/>
          <c:h val="0.5021724931600603"/>
        </c:manualLayout>
      </c:layout>
      <c:barChart>
        <c:barDir val="col"/>
        <c:grouping val="clustered"/>
        <c:varyColors val="0"/>
        <c:ser>
          <c:idx val="0"/>
          <c:order val="0"/>
          <c:tx>
            <c:strRef>
              <c:f>'rejony shape transit rate'!$J$27</c:f>
              <c:strCache>
                <c:ptCount val="1"/>
                <c:pt idx="0">
                  <c:v>0 emission cargo</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rate'!$C$28:$C$35</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rate'!$J$28:$J$35</c:f>
              <c:numCache>
                <c:formatCode>0.0%</c:formatCode>
                <c:ptCount val="8"/>
                <c:pt idx="0">
                  <c:v>-0.22637558939300678</c:v>
                </c:pt>
                <c:pt idx="1">
                  <c:v>-0.20296793046411171</c:v>
                </c:pt>
                <c:pt idx="2">
                  <c:v>-0.20828602804105509</c:v>
                </c:pt>
                <c:pt idx="3">
                  <c:v>-0.21289896766003905</c:v>
                </c:pt>
                <c:pt idx="4">
                  <c:v>-0.24501148672669196</c:v>
                </c:pt>
                <c:pt idx="5">
                  <c:v>-0.27109490030522321</c:v>
                </c:pt>
                <c:pt idx="6">
                  <c:v>-0.24465657627279427</c:v>
                </c:pt>
                <c:pt idx="7">
                  <c:v>-0.72226749295826775</c:v>
                </c:pt>
              </c:numCache>
            </c:numRef>
          </c:val>
          <c:extLst>
            <c:ext xmlns:c16="http://schemas.microsoft.com/office/drawing/2014/chart" uri="{C3380CC4-5D6E-409C-BE32-E72D297353CC}">
              <c16:uniqueId val="{00000000-B00F-4558-A8BD-E45A5B6EADE6}"/>
            </c:ext>
          </c:extLst>
        </c:ser>
        <c:ser>
          <c:idx val="1"/>
          <c:order val="1"/>
          <c:tx>
            <c:strRef>
              <c:f>'rejony shape transit rate'!$K$27</c:f>
              <c:strCache>
                <c:ptCount val="1"/>
                <c:pt idx="0">
                  <c:v>peak cargo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rate'!$C$28:$C$35</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rate'!$K$28:$K$35</c:f>
              <c:numCache>
                <c:formatCode>0.0%</c:formatCode>
                <c:ptCount val="8"/>
                <c:pt idx="0">
                  <c:v>3.2102555250898557E-2</c:v>
                </c:pt>
                <c:pt idx="1">
                  <c:v>2.821563340705981E-2</c:v>
                </c:pt>
                <c:pt idx="2">
                  <c:v>3.2184236064617372E-2</c:v>
                </c:pt>
                <c:pt idx="3">
                  <c:v>3.2277276058369067E-2</c:v>
                </c:pt>
                <c:pt idx="4">
                  <c:v>3.3934490754612703E-2</c:v>
                </c:pt>
                <c:pt idx="5">
                  <c:v>3.0772798521681542E-2</c:v>
                </c:pt>
                <c:pt idx="6">
                  <c:v>3.4459908550543997E-2</c:v>
                </c:pt>
                <c:pt idx="7">
                  <c:v>5.8768498877096995E-2</c:v>
                </c:pt>
              </c:numCache>
            </c:numRef>
          </c:val>
          <c:extLst>
            <c:ext xmlns:c16="http://schemas.microsoft.com/office/drawing/2014/chart" uri="{C3380CC4-5D6E-409C-BE32-E72D297353CC}">
              <c16:uniqueId val="{00000001-B00F-4558-A8BD-E45A5B6EADE6}"/>
            </c:ext>
          </c:extLst>
        </c:ser>
        <c:dLbls>
          <c:dLblPos val="outEnd"/>
          <c:showLegendKey val="0"/>
          <c:showVal val="1"/>
          <c:showCatName val="0"/>
          <c:showSerName val="0"/>
          <c:showPercent val="0"/>
          <c:showBubbleSize val="0"/>
        </c:dLbls>
        <c:gapWidth val="219"/>
        <c:overlap val="-27"/>
        <c:axId val="126021600"/>
        <c:axId val="126035040"/>
      </c:barChart>
      <c:catAx>
        <c:axId val="12602160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26035040"/>
        <c:crosses val="autoZero"/>
        <c:auto val="1"/>
        <c:lblAlgn val="ctr"/>
        <c:lblOffset val="100"/>
        <c:noMultiLvlLbl val="0"/>
      </c:catAx>
      <c:valAx>
        <c:axId val="126035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2602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Freight emission cost </a:t>
            </a:r>
          </a:p>
        </c:rich>
      </c:tx>
      <c:layout>
        <c:manualLayout>
          <c:xMode val="edge"/>
          <c:yMode val="edge"/>
          <c:x val="0.33399283293922627"/>
          <c:y val="1.48883374689826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8.062270341207349E-2"/>
          <c:y val="0.13949930458970794"/>
          <c:w val="0.88882174103237099"/>
          <c:h val="0.51787125510410104"/>
        </c:manualLayout>
      </c:layout>
      <c:barChart>
        <c:barDir val="col"/>
        <c:grouping val="clustered"/>
        <c:varyColors val="0"/>
        <c:ser>
          <c:idx val="0"/>
          <c:order val="0"/>
          <c:tx>
            <c:strRef>
              <c:f>'rejony shape transit rate'!$L$27</c:f>
              <c:strCache>
                <c:ptCount val="1"/>
                <c:pt idx="0">
                  <c:v>0 emission cargo</c:v>
                </c:pt>
              </c:strCache>
            </c:strRef>
          </c:tx>
          <c:spPr>
            <a:solidFill>
              <a:schemeClr val="accent1"/>
            </a:solidFill>
            <a:ln>
              <a:noFill/>
            </a:ln>
            <a:effectLst/>
          </c:spPr>
          <c:invertIfNegative val="0"/>
          <c:dLbls>
            <c:delete val="1"/>
          </c:dLbls>
          <c:cat>
            <c:strRef>
              <c:f>'rejony shape transit rate'!$C$28:$C$35</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rate'!$L$28:$L$35</c:f>
              <c:numCache>
                <c:formatCode>0.0%</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00-86C6-4147-9761-F27E62C8C117}"/>
            </c:ext>
          </c:extLst>
        </c:ser>
        <c:ser>
          <c:idx val="1"/>
          <c:order val="1"/>
          <c:tx>
            <c:strRef>
              <c:f>'rejony shape transit rate'!$M$27</c:f>
              <c:strCache>
                <c:ptCount val="1"/>
                <c:pt idx="0">
                  <c:v>peak cargo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rate'!$C$28:$C$35</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rate'!$M$28:$M$35</c:f>
              <c:numCache>
                <c:formatCode>0.0%</c:formatCode>
                <c:ptCount val="8"/>
                <c:pt idx="0">
                  <c:v>0.1853112785755589</c:v>
                </c:pt>
                <c:pt idx="1">
                  <c:v>0.189254236415838</c:v>
                </c:pt>
                <c:pt idx="2">
                  <c:v>0.17868142699024489</c:v>
                </c:pt>
                <c:pt idx="3">
                  <c:v>0.18375682921216341</c:v>
                </c:pt>
                <c:pt idx="4">
                  <c:v>0.18074512470736101</c:v>
                </c:pt>
                <c:pt idx="5">
                  <c:v>0.15899853551854926</c:v>
                </c:pt>
                <c:pt idx="6">
                  <c:v>0.17986563993862575</c:v>
                </c:pt>
                <c:pt idx="7">
                  <c:v>0.11035770485981454</c:v>
                </c:pt>
              </c:numCache>
            </c:numRef>
          </c:val>
          <c:extLst>
            <c:ext xmlns:c16="http://schemas.microsoft.com/office/drawing/2014/chart" uri="{C3380CC4-5D6E-409C-BE32-E72D297353CC}">
              <c16:uniqueId val="{00000001-86C6-4147-9761-F27E62C8C117}"/>
            </c:ext>
          </c:extLst>
        </c:ser>
        <c:dLbls>
          <c:dLblPos val="outEnd"/>
          <c:showLegendKey val="0"/>
          <c:showVal val="1"/>
          <c:showCatName val="0"/>
          <c:showSerName val="0"/>
          <c:showPercent val="0"/>
          <c:showBubbleSize val="0"/>
        </c:dLbls>
        <c:gapWidth val="219"/>
        <c:overlap val="-27"/>
        <c:axId val="126021600"/>
        <c:axId val="126035040"/>
      </c:barChart>
      <c:catAx>
        <c:axId val="12602160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26035040"/>
        <c:crosses val="autoZero"/>
        <c:auto val="1"/>
        <c:lblAlgn val="ctr"/>
        <c:lblOffset val="100"/>
        <c:noMultiLvlLbl val="0"/>
      </c:catAx>
      <c:valAx>
        <c:axId val="126035040"/>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2602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1</c:v>
          </c:tx>
          <c:spPr>
            <a:solidFill>
              <a:schemeClr val="accent1"/>
            </a:solidFill>
            <a:ln>
              <a:noFill/>
            </a:ln>
            <a:effectLst/>
          </c:spPr>
          <c:invertIfNegative val="0"/>
          <c:cat>
            <c:strRef>
              <c:f>'link types'!$F$4:$F$9</c:f>
              <c:strCache>
                <c:ptCount val="6"/>
                <c:pt idx="0">
                  <c:v>A</c:v>
                </c:pt>
                <c:pt idx="1">
                  <c:v>S</c:v>
                </c:pt>
                <c:pt idx="2">
                  <c:v>GP</c:v>
                </c:pt>
                <c:pt idx="3">
                  <c:v>G</c:v>
                </c:pt>
                <c:pt idx="4">
                  <c:v>Z</c:v>
                </c:pt>
                <c:pt idx="5">
                  <c:v>L</c:v>
                </c:pt>
              </c:strCache>
            </c:strRef>
          </c:cat>
          <c:val>
            <c:numRef>
              <c:f>'link types'!$AA$4:$AA$9</c:f>
              <c:numCache>
                <c:formatCode>0.00%</c:formatCode>
                <c:ptCount val="6"/>
                <c:pt idx="0">
                  <c:v>0.45325038105541471</c:v>
                </c:pt>
                <c:pt idx="1">
                  <c:v>0.38267054298589442</c:v>
                </c:pt>
                <c:pt idx="2">
                  <c:v>0.42439847908025463</c:v>
                </c:pt>
                <c:pt idx="3">
                  <c:v>0.24484933247027615</c:v>
                </c:pt>
                <c:pt idx="4">
                  <c:v>0.37981888368827887</c:v>
                </c:pt>
                <c:pt idx="5">
                  <c:v>0.63646214748289975</c:v>
                </c:pt>
              </c:numCache>
            </c:numRef>
          </c:val>
          <c:extLst>
            <c:ext xmlns:c16="http://schemas.microsoft.com/office/drawing/2014/chart" uri="{C3380CC4-5D6E-409C-BE32-E72D297353CC}">
              <c16:uniqueId val="{00000000-AFA1-4147-BA27-098D20D64ECF}"/>
            </c:ext>
          </c:extLst>
        </c:ser>
        <c:ser>
          <c:idx val="1"/>
          <c:order val="1"/>
          <c:tx>
            <c:v>2</c:v>
          </c:tx>
          <c:spPr>
            <a:solidFill>
              <a:schemeClr val="accent2"/>
            </a:solidFill>
            <a:ln>
              <a:noFill/>
            </a:ln>
            <a:effectLst/>
          </c:spPr>
          <c:invertIfNegative val="0"/>
          <c:cat>
            <c:strRef>
              <c:f>'link types'!$F$4:$F$9</c:f>
              <c:strCache>
                <c:ptCount val="6"/>
                <c:pt idx="0">
                  <c:v>A</c:v>
                </c:pt>
                <c:pt idx="1">
                  <c:v>S</c:v>
                </c:pt>
                <c:pt idx="2">
                  <c:v>GP</c:v>
                </c:pt>
                <c:pt idx="3">
                  <c:v>G</c:v>
                </c:pt>
                <c:pt idx="4">
                  <c:v>Z</c:v>
                </c:pt>
                <c:pt idx="5">
                  <c:v>L</c:v>
                </c:pt>
              </c:strCache>
            </c:strRef>
          </c:cat>
          <c:val>
            <c:numRef>
              <c:f>'link types'!$AB$4:$AB$9</c:f>
              <c:numCache>
                <c:formatCode>0.00%</c:formatCode>
                <c:ptCount val="6"/>
                <c:pt idx="0">
                  <c:v>0.47754918750300285</c:v>
                </c:pt>
                <c:pt idx="1">
                  <c:v>0.24231602412720138</c:v>
                </c:pt>
                <c:pt idx="2">
                  <c:v>0.41633342520770028</c:v>
                </c:pt>
                <c:pt idx="3">
                  <c:v>0.57075313528114247</c:v>
                </c:pt>
                <c:pt idx="4">
                  <c:v>0.54942202473409318</c:v>
                </c:pt>
                <c:pt idx="5">
                  <c:v>0.32960736921863909</c:v>
                </c:pt>
              </c:numCache>
            </c:numRef>
          </c:val>
          <c:extLst>
            <c:ext xmlns:c16="http://schemas.microsoft.com/office/drawing/2014/chart" uri="{C3380CC4-5D6E-409C-BE32-E72D297353CC}">
              <c16:uniqueId val="{00000001-AFA1-4147-BA27-098D20D64ECF}"/>
            </c:ext>
          </c:extLst>
        </c:ser>
        <c:ser>
          <c:idx val="2"/>
          <c:order val="2"/>
          <c:tx>
            <c:v>3</c:v>
          </c:tx>
          <c:spPr>
            <a:solidFill>
              <a:schemeClr val="accent3"/>
            </a:solidFill>
            <a:ln>
              <a:noFill/>
            </a:ln>
            <a:effectLst/>
          </c:spPr>
          <c:invertIfNegative val="0"/>
          <c:cat>
            <c:strRef>
              <c:f>'link types'!$F$4:$F$9</c:f>
              <c:strCache>
                <c:ptCount val="6"/>
                <c:pt idx="0">
                  <c:v>A</c:v>
                </c:pt>
                <c:pt idx="1">
                  <c:v>S</c:v>
                </c:pt>
                <c:pt idx="2">
                  <c:v>GP</c:v>
                </c:pt>
                <c:pt idx="3">
                  <c:v>G</c:v>
                </c:pt>
                <c:pt idx="4">
                  <c:v>Z</c:v>
                </c:pt>
                <c:pt idx="5">
                  <c:v>L</c:v>
                </c:pt>
              </c:strCache>
            </c:strRef>
          </c:cat>
          <c:val>
            <c:numRef>
              <c:f>'link types'!$AC$4:$AC$9</c:f>
              <c:numCache>
                <c:formatCode>0.00%</c:formatCode>
                <c:ptCount val="6"/>
                <c:pt idx="0">
                  <c:v>6.4621479408244363E-3</c:v>
                </c:pt>
                <c:pt idx="1">
                  <c:v>0.10876054490121712</c:v>
                </c:pt>
                <c:pt idx="2">
                  <c:v>8.2352900762346332E-2</c:v>
                </c:pt>
                <c:pt idx="3">
                  <c:v>9.2080935718752616E-2</c:v>
                </c:pt>
                <c:pt idx="4">
                  <c:v>3.5251523851860228E-2</c:v>
                </c:pt>
                <c:pt idx="5">
                  <c:v>2.2694504680969771E-2</c:v>
                </c:pt>
              </c:numCache>
            </c:numRef>
          </c:val>
          <c:extLst>
            <c:ext xmlns:c16="http://schemas.microsoft.com/office/drawing/2014/chart" uri="{C3380CC4-5D6E-409C-BE32-E72D297353CC}">
              <c16:uniqueId val="{00000002-AFA1-4147-BA27-098D20D64ECF}"/>
            </c:ext>
          </c:extLst>
        </c:ser>
        <c:ser>
          <c:idx val="3"/>
          <c:order val="3"/>
          <c:tx>
            <c:v>4</c:v>
          </c:tx>
          <c:spPr>
            <a:solidFill>
              <a:schemeClr val="accent4"/>
            </a:solidFill>
            <a:ln>
              <a:noFill/>
            </a:ln>
            <a:effectLst/>
          </c:spPr>
          <c:invertIfNegative val="0"/>
          <c:cat>
            <c:strRef>
              <c:f>'link types'!$F$4:$F$9</c:f>
              <c:strCache>
                <c:ptCount val="6"/>
                <c:pt idx="0">
                  <c:v>A</c:v>
                </c:pt>
                <c:pt idx="1">
                  <c:v>S</c:v>
                </c:pt>
                <c:pt idx="2">
                  <c:v>GP</c:v>
                </c:pt>
                <c:pt idx="3">
                  <c:v>G</c:v>
                </c:pt>
                <c:pt idx="4">
                  <c:v>Z</c:v>
                </c:pt>
                <c:pt idx="5">
                  <c:v>L</c:v>
                </c:pt>
              </c:strCache>
            </c:strRef>
          </c:cat>
          <c:val>
            <c:numRef>
              <c:f>'link types'!$AD$4:$AD$9</c:f>
              <c:numCache>
                <c:formatCode>0.00%</c:formatCode>
                <c:ptCount val="6"/>
                <c:pt idx="0">
                  <c:v>6.7608373953966074E-3</c:v>
                </c:pt>
                <c:pt idx="1">
                  <c:v>0.12179404556583952</c:v>
                </c:pt>
                <c:pt idx="2">
                  <c:v>5.9431029605582865E-2</c:v>
                </c:pt>
                <c:pt idx="3">
                  <c:v>7.8194612173774672E-2</c:v>
                </c:pt>
                <c:pt idx="4">
                  <c:v>2.5438325173149867E-2</c:v>
                </c:pt>
                <c:pt idx="5">
                  <c:v>4.8329282894164684E-3</c:v>
                </c:pt>
              </c:numCache>
            </c:numRef>
          </c:val>
          <c:extLst>
            <c:ext xmlns:c16="http://schemas.microsoft.com/office/drawing/2014/chart" uri="{C3380CC4-5D6E-409C-BE32-E72D297353CC}">
              <c16:uniqueId val="{00000003-AFA1-4147-BA27-098D20D64ECF}"/>
            </c:ext>
          </c:extLst>
        </c:ser>
        <c:ser>
          <c:idx val="4"/>
          <c:order val="4"/>
          <c:tx>
            <c:v>5</c:v>
          </c:tx>
          <c:spPr>
            <a:solidFill>
              <a:schemeClr val="accent5"/>
            </a:solidFill>
            <a:ln>
              <a:noFill/>
            </a:ln>
            <a:effectLst/>
          </c:spPr>
          <c:invertIfNegative val="0"/>
          <c:cat>
            <c:strRef>
              <c:f>'link types'!$F$4:$F$9</c:f>
              <c:strCache>
                <c:ptCount val="6"/>
                <c:pt idx="0">
                  <c:v>A</c:v>
                </c:pt>
                <c:pt idx="1">
                  <c:v>S</c:v>
                </c:pt>
                <c:pt idx="2">
                  <c:v>GP</c:v>
                </c:pt>
                <c:pt idx="3">
                  <c:v>G</c:v>
                </c:pt>
                <c:pt idx="4">
                  <c:v>Z</c:v>
                </c:pt>
                <c:pt idx="5">
                  <c:v>L</c:v>
                </c:pt>
              </c:strCache>
            </c:strRef>
          </c:cat>
          <c:val>
            <c:numRef>
              <c:f>'link types'!$AE$4:$AE$9</c:f>
              <c:numCache>
                <c:formatCode>0.00%</c:formatCode>
                <c:ptCount val="6"/>
                <c:pt idx="0">
                  <c:v>5.5977446105361588E-2</c:v>
                </c:pt>
                <c:pt idx="1">
                  <c:v>0.14445884241984769</c:v>
                </c:pt>
                <c:pt idx="2">
                  <c:v>1.7484165344115881E-2</c:v>
                </c:pt>
                <c:pt idx="3">
                  <c:v>1.4121984356054215E-2</c:v>
                </c:pt>
                <c:pt idx="4">
                  <c:v>1.0069242552617782E-2</c:v>
                </c:pt>
                <c:pt idx="5">
                  <c:v>6.4030503280748463E-3</c:v>
                </c:pt>
              </c:numCache>
            </c:numRef>
          </c:val>
          <c:extLst>
            <c:ext xmlns:c16="http://schemas.microsoft.com/office/drawing/2014/chart" uri="{C3380CC4-5D6E-409C-BE32-E72D297353CC}">
              <c16:uniqueId val="{00000004-AFA1-4147-BA27-098D20D64ECF}"/>
            </c:ext>
          </c:extLst>
        </c:ser>
        <c:dLbls>
          <c:showLegendKey val="0"/>
          <c:showVal val="0"/>
          <c:showCatName val="0"/>
          <c:showSerName val="0"/>
          <c:showPercent val="0"/>
          <c:showBubbleSize val="0"/>
        </c:dLbls>
        <c:gapWidth val="219"/>
        <c:overlap val="100"/>
        <c:axId val="1454416832"/>
        <c:axId val="1454423072"/>
      </c:barChart>
      <c:catAx>
        <c:axId val="14544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454423072"/>
        <c:crosses val="autoZero"/>
        <c:auto val="1"/>
        <c:lblAlgn val="ctr"/>
        <c:lblOffset val="100"/>
        <c:noMultiLvlLbl val="0"/>
      </c:catAx>
      <c:valAx>
        <c:axId val="14544230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454416832"/>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628558541699657E-2"/>
          <c:y val="5.1764705882352942E-2"/>
          <c:w val="0.88055852250644173"/>
          <c:h val="0.64523575729504401"/>
        </c:manualLayout>
      </c:layout>
      <c:barChart>
        <c:barDir val="col"/>
        <c:grouping val="clustered"/>
        <c:varyColors val="0"/>
        <c:ser>
          <c:idx val="0"/>
          <c:order val="0"/>
          <c:tx>
            <c:strRef>
              <c:f>'link types'!$I$3</c:f>
              <c:strCache>
                <c:ptCount val="1"/>
                <c:pt idx="0">
                  <c:v>Total energy consumption</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types'!$F$4:$F$10</c:f>
              <c:strCache>
                <c:ptCount val="7"/>
                <c:pt idx="0">
                  <c:v>A</c:v>
                </c:pt>
                <c:pt idx="1">
                  <c:v>S</c:v>
                </c:pt>
                <c:pt idx="2">
                  <c:v>GP</c:v>
                </c:pt>
                <c:pt idx="3">
                  <c:v>G</c:v>
                </c:pt>
                <c:pt idx="4">
                  <c:v>Z</c:v>
                </c:pt>
                <c:pt idx="5">
                  <c:v>L</c:v>
                </c:pt>
                <c:pt idx="6">
                  <c:v>Service</c:v>
                </c:pt>
              </c:strCache>
            </c:strRef>
          </c:cat>
          <c:val>
            <c:numRef>
              <c:f>'link types'!$I$4:$I$10</c:f>
              <c:numCache>
                <c:formatCode>General</c:formatCode>
                <c:ptCount val="7"/>
                <c:pt idx="0">
                  <c:v>3.409470975854703</c:v>
                </c:pt>
                <c:pt idx="1">
                  <c:v>3.196137574411936</c:v>
                </c:pt>
                <c:pt idx="2">
                  <c:v>2.6665378649114402</c:v>
                </c:pt>
                <c:pt idx="3">
                  <c:v>2.5935309631675474</c:v>
                </c:pt>
                <c:pt idx="4">
                  <c:v>2.590928410896066</c:v>
                </c:pt>
                <c:pt idx="5">
                  <c:v>2.6260354820866212</c:v>
                </c:pt>
                <c:pt idx="6">
                  <c:v>2.8088094140511686</c:v>
                </c:pt>
              </c:numCache>
            </c:numRef>
          </c:val>
          <c:extLst>
            <c:ext xmlns:c16="http://schemas.microsoft.com/office/drawing/2014/chart" uri="{C3380CC4-5D6E-409C-BE32-E72D297353CC}">
              <c16:uniqueId val="{00000000-5337-4523-BB1F-59207866F050}"/>
            </c:ext>
          </c:extLst>
        </c:ser>
        <c:ser>
          <c:idx val="1"/>
          <c:order val="1"/>
          <c:tx>
            <c:strRef>
              <c:f>'link types'!$J$3</c:f>
              <c:strCache>
                <c:ptCount val="1"/>
                <c:pt idx="0">
                  <c:v>Total emission cost (x1000)</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types'!$F$4:$F$10</c:f>
              <c:strCache>
                <c:ptCount val="7"/>
                <c:pt idx="0">
                  <c:v>A</c:v>
                </c:pt>
                <c:pt idx="1">
                  <c:v>S</c:v>
                </c:pt>
                <c:pt idx="2">
                  <c:v>GP</c:v>
                </c:pt>
                <c:pt idx="3">
                  <c:v>G</c:v>
                </c:pt>
                <c:pt idx="4">
                  <c:v>Z</c:v>
                </c:pt>
                <c:pt idx="5">
                  <c:v>L</c:v>
                </c:pt>
                <c:pt idx="6">
                  <c:v>Service</c:v>
                </c:pt>
              </c:strCache>
            </c:strRef>
          </c:cat>
          <c:val>
            <c:numRef>
              <c:f>'link types'!$J$4:$J$10</c:f>
              <c:numCache>
                <c:formatCode>General</c:formatCode>
                <c:ptCount val="7"/>
                <c:pt idx="0">
                  <c:v>3.6261833710247395</c:v>
                </c:pt>
                <c:pt idx="1">
                  <c:v>3.1125260598683919</c:v>
                </c:pt>
                <c:pt idx="2">
                  <c:v>2.6161843716112165</c:v>
                </c:pt>
                <c:pt idx="3">
                  <c:v>2.4141559639092414</c:v>
                </c:pt>
                <c:pt idx="4">
                  <c:v>2.3678761130852002</c:v>
                </c:pt>
                <c:pt idx="5">
                  <c:v>2.4050548051816647</c:v>
                </c:pt>
                <c:pt idx="6">
                  <c:v>2.6334499912375802</c:v>
                </c:pt>
              </c:numCache>
            </c:numRef>
          </c:val>
          <c:extLst>
            <c:ext xmlns:c16="http://schemas.microsoft.com/office/drawing/2014/chart" uri="{C3380CC4-5D6E-409C-BE32-E72D297353CC}">
              <c16:uniqueId val="{00000001-5337-4523-BB1F-59207866F050}"/>
            </c:ext>
          </c:extLst>
        </c:ser>
        <c:ser>
          <c:idx val="2"/>
          <c:order val="2"/>
          <c:tx>
            <c:strRef>
              <c:f>'link types'!$K$3</c:f>
              <c:strCache>
                <c:ptCount val="1"/>
                <c:pt idx="0">
                  <c:v>Freight energy consumption</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types'!$F$4:$F$10</c:f>
              <c:strCache>
                <c:ptCount val="7"/>
                <c:pt idx="0">
                  <c:v>A</c:v>
                </c:pt>
                <c:pt idx="1">
                  <c:v>S</c:v>
                </c:pt>
                <c:pt idx="2">
                  <c:v>GP</c:v>
                </c:pt>
                <c:pt idx="3">
                  <c:v>G</c:v>
                </c:pt>
                <c:pt idx="4">
                  <c:v>Z</c:v>
                </c:pt>
                <c:pt idx="5">
                  <c:v>L</c:v>
                </c:pt>
                <c:pt idx="6">
                  <c:v>Service</c:v>
                </c:pt>
              </c:strCache>
            </c:strRef>
          </c:cat>
          <c:val>
            <c:numRef>
              <c:f>'link types'!$K$4:$K$10</c:f>
              <c:numCache>
                <c:formatCode>General</c:formatCode>
                <c:ptCount val="7"/>
                <c:pt idx="0">
                  <c:v>6.2772435272705245</c:v>
                </c:pt>
                <c:pt idx="1">
                  <c:v>6.2870936690867003</c:v>
                </c:pt>
                <c:pt idx="2">
                  <c:v>5.5519206019454446</c:v>
                </c:pt>
                <c:pt idx="3">
                  <c:v>5.6414685564599329</c:v>
                </c:pt>
                <c:pt idx="4">
                  <c:v>6.0497989924468003</c:v>
                </c:pt>
                <c:pt idx="5">
                  <c:v>5.8592803342245388</c:v>
                </c:pt>
                <c:pt idx="6">
                  <c:v>6.2630715892031272</c:v>
                </c:pt>
              </c:numCache>
            </c:numRef>
          </c:val>
          <c:extLst>
            <c:ext xmlns:c16="http://schemas.microsoft.com/office/drawing/2014/chart" uri="{C3380CC4-5D6E-409C-BE32-E72D297353CC}">
              <c16:uniqueId val="{00000002-5337-4523-BB1F-59207866F050}"/>
            </c:ext>
          </c:extLst>
        </c:ser>
        <c:ser>
          <c:idx val="3"/>
          <c:order val="3"/>
          <c:tx>
            <c:strRef>
              <c:f>'link types'!$L$3</c:f>
              <c:strCache>
                <c:ptCount val="1"/>
                <c:pt idx="0">
                  <c:v>Freight emission cost (x1000)</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types'!$F$4:$F$10</c:f>
              <c:strCache>
                <c:ptCount val="7"/>
                <c:pt idx="0">
                  <c:v>A</c:v>
                </c:pt>
                <c:pt idx="1">
                  <c:v>S</c:v>
                </c:pt>
                <c:pt idx="2">
                  <c:v>GP</c:v>
                </c:pt>
                <c:pt idx="3">
                  <c:v>G</c:v>
                </c:pt>
                <c:pt idx="4">
                  <c:v>Z</c:v>
                </c:pt>
                <c:pt idx="5">
                  <c:v>L</c:v>
                </c:pt>
                <c:pt idx="6">
                  <c:v>Service</c:v>
                </c:pt>
              </c:strCache>
            </c:strRef>
          </c:cat>
          <c:val>
            <c:numRef>
              <c:f>'link types'!$L$4:$L$10</c:f>
              <c:numCache>
                <c:formatCode>General</c:formatCode>
                <c:ptCount val="7"/>
                <c:pt idx="0">
                  <c:v>7.5717170322323168</c:v>
                </c:pt>
                <c:pt idx="1">
                  <c:v>6.9849337876851481</c:v>
                </c:pt>
                <c:pt idx="2">
                  <c:v>7.0706706098064176</c:v>
                </c:pt>
                <c:pt idx="3">
                  <c:v>6.9897961370998001</c:v>
                </c:pt>
                <c:pt idx="4">
                  <c:v>7.5613593713257918</c:v>
                </c:pt>
                <c:pt idx="5">
                  <c:v>7.7910899432933327</c:v>
                </c:pt>
                <c:pt idx="6">
                  <c:v>8.0798006689098578</c:v>
                </c:pt>
              </c:numCache>
            </c:numRef>
          </c:val>
          <c:extLst>
            <c:ext xmlns:c16="http://schemas.microsoft.com/office/drawing/2014/chart" uri="{C3380CC4-5D6E-409C-BE32-E72D297353CC}">
              <c16:uniqueId val="{00000003-5337-4523-BB1F-59207866F050}"/>
            </c:ext>
          </c:extLst>
        </c:ser>
        <c:dLbls>
          <c:dLblPos val="outEnd"/>
          <c:showLegendKey val="0"/>
          <c:showVal val="1"/>
          <c:showCatName val="0"/>
          <c:showSerName val="0"/>
          <c:showPercent val="0"/>
          <c:showBubbleSize val="0"/>
        </c:dLbls>
        <c:gapWidth val="150"/>
        <c:axId val="1562429744"/>
        <c:axId val="1562413904"/>
      </c:barChart>
      <c:catAx>
        <c:axId val="15624297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Road class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562413904"/>
        <c:crosses val="autoZero"/>
        <c:auto val="1"/>
        <c:lblAlgn val="ctr"/>
        <c:lblOffset val="100"/>
        <c:noMultiLvlLbl val="0"/>
      </c:catAx>
      <c:valAx>
        <c:axId val="156241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Energy consumption [MJ] or Cost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56242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Total energy consumption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v>1</c:v>
          </c:tx>
          <c:spPr>
            <a:solidFill>
              <a:schemeClr val="accent1"/>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types'!$AZ$4:$AZ$10</c:f>
              <c:numCache>
                <c:formatCode>General</c:formatCode>
                <c:ptCount val="7"/>
                <c:pt idx="0">
                  <c:v>3.3816681168988918</c:v>
                </c:pt>
                <c:pt idx="1">
                  <c:v>3.1829013257669616</c:v>
                </c:pt>
                <c:pt idx="2">
                  <c:v>2.6684211742431407</c:v>
                </c:pt>
                <c:pt idx="3">
                  <c:v>2.4743149920762639</c:v>
                </c:pt>
                <c:pt idx="4">
                  <c:v>2.4833580951539118</c:v>
                </c:pt>
                <c:pt idx="5">
                  <c:v>2.5457735271822508</c:v>
                </c:pt>
                <c:pt idx="6">
                  <c:v>2.7699319868643797</c:v>
                </c:pt>
              </c:numCache>
            </c:numRef>
          </c:val>
          <c:extLst>
            <c:ext xmlns:c16="http://schemas.microsoft.com/office/drawing/2014/chart" uri="{C3380CC4-5D6E-409C-BE32-E72D297353CC}">
              <c16:uniqueId val="{00000000-F297-487B-9EDD-B80C44E0420F}"/>
            </c:ext>
          </c:extLst>
        </c:ser>
        <c:ser>
          <c:idx val="1"/>
          <c:order val="1"/>
          <c:tx>
            <c:v>2</c:v>
          </c:tx>
          <c:spPr>
            <a:solidFill>
              <a:schemeClr val="accent2"/>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types'!$BA$4:$BA$10</c:f>
              <c:numCache>
                <c:formatCode>General</c:formatCode>
                <c:ptCount val="7"/>
                <c:pt idx="0">
                  <c:v>3.5052381438503653</c:v>
                </c:pt>
                <c:pt idx="1">
                  <c:v>3.6124512431585063</c:v>
                </c:pt>
                <c:pt idx="2">
                  <c:v>2.6671873418390155</c:v>
                </c:pt>
                <c:pt idx="3">
                  <c:v>2.5173193102092064</c:v>
                </c:pt>
                <c:pt idx="4">
                  <c:v>2.5932911613852099</c:v>
                </c:pt>
                <c:pt idx="5">
                  <c:v>2.6898967453604481</c:v>
                </c:pt>
                <c:pt idx="6">
                  <c:v>2.718067869140445</c:v>
                </c:pt>
              </c:numCache>
            </c:numRef>
          </c:val>
          <c:extLst>
            <c:ext xmlns:c16="http://schemas.microsoft.com/office/drawing/2014/chart" uri="{C3380CC4-5D6E-409C-BE32-E72D297353CC}">
              <c16:uniqueId val="{00000001-F297-487B-9EDD-B80C44E0420F}"/>
            </c:ext>
          </c:extLst>
        </c:ser>
        <c:ser>
          <c:idx val="2"/>
          <c:order val="2"/>
          <c:tx>
            <c:v>3</c:v>
          </c:tx>
          <c:spPr>
            <a:solidFill>
              <a:schemeClr val="accent3"/>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types'!$BB$4:$BB$10</c:f>
              <c:numCache>
                <c:formatCode>General</c:formatCode>
                <c:ptCount val="7"/>
                <c:pt idx="0">
                  <c:v>3.0606894304090471</c:v>
                </c:pt>
                <c:pt idx="1">
                  <c:v>3.3799502136842521</c:v>
                </c:pt>
                <c:pt idx="2">
                  <c:v>2.5630924797498063</c:v>
                </c:pt>
                <c:pt idx="3">
                  <c:v>2.8028462694166882</c:v>
                </c:pt>
                <c:pt idx="4">
                  <c:v>2.982769903078792</c:v>
                </c:pt>
                <c:pt idx="5">
                  <c:v>3.2136989014968749</c:v>
                </c:pt>
                <c:pt idx="6">
                  <c:v>3.0657308478608574</c:v>
                </c:pt>
              </c:numCache>
            </c:numRef>
          </c:val>
          <c:extLst>
            <c:ext xmlns:c16="http://schemas.microsoft.com/office/drawing/2014/chart" uri="{C3380CC4-5D6E-409C-BE32-E72D297353CC}">
              <c16:uniqueId val="{00000002-F297-487B-9EDD-B80C44E0420F}"/>
            </c:ext>
          </c:extLst>
        </c:ser>
        <c:ser>
          <c:idx val="3"/>
          <c:order val="3"/>
          <c:tx>
            <c:v>4</c:v>
          </c:tx>
          <c:spPr>
            <a:solidFill>
              <a:schemeClr val="accent4"/>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types'!$BC$4:$BC$10</c:f>
              <c:numCache>
                <c:formatCode>General</c:formatCode>
                <c:ptCount val="7"/>
                <c:pt idx="0">
                  <c:v>3.1251303200613449</c:v>
                </c:pt>
                <c:pt idx="1">
                  <c:v>3.180596597898488</c:v>
                </c:pt>
                <c:pt idx="2">
                  <c:v>2.6379958234287799</c:v>
                </c:pt>
                <c:pt idx="3">
                  <c:v>3.0785741259237223</c:v>
                </c:pt>
                <c:pt idx="4">
                  <c:v>3.1597552782481255</c:v>
                </c:pt>
                <c:pt idx="5">
                  <c:v>3.454290163909711</c:v>
                </c:pt>
                <c:pt idx="6">
                  <c:v>3.6946477291927908</c:v>
                </c:pt>
              </c:numCache>
            </c:numRef>
          </c:val>
          <c:extLst>
            <c:ext xmlns:c16="http://schemas.microsoft.com/office/drawing/2014/chart" uri="{C3380CC4-5D6E-409C-BE32-E72D297353CC}">
              <c16:uniqueId val="{00000003-F297-487B-9EDD-B80C44E0420F}"/>
            </c:ext>
          </c:extLst>
        </c:ser>
        <c:ser>
          <c:idx val="4"/>
          <c:order val="4"/>
          <c:tx>
            <c:v>5</c:v>
          </c:tx>
          <c:spPr>
            <a:solidFill>
              <a:schemeClr val="accent5"/>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types'!$BD$4:$BD$10</c:f>
              <c:numCache>
                <c:formatCode>General</c:formatCode>
                <c:ptCount val="7"/>
                <c:pt idx="0">
                  <c:v>2.892198038630629</c:v>
                </c:pt>
                <c:pt idx="1">
                  <c:v>2.4075869184492551</c:v>
                </c:pt>
                <c:pt idx="2">
                  <c:v>3.1896190472862362</c:v>
                </c:pt>
                <c:pt idx="3">
                  <c:v>3.6901388592703444</c:v>
                </c:pt>
                <c:pt idx="4">
                  <c:v>3.7107820145625845</c:v>
                </c:pt>
                <c:pt idx="5">
                  <c:v>4.6086729503601624</c:v>
                </c:pt>
                <c:pt idx="6">
                  <c:v>3.9744813274021462</c:v>
                </c:pt>
              </c:numCache>
            </c:numRef>
          </c:val>
          <c:extLst>
            <c:ext xmlns:c16="http://schemas.microsoft.com/office/drawing/2014/chart" uri="{C3380CC4-5D6E-409C-BE32-E72D297353CC}">
              <c16:uniqueId val="{00000004-F297-487B-9EDD-B80C44E0420F}"/>
            </c:ext>
          </c:extLst>
        </c:ser>
        <c:dLbls>
          <c:showLegendKey val="0"/>
          <c:showVal val="0"/>
          <c:showCatName val="0"/>
          <c:showSerName val="0"/>
          <c:showPercent val="0"/>
          <c:showBubbleSize val="0"/>
        </c:dLbls>
        <c:gapWidth val="219"/>
        <c:overlap val="-27"/>
        <c:axId val="1454416832"/>
        <c:axId val="1454423072"/>
      </c:barChart>
      <c:catAx>
        <c:axId val="1454416832"/>
        <c:scaling>
          <c:orientation val="minMax"/>
        </c:scaling>
        <c:delete val="0"/>
        <c:axPos val="b"/>
        <c:title>
          <c:tx>
            <c:rich>
              <a:bodyPr rot="0" spcFirstLastPara="1" vertOverflow="ellipsis" vert="horz" wrap="square" anchor="ctr" anchorCtr="1"/>
              <a:lstStyle/>
              <a:p>
                <a:pPr algn="ct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Road class and level of service</a:t>
                </a:r>
              </a:p>
            </c:rich>
          </c:tx>
          <c:overlay val="0"/>
          <c:spPr>
            <a:noFill/>
            <a:ln>
              <a:noFill/>
            </a:ln>
            <a:effectLst/>
          </c:spPr>
          <c:txPr>
            <a:bodyPr rot="0" spcFirstLastPara="1" vertOverflow="ellipsis" vert="horz" wrap="square" anchor="ctr" anchorCtr="1"/>
            <a:lstStyle/>
            <a:p>
              <a:pPr algn="ct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454423072"/>
        <c:crosses val="autoZero"/>
        <c:auto val="1"/>
        <c:lblAlgn val="ctr"/>
        <c:lblOffset val="100"/>
        <c:noMultiLvlLbl val="0"/>
      </c:catAx>
      <c:valAx>
        <c:axId val="1454423072"/>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Energy consumption [MJ]</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454416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pl-PL"/>
              <a:t>Freight energy consumption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v>1</c:v>
          </c:tx>
          <c:spPr>
            <a:solidFill>
              <a:schemeClr val="accent1"/>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types'!$BE$4:$BE$10</c:f>
              <c:numCache>
                <c:formatCode>General</c:formatCode>
                <c:ptCount val="7"/>
                <c:pt idx="0">
                  <c:v>6.2731094413011483</c:v>
                </c:pt>
                <c:pt idx="1">
                  <c:v>6.1013896137168295</c:v>
                </c:pt>
                <c:pt idx="2">
                  <c:v>5.5572837130016675</c:v>
                </c:pt>
                <c:pt idx="3">
                  <c:v>5.3379416393547574</c:v>
                </c:pt>
                <c:pt idx="4">
                  <c:v>5.9783435849467299</c:v>
                </c:pt>
                <c:pt idx="5">
                  <c:v>5.5905812693907491</c:v>
                </c:pt>
                <c:pt idx="6">
                  <c:v>6.2770303249900889</c:v>
                </c:pt>
              </c:numCache>
            </c:numRef>
          </c:val>
          <c:extLst>
            <c:ext xmlns:c16="http://schemas.microsoft.com/office/drawing/2014/chart" uri="{C3380CC4-5D6E-409C-BE32-E72D297353CC}">
              <c16:uniqueId val="{00000000-8414-46C9-8E46-058921DCF846}"/>
            </c:ext>
          </c:extLst>
        </c:ser>
        <c:ser>
          <c:idx val="1"/>
          <c:order val="1"/>
          <c:tx>
            <c:v>2</c:v>
          </c:tx>
          <c:spPr>
            <a:solidFill>
              <a:schemeClr val="accent2"/>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types'!$BF$4:$BF$10</c:f>
              <c:numCache>
                <c:formatCode>General</c:formatCode>
                <c:ptCount val="7"/>
                <c:pt idx="0">
                  <c:v>6.3300047847190113</c:v>
                </c:pt>
                <c:pt idx="1">
                  <c:v>6.5625271839783501</c:v>
                </c:pt>
                <c:pt idx="2">
                  <c:v>5.537605431234927</c:v>
                </c:pt>
                <c:pt idx="3">
                  <c:v>5.4514241598804221</c:v>
                </c:pt>
                <c:pt idx="4">
                  <c:v>5.9747683565694407</c:v>
                </c:pt>
                <c:pt idx="5">
                  <c:v>5.999726847928029</c:v>
                </c:pt>
                <c:pt idx="6">
                  <c:v>5.7307406330509458</c:v>
                </c:pt>
              </c:numCache>
            </c:numRef>
          </c:val>
          <c:extLst>
            <c:ext xmlns:c16="http://schemas.microsoft.com/office/drawing/2014/chart" uri="{C3380CC4-5D6E-409C-BE32-E72D297353CC}">
              <c16:uniqueId val="{00000001-8414-46C9-8E46-058921DCF846}"/>
            </c:ext>
          </c:extLst>
        </c:ser>
        <c:ser>
          <c:idx val="2"/>
          <c:order val="2"/>
          <c:tx>
            <c:v>3</c:v>
          </c:tx>
          <c:spPr>
            <a:solidFill>
              <a:schemeClr val="accent3"/>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types'!$BG$4:$BG$10</c:f>
              <c:numCache>
                <c:formatCode>General</c:formatCode>
                <c:ptCount val="7"/>
                <c:pt idx="0">
                  <c:v>5.7581549656529942</c:v>
                </c:pt>
                <c:pt idx="1">
                  <c:v>6.5311387623308441</c:v>
                </c:pt>
                <c:pt idx="2">
                  <c:v>5.2755444868254209</c:v>
                </c:pt>
                <c:pt idx="3">
                  <c:v>6.1604021430813738</c:v>
                </c:pt>
                <c:pt idx="4">
                  <c:v>6.7809664834067824</c:v>
                </c:pt>
                <c:pt idx="5">
                  <c:v>7.7298142196179791</c:v>
                </c:pt>
                <c:pt idx="6">
                  <c:v>7.4421160632068286</c:v>
                </c:pt>
              </c:numCache>
            </c:numRef>
          </c:val>
          <c:extLst>
            <c:ext xmlns:c16="http://schemas.microsoft.com/office/drawing/2014/chart" uri="{C3380CC4-5D6E-409C-BE32-E72D297353CC}">
              <c16:uniqueId val="{00000002-8414-46C9-8E46-058921DCF846}"/>
            </c:ext>
          </c:extLst>
        </c:ser>
        <c:ser>
          <c:idx val="3"/>
          <c:order val="3"/>
          <c:tx>
            <c:v>4</c:v>
          </c:tx>
          <c:spPr>
            <a:solidFill>
              <a:schemeClr val="accent4"/>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types'!$BH$4:$BH$10</c:f>
              <c:numCache>
                <c:formatCode>General</c:formatCode>
                <c:ptCount val="7"/>
                <c:pt idx="0">
                  <c:v>5.8070888035784733</c:v>
                </c:pt>
                <c:pt idx="1">
                  <c:v>6.4549989594087478</c:v>
                </c:pt>
                <c:pt idx="2">
                  <c:v>5.6590102863634932</c:v>
                </c:pt>
                <c:pt idx="3">
                  <c:v>6.731094711156687</c:v>
                </c:pt>
                <c:pt idx="4">
                  <c:v>7.2335166530611934</c:v>
                </c:pt>
                <c:pt idx="5">
                  <c:v>8.5233740883624485</c:v>
                </c:pt>
                <c:pt idx="6">
                  <c:v>8.8619137607887986</c:v>
                </c:pt>
              </c:numCache>
            </c:numRef>
          </c:val>
          <c:extLst>
            <c:ext xmlns:c16="http://schemas.microsoft.com/office/drawing/2014/chart" uri="{C3380CC4-5D6E-409C-BE32-E72D297353CC}">
              <c16:uniqueId val="{00000003-8414-46C9-8E46-058921DCF846}"/>
            </c:ext>
          </c:extLst>
        </c:ser>
        <c:ser>
          <c:idx val="4"/>
          <c:order val="4"/>
          <c:tx>
            <c:v>5</c:v>
          </c:tx>
          <c:spPr>
            <a:solidFill>
              <a:schemeClr val="accent5"/>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types'!$BI$4:$BI$10</c:f>
              <c:numCache>
                <c:formatCode>General</c:formatCode>
                <c:ptCount val="7"/>
                <c:pt idx="0">
                  <c:v>5.8370844073393728</c:v>
                </c:pt>
                <c:pt idx="1">
                  <c:v>5.1925491429801287</c:v>
                </c:pt>
                <c:pt idx="2">
                  <c:v>6.7725162448364609</c:v>
                </c:pt>
                <c:pt idx="3">
                  <c:v>8.4873719533859653</c:v>
                </c:pt>
                <c:pt idx="4">
                  <c:v>8.7512786871948478</c:v>
                </c:pt>
                <c:pt idx="5">
                  <c:v>11.083616767169428</c:v>
                </c:pt>
                <c:pt idx="6">
                  <c:v>9.694414904561178</c:v>
                </c:pt>
              </c:numCache>
            </c:numRef>
          </c:val>
          <c:extLst>
            <c:ext xmlns:c16="http://schemas.microsoft.com/office/drawing/2014/chart" uri="{C3380CC4-5D6E-409C-BE32-E72D297353CC}">
              <c16:uniqueId val="{00000004-8414-46C9-8E46-058921DCF846}"/>
            </c:ext>
          </c:extLst>
        </c:ser>
        <c:dLbls>
          <c:showLegendKey val="0"/>
          <c:showVal val="0"/>
          <c:showCatName val="0"/>
          <c:showSerName val="0"/>
          <c:showPercent val="0"/>
          <c:showBubbleSize val="0"/>
        </c:dLbls>
        <c:gapWidth val="219"/>
        <c:overlap val="-27"/>
        <c:axId val="1454416832"/>
        <c:axId val="1454423072"/>
      </c:barChart>
      <c:catAx>
        <c:axId val="14544168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Road class and level of service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4423072"/>
        <c:crosses val="autoZero"/>
        <c:auto val="1"/>
        <c:lblAlgn val="ctr"/>
        <c:lblOffset val="100"/>
        <c:noMultiLvlLbl val="0"/>
      </c:catAx>
      <c:valAx>
        <c:axId val="1454423072"/>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Energy consumption [MJ]</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4416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Total emission cost (x1000)</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v>1</c:v>
          </c:tx>
          <c:spPr>
            <a:solidFill>
              <a:schemeClr val="accent1"/>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types'!$BT$4:$BT$10</c:f>
              <c:numCache>
                <c:formatCode>General</c:formatCode>
                <c:ptCount val="7"/>
                <c:pt idx="0">
                  <c:v>3.5539804264783572</c:v>
                </c:pt>
                <c:pt idx="1">
                  <c:v>3.1390884257536662</c:v>
                </c:pt>
                <c:pt idx="2">
                  <c:v>2.6121666954339862</c:v>
                </c:pt>
                <c:pt idx="3">
                  <c:v>2.2633088569338549</c:v>
                </c:pt>
                <c:pt idx="4">
                  <c:v>2.2516247970724854</c:v>
                </c:pt>
                <c:pt idx="5">
                  <c:v>2.3182519863096811</c:v>
                </c:pt>
                <c:pt idx="6">
                  <c:v>2.5887638487830817</c:v>
                </c:pt>
              </c:numCache>
            </c:numRef>
          </c:val>
          <c:extLst>
            <c:ext xmlns:c16="http://schemas.microsoft.com/office/drawing/2014/chart" uri="{C3380CC4-5D6E-409C-BE32-E72D297353CC}">
              <c16:uniqueId val="{00000000-84D3-41FA-B8A5-6616249F63BB}"/>
            </c:ext>
          </c:extLst>
        </c:ser>
        <c:ser>
          <c:idx val="1"/>
          <c:order val="1"/>
          <c:tx>
            <c:v>2</c:v>
          </c:tx>
          <c:spPr>
            <a:solidFill>
              <a:schemeClr val="accent2"/>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types'!$BU$4:$BU$10</c:f>
              <c:numCache>
                <c:formatCode>General</c:formatCode>
                <c:ptCount val="7"/>
                <c:pt idx="0">
                  <c:v>3.808955978776567</c:v>
                </c:pt>
                <c:pt idx="1">
                  <c:v>3.5845329342442924</c:v>
                </c:pt>
                <c:pt idx="2">
                  <c:v>2.649101451740147</c:v>
                </c:pt>
                <c:pt idx="3">
                  <c:v>2.3311872133585561</c:v>
                </c:pt>
                <c:pt idx="4">
                  <c:v>2.3843871355593382</c:v>
                </c:pt>
                <c:pt idx="5">
                  <c:v>2.4895228102002598</c:v>
                </c:pt>
                <c:pt idx="6">
                  <c:v>2.5579220959928866</c:v>
                </c:pt>
              </c:numCache>
            </c:numRef>
          </c:val>
          <c:extLst>
            <c:ext xmlns:c16="http://schemas.microsoft.com/office/drawing/2014/chart" uri="{C3380CC4-5D6E-409C-BE32-E72D297353CC}">
              <c16:uniqueId val="{00000001-84D3-41FA-B8A5-6616249F63BB}"/>
            </c:ext>
          </c:extLst>
        </c:ser>
        <c:ser>
          <c:idx val="2"/>
          <c:order val="2"/>
          <c:tx>
            <c:v>3</c:v>
          </c:tx>
          <c:spPr>
            <a:solidFill>
              <a:schemeClr val="accent3"/>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types'!$BV$4:$BV$10</c:f>
              <c:numCache>
                <c:formatCode>General</c:formatCode>
                <c:ptCount val="7"/>
                <c:pt idx="0">
                  <c:v>3.0491661836397963</c:v>
                </c:pt>
                <c:pt idx="1">
                  <c:v>3.2569533998821534</c:v>
                </c:pt>
                <c:pt idx="2">
                  <c:v>2.4472142734206419</c:v>
                </c:pt>
                <c:pt idx="3">
                  <c:v>2.6848551871647532</c:v>
                </c:pt>
                <c:pt idx="4">
                  <c:v>2.747684730116279</c:v>
                </c:pt>
                <c:pt idx="5">
                  <c:v>2.9723905514574946</c:v>
                </c:pt>
                <c:pt idx="6">
                  <c:v>2.9446609058893665</c:v>
                </c:pt>
              </c:numCache>
            </c:numRef>
          </c:val>
          <c:extLst>
            <c:ext xmlns:c16="http://schemas.microsoft.com/office/drawing/2014/chart" uri="{C3380CC4-5D6E-409C-BE32-E72D297353CC}">
              <c16:uniqueId val="{00000002-84D3-41FA-B8A5-6616249F63BB}"/>
            </c:ext>
          </c:extLst>
        </c:ser>
        <c:ser>
          <c:idx val="3"/>
          <c:order val="3"/>
          <c:tx>
            <c:v>4</c:v>
          </c:tx>
          <c:spPr>
            <a:solidFill>
              <a:schemeClr val="accent4"/>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types'!$BW$4:$BW$10</c:f>
              <c:numCache>
                <c:formatCode>General</c:formatCode>
                <c:ptCount val="7"/>
                <c:pt idx="0">
                  <c:v>3.1236064813319562</c:v>
                </c:pt>
                <c:pt idx="1">
                  <c:v>3.054200453646029</c:v>
                </c:pt>
                <c:pt idx="2">
                  <c:v>2.4886645265163647</c:v>
                </c:pt>
                <c:pt idx="3">
                  <c:v>3.0012531257052064</c:v>
                </c:pt>
                <c:pt idx="4">
                  <c:v>2.8969039194634854</c:v>
                </c:pt>
                <c:pt idx="5">
                  <c:v>3.0193532358790862</c:v>
                </c:pt>
                <c:pt idx="6">
                  <c:v>3.5655411702759765</c:v>
                </c:pt>
              </c:numCache>
            </c:numRef>
          </c:val>
          <c:extLst>
            <c:ext xmlns:c16="http://schemas.microsoft.com/office/drawing/2014/chart" uri="{C3380CC4-5D6E-409C-BE32-E72D297353CC}">
              <c16:uniqueId val="{00000003-84D3-41FA-B8A5-6616249F63BB}"/>
            </c:ext>
          </c:extLst>
        </c:ser>
        <c:ser>
          <c:idx val="4"/>
          <c:order val="4"/>
          <c:tx>
            <c:v>5</c:v>
          </c:tx>
          <c:spPr>
            <a:solidFill>
              <a:schemeClr val="accent5"/>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types'!$BX$4:$BX$10</c:f>
              <c:numCache>
                <c:formatCode>General</c:formatCode>
                <c:ptCount val="7"/>
                <c:pt idx="0">
                  <c:v>2.7788727050063433</c:v>
                </c:pt>
                <c:pt idx="1">
                  <c:v>2.1908535158959688</c:v>
                </c:pt>
                <c:pt idx="2">
                  <c:v>3.159214488948749</c:v>
                </c:pt>
                <c:pt idx="3">
                  <c:v>3.3669551573683925</c:v>
                </c:pt>
                <c:pt idx="4">
                  <c:v>3.1858633397634017</c:v>
                </c:pt>
                <c:pt idx="5">
                  <c:v>4.210626678544986</c:v>
                </c:pt>
                <c:pt idx="6">
                  <c:v>3.6887987417229269</c:v>
                </c:pt>
              </c:numCache>
            </c:numRef>
          </c:val>
          <c:extLst>
            <c:ext xmlns:c16="http://schemas.microsoft.com/office/drawing/2014/chart" uri="{C3380CC4-5D6E-409C-BE32-E72D297353CC}">
              <c16:uniqueId val="{00000004-84D3-41FA-B8A5-6616249F63BB}"/>
            </c:ext>
          </c:extLst>
        </c:ser>
        <c:dLbls>
          <c:showLegendKey val="0"/>
          <c:showVal val="0"/>
          <c:showCatName val="0"/>
          <c:showSerName val="0"/>
          <c:showPercent val="0"/>
          <c:showBubbleSize val="0"/>
        </c:dLbls>
        <c:gapWidth val="219"/>
        <c:overlap val="-27"/>
        <c:axId val="1454416832"/>
        <c:axId val="1454423072"/>
      </c:barChart>
      <c:catAx>
        <c:axId val="14544168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Road class and level of service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454423072"/>
        <c:crosses val="autoZero"/>
        <c:auto val="1"/>
        <c:lblAlgn val="ctr"/>
        <c:lblOffset val="100"/>
        <c:noMultiLvlLbl val="0"/>
      </c:catAx>
      <c:valAx>
        <c:axId val="1454423072"/>
        <c:scaling>
          <c:orientation val="minMax"/>
          <c:max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Emission costs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454416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Freight emission cost</a:t>
            </a:r>
            <a:r>
              <a:rPr lang="pl-PL" sz="108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a:t>
            </a:r>
            <a:r>
              <a:rPr lang="pl-PL"/>
              <a:t>- COPERT (x1000)</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v>1</c:v>
          </c:tx>
          <c:spPr>
            <a:solidFill>
              <a:schemeClr val="accent1"/>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types'!$BY$4:$BY$10</c:f>
              <c:numCache>
                <c:formatCode>General</c:formatCode>
                <c:ptCount val="7"/>
                <c:pt idx="0">
                  <c:v>7.4710965463179875</c:v>
                </c:pt>
                <c:pt idx="1">
                  <c:v>6.8952333240626524</c:v>
                </c:pt>
                <c:pt idx="2">
                  <c:v>7.0871434063565086</c:v>
                </c:pt>
                <c:pt idx="3">
                  <c:v>6.5659911697369608</c:v>
                </c:pt>
                <c:pt idx="4">
                  <c:v>7.2760455095126275</c:v>
                </c:pt>
                <c:pt idx="5">
                  <c:v>7.4112324787090644</c:v>
                </c:pt>
                <c:pt idx="6">
                  <c:v>8.1205532802944216</c:v>
                </c:pt>
              </c:numCache>
            </c:numRef>
          </c:val>
          <c:extLst>
            <c:ext xmlns:c16="http://schemas.microsoft.com/office/drawing/2014/chart" uri="{C3380CC4-5D6E-409C-BE32-E72D297353CC}">
              <c16:uniqueId val="{00000000-4DF3-420A-B4A1-348E30E953F5}"/>
            </c:ext>
          </c:extLst>
        </c:ser>
        <c:ser>
          <c:idx val="1"/>
          <c:order val="1"/>
          <c:tx>
            <c:v>2</c:v>
          </c:tx>
          <c:spPr>
            <a:solidFill>
              <a:schemeClr val="accent2"/>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types'!$BZ$4:$BZ$10</c:f>
              <c:numCache>
                <c:formatCode>General</c:formatCode>
                <c:ptCount val="7"/>
                <c:pt idx="0">
                  <c:v>7.7586226263959723</c:v>
                </c:pt>
                <c:pt idx="1">
                  <c:v>7.1695879252318706</c:v>
                </c:pt>
                <c:pt idx="2">
                  <c:v>7.1101234338242882</c:v>
                </c:pt>
                <c:pt idx="3">
                  <c:v>6.648322024253952</c:v>
                </c:pt>
                <c:pt idx="4">
                  <c:v>7.5072827187394351</c:v>
                </c:pt>
                <c:pt idx="5">
                  <c:v>7.9679558347913062</c:v>
                </c:pt>
                <c:pt idx="6">
                  <c:v>7.2295997372901972</c:v>
                </c:pt>
              </c:numCache>
            </c:numRef>
          </c:val>
          <c:extLst>
            <c:ext xmlns:c16="http://schemas.microsoft.com/office/drawing/2014/chart" uri="{C3380CC4-5D6E-409C-BE32-E72D297353CC}">
              <c16:uniqueId val="{00000001-4DF3-420A-B4A1-348E30E953F5}"/>
            </c:ext>
          </c:extLst>
        </c:ser>
        <c:ser>
          <c:idx val="2"/>
          <c:order val="2"/>
          <c:tx>
            <c:v>3</c:v>
          </c:tx>
          <c:spPr>
            <a:solidFill>
              <a:schemeClr val="accent3"/>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types'!$CA$4:$CA$10</c:f>
              <c:numCache>
                <c:formatCode>General</c:formatCode>
                <c:ptCount val="7"/>
                <c:pt idx="0">
                  <c:v>6.699337980548087</c:v>
                </c:pt>
                <c:pt idx="1">
                  <c:v>7.0300776230560684</c:v>
                </c:pt>
                <c:pt idx="2">
                  <c:v>6.5566787640205968</c:v>
                </c:pt>
                <c:pt idx="3">
                  <c:v>7.7502408726520668</c:v>
                </c:pt>
                <c:pt idx="4">
                  <c:v>9.1258052075980913</c:v>
                </c:pt>
                <c:pt idx="5">
                  <c:v>10.707820986612511</c:v>
                </c:pt>
                <c:pt idx="6">
                  <c:v>9.3556153044137869</c:v>
                </c:pt>
              </c:numCache>
            </c:numRef>
          </c:val>
          <c:extLst>
            <c:ext xmlns:c16="http://schemas.microsoft.com/office/drawing/2014/chart" uri="{C3380CC4-5D6E-409C-BE32-E72D297353CC}">
              <c16:uniqueId val="{00000002-4DF3-420A-B4A1-348E30E953F5}"/>
            </c:ext>
          </c:extLst>
        </c:ser>
        <c:ser>
          <c:idx val="3"/>
          <c:order val="3"/>
          <c:tx>
            <c:v>4</c:v>
          </c:tx>
          <c:spPr>
            <a:solidFill>
              <a:schemeClr val="accent4"/>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types'!$CB$4:$CB$10</c:f>
              <c:numCache>
                <c:formatCode>General</c:formatCode>
                <c:ptCount val="7"/>
                <c:pt idx="0">
                  <c:v>6.7196438482592402</c:v>
                </c:pt>
                <c:pt idx="1">
                  <c:v>7.0762625912223207</c:v>
                </c:pt>
                <c:pt idx="2">
                  <c:v>6.8370247421354922</c:v>
                </c:pt>
                <c:pt idx="3">
                  <c:v>8.8702202490254844</c:v>
                </c:pt>
                <c:pt idx="4">
                  <c:v>9.8822772278907234</c:v>
                </c:pt>
                <c:pt idx="5">
                  <c:v>11.899130268822484</c:v>
                </c:pt>
                <c:pt idx="6">
                  <c:v>12.24250820907344</c:v>
                </c:pt>
              </c:numCache>
            </c:numRef>
          </c:val>
          <c:extLst>
            <c:ext xmlns:c16="http://schemas.microsoft.com/office/drawing/2014/chart" uri="{C3380CC4-5D6E-409C-BE32-E72D297353CC}">
              <c16:uniqueId val="{00000003-4DF3-420A-B4A1-348E30E953F5}"/>
            </c:ext>
          </c:extLst>
        </c:ser>
        <c:ser>
          <c:idx val="4"/>
          <c:order val="4"/>
          <c:tx>
            <c:v>5</c:v>
          </c:tx>
          <c:spPr>
            <a:solidFill>
              <a:schemeClr val="accent5"/>
            </a:solidFill>
            <a:ln>
              <a:noFill/>
            </a:ln>
            <a:effectLst/>
          </c:spPr>
          <c:invertIfNegative val="0"/>
          <c:cat>
            <c:strRef>
              <c:f>'link types'!$F$4:$F$10</c:f>
              <c:strCache>
                <c:ptCount val="7"/>
                <c:pt idx="0">
                  <c:v>A</c:v>
                </c:pt>
                <c:pt idx="1">
                  <c:v>S</c:v>
                </c:pt>
                <c:pt idx="2">
                  <c:v>GP</c:v>
                </c:pt>
                <c:pt idx="3">
                  <c:v>G</c:v>
                </c:pt>
                <c:pt idx="4">
                  <c:v>Z</c:v>
                </c:pt>
                <c:pt idx="5">
                  <c:v>L</c:v>
                </c:pt>
                <c:pt idx="6">
                  <c:v>Service</c:v>
                </c:pt>
              </c:strCache>
            </c:strRef>
          </c:cat>
          <c:val>
            <c:numRef>
              <c:f>'link types'!$CC$4:$CC$10</c:f>
              <c:numCache>
                <c:formatCode>General</c:formatCode>
                <c:ptCount val="7"/>
                <c:pt idx="0">
                  <c:v>6.6688777585612486</c:v>
                </c:pt>
                <c:pt idx="1">
                  <c:v>6.3063307262149939</c:v>
                </c:pt>
                <c:pt idx="2">
                  <c:v>8.9149745071523459</c:v>
                </c:pt>
                <c:pt idx="3">
                  <c:v>11.876649425688775</c:v>
                </c:pt>
                <c:pt idx="4">
                  <c:v>12.284027951768463</c:v>
                </c:pt>
                <c:pt idx="5">
                  <c:v>15.226606510449304</c:v>
                </c:pt>
                <c:pt idx="6">
                  <c:v>13.682352379462534</c:v>
                </c:pt>
              </c:numCache>
            </c:numRef>
          </c:val>
          <c:extLst>
            <c:ext xmlns:c16="http://schemas.microsoft.com/office/drawing/2014/chart" uri="{C3380CC4-5D6E-409C-BE32-E72D297353CC}">
              <c16:uniqueId val="{00000004-4DF3-420A-B4A1-348E30E953F5}"/>
            </c:ext>
          </c:extLst>
        </c:ser>
        <c:dLbls>
          <c:showLegendKey val="0"/>
          <c:showVal val="0"/>
          <c:showCatName val="0"/>
          <c:showSerName val="0"/>
          <c:showPercent val="0"/>
          <c:showBubbleSize val="0"/>
        </c:dLbls>
        <c:gapWidth val="219"/>
        <c:overlap val="-27"/>
        <c:axId val="1454416832"/>
        <c:axId val="1454423072"/>
      </c:barChart>
      <c:catAx>
        <c:axId val="14544168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Road class and level of service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454423072"/>
        <c:crosses val="autoZero"/>
        <c:auto val="1"/>
        <c:lblAlgn val="ctr"/>
        <c:lblOffset val="100"/>
        <c:noMultiLvlLbl val="0"/>
      </c:catAx>
      <c:valAx>
        <c:axId val="145442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Emission costs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454416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COPERT</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0.11111315872749949"/>
          <c:y val="0.16621379133555497"/>
          <c:w val="0.86288211314011276"/>
          <c:h val="0.46602183570939815"/>
        </c:manualLayout>
      </c:layout>
      <c:barChart>
        <c:barDir val="col"/>
        <c:grouping val="clustered"/>
        <c:varyColors val="0"/>
        <c:ser>
          <c:idx val="0"/>
          <c:order val="0"/>
          <c:tx>
            <c:strRef>
              <c:f>'Rejony shape transit rate'!$X$2</c:f>
              <c:strCache>
                <c:ptCount val="1"/>
                <c:pt idx="0">
                  <c:v>Total energy consumption</c:v>
                </c:pt>
              </c:strCache>
            </c:strRef>
          </c:tx>
          <c:spPr>
            <a:solidFill>
              <a:schemeClr val="accent1"/>
            </a:solidFill>
            <a:ln>
              <a:noFill/>
            </a:ln>
            <a:effectLst/>
          </c:spPr>
          <c:invertIfNegative val="0"/>
          <c:dLbls>
            <c:dLbl>
              <c:idx val="1"/>
              <c:layout>
                <c:manualLayout>
                  <c:x val="-1.5432098765432098E-2"/>
                  <c:y val="5.12689054088695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4C-434B-9086-DFA7A87BAFCF}"/>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rate'!$W$3:$W$10</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rate'!$X$3:$X$10</c:f>
              <c:numCache>
                <c:formatCode>General</c:formatCode>
                <c:ptCount val="8"/>
                <c:pt idx="0">
                  <c:v>36.267540717120973</c:v>
                </c:pt>
                <c:pt idx="1">
                  <c:v>115.46953087096612</c:v>
                </c:pt>
                <c:pt idx="2">
                  <c:v>93.962477620311944</c:v>
                </c:pt>
                <c:pt idx="3">
                  <c:v>129.76057996427025</c:v>
                </c:pt>
                <c:pt idx="4">
                  <c:v>44.852500045618179</c:v>
                </c:pt>
                <c:pt idx="5">
                  <c:v>70.986831892592207</c:v>
                </c:pt>
                <c:pt idx="6">
                  <c:v>49.421021996346674</c:v>
                </c:pt>
                <c:pt idx="7">
                  <c:v>2.3511380356612408</c:v>
                </c:pt>
              </c:numCache>
            </c:numRef>
          </c:val>
          <c:extLst>
            <c:ext xmlns:c16="http://schemas.microsoft.com/office/drawing/2014/chart" uri="{C3380CC4-5D6E-409C-BE32-E72D297353CC}">
              <c16:uniqueId val="{00000000-3DAE-4BE7-BE65-230FA6030371}"/>
            </c:ext>
          </c:extLst>
        </c:ser>
        <c:ser>
          <c:idx val="1"/>
          <c:order val="1"/>
          <c:tx>
            <c:strRef>
              <c:f>'Rejony shape transit rate'!$Y$2</c:f>
              <c:strCache>
                <c:ptCount val="1"/>
                <c:pt idx="0">
                  <c:v>Total emission cost (x1000)</c:v>
                </c:pt>
              </c:strCache>
            </c:strRef>
          </c:tx>
          <c:spPr>
            <a:solidFill>
              <a:schemeClr val="accent2"/>
            </a:solidFill>
            <a:ln>
              <a:noFill/>
            </a:ln>
            <a:effectLst/>
          </c:spPr>
          <c:invertIfNegative val="0"/>
          <c:dLbls>
            <c:dLbl>
              <c:idx val="3"/>
              <c:layout>
                <c:manualLayout>
                  <c:x val="1.1022927689594276E-2"/>
                  <c:y val="-2.34979768617646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A1-4EF2-A492-C70228D6DB6A}"/>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rate'!$W$3:$W$10</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rate'!$Y$3:$Y$10</c:f>
              <c:numCache>
                <c:formatCode>General</c:formatCode>
                <c:ptCount val="8"/>
                <c:pt idx="0">
                  <c:v>33.155872559349525</c:v>
                </c:pt>
                <c:pt idx="1">
                  <c:v>103.4380024291798</c:v>
                </c:pt>
                <c:pt idx="2">
                  <c:v>115.58612879621438</c:v>
                </c:pt>
                <c:pt idx="3">
                  <c:v>101.39744972001489</c:v>
                </c:pt>
                <c:pt idx="4">
                  <c:v>37.759884525210197</c:v>
                </c:pt>
                <c:pt idx="5">
                  <c:v>46.680297890693758</c:v>
                </c:pt>
                <c:pt idx="6">
                  <c:v>38.617103361952175</c:v>
                </c:pt>
                <c:pt idx="7">
                  <c:v>3.1016152316183683</c:v>
                </c:pt>
              </c:numCache>
            </c:numRef>
          </c:val>
          <c:extLst>
            <c:ext xmlns:c16="http://schemas.microsoft.com/office/drawing/2014/chart" uri="{C3380CC4-5D6E-409C-BE32-E72D297353CC}">
              <c16:uniqueId val="{00000001-3DAE-4BE7-BE65-230FA6030371}"/>
            </c:ext>
          </c:extLst>
        </c:ser>
        <c:ser>
          <c:idx val="2"/>
          <c:order val="2"/>
          <c:tx>
            <c:strRef>
              <c:f>'Rejony shape transit rate'!$Z$2</c:f>
              <c:strCache>
                <c:ptCount val="1"/>
                <c:pt idx="0">
                  <c:v>Freight energy consumption</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rate'!$W$3:$W$10</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rate'!$Z$3:$Z$10</c:f>
              <c:numCache>
                <c:formatCode>General</c:formatCode>
                <c:ptCount val="8"/>
                <c:pt idx="0">
                  <c:v>5.787360408795986</c:v>
                </c:pt>
                <c:pt idx="1">
                  <c:v>16.050777381745895</c:v>
                </c:pt>
                <c:pt idx="2">
                  <c:v>15.912835308060911</c:v>
                </c:pt>
                <c:pt idx="3">
                  <c:v>33.546868719091762</c:v>
                </c:pt>
                <c:pt idx="4">
                  <c:v>7.771453254226242</c:v>
                </c:pt>
                <c:pt idx="5">
                  <c:v>9.9306718862182599</c:v>
                </c:pt>
                <c:pt idx="6">
                  <c:v>10.588534693398817</c:v>
                </c:pt>
                <c:pt idx="7">
                  <c:v>1.3297140629124073</c:v>
                </c:pt>
              </c:numCache>
            </c:numRef>
          </c:val>
          <c:extLst>
            <c:ext xmlns:c16="http://schemas.microsoft.com/office/drawing/2014/chart" uri="{C3380CC4-5D6E-409C-BE32-E72D297353CC}">
              <c16:uniqueId val="{00000002-3DAE-4BE7-BE65-230FA6030371}"/>
            </c:ext>
          </c:extLst>
        </c:ser>
        <c:ser>
          <c:idx val="3"/>
          <c:order val="3"/>
          <c:tx>
            <c:strRef>
              <c:f>'Rejony shape transit rate'!$AA$2</c:f>
              <c:strCache>
                <c:ptCount val="1"/>
                <c:pt idx="0">
                  <c:v>Freight emission cost (x1000)</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'Rejony shape transit rate'!$W$3:$W$10</c:f>
              <c:strCache>
                <c:ptCount val="8"/>
                <c:pt idx="0">
                  <c:v>residential</c:v>
                </c:pt>
                <c:pt idx="1">
                  <c:v>work</c:v>
                </c:pt>
                <c:pt idx="2">
                  <c:v>university</c:v>
                </c:pt>
                <c:pt idx="3">
                  <c:v>other</c:v>
                </c:pt>
                <c:pt idx="4">
                  <c:v>warehouse</c:v>
                </c:pt>
                <c:pt idx="5">
                  <c:v>retail</c:v>
                </c:pt>
                <c:pt idx="6">
                  <c:v>industry</c:v>
                </c:pt>
                <c:pt idx="7">
                  <c:v>logistic centre</c:v>
                </c:pt>
              </c:strCache>
            </c:strRef>
          </c:cat>
          <c:val>
            <c:numRef>
              <c:f>'Rejony shape transit rate'!$AA$3:$AA$10</c:f>
              <c:numCache>
                <c:formatCode>General</c:formatCode>
                <c:ptCount val="8"/>
                <c:pt idx="0">
                  <c:v>7.5056801924621794</c:v>
                </c:pt>
                <c:pt idx="1">
                  <c:v>20.99459728439238</c:v>
                </c:pt>
                <c:pt idx="2">
                  <c:v>24.074975663605301</c:v>
                </c:pt>
                <c:pt idx="3">
                  <c:v>21.587412368751885</c:v>
                </c:pt>
                <c:pt idx="4">
                  <c:v>9.2516054461499611</c:v>
                </c:pt>
                <c:pt idx="5">
                  <c:v>12.65479070289574</c:v>
                </c:pt>
                <c:pt idx="6">
                  <c:v>9.4479282941078253</c:v>
                </c:pt>
                <c:pt idx="7">
                  <c:v>2.2401958574621763</c:v>
                </c:pt>
              </c:numCache>
            </c:numRef>
          </c:val>
          <c:extLst>
            <c:ext xmlns:c16="http://schemas.microsoft.com/office/drawing/2014/chart" uri="{C3380CC4-5D6E-409C-BE32-E72D297353CC}">
              <c16:uniqueId val="{00000003-3DAE-4BE7-BE65-230FA6030371}"/>
            </c:ext>
          </c:extLst>
        </c:ser>
        <c:dLbls>
          <c:dLblPos val="outEnd"/>
          <c:showLegendKey val="0"/>
          <c:showVal val="1"/>
          <c:showCatName val="0"/>
          <c:showSerName val="0"/>
          <c:showPercent val="0"/>
          <c:showBubbleSize val="0"/>
        </c:dLbls>
        <c:gapWidth val="219"/>
        <c:overlap val="-27"/>
        <c:axId val="442357136"/>
        <c:axId val="442366736"/>
      </c:barChart>
      <c:catAx>
        <c:axId val="4423571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Domintating zone function</a:t>
                </a:r>
              </a:p>
            </c:rich>
          </c:tx>
          <c:layout>
            <c:manualLayout>
              <c:xMode val="edge"/>
              <c:yMode val="edge"/>
              <c:x val="0.42083431060479143"/>
              <c:y val="0.740703675819041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442366736"/>
        <c:crosses val="autoZero"/>
        <c:auto val="1"/>
        <c:lblAlgn val="ctr"/>
        <c:lblOffset val="100"/>
        <c:noMultiLvlLbl val="0"/>
      </c:catAx>
      <c:valAx>
        <c:axId val="44236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Energy consumption [MJ] or Cost [EUR]</a:t>
                </a:r>
              </a:p>
            </c:rich>
          </c:tx>
          <c:layout>
            <c:manualLayout>
              <c:xMode val="edge"/>
              <c:yMode val="edge"/>
              <c:x val="1.8912529550827423E-2"/>
              <c:y val="8.931043322225071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442357136"/>
        <c:crosses val="autoZero"/>
        <c:crossBetween val="between"/>
      </c:valAx>
      <c:spPr>
        <a:noFill/>
        <a:ln>
          <a:noFill/>
        </a:ln>
        <a:effectLst/>
      </c:spPr>
    </c:plotArea>
    <c:legend>
      <c:legendPos val="b"/>
      <c:layout>
        <c:manualLayout>
          <c:xMode val="edge"/>
          <c:yMode val="edge"/>
          <c:x val="0.14138586400104242"/>
          <c:y val="0.81424912247414849"/>
          <c:w val="0.78342212542581113"/>
          <c:h val="0.154989534280529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Total energy consumption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strRef>
              <c:f>'link types'!$D$74</c:f>
              <c:strCache>
                <c:ptCount val="1"/>
                <c:pt idx="0">
                  <c:v>0 emission cargo</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types'!$F$77:$F$82</c:f>
              <c:strCache>
                <c:ptCount val="6"/>
                <c:pt idx="0">
                  <c:v>A</c:v>
                </c:pt>
                <c:pt idx="1">
                  <c:v>S</c:v>
                </c:pt>
                <c:pt idx="2">
                  <c:v>GP</c:v>
                </c:pt>
                <c:pt idx="3">
                  <c:v>G</c:v>
                </c:pt>
                <c:pt idx="4">
                  <c:v>Z</c:v>
                </c:pt>
                <c:pt idx="5">
                  <c:v>L</c:v>
                </c:pt>
              </c:strCache>
            </c:strRef>
          </c:cat>
          <c:val>
            <c:numRef>
              <c:f>'link types'!$I$77:$I$82</c:f>
              <c:numCache>
                <c:formatCode>0.0%</c:formatCode>
                <c:ptCount val="6"/>
                <c:pt idx="0">
                  <c:v>-0.13336284616631713</c:v>
                </c:pt>
                <c:pt idx="1">
                  <c:v>-0.14035929474946793</c:v>
                </c:pt>
                <c:pt idx="2">
                  <c:v>-0.1124635956862329</c:v>
                </c:pt>
                <c:pt idx="3">
                  <c:v>-0.14498389521406871</c:v>
                </c:pt>
                <c:pt idx="4">
                  <c:v>-0.11879128152275602</c:v>
                </c:pt>
                <c:pt idx="5">
                  <c:v>-9.7451812627455184E-2</c:v>
                </c:pt>
              </c:numCache>
            </c:numRef>
          </c:val>
          <c:extLst>
            <c:ext xmlns:c16="http://schemas.microsoft.com/office/drawing/2014/chart" uri="{C3380CC4-5D6E-409C-BE32-E72D297353CC}">
              <c16:uniqueId val="{00000000-E443-4385-8B62-48553A2C2F34}"/>
            </c:ext>
          </c:extLst>
        </c:ser>
        <c:ser>
          <c:idx val="1"/>
          <c:order val="1"/>
          <c:tx>
            <c:strRef>
              <c:f>'link types'!$D$89</c:f>
              <c:strCache>
                <c:ptCount val="1"/>
                <c:pt idx="0">
                  <c:v>peak cargo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'link types'!$F$77:$F$82</c:f>
              <c:strCache>
                <c:ptCount val="6"/>
                <c:pt idx="0">
                  <c:v>A</c:v>
                </c:pt>
                <c:pt idx="1">
                  <c:v>S</c:v>
                </c:pt>
                <c:pt idx="2">
                  <c:v>GP</c:v>
                </c:pt>
                <c:pt idx="3">
                  <c:v>G</c:v>
                </c:pt>
                <c:pt idx="4">
                  <c:v>Z</c:v>
                </c:pt>
                <c:pt idx="5">
                  <c:v>L</c:v>
                </c:pt>
              </c:strCache>
            </c:strRef>
          </c:cat>
          <c:val>
            <c:numRef>
              <c:f>'link types'!$I$92:$I$97</c:f>
              <c:numCache>
                <c:formatCode>0.0%</c:formatCode>
                <c:ptCount val="6"/>
                <c:pt idx="0">
                  <c:v>9.6109223837353E-2</c:v>
                </c:pt>
                <c:pt idx="1">
                  <c:v>9.0125926297043857E-2</c:v>
                </c:pt>
                <c:pt idx="2">
                  <c:v>5.8025551261849904E-2</c:v>
                </c:pt>
                <c:pt idx="3">
                  <c:v>5.3762819562522372E-2</c:v>
                </c:pt>
                <c:pt idx="4">
                  <c:v>5.1792865414403706E-2</c:v>
                </c:pt>
                <c:pt idx="5">
                  <c:v>5.2958396469183676E-2</c:v>
                </c:pt>
              </c:numCache>
            </c:numRef>
          </c:val>
          <c:extLst>
            <c:ext xmlns:c16="http://schemas.microsoft.com/office/drawing/2014/chart" uri="{C3380CC4-5D6E-409C-BE32-E72D297353CC}">
              <c16:uniqueId val="{00000001-E443-4385-8B62-48553A2C2F34}"/>
            </c:ext>
          </c:extLst>
        </c:ser>
        <c:dLbls>
          <c:dLblPos val="outEnd"/>
          <c:showLegendKey val="0"/>
          <c:showVal val="1"/>
          <c:showCatName val="0"/>
          <c:showSerName val="0"/>
          <c:showPercent val="0"/>
          <c:showBubbleSize val="0"/>
        </c:dLbls>
        <c:gapWidth val="219"/>
        <c:overlap val="-27"/>
        <c:axId val="1981640816"/>
        <c:axId val="1981651376"/>
      </c:barChart>
      <c:catAx>
        <c:axId val="198164081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981651376"/>
        <c:crosses val="autoZero"/>
        <c:auto val="1"/>
        <c:lblAlgn val="ctr"/>
        <c:lblOffset val="100"/>
        <c:noMultiLvlLbl val="0"/>
      </c:catAx>
      <c:valAx>
        <c:axId val="1981651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98164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58415-6789-48A0-A171-5934CB977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21</Pages>
  <Words>10153</Words>
  <Characters>60918</Characters>
  <Application>Microsoft Office Word</Application>
  <DocSecurity>0</DocSecurity>
  <Lines>507</Lines>
  <Paragraphs>141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70930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Janusz Dabrowski NA</cp:lastModifiedBy>
  <cp:revision>25</cp:revision>
  <cp:lastPrinted>2025-12-16T09:42:00Z</cp:lastPrinted>
  <dcterms:created xsi:type="dcterms:W3CDTF">2025-12-08T08:29:00Z</dcterms:created>
  <dcterms:modified xsi:type="dcterms:W3CDTF">2025-12-16T09:47:00Z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446ae5c4-3cd9-493f-9ea3-0c16ad51ac6b</vt:lpwstr>
  </property>
  <property fmtid="{D5CDD505-2E9C-101B-9397-08002B2CF9AE}" pid="3" name="ZOTERO_PREF_1">
    <vt:lpwstr>&lt;data data-version="3" zotero-version="7.0.30"&gt;&lt;session id="oeDvih2A"/&gt;&lt;style id="http://www.zotero.org/styles/apa" locale="en-GB" hasBibliography="1" bibliographyStyleHasBeenSet="1"/&gt;&lt;prefs&gt;&lt;pref name="fieldType" value="Field"/&gt;&lt;pref name="automaticJourn</vt:lpwstr>
  </property>
  <property fmtid="{D5CDD505-2E9C-101B-9397-08002B2CF9AE}" pid="4" name="ZOTERO_PREF_2">
    <vt:lpwstr>alAbbreviations" value="true"/&gt;&lt;pref name="dontAskDelayCitationUpdates" value="true"/&gt;&lt;/prefs&gt;&lt;/data&gt;</vt:lpwstr>
  </property>
</Properties>
</file>