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1153BE" w:rsidRPr="00464512" w14:paraId="35E580FE" w14:textId="77777777" w:rsidTr="00384768">
        <w:trPr>
          <w:trHeight w:hRule="exact" w:val="142"/>
        </w:trPr>
        <w:tc>
          <w:tcPr>
            <w:tcW w:w="709" w:type="dxa"/>
            <w:vMerge w:val="restart"/>
            <w:vAlign w:val="center"/>
          </w:tcPr>
          <w:p w14:paraId="6154937E" w14:textId="2D0E7A10" w:rsidR="001153BE" w:rsidRPr="00464512" w:rsidRDefault="001153BE" w:rsidP="00384768">
            <w:pPr>
              <w:spacing w:after="0" w:line="240" w:lineRule="auto"/>
              <w:rPr>
                <w:rFonts w:ascii="Times New Roman" w:hAnsi="Times New Roman"/>
                <w:lang w:val="en-GB"/>
              </w:rPr>
            </w:pPr>
            <w:bookmarkStart w:id="0" w:name="_Hlk184284483"/>
            <w:bookmarkStart w:id="1" w:name="_Hlk145412337"/>
            <w:bookmarkStart w:id="2" w:name="_Hlk103340665"/>
            <w:bookmarkStart w:id="3" w:name="_Hlk24804592"/>
            <w:bookmarkEnd w:id="0"/>
            <w:bookmarkEnd w:id="1"/>
            <w:bookmarkEnd w:id="2"/>
            <w:r w:rsidRPr="00464512">
              <w:rPr>
                <w:rFonts w:ascii="Calibri" w:hAnsi="Calibri"/>
                <w:noProof/>
                <w:lang w:val="en-GB"/>
              </w:rPr>
              <w:drawing>
                <wp:anchor distT="0" distB="0" distL="114300" distR="114300" simplePos="0" relativeHeight="251659264" behindDoc="0" locked="0" layoutInCell="1" allowOverlap="1" wp14:anchorId="48FE5D78" wp14:editId="0C6300DC">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04AB2CE2" w14:textId="77777777" w:rsidR="001153BE" w:rsidRPr="00464512" w:rsidRDefault="001153BE" w:rsidP="00384768">
            <w:pPr>
              <w:spacing w:after="0" w:line="240" w:lineRule="auto"/>
              <w:jc w:val="center"/>
              <w:rPr>
                <w:rFonts w:ascii="Times New Roman" w:hAnsi="Times New Roman"/>
                <w:lang w:val="en-GB"/>
              </w:rPr>
            </w:pPr>
          </w:p>
        </w:tc>
      </w:tr>
      <w:tr w:rsidR="001153BE" w:rsidRPr="00464512" w14:paraId="312BFD6D" w14:textId="77777777" w:rsidTr="00384768">
        <w:trPr>
          <w:trHeight w:hRule="exact" w:val="283"/>
        </w:trPr>
        <w:tc>
          <w:tcPr>
            <w:tcW w:w="709" w:type="dxa"/>
            <w:vMerge/>
          </w:tcPr>
          <w:p w14:paraId="40924E2A" w14:textId="77777777" w:rsidR="001153BE" w:rsidRPr="00464512" w:rsidRDefault="001153BE" w:rsidP="00384768">
            <w:pPr>
              <w:spacing w:after="0" w:line="240" w:lineRule="auto"/>
              <w:jc w:val="center"/>
              <w:rPr>
                <w:rFonts w:ascii="Times New Roman" w:hAnsi="Times New Roman"/>
                <w:lang w:val="en-GB"/>
              </w:rPr>
            </w:pPr>
          </w:p>
        </w:tc>
        <w:tc>
          <w:tcPr>
            <w:tcW w:w="8930" w:type="dxa"/>
            <w:gridSpan w:val="3"/>
            <w:tcBorders>
              <w:bottom w:val="single" w:sz="2" w:space="0" w:color="auto"/>
            </w:tcBorders>
            <w:vAlign w:val="center"/>
          </w:tcPr>
          <w:p w14:paraId="47CD7C72" w14:textId="77777777" w:rsidR="001153BE" w:rsidRPr="00464512" w:rsidRDefault="001153BE" w:rsidP="00384768">
            <w:pPr>
              <w:spacing w:after="0" w:line="240" w:lineRule="auto"/>
              <w:jc w:val="center"/>
              <w:rPr>
                <w:rFonts w:ascii="Times New Roman" w:hAnsi="Times New Roman"/>
                <w:lang w:val="en-GB"/>
              </w:rPr>
            </w:pPr>
            <w:proofErr w:type="spellStart"/>
            <w:r w:rsidRPr="00464512">
              <w:rPr>
                <w:rFonts w:ascii="Times New Roman" w:hAnsi="Times New Roman"/>
                <w:b/>
                <w:sz w:val="20"/>
                <w:lang w:val="en-GB"/>
              </w:rPr>
              <w:t>Rocznik</w:t>
            </w:r>
            <w:proofErr w:type="spellEnd"/>
            <w:r w:rsidRPr="00464512">
              <w:rPr>
                <w:rFonts w:ascii="Times New Roman" w:hAnsi="Times New Roman"/>
                <w:b/>
                <w:sz w:val="20"/>
                <w:lang w:val="en-GB"/>
              </w:rPr>
              <w:t xml:space="preserve"> </w:t>
            </w:r>
            <w:proofErr w:type="spellStart"/>
            <w:r w:rsidRPr="00464512">
              <w:rPr>
                <w:rFonts w:ascii="Times New Roman" w:hAnsi="Times New Roman"/>
                <w:b/>
                <w:sz w:val="20"/>
                <w:lang w:val="en-GB"/>
              </w:rPr>
              <w:t>Ochrona</w:t>
            </w:r>
            <w:proofErr w:type="spellEnd"/>
            <w:r w:rsidRPr="00464512">
              <w:rPr>
                <w:rFonts w:ascii="Times New Roman" w:hAnsi="Times New Roman"/>
                <w:b/>
                <w:sz w:val="20"/>
                <w:lang w:val="en-GB"/>
              </w:rPr>
              <w:t xml:space="preserve"> </w:t>
            </w:r>
            <w:proofErr w:type="spellStart"/>
            <w:r w:rsidRPr="00464512">
              <w:rPr>
                <w:rFonts w:ascii="Times New Roman" w:hAnsi="Times New Roman"/>
                <w:b/>
                <w:sz w:val="20"/>
                <w:lang w:val="en-GB"/>
              </w:rPr>
              <w:t>Środowiska</w:t>
            </w:r>
            <w:proofErr w:type="spellEnd"/>
          </w:p>
        </w:tc>
      </w:tr>
      <w:tr w:rsidR="001153BE" w:rsidRPr="00464512" w14:paraId="06E7B441" w14:textId="77777777" w:rsidTr="00384768">
        <w:trPr>
          <w:trHeight w:hRule="exact" w:val="283"/>
        </w:trPr>
        <w:tc>
          <w:tcPr>
            <w:tcW w:w="709" w:type="dxa"/>
            <w:vMerge/>
          </w:tcPr>
          <w:p w14:paraId="7FA61A88" w14:textId="77777777" w:rsidR="001153BE" w:rsidRPr="00464512" w:rsidRDefault="001153BE" w:rsidP="00384768">
            <w:pPr>
              <w:spacing w:after="0" w:line="240" w:lineRule="auto"/>
              <w:jc w:val="center"/>
              <w:rPr>
                <w:rFonts w:ascii="Times New Roman" w:hAnsi="Times New Roman"/>
                <w:lang w:val="en-GB"/>
              </w:rPr>
            </w:pPr>
          </w:p>
        </w:tc>
        <w:tc>
          <w:tcPr>
            <w:tcW w:w="992" w:type="dxa"/>
            <w:tcBorders>
              <w:top w:val="single" w:sz="2" w:space="0" w:color="auto"/>
              <w:bottom w:val="single" w:sz="2" w:space="0" w:color="auto"/>
            </w:tcBorders>
            <w:vAlign w:val="center"/>
          </w:tcPr>
          <w:p w14:paraId="2254CEBE" w14:textId="77777777" w:rsidR="001153BE" w:rsidRPr="00464512" w:rsidRDefault="001153BE" w:rsidP="00384768">
            <w:pPr>
              <w:spacing w:after="0" w:line="240" w:lineRule="auto"/>
              <w:rPr>
                <w:rFonts w:ascii="Times New Roman" w:hAnsi="Times New Roman"/>
                <w:kern w:val="18"/>
                <w:sz w:val="18"/>
                <w:lang w:val="en-GB"/>
              </w:rPr>
            </w:pPr>
            <w:r w:rsidRPr="00464512">
              <w:rPr>
                <w:rFonts w:ascii="Times New Roman" w:hAnsi="Times New Roman"/>
                <w:kern w:val="18"/>
                <w:sz w:val="18"/>
                <w:lang w:val="en-GB"/>
              </w:rPr>
              <w:t>Volume 27</w:t>
            </w:r>
          </w:p>
        </w:tc>
        <w:tc>
          <w:tcPr>
            <w:tcW w:w="6304" w:type="dxa"/>
            <w:tcBorders>
              <w:top w:val="single" w:sz="2" w:space="0" w:color="auto"/>
              <w:bottom w:val="single" w:sz="2" w:space="0" w:color="auto"/>
            </w:tcBorders>
            <w:vAlign w:val="center"/>
          </w:tcPr>
          <w:p w14:paraId="2A8C01E7" w14:textId="77777777" w:rsidR="001153BE" w:rsidRPr="00464512" w:rsidRDefault="001153BE" w:rsidP="00384768">
            <w:pPr>
              <w:tabs>
                <w:tab w:val="left" w:pos="3057"/>
              </w:tabs>
              <w:spacing w:after="0" w:line="240" w:lineRule="auto"/>
              <w:ind w:left="141"/>
              <w:rPr>
                <w:rFonts w:ascii="Times New Roman" w:hAnsi="Times New Roman"/>
                <w:kern w:val="18"/>
                <w:sz w:val="18"/>
                <w:lang w:val="en-GB"/>
              </w:rPr>
            </w:pPr>
            <w:r w:rsidRPr="00464512">
              <w:rPr>
                <w:rFonts w:ascii="Times New Roman" w:hAnsi="Times New Roman"/>
                <w:kern w:val="18"/>
                <w:sz w:val="18"/>
                <w:lang w:val="en-GB"/>
              </w:rPr>
              <w:t>Year 2025</w:t>
            </w:r>
            <w:r w:rsidRPr="00464512">
              <w:rPr>
                <w:rFonts w:ascii="Times New Roman" w:hAnsi="Times New Roman"/>
                <w:kern w:val="18"/>
                <w:sz w:val="18"/>
                <w:lang w:val="en-GB"/>
              </w:rPr>
              <w:tab/>
              <w:t>ISSN 2720-7501</w:t>
            </w:r>
          </w:p>
        </w:tc>
        <w:tc>
          <w:tcPr>
            <w:tcW w:w="1634" w:type="dxa"/>
            <w:tcBorders>
              <w:top w:val="single" w:sz="2" w:space="0" w:color="auto"/>
              <w:bottom w:val="single" w:sz="2" w:space="0" w:color="auto"/>
            </w:tcBorders>
            <w:vAlign w:val="center"/>
          </w:tcPr>
          <w:p w14:paraId="5831BB35" w14:textId="4EB2CF9E" w:rsidR="001153BE" w:rsidRPr="00464512" w:rsidRDefault="001153BE" w:rsidP="00384768">
            <w:pPr>
              <w:spacing w:after="0" w:line="240" w:lineRule="auto"/>
              <w:jc w:val="right"/>
              <w:rPr>
                <w:rFonts w:ascii="Times New Roman" w:hAnsi="Times New Roman"/>
                <w:sz w:val="18"/>
                <w:lang w:val="en-GB"/>
              </w:rPr>
            </w:pPr>
            <w:r w:rsidRPr="00464512">
              <w:rPr>
                <w:rFonts w:ascii="Times New Roman" w:hAnsi="Times New Roman"/>
                <w:sz w:val="18"/>
                <w:lang w:val="en-GB"/>
              </w:rPr>
              <w:t xml:space="preserve">pp. </w:t>
            </w:r>
            <w:r w:rsidR="00D544A3">
              <w:rPr>
                <w:rFonts w:ascii="Times New Roman" w:hAnsi="Times New Roman"/>
                <w:sz w:val="18"/>
                <w:lang w:val="en-GB"/>
              </w:rPr>
              <w:t>722</w:t>
            </w:r>
            <w:r w:rsidRPr="00464512">
              <w:rPr>
                <w:rFonts w:ascii="Times New Roman" w:hAnsi="Times New Roman"/>
                <w:sz w:val="18"/>
                <w:lang w:val="en-GB"/>
              </w:rPr>
              <w:t>-</w:t>
            </w:r>
            <w:r w:rsidR="00D544A3">
              <w:rPr>
                <w:rFonts w:ascii="Times New Roman" w:hAnsi="Times New Roman"/>
                <w:sz w:val="18"/>
                <w:lang w:val="en-GB"/>
              </w:rPr>
              <w:t>737</w:t>
            </w:r>
            <w:r w:rsidRPr="00464512">
              <w:rPr>
                <w:rFonts w:ascii="Times New Roman" w:hAnsi="Times New Roman"/>
                <w:sz w:val="18"/>
                <w:lang w:val="en-GB"/>
              </w:rPr>
              <w:t xml:space="preserve"> </w:t>
            </w:r>
          </w:p>
        </w:tc>
      </w:tr>
      <w:tr w:rsidR="001153BE" w:rsidRPr="00464512" w14:paraId="029E2E42" w14:textId="77777777" w:rsidTr="00384768">
        <w:trPr>
          <w:trHeight w:hRule="exact" w:val="283"/>
        </w:trPr>
        <w:tc>
          <w:tcPr>
            <w:tcW w:w="709" w:type="dxa"/>
          </w:tcPr>
          <w:p w14:paraId="01FAC67B" w14:textId="77777777" w:rsidR="001153BE" w:rsidRPr="00464512" w:rsidRDefault="001153BE" w:rsidP="00384768">
            <w:pPr>
              <w:spacing w:after="0" w:line="240" w:lineRule="auto"/>
              <w:jc w:val="center"/>
              <w:rPr>
                <w:rFonts w:ascii="Times New Roman" w:hAnsi="Times New Roman"/>
                <w:lang w:val="en-GB"/>
              </w:rPr>
            </w:pPr>
          </w:p>
        </w:tc>
        <w:tc>
          <w:tcPr>
            <w:tcW w:w="8930" w:type="dxa"/>
            <w:gridSpan w:val="3"/>
            <w:tcBorders>
              <w:top w:val="single" w:sz="2" w:space="0" w:color="auto"/>
              <w:bottom w:val="single" w:sz="2" w:space="0" w:color="auto"/>
            </w:tcBorders>
            <w:vAlign w:val="center"/>
          </w:tcPr>
          <w:p w14:paraId="0C9D1E40" w14:textId="7BD7CD30" w:rsidR="001153BE" w:rsidRPr="00464512" w:rsidRDefault="001153BE" w:rsidP="00384768">
            <w:pPr>
              <w:tabs>
                <w:tab w:val="right" w:pos="8928"/>
              </w:tabs>
              <w:spacing w:after="0" w:line="240" w:lineRule="auto"/>
              <w:rPr>
                <w:rFonts w:ascii="Times New Roman" w:hAnsi="Times New Roman"/>
                <w:sz w:val="18"/>
                <w:lang w:val="en-GB"/>
              </w:rPr>
            </w:pPr>
            <w:r w:rsidRPr="00464512">
              <w:rPr>
                <w:rFonts w:ascii="Times New Roman" w:hAnsi="Times New Roman"/>
                <w:sz w:val="18"/>
                <w:lang w:val="en-GB"/>
              </w:rPr>
              <w:t>https://doi.org/10.54740/ros.2025.0</w:t>
            </w:r>
            <w:r w:rsidR="00D544A3">
              <w:rPr>
                <w:rFonts w:ascii="Times New Roman" w:hAnsi="Times New Roman"/>
                <w:sz w:val="18"/>
                <w:lang w:val="en-GB"/>
              </w:rPr>
              <w:t>58</w:t>
            </w:r>
            <w:r w:rsidRPr="00464512">
              <w:rPr>
                <w:rFonts w:ascii="Times New Roman" w:hAnsi="Times New Roman"/>
                <w:sz w:val="18"/>
                <w:lang w:val="en-GB"/>
              </w:rPr>
              <w:tab/>
              <w:t>open access</w:t>
            </w:r>
          </w:p>
        </w:tc>
      </w:tr>
      <w:tr w:rsidR="001153BE" w:rsidRPr="00464512" w14:paraId="1E756EBC" w14:textId="77777777" w:rsidTr="00384768">
        <w:trPr>
          <w:trHeight w:hRule="exact" w:val="283"/>
        </w:trPr>
        <w:tc>
          <w:tcPr>
            <w:tcW w:w="709" w:type="dxa"/>
          </w:tcPr>
          <w:p w14:paraId="09615C82" w14:textId="77777777" w:rsidR="001153BE" w:rsidRPr="00464512" w:rsidRDefault="001153BE" w:rsidP="00384768">
            <w:pPr>
              <w:spacing w:after="0" w:line="240" w:lineRule="auto"/>
              <w:jc w:val="center"/>
              <w:rPr>
                <w:rFonts w:ascii="Times New Roman" w:hAnsi="Times New Roman"/>
                <w:lang w:val="en-GB"/>
              </w:rPr>
            </w:pPr>
          </w:p>
        </w:tc>
        <w:tc>
          <w:tcPr>
            <w:tcW w:w="8930" w:type="dxa"/>
            <w:gridSpan w:val="3"/>
            <w:tcBorders>
              <w:top w:val="single" w:sz="2" w:space="0" w:color="auto"/>
            </w:tcBorders>
            <w:vAlign w:val="center"/>
          </w:tcPr>
          <w:p w14:paraId="772696D5" w14:textId="0C45EE29" w:rsidR="001153BE" w:rsidRPr="00464512" w:rsidRDefault="001153BE" w:rsidP="00384768">
            <w:pPr>
              <w:tabs>
                <w:tab w:val="left" w:pos="3684"/>
                <w:tab w:val="right" w:pos="8928"/>
              </w:tabs>
              <w:spacing w:after="0" w:line="240" w:lineRule="auto"/>
              <w:rPr>
                <w:rFonts w:ascii="Times New Roman" w:hAnsi="Times New Roman"/>
                <w:sz w:val="18"/>
                <w:lang w:val="en-GB"/>
              </w:rPr>
            </w:pPr>
            <w:r w:rsidRPr="00464512">
              <w:rPr>
                <w:rFonts w:ascii="Times New Roman" w:hAnsi="Times New Roman"/>
                <w:sz w:val="18"/>
                <w:lang w:val="en-GB"/>
              </w:rPr>
              <w:t>Received: November 2025</w:t>
            </w:r>
            <w:r w:rsidRPr="00464512">
              <w:rPr>
                <w:rFonts w:ascii="Times New Roman" w:hAnsi="Times New Roman"/>
                <w:sz w:val="18"/>
                <w:lang w:val="en-GB"/>
              </w:rPr>
              <w:tab/>
              <w:t>Accepted: November 2025</w:t>
            </w:r>
            <w:r w:rsidRPr="00464512">
              <w:rPr>
                <w:rFonts w:ascii="Times New Roman" w:hAnsi="Times New Roman"/>
                <w:sz w:val="18"/>
                <w:lang w:val="en-GB"/>
              </w:rPr>
              <w:tab/>
              <w:t xml:space="preserve">Published: </w:t>
            </w:r>
            <w:r w:rsidR="00D544A3" w:rsidRPr="00D544A3">
              <w:rPr>
                <w:rFonts w:ascii="Times New Roman" w:hAnsi="Times New Roman"/>
                <w:sz w:val="18"/>
                <w:lang w:val="en-GB"/>
              </w:rPr>
              <w:t>November</w:t>
            </w:r>
            <w:r w:rsidRPr="00464512">
              <w:rPr>
                <w:rFonts w:ascii="Times New Roman" w:hAnsi="Times New Roman"/>
                <w:sz w:val="18"/>
                <w:lang w:val="en-GB"/>
              </w:rPr>
              <w:t xml:space="preserve"> 2025</w:t>
            </w:r>
          </w:p>
        </w:tc>
      </w:tr>
    </w:tbl>
    <w:bookmarkEnd w:id="3"/>
    <w:p w14:paraId="3F51038C" w14:textId="36223C1F" w:rsidR="00B16E16" w:rsidRPr="00464512" w:rsidRDefault="00C4684C" w:rsidP="00307CA8">
      <w:pPr>
        <w:pStyle w:val="Rtytu"/>
        <w:rPr>
          <w:lang w:val="en-GB"/>
        </w:rPr>
      </w:pPr>
      <w:r w:rsidRPr="00464512">
        <w:rPr>
          <w:lang w:val="en-GB"/>
        </w:rPr>
        <w:t>Capital Investments in Sustainable Development of Land Resources of Ukrainian Agrarian and Industrial Complex Enterprises: Assessment</w:t>
      </w:r>
      <w:r w:rsidR="0096179C">
        <w:rPr>
          <w:lang w:val="en-GB"/>
        </w:rPr>
        <w:t>,</w:t>
      </w:r>
      <w:r w:rsidRPr="00464512">
        <w:rPr>
          <w:lang w:val="en-GB"/>
        </w:rPr>
        <w:t xml:space="preserve"> </w:t>
      </w:r>
      <w:proofErr w:type="spellStart"/>
      <w:r w:rsidRPr="00464512">
        <w:rPr>
          <w:lang w:val="en-GB"/>
        </w:rPr>
        <w:t>Modeling</w:t>
      </w:r>
      <w:proofErr w:type="spellEnd"/>
      <w:r w:rsidR="0096179C">
        <w:rPr>
          <w:lang w:val="en-GB"/>
        </w:rPr>
        <w:t>,</w:t>
      </w:r>
      <w:r w:rsidRPr="00464512">
        <w:rPr>
          <w:lang w:val="en-GB"/>
        </w:rPr>
        <w:t xml:space="preserve"> Optimization</w:t>
      </w:r>
    </w:p>
    <w:p w14:paraId="799E1E6D" w14:textId="5EE87DB6" w:rsidR="00D12AA8" w:rsidRPr="00464512" w:rsidRDefault="00D12AA8" w:rsidP="00307CA8">
      <w:pPr>
        <w:pStyle w:val="Rautor"/>
        <w:rPr>
          <w:lang w:val="en-GB"/>
        </w:rPr>
      </w:pPr>
      <w:r w:rsidRPr="00464512">
        <w:rPr>
          <w:lang w:val="en-GB"/>
        </w:rPr>
        <w:t>Oleksandr Zaremba</w:t>
      </w:r>
      <w:r w:rsidRPr="00464512">
        <w:rPr>
          <w:vertAlign w:val="superscript"/>
          <w:lang w:val="en-GB"/>
        </w:rPr>
        <w:t>1</w:t>
      </w:r>
      <w:r w:rsidR="00D544A3">
        <w:rPr>
          <w:lang w:val="en-GB"/>
        </w:rPr>
        <w:t>,</w:t>
      </w:r>
      <w:r w:rsidRPr="00464512">
        <w:rPr>
          <w:lang w:val="en-GB"/>
        </w:rPr>
        <w:t xml:space="preserve"> Andrii Sakhno</w:t>
      </w:r>
      <w:r w:rsidRPr="00464512">
        <w:rPr>
          <w:vertAlign w:val="superscript"/>
          <w:lang w:val="en-GB"/>
        </w:rPr>
        <w:t>2</w:t>
      </w:r>
      <w:r w:rsidR="00D544A3">
        <w:rPr>
          <w:lang w:val="en-GB"/>
        </w:rPr>
        <w:t>,</w:t>
      </w:r>
      <w:r w:rsidRPr="00464512">
        <w:rPr>
          <w:lang w:val="en-GB"/>
        </w:rPr>
        <w:t xml:space="preserve"> </w:t>
      </w:r>
      <w:proofErr w:type="spellStart"/>
      <w:r w:rsidRPr="00464512">
        <w:rPr>
          <w:lang w:val="en-GB"/>
        </w:rPr>
        <w:t>Nataliіa</w:t>
      </w:r>
      <w:proofErr w:type="spellEnd"/>
      <w:r w:rsidRPr="00464512">
        <w:rPr>
          <w:lang w:val="en-GB"/>
        </w:rPr>
        <w:t xml:space="preserve"> Chesnik</w:t>
      </w:r>
      <w:r w:rsidRPr="00464512">
        <w:rPr>
          <w:vertAlign w:val="superscript"/>
          <w:lang w:val="en-GB"/>
        </w:rPr>
        <w:t>3</w:t>
      </w:r>
      <w:r w:rsidR="00D544A3">
        <w:rPr>
          <w:lang w:val="en-GB"/>
        </w:rPr>
        <w:t>,</w:t>
      </w:r>
      <w:r w:rsidR="003603DE" w:rsidRPr="00464512">
        <w:rPr>
          <w:lang w:val="en-GB"/>
        </w:rPr>
        <w:t xml:space="preserve"> </w:t>
      </w:r>
      <w:r w:rsidRPr="00464512">
        <w:rPr>
          <w:lang w:val="en-GB"/>
        </w:rPr>
        <w:t>Vitalii Nitsenko</w:t>
      </w:r>
      <w:r w:rsidR="008D73BE">
        <w:rPr>
          <w:vertAlign w:val="superscript"/>
          <w:lang w:val="en-GB"/>
        </w:rPr>
        <w:t>4</w:t>
      </w:r>
      <w:r w:rsidR="00875743">
        <w:rPr>
          <w:vertAlign w:val="superscript"/>
          <w:lang w:val="en-GB"/>
        </w:rPr>
        <w:t>*</w:t>
      </w:r>
      <w:r w:rsidR="00D544A3">
        <w:rPr>
          <w:lang w:val="en-GB"/>
        </w:rPr>
        <w:t>,</w:t>
      </w:r>
      <w:r w:rsidRPr="00464512">
        <w:rPr>
          <w:lang w:val="en-GB"/>
        </w:rPr>
        <w:t xml:space="preserve"> </w:t>
      </w:r>
      <w:r w:rsidR="00D544A3">
        <w:rPr>
          <w:lang w:val="en-GB"/>
        </w:rPr>
        <w:br/>
      </w:r>
      <w:r w:rsidRPr="00464512">
        <w:rPr>
          <w:lang w:val="en-GB"/>
        </w:rPr>
        <w:t>Illia Chikov</w:t>
      </w:r>
      <w:r w:rsidR="008D73BE">
        <w:rPr>
          <w:vertAlign w:val="superscript"/>
          <w:lang w:val="en-GB"/>
        </w:rPr>
        <w:t>5</w:t>
      </w:r>
      <w:r w:rsidR="00D544A3">
        <w:rPr>
          <w:lang w:val="en-GB"/>
        </w:rPr>
        <w:t>,</w:t>
      </w:r>
      <w:r w:rsidRPr="00464512">
        <w:rPr>
          <w:lang w:val="en-GB"/>
        </w:rPr>
        <w:t xml:space="preserve"> Tetiana Zakharova</w:t>
      </w:r>
      <w:r w:rsidR="008D73BE">
        <w:rPr>
          <w:vertAlign w:val="superscript"/>
          <w:lang w:val="en-GB"/>
        </w:rPr>
        <w:t>6</w:t>
      </w:r>
      <w:r w:rsidR="00D544A3">
        <w:rPr>
          <w:lang w:val="en-GB"/>
        </w:rPr>
        <w:t>,</w:t>
      </w:r>
      <w:r w:rsidRPr="00464512">
        <w:rPr>
          <w:lang w:val="en-GB"/>
        </w:rPr>
        <w:t xml:space="preserve"> </w:t>
      </w:r>
      <w:proofErr w:type="spellStart"/>
      <w:r w:rsidRPr="00464512">
        <w:rPr>
          <w:lang w:val="en-GB"/>
        </w:rPr>
        <w:t>Liudmyla</w:t>
      </w:r>
      <w:proofErr w:type="spellEnd"/>
      <w:r w:rsidRPr="00464512">
        <w:rPr>
          <w:lang w:val="en-GB"/>
        </w:rPr>
        <w:t xml:space="preserve"> Boltovska</w:t>
      </w:r>
      <w:r w:rsidR="008D73BE">
        <w:rPr>
          <w:vertAlign w:val="superscript"/>
          <w:lang w:val="en-GB"/>
        </w:rPr>
        <w:t>7</w:t>
      </w:r>
    </w:p>
    <w:p w14:paraId="59AC83C6" w14:textId="6614431D" w:rsidR="00D12AA8" w:rsidRPr="00464512" w:rsidRDefault="00D12AA8" w:rsidP="00307CA8">
      <w:pPr>
        <w:pStyle w:val="Rafiliacja"/>
        <w:rPr>
          <w:lang w:val="en-GB"/>
        </w:rPr>
      </w:pPr>
      <w:r w:rsidRPr="00464512">
        <w:rPr>
          <w:vertAlign w:val="superscript"/>
          <w:lang w:val="en-GB"/>
        </w:rPr>
        <w:t>1</w:t>
      </w:r>
      <w:r w:rsidRPr="00464512">
        <w:rPr>
          <w:lang w:val="en-GB"/>
        </w:rPr>
        <w:t>Department of Economics and Entrepreneurship</w:t>
      </w:r>
      <w:r w:rsidR="008D73BE">
        <w:rPr>
          <w:lang w:val="en-GB"/>
        </w:rPr>
        <w:t>,</w:t>
      </w:r>
      <w:r w:rsidR="00307CA8" w:rsidRPr="00464512">
        <w:rPr>
          <w:lang w:val="en-GB"/>
        </w:rPr>
        <w:t xml:space="preserve"> </w:t>
      </w:r>
      <w:r w:rsidRPr="00464512">
        <w:rPr>
          <w:lang w:val="en-GB"/>
        </w:rPr>
        <w:t>Vinnytsia National Agrarian University</w:t>
      </w:r>
      <w:r w:rsidR="008D73BE">
        <w:rPr>
          <w:lang w:val="en-GB"/>
        </w:rPr>
        <w:t>,</w:t>
      </w:r>
      <w:r w:rsidRPr="00464512">
        <w:rPr>
          <w:lang w:val="en-GB"/>
        </w:rPr>
        <w:t xml:space="preserve"> Vinnytsia</w:t>
      </w:r>
      <w:r w:rsidR="008D73BE">
        <w:rPr>
          <w:lang w:val="en-GB"/>
        </w:rPr>
        <w:t>,</w:t>
      </w:r>
      <w:r w:rsidRPr="00464512">
        <w:rPr>
          <w:lang w:val="en-GB"/>
        </w:rPr>
        <w:t xml:space="preserve"> Ukraine</w:t>
      </w:r>
      <w:r w:rsidR="00307CA8" w:rsidRPr="00464512">
        <w:rPr>
          <w:lang w:val="en-GB"/>
        </w:rPr>
        <w:t xml:space="preserve"> </w:t>
      </w:r>
      <w:r w:rsidRPr="00464512">
        <w:rPr>
          <w:lang w:val="en-GB"/>
        </w:rPr>
        <w:t>https://orcid.org/0009-0008-7541-292X</w:t>
      </w:r>
    </w:p>
    <w:p w14:paraId="11BBF3E8" w14:textId="00E0DEB2" w:rsidR="00D12AA8" w:rsidRPr="00464512" w:rsidRDefault="00D12AA8" w:rsidP="00307CA8">
      <w:pPr>
        <w:pStyle w:val="Rafiliacja"/>
        <w:rPr>
          <w:lang w:val="en-GB"/>
        </w:rPr>
      </w:pPr>
      <w:r w:rsidRPr="00464512">
        <w:rPr>
          <w:vertAlign w:val="superscript"/>
          <w:lang w:val="en-GB"/>
        </w:rPr>
        <w:t>2</w:t>
      </w:r>
      <w:r w:rsidRPr="00464512">
        <w:rPr>
          <w:lang w:val="en-GB"/>
        </w:rPr>
        <w:t>Department of Economics and Entrepreneurship</w:t>
      </w:r>
      <w:r w:rsidR="008D73BE">
        <w:rPr>
          <w:lang w:val="en-GB"/>
        </w:rPr>
        <w:t>,</w:t>
      </w:r>
      <w:r w:rsidR="00307CA8" w:rsidRPr="00464512">
        <w:rPr>
          <w:lang w:val="en-GB"/>
        </w:rPr>
        <w:t xml:space="preserve"> </w:t>
      </w:r>
      <w:r w:rsidRPr="00464512">
        <w:rPr>
          <w:lang w:val="en-GB"/>
        </w:rPr>
        <w:t>Vinnytsia National Agrarian University</w:t>
      </w:r>
      <w:r w:rsidR="008D73BE">
        <w:rPr>
          <w:lang w:val="en-GB"/>
        </w:rPr>
        <w:t>,</w:t>
      </w:r>
      <w:r w:rsidRPr="00464512">
        <w:rPr>
          <w:lang w:val="en-GB"/>
        </w:rPr>
        <w:t xml:space="preserve"> Vinnytsia</w:t>
      </w:r>
      <w:r w:rsidR="008D73BE">
        <w:rPr>
          <w:lang w:val="en-GB"/>
        </w:rPr>
        <w:t>,</w:t>
      </w:r>
      <w:r w:rsidRPr="00464512">
        <w:rPr>
          <w:lang w:val="en-GB"/>
        </w:rPr>
        <w:t xml:space="preserve"> Ukraine</w:t>
      </w:r>
      <w:r w:rsidR="00307CA8" w:rsidRPr="00464512">
        <w:rPr>
          <w:lang w:val="en-GB"/>
        </w:rPr>
        <w:t xml:space="preserve"> </w:t>
      </w:r>
      <w:r w:rsidRPr="00464512">
        <w:rPr>
          <w:lang w:val="en-GB"/>
        </w:rPr>
        <w:t>https://orcid.org/0000-0002-6135-2371</w:t>
      </w:r>
    </w:p>
    <w:p w14:paraId="42CDBCF2" w14:textId="78DFFE62" w:rsidR="00D12AA8" w:rsidRPr="00464512" w:rsidRDefault="00D12AA8" w:rsidP="00307CA8">
      <w:pPr>
        <w:pStyle w:val="Rafiliacja"/>
        <w:rPr>
          <w:lang w:val="en-GB"/>
        </w:rPr>
      </w:pPr>
      <w:r w:rsidRPr="00464512">
        <w:rPr>
          <w:vertAlign w:val="superscript"/>
          <w:lang w:val="en-GB"/>
        </w:rPr>
        <w:t>3</w:t>
      </w:r>
      <w:r w:rsidRPr="00464512">
        <w:rPr>
          <w:lang w:val="en-GB"/>
        </w:rPr>
        <w:t>Department of Business and Law</w:t>
      </w:r>
      <w:r w:rsidR="008D73BE">
        <w:rPr>
          <w:lang w:val="en-GB"/>
        </w:rPr>
        <w:t>,</w:t>
      </w:r>
      <w:r w:rsidR="00307CA8" w:rsidRPr="00464512">
        <w:rPr>
          <w:lang w:val="en-GB"/>
        </w:rPr>
        <w:t xml:space="preserve"> </w:t>
      </w:r>
      <w:r w:rsidRPr="00464512">
        <w:rPr>
          <w:lang w:val="en-GB"/>
        </w:rPr>
        <w:t>Vinnytsia Socio-Economic Institute of the University «Ukraine»</w:t>
      </w:r>
      <w:r w:rsidR="008D73BE">
        <w:rPr>
          <w:lang w:val="en-GB"/>
        </w:rPr>
        <w:t>,</w:t>
      </w:r>
      <w:r w:rsidRPr="00464512">
        <w:rPr>
          <w:lang w:val="en-GB"/>
        </w:rPr>
        <w:t xml:space="preserve"> Ukraine</w:t>
      </w:r>
      <w:r w:rsidR="008D73BE">
        <w:rPr>
          <w:lang w:val="en-GB"/>
        </w:rPr>
        <w:t>,</w:t>
      </w:r>
      <w:r w:rsidR="001153BE" w:rsidRPr="00464512">
        <w:rPr>
          <w:lang w:val="en-GB"/>
        </w:rPr>
        <w:t xml:space="preserve"> </w:t>
      </w:r>
      <w:r w:rsidR="001153BE" w:rsidRPr="00464512">
        <w:rPr>
          <w:lang w:val="en-GB"/>
        </w:rPr>
        <w:br/>
      </w:r>
      <w:r w:rsidR="00066653" w:rsidRPr="00464512">
        <w:rPr>
          <w:lang w:val="en-GB"/>
        </w:rPr>
        <w:t>Management and Economics Commission</w:t>
      </w:r>
      <w:r w:rsidR="008D73BE">
        <w:rPr>
          <w:lang w:val="en-GB"/>
        </w:rPr>
        <w:t>,</w:t>
      </w:r>
      <w:r w:rsidR="00307CA8" w:rsidRPr="00464512">
        <w:rPr>
          <w:lang w:val="en-GB"/>
        </w:rPr>
        <w:t xml:space="preserve"> </w:t>
      </w:r>
      <w:r w:rsidR="00066653" w:rsidRPr="00464512">
        <w:rPr>
          <w:lang w:val="en-GB"/>
        </w:rPr>
        <w:t xml:space="preserve">Separate structural unit </w:t>
      </w:r>
      <w:r w:rsidR="003603DE" w:rsidRPr="00464512">
        <w:rPr>
          <w:lang w:val="en-GB"/>
        </w:rPr>
        <w:t>«</w:t>
      </w:r>
      <w:r w:rsidR="00066653" w:rsidRPr="00464512">
        <w:rPr>
          <w:lang w:val="en-GB"/>
        </w:rPr>
        <w:t xml:space="preserve">Vinnytsia Professional College </w:t>
      </w:r>
      <w:r w:rsidR="00B6692A" w:rsidRPr="00464512">
        <w:rPr>
          <w:lang w:val="en-GB"/>
        </w:rPr>
        <w:br/>
      </w:r>
      <w:r w:rsidR="00066653" w:rsidRPr="00464512">
        <w:rPr>
          <w:lang w:val="en-GB"/>
        </w:rPr>
        <w:t>of the National University of Food Technologies</w:t>
      </w:r>
      <w:r w:rsidR="003603DE" w:rsidRPr="00464512">
        <w:rPr>
          <w:lang w:val="en-GB"/>
        </w:rPr>
        <w:t>»</w:t>
      </w:r>
      <w:r w:rsidR="00307CA8" w:rsidRPr="00464512">
        <w:rPr>
          <w:lang w:val="en-GB"/>
        </w:rPr>
        <w:t xml:space="preserve"> </w:t>
      </w:r>
      <w:r w:rsidR="001153BE" w:rsidRPr="00464512">
        <w:rPr>
          <w:lang w:val="en-GB"/>
        </w:rPr>
        <w:br/>
      </w:r>
      <w:r w:rsidRPr="00464512">
        <w:rPr>
          <w:lang w:val="en-GB"/>
        </w:rPr>
        <w:t>https://orcid.org/0000-0001-6576-1642</w:t>
      </w:r>
    </w:p>
    <w:p w14:paraId="6685F89A" w14:textId="57172486" w:rsidR="00D12AA8" w:rsidRPr="00464512" w:rsidRDefault="008D73BE" w:rsidP="00307CA8">
      <w:pPr>
        <w:pStyle w:val="Rafiliacja"/>
        <w:rPr>
          <w:lang w:val="en-GB"/>
        </w:rPr>
      </w:pPr>
      <w:r>
        <w:rPr>
          <w:vertAlign w:val="superscript"/>
          <w:lang w:val="en-GB"/>
        </w:rPr>
        <w:t>4</w:t>
      </w:r>
      <w:r w:rsidR="00D12AA8" w:rsidRPr="00464512">
        <w:rPr>
          <w:lang w:val="en-GB"/>
        </w:rPr>
        <w:t>INTI International University</w:t>
      </w:r>
      <w:r>
        <w:rPr>
          <w:lang w:val="en-GB"/>
        </w:rPr>
        <w:t>,</w:t>
      </w:r>
      <w:r w:rsidR="00307CA8" w:rsidRPr="00464512">
        <w:rPr>
          <w:lang w:val="en-GB"/>
        </w:rPr>
        <w:t xml:space="preserve"> </w:t>
      </w:r>
      <w:r w:rsidR="00D12AA8" w:rsidRPr="00464512">
        <w:rPr>
          <w:lang w:val="en-GB"/>
        </w:rPr>
        <w:t>Putra Nilai</w:t>
      </w:r>
      <w:r>
        <w:rPr>
          <w:lang w:val="en-GB"/>
        </w:rPr>
        <w:t>,</w:t>
      </w:r>
      <w:r w:rsidR="00D12AA8" w:rsidRPr="00464512">
        <w:rPr>
          <w:lang w:val="en-GB"/>
        </w:rPr>
        <w:t xml:space="preserve"> Nilai</w:t>
      </w:r>
      <w:r>
        <w:rPr>
          <w:lang w:val="en-GB"/>
        </w:rPr>
        <w:t>,</w:t>
      </w:r>
      <w:r w:rsidR="00D12AA8" w:rsidRPr="00464512">
        <w:rPr>
          <w:lang w:val="en-GB"/>
        </w:rPr>
        <w:t xml:space="preserve"> N. Sembilan</w:t>
      </w:r>
      <w:r>
        <w:rPr>
          <w:lang w:val="en-GB"/>
        </w:rPr>
        <w:t>,</w:t>
      </w:r>
      <w:r w:rsidR="00D12AA8" w:rsidRPr="00464512">
        <w:rPr>
          <w:lang w:val="en-GB"/>
        </w:rPr>
        <w:t xml:space="preserve"> Malaysia</w:t>
      </w:r>
      <w:r>
        <w:rPr>
          <w:lang w:val="en-GB"/>
        </w:rPr>
        <w:t>,</w:t>
      </w:r>
      <w:r w:rsidR="001153BE" w:rsidRPr="00464512">
        <w:rPr>
          <w:lang w:val="en-GB"/>
        </w:rPr>
        <w:br/>
      </w:r>
      <w:r w:rsidR="00D12AA8" w:rsidRPr="00464512">
        <w:rPr>
          <w:lang w:val="en-GB"/>
        </w:rPr>
        <w:t>Department of Entrepreneurship and Marketing</w:t>
      </w:r>
      <w:r w:rsidR="00D970A3">
        <w:rPr>
          <w:lang w:val="en-GB"/>
        </w:rPr>
        <w:t>,</w:t>
      </w:r>
      <w:r w:rsidR="00307CA8" w:rsidRPr="00464512">
        <w:rPr>
          <w:lang w:val="en-GB"/>
        </w:rPr>
        <w:t xml:space="preserve"> </w:t>
      </w:r>
      <w:r w:rsidR="00D12AA8" w:rsidRPr="00464512">
        <w:rPr>
          <w:lang w:val="en-GB"/>
        </w:rPr>
        <w:t>Institute of Economics and Management</w:t>
      </w:r>
      <w:r w:rsidR="00D970A3">
        <w:rPr>
          <w:lang w:val="en-GB"/>
        </w:rPr>
        <w:t>,</w:t>
      </w:r>
      <w:r w:rsidR="00307CA8" w:rsidRPr="00464512">
        <w:rPr>
          <w:lang w:val="en-GB"/>
        </w:rPr>
        <w:t xml:space="preserve"> </w:t>
      </w:r>
      <w:r w:rsidR="001153BE" w:rsidRPr="00464512">
        <w:rPr>
          <w:lang w:val="en-GB"/>
        </w:rPr>
        <w:br/>
      </w:r>
      <w:r w:rsidR="00D12AA8" w:rsidRPr="00464512">
        <w:rPr>
          <w:lang w:val="en-GB"/>
        </w:rPr>
        <w:t xml:space="preserve">Ivano-Frankivsk National Technical Oil and Gas </w:t>
      </w:r>
      <w:proofErr w:type="spellStart"/>
      <w:r w:rsidR="00D12AA8" w:rsidRPr="00464512">
        <w:rPr>
          <w:lang w:val="en-GB"/>
        </w:rPr>
        <w:t>Universit</w:t>
      </w:r>
      <w:proofErr w:type="spellEnd"/>
      <w:r w:rsidR="00D970A3">
        <w:rPr>
          <w:lang w:val="en-GB"/>
        </w:rPr>
        <w:t>,</w:t>
      </w:r>
      <w:r w:rsidR="00D12AA8" w:rsidRPr="00464512">
        <w:rPr>
          <w:lang w:val="en-GB"/>
        </w:rPr>
        <w:t xml:space="preserve"> Ivano-Frankivsk</w:t>
      </w:r>
      <w:r w:rsidR="00D970A3">
        <w:rPr>
          <w:lang w:val="en-GB"/>
        </w:rPr>
        <w:t>,</w:t>
      </w:r>
      <w:r w:rsidR="00D12AA8" w:rsidRPr="00464512">
        <w:rPr>
          <w:lang w:val="en-GB"/>
        </w:rPr>
        <w:t xml:space="preserve"> Ukraine</w:t>
      </w:r>
      <w:r w:rsidR="00D970A3">
        <w:rPr>
          <w:lang w:val="en-GB"/>
        </w:rPr>
        <w:t>,</w:t>
      </w:r>
      <w:r w:rsidR="001153BE" w:rsidRPr="00464512">
        <w:rPr>
          <w:lang w:val="en-GB"/>
        </w:rPr>
        <w:br/>
      </w:r>
      <w:r w:rsidR="00D12AA8" w:rsidRPr="00464512">
        <w:rPr>
          <w:lang w:val="en-GB"/>
        </w:rPr>
        <w:t>SCIRE Foundation</w:t>
      </w:r>
      <w:r w:rsidR="00D970A3">
        <w:rPr>
          <w:lang w:val="en-GB"/>
        </w:rPr>
        <w:t>,</w:t>
      </w:r>
      <w:r w:rsidR="00D12AA8" w:rsidRPr="00464512">
        <w:rPr>
          <w:lang w:val="en-GB"/>
        </w:rPr>
        <w:t xml:space="preserve"> Warsaw</w:t>
      </w:r>
      <w:r w:rsidR="00D970A3">
        <w:rPr>
          <w:lang w:val="en-GB"/>
        </w:rPr>
        <w:t>,</w:t>
      </w:r>
      <w:r w:rsidR="00D12AA8" w:rsidRPr="00464512">
        <w:rPr>
          <w:lang w:val="en-GB"/>
        </w:rPr>
        <w:t xml:space="preserve"> Poland</w:t>
      </w:r>
      <w:r w:rsidR="001153BE" w:rsidRPr="00464512">
        <w:rPr>
          <w:lang w:val="en-GB"/>
        </w:rPr>
        <w:br/>
      </w:r>
      <w:r w:rsidR="00D12AA8" w:rsidRPr="00464512">
        <w:rPr>
          <w:lang w:val="en-GB"/>
        </w:rPr>
        <w:t>https://orcid.org/0000-0002-2185-0341</w:t>
      </w:r>
    </w:p>
    <w:p w14:paraId="5831426C" w14:textId="13A4BFA8" w:rsidR="00D12AA8" w:rsidRPr="00464512" w:rsidRDefault="00D970A3" w:rsidP="00307CA8">
      <w:pPr>
        <w:pStyle w:val="Rafiliacja"/>
        <w:rPr>
          <w:lang w:val="en-GB"/>
        </w:rPr>
      </w:pPr>
      <w:r>
        <w:rPr>
          <w:vertAlign w:val="superscript"/>
          <w:lang w:val="en-GB"/>
        </w:rPr>
        <w:t>5</w:t>
      </w:r>
      <w:r w:rsidR="00D12AA8" w:rsidRPr="00464512">
        <w:rPr>
          <w:lang w:val="en-GB"/>
        </w:rPr>
        <w:t>Department of Computer Science and Digital Economy</w:t>
      </w:r>
      <w:r>
        <w:rPr>
          <w:lang w:val="en-GB"/>
        </w:rPr>
        <w:t>,</w:t>
      </w:r>
      <w:r w:rsidR="00D12AA8" w:rsidRPr="00464512">
        <w:rPr>
          <w:lang w:val="en-GB"/>
        </w:rPr>
        <w:t xml:space="preserve"> Vinnytsia National Agrarian University, </w:t>
      </w:r>
      <w:r w:rsidR="004748AB" w:rsidRPr="00464512">
        <w:rPr>
          <w:lang w:val="en-GB"/>
        </w:rPr>
        <w:t>Vinnytsia</w:t>
      </w:r>
      <w:r w:rsidR="004748AB">
        <w:rPr>
          <w:lang w:val="en-GB"/>
        </w:rPr>
        <w:t>,</w:t>
      </w:r>
      <w:r w:rsidR="004748AB" w:rsidRPr="00464512">
        <w:rPr>
          <w:lang w:val="en-GB"/>
        </w:rPr>
        <w:t xml:space="preserve"> </w:t>
      </w:r>
      <w:r w:rsidR="00D12AA8" w:rsidRPr="00464512">
        <w:rPr>
          <w:lang w:val="en-GB"/>
        </w:rPr>
        <w:t>Ukraine</w:t>
      </w:r>
      <w:r w:rsidR="00307CA8" w:rsidRPr="00464512">
        <w:rPr>
          <w:lang w:val="en-GB"/>
        </w:rPr>
        <w:t xml:space="preserve"> </w:t>
      </w:r>
      <w:r w:rsidR="00444866" w:rsidRPr="00464512">
        <w:rPr>
          <w:lang w:val="en-GB"/>
        </w:rPr>
        <w:br/>
      </w:r>
      <w:r w:rsidR="00D12AA8" w:rsidRPr="00464512">
        <w:rPr>
          <w:lang w:val="en-GB"/>
        </w:rPr>
        <w:t>https://orcid.org/0000-0002-2128-5506</w:t>
      </w:r>
    </w:p>
    <w:p w14:paraId="3841656B" w14:textId="0B6228F6" w:rsidR="00D12AA8" w:rsidRPr="00464512" w:rsidRDefault="00D970A3" w:rsidP="00307CA8">
      <w:pPr>
        <w:pStyle w:val="Rafiliacja"/>
        <w:rPr>
          <w:lang w:val="en-GB"/>
        </w:rPr>
      </w:pPr>
      <w:r>
        <w:rPr>
          <w:vertAlign w:val="superscript"/>
          <w:lang w:val="en-GB"/>
        </w:rPr>
        <w:t>6</w:t>
      </w:r>
      <w:r w:rsidR="00D12AA8" w:rsidRPr="00464512">
        <w:rPr>
          <w:lang w:val="en-GB"/>
        </w:rPr>
        <w:t>Department of Business and Service</w:t>
      </w:r>
      <w:r w:rsidR="00307CA8" w:rsidRPr="00464512">
        <w:rPr>
          <w:lang w:val="en-GB"/>
        </w:rPr>
        <w:t xml:space="preserve">, </w:t>
      </w:r>
      <w:r w:rsidR="00D12AA8" w:rsidRPr="00464512">
        <w:rPr>
          <w:lang w:val="en-GB"/>
        </w:rPr>
        <w:t xml:space="preserve">Vinnytsia National Agrarian University, </w:t>
      </w:r>
      <w:r w:rsidRPr="00464512">
        <w:rPr>
          <w:lang w:val="en-GB"/>
        </w:rPr>
        <w:t>Vinnytsia</w:t>
      </w:r>
      <w:r>
        <w:rPr>
          <w:lang w:val="en-GB"/>
        </w:rPr>
        <w:t>,</w:t>
      </w:r>
      <w:r w:rsidRPr="00464512">
        <w:rPr>
          <w:lang w:val="en-GB"/>
        </w:rPr>
        <w:t xml:space="preserve"> </w:t>
      </w:r>
      <w:r w:rsidR="00D12AA8" w:rsidRPr="00464512">
        <w:rPr>
          <w:lang w:val="en-GB"/>
        </w:rPr>
        <w:t>Ukraine</w:t>
      </w:r>
      <w:r w:rsidR="00307CA8" w:rsidRPr="00464512">
        <w:rPr>
          <w:lang w:val="en-GB"/>
        </w:rPr>
        <w:t xml:space="preserve"> </w:t>
      </w:r>
      <w:r w:rsidR="00444866" w:rsidRPr="00464512">
        <w:rPr>
          <w:lang w:val="en-GB"/>
        </w:rPr>
        <w:br/>
      </w:r>
      <w:r w:rsidR="00D12AA8" w:rsidRPr="00464512">
        <w:rPr>
          <w:lang w:val="en-GB"/>
        </w:rPr>
        <w:t>https://orcid.org/0000-0002-5736-8346</w:t>
      </w:r>
    </w:p>
    <w:p w14:paraId="671E7D46" w14:textId="18FC7310" w:rsidR="00D12AA8" w:rsidRPr="00464512" w:rsidRDefault="00D970A3" w:rsidP="00307CA8">
      <w:pPr>
        <w:pStyle w:val="Rafiliacja"/>
        <w:rPr>
          <w:lang w:val="en-GB"/>
        </w:rPr>
      </w:pPr>
      <w:r>
        <w:rPr>
          <w:vertAlign w:val="superscript"/>
          <w:lang w:val="en-GB"/>
        </w:rPr>
        <w:t>7</w:t>
      </w:r>
      <w:r w:rsidR="00D12AA8" w:rsidRPr="00464512">
        <w:rPr>
          <w:lang w:val="en-GB"/>
        </w:rPr>
        <w:t>Department of Economics and Entrepreneurship</w:t>
      </w:r>
      <w:r w:rsidR="00307CA8" w:rsidRPr="00464512">
        <w:rPr>
          <w:lang w:val="en-GB"/>
        </w:rPr>
        <w:t xml:space="preserve">, </w:t>
      </w:r>
      <w:r w:rsidR="00D12AA8" w:rsidRPr="00464512">
        <w:rPr>
          <w:lang w:val="en-GB"/>
        </w:rPr>
        <w:t xml:space="preserve">Vinnytsia National Agrarian University, </w:t>
      </w:r>
      <w:r w:rsidRPr="00464512">
        <w:rPr>
          <w:lang w:val="en-GB"/>
        </w:rPr>
        <w:t>Vinnytsia</w:t>
      </w:r>
      <w:r>
        <w:rPr>
          <w:lang w:val="en-GB"/>
        </w:rPr>
        <w:t>,</w:t>
      </w:r>
      <w:r w:rsidRPr="00464512">
        <w:rPr>
          <w:lang w:val="en-GB"/>
        </w:rPr>
        <w:t xml:space="preserve"> </w:t>
      </w:r>
      <w:r w:rsidR="00D12AA8" w:rsidRPr="00464512">
        <w:rPr>
          <w:lang w:val="en-GB"/>
        </w:rPr>
        <w:t>Ukraine</w:t>
      </w:r>
      <w:r w:rsidR="00307CA8" w:rsidRPr="00464512">
        <w:rPr>
          <w:lang w:val="en-GB"/>
        </w:rPr>
        <w:t xml:space="preserve"> </w:t>
      </w:r>
      <w:r w:rsidR="00444866" w:rsidRPr="00464512">
        <w:rPr>
          <w:lang w:val="en-GB"/>
        </w:rPr>
        <w:br/>
      </w:r>
      <w:r w:rsidR="00D12AA8" w:rsidRPr="00464512">
        <w:rPr>
          <w:lang w:val="en-GB"/>
        </w:rPr>
        <w:t>https://orcid.org/0000-0002-6202-998X</w:t>
      </w:r>
    </w:p>
    <w:p w14:paraId="2B4C6856" w14:textId="1C14D07D" w:rsidR="00D12AA8" w:rsidRPr="00464512" w:rsidRDefault="00D12AA8" w:rsidP="00C4684C">
      <w:pPr>
        <w:pStyle w:val="Rauco"/>
      </w:pPr>
      <w:r w:rsidRPr="00464512">
        <w:rPr>
          <w:vertAlign w:val="superscript"/>
        </w:rPr>
        <w:t>*</w:t>
      </w:r>
      <w:r w:rsidR="00307CA8" w:rsidRPr="00464512">
        <w:t>c</w:t>
      </w:r>
      <w:r w:rsidRPr="00464512">
        <w:t>orresponding author</w:t>
      </w:r>
      <w:r w:rsidR="00480D52">
        <w:t>'</w:t>
      </w:r>
      <w:r w:rsidRPr="00464512">
        <w:t>s e-mail: vitalii.nitsenko@nung.edu.ua</w:t>
      </w:r>
    </w:p>
    <w:p w14:paraId="0E5A9174" w14:textId="0C1067E0" w:rsidR="00F56FFD" w:rsidRPr="00464512" w:rsidRDefault="00F927F2" w:rsidP="00C4684C">
      <w:pPr>
        <w:pStyle w:val="Rab1"/>
      </w:pPr>
      <w:r w:rsidRPr="00464512">
        <w:rPr>
          <w:b/>
          <w:bCs/>
        </w:rPr>
        <w:t>Abstract:</w:t>
      </w:r>
      <w:r w:rsidRPr="00464512">
        <w:t xml:space="preserve"> </w:t>
      </w:r>
      <w:r w:rsidR="004606FC" w:rsidRPr="00464512">
        <w:t>The importance of capital investments for the national economy of Ukraine in general and agriculture in particular is substantiated, since they ensure the formation of tangible and intangible assets of enterprises. It is found that for agricultural production, the main asset for capital investments is agricultural land. At the same time, the activities of agricultural, forestry</w:t>
      </w:r>
      <w:r w:rsidR="00480D52">
        <w:t>,</w:t>
      </w:r>
      <w:r w:rsidR="004606FC" w:rsidRPr="00464512">
        <w:t xml:space="preserve"> and fishery enterprises depend on capital investments in existing buildings, construction of economic structures, purchase of machinery and equipment, as well as in intangible assets </w:t>
      </w:r>
      <w:r w:rsidR="00B339AE" w:rsidRPr="00464512">
        <w:t>–</w:t>
      </w:r>
      <w:r w:rsidR="004606FC" w:rsidRPr="00464512">
        <w:t xml:space="preserve"> software and concessions, patents, licenses, trademarks</w:t>
      </w:r>
      <w:r w:rsidR="00480D52">
        <w:t>,</w:t>
      </w:r>
      <w:r w:rsidR="004606FC" w:rsidRPr="00464512">
        <w:t xml:space="preserve"> and similar rights</w:t>
      </w:r>
      <w:r w:rsidR="005F2171" w:rsidRPr="00464512">
        <w:t>.</w:t>
      </w:r>
      <w:r w:rsidR="00C4684C" w:rsidRPr="00464512">
        <w:t xml:space="preserve"> </w:t>
      </w:r>
      <w:r w:rsidR="004606FC" w:rsidRPr="00464512">
        <w:t xml:space="preserve">The article reveals the relevance of capital investments as a key tool for ensuring </w:t>
      </w:r>
      <w:r w:rsidR="00480D52">
        <w:t xml:space="preserve">the </w:t>
      </w:r>
      <w:r w:rsidR="004606FC" w:rsidRPr="00464512">
        <w:t>sustainable development of Ukrainian agro-industrial enterprises in the context of economic and political instability in 2014-2023. The emphasis is on land resources as one of the main factors of production in agriculture, forestry</w:t>
      </w:r>
      <w:r w:rsidR="00480D52">
        <w:t>,</w:t>
      </w:r>
      <w:r w:rsidR="004606FC" w:rsidRPr="00464512">
        <w:t xml:space="preserve"> and fisheries, taking into account the need to increase the efficiency of their use through investment mechanisms. The main objective of the study is to assess the effectiveness of capital investments in the development of land resources of agricultural enterprises, which will allow identifying the potential for increasing the volume of sales and costs of production of products (goods, services) of agricultural, forestry</w:t>
      </w:r>
      <w:r w:rsidR="00480D52">
        <w:t>,</w:t>
      </w:r>
      <w:r w:rsidR="004606FC" w:rsidRPr="00464512">
        <w:t xml:space="preserve"> and fisheries enterprises</w:t>
      </w:r>
      <w:r w:rsidR="001F3242" w:rsidRPr="00464512">
        <w:t>.</w:t>
      </w:r>
      <w:r w:rsidR="00C4684C" w:rsidRPr="00464512">
        <w:t xml:space="preserve"> </w:t>
      </w:r>
      <w:r w:rsidR="004606FC" w:rsidRPr="00464512">
        <w:t xml:space="preserve">The methodological basis of the article includes the use of correlation-regression analysis to establish the relationship between capital investments and key production indicators, as well as the method of analysis of the operating environment, which allows </w:t>
      </w:r>
      <w:r w:rsidR="00480D52">
        <w:t xml:space="preserve">for </w:t>
      </w:r>
      <w:r w:rsidR="004606FC" w:rsidRPr="00464512">
        <w:t>determining the level of efficiency of investment use in dynamics. Using correlation-regression analysis, a study was conducted of the impact of each type of capital investment on revenue from sales of products (goods, services) and production costs of agricultural, forestry</w:t>
      </w:r>
      <w:r w:rsidR="00480D52">
        <w:t>,</w:t>
      </w:r>
      <w:r w:rsidR="004606FC" w:rsidRPr="00464512">
        <w:t xml:space="preserve"> and fishery enterprises, which allowed us to identify the absence of the impact of an increase in the volume of capital investments on the growth of sales and production costs. At the same time, a </w:t>
      </w:r>
      <w:r w:rsidR="00480D52">
        <w:t>relative</w:t>
      </w:r>
      <w:r w:rsidR="004606FC" w:rsidRPr="00464512">
        <w:t>ly significant impact of capital investments is observed on other types of assets, the increase of which ensures an increase in sales and costs for products (goods, services) of agricultural, forestry</w:t>
      </w:r>
      <w:r w:rsidR="00480D52">
        <w:t>,</w:t>
      </w:r>
      <w:r w:rsidR="004606FC" w:rsidRPr="00464512">
        <w:t xml:space="preserve"> and fishery enterprises, in particular</w:t>
      </w:r>
      <w:r w:rsidR="00480D52">
        <w:t>,</w:t>
      </w:r>
      <w:r w:rsidR="004606FC" w:rsidRPr="00464512">
        <w:t xml:space="preserve"> the purchase of software</w:t>
      </w:r>
      <w:r w:rsidR="003E3F7A" w:rsidRPr="00464512">
        <w:t>.</w:t>
      </w:r>
      <w:r w:rsidR="00C4684C" w:rsidRPr="00464512">
        <w:t xml:space="preserve"> </w:t>
      </w:r>
      <w:r w:rsidR="004606FC" w:rsidRPr="00464512">
        <w:t>The paper presents a comprehensive assessment of investments in tangible and intangible assets, including land, buildings, machinery, equipment, and software. The results of the study showed that investments in land do not have a sufficient impact on the economic performance of enterprises, while investments in software and construction have a pronounced positive effect.</w:t>
      </w:r>
      <w:r w:rsidR="00C4684C" w:rsidRPr="00464512">
        <w:t xml:space="preserve"> </w:t>
      </w:r>
      <w:r w:rsidR="004606FC" w:rsidRPr="00464512">
        <w:t>The method of analysis of the operating environment was used to identify the efficiency of using capital investments for the development of land resources in the context of increasing the volume of sales and costs for the production of products (goods, services) of agricultural, forestry and fishery enterprises, which made it possible to identify the lost potential over the past ten years and to propose approaches to improving production indicators for the following periods. An efficiency line was constructed to identify the most productive periods of investment in the development of land resources</w:t>
      </w:r>
      <w:r w:rsidR="00480D52">
        <w:t>,</w:t>
      </w:r>
      <w:r w:rsidR="004606FC" w:rsidRPr="00464512">
        <w:t xml:space="preserve"> and optimization scenarios were proposed</w:t>
      </w:r>
      <w:r w:rsidR="00480D52">
        <w:t>,</w:t>
      </w:r>
      <w:r w:rsidR="004606FC" w:rsidRPr="00464512">
        <w:t xml:space="preserve"> taking into account the potential for increasing product sales and reducing costs. An assessment of the savings of capital investments in cases of their inefficient use was carried out</w:t>
      </w:r>
      <w:r w:rsidR="00480D52">
        <w:t>,</w:t>
      </w:r>
      <w:r w:rsidR="004606FC" w:rsidRPr="00464512">
        <w:t xml:space="preserve"> and the potential for increasing economic efficiency in the future was calculated</w:t>
      </w:r>
      <w:r w:rsidR="0073375F" w:rsidRPr="00464512">
        <w:t>.</w:t>
      </w:r>
      <w:r w:rsidR="00C4684C" w:rsidRPr="00464512">
        <w:t xml:space="preserve"> </w:t>
      </w:r>
      <w:r w:rsidR="004606FC" w:rsidRPr="00464512">
        <w:t>The results of the work are a valuable tool for strategic planning of investment activities of agro-industrial enterprises in conditions of limited resources, market challenges</w:t>
      </w:r>
      <w:r w:rsidR="00480D52">
        <w:t>,</w:t>
      </w:r>
      <w:r w:rsidR="004606FC" w:rsidRPr="00464512">
        <w:t xml:space="preserve"> </w:t>
      </w:r>
      <w:r w:rsidR="004606FC" w:rsidRPr="00464512">
        <w:lastRenderedPageBreak/>
        <w:t>and military threats, and the proposed methodology can be adapted to assess the effectiveness of investments in other sectors of the Ukrainian economy.</w:t>
      </w:r>
    </w:p>
    <w:p w14:paraId="5F6F2268" w14:textId="7293294C" w:rsidR="00D12AA8" w:rsidRPr="00464512" w:rsidRDefault="00D12AA8" w:rsidP="00C4684C">
      <w:pPr>
        <w:pStyle w:val="Rab2"/>
      </w:pPr>
      <w:r w:rsidRPr="00464512">
        <w:rPr>
          <w:b/>
        </w:rPr>
        <w:t>Keywords:</w:t>
      </w:r>
      <w:r w:rsidRPr="00464512">
        <w:t xml:space="preserve"> </w:t>
      </w:r>
      <w:r w:rsidRPr="00464512">
        <w:rPr>
          <w:spacing w:val="-2"/>
        </w:rPr>
        <w:t>capital investments, sustainable development, land resources, agricultural enterprises, investment efficiency, correlation-regression analysis, operating environment analysis, digitalization in agriculture</w:t>
      </w:r>
    </w:p>
    <w:p w14:paraId="6B4A22C5" w14:textId="77777777" w:rsidR="00662DBD" w:rsidRPr="00464512" w:rsidRDefault="00662DBD" w:rsidP="00C4684C">
      <w:pPr>
        <w:pStyle w:val="Rn1"/>
        <w:rPr>
          <w:lang w:val="en-GB"/>
        </w:rPr>
      </w:pPr>
      <w:r w:rsidRPr="00464512">
        <w:rPr>
          <w:lang w:val="en-GB"/>
        </w:rPr>
        <w:t>1. Introduction</w:t>
      </w:r>
    </w:p>
    <w:p w14:paraId="213386C3" w14:textId="4F9D23F8" w:rsidR="00E40FA5" w:rsidRPr="00464512" w:rsidRDefault="00BB4803"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Capital investments are a significant factor in the development of the national economy, as they ensure the creation of fixed assets of enterprises, modernization</w:t>
      </w:r>
      <w:r w:rsidR="00480D52">
        <w:rPr>
          <w:rFonts w:ascii="Times New Roman" w:hAnsi="Times New Roman" w:cs="Times New Roman"/>
          <w:lang w:val="en-GB"/>
        </w:rPr>
        <w:t>,</w:t>
      </w:r>
      <w:r w:rsidRPr="00464512">
        <w:rPr>
          <w:rFonts w:ascii="Times New Roman" w:hAnsi="Times New Roman" w:cs="Times New Roman"/>
          <w:lang w:val="en-GB"/>
        </w:rPr>
        <w:t xml:space="preserve"> and re-equipment of production facilities </w:t>
      </w:r>
      <w:r w:rsidR="00A301B4" w:rsidRPr="00464512">
        <w:rPr>
          <w:rFonts w:ascii="Times New Roman" w:hAnsi="Times New Roman" w:cs="Times New Roman"/>
          <w:lang w:val="en-GB"/>
        </w:rPr>
        <w:t>(</w:t>
      </w:r>
      <w:proofErr w:type="spellStart"/>
      <w:r w:rsidR="00A301B4" w:rsidRPr="00464512">
        <w:rPr>
          <w:rFonts w:ascii="Times New Roman" w:hAnsi="Times New Roman" w:cs="Times New Roman"/>
          <w:lang w:val="en-GB"/>
        </w:rPr>
        <w:t>Tomashuk</w:t>
      </w:r>
      <w:proofErr w:type="spellEnd"/>
      <w:r w:rsidR="00A301B4" w:rsidRPr="00464512">
        <w:rPr>
          <w:rFonts w:ascii="Times New Roman" w:hAnsi="Times New Roman" w:cs="Times New Roman"/>
          <w:lang w:val="en-GB"/>
        </w:rPr>
        <w:t xml:space="preserve"> et</w:t>
      </w:r>
      <w:r w:rsidR="00464512">
        <w:rPr>
          <w:rFonts w:ascii="Times New Roman" w:hAnsi="Times New Roman" w:cs="Times New Roman"/>
          <w:lang w:val="en-GB"/>
        </w:rPr>
        <w:t> </w:t>
      </w:r>
      <w:r w:rsidR="00A301B4" w:rsidRPr="00464512">
        <w:rPr>
          <w:rFonts w:ascii="Times New Roman" w:hAnsi="Times New Roman" w:cs="Times New Roman"/>
          <w:lang w:val="en-GB"/>
        </w:rPr>
        <w:t>al. 2024)</w:t>
      </w:r>
      <w:r w:rsidR="00650B1B" w:rsidRPr="00464512">
        <w:rPr>
          <w:rFonts w:ascii="Times New Roman" w:hAnsi="Times New Roman" w:cs="Times New Roman"/>
          <w:lang w:val="en-GB"/>
        </w:rPr>
        <w:t xml:space="preserve">. </w:t>
      </w:r>
      <w:r w:rsidRPr="00464512">
        <w:rPr>
          <w:rFonts w:ascii="Times New Roman" w:hAnsi="Times New Roman" w:cs="Times New Roman"/>
          <w:lang w:val="en-GB"/>
        </w:rPr>
        <w:t>The presence of capital investments emphasizes the development of the state through increased sales of products, increased business activity, and the introduction of innovative business approaches</w:t>
      </w:r>
      <w:r w:rsidR="008D6043" w:rsidRPr="00464512">
        <w:rPr>
          <w:rFonts w:ascii="Times New Roman" w:hAnsi="Times New Roman" w:cs="Times New Roman"/>
          <w:lang w:val="en-GB"/>
        </w:rPr>
        <w:t xml:space="preserve"> (</w:t>
      </w:r>
      <w:proofErr w:type="spellStart"/>
      <w:r w:rsidR="008D6043" w:rsidRPr="00464512">
        <w:rPr>
          <w:rFonts w:ascii="Times New Roman" w:hAnsi="Times New Roman" w:cs="Times New Roman"/>
          <w:lang w:val="en-GB"/>
        </w:rPr>
        <w:t>Hutorov</w:t>
      </w:r>
      <w:proofErr w:type="spellEnd"/>
      <w:r w:rsidR="00464512">
        <w:rPr>
          <w:rFonts w:ascii="Times New Roman" w:hAnsi="Times New Roman" w:cs="Times New Roman"/>
          <w:lang w:val="en-GB"/>
        </w:rPr>
        <w:t> </w:t>
      </w:r>
      <w:r w:rsidR="008D6043" w:rsidRPr="00464512">
        <w:rPr>
          <w:rFonts w:ascii="Times New Roman" w:hAnsi="Times New Roman" w:cs="Times New Roman"/>
          <w:lang w:val="en-GB"/>
        </w:rPr>
        <w:t>et al. 2021)</w:t>
      </w:r>
      <w:r w:rsidRPr="00464512">
        <w:rPr>
          <w:rFonts w:ascii="Times New Roman" w:hAnsi="Times New Roman" w:cs="Times New Roman"/>
          <w:lang w:val="en-GB"/>
        </w:rPr>
        <w:t>. At the same time, the problem of the efficiency of capital investment requires an</w:t>
      </w:r>
      <w:r w:rsidR="001716C1">
        <w:rPr>
          <w:rFonts w:ascii="Times New Roman" w:hAnsi="Times New Roman" w:cs="Times New Roman"/>
          <w:lang w:val="en-GB"/>
        </w:rPr>
        <w:t> </w:t>
      </w:r>
      <w:r w:rsidRPr="00464512">
        <w:rPr>
          <w:rFonts w:ascii="Times New Roman" w:hAnsi="Times New Roman" w:cs="Times New Roman"/>
          <w:lang w:val="en-GB"/>
        </w:rPr>
        <w:t xml:space="preserve">optimization approach to </w:t>
      </w:r>
      <w:r w:rsidR="00480D52">
        <w:rPr>
          <w:rFonts w:ascii="Times New Roman" w:hAnsi="Times New Roman" w:cs="Times New Roman"/>
          <w:lang w:val="en-GB"/>
        </w:rPr>
        <w:t>its</w:t>
      </w:r>
      <w:r w:rsidRPr="00464512">
        <w:rPr>
          <w:rFonts w:ascii="Times New Roman" w:hAnsi="Times New Roman" w:cs="Times New Roman"/>
          <w:lang w:val="en-GB"/>
        </w:rPr>
        <w:t xml:space="preserve"> use, which will avoid wasting money on dubious projects</w:t>
      </w:r>
      <w:r w:rsidR="00A4321B" w:rsidRPr="00464512">
        <w:rPr>
          <w:rFonts w:ascii="Times New Roman" w:hAnsi="Times New Roman" w:cs="Times New Roman"/>
          <w:lang w:val="en-GB"/>
        </w:rPr>
        <w:t>.</w:t>
      </w:r>
    </w:p>
    <w:p w14:paraId="5651C646" w14:textId="271DAC2C" w:rsidR="00532935" w:rsidRPr="00464512" w:rsidRDefault="008504ED"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Agricultural enterprises depend on capital investments, as agriculture is one of the resource-intensive industries, requiring significant funds for construction, purchase and modernization of equipment, development of land resources, </w:t>
      </w:r>
      <w:r w:rsidR="00F9570E" w:rsidRPr="00464512">
        <w:rPr>
          <w:rFonts w:ascii="Times New Roman" w:hAnsi="Times New Roman" w:cs="Times New Roman"/>
          <w:lang w:val="en-GB"/>
        </w:rPr>
        <w:t xml:space="preserve">environmental safety, </w:t>
      </w:r>
      <w:r w:rsidRPr="00464512">
        <w:rPr>
          <w:rFonts w:ascii="Times New Roman" w:hAnsi="Times New Roman" w:cs="Times New Roman"/>
          <w:lang w:val="en-GB"/>
        </w:rPr>
        <w:t>creation of infrastructure, formation of intangible assets, etc</w:t>
      </w:r>
      <w:r w:rsidR="008D339B" w:rsidRPr="00464512">
        <w:rPr>
          <w:rFonts w:ascii="Times New Roman" w:hAnsi="Times New Roman" w:cs="Times New Roman"/>
          <w:lang w:val="en-GB"/>
        </w:rPr>
        <w:t>.</w:t>
      </w:r>
      <w:r w:rsidR="00F9570E" w:rsidRPr="00464512">
        <w:rPr>
          <w:rFonts w:ascii="Times New Roman" w:hAnsi="Times New Roman" w:cs="Times New Roman"/>
          <w:lang w:val="en-GB"/>
        </w:rPr>
        <w:t xml:space="preserve"> (</w:t>
      </w:r>
      <w:proofErr w:type="spellStart"/>
      <w:r w:rsidR="007D0139" w:rsidRPr="00464512">
        <w:rPr>
          <w:rFonts w:ascii="Times New Roman" w:hAnsi="Times New Roman" w:cs="Times New Roman"/>
          <w:lang w:val="en-GB"/>
        </w:rPr>
        <w:t>Zamula</w:t>
      </w:r>
      <w:proofErr w:type="spellEnd"/>
      <w:r w:rsidR="007D0139" w:rsidRPr="00464512">
        <w:rPr>
          <w:rFonts w:ascii="Times New Roman" w:hAnsi="Times New Roman" w:cs="Times New Roman"/>
          <w:lang w:val="en-GB"/>
        </w:rPr>
        <w:t xml:space="preserve"> et al. 2020</w:t>
      </w:r>
      <w:r w:rsidR="00801ADE" w:rsidRPr="00464512">
        <w:rPr>
          <w:rFonts w:ascii="Times New Roman" w:hAnsi="Times New Roman" w:cs="Times New Roman"/>
          <w:lang w:val="en-GB"/>
        </w:rPr>
        <w:t>,</w:t>
      </w:r>
      <w:r w:rsidR="007D0139" w:rsidRPr="00464512">
        <w:rPr>
          <w:rFonts w:ascii="Times New Roman" w:hAnsi="Times New Roman" w:cs="Times New Roman"/>
          <w:lang w:val="en-GB"/>
        </w:rPr>
        <w:t xml:space="preserve"> </w:t>
      </w:r>
      <w:r w:rsidR="00F9570E" w:rsidRPr="00464512">
        <w:rPr>
          <w:rFonts w:ascii="Times New Roman" w:hAnsi="Times New Roman" w:cs="Times New Roman"/>
          <w:lang w:val="en-GB"/>
        </w:rPr>
        <w:t>Baik et al. 2021</w:t>
      </w:r>
      <w:r w:rsidR="00801ADE" w:rsidRPr="00464512">
        <w:rPr>
          <w:rFonts w:ascii="Times New Roman" w:hAnsi="Times New Roman" w:cs="Times New Roman"/>
          <w:lang w:val="en-GB"/>
        </w:rPr>
        <w:t>,</w:t>
      </w:r>
      <w:r w:rsidR="00F9570E" w:rsidRPr="00464512">
        <w:rPr>
          <w:rFonts w:ascii="Times New Roman" w:hAnsi="Times New Roman" w:cs="Times New Roman"/>
          <w:lang w:val="en-GB"/>
        </w:rPr>
        <w:t xml:space="preserve"> </w:t>
      </w:r>
      <w:proofErr w:type="spellStart"/>
      <w:r w:rsidR="00F9570E" w:rsidRPr="00464512">
        <w:rPr>
          <w:rFonts w:ascii="Times New Roman" w:hAnsi="Times New Roman" w:cs="Times New Roman"/>
          <w:lang w:val="en-GB"/>
        </w:rPr>
        <w:t>Perevozova</w:t>
      </w:r>
      <w:proofErr w:type="spellEnd"/>
      <w:r w:rsidR="00F9570E" w:rsidRPr="00464512">
        <w:rPr>
          <w:rFonts w:ascii="Times New Roman" w:hAnsi="Times New Roman" w:cs="Times New Roman"/>
          <w:lang w:val="en-GB"/>
        </w:rPr>
        <w:t xml:space="preserve"> et al. 2021</w:t>
      </w:r>
      <w:r w:rsidR="00801ADE" w:rsidRPr="00464512">
        <w:rPr>
          <w:rFonts w:ascii="Times New Roman" w:hAnsi="Times New Roman" w:cs="Times New Roman"/>
          <w:lang w:val="en-GB"/>
        </w:rPr>
        <w:t>,</w:t>
      </w:r>
      <w:r w:rsidR="00F9570E" w:rsidRPr="00464512">
        <w:rPr>
          <w:rFonts w:ascii="Times New Roman" w:hAnsi="Times New Roman" w:cs="Times New Roman"/>
          <w:lang w:val="en-GB"/>
        </w:rPr>
        <w:t xml:space="preserve"> </w:t>
      </w:r>
      <w:proofErr w:type="spellStart"/>
      <w:r w:rsidR="00F9570E" w:rsidRPr="00464512">
        <w:rPr>
          <w:rFonts w:ascii="Times New Roman" w:hAnsi="Times New Roman" w:cs="Times New Roman"/>
          <w:lang w:val="en-GB"/>
        </w:rPr>
        <w:t>Lupenko</w:t>
      </w:r>
      <w:proofErr w:type="spellEnd"/>
      <w:r w:rsidR="00F9570E" w:rsidRPr="00464512">
        <w:rPr>
          <w:rFonts w:ascii="Times New Roman" w:hAnsi="Times New Roman" w:cs="Times New Roman"/>
          <w:lang w:val="en-GB"/>
        </w:rPr>
        <w:t xml:space="preserve"> et al. 2022</w:t>
      </w:r>
      <w:r w:rsidR="00801ADE" w:rsidRPr="00464512">
        <w:rPr>
          <w:rFonts w:ascii="Times New Roman" w:hAnsi="Times New Roman" w:cs="Times New Roman"/>
          <w:lang w:val="en-GB"/>
        </w:rPr>
        <w:t>,</w:t>
      </w:r>
      <w:r w:rsidR="00F9570E" w:rsidRPr="00464512">
        <w:rPr>
          <w:rFonts w:ascii="Times New Roman" w:hAnsi="Times New Roman" w:cs="Times New Roman"/>
          <w:lang w:val="en-GB"/>
        </w:rPr>
        <w:t xml:space="preserve"> </w:t>
      </w:r>
      <w:proofErr w:type="spellStart"/>
      <w:r w:rsidR="00F9570E" w:rsidRPr="00464512">
        <w:rPr>
          <w:rFonts w:ascii="Times New Roman" w:hAnsi="Times New Roman" w:cs="Times New Roman"/>
          <w:lang w:val="en-GB"/>
        </w:rPr>
        <w:t>Sirant</w:t>
      </w:r>
      <w:proofErr w:type="spellEnd"/>
      <w:r w:rsidR="00F9570E" w:rsidRPr="00464512">
        <w:rPr>
          <w:rFonts w:ascii="Times New Roman" w:hAnsi="Times New Roman" w:cs="Times New Roman"/>
          <w:lang w:val="en-GB"/>
        </w:rPr>
        <w:t xml:space="preserve"> et al. 2022</w:t>
      </w:r>
      <w:r w:rsidR="00801ADE" w:rsidRPr="00464512">
        <w:rPr>
          <w:rFonts w:ascii="Times New Roman" w:hAnsi="Times New Roman" w:cs="Times New Roman"/>
          <w:lang w:val="en-GB"/>
        </w:rPr>
        <w:t>,</w:t>
      </w:r>
      <w:r w:rsidR="00F9570E" w:rsidRPr="00464512">
        <w:rPr>
          <w:rFonts w:ascii="Times New Roman" w:hAnsi="Times New Roman" w:cs="Times New Roman"/>
          <w:lang w:val="en-GB"/>
        </w:rPr>
        <w:t xml:space="preserve"> </w:t>
      </w:r>
      <w:r w:rsidR="00F9570E" w:rsidRPr="00830C7C">
        <w:rPr>
          <w:rFonts w:ascii="Times New Roman" w:hAnsi="Times New Roman" w:cs="Times New Roman"/>
          <w:spacing w:val="-2"/>
          <w:lang w:val="en-GB"/>
        </w:rPr>
        <w:t>Zakharchuk</w:t>
      </w:r>
      <w:r w:rsidR="00801ADE" w:rsidRPr="00830C7C">
        <w:rPr>
          <w:rFonts w:ascii="Times New Roman" w:hAnsi="Times New Roman" w:cs="Times New Roman"/>
          <w:spacing w:val="-2"/>
          <w:lang w:val="en-GB"/>
        </w:rPr>
        <w:t xml:space="preserve"> et al.</w:t>
      </w:r>
      <w:r w:rsidR="00F9570E" w:rsidRPr="00830C7C">
        <w:rPr>
          <w:rFonts w:ascii="Times New Roman" w:hAnsi="Times New Roman" w:cs="Times New Roman"/>
          <w:spacing w:val="-2"/>
          <w:lang w:val="en-GB"/>
        </w:rPr>
        <w:t xml:space="preserve"> 2022</w:t>
      </w:r>
      <w:r w:rsidR="00801ADE" w:rsidRPr="00830C7C">
        <w:rPr>
          <w:rFonts w:ascii="Times New Roman" w:hAnsi="Times New Roman" w:cs="Times New Roman"/>
          <w:spacing w:val="-2"/>
          <w:lang w:val="en-GB"/>
        </w:rPr>
        <w:t>,</w:t>
      </w:r>
      <w:r w:rsidR="00F9570E" w:rsidRPr="00830C7C">
        <w:rPr>
          <w:rFonts w:ascii="Times New Roman" w:hAnsi="Times New Roman" w:cs="Times New Roman"/>
          <w:spacing w:val="-2"/>
          <w:lang w:val="en-GB"/>
        </w:rPr>
        <w:t xml:space="preserve"> </w:t>
      </w:r>
      <w:proofErr w:type="spellStart"/>
      <w:r w:rsidR="00F9570E" w:rsidRPr="00830C7C">
        <w:rPr>
          <w:rFonts w:ascii="Times New Roman" w:hAnsi="Times New Roman" w:cs="Times New Roman"/>
          <w:spacing w:val="-2"/>
          <w:lang w:val="en-GB"/>
        </w:rPr>
        <w:t>Denysiuk</w:t>
      </w:r>
      <w:proofErr w:type="spellEnd"/>
      <w:r w:rsidR="00F9570E" w:rsidRPr="00830C7C">
        <w:rPr>
          <w:rFonts w:ascii="Times New Roman" w:hAnsi="Times New Roman" w:cs="Times New Roman"/>
          <w:spacing w:val="-2"/>
          <w:lang w:val="en-GB"/>
        </w:rPr>
        <w:t xml:space="preserve"> et al. 2022</w:t>
      </w:r>
      <w:r w:rsidR="00801ADE" w:rsidRPr="00830C7C">
        <w:rPr>
          <w:rFonts w:ascii="Times New Roman" w:hAnsi="Times New Roman" w:cs="Times New Roman"/>
          <w:spacing w:val="-2"/>
          <w:lang w:val="en-GB"/>
        </w:rPr>
        <w:t>,</w:t>
      </w:r>
      <w:r w:rsidR="00F9570E" w:rsidRPr="00830C7C">
        <w:rPr>
          <w:rFonts w:ascii="Times New Roman" w:hAnsi="Times New Roman" w:cs="Times New Roman"/>
          <w:spacing w:val="-2"/>
          <w:lang w:val="en-GB"/>
        </w:rPr>
        <w:t xml:space="preserve"> </w:t>
      </w:r>
      <w:proofErr w:type="spellStart"/>
      <w:r w:rsidR="00F9570E" w:rsidRPr="00830C7C">
        <w:rPr>
          <w:rFonts w:ascii="Times New Roman" w:hAnsi="Times New Roman" w:cs="Times New Roman"/>
          <w:spacing w:val="-2"/>
          <w:lang w:val="en-GB"/>
        </w:rPr>
        <w:t>Yarmol</w:t>
      </w:r>
      <w:proofErr w:type="spellEnd"/>
      <w:r w:rsidR="00F9570E" w:rsidRPr="00830C7C">
        <w:rPr>
          <w:rFonts w:ascii="Times New Roman" w:hAnsi="Times New Roman" w:cs="Times New Roman"/>
          <w:spacing w:val="-2"/>
          <w:lang w:val="en-GB"/>
        </w:rPr>
        <w:t xml:space="preserve"> et al. 2022</w:t>
      </w:r>
      <w:r w:rsidR="00801ADE" w:rsidRPr="00830C7C">
        <w:rPr>
          <w:rFonts w:ascii="Times New Roman" w:hAnsi="Times New Roman" w:cs="Times New Roman"/>
          <w:spacing w:val="-2"/>
          <w:lang w:val="en-GB"/>
        </w:rPr>
        <w:t>,</w:t>
      </w:r>
      <w:r w:rsidR="007D0139" w:rsidRPr="00830C7C">
        <w:rPr>
          <w:rFonts w:ascii="Times New Roman" w:hAnsi="Times New Roman" w:cs="Times New Roman"/>
          <w:spacing w:val="-2"/>
          <w:lang w:val="en-GB"/>
        </w:rPr>
        <w:t xml:space="preserve"> Mykhailenko</w:t>
      </w:r>
      <w:r w:rsidR="00801ADE" w:rsidRPr="00830C7C">
        <w:rPr>
          <w:rFonts w:ascii="Times New Roman" w:hAnsi="Times New Roman" w:cs="Times New Roman"/>
          <w:spacing w:val="-2"/>
          <w:lang w:val="en-GB"/>
        </w:rPr>
        <w:t xml:space="preserve"> et al.</w:t>
      </w:r>
      <w:r w:rsidR="007D0139" w:rsidRPr="00830C7C">
        <w:rPr>
          <w:rFonts w:ascii="Times New Roman" w:hAnsi="Times New Roman" w:cs="Times New Roman"/>
          <w:spacing w:val="-2"/>
          <w:lang w:val="en-GB"/>
        </w:rPr>
        <w:t xml:space="preserve"> 2023</w:t>
      </w:r>
      <w:r w:rsidR="00801ADE" w:rsidRPr="00830C7C">
        <w:rPr>
          <w:rFonts w:ascii="Times New Roman" w:hAnsi="Times New Roman" w:cs="Times New Roman"/>
          <w:spacing w:val="-2"/>
          <w:lang w:val="en-GB"/>
        </w:rPr>
        <w:t>,</w:t>
      </w:r>
      <w:r w:rsidR="001D7BB0" w:rsidRPr="00830C7C">
        <w:rPr>
          <w:rFonts w:ascii="Times New Roman" w:hAnsi="Times New Roman" w:cs="Times New Roman"/>
          <w:spacing w:val="-2"/>
          <w:lang w:val="en-GB"/>
        </w:rPr>
        <w:t xml:space="preserve"> </w:t>
      </w:r>
      <w:proofErr w:type="spellStart"/>
      <w:r w:rsidR="001D7BB0" w:rsidRPr="00830C7C">
        <w:rPr>
          <w:rFonts w:ascii="Times New Roman" w:hAnsi="Times New Roman" w:cs="Times New Roman"/>
          <w:spacing w:val="-2"/>
          <w:lang w:val="en-GB"/>
        </w:rPr>
        <w:t>Lepetan</w:t>
      </w:r>
      <w:proofErr w:type="spellEnd"/>
      <w:r w:rsidR="007D0139" w:rsidRPr="00830C7C">
        <w:rPr>
          <w:rFonts w:ascii="Times New Roman" w:hAnsi="Times New Roman" w:cs="Times New Roman"/>
          <w:spacing w:val="-2"/>
          <w:lang w:val="en-GB"/>
        </w:rPr>
        <w:t xml:space="preserve"> </w:t>
      </w:r>
      <w:r w:rsidR="001D7BB0" w:rsidRPr="00830C7C">
        <w:rPr>
          <w:rFonts w:ascii="Times New Roman" w:hAnsi="Times New Roman" w:cs="Times New Roman"/>
          <w:spacing w:val="-2"/>
          <w:lang w:val="en-GB"/>
        </w:rPr>
        <w:t>et al. 2023</w:t>
      </w:r>
      <w:r w:rsidR="00801ADE" w:rsidRPr="00464512">
        <w:rPr>
          <w:rFonts w:ascii="Times New Roman" w:hAnsi="Times New Roman" w:cs="Times New Roman"/>
          <w:lang w:val="en-GB"/>
        </w:rPr>
        <w:t>,</w:t>
      </w:r>
      <w:r w:rsidR="001D7BB0" w:rsidRPr="00464512">
        <w:rPr>
          <w:rFonts w:ascii="Times New Roman" w:hAnsi="Times New Roman" w:cs="Times New Roman"/>
          <w:lang w:val="en-GB"/>
        </w:rPr>
        <w:t xml:space="preserve"> </w:t>
      </w:r>
      <w:r w:rsidR="007D0139" w:rsidRPr="00464512">
        <w:rPr>
          <w:rFonts w:ascii="Times New Roman" w:hAnsi="Times New Roman" w:cs="Times New Roman"/>
          <w:lang w:val="en-GB"/>
        </w:rPr>
        <w:t>Jia 2024</w:t>
      </w:r>
      <w:r w:rsidR="00801ADE" w:rsidRPr="00464512">
        <w:rPr>
          <w:rFonts w:ascii="Times New Roman" w:hAnsi="Times New Roman" w:cs="Times New Roman"/>
          <w:lang w:val="en-GB"/>
        </w:rPr>
        <w:t>,</w:t>
      </w:r>
      <w:r w:rsidR="007D0139" w:rsidRPr="00464512">
        <w:rPr>
          <w:rFonts w:ascii="Times New Roman" w:hAnsi="Times New Roman" w:cs="Times New Roman"/>
          <w:lang w:val="en-GB"/>
        </w:rPr>
        <w:t xml:space="preserve"> von Hegner 2025</w:t>
      </w:r>
      <w:r w:rsidR="00F9570E" w:rsidRPr="00464512">
        <w:rPr>
          <w:rFonts w:ascii="Times New Roman" w:hAnsi="Times New Roman" w:cs="Times New Roman"/>
          <w:lang w:val="en-GB"/>
        </w:rPr>
        <w:t>).</w:t>
      </w:r>
    </w:p>
    <w:p w14:paraId="791B649C" w14:textId="3491B190" w:rsidR="00532935" w:rsidRPr="00464512" w:rsidRDefault="002D196E"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However, simply raising capital does not guarantee sustainable economic growth. The return on investment, its profitability</w:t>
      </w:r>
      <w:r w:rsidR="00480D52">
        <w:rPr>
          <w:rFonts w:ascii="Times New Roman" w:hAnsi="Times New Roman" w:cs="Times New Roman"/>
          <w:lang w:val="en-GB"/>
        </w:rPr>
        <w:t>,</w:t>
      </w:r>
      <w:r w:rsidRPr="00464512">
        <w:rPr>
          <w:rFonts w:ascii="Times New Roman" w:hAnsi="Times New Roman" w:cs="Times New Roman"/>
          <w:lang w:val="en-GB"/>
        </w:rPr>
        <w:t xml:space="preserve"> and overall efficiency are determined by the ability of enterprises to adapt to dynamic market conditions, introduce innovations</w:t>
      </w:r>
      <w:r w:rsidR="00480D52">
        <w:rPr>
          <w:rFonts w:ascii="Times New Roman" w:hAnsi="Times New Roman" w:cs="Times New Roman"/>
          <w:lang w:val="en-GB"/>
        </w:rPr>
        <w:t>,</w:t>
      </w:r>
      <w:r w:rsidRPr="00464512">
        <w:rPr>
          <w:rFonts w:ascii="Times New Roman" w:hAnsi="Times New Roman" w:cs="Times New Roman"/>
          <w:lang w:val="en-GB"/>
        </w:rPr>
        <w:t xml:space="preserve"> and make strategically sound management decisions </w:t>
      </w:r>
      <w:r w:rsidR="00190D1A" w:rsidRPr="00464512">
        <w:rPr>
          <w:rFonts w:ascii="Times New Roman" w:hAnsi="Times New Roman" w:cs="Times New Roman"/>
          <w:lang w:val="en-GB"/>
        </w:rPr>
        <w:t>(</w:t>
      </w:r>
      <w:r w:rsidR="000D4CB3" w:rsidRPr="00464512">
        <w:rPr>
          <w:rFonts w:ascii="Times New Roman" w:hAnsi="Times New Roman" w:cs="Times New Roman"/>
          <w:lang w:val="en-GB"/>
        </w:rPr>
        <w:t>Kolesnyk et al. 2018</w:t>
      </w:r>
      <w:r w:rsidR="00801ADE" w:rsidRPr="00464512">
        <w:rPr>
          <w:rFonts w:ascii="Times New Roman" w:hAnsi="Times New Roman" w:cs="Times New Roman"/>
          <w:lang w:val="en-GB"/>
        </w:rPr>
        <w:t>,</w:t>
      </w:r>
      <w:r w:rsidR="000D4CB3" w:rsidRPr="00464512">
        <w:rPr>
          <w:rFonts w:ascii="Times New Roman" w:hAnsi="Times New Roman" w:cs="Times New Roman"/>
          <w:lang w:val="en-GB"/>
        </w:rPr>
        <w:t xml:space="preserve"> </w:t>
      </w:r>
      <w:proofErr w:type="spellStart"/>
      <w:r w:rsidR="00190D1A" w:rsidRPr="00464512">
        <w:rPr>
          <w:rFonts w:ascii="Times New Roman" w:hAnsi="Times New Roman" w:cs="Times New Roman"/>
          <w:lang w:val="en-GB"/>
        </w:rPr>
        <w:t>Kaletnik</w:t>
      </w:r>
      <w:proofErr w:type="spellEnd"/>
      <w:r w:rsidR="00190D1A" w:rsidRPr="00464512">
        <w:rPr>
          <w:rFonts w:ascii="Times New Roman" w:hAnsi="Times New Roman" w:cs="Times New Roman"/>
          <w:lang w:val="en-GB"/>
        </w:rPr>
        <w:t xml:space="preserve"> &amp; </w:t>
      </w:r>
      <w:proofErr w:type="spellStart"/>
      <w:r w:rsidR="00190D1A" w:rsidRPr="00464512">
        <w:rPr>
          <w:rFonts w:ascii="Times New Roman" w:hAnsi="Times New Roman" w:cs="Times New Roman"/>
          <w:lang w:val="en-GB"/>
        </w:rPr>
        <w:t>Lutkovska</w:t>
      </w:r>
      <w:proofErr w:type="spellEnd"/>
      <w:r w:rsidR="00190D1A" w:rsidRPr="00464512">
        <w:rPr>
          <w:rFonts w:ascii="Times New Roman" w:hAnsi="Times New Roman" w:cs="Times New Roman"/>
          <w:lang w:val="en-GB"/>
        </w:rPr>
        <w:t xml:space="preserve"> 2020</w:t>
      </w:r>
      <w:r w:rsidR="00801ADE" w:rsidRPr="00464512">
        <w:rPr>
          <w:rFonts w:ascii="Times New Roman" w:hAnsi="Times New Roman" w:cs="Times New Roman"/>
          <w:lang w:val="en-GB"/>
        </w:rPr>
        <w:t>,</w:t>
      </w:r>
      <w:r w:rsidR="000D4CB3" w:rsidRPr="00464512">
        <w:rPr>
          <w:rFonts w:ascii="Times New Roman" w:hAnsi="Times New Roman" w:cs="Times New Roman"/>
          <w:lang w:val="en-GB"/>
        </w:rPr>
        <w:t xml:space="preserve"> </w:t>
      </w:r>
      <w:proofErr w:type="spellStart"/>
      <w:r w:rsidR="000D4CB3" w:rsidRPr="00464512">
        <w:rPr>
          <w:rFonts w:ascii="Times New Roman" w:hAnsi="Times New Roman" w:cs="Times New Roman"/>
          <w:lang w:val="en-GB"/>
        </w:rPr>
        <w:t>Balanovska</w:t>
      </w:r>
      <w:proofErr w:type="spellEnd"/>
      <w:r w:rsidR="000D4CB3" w:rsidRPr="00464512">
        <w:rPr>
          <w:rFonts w:ascii="Times New Roman" w:hAnsi="Times New Roman" w:cs="Times New Roman"/>
          <w:lang w:val="en-GB"/>
        </w:rPr>
        <w:t xml:space="preserve"> et al. 2021</w:t>
      </w:r>
      <w:r w:rsidR="00801ADE" w:rsidRPr="00464512">
        <w:rPr>
          <w:rFonts w:ascii="Times New Roman" w:hAnsi="Times New Roman" w:cs="Times New Roman"/>
          <w:lang w:val="en-GB"/>
        </w:rPr>
        <w:t>,</w:t>
      </w:r>
      <w:r w:rsidR="000D4CB3" w:rsidRPr="00464512">
        <w:rPr>
          <w:rFonts w:ascii="Times New Roman" w:hAnsi="Times New Roman" w:cs="Times New Roman"/>
          <w:lang w:val="en-GB"/>
        </w:rPr>
        <w:t xml:space="preserve"> </w:t>
      </w:r>
      <w:proofErr w:type="spellStart"/>
      <w:r w:rsidR="000D4CB3" w:rsidRPr="00464512">
        <w:rPr>
          <w:rFonts w:ascii="Times New Roman" w:hAnsi="Times New Roman" w:cs="Times New Roman"/>
          <w:lang w:val="en-GB"/>
        </w:rPr>
        <w:t>Zhovnirchyk</w:t>
      </w:r>
      <w:proofErr w:type="spellEnd"/>
      <w:r w:rsidR="000D4CB3" w:rsidRPr="00464512">
        <w:rPr>
          <w:rFonts w:ascii="Times New Roman" w:hAnsi="Times New Roman" w:cs="Times New Roman"/>
          <w:lang w:val="en-GB"/>
        </w:rPr>
        <w:t xml:space="preserve"> et al. 2023</w:t>
      </w:r>
      <w:r w:rsidR="00190D1A" w:rsidRPr="00464512">
        <w:rPr>
          <w:rFonts w:ascii="Times New Roman" w:hAnsi="Times New Roman" w:cs="Times New Roman"/>
          <w:lang w:val="en-GB"/>
        </w:rPr>
        <w:t>)</w:t>
      </w:r>
      <w:r w:rsidR="00532935" w:rsidRPr="00464512">
        <w:rPr>
          <w:rFonts w:ascii="Times New Roman" w:hAnsi="Times New Roman" w:cs="Times New Roman"/>
          <w:lang w:val="en-GB"/>
        </w:rPr>
        <w:t xml:space="preserve">. </w:t>
      </w:r>
      <w:r w:rsidRPr="00464512">
        <w:rPr>
          <w:rFonts w:ascii="Times New Roman" w:hAnsi="Times New Roman" w:cs="Times New Roman"/>
          <w:lang w:val="en-GB"/>
        </w:rPr>
        <w:t xml:space="preserve">This, in turn, is a derivative of the ability of business entities to maintain their own competitive positions in the market </w:t>
      </w:r>
      <w:r w:rsidR="000D4CB3" w:rsidRPr="00464512">
        <w:rPr>
          <w:rFonts w:ascii="Times New Roman" w:hAnsi="Times New Roman" w:cs="Times New Roman"/>
          <w:lang w:val="en-GB"/>
        </w:rPr>
        <w:t>(</w:t>
      </w:r>
      <w:proofErr w:type="spellStart"/>
      <w:r w:rsidR="000D4CB3" w:rsidRPr="00464512">
        <w:rPr>
          <w:rFonts w:ascii="Times New Roman" w:hAnsi="Times New Roman" w:cs="Times New Roman"/>
          <w:lang w:val="en-GB"/>
        </w:rPr>
        <w:t>Onegina</w:t>
      </w:r>
      <w:proofErr w:type="spellEnd"/>
      <w:r w:rsidR="000D4CB3" w:rsidRPr="00464512">
        <w:rPr>
          <w:rFonts w:ascii="Times New Roman" w:hAnsi="Times New Roman" w:cs="Times New Roman"/>
          <w:lang w:val="en-GB"/>
        </w:rPr>
        <w:t xml:space="preserve"> &amp; </w:t>
      </w:r>
      <w:proofErr w:type="spellStart"/>
      <w:r w:rsidR="000D4CB3" w:rsidRPr="00464512">
        <w:rPr>
          <w:rFonts w:ascii="Times New Roman" w:hAnsi="Times New Roman" w:cs="Times New Roman"/>
          <w:lang w:val="en-GB"/>
        </w:rPr>
        <w:t>Vitkovskyi</w:t>
      </w:r>
      <w:proofErr w:type="spellEnd"/>
      <w:r w:rsidR="000D4CB3" w:rsidRPr="00464512">
        <w:rPr>
          <w:rFonts w:ascii="Times New Roman" w:hAnsi="Times New Roman" w:cs="Times New Roman"/>
          <w:lang w:val="en-GB"/>
        </w:rPr>
        <w:t xml:space="preserve"> 2020</w:t>
      </w:r>
      <w:r w:rsidR="00801ADE" w:rsidRPr="00464512">
        <w:rPr>
          <w:rFonts w:ascii="Times New Roman" w:hAnsi="Times New Roman" w:cs="Times New Roman"/>
          <w:lang w:val="en-GB"/>
        </w:rPr>
        <w:t>,</w:t>
      </w:r>
      <w:r w:rsidR="000D4CB3" w:rsidRPr="00464512">
        <w:rPr>
          <w:rFonts w:ascii="Times New Roman" w:hAnsi="Times New Roman" w:cs="Times New Roman"/>
          <w:lang w:val="en-GB"/>
        </w:rPr>
        <w:t xml:space="preserve"> </w:t>
      </w:r>
      <w:proofErr w:type="spellStart"/>
      <w:r w:rsidR="007D0139" w:rsidRPr="00464512">
        <w:rPr>
          <w:rFonts w:ascii="Times New Roman" w:hAnsi="Times New Roman" w:cs="Times New Roman"/>
          <w:lang w:val="en-GB"/>
        </w:rPr>
        <w:t>Andriushchenko</w:t>
      </w:r>
      <w:proofErr w:type="spellEnd"/>
      <w:r w:rsidR="007D0139" w:rsidRPr="00464512">
        <w:rPr>
          <w:rFonts w:ascii="Times New Roman" w:hAnsi="Times New Roman" w:cs="Times New Roman"/>
          <w:lang w:val="en-GB"/>
        </w:rPr>
        <w:t xml:space="preserve"> et al. 2021</w:t>
      </w:r>
      <w:r w:rsidR="00801ADE" w:rsidRPr="00464512">
        <w:rPr>
          <w:rFonts w:ascii="Times New Roman" w:hAnsi="Times New Roman" w:cs="Times New Roman"/>
          <w:lang w:val="en-GB"/>
        </w:rPr>
        <w:t>,</w:t>
      </w:r>
      <w:r w:rsidR="007D0139" w:rsidRPr="00464512">
        <w:rPr>
          <w:rFonts w:ascii="Times New Roman" w:hAnsi="Times New Roman" w:cs="Times New Roman"/>
          <w:lang w:val="en-GB"/>
        </w:rPr>
        <w:t xml:space="preserve"> </w:t>
      </w:r>
      <w:proofErr w:type="spellStart"/>
      <w:r w:rsidR="00615A15" w:rsidRPr="00464512">
        <w:rPr>
          <w:rFonts w:ascii="Times New Roman" w:hAnsi="Times New Roman" w:cs="Times New Roman"/>
          <w:lang w:val="en-GB"/>
        </w:rPr>
        <w:t>Chikov</w:t>
      </w:r>
      <w:proofErr w:type="spellEnd"/>
      <w:r w:rsidR="00615A15" w:rsidRPr="00464512">
        <w:rPr>
          <w:rFonts w:ascii="Times New Roman" w:hAnsi="Times New Roman" w:cs="Times New Roman"/>
          <w:lang w:val="en-GB"/>
        </w:rPr>
        <w:t xml:space="preserve"> et al. 2023</w:t>
      </w:r>
      <w:r w:rsidR="00055E3B" w:rsidRPr="00464512">
        <w:rPr>
          <w:rFonts w:ascii="Times New Roman" w:hAnsi="Times New Roman" w:cs="Times New Roman"/>
          <w:lang w:val="en-GB"/>
        </w:rPr>
        <w:t>a</w:t>
      </w:r>
      <w:r w:rsidR="00615A15" w:rsidRPr="00464512">
        <w:rPr>
          <w:rFonts w:ascii="Times New Roman" w:hAnsi="Times New Roman" w:cs="Times New Roman"/>
          <w:lang w:val="en-GB"/>
        </w:rPr>
        <w:t>)</w:t>
      </w:r>
      <w:r w:rsidR="002426AE" w:rsidRPr="00464512">
        <w:rPr>
          <w:rFonts w:ascii="Times New Roman" w:hAnsi="Times New Roman" w:cs="Times New Roman"/>
          <w:lang w:val="en-GB"/>
        </w:rPr>
        <w:t xml:space="preserve">. </w:t>
      </w:r>
      <w:r w:rsidRPr="00464512">
        <w:rPr>
          <w:rFonts w:ascii="Times New Roman" w:hAnsi="Times New Roman" w:cs="Times New Roman"/>
          <w:lang w:val="en-GB"/>
        </w:rPr>
        <w:t>Capital investments, if they are aimed at technological innovation, energy efficiency</w:t>
      </w:r>
      <w:r w:rsidR="00480D52">
        <w:rPr>
          <w:rFonts w:ascii="Times New Roman" w:hAnsi="Times New Roman" w:cs="Times New Roman"/>
          <w:lang w:val="en-GB"/>
        </w:rPr>
        <w:t>,</w:t>
      </w:r>
      <w:r w:rsidRPr="00464512">
        <w:rPr>
          <w:rFonts w:ascii="Times New Roman" w:hAnsi="Times New Roman" w:cs="Times New Roman"/>
          <w:lang w:val="en-GB"/>
        </w:rPr>
        <w:t xml:space="preserve"> and human capital development, form the basis for long-term success in domestic and foreign markets. Moreover, the rational use of capital investments is one of the key factors in ensuring sustainable development of the agricultural sector </w:t>
      </w:r>
      <w:r w:rsidR="000A40DE" w:rsidRPr="00464512">
        <w:rPr>
          <w:rFonts w:ascii="Times New Roman" w:hAnsi="Times New Roman" w:cs="Times New Roman"/>
          <w:lang w:val="en-GB"/>
        </w:rPr>
        <w:t>(</w:t>
      </w:r>
      <w:proofErr w:type="spellStart"/>
      <w:r w:rsidR="005D7D00" w:rsidRPr="00464512">
        <w:rPr>
          <w:rFonts w:ascii="Times New Roman" w:hAnsi="Times New Roman" w:cs="Times New Roman"/>
          <w:lang w:val="en-GB"/>
        </w:rPr>
        <w:t>Chikov</w:t>
      </w:r>
      <w:proofErr w:type="spellEnd"/>
      <w:r w:rsidR="005D7D00" w:rsidRPr="00464512">
        <w:rPr>
          <w:rFonts w:ascii="Times New Roman" w:hAnsi="Times New Roman" w:cs="Times New Roman"/>
          <w:lang w:val="en-GB"/>
        </w:rPr>
        <w:t xml:space="preserve"> &amp; Titov 2023</w:t>
      </w:r>
      <w:r w:rsidR="00801ADE" w:rsidRPr="00464512">
        <w:rPr>
          <w:rFonts w:ascii="Times New Roman" w:hAnsi="Times New Roman" w:cs="Times New Roman"/>
          <w:lang w:val="en-GB"/>
        </w:rPr>
        <w:t>,</w:t>
      </w:r>
      <w:r w:rsidR="005D7D00" w:rsidRPr="00464512">
        <w:rPr>
          <w:rFonts w:ascii="Times New Roman" w:hAnsi="Times New Roman" w:cs="Times New Roman"/>
          <w:lang w:val="en-GB"/>
        </w:rPr>
        <w:t xml:space="preserve"> </w:t>
      </w:r>
      <w:proofErr w:type="spellStart"/>
      <w:r w:rsidR="005D7D00" w:rsidRPr="00464512">
        <w:rPr>
          <w:rFonts w:ascii="Times New Roman" w:hAnsi="Times New Roman" w:cs="Times New Roman"/>
          <w:lang w:val="en-GB"/>
        </w:rPr>
        <w:t>Martsynkevych</w:t>
      </w:r>
      <w:proofErr w:type="spellEnd"/>
      <w:r w:rsidR="005D7D00" w:rsidRPr="00464512">
        <w:rPr>
          <w:rFonts w:ascii="Times New Roman" w:hAnsi="Times New Roman" w:cs="Times New Roman"/>
          <w:lang w:val="en-GB"/>
        </w:rPr>
        <w:t xml:space="preserve"> &amp; </w:t>
      </w:r>
      <w:proofErr w:type="spellStart"/>
      <w:r w:rsidR="005D7D00" w:rsidRPr="00464512">
        <w:rPr>
          <w:rFonts w:ascii="Times New Roman" w:hAnsi="Times New Roman" w:cs="Times New Roman"/>
          <w:lang w:val="en-GB"/>
        </w:rPr>
        <w:t>Danyliak</w:t>
      </w:r>
      <w:proofErr w:type="spellEnd"/>
      <w:r w:rsidR="005D7D00" w:rsidRPr="00464512">
        <w:rPr>
          <w:rFonts w:ascii="Times New Roman" w:hAnsi="Times New Roman" w:cs="Times New Roman"/>
          <w:lang w:val="en-GB"/>
        </w:rPr>
        <w:t xml:space="preserve"> 2023</w:t>
      </w:r>
      <w:r w:rsidR="00801ADE" w:rsidRPr="00464512">
        <w:rPr>
          <w:rFonts w:ascii="Times New Roman" w:hAnsi="Times New Roman" w:cs="Times New Roman"/>
          <w:lang w:val="en-GB"/>
        </w:rPr>
        <w:t>,</w:t>
      </w:r>
      <w:r w:rsidR="005D7D00" w:rsidRPr="00464512">
        <w:rPr>
          <w:rFonts w:ascii="Times New Roman" w:hAnsi="Times New Roman" w:cs="Times New Roman"/>
          <w:lang w:val="en-GB"/>
        </w:rPr>
        <w:t xml:space="preserve"> Dorosh</w:t>
      </w:r>
      <w:r w:rsidR="00801ADE" w:rsidRPr="00464512">
        <w:rPr>
          <w:rFonts w:ascii="Times New Roman" w:hAnsi="Times New Roman" w:cs="Times New Roman"/>
          <w:lang w:val="en-GB"/>
        </w:rPr>
        <w:t xml:space="preserve"> et al.</w:t>
      </w:r>
      <w:r w:rsidR="005D7D00" w:rsidRPr="00464512">
        <w:rPr>
          <w:rFonts w:ascii="Times New Roman" w:hAnsi="Times New Roman" w:cs="Times New Roman"/>
          <w:lang w:val="en-GB"/>
        </w:rPr>
        <w:t xml:space="preserve"> 2024</w:t>
      </w:r>
      <w:r w:rsidR="000A40DE" w:rsidRPr="00464512">
        <w:rPr>
          <w:rFonts w:ascii="Times New Roman" w:hAnsi="Times New Roman" w:cs="Times New Roman"/>
          <w:lang w:val="en-GB"/>
        </w:rPr>
        <w:t>)</w:t>
      </w:r>
      <w:r w:rsidR="00532935" w:rsidRPr="00464512">
        <w:rPr>
          <w:rFonts w:ascii="Times New Roman" w:hAnsi="Times New Roman" w:cs="Times New Roman"/>
          <w:lang w:val="en-GB"/>
        </w:rPr>
        <w:t xml:space="preserve">. </w:t>
      </w:r>
      <w:r w:rsidRPr="00464512">
        <w:rPr>
          <w:rFonts w:ascii="Times New Roman" w:hAnsi="Times New Roman" w:cs="Times New Roman"/>
          <w:lang w:val="en-GB"/>
        </w:rPr>
        <w:t xml:space="preserve">This includes not only economic feasibility, but also environmental responsibility and social orientation of investment activities </w:t>
      </w:r>
      <w:r w:rsidR="006A298E" w:rsidRPr="00464512">
        <w:rPr>
          <w:rFonts w:ascii="Times New Roman" w:hAnsi="Times New Roman" w:cs="Times New Roman"/>
          <w:lang w:val="en-GB"/>
        </w:rPr>
        <w:t xml:space="preserve">(Honcharuk &amp; </w:t>
      </w:r>
      <w:proofErr w:type="spellStart"/>
      <w:r w:rsidR="006A298E" w:rsidRPr="00464512">
        <w:rPr>
          <w:rFonts w:ascii="Times New Roman" w:hAnsi="Times New Roman" w:cs="Times New Roman"/>
          <w:lang w:val="en-GB"/>
        </w:rPr>
        <w:t>Tokarchuk</w:t>
      </w:r>
      <w:proofErr w:type="spellEnd"/>
      <w:r w:rsidR="006A298E" w:rsidRPr="00464512">
        <w:rPr>
          <w:rFonts w:ascii="Times New Roman" w:hAnsi="Times New Roman" w:cs="Times New Roman"/>
          <w:lang w:val="en-GB"/>
        </w:rPr>
        <w:t xml:space="preserve"> 2024)</w:t>
      </w:r>
      <w:r w:rsidR="00532935" w:rsidRPr="00464512">
        <w:rPr>
          <w:rFonts w:ascii="Times New Roman" w:hAnsi="Times New Roman" w:cs="Times New Roman"/>
          <w:lang w:val="en-GB"/>
        </w:rPr>
        <w:t xml:space="preserve">. </w:t>
      </w:r>
      <w:r w:rsidRPr="00464512">
        <w:rPr>
          <w:rFonts w:ascii="Times New Roman" w:hAnsi="Times New Roman" w:cs="Times New Roman"/>
          <w:lang w:val="en-GB"/>
        </w:rPr>
        <w:t>Thus, investment policy in the agricultural sector should be comprehensive, strategically sound, and aimed at achieving a balance between economic efficiency, social justice, and environmental safety</w:t>
      </w:r>
      <w:r w:rsidR="00532935" w:rsidRPr="00464512">
        <w:rPr>
          <w:rFonts w:ascii="Times New Roman" w:hAnsi="Times New Roman" w:cs="Times New Roman"/>
          <w:lang w:val="en-GB"/>
        </w:rPr>
        <w:t>.</w:t>
      </w:r>
    </w:p>
    <w:p w14:paraId="59BF489B" w14:textId="5455A08D" w:rsidR="00054FC6" w:rsidRPr="00464512" w:rsidRDefault="00B22D46"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article focuses on the study of the role of capital investments in the formation of assets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in the context of increasing the volume of sales of products (goods, services). In addition, the need for rationalization of land use through optimization of capital investments of agricultural production enterprises is substantiated</w:t>
      </w:r>
      <w:r w:rsidR="008D6043" w:rsidRPr="00464512">
        <w:rPr>
          <w:rFonts w:ascii="Times New Roman" w:hAnsi="Times New Roman" w:cs="Times New Roman"/>
          <w:lang w:val="en-GB"/>
        </w:rPr>
        <w:t xml:space="preserve"> (Tretiak et al. 2021</w:t>
      </w:r>
      <w:r w:rsidR="00801ADE" w:rsidRPr="00464512">
        <w:rPr>
          <w:rFonts w:ascii="Times New Roman" w:hAnsi="Times New Roman" w:cs="Times New Roman"/>
          <w:lang w:val="en-GB"/>
        </w:rPr>
        <w:t>,</w:t>
      </w:r>
      <w:r w:rsidR="008D6043" w:rsidRPr="00464512">
        <w:rPr>
          <w:rFonts w:ascii="Times New Roman" w:hAnsi="Times New Roman" w:cs="Times New Roman"/>
          <w:lang w:val="en-GB"/>
        </w:rPr>
        <w:t xml:space="preserve"> </w:t>
      </w:r>
      <w:r w:rsidR="001D7BB0" w:rsidRPr="00464512">
        <w:rPr>
          <w:rFonts w:ascii="Times New Roman" w:hAnsi="Times New Roman" w:cs="Times New Roman"/>
          <w:lang w:val="en-GB"/>
        </w:rPr>
        <w:t>Ostapchuk et al. 2021</w:t>
      </w:r>
      <w:r w:rsidR="00801ADE" w:rsidRPr="00464512">
        <w:rPr>
          <w:rFonts w:ascii="Times New Roman" w:hAnsi="Times New Roman" w:cs="Times New Roman"/>
          <w:lang w:val="en-GB"/>
        </w:rPr>
        <w:t>,</w:t>
      </w:r>
      <w:r w:rsidR="001D7BB0" w:rsidRPr="00464512">
        <w:rPr>
          <w:rFonts w:ascii="Times New Roman" w:hAnsi="Times New Roman" w:cs="Times New Roman"/>
          <w:lang w:val="en-GB"/>
        </w:rPr>
        <w:t xml:space="preserve"> </w:t>
      </w:r>
      <w:proofErr w:type="spellStart"/>
      <w:r w:rsidR="008D6043" w:rsidRPr="00464512">
        <w:rPr>
          <w:rFonts w:ascii="Times New Roman" w:hAnsi="Times New Roman" w:cs="Times New Roman"/>
          <w:lang w:val="en-GB"/>
        </w:rPr>
        <w:t>Perevozova</w:t>
      </w:r>
      <w:proofErr w:type="spellEnd"/>
      <w:r w:rsidR="008D6043" w:rsidRPr="00464512">
        <w:rPr>
          <w:rFonts w:ascii="Times New Roman" w:hAnsi="Times New Roman" w:cs="Times New Roman"/>
          <w:lang w:val="en-GB"/>
        </w:rPr>
        <w:t xml:space="preserve"> et al. 2022</w:t>
      </w:r>
      <w:r w:rsidR="00801ADE" w:rsidRPr="00464512">
        <w:rPr>
          <w:rFonts w:ascii="Times New Roman" w:hAnsi="Times New Roman" w:cs="Times New Roman"/>
          <w:lang w:val="en-GB"/>
        </w:rPr>
        <w:t>,</w:t>
      </w:r>
      <w:r w:rsidR="0099708B" w:rsidRPr="00464512">
        <w:rPr>
          <w:rFonts w:ascii="Times New Roman" w:hAnsi="Times New Roman" w:cs="Times New Roman"/>
          <w:lang w:val="en-GB"/>
        </w:rPr>
        <w:t xml:space="preserve"> </w:t>
      </w:r>
      <w:r w:rsidR="001D7BB0" w:rsidRPr="00464512">
        <w:rPr>
          <w:rFonts w:ascii="Times New Roman" w:hAnsi="Times New Roman" w:cs="Times New Roman"/>
          <w:lang w:val="en-GB"/>
        </w:rPr>
        <w:t>Bezdushna et al. 2023</w:t>
      </w:r>
      <w:r w:rsidR="00801ADE" w:rsidRPr="00464512">
        <w:rPr>
          <w:rFonts w:ascii="Times New Roman" w:hAnsi="Times New Roman" w:cs="Times New Roman"/>
          <w:lang w:val="en-GB"/>
        </w:rPr>
        <w:t>,</w:t>
      </w:r>
      <w:r w:rsidR="001D7BB0" w:rsidRPr="00464512">
        <w:rPr>
          <w:rFonts w:ascii="Times New Roman" w:hAnsi="Times New Roman" w:cs="Times New Roman"/>
          <w:lang w:val="en-GB"/>
        </w:rPr>
        <w:t xml:space="preserve"> </w:t>
      </w:r>
      <w:proofErr w:type="spellStart"/>
      <w:r w:rsidR="0099708B" w:rsidRPr="00464512">
        <w:rPr>
          <w:rFonts w:ascii="Times New Roman" w:hAnsi="Times New Roman" w:cs="Times New Roman"/>
          <w:lang w:val="en-GB"/>
        </w:rPr>
        <w:t>Boussakra</w:t>
      </w:r>
      <w:proofErr w:type="spellEnd"/>
      <w:r w:rsidR="00801ADE" w:rsidRPr="00464512">
        <w:rPr>
          <w:rFonts w:ascii="Times New Roman" w:hAnsi="Times New Roman" w:cs="Times New Roman"/>
          <w:lang w:val="en-GB"/>
        </w:rPr>
        <w:t xml:space="preserve"> et al.</w:t>
      </w:r>
      <w:r w:rsidR="0099708B" w:rsidRPr="00464512">
        <w:rPr>
          <w:rFonts w:ascii="Times New Roman" w:hAnsi="Times New Roman" w:cs="Times New Roman"/>
          <w:lang w:val="en-GB"/>
        </w:rPr>
        <w:t xml:space="preserve"> 2025</w:t>
      </w:r>
      <w:r w:rsidR="008D6043" w:rsidRPr="00464512">
        <w:rPr>
          <w:rFonts w:ascii="Times New Roman" w:hAnsi="Times New Roman" w:cs="Times New Roman"/>
          <w:lang w:val="en-GB"/>
        </w:rPr>
        <w:t>)</w:t>
      </w:r>
      <w:r w:rsidRPr="00464512">
        <w:rPr>
          <w:rFonts w:ascii="Times New Roman" w:hAnsi="Times New Roman" w:cs="Times New Roman"/>
          <w:lang w:val="en-GB"/>
        </w:rPr>
        <w:t>.</w:t>
      </w:r>
    </w:p>
    <w:p w14:paraId="0635ACB2" w14:textId="73FD26BF" w:rsidR="00913AA3" w:rsidRPr="00464512" w:rsidRDefault="00B22D46"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purpose of the article is to assess the effectiveness of capital investments in the development of land resources of agricultural enterprises, which will allow identifying the potential for increasing sales and production costs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w:t>
      </w:r>
    </w:p>
    <w:p w14:paraId="35D68B59" w14:textId="77777777" w:rsidR="0070140A" w:rsidRPr="00464512" w:rsidRDefault="0070140A" w:rsidP="00C4684C">
      <w:pPr>
        <w:pStyle w:val="Rn1"/>
        <w:rPr>
          <w:lang w:val="en-GB"/>
        </w:rPr>
      </w:pPr>
      <w:r w:rsidRPr="00464512">
        <w:rPr>
          <w:lang w:val="en-GB"/>
        </w:rPr>
        <w:t>2. Methods</w:t>
      </w:r>
    </w:p>
    <w:p w14:paraId="321FB815" w14:textId="51C4724F" w:rsidR="006F66DE" w:rsidRPr="00464512" w:rsidRDefault="00453D8D"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basis of the study is statistical materials on the economic activity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of Ukraine during 2014-2023 </w:t>
      </w:r>
      <w:r w:rsidR="000536BC" w:rsidRPr="00464512">
        <w:rPr>
          <w:rFonts w:ascii="Times New Roman" w:hAnsi="Times New Roman" w:cs="Times New Roman"/>
          <w:lang w:val="en-GB"/>
        </w:rPr>
        <w:t>(</w:t>
      </w:r>
      <w:r w:rsidR="005667B6" w:rsidRPr="00464512">
        <w:rPr>
          <w:rFonts w:ascii="Times New Roman" w:hAnsi="Times New Roman" w:cs="Times New Roman"/>
          <w:lang w:val="en-GB"/>
        </w:rPr>
        <w:t>State Statistics Service of Ukraine, 2014-2023</w:t>
      </w:r>
      <w:r w:rsidR="000536BC" w:rsidRPr="00464512">
        <w:rPr>
          <w:rFonts w:ascii="Times New Roman" w:hAnsi="Times New Roman" w:cs="Times New Roman"/>
          <w:lang w:val="en-GB"/>
        </w:rPr>
        <w:t>)</w:t>
      </w:r>
      <w:r w:rsidRPr="00464512">
        <w:rPr>
          <w:rFonts w:ascii="Times New Roman" w:hAnsi="Times New Roman" w:cs="Times New Roman"/>
          <w:lang w:val="en-GB"/>
        </w:rPr>
        <w:t>. Information was systematized according to indicators of capital investments in tangible and intangible assets, as well as sales volume and costs for production of products (goods, services), which allowed conducting correlation-regression analysis, thanks to which regression equations were constructed and indicators of connection density were determined.</w:t>
      </w:r>
    </w:p>
    <w:p w14:paraId="120CEFBA" w14:textId="51618CDB" w:rsidR="00B47417" w:rsidRPr="00464512" w:rsidRDefault="00B47417"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To ensure greater analytical validity, the study also involved the calculation of coefficients of determination and elasticity, which made it possible to assess the strength and nature of the influence of investment factors on performance outcomes. </w:t>
      </w:r>
      <w:r w:rsidRPr="001716C1">
        <w:rPr>
          <w:rFonts w:ascii="Times New Roman" w:hAnsi="Times New Roman" w:cs="Times New Roman"/>
          <w:spacing w:val="-2"/>
          <w:lang w:val="en-GB"/>
        </w:rPr>
        <w:t>The obtained models were tested for statistical significance, and the stability of interdependencies was evaluated over time.</w:t>
      </w:r>
      <w:r w:rsidRPr="00464512">
        <w:rPr>
          <w:rFonts w:ascii="Times New Roman" w:hAnsi="Times New Roman" w:cs="Times New Roman"/>
          <w:lang w:val="en-GB"/>
        </w:rPr>
        <w:t xml:space="preserve"> This comprehensive approach enabled the formulation of evidence-based conclusions regarding the effectiveness of capital investment in enhancing production efficiency within the sector.</w:t>
      </w:r>
    </w:p>
    <w:p w14:paraId="285A9C8B" w14:textId="0C5BF4E9" w:rsidR="002B7B92" w:rsidRDefault="00544086"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method of analysis of the operating environment was used to assess the effectiveness of capital investments in land resources over a ten-year period. This method involves the use of the coefficient method and the graphical analysis method.</w:t>
      </w:r>
    </w:p>
    <w:p w14:paraId="30D4E92D" w14:textId="77777777" w:rsidR="00464512" w:rsidRPr="00464512" w:rsidRDefault="00464512" w:rsidP="00C4684C">
      <w:pPr>
        <w:widowControl w:val="0"/>
        <w:spacing w:after="0" w:line="240" w:lineRule="auto"/>
        <w:ind w:firstLine="284"/>
        <w:contextualSpacing/>
        <w:jc w:val="both"/>
        <w:rPr>
          <w:rFonts w:ascii="Times New Roman" w:hAnsi="Times New Roman" w:cs="Times New Roman"/>
          <w:lang w:val="en-GB"/>
        </w:rPr>
      </w:pPr>
    </w:p>
    <w:p w14:paraId="6E18AB4F" w14:textId="78622387" w:rsidR="002B7B92" w:rsidRPr="00464512" w:rsidRDefault="00CF5154"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lastRenderedPageBreak/>
        <w:t xml:space="preserve">The combination of parametric (correlation-regression analysis) and non-parametric (operational environment analysis) methods provides a comprehensive approach, where the parametric method identifies key influencing factors, and the non-parametric </w:t>
      </w:r>
      <w:r w:rsidR="00480D52">
        <w:rPr>
          <w:rFonts w:ascii="Times New Roman" w:hAnsi="Times New Roman" w:cs="Times New Roman"/>
          <w:lang w:val="en-GB"/>
        </w:rPr>
        <w:t xml:space="preserve">method </w:t>
      </w:r>
      <w:r w:rsidRPr="00464512">
        <w:rPr>
          <w:rFonts w:ascii="Times New Roman" w:hAnsi="Times New Roman" w:cs="Times New Roman"/>
          <w:lang w:val="en-GB"/>
        </w:rPr>
        <w:t>allows you to assess the dynamics of efficiency and identify lost potential, which is especially important in the context of uneven investment due to external factors, such as military actions. Thus, the integration of parametric and non-parametric methods is justified, as it provides a comprehensive assessment of the investment activities of agro-industrial enterprises, increasing the reliability and practical value of the conclusions</w:t>
      </w:r>
      <w:r w:rsidR="002B7B92" w:rsidRPr="00464512">
        <w:rPr>
          <w:rFonts w:ascii="Times New Roman" w:hAnsi="Times New Roman" w:cs="Times New Roman"/>
          <w:lang w:val="en-GB"/>
        </w:rPr>
        <w:t>.</w:t>
      </w:r>
    </w:p>
    <w:p w14:paraId="1DD004C7" w14:textId="67F9E249" w:rsidR="007B2551" w:rsidRPr="00464512" w:rsidRDefault="00544086"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The coefficient method is implemented based on the calculation of two groups of coefficients </w:t>
      </w:r>
      <w:r w:rsidR="00464512">
        <w:rPr>
          <w:rFonts w:ascii="Times New Roman" w:hAnsi="Times New Roman" w:cs="Times New Roman"/>
          <w:lang w:val="en-GB"/>
        </w:rPr>
        <w:t>–</w:t>
      </w:r>
      <w:r w:rsidRPr="00464512">
        <w:rPr>
          <w:rFonts w:ascii="Times New Roman" w:hAnsi="Times New Roman" w:cs="Times New Roman"/>
          <w:lang w:val="en-GB"/>
        </w:rPr>
        <w:t xml:space="preserve"> coefficients of coverage by the volume of products (goods, services) sold by enterprises of capital investments in land</w:t>
      </w:r>
      <w:r w:rsidR="00491B8F" w:rsidRPr="00464512">
        <w:rPr>
          <w:rFonts w:ascii="Times New Roman" w:hAnsi="Times New Roman" w:cs="Times New Roman"/>
          <w:lang w:val="en-GB"/>
        </w:rPr>
        <w:t xml:space="preserve"> (X</w:t>
      </w:r>
      <w:r w:rsidR="00491B8F" w:rsidRPr="00464512">
        <w:rPr>
          <w:rFonts w:ascii="Times New Roman" w:hAnsi="Times New Roman" w:cs="Times New Roman"/>
          <w:vertAlign w:val="subscript"/>
          <w:lang w:val="en-GB"/>
        </w:rPr>
        <w:t>1</w:t>
      </w:r>
      <w:r w:rsidR="00464512">
        <w:rPr>
          <w:rFonts w:ascii="Times New Roman" w:hAnsi="Times New Roman" w:cs="Times New Roman"/>
          <w:lang w:val="en-GB"/>
        </w:rPr>
        <w:t> </w:t>
      </w:r>
      <w:r w:rsidR="00491B8F" w:rsidRPr="00464512">
        <w:rPr>
          <w:rFonts w:ascii="Times New Roman" w:hAnsi="Times New Roman" w:cs="Times New Roman"/>
          <w:lang w:val="en-GB"/>
        </w:rPr>
        <w:t>/</w:t>
      </w:r>
      <w:r w:rsidR="00464512">
        <w:rPr>
          <w:rFonts w:ascii="Times New Roman" w:hAnsi="Times New Roman" w:cs="Times New Roman"/>
          <w:lang w:val="en-GB"/>
        </w:rPr>
        <w:t> </w:t>
      </w:r>
      <w:r w:rsidR="00491B8F" w:rsidRPr="00464512">
        <w:rPr>
          <w:rFonts w:ascii="Times New Roman" w:hAnsi="Times New Roman" w:cs="Times New Roman"/>
          <w:lang w:val="en-GB"/>
        </w:rPr>
        <w:t xml:space="preserve">Y) </w:t>
      </w:r>
      <w:r w:rsidRPr="00464512">
        <w:rPr>
          <w:rFonts w:ascii="Times New Roman" w:hAnsi="Times New Roman" w:cs="Times New Roman"/>
          <w:lang w:val="en-GB"/>
        </w:rPr>
        <w:t xml:space="preserve">and costs of production of products (goods, services) </w:t>
      </w:r>
      <w:r w:rsidR="00491B8F" w:rsidRPr="00464512">
        <w:rPr>
          <w:rFonts w:ascii="Times New Roman" w:hAnsi="Times New Roman" w:cs="Times New Roman"/>
          <w:lang w:val="en-GB"/>
        </w:rPr>
        <w:t>(X</w:t>
      </w:r>
      <w:r w:rsidR="00491B8F" w:rsidRPr="00464512">
        <w:rPr>
          <w:rFonts w:ascii="Times New Roman" w:hAnsi="Times New Roman" w:cs="Times New Roman"/>
          <w:vertAlign w:val="subscript"/>
          <w:lang w:val="en-GB"/>
        </w:rPr>
        <w:t>2</w:t>
      </w:r>
      <w:r w:rsidR="00491B8F" w:rsidRPr="00464512">
        <w:rPr>
          <w:rFonts w:ascii="Times New Roman" w:hAnsi="Times New Roman" w:cs="Times New Roman"/>
          <w:lang w:val="en-GB"/>
        </w:rPr>
        <w:t xml:space="preserve"> / Y)</w:t>
      </w:r>
      <w:r w:rsidR="0071016F" w:rsidRPr="00464512">
        <w:rPr>
          <w:rFonts w:ascii="Times New Roman" w:hAnsi="Times New Roman" w:cs="Times New Roman"/>
          <w:lang w:val="en-GB"/>
        </w:rPr>
        <w:t xml:space="preserve">, </w:t>
      </w:r>
      <w:r w:rsidRPr="00464512">
        <w:rPr>
          <w:rFonts w:ascii="Times New Roman" w:hAnsi="Times New Roman" w:cs="Times New Roman"/>
          <w:lang w:val="en-GB"/>
        </w:rPr>
        <w:t xml:space="preserve">as well as efficiency coefficients, which allows building an efficiency line by positions of the </w:t>
      </w:r>
      <w:proofErr w:type="spellStart"/>
      <w:r w:rsidRPr="00464512">
        <w:rPr>
          <w:rFonts w:ascii="Times New Roman" w:hAnsi="Times New Roman" w:cs="Times New Roman"/>
          <w:lang w:val="en-GB"/>
        </w:rPr>
        <w:t>analyzed</w:t>
      </w:r>
      <w:proofErr w:type="spellEnd"/>
      <w:r w:rsidRPr="00464512">
        <w:rPr>
          <w:rFonts w:ascii="Times New Roman" w:hAnsi="Times New Roman" w:cs="Times New Roman"/>
          <w:lang w:val="en-GB"/>
        </w:rPr>
        <w:t xml:space="preserve"> years in the operating environment</w:t>
      </w:r>
      <w:r w:rsidR="0071016F" w:rsidRPr="00464512">
        <w:rPr>
          <w:rFonts w:ascii="Times New Roman" w:hAnsi="Times New Roman" w:cs="Times New Roman"/>
          <w:lang w:val="en-GB"/>
        </w:rPr>
        <w:t>.</w:t>
      </w:r>
      <w:r w:rsidR="007B2551" w:rsidRPr="00464512">
        <w:rPr>
          <w:rFonts w:ascii="Times New Roman" w:hAnsi="Times New Roman" w:cs="Times New Roman"/>
          <w:lang w:val="en-GB"/>
        </w:rPr>
        <w:t xml:space="preserve"> </w:t>
      </w:r>
      <w:r w:rsidR="00CF5154" w:rsidRPr="00464512">
        <w:rPr>
          <w:rFonts w:ascii="Times New Roman" w:hAnsi="Times New Roman" w:cs="Times New Roman"/>
          <w:lang w:val="en-GB"/>
        </w:rPr>
        <w:t>This approach allows us to identify reference years with an optimal ratio of resources and results, which is confirmed by high efficiency coefficients for these periods. To more fully take into account complex influences, such as economic instability, military actions</w:t>
      </w:r>
      <w:r w:rsidR="00480D52">
        <w:rPr>
          <w:rFonts w:ascii="Times New Roman" w:hAnsi="Times New Roman" w:cs="Times New Roman"/>
          <w:lang w:val="en-GB"/>
        </w:rPr>
        <w:t>,</w:t>
      </w:r>
      <w:r w:rsidR="00CF5154" w:rsidRPr="00464512">
        <w:rPr>
          <w:rFonts w:ascii="Times New Roman" w:hAnsi="Times New Roman" w:cs="Times New Roman"/>
          <w:lang w:val="en-GB"/>
        </w:rPr>
        <w:t xml:space="preserve"> and changes in market conditions, the efficiency of positions requires additional analysis, in particular by including risk factors (for example, hryvnia volatility or </w:t>
      </w:r>
      <w:proofErr w:type="spellStart"/>
      <w:r w:rsidR="00CF5154" w:rsidRPr="00464512">
        <w:rPr>
          <w:rFonts w:ascii="Times New Roman" w:hAnsi="Times New Roman" w:cs="Times New Roman"/>
          <w:lang w:val="en-GB"/>
        </w:rPr>
        <w:t>labor</w:t>
      </w:r>
      <w:proofErr w:type="spellEnd"/>
      <w:r w:rsidR="00CF5154" w:rsidRPr="00464512">
        <w:rPr>
          <w:rFonts w:ascii="Times New Roman" w:hAnsi="Times New Roman" w:cs="Times New Roman"/>
          <w:lang w:val="en-GB"/>
        </w:rPr>
        <w:t xml:space="preserve"> migration), which can affect the shape of the efficiency line. This provides a more accurate definition of investment potential and allows us to adapt the method to a changing resource environment, which is critical for strategic planning in conditions of instability</w:t>
      </w:r>
      <w:r w:rsidR="00F9570E" w:rsidRPr="00464512">
        <w:rPr>
          <w:rFonts w:ascii="Times New Roman" w:hAnsi="Times New Roman" w:cs="Times New Roman"/>
          <w:lang w:val="en-GB"/>
        </w:rPr>
        <w:t xml:space="preserve"> (Zhuk 2016</w:t>
      </w:r>
      <w:r w:rsidR="00801ADE" w:rsidRPr="00464512">
        <w:rPr>
          <w:rFonts w:ascii="Times New Roman" w:hAnsi="Times New Roman" w:cs="Times New Roman"/>
          <w:lang w:val="en-GB"/>
        </w:rPr>
        <w:t>,</w:t>
      </w:r>
      <w:r w:rsidR="00F9570E" w:rsidRPr="00464512">
        <w:rPr>
          <w:rFonts w:ascii="Times New Roman" w:hAnsi="Times New Roman" w:cs="Times New Roman"/>
          <w:lang w:val="en-GB"/>
        </w:rPr>
        <w:t xml:space="preserve"> Yermakov</w:t>
      </w:r>
      <w:r w:rsidR="00801ADE" w:rsidRPr="00464512">
        <w:rPr>
          <w:rFonts w:ascii="Times New Roman" w:hAnsi="Times New Roman" w:cs="Times New Roman"/>
          <w:lang w:val="en-GB"/>
        </w:rPr>
        <w:t xml:space="preserve"> et al.</w:t>
      </w:r>
      <w:r w:rsidR="00F9570E" w:rsidRPr="00464512">
        <w:rPr>
          <w:rFonts w:ascii="Times New Roman" w:hAnsi="Times New Roman" w:cs="Times New Roman"/>
          <w:lang w:val="en-GB"/>
        </w:rPr>
        <w:t xml:space="preserve"> 2022</w:t>
      </w:r>
      <w:r w:rsidR="00801ADE" w:rsidRPr="00464512">
        <w:rPr>
          <w:rFonts w:ascii="Times New Roman" w:hAnsi="Times New Roman" w:cs="Times New Roman"/>
          <w:lang w:val="en-GB"/>
        </w:rPr>
        <w:t>,</w:t>
      </w:r>
      <w:r w:rsidR="00F9570E" w:rsidRPr="00464512">
        <w:rPr>
          <w:rFonts w:ascii="Times New Roman" w:hAnsi="Times New Roman" w:cs="Times New Roman"/>
          <w:lang w:val="en-GB"/>
        </w:rPr>
        <w:t xml:space="preserve"> </w:t>
      </w:r>
      <w:proofErr w:type="spellStart"/>
      <w:r w:rsidR="00F9570E" w:rsidRPr="00464512">
        <w:rPr>
          <w:rFonts w:ascii="Times New Roman" w:hAnsi="Times New Roman" w:cs="Times New Roman"/>
          <w:lang w:val="en-GB"/>
        </w:rPr>
        <w:t>Prib</w:t>
      </w:r>
      <w:proofErr w:type="spellEnd"/>
      <w:r w:rsidR="00F9570E" w:rsidRPr="00464512">
        <w:rPr>
          <w:rFonts w:ascii="Times New Roman" w:hAnsi="Times New Roman" w:cs="Times New Roman"/>
          <w:lang w:val="en-GB"/>
        </w:rPr>
        <w:t xml:space="preserve"> et al. 2022)</w:t>
      </w:r>
      <w:r w:rsidR="00CF5154" w:rsidRPr="00464512">
        <w:rPr>
          <w:rFonts w:ascii="Times New Roman" w:hAnsi="Times New Roman" w:cs="Times New Roman"/>
          <w:lang w:val="en-GB"/>
        </w:rPr>
        <w:t>. However, this involves a significant complication of the analysis methodology, as it requires the involvement of multifactor models with a high degree of computational complexity, which goes beyond the scope of the current research topic, which is focused on identifying efficient periods using classical assessment tools, and would require a separate large-scale study focusing on the dynamic stability of economic systems</w:t>
      </w:r>
      <w:r w:rsidR="007B2551" w:rsidRPr="00464512">
        <w:rPr>
          <w:rFonts w:ascii="Times New Roman" w:hAnsi="Times New Roman" w:cs="Times New Roman"/>
          <w:lang w:val="en-GB"/>
        </w:rPr>
        <w:t>.</w:t>
      </w:r>
    </w:p>
    <w:p w14:paraId="7369F483" w14:textId="5F4B4792" w:rsidR="00B47417" w:rsidRPr="00464512" w:rsidRDefault="00B47417"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graphical analysis method is implemented by constructing an efficiency line based on ten-year positions, which allows calculating efficiency coefficients and justifying the existing trend in the use of capital investments relative to the unrealized potential for the production of products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In addition, graphical analysis is used to design optimized positions of the efficiency line, which allows constructing an efficiency line as a guideline for planning indicators for the following years – the volume of increased sales of products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w:t>
      </w:r>
      <w:r w:rsidR="00480D52">
        <w:rPr>
          <w:rFonts w:ascii="Times New Roman" w:hAnsi="Times New Roman" w:cs="Times New Roman"/>
          <w:lang w:val="en-GB"/>
        </w:rPr>
        <w:t>,</w:t>
      </w:r>
      <w:r w:rsidRPr="00464512">
        <w:rPr>
          <w:rFonts w:ascii="Times New Roman" w:hAnsi="Times New Roman" w:cs="Times New Roman"/>
          <w:lang w:val="en-GB"/>
        </w:rPr>
        <w:t xml:space="preserve"> and a decrease in capital investments.</w:t>
      </w:r>
    </w:p>
    <w:p w14:paraId="42D639A7" w14:textId="77777777" w:rsidR="00B47417" w:rsidRPr="00464512" w:rsidRDefault="00B47417"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This visual tool facilitates intuitive interpretation of sectoral performance dynamics and supports the identification of critical deviations from optimal investment strategies.</w:t>
      </w:r>
    </w:p>
    <w:p w14:paraId="2F6EA372" w14:textId="77777777" w:rsidR="00B47417" w:rsidRPr="00464512" w:rsidRDefault="00B47417"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The disadvantage of the method of </w:t>
      </w:r>
      <w:proofErr w:type="spellStart"/>
      <w:r w:rsidRPr="00464512">
        <w:rPr>
          <w:rFonts w:ascii="Times New Roman" w:hAnsi="Times New Roman" w:cs="Times New Roman"/>
          <w:lang w:val="en-GB"/>
        </w:rPr>
        <w:t>analyzing</w:t>
      </w:r>
      <w:proofErr w:type="spellEnd"/>
      <w:r w:rsidRPr="00464512">
        <w:rPr>
          <w:rFonts w:ascii="Times New Roman" w:hAnsi="Times New Roman" w:cs="Times New Roman"/>
          <w:lang w:val="en-GB"/>
        </w:rPr>
        <w:t xml:space="preserve"> the operating environment can be considered the absence of a profit indicator in the calculations, which does not allow assessing the return on invested capital investments. However, the presence of a non-parametric component makes the study unbiased and allows introducing various combinations of both effective and factor indicators.</w:t>
      </w:r>
    </w:p>
    <w:p w14:paraId="5FBBFCDA" w14:textId="3E20986E" w:rsidR="00B47417" w:rsidRPr="00464512" w:rsidRDefault="00B47417"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Despite this limitation, the method proves </w:t>
      </w:r>
      <w:r w:rsidR="00480D52">
        <w:rPr>
          <w:rFonts w:ascii="Times New Roman" w:hAnsi="Times New Roman" w:cs="Times New Roman"/>
          <w:lang w:val="en-GB"/>
        </w:rPr>
        <w:t>helpful in</w:t>
      </w:r>
      <w:r w:rsidRPr="00464512">
        <w:rPr>
          <w:rFonts w:ascii="Times New Roman" w:hAnsi="Times New Roman" w:cs="Times New Roman"/>
          <w:lang w:val="en-GB"/>
        </w:rPr>
        <w:t xml:space="preserve"> forming preliminary hypotheses and guiding further econometric </w:t>
      </w:r>
      <w:proofErr w:type="spellStart"/>
      <w:r w:rsidRPr="00464512">
        <w:rPr>
          <w:rFonts w:ascii="Times New Roman" w:hAnsi="Times New Roman" w:cs="Times New Roman"/>
          <w:lang w:val="en-GB"/>
        </w:rPr>
        <w:t>modeling</w:t>
      </w:r>
      <w:proofErr w:type="spellEnd"/>
      <w:r w:rsidRPr="00464512">
        <w:rPr>
          <w:rFonts w:ascii="Times New Roman" w:hAnsi="Times New Roman" w:cs="Times New Roman"/>
          <w:lang w:val="en-GB"/>
        </w:rPr>
        <w:t>, particularly in scenarios where financial reporting data is fragmented or unavailable.</w:t>
      </w:r>
    </w:p>
    <w:p w14:paraId="4E27C49E" w14:textId="6D2FD99B" w:rsidR="005B78E9" w:rsidRPr="00464512" w:rsidRDefault="005B78E9" w:rsidP="00C4684C">
      <w:pPr>
        <w:pStyle w:val="Rn1"/>
        <w:rPr>
          <w:lang w:val="en-GB"/>
        </w:rPr>
      </w:pPr>
      <w:r w:rsidRPr="00464512">
        <w:rPr>
          <w:lang w:val="en-GB"/>
        </w:rPr>
        <w:t>3. Results</w:t>
      </w:r>
    </w:p>
    <w:p w14:paraId="4A4F44E3" w14:textId="003254C8" w:rsidR="00110BAB" w:rsidRPr="00464512" w:rsidRDefault="0026293B" w:rsidP="00DA4FDD">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Capital investments in agriculture,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fisheries during 2014-2023 were made in tangible and intangible assets. The formation of tangible assets is the development of land resources, maintenance of existing buildings and structures, construction and reconstruction of buildings, machinery</w:t>
      </w:r>
      <w:r w:rsidR="00480D52">
        <w:rPr>
          <w:rFonts w:ascii="Times New Roman" w:hAnsi="Times New Roman" w:cs="Times New Roman"/>
          <w:lang w:val="en-GB"/>
        </w:rPr>
        <w:t>,</w:t>
      </w:r>
      <w:r w:rsidRPr="00464512">
        <w:rPr>
          <w:rFonts w:ascii="Times New Roman" w:hAnsi="Times New Roman" w:cs="Times New Roman"/>
          <w:lang w:val="en-GB"/>
        </w:rPr>
        <w:t xml:space="preserve"> and equipment</w:t>
      </w:r>
      <w:r w:rsidR="00A02CE2" w:rsidRPr="00464512">
        <w:rPr>
          <w:rFonts w:ascii="Times New Roman" w:hAnsi="Times New Roman" w:cs="Times New Roman"/>
          <w:lang w:val="en-GB"/>
        </w:rPr>
        <w:t xml:space="preserve">. </w:t>
      </w:r>
      <w:r w:rsidRPr="001716C1">
        <w:rPr>
          <w:rFonts w:ascii="Times New Roman" w:hAnsi="Times New Roman" w:cs="Times New Roman"/>
          <w:spacing w:val="-2"/>
          <w:lang w:val="en-GB"/>
        </w:rPr>
        <w:t xml:space="preserve">Intangible assets include patents, licenses, trademarks, similar rights, and software </w:t>
      </w:r>
      <w:r w:rsidR="00CF5CA3" w:rsidRPr="001716C1">
        <w:rPr>
          <w:rFonts w:ascii="Times New Roman" w:hAnsi="Times New Roman" w:cs="Times New Roman"/>
          <w:spacing w:val="-2"/>
          <w:lang w:val="en-GB"/>
        </w:rPr>
        <w:t>(</w:t>
      </w:r>
      <w:proofErr w:type="spellStart"/>
      <w:r w:rsidR="007D0139" w:rsidRPr="001716C1">
        <w:rPr>
          <w:rFonts w:ascii="Times New Roman" w:hAnsi="Times New Roman" w:cs="Times New Roman"/>
          <w:spacing w:val="-2"/>
          <w:lang w:val="en-GB"/>
        </w:rPr>
        <w:t>Andriushchenko</w:t>
      </w:r>
      <w:proofErr w:type="spellEnd"/>
      <w:r w:rsidR="007D0139" w:rsidRPr="001716C1">
        <w:rPr>
          <w:rFonts w:ascii="Times New Roman" w:hAnsi="Times New Roman" w:cs="Times New Roman"/>
          <w:spacing w:val="-2"/>
          <w:lang w:val="en-GB"/>
        </w:rPr>
        <w:t xml:space="preserve"> et al. 2022</w:t>
      </w:r>
      <w:r w:rsidR="00801ADE" w:rsidRPr="001716C1">
        <w:rPr>
          <w:rFonts w:ascii="Times New Roman" w:hAnsi="Times New Roman" w:cs="Times New Roman"/>
          <w:spacing w:val="-2"/>
          <w:lang w:val="en-GB"/>
        </w:rPr>
        <w:t>,</w:t>
      </w:r>
      <w:r w:rsidR="007D0139" w:rsidRPr="00464512">
        <w:rPr>
          <w:rFonts w:ascii="Times New Roman" w:hAnsi="Times New Roman" w:cs="Times New Roman"/>
          <w:lang w:val="en-GB"/>
        </w:rPr>
        <w:t xml:space="preserve"> </w:t>
      </w:r>
      <w:proofErr w:type="spellStart"/>
      <w:r w:rsidR="00CF5CA3" w:rsidRPr="00464512">
        <w:rPr>
          <w:rFonts w:ascii="Times New Roman" w:hAnsi="Times New Roman" w:cs="Times New Roman"/>
          <w:lang w:val="en-GB"/>
        </w:rPr>
        <w:t>Lutkovska</w:t>
      </w:r>
      <w:proofErr w:type="spellEnd"/>
      <w:r w:rsidR="00CF5CA3" w:rsidRPr="00464512">
        <w:rPr>
          <w:rFonts w:ascii="Times New Roman" w:hAnsi="Times New Roman" w:cs="Times New Roman"/>
          <w:lang w:val="en-GB"/>
        </w:rPr>
        <w:t xml:space="preserve"> &amp; </w:t>
      </w:r>
      <w:proofErr w:type="spellStart"/>
      <w:r w:rsidR="00CF5CA3" w:rsidRPr="00464512">
        <w:rPr>
          <w:rFonts w:ascii="Times New Roman" w:hAnsi="Times New Roman" w:cs="Times New Roman"/>
          <w:lang w:val="en-GB"/>
        </w:rPr>
        <w:t>Lebid</w:t>
      </w:r>
      <w:proofErr w:type="spellEnd"/>
      <w:r w:rsidR="00CF5CA3" w:rsidRPr="00464512">
        <w:rPr>
          <w:rFonts w:ascii="Times New Roman" w:hAnsi="Times New Roman" w:cs="Times New Roman"/>
          <w:lang w:val="en-GB"/>
        </w:rPr>
        <w:t xml:space="preserve"> 2024).</w:t>
      </w:r>
    </w:p>
    <w:p w14:paraId="1ECB9F0F" w14:textId="688E75A6" w:rsidR="008E22B2" w:rsidRPr="00464512" w:rsidRDefault="00FE190A" w:rsidP="00B5400B">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Using correlation and regression analysis methods, we will construct a regression equation and determine the density of the relationship between the impact of capital investments in tangible and intangible assets on the volume of products sold (goods, services) of enterprises and the costs of producing products (goods, services) of enterprises.</w:t>
      </w:r>
      <w:r w:rsidR="00B5400B" w:rsidRPr="00464512">
        <w:rPr>
          <w:rFonts w:ascii="Times New Roman" w:hAnsi="Times New Roman" w:cs="Times New Roman"/>
          <w:lang w:val="en-GB"/>
        </w:rPr>
        <w:t xml:space="preserve"> </w:t>
      </w:r>
      <w:r w:rsidR="009C175B" w:rsidRPr="00464512">
        <w:rPr>
          <w:rFonts w:ascii="Times New Roman" w:hAnsi="Times New Roman" w:cs="Times New Roman"/>
          <w:lang w:val="en-GB"/>
        </w:rPr>
        <w:t>The feasibility of such an analysis is justified by its ability to clearly identify the statistical significance of dependencies, which is confirmed by testing models for statistical reliability and estimating the coefficients of determination and elasticity. These indicators provide an objective assessment of investment efficiency, allowing us to conclude that land is not very attractive as an investment resource in the context of short-term economic results.</w:t>
      </w:r>
    </w:p>
    <w:p w14:paraId="07403046" w14:textId="2A99D025" w:rsidR="0096435A" w:rsidRPr="00464512" w:rsidRDefault="003E7130" w:rsidP="00DA4FDD">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Table 1 shows the regression equations and the density of the relationship for those capital investments where no significant dependence is observed.</w:t>
      </w:r>
      <w:r w:rsidR="003038F4" w:rsidRPr="00464512">
        <w:rPr>
          <w:rFonts w:ascii="Times New Roman" w:hAnsi="Times New Roman" w:cs="Times New Roman"/>
          <w:lang w:val="en-GB"/>
        </w:rPr>
        <w:t xml:space="preserve"> </w:t>
      </w:r>
    </w:p>
    <w:p w14:paraId="50D27428" w14:textId="77777777" w:rsidR="002D4912" w:rsidRPr="00464512" w:rsidRDefault="002D4912" w:rsidP="002D4912">
      <w:pPr>
        <w:widowControl w:val="0"/>
        <w:spacing w:after="0" w:line="240" w:lineRule="auto"/>
        <w:contextualSpacing/>
        <w:jc w:val="both"/>
        <w:rPr>
          <w:rFonts w:ascii="Times New Roman" w:hAnsi="Times New Roman" w:cs="Times New Roman"/>
          <w:iCs/>
          <w:lang w:val="en-GB"/>
        </w:rPr>
      </w:pPr>
    </w:p>
    <w:p w14:paraId="13F35C3B" w14:textId="77777777" w:rsidR="00464512" w:rsidRPr="00464512" w:rsidRDefault="00464512" w:rsidP="002D4912">
      <w:pPr>
        <w:widowControl w:val="0"/>
        <w:spacing w:after="0" w:line="240" w:lineRule="auto"/>
        <w:contextualSpacing/>
        <w:jc w:val="both"/>
        <w:rPr>
          <w:rFonts w:ascii="Times New Roman" w:hAnsi="Times New Roman" w:cs="Times New Roman"/>
          <w:iCs/>
          <w:lang w:val="en-GB"/>
        </w:rPr>
      </w:pPr>
    </w:p>
    <w:p w14:paraId="047FF716" w14:textId="67108694" w:rsidR="003038F4" w:rsidRPr="00464512" w:rsidRDefault="009D5567" w:rsidP="00C4684C">
      <w:pPr>
        <w:pStyle w:val="Rtab"/>
        <w:rPr>
          <w:i/>
          <w:lang w:val="en-GB"/>
        </w:rPr>
      </w:pPr>
      <w:r w:rsidRPr="00464512">
        <w:rPr>
          <w:b/>
          <w:iCs/>
          <w:lang w:val="en-GB"/>
        </w:rPr>
        <w:lastRenderedPageBreak/>
        <w:t xml:space="preserve">Table </w:t>
      </w:r>
      <w:r w:rsidR="00135F4B" w:rsidRPr="00464512">
        <w:rPr>
          <w:b/>
          <w:iCs/>
          <w:lang w:val="en-GB"/>
        </w:rPr>
        <w:t>1</w:t>
      </w:r>
      <w:r w:rsidR="002D4912" w:rsidRPr="00464512">
        <w:rPr>
          <w:b/>
          <w:iCs/>
          <w:lang w:val="en-GB"/>
        </w:rPr>
        <w:t>.</w:t>
      </w:r>
      <w:r w:rsidR="002D4912" w:rsidRPr="00464512">
        <w:rPr>
          <w:i/>
          <w:lang w:val="en-GB"/>
        </w:rPr>
        <w:t xml:space="preserve"> </w:t>
      </w:r>
      <w:r w:rsidRPr="00464512">
        <w:rPr>
          <w:lang w:val="en-GB"/>
        </w:rPr>
        <w:t>Dependence of the performance indicator on the resource (capital investment) in the absence of communication density, 2014-2023</w:t>
      </w:r>
    </w:p>
    <w:tbl>
      <w:tblPr>
        <w:tblStyle w:val="Tabela-Siatka"/>
        <w:tblW w:w="5000" w:type="pct"/>
        <w:tblLook w:val="04A0" w:firstRow="1" w:lastRow="0" w:firstColumn="1" w:lastColumn="0" w:noHBand="0" w:noVBand="1"/>
      </w:tblPr>
      <w:tblGrid>
        <w:gridCol w:w="426"/>
        <w:gridCol w:w="3010"/>
        <w:gridCol w:w="2309"/>
        <w:gridCol w:w="2249"/>
        <w:gridCol w:w="1634"/>
      </w:tblGrid>
      <w:tr w:rsidR="00C4684C" w:rsidRPr="00464512" w14:paraId="6F9FE554" w14:textId="77777777" w:rsidTr="006326F2">
        <w:trPr>
          <w:trHeight w:val="495"/>
        </w:trPr>
        <w:tc>
          <w:tcPr>
            <w:tcW w:w="221" w:type="pct"/>
            <w:vAlign w:val="center"/>
          </w:tcPr>
          <w:p w14:paraId="5382B7FF" w14:textId="2DD1CB15" w:rsidR="00135F4B" w:rsidRPr="00464512" w:rsidRDefault="00135F4B"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w:t>
            </w:r>
          </w:p>
        </w:tc>
        <w:tc>
          <w:tcPr>
            <w:tcW w:w="1579" w:type="pct"/>
            <w:vAlign w:val="center"/>
          </w:tcPr>
          <w:p w14:paraId="58D981BC" w14:textId="11C8B271" w:rsidR="00A46E55" w:rsidRPr="00464512" w:rsidRDefault="006B26BE"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 xml:space="preserve">Performance indicator </w:t>
            </w:r>
            <w:r w:rsidR="00A46E55" w:rsidRPr="00464512">
              <w:rPr>
                <w:rFonts w:ascii="Times New Roman" w:hAnsi="Times New Roman" w:cs="Times New Roman"/>
                <w:lang w:val="en-GB"/>
              </w:rPr>
              <w:t>(Y)</w:t>
            </w:r>
          </w:p>
        </w:tc>
        <w:tc>
          <w:tcPr>
            <w:tcW w:w="1215" w:type="pct"/>
            <w:vAlign w:val="center"/>
          </w:tcPr>
          <w:p w14:paraId="2B52E9CE" w14:textId="5CF92CB1" w:rsidR="00135F4B" w:rsidRPr="00464512" w:rsidRDefault="006B26BE"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 xml:space="preserve">Resource indicator </w:t>
            </w:r>
            <w:r w:rsidR="00A46E55" w:rsidRPr="00464512">
              <w:rPr>
                <w:rFonts w:ascii="Times New Roman" w:hAnsi="Times New Roman" w:cs="Times New Roman"/>
                <w:lang w:val="en-GB"/>
              </w:rPr>
              <w:t>(Х)</w:t>
            </w:r>
          </w:p>
        </w:tc>
        <w:tc>
          <w:tcPr>
            <w:tcW w:w="1184" w:type="pct"/>
            <w:vAlign w:val="center"/>
          </w:tcPr>
          <w:p w14:paraId="26E05BE1" w14:textId="7FCF7C36" w:rsidR="00135F4B" w:rsidRPr="00464512" w:rsidRDefault="006B26BE"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Regression equation</w:t>
            </w:r>
          </w:p>
        </w:tc>
        <w:tc>
          <w:tcPr>
            <w:tcW w:w="801" w:type="pct"/>
            <w:vAlign w:val="center"/>
          </w:tcPr>
          <w:p w14:paraId="08318AA1" w14:textId="313339A6" w:rsidR="00135F4B" w:rsidRPr="00464512" w:rsidRDefault="006B26BE"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Communication density</w:t>
            </w:r>
          </w:p>
        </w:tc>
      </w:tr>
      <w:tr w:rsidR="00C4684C" w:rsidRPr="00464512" w14:paraId="6BA1FAF2" w14:textId="77777777" w:rsidTr="006326F2">
        <w:tc>
          <w:tcPr>
            <w:tcW w:w="221" w:type="pct"/>
            <w:vAlign w:val="center"/>
          </w:tcPr>
          <w:p w14:paraId="642DB31C" w14:textId="3AE9A1DA" w:rsidR="00147275" w:rsidRPr="00464512" w:rsidRDefault="00147275"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w:t>
            </w:r>
          </w:p>
        </w:tc>
        <w:tc>
          <w:tcPr>
            <w:tcW w:w="1579" w:type="pct"/>
            <w:vAlign w:val="center"/>
          </w:tcPr>
          <w:p w14:paraId="483D3314" w14:textId="4260210F" w:rsidR="00147275" w:rsidRPr="00464512" w:rsidRDefault="006B26BE"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Volume of products (goods, services) sold by enterprises</w:t>
            </w:r>
          </w:p>
        </w:tc>
        <w:tc>
          <w:tcPr>
            <w:tcW w:w="1215" w:type="pct"/>
            <w:vMerge w:val="restart"/>
            <w:vAlign w:val="center"/>
          </w:tcPr>
          <w:p w14:paraId="6EDD7468" w14:textId="774FEC53" w:rsidR="00147275" w:rsidRPr="00464512" w:rsidRDefault="006B26BE"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Capital investments in</w:t>
            </w:r>
            <w:r w:rsidR="006326F2">
              <w:rPr>
                <w:rFonts w:ascii="Times New Roman" w:hAnsi="Times New Roman" w:cs="Times New Roman"/>
                <w:lang w:val="en-GB"/>
              </w:rPr>
              <w:t> </w:t>
            </w:r>
            <w:r w:rsidRPr="00464512">
              <w:rPr>
                <w:rFonts w:ascii="Times New Roman" w:hAnsi="Times New Roman" w:cs="Times New Roman"/>
                <w:lang w:val="en-GB"/>
              </w:rPr>
              <w:t>land</w:t>
            </w:r>
          </w:p>
        </w:tc>
        <w:tc>
          <w:tcPr>
            <w:tcW w:w="1184" w:type="pct"/>
            <w:vAlign w:val="center"/>
          </w:tcPr>
          <w:p w14:paraId="40C7BA6F" w14:textId="2D288ECC" w:rsidR="00147275" w:rsidRPr="00464512" w:rsidRDefault="000A278F"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y = 61</w:t>
            </w:r>
            <w:r w:rsidR="00A322E5" w:rsidRPr="00464512">
              <w:rPr>
                <w:rFonts w:ascii="Times New Roman" w:hAnsi="Times New Roman" w:cs="Times New Roman"/>
                <w:lang w:val="en-GB"/>
              </w:rPr>
              <w:t>6</w:t>
            </w:r>
            <w:r w:rsidR="00974A16">
              <w:rPr>
                <w:rFonts w:ascii="Times New Roman" w:hAnsi="Times New Roman" w:cs="Times New Roman"/>
                <w:lang w:val="en-GB"/>
              </w:rPr>
              <w:t>.</w:t>
            </w:r>
            <w:r w:rsidR="00A322E5" w:rsidRPr="00464512">
              <w:rPr>
                <w:rFonts w:ascii="Times New Roman" w:hAnsi="Times New Roman" w:cs="Times New Roman"/>
                <w:lang w:val="en-GB"/>
              </w:rPr>
              <w:t>8</w:t>
            </w:r>
            <w:r w:rsidRPr="00464512">
              <w:rPr>
                <w:rFonts w:ascii="Times New Roman" w:hAnsi="Times New Roman" w:cs="Times New Roman"/>
                <w:lang w:val="en-GB"/>
              </w:rPr>
              <w:t xml:space="preserve">6x + </w:t>
            </w:r>
            <w:r w:rsidR="00BA2B1F" w:rsidRPr="00464512">
              <w:rPr>
                <w:rFonts w:ascii="Times New Roman" w:hAnsi="Times New Roman" w:cs="Times New Roman"/>
                <w:lang w:val="en-GB"/>
              </w:rPr>
              <w:t>5</w:t>
            </w:r>
            <w:r w:rsidR="003416CE" w:rsidRPr="00464512">
              <w:rPr>
                <w:rFonts w:ascii="Times New Roman" w:hAnsi="Times New Roman" w:cs="Times New Roman"/>
                <w:lang w:val="en-GB"/>
              </w:rPr>
              <w:t xml:space="preserve"> ∙ </w:t>
            </w:r>
            <w:r w:rsidR="00BA2B1F" w:rsidRPr="00464512">
              <w:rPr>
                <w:rFonts w:ascii="Times New Roman" w:hAnsi="Times New Roman" w:cs="Times New Roman"/>
                <w:lang w:val="en-GB"/>
              </w:rPr>
              <w:t>10</w:t>
            </w:r>
            <w:r w:rsidR="00BA2B1F" w:rsidRPr="00464512">
              <w:rPr>
                <w:rFonts w:ascii="Times New Roman" w:hAnsi="Times New Roman" w:cs="Times New Roman"/>
                <w:vertAlign w:val="superscript"/>
                <w:lang w:val="en-GB"/>
              </w:rPr>
              <w:t>8</w:t>
            </w:r>
          </w:p>
        </w:tc>
        <w:tc>
          <w:tcPr>
            <w:tcW w:w="801" w:type="pct"/>
            <w:vAlign w:val="center"/>
          </w:tcPr>
          <w:p w14:paraId="49480984" w14:textId="40CC1860" w:rsidR="00147275" w:rsidRPr="00464512" w:rsidRDefault="000A278F"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07</w:t>
            </w:r>
          </w:p>
        </w:tc>
      </w:tr>
      <w:tr w:rsidR="00C4684C" w:rsidRPr="00464512" w14:paraId="410D42FD" w14:textId="77777777" w:rsidTr="006326F2">
        <w:tc>
          <w:tcPr>
            <w:tcW w:w="221" w:type="pct"/>
            <w:vAlign w:val="center"/>
          </w:tcPr>
          <w:p w14:paraId="402508A1" w14:textId="2FF2FD8A" w:rsidR="00147275" w:rsidRPr="00464512" w:rsidRDefault="00147275"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w:t>
            </w:r>
          </w:p>
        </w:tc>
        <w:tc>
          <w:tcPr>
            <w:tcW w:w="1579" w:type="pct"/>
            <w:vAlign w:val="center"/>
          </w:tcPr>
          <w:p w14:paraId="67C8E5EC" w14:textId="28215FA8" w:rsidR="00147275" w:rsidRPr="00464512" w:rsidRDefault="006B26BE"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Costs of production of products (goods, services) of enterprises</w:t>
            </w:r>
          </w:p>
        </w:tc>
        <w:tc>
          <w:tcPr>
            <w:tcW w:w="1215" w:type="pct"/>
            <w:vMerge/>
            <w:vAlign w:val="center"/>
          </w:tcPr>
          <w:p w14:paraId="21297BFB" w14:textId="77777777" w:rsidR="00147275" w:rsidRPr="00464512" w:rsidRDefault="00147275" w:rsidP="00AE3CB1">
            <w:pPr>
              <w:widowControl w:val="0"/>
              <w:contextualSpacing/>
              <w:jc w:val="center"/>
              <w:rPr>
                <w:rFonts w:ascii="Times New Roman" w:hAnsi="Times New Roman" w:cs="Times New Roman"/>
                <w:lang w:val="en-GB"/>
              </w:rPr>
            </w:pPr>
          </w:p>
        </w:tc>
        <w:tc>
          <w:tcPr>
            <w:tcW w:w="1184" w:type="pct"/>
            <w:vAlign w:val="center"/>
          </w:tcPr>
          <w:p w14:paraId="4F861F94" w14:textId="7572FC12" w:rsidR="00147275" w:rsidRPr="00464512" w:rsidRDefault="000A278F"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y = 56</w:t>
            </w:r>
            <w:r w:rsidR="00A322E5" w:rsidRPr="00464512">
              <w:rPr>
                <w:rFonts w:ascii="Times New Roman" w:hAnsi="Times New Roman" w:cs="Times New Roman"/>
                <w:lang w:val="en-GB"/>
              </w:rPr>
              <w:t>1</w:t>
            </w:r>
            <w:r w:rsidR="00974A16">
              <w:rPr>
                <w:rFonts w:ascii="Times New Roman" w:hAnsi="Times New Roman" w:cs="Times New Roman"/>
                <w:lang w:val="en-GB"/>
              </w:rPr>
              <w:t>.</w:t>
            </w:r>
            <w:r w:rsidR="00A322E5" w:rsidRPr="00464512">
              <w:rPr>
                <w:rFonts w:ascii="Times New Roman" w:hAnsi="Times New Roman" w:cs="Times New Roman"/>
                <w:lang w:val="en-GB"/>
              </w:rPr>
              <w:t>42</w:t>
            </w:r>
            <w:r w:rsidRPr="00464512">
              <w:rPr>
                <w:rFonts w:ascii="Times New Roman" w:hAnsi="Times New Roman" w:cs="Times New Roman"/>
                <w:lang w:val="en-GB"/>
              </w:rPr>
              <w:t>x + 4</w:t>
            </w:r>
            <w:r w:rsidR="003416CE" w:rsidRPr="00464512">
              <w:rPr>
                <w:rFonts w:ascii="Times New Roman" w:hAnsi="Times New Roman" w:cs="Times New Roman"/>
                <w:lang w:val="en-GB"/>
              </w:rPr>
              <w:t xml:space="preserve"> ∙ </w:t>
            </w:r>
            <w:r w:rsidR="00A51678" w:rsidRPr="00464512">
              <w:rPr>
                <w:rFonts w:ascii="Times New Roman" w:hAnsi="Times New Roman" w:cs="Times New Roman"/>
                <w:lang w:val="en-GB"/>
              </w:rPr>
              <w:t>10</w:t>
            </w:r>
            <w:r w:rsidR="00A51678" w:rsidRPr="00464512">
              <w:rPr>
                <w:rFonts w:ascii="Times New Roman" w:hAnsi="Times New Roman" w:cs="Times New Roman"/>
                <w:vertAlign w:val="superscript"/>
                <w:lang w:val="en-GB"/>
              </w:rPr>
              <w:t>8</w:t>
            </w:r>
          </w:p>
        </w:tc>
        <w:tc>
          <w:tcPr>
            <w:tcW w:w="801" w:type="pct"/>
            <w:vAlign w:val="center"/>
          </w:tcPr>
          <w:p w14:paraId="677650F9" w14:textId="5A79CA24" w:rsidR="00147275" w:rsidRPr="00464512" w:rsidRDefault="000A278F"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1</w:t>
            </w:r>
            <w:r w:rsidR="001716C1">
              <w:rPr>
                <w:rFonts w:ascii="Times New Roman" w:hAnsi="Times New Roman" w:cs="Times New Roman"/>
                <w:lang w:val="en-GB"/>
              </w:rPr>
              <w:t>0</w:t>
            </w:r>
          </w:p>
        </w:tc>
      </w:tr>
      <w:tr w:rsidR="00C4684C" w:rsidRPr="00464512" w14:paraId="645E8B95" w14:textId="77777777" w:rsidTr="006326F2">
        <w:tc>
          <w:tcPr>
            <w:tcW w:w="221" w:type="pct"/>
            <w:vAlign w:val="center"/>
          </w:tcPr>
          <w:p w14:paraId="34CFB848" w14:textId="17F56CB4" w:rsidR="000A278F" w:rsidRPr="00464512" w:rsidRDefault="000A278F"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3</w:t>
            </w:r>
          </w:p>
        </w:tc>
        <w:tc>
          <w:tcPr>
            <w:tcW w:w="1579" w:type="pct"/>
            <w:vAlign w:val="center"/>
          </w:tcPr>
          <w:p w14:paraId="1FDD69DD" w14:textId="3C7056EB" w:rsidR="000A278F" w:rsidRPr="00464512" w:rsidRDefault="006B26BE"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Volume of products (goods, services) sold by enterprises</w:t>
            </w:r>
          </w:p>
        </w:tc>
        <w:tc>
          <w:tcPr>
            <w:tcW w:w="1215" w:type="pct"/>
            <w:vMerge w:val="restart"/>
            <w:vAlign w:val="center"/>
          </w:tcPr>
          <w:p w14:paraId="0C33169C" w14:textId="79F4F342" w:rsidR="000A278F" w:rsidRPr="00464512" w:rsidRDefault="005450D3"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Capital investments in</w:t>
            </w:r>
            <w:r w:rsidR="006326F2">
              <w:rPr>
                <w:rFonts w:ascii="Times New Roman" w:hAnsi="Times New Roman" w:cs="Times New Roman"/>
                <w:lang w:val="en-GB"/>
              </w:rPr>
              <w:t> </w:t>
            </w:r>
            <w:r w:rsidRPr="00464512">
              <w:rPr>
                <w:rFonts w:ascii="Times New Roman" w:hAnsi="Times New Roman" w:cs="Times New Roman"/>
                <w:lang w:val="en-GB"/>
              </w:rPr>
              <w:t>existing buildings and structures</w:t>
            </w:r>
          </w:p>
        </w:tc>
        <w:tc>
          <w:tcPr>
            <w:tcW w:w="1184" w:type="pct"/>
            <w:vAlign w:val="center"/>
          </w:tcPr>
          <w:p w14:paraId="1EF7118D" w14:textId="0D52E91F" w:rsidR="000A278F" w:rsidRPr="00464512" w:rsidRDefault="0096435A"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y = 5</w:t>
            </w:r>
            <w:r w:rsidR="00A322E5" w:rsidRPr="00464512">
              <w:rPr>
                <w:rFonts w:ascii="Times New Roman" w:hAnsi="Times New Roman" w:cs="Times New Roman"/>
                <w:lang w:val="en-GB"/>
              </w:rPr>
              <w:t>6</w:t>
            </w:r>
            <w:r w:rsidR="00974A16">
              <w:rPr>
                <w:rFonts w:ascii="Times New Roman" w:hAnsi="Times New Roman" w:cs="Times New Roman"/>
                <w:lang w:val="en-GB"/>
              </w:rPr>
              <w:t>.</w:t>
            </w:r>
            <w:r w:rsidR="00A322E5" w:rsidRPr="00464512">
              <w:rPr>
                <w:rFonts w:ascii="Times New Roman" w:hAnsi="Times New Roman" w:cs="Times New Roman"/>
                <w:lang w:val="en-GB"/>
              </w:rPr>
              <w:t>358</w:t>
            </w:r>
            <w:r w:rsidRPr="00464512">
              <w:rPr>
                <w:rFonts w:ascii="Times New Roman" w:hAnsi="Times New Roman" w:cs="Times New Roman"/>
                <w:lang w:val="en-GB"/>
              </w:rPr>
              <w:t>x + 5</w:t>
            </w:r>
            <w:r w:rsidR="003416CE" w:rsidRPr="00464512">
              <w:rPr>
                <w:rFonts w:ascii="Times New Roman" w:hAnsi="Times New Roman" w:cs="Times New Roman"/>
                <w:lang w:val="en-GB"/>
              </w:rPr>
              <w:t xml:space="preserve"> ∙ </w:t>
            </w:r>
            <w:r w:rsidR="00A51678" w:rsidRPr="00464512">
              <w:rPr>
                <w:rFonts w:ascii="Times New Roman" w:hAnsi="Times New Roman" w:cs="Times New Roman"/>
                <w:lang w:val="en-GB"/>
              </w:rPr>
              <w:t>10</w:t>
            </w:r>
            <w:r w:rsidR="00A51678" w:rsidRPr="00464512">
              <w:rPr>
                <w:rFonts w:ascii="Times New Roman" w:hAnsi="Times New Roman" w:cs="Times New Roman"/>
                <w:vertAlign w:val="superscript"/>
                <w:lang w:val="en-GB"/>
              </w:rPr>
              <w:t>8</w:t>
            </w:r>
          </w:p>
        </w:tc>
        <w:tc>
          <w:tcPr>
            <w:tcW w:w="801" w:type="pct"/>
            <w:vAlign w:val="center"/>
          </w:tcPr>
          <w:p w14:paraId="07690E84" w14:textId="08EB9315" w:rsidR="000A278F" w:rsidRPr="00464512" w:rsidRDefault="0096435A"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02</w:t>
            </w:r>
          </w:p>
        </w:tc>
      </w:tr>
      <w:tr w:rsidR="00C4684C" w:rsidRPr="00464512" w14:paraId="087E883E" w14:textId="77777777" w:rsidTr="006326F2">
        <w:tc>
          <w:tcPr>
            <w:tcW w:w="221" w:type="pct"/>
            <w:vAlign w:val="center"/>
          </w:tcPr>
          <w:p w14:paraId="1A1DC4B9" w14:textId="3D57F980" w:rsidR="000A278F" w:rsidRPr="00464512" w:rsidRDefault="000A278F"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4</w:t>
            </w:r>
          </w:p>
        </w:tc>
        <w:tc>
          <w:tcPr>
            <w:tcW w:w="1579" w:type="pct"/>
            <w:vAlign w:val="center"/>
          </w:tcPr>
          <w:p w14:paraId="0310AEC6" w14:textId="08F8BBAB" w:rsidR="000A278F" w:rsidRPr="00464512" w:rsidRDefault="006B26BE"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Costs for the production of</w:t>
            </w:r>
            <w:r w:rsidR="006326F2">
              <w:rPr>
                <w:rFonts w:ascii="Times New Roman" w:hAnsi="Times New Roman" w:cs="Times New Roman"/>
                <w:lang w:val="en-GB"/>
              </w:rPr>
              <w:t> </w:t>
            </w:r>
            <w:r w:rsidRPr="00464512">
              <w:rPr>
                <w:rFonts w:ascii="Times New Roman" w:hAnsi="Times New Roman" w:cs="Times New Roman"/>
                <w:lang w:val="en-GB"/>
              </w:rPr>
              <w:t>products (goods, services) of</w:t>
            </w:r>
            <w:r w:rsidR="006326F2">
              <w:rPr>
                <w:rFonts w:ascii="Times New Roman" w:hAnsi="Times New Roman" w:cs="Times New Roman"/>
                <w:lang w:val="en-GB"/>
              </w:rPr>
              <w:t> </w:t>
            </w:r>
            <w:r w:rsidRPr="00464512">
              <w:rPr>
                <w:rFonts w:ascii="Times New Roman" w:hAnsi="Times New Roman" w:cs="Times New Roman"/>
                <w:lang w:val="en-GB"/>
              </w:rPr>
              <w:t>enterprises</w:t>
            </w:r>
          </w:p>
        </w:tc>
        <w:tc>
          <w:tcPr>
            <w:tcW w:w="1215" w:type="pct"/>
            <w:vMerge/>
            <w:vAlign w:val="center"/>
          </w:tcPr>
          <w:p w14:paraId="320D92EF" w14:textId="77777777" w:rsidR="000A278F" w:rsidRPr="00464512" w:rsidRDefault="000A278F" w:rsidP="00AE3CB1">
            <w:pPr>
              <w:widowControl w:val="0"/>
              <w:contextualSpacing/>
              <w:jc w:val="center"/>
              <w:rPr>
                <w:rFonts w:ascii="Times New Roman" w:hAnsi="Times New Roman" w:cs="Times New Roman"/>
                <w:lang w:val="en-GB"/>
              </w:rPr>
            </w:pPr>
          </w:p>
        </w:tc>
        <w:tc>
          <w:tcPr>
            <w:tcW w:w="1184" w:type="pct"/>
            <w:vAlign w:val="center"/>
          </w:tcPr>
          <w:p w14:paraId="4DCAACB9" w14:textId="64917174" w:rsidR="000A278F" w:rsidRPr="00464512" w:rsidRDefault="0096435A"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y = 44</w:t>
            </w:r>
            <w:r w:rsidR="00974A16">
              <w:rPr>
                <w:rFonts w:ascii="Times New Roman" w:hAnsi="Times New Roman" w:cs="Times New Roman"/>
                <w:lang w:val="en-GB"/>
              </w:rPr>
              <w:t>.</w:t>
            </w:r>
            <w:r w:rsidR="00A322E5" w:rsidRPr="00464512">
              <w:rPr>
                <w:rFonts w:ascii="Times New Roman" w:hAnsi="Times New Roman" w:cs="Times New Roman"/>
                <w:lang w:val="en-GB"/>
              </w:rPr>
              <w:t>855</w:t>
            </w:r>
            <w:r w:rsidRPr="00464512">
              <w:rPr>
                <w:rFonts w:ascii="Times New Roman" w:hAnsi="Times New Roman" w:cs="Times New Roman"/>
                <w:lang w:val="en-GB"/>
              </w:rPr>
              <w:t xml:space="preserve"> + </w:t>
            </w:r>
            <w:r w:rsidR="00A51678" w:rsidRPr="00464512">
              <w:rPr>
                <w:rFonts w:ascii="Times New Roman" w:hAnsi="Times New Roman" w:cs="Times New Roman"/>
                <w:lang w:val="en-GB"/>
              </w:rPr>
              <w:t>4</w:t>
            </w:r>
            <w:r w:rsidR="003416CE" w:rsidRPr="00464512">
              <w:rPr>
                <w:rFonts w:ascii="Times New Roman" w:hAnsi="Times New Roman" w:cs="Times New Roman"/>
                <w:lang w:val="en-GB"/>
              </w:rPr>
              <w:t xml:space="preserve"> ∙ </w:t>
            </w:r>
            <w:r w:rsidR="00A51678" w:rsidRPr="00464512">
              <w:rPr>
                <w:rFonts w:ascii="Times New Roman" w:hAnsi="Times New Roman" w:cs="Times New Roman"/>
                <w:lang w:val="en-GB"/>
              </w:rPr>
              <w:t>10</w:t>
            </w:r>
            <w:r w:rsidR="00A51678" w:rsidRPr="00464512">
              <w:rPr>
                <w:rFonts w:ascii="Times New Roman" w:hAnsi="Times New Roman" w:cs="Times New Roman"/>
                <w:vertAlign w:val="superscript"/>
                <w:lang w:val="en-GB"/>
              </w:rPr>
              <w:t>8</w:t>
            </w:r>
          </w:p>
        </w:tc>
        <w:tc>
          <w:tcPr>
            <w:tcW w:w="801" w:type="pct"/>
            <w:vAlign w:val="center"/>
          </w:tcPr>
          <w:p w14:paraId="73511423" w14:textId="178BB6FD" w:rsidR="000A278F" w:rsidRPr="00464512" w:rsidRDefault="0096435A"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02</w:t>
            </w:r>
          </w:p>
        </w:tc>
      </w:tr>
      <w:tr w:rsidR="00C4684C" w:rsidRPr="00464512" w14:paraId="34CE785A" w14:textId="77777777" w:rsidTr="006326F2">
        <w:tc>
          <w:tcPr>
            <w:tcW w:w="221" w:type="pct"/>
            <w:vAlign w:val="center"/>
          </w:tcPr>
          <w:p w14:paraId="2DC8C1E7" w14:textId="6343C8C9" w:rsidR="0096435A" w:rsidRPr="00464512" w:rsidRDefault="0096435A"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5</w:t>
            </w:r>
          </w:p>
        </w:tc>
        <w:tc>
          <w:tcPr>
            <w:tcW w:w="1579" w:type="pct"/>
            <w:vAlign w:val="center"/>
          </w:tcPr>
          <w:p w14:paraId="09C37A03" w14:textId="09696455" w:rsidR="0096435A" w:rsidRPr="00464512" w:rsidRDefault="006B26BE"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Volume of products (goods, services) sold by enterprises</w:t>
            </w:r>
          </w:p>
        </w:tc>
        <w:tc>
          <w:tcPr>
            <w:tcW w:w="1215" w:type="pct"/>
            <w:vMerge w:val="restart"/>
            <w:vAlign w:val="center"/>
          </w:tcPr>
          <w:p w14:paraId="2B2C7652" w14:textId="3C108B64" w:rsidR="0096435A" w:rsidRPr="00464512" w:rsidRDefault="005450D3"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Capital investments in</w:t>
            </w:r>
            <w:r w:rsidR="006326F2">
              <w:rPr>
                <w:rFonts w:ascii="Times New Roman" w:hAnsi="Times New Roman" w:cs="Times New Roman"/>
                <w:lang w:val="en-GB"/>
              </w:rPr>
              <w:t> </w:t>
            </w:r>
            <w:r w:rsidRPr="00464512">
              <w:rPr>
                <w:rFonts w:ascii="Times New Roman" w:hAnsi="Times New Roman" w:cs="Times New Roman"/>
                <w:lang w:val="en-GB"/>
              </w:rPr>
              <w:t>concessions, patents, licenses, trademarks</w:t>
            </w:r>
            <w:r w:rsidR="00480D52">
              <w:rPr>
                <w:rFonts w:ascii="Times New Roman" w:hAnsi="Times New Roman" w:cs="Times New Roman"/>
                <w:lang w:val="en-GB"/>
              </w:rPr>
              <w:t>,</w:t>
            </w:r>
            <w:r w:rsidRPr="00464512">
              <w:rPr>
                <w:rFonts w:ascii="Times New Roman" w:hAnsi="Times New Roman" w:cs="Times New Roman"/>
                <w:lang w:val="en-GB"/>
              </w:rPr>
              <w:t xml:space="preserve"> and similar rights</w:t>
            </w:r>
          </w:p>
        </w:tc>
        <w:tc>
          <w:tcPr>
            <w:tcW w:w="1184" w:type="pct"/>
            <w:vAlign w:val="center"/>
          </w:tcPr>
          <w:p w14:paraId="63C3E83A" w14:textId="6C69704C" w:rsidR="0096435A" w:rsidRPr="00464512" w:rsidRDefault="0096435A"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y = 3</w:t>
            </w:r>
            <w:r w:rsidR="00A322E5" w:rsidRPr="00464512">
              <w:rPr>
                <w:rFonts w:ascii="Times New Roman" w:hAnsi="Times New Roman" w:cs="Times New Roman"/>
                <w:lang w:val="en-GB"/>
              </w:rPr>
              <w:t>399</w:t>
            </w:r>
            <w:r w:rsidR="00974A16">
              <w:rPr>
                <w:rFonts w:ascii="Times New Roman" w:hAnsi="Times New Roman" w:cs="Times New Roman"/>
                <w:lang w:val="en-GB"/>
              </w:rPr>
              <w:t>.</w:t>
            </w:r>
            <w:r w:rsidR="00A322E5" w:rsidRPr="00464512">
              <w:rPr>
                <w:rFonts w:ascii="Times New Roman" w:hAnsi="Times New Roman" w:cs="Times New Roman"/>
                <w:lang w:val="en-GB"/>
              </w:rPr>
              <w:t>58</w:t>
            </w:r>
            <w:r w:rsidRPr="00464512">
              <w:rPr>
                <w:rFonts w:ascii="Times New Roman" w:hAnsi="Times New Roman" w:cs="Times New Roman"/>
                <w:lang w:val="en-GB"/>
              </w:rPr>
              <w:t xml:space="preserve">x + </w:t>
            </w:r>
            <w:r w:rsidR="00A51678" w:rsidRPr="00464512">
              <w:rPr>
                <w:rFonts w:ascii="Times New Roman" w:hAnsi="Times New Roman" w:cs="Times New Roman"/>
                <w:lang w:val="en-GB"/>
              </w:rPr>
              <w:t>5</w:t>
            </w:r>
            <w:r w:rsidR="003416CE" w:rsidRPr="00464512">
              <w:rPr>
                <w:rFonts w:ascii="Times New Roman" w:hAnsi="Times New Roman" w:cs="Times New Roman"/>
                <w:lang w:val="en-GB"/>
              </w:rPr>
              <w:t xml:space="preserve"> ∙ </w:t>
            </w:r>
            <w:r w:rsidR="00A51678" w:rsidRPr="00464512">
              <w:rPr>
                <w:rFonts w:ascii="Times New Roman" w:hAnsi="Times New Roman" w:cs="Times New Roman"/>
                <w:lang w:val="en-GB"/>
              </w:rPr>
              <w:t>10</w:t>
            </w:r>
            <w:r w:rsidR="00A51678" w:rsidRPr="00464512">
              <w:rPr>
                <w:rFonts w:ascii="Times New Roman" w:hAnsi="Times New Roman" w:cs="Times New Roman"/>
                <w:vertAlign w:val="superscript"/>
                <w:lang w:val="en-GB"/>
              </w:rPr>
              <w:t>8</w:t>
            </w:r>
          </w:p>
        </w:tc>
        <w:tc>
          <w:tcPr>
            <w:tcW w:w="801" w:type="pct"/>
            <w:vAlign w:val="center"/>
          </w:tcPr>
          <w:p w14:paraId="6DB0DB00" w14:textId="169D969F" w:rsidR="0096435A" w:rsidRPr="00464512" w:rsidRDefault="0096435A"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04</w:t>
            </w:r>
          </w:p>
        </w:tc>
      </w:tr>
      <w:tr w:rsidR="00C4684C" w:rsidRPr="00464512" w14:paraId="23E437CE" w14:textId="77777777" w:rsidTr="006326F2">
        <w:tc>
          <w:tcPr>
            <w:tcW w:w="221" w:type="pct"/>
            <w:vAlign w:val="center"/>
          </w:tcPr>
          <w:p w14:paraId="72097B6E" w14:textId="3A7ABA69" w:rsidR="0096435A" w:rsidRPr="00464512" w:rsidRDefault="0096435A"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6</w:t>
            </w:r>
          </w:p>
        </w:tc>
        <w:tc>
          <w:tcPr>
            <w:tcW w:w="1579" w:type="pct"/>
            <w:vAlign w:val="center"/>
          </w:tcPr>
          <w:p w14:paraId="70D1222B" w14:textId="02268550" w:rsidR="0096435A" w:rsidRPr="00464512" w:rsidRDefault="006B26BE"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Costs for the production of</w:t>
            </w:r>
            <w:r w:rsidR="006326F2">
              <w:rPr>
                <w:rFonts w:ascii="Times New Roman" w:hAnsi="Times New Roman" w:cs="Times New Roman"/>
                <w:lang w:val="en-GB"/>
              </w:rPr>
              <w:t> </w:t>
            </w:r>
            <w:r w:rsidRPr="00464512">
              <w:rPr>
                <w:rFonts w:ascii="Times New Roman" w:hAnsi="Times New Roman" w:cs="Times New Roman"/>
                <w:lang w:val="en-GB"/>
              </w:rPr>
              <w:t>products (goods, services) of</w:t>
            </w:r>
            <w:r w:rsidR="006326F2">
              <w:rPr>
                <w:rFonts w:ascii="Times New Roman" w:hAnsi="Times New Roman" w:cs="Times New Roman"/>
                <w:lang w:val="en-GB"/>
              </w:rPr>
              <w:t> </w:t>
            </w:r>
            <w:r w:rsidRPr="00464512">
              <w:rPr>
                <w:rFonts w:ascii="Times New Roman" w:hAnsi="Times New Roman" w:cs="Times New Roman"/>
                <w:lang w:val="en-GB"/>
              </w:rPr>
              <w:t>enterprises</w:t>
            </w:r>
          </w:p>
        </w:tc>
        <w:tc>
          <w:tcPr>
            <w:tcW w:w="1215" w:type="pct"/>
            <w:vMerge/>
            <w:vAlign w:val="center"/>
          </w:tcPr>
          <w:p w14:paraId="2218CB87" w14:textId="77777777" w:rsidR="0096435A" w:rsidRPr="00464512" w:rsidRDefault="0096435A" w:rsidP="00AE3CB1">
            <w:pPr>
              <w:widowControl w:val="0"/>
              <w:contextualSpacing/>
              <w:jc w:val="center"/>
              <w:rPr>
                <w:rFonts w:ascii="Times New Roman" w:hAnsi="Times New Roman" w:cs="Times New Roman"/>
                <w:lang w:val="en-GB"/>
              </w:rPr>
            </w:pPr>
          </w:p>
        </w:tc>
        <w:tc>
          <w:tcPr>
            <w:tcW w:w="1184" w:type="pct"/>
            <w:vAlign w:val="center"/>
          </w:tcPr>
          <w:p w14:paraId="2C44AFEB" w14:textId="69BAC5DA" w:rsidR="0096435A" w:rsidRPr="00464512" w:rsidRDefault="0096435A"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 xml:space="preserve">y = </w:t>
            </w:r>
            <w:r w:rsidR="00A322E5" w:rsidRPr="00464512">
              <w:rPr>
                <w:rFonts w:ascii="Times New Roman" w:hAnsi="Times New Roman" w:cs="Times New Roman"/>
                <w:lang w:val="en-GB"/>
              </w:rPr>
              <w:t>4093</w:t>
            </w:r>
            <w:r w:rsidR="00974A16">
              <w:rPr>
                <w:rFonts w:ascii="Times New Roman" w:hAnsi="Times New Roman" w:cs="Times New Roman"/>
                <w:lang w:val="en-GB"/>
              </w:rPr>
              <w:t>.</w:t>
            </w:r>
            <w:r w:rsidR="00A322E5" w:rsidRPr="00464512">
              <w:rPr>
                <w:rFonts w:ascii="Times New Roman" w:hAnsi="Times New Roman" w:cs="Times New Roman"/>
                <w:lang w:val="en-GB"/>
              </w:rPr>
              <w:t>59</w:t>
            </w:r>
            <w:r w:rsidRPr="00464512">
              <w:rPr>
                <w:rFonts w:ascii="Times New Roman" w:hAnsi="Times New Roman" w:cs="Times New Roman"/>
                <w:lang w:val="en-GB"/>
              </w:rPr>
              <w:t xml:space="preserve">x + </w:t>
            </w:r>
            <w:r w:rsidR="00A51678" w:rsidRPr="00464512">
              <w:rPr>
                <w:rFonts w:ascii="Times New Roman" w:hAnsi="Times New Roman" w:cs="Times New Roman"/>
                <w:lang w:val="en-GB"/>
              </w:rPr>
              <w:t>4</w:t>
            </w:r>
            <w:r w:rsidR="003416CE" w:rsidRPr="00464512">
              <w:rPr>
                <w:rFonts w:ascii="Times New Roman" w:hAnsi="Times New Roman" w:cs="Times New Roman"/>
                <w:lang w:val="en-GB"/>
              </w:rPr>
              <w:t xml:space="preserve"> ∙ </w:t>
            </w:r>
            <w:r w:rsidR="00A51678" w:rsidRPr="00464512">
              <w:rPr>
                <w:rFonts w:ascii="Times New Roman" w:hAnsi="Times New Roman" w:cs="Times New Roman"/>
                <w:lang w:val="en-GB"/>
              </w:rPr>
              <w:t>10</w:t>
            </w:r>
            <w:r w:rsidR="00A51678" w:rsidRPr="00464512">
              <w:rPr>
                <w:rFonts w:ascii="Times New Roman" w:hAnsi="Times New Roman" w:cs="Times New Roman"/>
                <w:vertAlign w:val="superscript"/>
                <w:lang w:val="en-GB"/>
              </w:rPr>
              <w:t>8</w:t>
            </w:r>
          </w:p>
        </w:tc>
        <w:tc>
          <w:tcPr>
            <w:tcW w:w="801" w:type="pct"/>
            <w:vAlign w:val="center"/>
          </w:tcPr>
          <w:p w14:paraId="621D94D9" w14:textId="21D7E180" w:rsidR="0096435A" w:rsidRPr="00464512" w:rsidRDefault="0096435A" w:rsidP="00AE3CB1">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11</w:t>
            </w:r>
          </w:p>
        </w:tc>
      </w:tr>
    </w:tbl>
    <w:p w14:paraId="01F8F42F" w14:textId="218EA2BC" w:rsidR="00615726" w:rsidRPr="00464512" w:rsidRDefault="00FE0A87" w:rsidP="00464512">
      <w:pPr>
        <w:shd w:val="clear" w:color="auto" w:fill="FFFFFF"/>
        <w:spacing w:before="60" w:after="0" w:line="240" w:lineRule="auto"/>
        <w:rPr>
          <w:rFonts w:ascii="Times New Roman" w:eastAsia="Times New Roman" w:hAnsi="Times New Roman" w:cs="Times New Roman"/>
          <w:sz w:val="20"/>
          <w:szCs w:val="20"/>
          <w:lang w:val="en-GB"/>
        </w:rPr>
      </w:pPr>
      <w:r w:rsidRPr="00464512">
        <w:rPr>
          <w:rFonts w:ascii="Times New Roman" w:eastAsia="Times New Roman" w:hAnsi="Times New Roman" w:cs="Times New Roman"/>
          <w:sz w:val="20"/>
          <w:szCs w:val="20"/>
          <w:lang w:val="en-GB"/>
        </w:rPr>
        <w:t xml:space="preserve">Source: formed by the authors using </w:t>
      </w:r>
      <w:r w:rsidR="00615726" w:rsidRPr="00464512">
        <w:rPr>
          <w:rFonts w:ascii="Times New Roman" w:eastAsia="Times New Roman" w:hAnsi="Times New Roman" w:cs="Times New Roman"/>
          <w:sz w:val="20"/>
          <w:szCs w:val="20"/>
          <w:lang w:val="en-GB"/>
        </w:rPr>
        <w:t>(State Statistics Service of Ukraine, 20</w:t>
      </w:r>
      <w:r w:rsidR="00FE6246" w:rsidRPr="00464512">
        <w:rPr>
          <w:rFonts w:ascii="Times New Roman" w:eastAsia="Times New Roman" w:hAnsi="Times New Roman" w:cs="Times New Roman"/>
          <w:sz w:val="20"/>
          <w:szCs w:val="20"/>
          <w:lang w:val="en-GB"/>
        </w:rPr>
        <w:t>14-2023</w:t>
      </w:r>
      <w:r w:rsidR="00615726" w:rsidRPr="00464512">
        <w:rPr>
          <w:rFonts w:ascii="Times New Roman" w:eastAsia="Times New Roman" w:hAnsi="Times New Roman" w:cs="Times New Roman"/>
          <w:sz w:val="20"/>
          <w:szCs w:val="20"/>
          <w:lang w:val="en-GB"/>
        </w:rPr>
        <w:t>)</w:t>
      </w:r>
    </w:p>
    <w:p w14:paraId="65ABF21D" w14:textId="77777777" w:rsidR="004F1467" w:rsidRPr="00464512" w:rsidRDefault="004F1467" w:rsidP="007736E9">
      <w:pPr>
        <w:widowControl w:val="0"/>
        <w:spacing w:after="0" w:line="240" w:lineRule="auto"/>
        <w:ind w:firstLine="567"/>
        <w:contextualSpacing/>
        <w:jc w:val="both"/>
        <w:rPr>
          <w:rFonts w:ascii="Times New Roman" w:hAnsi="Times New Roman" w:cs="Times New Roman"/>
          <w:lang w:val="en-GB"/>
        </w:rPr>
      </w:pPr>
    </w:p>
    <w:p w14:paraId="70BDDC72" w14:textId="2ADA158A" w:rsidR="007736E9" w:rsidRPr="00464512" w:rsidRDefault="001201D9"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Thus, </w:t>
      </w:r>
      <w:r w:rsidR="00A322E5" w:rsidRPr="00464512">
        <w:rPr>
          <w:rFonts w:ascii="Times New Roman" w:hAnsi="Times New Roman" w:cs="Times New Roman"/>
          <w:lang w:val="en-GB"/>
        </w:rPr>
        <w:t>i</w:t>
      </w:r>
      <w:r w:rsidR="007736E9" w:rsidRPr="00464512">
        <w:rPr>
          <w:rFonts w:ascii="Times New Roman" w:hAnsi="Times New Roman" w:cs="Times New Roman"/>
          <w:lang w:val="en-GB"/>
        </w:rPr>
        <w:t xml:space="preserve">t is important to emphasize that there are certain types of capital investments whose implementation does not significantly influence the volume of sales of products (goods, services) or the costs of their production. These capital investments are considered structurally </w:t>
      </w:r>
      <w:r w:rsidR="00480D52">
        <w:rPr>
          <w:rFonts w:ascii="Times New Roman" w:hAnsi="Times New Roman" w:cs="Times New Roman"/>
          <w:lang w:val="en-GB"/>
        </w:rPr>
        <w:t>essential</w:t>
      </w:r>
      <w:r w:rsidR="007736E9" w:rsidRPr="00464512">
        <w:rPr>
          <w:rFonts w:ascii="Times New Roman" w:hAnsi="Times New Roman" w:cs="Times New Roman"/>
          <w:lang w:val="en-GB"/>
        </w:rPr>
        <w:t xml:space="preserve"> but do not directly contribute to short-term improvements in operational performance indicators. Such capital investments include:</w:t>
      </w:r>
    </w:p>
    <w:p w14:paraId="3EBEF913" w14:textId="290F54F3" w:rsidR="007736E9" w:rsidRPr="00464512" w:rsidRDefault="007736E9" w:rsidP="00C4684C">
      <w:pPr>
        <w:widowControl w:val="0"/>
        <w:spacing w:after="0" w:line="240" w:lineRule="auto"/>
        <w:contextualSpacing/>
        <w:jc w:val="both"/>
        <w:rPr>
          <w:rFonts w:ascii="Times New Roman" w:hAnsi="Times New Roman" w:cs="Times New Roman"/>
          <w:lang w:val="en-GB"/>
        </w:rPr>
      </w:pPr>
      <w:r w:rsidRPr="00464512">
        <w:rPr>
          <w:rFonts w:ascii="Times New Roman" w:hAnsi="Times New Roman" w:cs="Times New Roman"/>
          <w:lang w:val="en-GB"/>
        </w:rPr>
        <w:t>– capital investments in land (</w:t>
      </w:r>
      <w:proofErr w:type="spellStart"/>
      <w:r w:rsidRPr="00464512">
        <w:rPr>
          <w:rFonts w:ascii="Times New Roman" w:hAnsi="Times New Roman" w:cs="Times New Roman"/>
          <w:lang w:val="en-GB"/>
        </w:rPr>
        <w:t>Chikov</w:t>
      </w:r>
      <w:proofErr w:type="spellEnd"/>
      <w:r w:rsidRPr="00464512">
        <w:rPr>
          <w:rFonts w:ascii="Times New Roman" w:hAnsi="Times New Roman" w:cs="Times New Roman"/>
          <w:lang w:val="en-GB"/>
        </w:rPr>
        <w:t xml:space="preserve"> et al. 2022)</w:t>
      </w:r>
      <w:r w:rsidR="00801ADE" w:rsidRPr="00464512">
        <w:rPr>
          <w:rFonts w:ascii="Times New Roman" w:hAnsi="Times New Roman" w:cs="Times New Roman"/>
          <w:lang w:val="en-GB"/>
        </w:rPr>
        <w:t>,</w:t>
      </w:r>
    </w:p>
    <w:p w14:paraId="3F66366D" w14:textId="2587E63A" w:rsidR="007736E9" w:rsidRPr="00464512" w:rsidRDefault="007736E9" w:rsidP="00C4684C">
      <w:pPr>
        <w:widowControl w:val="0"/>
        <w:spacing w:after="0" w:line="240" w:lineRule="auto"/>
        <w:contextualSpacing/>
        <w:jc w:val="both"/>
        <w:rPr>
          <w:rFonts w:ascii="Times New Roman" w:hAnsi="Times New Roman" w:cs="Times New Roman"/>
          <w:lang w:val="en-GB"/>
        </w:rPr>
      </w:pPr>
      <w:r w:rsidRPr="00464512">
        <w:rPr>
          <w:rFonts w:ascii="Times New Roman" w:hAnsi="Times New Roman" w:cs="Times New Roman"/>
          <w:lang w:val="en-GB"/>
        </w:rPr>
        <w:t>– capital investments in existing buildings and structures (</w:t>
      </w:r>
      <w:proofErr w:type="spellStart"/>
      <w:r w:rsidRPr="00464512">
        <w:rPr>
          <w:rFonts w:ascii="Times New Roman" w:hAnsi="Times New Roman" w:cs="Times New Roman"/>
          <w:lang w:val="en-GB"/>
        </w:rPr>
        <w:t>Vdovenko</w:t>
      </w:r>
      <w:proofErr w:type="spellEnd"/>
      <w:r w:rsidRPr="00464512">
        <w:rPr>
          <w:rFonts w:ascii="Times New Roman" w:hAnsi="Times New Roman" w:cs="Times New Roman"/>
          <w:lang w:val="en-GB"/>
        </w:rPr>
        <w:t xml:space="preserve"> et al. 2023)</w:t>
      </w:r>
      <w:r w:rsidR="00801ADE" w:rsidRPr="00464512">
        <w:rPr>
          <w:rFonts w:ascii="Times New Roman" w:hAnsi="Times New Roman" w:cs="Times New Roman"/>
          <w:lang w:val="en-GB"/>
        </w:rPr>
        <w:t>,</w:t>
      </w:r>
    </w:p>
    <w:p w14:paraId="4F42DC59" w14:textId="6997F970" w:rsidR="007736E9" w:rsidRPr="00464512" w:rsidRDefault="007736E9" w:rsidP="00C4684C">
      <w:pPr>
        <w:widowControl w:val="0"/>
        <w:spacing w:after="0" w:line="240" w:lineRule="auto"/>
        <w:contextualSpacing/>
        <w:jc w:val="both"/>
        <w:rPr>
          <w:rFonts w:ascii="Times New Roman" w:hAnsi="Times New Roman" w:cs="Times New Roman"/>
          <w:lang w:val="en-GB"/>
        </w:rPr>
      </w:pPr>
      <w:r w:rsidRPr="00464512">
        <w:rPr>
          <w:rFonts w:ascii="Times New Roman" w:hAnsi="Times New Roman" w:cs="Times New Roman"/>
          <w:lang w:val="en-GB"/>
        </w:rPr>
        <w:t>– capital investments in concessions, patents, licenses, trademarks, and similar rights (</w:t>
      </w:r>
      <w:proofErr w:type="spellStart"/>
      <w:r w:rsidRPr="00464512">
        <w:rPr>
          <w:rFonts w:ascii="Times New Roman" w:hAnsi="Times New Roman" w:cs="Times New Roman"/>
          <w:lang w:val="en-GB"/>
        </w:rPr>
        <w:t>Dotsiuk</w:t>
      </w:r>
      <w:proofErr w:type="spellEnd"/>
      <w:r w:rsidRPr="00464512">
        <w:rPr>
          <w:rFonts w:ascii="Times New Roman" w:hAnsi="Times New Roman" w:cs="Times New Roman"/>
          <w:lang w:val="en-GB"/>
        </w:rPr>
        <w:t xml:space="preserve"> et al. 2024).</w:t>
      </w:r>
    </w:p>
    <w:p w14:paraId="4A450464" w14:textId="77777777" w:rsidR="00C4684C" w:rsidRPr="00464512" w:rsidRDefault="00C4684C" w:rsidP="00C4684C">
      <w:pPr>
        <w:widowControl w:val="0"/>
        <w:spacing w:after="0" w:line="240" w:lineRule="auto"/>
        <w:ind w:firstLine="284"/>
        <w:contextualSpacing/>
        <w:jc w:val="both"/>
        <w:rPr>
          <w:rFonts w:ascii="Times New Roman" w:hAnsi="Times New Roman" w:cs="Times New Roman"/>
          <w:lang w:val="en-GB"/>
        </w:rPr>
      </w:pPr>
    </w:p>
    <w:p w14:paraId="51235244" w14:textId="43165198" w:rsidR="00712583" w:rsidRPr="00464512" w:rsidRDefault="007736E9"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Although these investments may enhance long-term strategic positioning, asset value, or legal competitiveness, their immediate effect on production efficiency and revenue generation remains limited or delayed. This distinction is critical when evaluating the effectiveness of capital allocation across enterprise categories in the agricultural, forestry, and fishery sectors.</w:t>
      </w:r>
    </w:p>
    <w:p w14:paraId="7CFBC9A4" w14:textId="4912CC00" w:rsidR="00AF1B67" w:rsidRPr="00464512" w:rsidRDefault="00AF1B67"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density of communication in all cases is characterized by a low value of the coefficient of determination, and therefore</w:t>
      </w:r>
      <w:r w:rsidR="00480D52">
        <w:rPr>
          <w:rFonts w:ascii="Times New Roman" w:hAnsi="Times New Roman" w:cs="Times New Roman"/>
          <w:lang w:val="en-GB"/>
        </w:rPr>
        <w:t>,</w:t>
      </w:r>
      <w:r w:rsidRPr="00464512">
        <w:rPr>
          <w:rFonts w:ascii="Times New Roman" w:hAnsi="Times New Roman" w:cs="Times New Roman"/>
          <w:lang w:val="en-GB"/>
        </w:rPr>
        <w:t xml:space="preserve"> the implementation of the corresponding models under these conditions is no longer necessary.</w:t>
      </w:r>
    </w:p>
    <w:p w14:paraId="0F8B4DC0" w14:textId="6B38EB21" w:rsidR="002C3FD4" w:rsidRPr="00464512" w:rsidRDefault="00AF1B67"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This indicates a weak explanatory power of the independent variables in relation to the dependent ones, suggesting that the </w:t>
      </w:r>
      <w:proofErr w:type="spellStart"/>
      <w:r w:rsidRPr="00464512">
        <w:rPr>
          <w:rFonts w:ascii="Times New Roman" w:hAnsi="Times New Roman" w:cs="Times New Roman"/>
          <w:lang w:val="en-GB"/>
        </w:rPr>
        <w:t>modeled</w:t>
      </w:r>
      <w:proofErr w:type="spellEnd"/>
      <w:r w:rsidRPr="00464512">
        <w:rPr>
          <w:rFonts w:ascii="Times New Roman" w:hAnsi="Times New Roman" w:cs="Times New Roman"/>
          <w:lang w:val="en-GB"/>
        </w:rPr>
        <w:t xml:space="preserve"> relationships lack statistical reliability. As a result, further reliance on these models for predictive or decision-making purposes would be unjustified and may lead to erroneous conclusions regarding the efficiency of capital investment utilization.</w:t>
      </w:r>
    </w:p>
    <w:p w14:paraId="203E3309" w14:textId="6E327020" w:rsidR="00C83B47" w:rsidRPr="00464512" w:rsidRDefault="002C3FD4"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At the same time, there are cases of significant impact of capital investments on both the volume of products sold and the costs of their production during 2014-2023. In particular, investments in the construction and reconstruction of buildings ensure an increase in the volume of products sold (goods, services) of enterprises (Fig. 1).</w:t>
      </w:r>
    </w:p>
    <w:p w14:paraId="7CCF1EC3" w14:textId="54A8CB0C" w:rsidR="00464512" w:rsidRPr="00464512" w:rsidRDefault="00464512" w:rsidP="00464512">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Based on the current dynamics, over the past ten years</w:t>
      </w:r>
      <w:r w:rsidR="00480D52">
        <w:rPr>
          <w:rFonts w:ascii="Times New Roman" w:hAnsi="Times New Roman" w:cs="Times New Roman"/>
          <w:lang w:val="en-GB"/>
        </w:rPr>
        <w:t>,</w:t>
      </w:r>
      <w:r w:rsidRPr="00464512">
        <w:rPr>
          <w:rFonts w:ascii="Times New Roman" w:hAnsi="Times New Roman" w:cs="Times New Roman"/>
          <w:lang w:val="en-GB"/>
        </w:rPr>
        <w:t xml:space="preserve"> there has been a stable need to increase capital investments in the construction and reconstruction of buildings, which will provide an average increase in the volume of sold products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by 56</w:t>
      </w:r>
      <w:r w:rsidR="00974A16">
        <w:rPr>
          <w:rFonts w:ascii="Times New Roman" w:hAnsi="Times New Roman" w:cs="Times New Roman"/>
          <w:lang w:val="en-GB"/>
        </w:rPr>
        <w:t>.</w:t>
      </w:r>
      <w:r w:rsidRPr="00464512">
        <w:rPr>
          <w:rFonts w:ascii="Times New Roman" w:hAnsi="Times New Roman" w:cs="Times New Roman"/>
          <w:lang w:val="en-GB"/>
        </w:rPr>
        <w:t>257 times. Even if capital investments are not made (x = 0), the volume of sold products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will be $80</w:t>
      </w:r>
      <w:r w:rsidR="00974A16">
        <w:rPr>
          <w:rFonts w:ascii="Times New Roman" w:hAnsi="Times New Roman" w:cs="Times New Roman"/>
          <w:lang w:val="en-GB"/>
        </w:rPr>
        <w:t>.</w:t>
      </w:r>
      <w:r w:rsidRPr="00464512">
        <w:rPr>
          <w:rFonts w:ascii="Times New Roman" w:hAnsi="Times New Roman" w:cs="Times New Roman"/>
          <w:lang w:val="en-GB"/>
        </w:rPr>
        <w:t xml:space="preserve">623 </w:t>
      </w:r>
      <w:proofErr w:type="spellStart"/>
      <w:r w:rsidRPr="00464512">
        <w:rPr>
          <w:rFonts w:ascii="Times New Roman" w:hAnsi="Times New Roman" w:cs="Times New Roman"/>
          <w:lang w:val="en-GB"/>
        </w:rPr>
        <w:t>mln</w:t>
      </w:r>
      <w:proofErr w:type="spellEnd"/>
      <w:r w:rsidRPr="00464512">
        <w:rPr>
          <w:rFonts w:ascii="Times New Roman" w:hAnsi="Times New Roman" w:cs="Times New Roman"/>
          <w:lang w:val="en-GB"/>
        </w:rPr>
        <w:t>.</w:t>
      </w:r>
    </w:p>
    <w:p w14:paraId="253C33B8" w14:textId="32452F4A" w:rsidR="00464512" w:rsidRPr="00464512" w:rsidRDefault="00464512" w:rsidP="00464512">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growth of capital investments in the construction and reconstruction of buildings leads to an increase in the costs of production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(Fig. 2).</w:t>
      </w:r>
    </w:p>
    <w:p w14:paraId="2004705E" w14:textId="77777777" w:rsidR="002C3FD4" w:rsidRPr="00464512" w:rsidRDefault="002C3FD4" w:rsidP="002C3FD4">
      <w:pPr>
        <w:widowControl w:val="0"/>
        <w:spacing w:after="0" w:line="240" w:lineRule="auto"/>
        <w:ind w:firstLine="567"/>
        <w:contextualSpacing/>
        <w:jc w:val="both"/>
        <w:rPr>
          <w:rFonts w:ascii="Times New Roman" w:hAnsi="Times New Roman" w:cs="Times New Roman"/>
          <w:lang w:val="en-GB"/>
        </w:rPr>
      </w:pPr>
    </w:p>
    <w:p w14:paraId="03A5E4AD" w14:textId="05FBBFB8" w:rsidR="006D665C" w:rsidRPr="00464512" w:rsidRDefault="00BA26B9" w:rsidP="00BA26B9">
      <w:pPr>
        <w:widowControl w:val="0"/>
        <w:spacing w:after="0" w:line="240" w:lineRule="auto"/>
        <w:contextualSpacing/>
        <w:rPr>
          <w:rFonts w:ascii="Times New Roman" w:hAnsi="Times New Roman" w:cs="Times New Roman"/>
          <w:lang w:val="en-GB"/>
        </w:rPr>
      </w:pPr>
      <w:r w:rsidRPr="00464512">
        <w:rPr>
          <w:noProof/>
          <w:lang w:val="en-GB"/>
        </w:rPr>
        <w:lastRenderedPageBreak/>
        <w:drawing>
          <wp:inline distT="0" distB="0" distL="0" distR="0" wp14:anchorId="25F6ABB8" wp14:editId="6DCAA0EF">
            <wp:extent cx="6120130" cy="2952750"/>
            <wp:effectExtent l="0" t="0" r="13970" b="0"/>
            <wp:docPr id="1" name="Диаграмма 1">
              <a:extLst xmlns:a="http://schemas.openxmlformats.org/drawingml/2006/main">
                <a:ext uri="{FF2B5EF4-FFF2-40B4-BE49-F238E27FC236}">
                  <a16:creationId xmlns:a16="http://schemas.microsoft.com/office/drawing/2014/main" id="{96478E3A-C7F3-4AB0-90E4-605E911F2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8B64C7" w14:textId="2333F6D6" w:rsidR="00E6740D" w:rsidRPr="00464512" w:rsidRDefault="00FB23FC" w:rsidP="00C4684C">
      <w:pPr>
        <w:pStyle w:val="Rrys"/>
        <w:rPr>
          <w:rFonts w:eastAsia="Times New Roman"/>
          <w:szCs w:val="20"/>
          <w:lang w:val="en-GB"/>
        </w:rPr>
      </w:pPr>
      <w:r w:rsidRPr="00464512">
        <w:rPr>
          <w:b/>
          <w:iCs/>
          <w:lang w:val="en-GB"/>
        </w:rPr>
        <w:t>Fig</w:t>
      </w:r>
      <w:r w:rsidR="00EC2209" w:rsidRPr="00464512">
        <w:rPr>
          <w:b/>
          <w:iCs/>
          <w:lang w:val="en-GB"/>
        </w:rPr>
        <w:t>. 1.</w:t>
      </w:r>
      <w:r w:rsidR="00EC2209" w:rsidRPr="00464512">
        <w:rPr>
          <w:i/>
          <w:lang w:val="en-GB"/>
        </w:rPr>
        <w:t xml:space="preserve"> </w:t>
      </w:r>
      <w:r w:rsidRPr="00464512">
        <w:rPr>
          <w:lang w:val="en-GB"/>
        </w:rPr>
        <w:t>Correlation-regression dependence of the volume of products sold (goods, services) of enterprises on capital investments in the construction and reconstruction of buildings based on the results of activities in agriculture, forestry</w:t>
      </w:r>
      <w:r w:rsidR="00480D52">
        <w:rPr>
          <w:lang w:val="en-GB"/>
        </w:rPr>
        <w:t>,</w:t>
      </w:r>
      <w:r w:rsidRPr="00464512">
        <w:rPr>
          <w:lang w:val="en-GB"/>
        </w:rPr>
        <w:t xml:space="preserve"> and fisheries, 2014-2023</w:t>
      </w:r>
      <w:r w:rsidR="00C4684C" w:rsidRPr="00464512">
        <w:rPr>
          <w:lang w:val="en-GB"/>
        </w:rPr>
        <w:t xml:space="preserve"> </w:t>
      </w:r>
      <w:r w:rsidR="00464512">
        <w:rPr>
          <w:lang w:val="en-GB"/>
        </w:rPr>
        <w:br/>
      </w:r>
      <w:r w:rsidR="00FE0A87" w:rsidRPr="00464512">
        <w:rPr>
          <w:rFonts w:eastAsia="Times New Roman"/>
          <w:szCs w:val="20"/>
          <w:lang w:val="en-GB"/>
        </w:rPr>
        <w:t xml:space="preserve">Source: formed by the authors using </w:t>
      </w:r>
      <w:r w:rsidR="00E6740D" w:rsidRPr="00464512">
        <w:rPr>
          <w:rFonts w:eastAsia="Times New Roman"/>
          <w:szCs w:val="20"/>
          <w:lang w:val="en-GB"/>
        </w:rPr>
        <w:t>(State Statistics Service of Ukraine, 2014-2023)</w:t>
      </w:r>
    </w:p>
    <w:p w14:paraId="06FBD2DC" w14:textId="77777777" w:rsidR="002D22C0" w:rsidRPr="00464512" w:rsidRDefault="002D22C0" w:rsidP="00C4684C">
      <w:pPr>
        <w:widowControl w:val="0"/>
        <w:spacing w:after="0" w:line="240" w:lineRule="auto"/>
        <w:contextualSpacing/>
        <w:jc w:val="both"/>
        <w:rPr>
          <w:rFonts w:ascii="Times New Roman" w:hAnsi="Times New Roman" w:cs="Times New Roman"/>
          <w:lang w:val="en-GB"/>
        </w:rPr>
      </w:pPr>
    </w:p>
    <w:p w14:paraId="4CF72FF8" w14:textId="38238099" w:rsidR="00193EFE" w:rsidRPr="00464512" w:rsidRDefault="006A03D4" w:rsidP="006A03D4">
      <w:pPr>
        <w:widowControl w:val="0"/>
        <w:spacing w:after="0" w:line="240" w:lineRule="auto"/>
        <w:contextualSpacing/>
        <w:rPr>
          <w:rFonts w:ascii="Times New Roman" w:hAnsi="Times New Roman" w:cs="Times New Roman"/>
          <w:lang w:val="en-GB"/>
        </w:rPr>
      </w:pPr>
      <w:r w:rsidRPr="00464512">
        <w:rPr>
          <w:noProof/>
          <w:lang w:val="en-GB"/>
        </w:rPr>
        <w:drawing>
          <wp:inline distT="0" distB="0" distL="0" distR="0" wp14:anchorId="45094B8B" wp14:editId="150B18F7">
            <wp:extent cx="6119495" cy="2914650"/>
            <wp:effectExtent l="0" t="0" r="14605" b="0"/>
            <wp:docPr id="7" name="Диаграмма 7">
              <a:extLst xmlns:a="http://schemas.openxmlformats.org/drawingml/2006/main">
                <a:ext uri="{FF2B5EF4-FFF2-40B4-BE49-F238E27FC236}">
                  <a16:creationId xmlns:a16="http://schemas.microsoft.com/office/drawing/2014/main" id="{51FF9ED5-890C-4414-BB59-DF69A6785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0E1267" w14:textId="1B913820" w:rsidR="00E6740D" w:rsidRPr="00464512" w:rsidRDefault="00DB23F9" w:rsidP="00C4684C">
      <w:pPr>
        <w:pStyle w:val="Rrys"/>
        <w:rPr>
          <w:rFonts w:eastAsia="Times New Roman"/>
          <w:szCs w:val="20"/>
          <w:lang w:val="en-GB"/>
        </w:rPr>
      </w:pPr>
      <w:r w:rsidRPr="00464512">
        <w:rPr>
          <w:b/>
          <w:iCs/>
          <w:lang w:val="en-GB"/>
        </w:rPr>
        <w:t>Fig</w:t>
      </w:r>
      <w:r w:rsidR="00EC2209" w:rsidRPr="00464512">
        <w:rPr>
          <w:b/>
          <w:iCs/>
          <w:lang w:val="en-GB"/>
        </w:rPr>
        <w:t xml:space="preserve">. </w:t>
      </w:r>
      <w:r w:rsidR="00DC30AB" w:rsidRPr="00464512">
        <w:rPr>
          <w:b/>
          <w:iCs/>
          <w:lang w:val="en-GB"/>
        </w:rPr>
        <w:t>2</w:t>
      </w:r>
      <w:r w:rsidR="00EC2209" w:rsidRPr="00464512">
        <w:rPr>
          <w:b/>
          <w:iCs/>
          <w:lang w:val="en-GB"/>
        </w:rPr>
        <w:t>.</w:t>
      </w:r>
      <w:r w:rsidR="00EC2209" w:rsidRPr="00464512">
        <w:rPr>
          <w:i/>
          <w:lang w:val="en-GB"/>
        </w:rPr>
        <w:t xml:space="preserve"> </w:t>
      </w:r>
      <w:r w:rsidRPr="00464512">
        <w:rPr>
          <w:lang w:val="en-GB"/>
        </w:rPr>
        <w:t>Correlation-regression dependence of costs for production of products (goods, services) of enterprises on capital investments in construction and reconstruction of buildings based on the results of activities in agriculture, forestry</w:t>
      </w:r>
      <w:r w:rsidR="00480D52">
        <w:rPr>
          <w:lang w:val="en-GB"/>
        </w:rPr>
        <w:t>,</w:t>
      </w:r>
      <w:r w:rsidRPr="00464512">
        <w:rPr>
          <w:lang w:val="en-GB"/>
        </w:rPr>
        <w:t xml:space="preserve"> and fisheries</w:t>
      </w:r>
      <w:r w:rsidR="000102D8" w:rsidRPr="00464512">
        <w:rPr>
          <w:lang w:val="en-GB"/>
        </w:rPr>
        <w:t>, 2014-2023</w:t>
      </w:r>
      <w:r w:rsidR="00C4684C" w:rsidRPr="00464512">
        <w:rPr>
          <w:lang w:val="en-GB"/>
        </w:rPr>
        <w:t xml:space="preserve"> </w:t>
      </w:r>
      <w:r w:rsidR="00464512">
        <w:rPr>
          <w:lang w:val="en-GB"/>
        </w:rPr>
        <w:br/>
      </w:r>
      <w:r w:rsidR="00E6740D" w:rsidRPr="00464512">
        <w:rPr>
          <w:rFonts w:eastAsia="Times New Roman"/>
          <w:szCs w:val="20"/>
          <w:lang w:val="en-GB"/>
        </w:rPr>
        <w:t xml:space="preserve">Source: </w:t>
      </w:r>
      <w:r w:rsidR="00FE0A87" w:rsidRPr="00464512">
        <w:rPr>
          <w:rFonts w:eastAsia="Times New Roman"/>
          <w:szCs w:val="20"/>
          <w:lang w:val="en-GB"/>
        </w:rPr>
        <w:t xml:space="preserve">formed by the authors using </w:t>
      </w:r>
      <w:r w:rsidR="00E6740D" w:rsidRPr="00464512">
        <w:rPr>
          <w:rFonts w:eastAsia="Times New Roman"/>
          <w:szCs w:val="20"/>
          <w:lang w:val="en-GB"/>
        </w:rPr>
        <w:t>(State Statistics Service of Ukraine, 2014-2023)</w:t>
      </w:r>
    </w:p>
    <w:p w14:paraId="7B89B792" w14:textId="6D54605D" w:rsidR="00ED445C" w:rsidRPr="00464512" w:rsidRDefault="00ED445C" w:rsidP="00C4684C">
      <w:pPr>
        <w:widowControl w:val="0"/>
        <w:spacing w:after="0" w:line="240" w:lineRule="auto"/>
        <w:ind w:firstLine="284"/>
        <w:contextualSpacing/>
        <w:jc w:val="both"/>
        <w:rPr>
          <w:rFonts w:ascii="Times New Roman" w:hAnsi="Times New Roman" w:cs="Times New Roman"/>
          <w:lang w:val="en-GB"/>
        </w:rPr>
      </w:pPr>
    </w:p>
    <w:p w14:paraId="3915979D" w14:textId="06C97BD5" w:rsidR="007E713D" w:rsidRPr="00464512" w:rsidRDefault="007E713D"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increase in capital investments in the construction and reconstruction of buildings leads to an increase in the costs of production of products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by 45</w:t>
      </w:r>
      <w:r w:rsidR="00974A16">
        <w:rPr>
          <w:rFonts w:ascii="Times New Roman" w:hAnsi="Times New Roman" w:cs="Times New Roman"/>
          <w:lang w:val="en-GB"/>
        </w:rPr>
        <w:t>.</w:t>
      </w:r>
      <w:r w:rsidRPr="00464512">
        <w:rPr>
          <w:rFonts w:ascii="Times New Roman" w:hAnsi="Times New Roman" w:cs="Times New Roman"/>
          <w:lang w:val="en-GB"/>
        </w:rPr>
        <w:t>97</w:t>
      </w:r>
      <w:r w:rsidR="006A03D4" w:rsidRPr="00464512">
        <w:rPr>
          <w:rFonts w:ascii="Times New Roman" w:hAnsi="Times New Roman" w:cs="Times New Roman"/>
          <w:lang w:val="en-GB"/>
        </w:rPr>
        <w:t xml:space="preserve">7 </w:t>
      </w:r>
      <w:r w:rsidRPr="00464512">
        <w:rPr>
          <w:rFonts w:ascii="Times New Roman" w:hAnsi="Times New Roman" w:cs="Times New Roman"/>
          <w:lang w:val="en-GB"/>
        </w:rPr>
        <w:t xml:space="preserve">times. The absence of capital investments (x = 0) ensures the level of costs of production of products (goods, services) by enterprises by </w:t>
      </w:r>
      <w:r w:rsidR="00E97758" w:rsidRPr="00464512">
        <w:rPr>
          <w:rFonts w:ascii="Times New Roman" w:hAnsi="Times New Roman" w:cs="Times New Roman"/>
          <w:lang w:val="en-GB"/>
        </w:rPr>
        <w:t>$</w:t>
      </w:r>
      <w:r w:rsidR="006A03D4" w:rsidRPr="00464512">
        <w:rPr>
          <w:rFonts w:ascii="Times New Roman" w:hAnsi="Times New Roman" w:cs="Times New Roman"/>
          <w:lang w:val="en-GB"/>
        </w:rPr>
        <w:t>2</w:t>
      </w:r>
      <w:r w:rsidR="00524AE3" w:rsidRPr="00464512">
        <w:rPr>
          <w:rFonts w:ascii="Times New Roman" w:hAnsi="Times New Roman" w:cs="Times New Roman"/>
          <w:lang w:val="en-GB"/>
        </w:rPr>
        <w:t>79</w:t>
      </w:r>
      <w:r w:rsidR="00974A16">
        <w:rPr>
          <w:rFonts w:ascii="Times New Roman" w:hAnsi="Times New Roman" w:cs="Times New Roman"/>
          <w:lang w:val="en-GB"/>
        </w:rPr>
        <w:t>.</w:t>
      </w:r>
      <w:r w:rsidR="00524AE3" w:rsidRPr="00464512">
        <w:rPr>
          <w:rFonts w:ascii="Times New Roman" w:hAnsi="Times New Roman" w:cs="Times New Roman"/>
          <w:lang w:val="en-GB"/>
        </w:rPr>
        <w:t>4</w:t>
      </w:r>
      <w:r w:rsidR="00DB75BD" w:rsidRPr="00464512">
        <w:rPr>
          <w:rFonts w:ascii="Times New Roman" w:hAnsi="Times New Roman" w:cs="Times New Roman"/>
          <w:lang w:val="en-GB"/>
        </w:rPr>
        <w:t>2</w:t>
      </w:r>
      <w:r w:rsidR="006A03D4" w:rsidRPr="00464512">
        <w:rPr>
          <w:rFonts w:ascii="Times New Roman" w:hAnsi="Times New Roman" w:cs="Times New Roman"/>
          <w:lang w:val="en-GB"/>
        </w:rPr>
        <w:t xml:space="preserve"> </w:t>
      </w:r>
      <w:proofErr w:type="spellStart"/>
      <w:r w:rsidR="00075AE1" w:rsidRPr="00464512">
        <w:rPr>
          <w:rFonts w:ascii="Times New Roman" w:hAnsi="Times New Roman" w:cs="Times New Roman"/>
          <w:lang w:val="en-GB"/>
        </w:rPr>
        <w:t>mln</w:t>
      </w:r>
      <w:proofErr w:type="spellEnd"/>
      <w:r w:rsidRPr="00464512">
        <w:rPr>
          <w:rFonts w:ascii="Times New Roman" w:hAnsi="Times New Roman" w:cs="Times New Roman"/>
          <w:lang w:val="en-GB"/>
        </w:rPr>
        <w:t>.</w:t>
      </w:r>
    </w:p>
    <w:p w14:paraId="583A5F5A" w14:textId="7122AFE3" w:rsidR="00417BFC" w:rsidRPr="00464512" w:rsidRDefault="007E713D"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Compared to capital investments in construction and reconstruction of buildings, the impact of capital investments in machinery and equipment on the volume of sold products (goods, services) of enterprises is much smaller, however, based on a sufficiently high level of the correlation coefficient (0</w:t>
      </w:r>
      <w:r w:rsidR="00974A16">
        <w:rPr>
          <w:rFonts w:ascii="Times New Roman" w:hAnsi="Times New Roman" w:cs="Times New Roman"/>
          <w:lang w:val="en-GB"/>
        </w:rPr>
        <w:t>.</w:t>
      </w:r>
      <w:r w:rsidR="002F33AD" w:rsidRPr="00464512">
        <w:rPr>
          <w:rFonts w:ascii="Times New Roman" w:hAnsi="Times New Roman" w:cs="Times New Roman"/>
          <w:lang w:val="en-GB"/>
        </w:rPr>
        <w:t>670</w:t>
      </w:r>
      <w:r w:rsidRPr="00464512">
        <w:rPr>
          <w:rFonts w:ascii="Times New Roman" w:hAnsi="Times New Roman" w:cs="Times New Roman"/>
          <w:lang w:val="en-GB"/>
        </w:rPr>
        <w:t>), it allows us to state the significance of this type of capital investment for increasing the volume of sold products of agricultural, forestry and fishery enterprises (Fig. 3).</w:t>
      </w:r>
    </w:p>
    <w:p w14:paraId="407A7319" w14:textId="7BAF3654" w:rsidR="00ED3652" w:rsidRPr="00464512" w:rsidRDefault="00ED3652" w:rsidP="00ED3652">
      <w:pPr>
        <w:widowControl w:val="0"/>
        <w:spacing w:after="0" w:line="240" w:lineRule="auto"/>
        <w:contextualSpacing/>
        <w:rPr>
          <w:rFonts w:ascii="Times New Roman" w:hAnsi="Times New Roman" w:cs="Times New Roman"/>
          <w:noProof/>
          <w:lang w:val="en-GB" w:eastAsia="ru-RU"/>
        </w:rPr>
      </w:pPr>
    </w:p>
    <w:p w14:paraId="0BC4316D" w14:textId="541B79F9" w:rsidR="00ED3652" w:rsidRPr="00464512" w:rsidRDefault="00ED3652" w:rsidP="00ED3652">
      <w:pPr>
        <w:widowControl w:val="0"/>
        <w:spacing w:after="0" w:line="240" w:lineRule="auto"/>
        <w:contextualSpacing/>
        <w:rPr>
          <w:rFonts w:ascii="Times New Roman" w:hAnsi="Times New Roman" w:cs="Times New Roman"/>
          <w:lang w:val="en-GB"/>
        </w:rPr>
      </w:pPr>
      <w:r w:rsidRPr="00464512">
        <w:rPr>
          <w:noProof/>
          <w:lang w:val="en-GB"/>
        </w:rPr>
        <w:lastRenderedPageBreak/>
        <w:drawing>
          <wp:inline distT="0" distB="0" distL="0" distR="0" wp14:anchorId="3D233A58" wp14:editId="491AB9E5">
            <wp:extent cx="6119495" cy="2736000"/>
            <wp:effectExtent l="0" t="0" r="14605" b="7620"/>
            <wp:docPr id="8" name="Диаграмма 8">
              <a:extLst xmlns:a="http://schemas.openxmlformats.org/drawingml/2006/main">
                <a:ext uri="{FF2B5EF4-FFF2-40B4-BE49-F238E27FC236}">
                  <a16:creationId xmlns:a16="http://schemas.microsoft.com/office/drawing/2014/main" id="{F2821BD4-8C20-489E-AA62-C433BC9B9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11F3D4" w14:textId="2F4EF357" w:rsidR="00E6740D" w:rsidRPr="00464512" w:rsidRDefault="003A1C09" w:rsidP="00C4684C">
      <w:pPr>
        <w:pStyle w:val="Rrys"/>
        <w:rPr>
          <w:rFonts w:eastAsia="Times New Roman"/>
          <w:szCs w:val="20"/>
          <w:lang w:val="en-GB"/>
        </w:rPr>
      </w:pPr>
      <w:r w:rsidRPr="00464512">
        <w:rPr>
          <w:b/>
          <w:iCs/>
          <w:lang w:val="en-GB"/>
        </w:rPr>
        <w:t>Fig</w:t>
      </w:r>
      <w:r w:rsidR="00EC2209" w:rsidRPr="00464512">
        <w:rPr>
          <w:b/>
          <w:iCs/>
          <w:lang w:val="en-GB"/>
        </w:rPr>
        <w:t>. 3.</w:t>
      </w:r>
      <w:r w:rsidR="00EC2209" w:rsidRPr="00464512">
        <w:rPr>
          <w:i/>
          <w:lang w:val="en-GB"/>
        </w:rPr>
        <w:t xml:space="preserve"> </w:t>
      </w:r>
      <w:r w:rsidR="004F375F" w:rsidRPr="00464512">
        <w:rPr>
          <w:spacing w:val="-2"/>
          <w:lang w:val="en-GB"/>
        </w:rPr>
        <w:t>Correlation-regression dependence of the volume of products sold (goods, services) of enterprises on capital investments in machinery and equipment based on the results of activities in agriculture, forestry</w:t>
      </w:r>
      <w:r w:rsidR="00480D52">
        <w:rPr>
          <w:spacing w:val="-2"/>
          <w:lang w:val="en-GB"/>
        </w:rPr>
        <w:t>,</w:t>
      </w:r>
      <w:r w:rsidR="004F375F" w:rsidRPr="00464512">
        <w:rPr>
          <w:spacing w:val="-2"/>
          <w:lang w:val="en-GB"/>
        </w:rPr>
        <w:t xml:space="preserve"> and fisheries</w:t>
      </w:r>
      <w:r w:rsidRPr="00464512">
        <w:rPr>
          <w:spacing w:val="-2"/>
          <w:lang w:val="en-GB"/>
        </w:rPr>
        <w:t>, 2014-2023</w:t>
      </w:r>
      <w:r w:rsidR="00C4684C" w:rsidRPr="00464512">
        <w:rPr>
          <w:lang w:val="en-GB"/>
        </w:rPr>
        <w:t xml:space="preserve"> </w:t>
      </w:r>
      <w:r w:rsidR="00464512">
        <w:rPr>
          <w:lang w:val="en-GB"/>
        </w:rPr>
        <w:br/>
      </w:r>
      <w:r w:rsidR="004F375F" w:rsidRPr="00464512">
        <w:rPr>
          <w:rFonts w:eastAsia="Times New Roman"/>
          <w:szCs w:val="20"/>
          <w:lang w:val="en-GB"/>
        </w:rPr>
        <w:t xml:space="preserve">Source: formed by the authors using </w:t>
      </w:r>
      <w:r w:rsidR="00E6740D" w:rsidRPr="00464512">
        <w:rPr>
          <w:rFonts w:eastAsia="Times New Roman"/>
          <w:szCs w:val="20"/>
          <w:lang w:val="en-GB"/>
        </w:rPr>
        <w:t>(State Statistics Service of Ukraine, 2014-2023)</w:t>
      </w:r>
    </w:p>
    <w:p w14:paraId="33C484A3" w14:textId="77777777" w:rsidR="00FF4B76" w:rsidRPr="00464512" w:rsidRDefault="00FF4B76" w:rsidP="00C4684C">
      <w:pPr>
        <w:widowControl w:val="0"/>
        <w:spacing w:after="0" w:line="240" w:lineRule="auto"/>
        <w:ind w:firstLine="284"/>
        <w:contextualSpacing/>
        <w:jc w:val="both"/>
        <w:rPr>
          <w:rFonts w:ascii="Times New Roman" w:hAnsi="Times New Roman" w:cs="Times New Roman"/>
          <w:lang w:val="en-GB"/>
        </w:rPr>
      </w:pPr>
    </w:p>
    <w:p w14:paraId="01CD9CE4" w14:textId="1AF22D6C" w:rsidR="009D3980" w:rsidRPr="00464512" w:rsidRDefault="009D3980"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increase in the volume of capital investments in machinery and equipment leads to an increase in the volume of sales of products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by 11</w:t>
      </w:r>
      <w:r w:rsidR="00974A16">
        <w:rPr>
          <w:rFonts w:ascii="Times New Roman" w:hAnsi="Times New Roman" w:cs="Times New Roman"/>
          <w:lang w:val="en-GB"/>
        </w:rPr>
        <w:t>.</w:t>
      </w:r>
      <w:r w:rsidRPr="00464512">
        <w:rPr>
          <w:rFonts w:ascii="Times New Roman" w:hAnsi="Times New Roman" w:cs="Times New Roman"/>
          <w:lang w:val="en-GB"/>
        </w:rPr>
        <w:t>3</w:t>
      </w:r>
      <w:r w:rsidR="00AB328D" w:rsidRPr="00464512">
        <w:rPr>
          <w:rFonts w:ascii="Times New Roman" w:hAnsi="Times New Roman" w:cs="Times New Roman"/>
          <w:lang w:val="en-GB"/>
        </w:rPr>
        <w:t>83</w:t>
      </w:r>
      <w:r w:rsidRPr="00464512">
        <w:rPr>
          <w:rFonts w:ascii="Times New Roman" w:hAnsi="Times New Roman" w:cs="Times New Roman"/>
          <w:lang w:val="en-GB"/>
        </w:rPr>
        <w:t xml:space="preserve"> times. At the same time, the absence of capital investments in machinery and equipment will allow to obtain the volume of sales of products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by </w:t>
      </w:r>
      <w:r w:rsidR="00E97758" w:rsidRPr="00464512">
        <w:rPr>
          <w:rFonts w:ascii="Times New Roman" w:hAnsi="Times New Roman" w:cs="Times New Roman"/>
          <w:lang w:val="en-GB"/>
        </w:rPr>
        <w:t>$</w:t>
      </w:r>
      <w:r w:rsidR="00A70641" w:rsidRPr="00464512">
        <w:rPr>
          <w:rFonts w:ascii="Times New Roman" w:hAnsi="Times New Roman" w:cs="Times New Roman"/>
          <w:lang w:val="en-GB"/>
        </w:rPr>
        <w:t>3381</w:t>
      </w:r>
      <w:r w:rsidR="00974A16">
        <w:rPr>
          <w:rFonts w:ascii="Times New Roman" w:hAnsi="Times New Roman" w:cs="Times New Roman"/>
          <w:lang w:val="en-GB"/>
        </w:rPr>
        <w:t>.</w:t>
      </w:r>
      <w:r w:rsidR="00A70641" w:rsidRPr="00464512">
        <w:rPr>
          <w:rFonts w:ascii="Times New Roman" w:hAnsi="Times New Roman" w:cs="Times New Roman"/>
          <w:lang w:val="en-GB"/>
        </w:rPr>
        <w:t xml:space="preserve">7 </w:t>
      </w:r>
      <w:proofErr w:type="spellStart"/>
      <w:r w:rsidR="00075AE1" w:rsidRPr="00464512">
        <w:rPr>
          <w:rFonts w:ascii="Times New Roman" w:hAnsi="Times New Roman" w:cs="Times New Roman"/>
          <w:lang w:val="en-GB"/>
        </w:rPr>
        <w:t>mln</w:t>
      </w:r>
      <w:proofErr w:type="spellEnd"/>
      <w:r w:rsidRPr="00464512">
        <w:rPr>
          <w:rFonts w:ascii="Times New Roman" w:hAnsi="Times New Roman" w:cs="Times New Roman"/>
          <w:lang w:val="en-GB"/>
        </w:rPr>
        <w:t>.</w:t>
      </w:r>
    </w:p>
    <w:p w14:paraId="21321EC3" w14:textId="59527ACE" w:rsidR="003C279A" w:rsidRPr="00464512" w:rsidRDefault="009D3980"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dependence of the costs of production of products (goods, services) of enterprises on capital investments in machinery and equipment is also not characterized by high density</w:t>
      </w:r>
      <w:r w:rsidR="00480D52">
        <w:rPr>
          <w:rFonts w:ascii="Times New Roman" w:hAnsi="Times New Roman" w:cs="Times New Roman"/>
          <w:lang w:val="en-GB"/>
        </w:rPr>
        <w:t>;</w:t>
      </w:r>
      <w:r w:rsidRPr="00464512">
        <w:rPr>
          <w:rFonts w:ascii="Times New Roman" w:hAnsi="Times New Roman" w:cs="Times New Roman"/>
          <w:lang w:val="en-GB"/>
        </w:rPr>
        <w:t xml:space="preserve"> however, the level of influence is sufficient to conclude about the significance of this type of capital investment for the development of agricultural production (Fig. 4).</w:t>
      </w:r>
    </w:p>
    <w:p w14:paraId="7AD51B9C" w14:textId="77777777" w:rsidR="009D3980" w:rsidRPr="00464512" w:rsidRDefault="009D3980" w:rsidP="00DA4FDD">
      <w:pPr>
        <w:widowControl w:val="0"/>
        <w:spacing w:after="0" w:line="240" w:lineRule="auto"/>
        <w:ind w:firstLine="567"/>
        <w:contextualSpacing/>
        <w:jc w:val="both"/>
        <w:rPr>
          <w:rFonts w:ascii="Times New Roman" w:hAnsi="Times New Roman" w:cs="Times New Roman"/>
          <w:lang w:val="en-GB"/>
        </w:rPr>
      </w:pPr>
    </w:p>
    <w:p w14:paraId="33AFD8D5" w14:textId="745D7A03" w:rsidR="00193EFE" w:rsidRPr="00464512" w:rsidRDefault="00D0350B" w:rsidP="00D0350B">
      <w:pPr>
        <w:widowControl w:val="0"/>
        <w:spacing w:after="0" w:line="240" w:lineRule="auto"/>
        <w:contextualSpacing/>
        <w:rPr>
          <w:rFonts w:ascii="Times New Roman" w:hAnsi="Times New Roman" w:cs="Times New Roman"/>
          <w:lang w:val="en-GB"/>
        </w:rPr>
      </w:pPr>
      <w:r w:rsidRPr="00464512">
        <w:rPr>
          <w:noProof/>
          <w:lang w:val="en-GB"/>
        </w:rPr>
        <w:drawing>
          <wp:inline distT="0" distB="0" distL="0" distR="0" wp14:anchorId="411EB1D0" wp14:editId="0ACC6A2D">
            <wp:extent cx="6120000" cy="2736000"/>
            <wp:effectExtent l="0" t="0" r="14605" b="7620"/>
            <wp:docPr id="9" name="Диаграмма 9">
              <a:extLst xmlns:a="http://schemas.openxmlformats.org/drawingml/2006/main">
                <a:ext uri="{FF2B5EF4-FFF2-40B4-BE49-F238E27FC236}">
                  <a16:creationId xmlns:a16="http://schemas.microsoft.com/office/drawing/2014/main" id="{20EB5B2B-2378-4959-B898-EB8724BC5F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B89CA8" w14:textId="4C3E18DB" w:rsidR="00E6740D" w:rsidRPr="00464512" w:rsidRDefault="001B18C0" w:rsidP="00C4684C">
      <w:pPr>
        <w:pStyle w:val="Rrys"/>
        <w:rPr>
          <w:rFonts w:eastAsia="Times New Roman"/>
          <w:szCs w:val="20"/>
          <w:lang w:val="en-GB"/>
        </w:rPr>
      </w:pPr>
      <w:r w:rsidRPr="00464512">
        <w:rPr>
          <w:b/>
          <w:iCs/>
          <w:lang w:val="en-GB"/>
        </w:rPr>
        <w:t>Fig. 4.</w:t>
      </w:r>
      <w:r w:rsidRPr="00464512">
        <w:rPr>
          <w:i/>
          <w:lang w:val="en-GB"/>
        </w:rPr>
        <w:t xml:space="preserve"> </w:t>
      </w:r>
      <w:r w:rsidRPr="00464512">
        <w:rPr>
          <w:spacing w:val="-2"/>
          <w:lang w:val="en-GB"/>
        </w:rPr>
        <w:t>Correlation-regression dependence of costs for production of products (goods, services) of enterprises on capital investments in machinery and equipment based on the results of activities in agriculture, forestry</w:t>
      </w:r>
      <w:r w:rsidR="00480D52">
        <w:rPr>
          <w:spacing w:val="-2"/>
          <w:lang w:val="en-GB"/>
        </w:rPr>
        <w:t>,</w:t>
      </w:r>
      <w:r w:rsidRPr="00464512">
        <w:rPr>
          <w:spacing w:val="-2"/>
          <w:lang w:val="en-GB"/>
        </w:rPr>
        <w:t xml:space="preserve"> and fisheries, 2014-2023</w:t>
      </w:r>
      <w:r w:rsidR="00C4684C" w:rsidRPr="00464512">
        <w:rPr>
          <w:lang w:val="en-GB"/>
        </w:rPr>
        <w:t xml:space="preserve"> </w:t>
      </w:r>
      <w:r w:rsidR="00464512">
        <w:rPr>
          <w:rFonts w:eastAsia="Times New Roman"/>
          <w:szCs w:val="20"/>
          <w:lang w:val="en-GB"/>
        </w:rPr>
        <w:br/>
      </w:r>
      <w:r w:rsidR="003F6F2D" w:rsidRPr="00464512">
        <w:rPr>
          <w:rFonts w:eastAsia="Times New Roman"/>
          <w:szCs w:val="20"/>
          <w:lang w:val="en-GB"/>
        </w:rPr>
        <w:t xml:space="preserve">Source: formed by the authors using </w:t>
      </w:r>
      <w:r w:rsidR="00E6740D" w:rsidRPr="00464512">
        <w:rPr>
          <w:rFonts w:eastAsia="Times New Roman"/>
          <w:szCs w:val="20"/>
          <w:lang w:val="en-GB"/>
        </w:rPr>
        <w:t>(State Statistics Service of Ukraine, 2014-2023)</w:t>
      </w:r>
    </w:p>
    <w:p w14:paraId="38874794" w14:textId="77777777" w:rsidR="004623D1" w:rsidRPr="00464512" w:rsidRDefault="004623D1" w:rsidP="00C4684C">
      <w:pPr>
        <w:widowControl w:val="0"/>
        <w:spacing w:after="0" w:line="240" w:lineRule="auto"/>
        <w:ind w:firstLine="284"/>
        <w:contextualSpacing/>
        <w:jc w:val="both"/>
        <w:rPr>
          <w:rFonts w:ascii="Times New Roman" w:hAnsi="Times New Roman" w:cs="Times New Roman"/>
          <w:lang w:val="en-GB"/>
        </w:rPr>
      </w:pPr>
    </w:p>
    <w:p w14:paraId="25D16E41" w14:textId="359B315E" w:rsidR="00CE296C" w:rsidRDefault="00CE296C"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An increase in capital investments in machinery and equipment leads to an increase in the costs of production of products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by 8</w:t>
      </w:r>
      <w:r w:rsidR="00974A16">
        <w:rPr>
          <w:rFonts w:ascii="Times New Roman" w:hAnsi="Times New Roman" w:cs="Times New Roman"/>
          <w:lang w:val="en-GB"/>
        </w:rPr>
        <w:t>.</w:t>
      </w:r>
      <w:r w:rsidR="003F366F" w:rsidRPr="00464512">
        <w:rPr>
          <w:rFonts w:ascii="Times New Roman" w:hAnsi="Times New Roman" w:cs="Times New Roman"/>
          <w:lang w:val="en-GB"/>
        </w:rPr>
        <w:t>7714</w:t>
      </w:r>
      <w:r w:rsidRPr="00464512">
        <w:rPr>
          <w:rFonts w:ascii="Times New Roman" w:hAnsi="Times New Roman" w:cs="Times New Roman"/>
          <w:lang w:val="en-GB"/>
        </w:rPr>
        <w:t xml:space="preserve"> times. In the absence of capital investments (x = 0), the costs of production of products (goods, services) of enterprises will amount to </w:t>
      </w:r>
      <w:r w:rsidR="00E97758" w:rsidRPr="00464512">
        <w:rPr>
          <w:rFonts w:ascii="Times New Roman" w:hAnsi="Times New Roman" w:cs="Times New Roman"/>
          <w:lang w:val="en-GB"/>
        </w:rPr>
        <w:t>$</w:t>
      </w:r>
      <w:r w:rsidR="00B21BED" w:rsidRPr="00464512">
        <w:rPr>
          <w:rFonts w:ascii="Times New Roman" w:hAnsi="Times New Roman" w:cs="Times New Roman"/>
          <w:lang w:val="en-GB"/>
        </w:rPr>
        <w:t>3432</w:t>
      </w:r>
      <w:r w:rsidR="00974A16">
        <w:rPr>
          <w:rFonts w:ascii="Times New Roman" w:hAnsi="Times New Roman" w:cs="Times New Roman"/>
          <w:lang w:val="en-GB"/>
        </w:rPr>
        <w:t>.</w:t>
      </w:r>
      <w:r w:rsidR="00B21BED" w:rsidRPr="00464512">
        <w:rPr>
          <w:rFonts w:ascii="Times New Roman" w:hAnsi="Times New Roman" w:cs="Times New Roman"/>
          <w:lang w:val="en-GB"/>
        </w:rPr>
        <w:t xml:space="preserve">1 </w:t>
      </w:r>
      <w:proofErr w:type="spellStart"/>
      <w:r w:rsidR="00075AE1" w:rsidRPr="00464512">
        <w:rPr>
          <w:rFonts w:ascii="Times New Roman" w:hAnsi="Times New Roman" w:cs="Times New Roman"/>
          <w:lang w:val="en-GB"/>
        </w:rPr>
        <w:t>mln</w:t>
      </w:r>
      <w:proofErr w:type="spellEnd"/>
      <w:r w:rsidRPr="00464512">
        <w:rPr>
          <w:rFonts w:ascii="Times New Roman" w:hAnsi="Times New Roman" w:cs="Times New Roman"/>
          <w:lang w:val="en-GB"/>
        </w:rPr>
        <w:t>.</w:t>
      </w:r>
    </w:p>
    <w:p w14:paraId="25CF05CD" w14:textId="77777777" w:rsidR="00C35E8A" w:rsidRDefault="00C35E8A" w:rsidP="00C4684C">
      <w:pPr>
        <w:widowControl w:val="0"/>
        <w:spacing w:after="0" w:line="240" w:lineRule="auto"/>
        <w:ind w:firstLine="284"/>
        <w:contextualSpacing/>
        <w:jc w:val="both"/>
        <w:rPr>
          <w:rFonts w:ascii="Times New Roman" w:hAnsi="Times New Roman" w:cs="Times New Roman"/>
          <w:lang w:val="en-GB"/>
        </w:rPr>
      </w:pPr>
    </w:p>
    <w:p w14:paraId="2F81EC04" w14:textId="77777777" w:rsidR="00C35E8A" w:rsidRPr="00464512" w:rsidRDefault="00C35E8A" w:rsidP="00C4684C">
      <w:pPr>
        <w:widowControl w:val="0"/>
        <w:spacing w:after="0" w:line="240" w:lineRule="auto"/>
        <w:ind w:firstLine="284"/>
        <w:contextualSpacing/>
        <w:jc w:val="both"/>
        <w:rPr>
          <w:rFonts w:ascii="Times New Roman" w:hAnsi="Times New Roman" w:cs="Times New Roman"/>
          <w:lang w:val="en-GB"/>
        </w:rPr>
      </w:pPr>
    </w:p>
    <w:p w14:paraId="4948BBD0" w14:textId="61899621" w:rsidR="00CE296C" w:rsidRPr="00464512" w:rsidRDefault="00CE296C"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lastRenderedPageBreak/>
        <w:t xml:space="preserve">Intangible assets play an </w:t>
      </w:r>
      <w:r w:rsidR="00480D52">
        <w:rPr>
          <w:rFonts w:ascii="Times New Roman" w:hAnsi="Times New Roman" w:cs="Times New Roman"/>
          <w:lang w:val="en-GB"/>
        </w:rPr>
        <w:t>essential</w:t>
      </w:r>
      <w:r w:rsidRPr="00464512">
        <w:rPr>
          <w:rFonts w:ascii="Times New Roman" w:hAnsi="Times New Roman" w:cs="Times New Roman"/>
          <w:lang w:val="en-GB"/>
        </w:rPr>
        <w:t xml:space="preserve"> role in the development of agriculture, as they are related to intellectual property and the formation of intellectual businesses (</w:t>
      </w:r>
      <w:proofErr w:type="spellStart"/>
      <w:r w:rsidRPr="00464512">
        <w:rPr>
          <w:rFonts w:ascii="Times New Roman" w:hAnsi="Times New Roman" w:cs="Times New Roman"/>
          <w:lang w:val="en-GB"/>
        </w:rPr>
        <w:t>Chikov</w:t>
      </w:r>
      <w:proofErr w:type="spellEnd"/>
      <w:r w:rsidRPr="00464512">
        <w:rPr>
          <w:rFonts w:ascii="Times New Roman" w:hAnsi="Times New Roman" w:cs="Times New Roman"/>
          <w:lang w:val="en-GB"/>
        </w:rPr>
        <w:t xml:space="preserve"> et al. 2023</w:t>
      </w:r>
      <w:r w:rsidR="00055E3B" w:rsidRPr="00464512">
        <w:rPr>
          <w:rFonts w:ascii="Times New Roman" w:hAnsi="Times New Roman" w:cs="Times New Roman"/>
          <w:lang w:val="en-GB"/>
        </w:rPr>
        <w:t>b</w:t>
      </w:r>
      <w:r w:rsidRPr="00464512">
        <w:rPr>
          <w:rFonts w:ascii="Times New Roman" w:hAnsi="Times New Roman" w:cs="Times New Roman"/>
          <w:lang w:val="en-GB"/>
        </w:rPr>
        <w:t>). While capital investments in concessions, patents, licenses, trademarks</w:t>
      </w:r>
      <w:r w:rsidR="00480D52">
        <w:rPr>
          <w:rFonts w:ascii="Times New Roman" w:hAnsi="Times New Roman" w:cs="Times New Roman"/>
          <w:lang w:val="en-GB"/>
        </w:rPr>
        <w:t>,</w:t>
      </w:r>
      <w:r w:rsidRPr="00464512">
        <w:rPr>
          <w:rFonts w:ascii="Times New Roman" w:hAnsi="Times New Roman" w:cs="Times New Roman"/>
          <w:lang w:val="en-GB"/>
        </w:rPr>
        <w:t xml:space="preserve"> and similar rights do not significantly affect the increase in sales or production costs, capital investments in software have a close relationship with the sales volume of products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(Fig. 5).</w:t>
      </w:r>
    </w:p>
    <w:p w14:paraId="08D42A1C" w14:textId="2C84A732" w:rsidR="002202E5" w:rsidRPr="00464512" w:rsidRDefault="002202E5" w:rsidP="002202E5">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Thus, an increase in the volume of capital investments in the purchase of software leads to an increase in the volume of sold products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If capital investments are not made (x = 0), then the volume of sold products (goods, services) of enterprises will be $4369</w:t>
      </w:r>
      <w:r w:rsidR="00974A16">
        <w:rPr>
          <w:rFonts w:ascii="Times New Roman" w:hAnsi="Times New Roman" w:cs="Times New Roman"/>
          <w:lang w:val="en-GB"/>
        </w:rPr>
        <w:t>.</w:t>
      </w:r>
      <w:r w:rsidRPr="00464512">
        <w:rPr>
          <w:rFonts w:ascii="Times New Roman" w:hAnsi="Times New Roman" w:cs="Times New Roman"/>
          <w:lang w:val="en-GB"/>
        </w:rPr>
        <w:t xml:space="preserve">3 </w:t>
      </w:r>
      <w:proofErr w:type="spellStart"/>
      <w:r w:rsidRPr="00464512">
        <w:rPr>
          <w:rFonts w:ascii="Times New Roman" w:hAnsi="Times New Roman" w:cs="Times New Roman"/>
          <w:lang w:val="en-GB"/>
        </w:rPr>
        <w:t>mln</w:t>
      </w:r>
      <w:proofErr w:type="spellEnd"/>
      <w:r w:rsidRPr="00464512">
        <w:rPr>
          <w:rFonts w:ascii="Times New Roman" w:hAnsi="Times New Roman" w:cs="Times New Roman"/>
          <w:lang w:val="en-GB"/>
        </w:rPr>
        <w:t>.</w:t>
      </w:r>
    </w:p>
    <w:p w14:paraId="54860C1B" w14:textId="5FD0FF16" w:rsidR="00531C9D" w:rsidRPr="00464512" w:rsidRDefault="00531C9D" w:rsidP="00DA4FDD">
      <w:pPr>
        <w:widowControl w:val="0"/>
        <w:spacing w:after="0" w:line="240" w:lineRule="auto"/>
        <w:ind w:firstLine="567"/>
        <w:contextualSpacing/>
        <w:jc w:val="both"/>
        <w:rPr>
          <w:rFonts w:ascii="Times New Roman" w:hAnsi="Times New Roman" w:cs="Times New Roman"/>
          <w:lang w:val="en-GB"/>
        </w:rPr>
      </w:pPr>
    </w:p>
    <w:p w14:paraId="2BEBD382" w14:textId="5DCDE88F" w:rsidR="006D665C" w:rsidRPr="00464512" w:rsidRDefault="00D60180" w:rsidP="00D60180">
      <w:pPr>
        <w:widowControl w:val="0"/>
        <w:spacing w:after="0" w:line="240" w:lineRule="auto"/>
        <w:contextualSpacing/>
        <w:rPr>
          <w:rFonts w:ascii="Times New Roman" w:hAnsi="Times New Roman" w:cs="Times New Roman"/>
          <w:lang w:val="en-GB"/>
        </w:rPr>
      </w:pPr>
      <w:r w:rsidRPr="00464512">
        <w:rPr>
          <w:noProof/>
          <w:lang w:val="en-GB"/>
        </w:rPr>
        <w:drawing>
          <wp:inline distT="0" distB="0" distL="0" distR="0" wp14:anchorId="3F5F93D6" wp14:editId="3207C90C">
            <wp:extent cx="6119495" cy="2736000"/>
            <wp:effectExtent l="0" t="0" r="14605" b="7620"/>
            <wp:docPr id="10" name="Диаграмма 10">
              <a:extLst xmlns:a="http://schemas.openxmlformats.org/drawingml/2006/main">
                <a:ext uri="{FF2B5EF4-FFF2-40B4-BE49-F238E27FC236}">
                  <a16:creationId xmlns:a16="http://schemas.microsoft.com/office/drawing/2014/main" id="{531BF04A-54C1-4218-A77C-8A1977B5EE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69B3BC" w14:textId="3529A35E" w:rsidR="00E6740D" w:rsidRPr="00464512" w:rsidRDefault="00770267" w:rsidP="00C4684C">
      <w:pPr>
        <w:pStyle w:val="Rrys"/>
        <w:rPr>
          <w:rFonts w:eastAsia="Times New Roman"/>
          <w:szCs w:val="20"/>
          <w:lang w:val="en-GB"/>
        </w:rPr>
      </w:pPr>
      <w:r w:rsidRPr="00464512">
        <w:rPr>
          <w:b/>
          <w:iCs/>
          <w:lang w:val="en-GB"/>
        </w:rPr>
        <w:t>Fig</w:t>
      </w:r>
      <w:r w:rsidR="00EC2209" w:rsidRPr="00464512">
        <w:rPr>
          <w:b/>
          <w:iCs/>
          <w:lang w:val="en-GB"/>
        </w:rPr>
        <w:t>. 5.</w:t>
      </w:r>
      <w:r w:rsidR="00EC2209" w:rsidRPr="00464512">
        <w:rPr>
          <w:i/>
          <w:lang w:val="en-GB"/>
        </w:rPr>
        <w:t xml:space="preserve"> </w:t>
      </w:r>
      <w:r w:rsidRPr="00464512">
        <w:rPr>
          <w:spacing w:val="-2"/>
          <w:lang w:val="en-GB"/>
        </w:rPr>
        <w:t>Correlation-regression dependence of the volume of products sold (goods, services) of enterprises on capital investments in the purchase of software based on the results of activities in agriculture, forestry</w:t>
      </w:r>
      <w:r w:rsidR="00480D52">
        <w:rPr>
          <w:spacing w:val="-2"/>
          <w:lang w:val="en-GB"/>
        </w:rPr>
        <w:t>,</w:t>
      </w:r>
      <w:r w:rsidRPr="00464512">
        <w:rPr>
          <w:spacing w:val="-2"/>
          <w:lang w:val="en-GB"/>
        </w:rPr>
        <w:t xml:space="preserve"> and fisheries, 2014-2023</w:t>
      </w:r>
      <w:r w:rsidR="00C4684C" w:rsidRPr="00464512">
        <w:rPr>
          <w:spacing w:val="-2"/>
          <w:lang w:val="en-GB"/>
        </w:rPr>
        <w:t xml:space="preserve"> </w:t>
      </w:r>
      <w:r w:rsidR="00464512">
        <w:rPr>
          <w:rFonts w:eastAsia="Times New Roman"/>
          <w:szCs w:val="20"/>
          <w:lang w:val="en-GB"/>
        </w:rPr>
        <w:br/>
      </w:r>
      <w:r w:rsidR="007977B1" w:rsidRPr="00464512">
        <w:rPr>
          <w:rFonts w:eastAsia="Times New Roman"/>
          <w:szCs w:val="20"/>
          <w:lang w:val="en-GB"/>
        </w:rPr>
        <w:t xml:space="preserve">Source: formed by the authors using </w:t>
      </w:r>
      <w:r w:rsidR="00E6740D" w:rsidRPr="00464512">
        <w:rPr>
          <w:rFonts w:eastAsia="Times New Roman"/>
          <w:szCs w:val="20"/>
          <w:lang w:val="en-GB"/>
        </w:rPr>
        <w:t>(State Statistics Service of Ukraine, 2014-2023)</w:t>
      </w:r>
    </w:p>
    <w:p w14:paraId="547F3D5F" w14:textId="77777777" w:rsidR="004F1467" w:rsidRPr="00464512" w:rsidRDefault="004F1467" w:rsidP="00C4684C">
      <w:pPr>
        <w:widowControl w:val="0"/>
        <w:spacing w:after="0" w:line="240" w:lineRule="auto"/>
        <w:ind w:firstLine="284"/>
        <w:contextualSpacing/>
        <w:jc w:val="both"/>
        <w:rPr>
          <w:rFonts w:ascii="Times New Roman" w:hAnsi="Times New Roman" w:cs="Times New Roman"/>
          <w:lang w:val="en-GB"/>
        </w:rPr>
      </w:pPr>
    </w:p>
    <w:p w14:paraId="000A9623" w14:textId="71078526" w:rsidR="00BB50FF" w:rsidRPr="00464512" w:rsidRDefault="007D66F5" w:rsidP="00C4684C">
      <w:pPr>
        <w:widowControl w:val="0"/>
        <w:spacing w:after="0" w:line="240" w:lineRule="auto"/>
        <w:ind w:firstLine="284"/>
        <w:contextualSpacing/>
        <w:jc w:val="both"/>
        <w:rPr>
          <w:rFonts w:ascii="Times New Roman" w:hAnsi="Times New Roman" w:cs="Times New Roman"/>
          <w:spacing w:val="-4"/>
          <w:lang w:val="en-GB"/>
        </w:rPr>
      </w:pPr>
      <w:r w:rsidRPr="00464512">
        <w:rPr>
          <w:rFonts w:ascii="Times New Roman" w:hAnsi="Times New Roman" w:cs="Times New Roman"/>
          <w:spacing w:val="-4"/>
          <w:lang w:val="en-GB"/>
        </w:rPr>
        <w:t xml:space="preserve">Capital investments in software acquisition also lead to an increase in the costs of production of products (goods, services) of agricultural, forestry and fishery enterprises, since the density of communication is </w:t>
      </w:r>
      <w:r w:rsidR="00480D52">
        <w:rPr>
          <w:rFonts w:ascii="Times New Roman" w:hAnsi="Times New Roman" w:cs="Times New Roman"/>
          <w:spacing w:val="-4"/>
          <w:lang w:val="en-GB"/>
        </w:rPr>
        <w:t>relatively</w:t>
      </w:r>
      <w:r w:rsidRPr="00464512">
        <w:rPr>
          <w:rFonts w:ascii="Times New Roman" w:hAnsi="Times New Roman" w:cs="Times New Roman"/>
          <w:spacing w:val="-4"/>
          <w:lang w:val="en-GB"/>
        </w:rPr>
        <w:t xml:space="preserve"> high, and the regression equation characterizes an increase in costs by </w:t>
      </w:r>
      <w:r w:rsidR="00524AE3" w:rsidRPr="00464512">
        <w:rPr>
          <w:rFonts w:ascii="Times New Roman" w:hAnsi="Times New Roman" w:cs="Times New Roman"/>
          <w:spacing w:val="-4"/>
          <w:lang w:val="en-GB"/>
        </w:rPr>
        <w:t>4762</w:t>
      </w:r>
      <w:r w:rsidRPr="00464512">
        <w:rPr>
          <w:rFonts w:ascii="Times New Roman" w:hAnsi="Times New Roman" w:cs="Times New Roman"/>
          <w:spacing w:val="-4"/>
          <w:lang w:val="en-GB"/>
        </w:rPr>
        <w:t xml:space="preserve"> times with an increase in capital investments in software acquisition (Fig. 6). If capital investments are not made (x = 0), then the costs of production of products (goods, services) of agricultural, forestry and fishery enterprises will amount to </w:t>
      </w:r>
      <w:r w:rsidR="00E97758" w:rsidRPr="00464512">
        <w:rPr>
          <w:rFonts w:ascii="Times New Roman" w:hAnsi="Times New Roman" w:cs="Times New Roman"/>
          <w:spacing w:val="-4"/>
          <w:lang w:val="en-GB"/>
        </w:rPr>
        <w:t>$</w:t>
      </w:r>
      <w:r w:rsidR="00FA2558" w:rsidRPr="00464512">
        <w:rPr>
          <w:rFonts w:ascii="Times New Roman" w:hAnsi="Times New Roman" w:cs="Times New Roman"/>
          <w:spacing w:val="-4"/>
          <w:lang w:val="en-GB"/>
        </w:rPr>
        <w:t>4678</w:t>
      </w:r>
      <w:r w:rsidR="00974A16">
        <w:rPr>
          <w:rFonts w:ascii="Times New Roman" w:hAnsi="Times New Roman" w:cs="Times New Roman"/>
          <w:spacing w:val="-4"/>
          <w:lang w:val="en-GB"/>
        </w:rPr>
        <w:t>.</w:t>
      </w:r>
      <w:r w:rsidR="00FA2558" w:rsidRPr="00464512">
        <w:rPr>
          <w:rFonts w:ascii="Times New Roman" w:hAnsi="Times New Roman" w:cs="Times New Roman"/>
          <w:spacing w:val="-4"/>
          <w:lang w:val="en-GB"/>
        </w:rPr>
        <w:t xml:space="preserve">7 </w:t>
      </w:r>
      <w:proofErr w:type="spellStart"/>
      <w:r w:rsidR="00075AE1" w:rsidRPr="00464512">
        <w:rPr>
          <w:rFonts w:ascii="Times New Roman" w:hAnsi="Times New Roman" w:cs="Times New Roman"/>
          <w:spacing w:val="-4"/>
          <w:lang w:val="en-GB"/>
        </w:rPr>
        <w:t>mln</w:t>
      </w:r>
      <w:proofErr w:type="spellEnd"/>
      <w:r w:rsidRPr="00464512">
        <w:rPr>
          <w:rFonts w:ascii="Times New Roman" w:hAnsi="Times New Roman" w:cs="Times New Roman"/>
          <w:spacing w:val="-4"/>
          <w:lang w:val="en-GB"/>
        </w:rPr>
        <w:t>.</w:t>
      </w:r>
    </w:p>
    <w:p w14:paraId="66423E63" w14:textId="77777777" w:rsidR="007D66F5" w:rsidRPr="00464512" w:rsidRDefault="007D66F5" w:rsidP="00DA4FDD">
      <w:pPr>
        <w:widowControl w:val="0"/>
        <w:spacing w:after="0" w:line="240" w:lineRule="auto"/>
        <w:ind w:firstLine="567"/>
        <w:contextualSpacing/>
        <w:jc w:val="both"/>
        <w:rPr>
          <w:rFonts w:ascii="Times New Roman" w:hAnsi="Times New Roman" w:cs="Times New Roman"/>
          <w:lang w:val="en-GB"/>
        </w:rPr>
      </w:pPr>
    </w:p>
    <w:p w14:paraId="14D124FB" w14:textId="6AF6A172" w:rsidR="00E40469" w:rsidRPr="00464512" w:rsidRDefault="00524AE3" w:rsidP="00524AE3">
      <w:pPr>
        <w:widowControl w:val="0"/>
        <w:spacing w:after="0" w:line="240" w:lineRule="auto"/>
        <w:contextualSpacing/>
        <w:rPr>
          <w:rFonts w:ascii="Times New Roman" w:hAnsi="Times New Roman" w:cs="Times New Roman"/>
          <w:lang w:val="en-GB"/>
        </w:rPr>
      </w:pPr>
      <w:r w:rsidRPr="00464512">
        <w:rPr>
          <w:noProof/>
          <w:lang w:val="en-GB"/>
        </w:rPr>
        <w:drawing>
          <wp:inline distT="0" distB="0" distL="0" distR="0" wp14:anchorId="129C753F" wp14:editId="567CE7B8">
            <wp:extent cx="6119495" cy="2736000"/>
            <wp:effectExtent l="0" t="0" r="14605" b="7620"/>
            <wp:docPr id="11" name="Диаграмма 11">
              <a:extLst xmlns:a="http://schemas.openxmlformats.org/drawingml/2006/main">
                <a:ext uri="{FF2B5EF4-FFF2-40B4-BE49-F238E27FC236}">
                  <a16:creationId xmlns:a16="http://schemas.microsoft.com/office/drawing/2014/main" id="{5658063B-6FEA-4883-BC17-ED7B528C45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E41F0A" w14:textId="196D1FA6" w:rsidR="00E6740D" w:rsidRPr="00464512" w:rsidRDefault="003A5369" w:rsidP="00C4684C">
      <w:pPr>
        <w:pStyle w:val="Rrys"/>
        <w:rPr>
          <w:rFonts w:eastAsia="Times New Roman"/>
          <w:szCs w:val="20"/>
          <w:lang w:val="en-GB"/>
        </w:rPr>
      </w:pPr>
      <w:r w:rsidRPr="00464512">
        <w:rPr>
          <w:b/>
          <w:iCs/>
          <w:lang w:val="en-GB"/>
        </w:rPr>
        <w:t>Fig. 6.</w:t>
      </w:r>
      <w:r w:rsidRPr="00464512">
        <w:rPr>
          <w:i/>
          <w:lang w:val="en-GB"/>
        </w:rPr>
        <w:t xml:space="preserve"> </w:t>
      </w:r>
      <w:r w:rsidRPr="00464512">
        <w:rPr>
          <w:spacing w:val="-2"/>
          <w:lang w:val="en-GB"/>
        </w:rPr>
        <w:t>Correlation-regression dependence of costs for production of products (goods, services) of enterprises on capital investments in the purchase of software based on the results of activities in agriculture, forestry</w:t>
      </w:r>
      <w:r w:rsidR="00480D52">
        <w:rPr>
          <w:spacing w:val="-2"/>
          <w:lang w:val="en-GB"/>
        </w:rPr>
        <w:t>,</w:t>
      </w:r>
      <w:r w:rsidRPr="00464512">
        <w:rPr>
          <w:spacing w:val="-2"/>
          <w:lang w:val="en-GB"/>
        </w:rPr>
        <w:t xml:space="preserve"> and fisheries, 2014-2023</w:t>
      </w:r>
      <w:r w:rsidR="00C4684C" w:rsidRPr="00464512">
        <w:rPr>
          <w:spacing w:val="-2"/>
          <w:lang w:val="en-GB"/>
        </w:rPr>
        <w:t xml:space="preserve"> </w:t>
      </w:r>
      <w:r w:rsidR="00464512">
        <w:rPr>
          <w:rFonts w:eastAsia="Times New Roman"/>
          <w:szCs w:val="20"/>
          <w:lang w:val="en-GB"/>
        </w:rPr>
        <w:br/>
      </w:r>
      <w:r w:rsidR="000A39CF" w:rsidRPr="00464512">
        <w:rPr>
          <w:rFonts w:eastAsia="Times New Roman"/>
          <w:szCs w:val="20"/>
          <w:lang w:val="en-GB"/>
        </w:rPr>
        <w:t xml:space="preserve">Source: formed by the authors using </w:t>
      </w:r>
      <w:r w:rsidR="00E6740D" w:rsidRPr="00464512">
        <w:rPr>
          <w:rFonts w:eastAsia="Times New Roman"/>
          <w:szCs w:val="20"/>
          <w:lang w:val="en-GB"/>
        </w:rPr>
        <w:t>(State Statistics Service of Ukraine, 2014-2023)</w:t>
      </w:r>
    </w:p>
    <w:p w14:paraId="41938E6C" w14:textId="0A062A7B" w:rsidR="00D40B87" w:rsidRPr="00C35E8A" w:rsidRDefault="00D40B87" w:rsidP="00C4684C">
      <w:pPr>
        <w:widowControl w:val="0"/>
        <w:spacing w:after="0" w:line="240" w:lineRule="auto"/>
        <w:ind w:firstLine="284"/>
        <w:contextualSpacing/>
        <w:jc w:val="both"/>
        <w:rPr>
          <w:rFonts w:ascii="Times New Roman" w:hAnsi="Times New Roman" w:cs="Times New Roman"/>
          <w:spacing w:val="-2"/>
          <w:lang w:val="en-GB"/>
        </w:rPr>
      </w:pPr>
      <w:r w:rsidRPr="00C35E8A">
        <w:rPr>
          <w:rFonts w:ascii="Times New Roman" w:hAnsi="Times New Roman" w:cs="Times New Roman"/>
          <w:spacing w:val="-2"/>
          <w:lang w:val="en-GB"/>
        </w:rPr>
        <w:lastRenderedPageBreak/>
        <w:t>Evaluating the results of correlation-regression analysis, we can conclude that it is most advisable to make capital investments in intangible assets – the purchase of software. Such an investment allows you to get a</w:t>
      </w:r>
      <w:r w:rsidR="00C35E8A" w:rsidRPr="00C35E8A">
        <w:rPr>
          <w:rFonts w:ascii="Times New Roman" w:hAnsi="Times New Roman" w:cs="Times New Roman"/>
          <w:spacing w:val="-2"/>
          <w:lang w:val="en-GB"/>
        </w:rPr>
        <w:t> </w:t>
      </w:r>
      <w:r w:rsidRPr="00C35E8A">
        <w:rPr>
          <w:rFonts w:ascii="Times New Roman" w:hAnsi="Times New Roman" w:cs="Times New Roman"/>
          <w:spacing w:val="-2"/>
          <w:lang w:val="en-GB"/>
        </w:rPr>
        <w:t>much higher income than when investing in any other type of tangible assets, which indicates a sufficiently high level of implementation of information technologies in the sphere of agricultural production in the period 2014-2023.</w:t>
      </w:r>
    </w:p>
    <w:p w14:paraId="12818C73" w14:textId="65134FC5" w:rsidR="00A268D2" w:rsidRPr="00464512" w:rsidRDefault="00A268D2"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At the same time, capital investments in other types of intangible assets: concessions, patents, licenses, trademarks and similar rights have all the possibilities to ensure a high level of income from the activities of agricultural enterprises, however, this potential is not used due to the lack of innovation markets in Ukraine, within which conditions are formed for intellectual business in the agricultural sector in particular and the national economy in general (</w:t>
      </w:r>
      <w:proofErr w:type="spellStart"/>
      <w:r w:rsidRPr="00464512">
        <w:rPr>
          <w:rFonts w:ascii="Times New Roman" w:hAnsi="Times New Roman" w:cs="Times New Roman"/>
          <w:lang w:val="en-GB"/>
        </w:rPr>
        <w:t>Tomashuk</w:t>
      </w:r>
      <w:proofErr w:type="spellEnd"/>
      <w:r w:rsidRPr="00464512">
        <w:rPr>
          <w:rFonts w:ascii="Times New Roman" w:hAnsi="Times New Roman" w:cs="Times New Roman"/>
          <w:lang w:val="en-GB"/>
        </w:rPr>
        <w:t xml:space="preserve"> et al. 2025).</w:t>
      </w:r>
    </w:p>
    <w:p w14:paraId="65C0C8F3" w14:textId="3EE9DADC" w:rsidR="00F37F1D" w:rsidRPr="00464512" w:rsidRDefault="00F37F1D"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The absence of a structured institutional environment for commercializing intellectual property, combined with limited integration of agricultural enterprises into innovation ecosystems, significantly restrains the transformative impact of such investments. This leads to underutilization of intangible assets that could otherwise enhance competitiveness, promote technology transfer, and stimulate value-added production in agribusiness. Addressing this gap requires coordinated policy efforts aimed at fostering innovation infrastructure, protecting intellectual rights, and stimulating demand for </w:t>
      </w:r>
      <w:proofErr w:type="spellStart"/>
      <w:r w:rsidRPr="00464512">
        <w:rPr>
          <w:rFonts w:ascii="Times New Roman" w:hAnsi="Times New Roman" w:cs="Times New Roman"/>
          <w:lang w:val="en-GB"/>
        </w:rPr>
        <w:t>agri</w:t>
      </w:r>
      <w:proofErr w:type="spellEnd"/>
      <w:r w:rsidRPr="00464512">
        <w:rPr>
          <w:rFonts w:ascii="Times New Roman" w:hAnsi="Times New Roman" w:cs="Times New Roman"/>
          <w:lang w:val="en-GB"/>
        </w:rPr>
        <w:t>-innovations on both domestic and international markets.</w:t>
      </w:r>
    </w:p>
    <w:p w14:paraId="1B2B2CF3" w14:textId="102D5468" w:rsidR="00D0092E" w:rsidRPr="00464512" w:rsidRDefault="00D0092E"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Using correlation-regression analysis, we proved the unattractiveness of land as a resource for capital investments in order to increase the volume of product sales and stimulate the production process. On the one hand, this result indicates that although land is the most </w:t>
      </w:r>
      <w:r w:rsidR="00480D52">
        <w:rPr>
          <w:rFonts w:ascii="Times New Roman" w:hAnsi="Times New Roman" w:cs="Times New Roman"/>
          <w:lang w:val="en-GB"/>
        </w:rPr>
        <w:t>essential</w:t>
      </w:r>
      <w:r w:rsidRPr="00464512">
        <w:rPr>
          <w:rFonts w:ascii="Times New Roman" w:hAnsi="Times New Roman" w:cs="Times New Roman"/>
          <w:lang w:val="en-GB"/>
        </w:rPr>
        <w:t xml:space="preserve"> factor for agriculture, it alone does not solve the problem of the development of agricultural production. Buildings, machinery, and equipment are also important in the modern economy.</w:t>
      </w:r>
    </w:p>
    <w:p w14:paraId="62682537" w14:textId="77777777" w:rsidR="00D0092E" w:rsidRPr="00464512" w:rsidRDefault="00D0092E"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Furthermore, the empirical findings suggest that land, while foundational, functions primarily as a passive asset that requires active infrastructural and technological augmentation to generate measurable returns.</w:t>
      </w:r>
    </w:p>
    <w:p w14:paraId="50689EFF" w14:textId="21CC4E03" w:rsidR="00D0092E" w:rsidRPr="00C35E8A" w:rsidRDefault="00D0092E" w:rsidP="00C4684C">
      <w:pPr>
        <w:widowControl w:val="0"/>
        <w:spacing w:after="0" w:line="240" w:lineRule="auto"/>
        <w:ind w:firstLine="284"/>
        <w:contextualSpacing/>
        <w:jc w:val="both"/>
        <w:rPr>
          <w:rFonts w:ascii="Times New Roman" w:hAnsi="Times New Roman" w:cs="Times New Roman"/>
          <w:spacing w:val="-4"/>
          <w:lang w:val="en-GB"/>
        </w:rPr>
      </w:pPr>
      <w:r w:rsidRPr="00C35E8A">
        <w:rPr>
          <w:rFonts w:ascii="Times New Roman" w:hAnsi="Times New Roman" w:cs="Times New Roman"/>
          <w:spacing w:val="-4"/>
          <w:lang w:val="en-GB"/>
        </w:rPr>
        <w:t>Intangible assets generally play a decisive role and are able to ensure not only an increase in revenue from product sales but also the market success of the domestic manufacturer (Davydenko et al. 2021</w:t>
      </w:r>
      <w:r w:rsidR="004623D1" w:rsidRPr="00C35E8A">
        <w:rPr>
          <w:rFonts w:ascii="Times New Roman" w:hAnsi="Times New Roman" w:cs="Times New Roman"/>
          <w:spacing w:val="-4"/>
          <w:lang w:val="en-GB"/>
        </w:rPr>
        <w:t>,</w:t>
      </w:r>
      <w:r w:rsidR="00004047" w:rsidRPr="00C35E8A">
        <w:rPr>
          <w:rFonts w:ascii="Times New Roman" w:hAnsi="Times New Roman" w:cs="Times New Roman"/>
          <w:spacing w:val="-4"/>
          <w:lang w:val="en-GB"/>
        </w:rPr>
        <w:t xml:space="preserve"> Koval et al. 2021</w:t>
      </w:r>
      <w:r w:rsidRPr="00C35E8A">
        <w:rPr>
          <w:rFonts w:ascii="Times New Roman" w:hAnsi="Times New Roman" w:cs="Times New Roman"/>
          <w:spacing w:val="-4"/>
          <w:lang w:val="en-GB"/>
        </w:rPr>
        <w:t>).</w:t>
      </w:r>
    </w:p>
    <w:p w14:paraId="7296CDBC" w14:textId="55037364" w:rsidR="00A268D2" w:rsidRPr="00464512" w:rsidRDefault="00D0092E"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These include innovations, proprietary technologies, branding elements, and digital solutions that enhance the adaptive capacity and strategic resilience of agricultural enterprises. As such, future capital investment strategies should prioritize a balanced portfolio that integrates physical and intangible components to maximize value creation and ensure sustainable competitiveness.</w:t>
      </w:r>
    </w:p>
    <w:p w14:paraId="7E83BD5A" w14:textId="0A63D642" w:rsidR="00A268D2" w:rsidRPr="00C35E8A" w:rsidRDefault="00A268D2" w:rsidP="00C4684C">
      <w:pPr>
        <w:widowControl w:val="0"/>
        <w:spacing w:after="0" w:line="240" w:lineRule="auto"/>
        <w:ind w:firstLine="284"/>
        <w:contextualSpacing/>
        <w:jc w:val="both"/>
        <w:rPr>
          <w:rFonts w:ascii="Times New Roman" w:hAnsi="Times New Roman" w:cs="Times New Roman"/>
          <w:spacing w:val="-2"/>
          <w:lang w:val="en-GB"/>
        </w:rPr>
      </w:pPr>
      <w:r w:rsidRPr="00C35E8A">
        <w:rPr>
          <w:rFonts w:ascii="Times New Roman" w:hAnsi="Times New Roman" w:cs="Times New Roman"/>
          <w:spacing w:val="-2"/>
          <w:lang w:val="en-GB"/>
        </w:rPr>
        <w:t>On the other hand, investments should ensure improvement of land quality, its reproduction</w:t>
      </w:r>
      <w:r w:rsidR="00480D52" w:rsidRPr="00C35E8A">
        <w:rPr>
          <w:rFonts w:ascii="Times New Roman" w:hAnsi="Times New Roman" w:cs="Times New Roman"/>
          <w:spacing w:val="-2"/>
          <w:lang w:val="en-GB"/>
        </w:rPr>
        <w:t>,</w:t>
      </w:r>
      <w:r w:rsidRPr="00C35E8A">
        <w:rPr>
          <w:rFonts w:ascii="Times New Roman" w:hAnsi="Times New Roman" w:cs="Times New Roman"/>
          <w:spacing w:val="-2"/>
          <w:lang w:val="en-GB"/>
        </w:rPr>
        <w:t xml:space="preserve"> and productivity (</w:t>
      </w:r>
      <w:proofErr w:type="spellStart"/>
      <w:r w:rsidRPr="00C35E8A">
        <w:rPr>
          <w:rFonts w:ascii="Times New Roman" w:hAnsi="Times New Roman" w:cs="Times New Roman"/>
          <w:spacing w:val="-2"/>
          <w:lang w:val="en-GB"/>
        </w:rPr>
        <w:t>Kaletnik</w:t>
      </w:r>
      <w:proofErr w:type="spellEnd"/>
      <w:r w:rsidRPr="00C35E8A">
        <w:rPr>
          <w:rFonts w:ascii="Times New Roman" w:hAnsi="Times New Roman" w:cs="Times New Roman"/>
          <w:spacing w:val="-2"/>
          <w:lang w:val="en-GB"/>
        </w:rPr>
        <w:t xml:space="preserve"> &amp; </w:t>
      </w:r>
      <w:proofErr w:type="spellStart"/>
      <w:r w:rsidRPr="00C35E8A">
        <w:rPr>
          <w:rFonts w:ascii="Times New Roman" w:hAnsi="Times New Roman" w:cs="Times New Roman"/>
          <w:spacing w:val="-2"/>
          <w:lang w:val="en-GB"/>
        </w:rPr>
        <w:t>Lutkovska</w:t>
      </w:r>
      <w:proofErr w:type="spellEnd"/>
      <w:r w:rsidRPr="00C35E8A">
        <w:rPr>
          <w:rFonts w:ascii="Times New Roman" w:hAnsi="Times New Roman" w:cs="Times New Roman"/>
          <w:spacing w:val="-2"/>
          <w:lang w:val="en-GB"/>
        </w:rPr>
        <w:t xml:space="preserve"> 2021</w:t>
      </w:r>
      <w:r w:rsidR="004623D1" w:rsidRPr="00C35E8A">
        <w:rPr>
          <w:rFonts w:ascii="Times New Roman" w:hAnsi="Times New Roman" w:cs="Times New Roman"/>
          <w:spacing w:val="-2"/>
          <w:lang w:val="en-GB"/>
        </w:rPr>
        <w:t>,</w:t>
      </w:r>
      <w:r w:rsidR="002B4FE0" w:rsidRPr="00C35E8A">
        <w:rPr>
          <w:rFonts w:ascii="Times New Roman" w:hAnsi="Times New Roman" w:cs="Times New Roman"/>
          <w:spacing w:val="-2"/>
          <w:lang w:val="en-GB"/>
        </w:rPr>
        <w:t xml:space="preserve"> </w:t>
      </w:r>
      <w:proofErr w:type="spellStart"/>
      <w:r w:rsidR="00004047" w:rsidRPr="00C35E8A">
        <w:rPr>
          <w:rFonts w:ascii="Times New Roman" w:hAnsi="Times New Roman" w:cs="Times New Roman"/>
          <w:spacing w:val="-2"/>
          <w:lang w:val="en-GB"/>
        </w:rPr>
        <w:t>Yankovyi</w:t>
      </w:r>
      <w:proofErr w:type="spellEnd"/>
      <w:r w:rsidR="00004047" w:rsidRPr="00C35E8A">
        <w:rPr>
          <w:rFonts w:ascii="Times New Roman" w:hAnsi="Times New Roman" w:cs="Times New Roman"/>
          <w:spacing w:val="-2"/>
          <w:lang w:val="en-GB"/>
        </w:rPr>
        <w:t xml:space="preserve"> et al. 2021</w:t>
      </w:r>
      <w:r w:rsidR="004623D1" w:rsidRPr="00C35E8A">
        <w:rPr>
          <w:rFonts w:ascii="Times New Roman" w:hAnsi="Times New Roman" w:cs="Times New Roman"/>
          <w:spacing w:val="-2"/>
          <w:lang w:val="en-GB"/>
        </w:rPr>
        <w:t>,</w:t>
      </w:r>
      <w:r w:rsidR="00004047" w:rsidRPr="00C35E8A">
        <w:rPr>
          <w:rFonts w:ascii="Times New Roman" w:hAnsi="Times New Roman" w:cs="Times New Roman"/>
          <w:spacing w:val="-2"/>
          <w:lang w:val="en-GB"/>
        </w:rPr>
        <w:t xml:space="preserve"> </w:t>
      </w:r>
      <w:proofErr w:type="spellStart"/>
      <w:r w:rsidR="00004047" w:rsidRPr="00C35E8A">
        <w:rPr>
          <w:rFonts w:ascii="Times New Roman" w:hAnsi="Times New Roman" w:cs="Times New Roman"/>
          <w:spacing w:val="-2"/>
          <w:lang w:val="en-GB"/>
        </w:rPr>
        <w:t>Lozynska</w:t>
      </w:r>
      <w:proofErr w:type="spellEnd"/>
      <w:r w:rsidR="00004047" w:rsidRPr="00C35E8A">
        <w:rPr>
          <w:rFonts w:ascii="Times New Roman" w:hAnsi="Times New Roman" w:cs="Times New Roman"/>
          <w:spacing w:val="-2"/>
          <w:lang w:val="en-GB"/>
        </w:rPr>
        <w:t xml:space="preserve"> et al. 2024</w:t>
      </w:r>
      <w:r w:rsidRPr="00C35E8A">
        <w:rPr>
          <w:rFonts w:ascii="Times New Roman" w:hAnsi="Times New Roman" w:cs="Times New Roman"/>
          <w:spacing w:val="-2"/>
          <w:lang w:val="en-GB"/>
        </w:rPr>
        <w:t>). The results obtained indicate the lack of basic approaches to implementing rational land use, since the funds spent during 2014-2023 did not actually ensure the achievement of efficiency from the funds spent.</w:t>
      </w:r>
    </w:p>
    <w:p w14:paraId="6E3F9370" w14:textId="24B613F0" w:rsidR="0094231D" w:rsidRPr="00464512" w:rsidRDefault="00A268D2"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Thus, there is a need to </w:t>
      </w:r>
      <w:proofErr w:type="spellStart"/>
      <w:r w:rsidRPr="00464512">
        <w:rPr>
          <w:rFonts w:ascii="Times New Roman" w:hAnsi="Times New Roman" w:cs="Times New Roman"/>
          <w:lang w:val="en-GB"/>
        </w:rPr>
        <w:t>analyze</w:t>
      </w:r>
      <w:proofErr w:type="spellEnd"/>
      <w:r w:rsidRPr="00464512">
        <w:rPr>
          <w:rFonts w:ascii="Times New Roman" w:hAnsi="Times New Roman" w:cs="Times New Roman"/>
          <w:lang w:val="en-GB"/>
        </w:rPr>
        <w:t xml:space="preserve"> the effectiveness of capital investments in land over the past ten years based on two factors </w:t>
      </w:r>
      <w:r w:rsidR="004623D1" w:rsidRPr="00464512">
        <w:rPr>
          <w:rFonts w:ascii="Times New Roman" w:hAnsi="Times New Roman" w:cs="Times New Roman"/>
          <w:lang w:val="en-GB"/>
        </w:rPr>
        <w:t>–</w:t>
      </w:r>
      <w:r w:rsidRPr="00464512">
        <w:rPr>
          <w:rFonts w:ascii="Times New Roman" w:hAnsi="Times New Roman" w:cs="Times New Roman"/>
          <w:lang w:val="en-GB"/>
        </w:rPr>
        <w:t xml:space="preserve"> capital investments in land </w:t>
      </w:r>
      <w:r w:rsidR="00F711A3" w:rsidRPr="00464512">
        <w:rPr>
          <w:rFonts w:ascii="Times New Roman" w:hAnsi="Times New Roman" w:cs="Times New Roman"/>
          <w:lang w:val="en-GB"/>
        </w:rPr>
        <w:t>(X</w:t>
      </w:r>
      <w:r w:rsidR="00F711A3" w:rsidRPr="00464512">
        <w:rPr>
          <w:rFonts w:ascii="Times New Roman" w:hAnsi="Times New Roman" w:cs="Times New Roman"/>
          <w:vertAlign w:val="subscript"/>
          <w:lang w:val="en-GB"/>
        </w:rPr>
        <w:t>1</w:t>
      </w:r>
      <w:r w:rsidR="00F711A3" w:rsidRPr="00464512">
        <w:rPr>
          <w:rFonts w:ascii="Times New Roman" w:hAnsi="Times New Roman" w:cs="Times New Roman"/>
          <w:lang w:val="en-GB"/>
        </w:rPr>
        <w:t xml:space="preserve">) </w:t>
      </w:r>
      <w:r w:rsidRPr="00464512">
        <w:rPr>
          <w:rFonts w:ascii="Times New Roman" w:hAnsi="Times New Roman" w:cs="Times New Roman"/>
          <w:lang w:val="en-GB"/>
        </w:rPr>
        <w:t xml:space="preserve">and costs of production of products (goods, services) of agricultural, forestry and fishery enterprises </w:t>
      </w:r>
      <w:r w:rsidR="00125070" w:rsidRPr="00464512">
        <w:rPr>
          <w:rFonts w:ascii="Times New Roman" w:hAnsi="Times New Roman" w:cs="Times New Roman"/>
          <w:lang w:val="en-GB"/>
        </w:rPr>
        <w:t>(X</w:t>
      </w:r>
      <w:r w:rsidR="00125070" w:rsidRPr="00464512">
        <w:rPr>
          <w:rFonts w:ascii="Times New Roman" w:hAnsi="Times New Roman" w:cs="Times New Roman"/>
          <w:vertAlign w:val="subscript"/>
          <w:lang w:val="en-GB"/>
        </w:rPr>
        <w:t>2</w:t>
      </w:r>
      <w:r w:rsidR="00125070" w:rsidRPr="00464512">
        <w:rPr>
          <w:rFonts w:ascii="Times New Roman" w:hAnsi="Times New Roman" w:cs="Times New Roman"/>
          <w:lang w:val="en-GB"/>
        </w:rPr>
        <w:t>)</w:t>
      </w:r>
      <w:r w:rsidR="00483101" w:rsidRPr="00464512">
        <w:rPr>
          <w:rFonts w:ascii="Times New Roman" w:hAnsi="Times New Roman" w:cs="Times New Roman"/>
          <w:lang w:val="en-GB"/>
        </w:rPr>
        <w:t>,</w:t>
      </w:r>
      <w:r w:rsidR="00125070" w:rsidRPr="00464512">
        <w:rPr>
          <w:rFonts w:ascii="Times New Roman" w:hAnsi="Times New Roman" w:cs="Times New Roman"/>
          <w:lang w:val="en-GB"/>
        </w:rPr>
        <w:t xml:space="preserve"> </w:t>
      </w:r>
      <w:r w:rsidR="00483101" w:rsidRPr="00464512">
        <w:rPr>
          <w:rFonts w:ascii="Times New Roman" w:hAnsi="Times New Roman" w:cs="Times New Roman"/>
          <w:lang w:val="en-GB"/>
        </w:rPr>
        <w:t xml:space="preserve">as well as the performance indicator </w:t>
      </w:r>
      <w:r w:rsidR="00423444" w:rsidRPr="00464512">
        <w:rPr>
          <w:rFonts w:ascii="Times New Roman" w:hAnsi="Times New Roman" w:cs="Times New Roman"/>
          <w:lang w:val="en-GB"/>
        </w:rPr>
        <w:t>–</w:t>
      </w:r>
      <w:r w:rsidR="00483101" w:rsidRPr="00464512">
        <w:rPr>
          <w:rFonts w:ascii="Times New Roman" w:hAnsi="Times New Roman" w:cs="Times New Roman"/>
          <w:lang w:val="en-GB"/>
        </w:rPr>
        <w:t xml:space="preserve"> the volume of products (goods, services) sold by enterprises </w:t>
      </w:r>
      <w:r w:rsidR="00125070" w:rsidRPr="00464512">
        <w:rPr>
          <w:rFonts w:ascii="Times New Roman" w:hAnsi="Times New Roman" w:cs="Times New Roman"/>
          <w:lang w:val="en-GB"/>
        </w:rPr>
        <w:t>(Y) (</w:t>
      </w:r>
      <w:r w:rsidR="00483101" w:rsidRPr="00464512">
        <w:rPr>
          <w:rFonts w:ascii="Times New Roman" w:hAnsi="Times New Roman" w:cs="Times New Roman"/>
          <w:lang w:val="en-GB"/>
        </w:rPr>
        <w:t xml:space="preserve">Table </w:t>
      </w:r>
      <w:r w:rsidR="0054067D" w:rsidRPr="00464512">
        <w:rPr>
          <w:rFonts w:ascii="Times New Roman" w:hAnsi="Times New Roman" w:cs="Times New Roman"/>
          <w:lang w:val="en-GB"/>
        </w:rPr>
        <w:t>2</w:t>
      </w:r>
      <w:r w:rsidR="00125070" w:rsidRPr="00464512">
        <w:rPr>
          <w:rFonts w:ascii="Times New Roman" w:hAnsi="Times New Roman" w:cs="Times New Roman"/>
          <w:lang w:val="en-GB"/>
        </w:rPr>
        <w:t>).</w:t>
      </w:r>
    </w:p>
    <w:p w14:paraId="6281BE9C" w14:textId="77777777" w:rsidR="004A3577" w:rsidRPr="00464512" w:rsidRDefault="004A3577" w:rsidP="00DA4FDD">
      <w:pPr>
        <w:widowControl w:val="0"/>
        <w:spacing w:after="0" w:line="240" w:lineRule="auto"/>
        <w:ind w:firstLine="567"/>
        <w:contextualSpacing/>
        <w:jc w:val="both"/>
        <w:rPr>
          <w:rFonts w:ascii="Times New Roman" w:hAnsi="Times New Roman" w:cs="Times New Roman"/>
          <w:i/>
          <w:lang w:val="en-GB"/>
        </w:rPr>
      </w:pPr>
    </w:p>
    <w:p w14:paraId="04D2D790" w14:textId="331F693C" w:rsidR="002C1822" w:rsidRPr="00464512" w:rsidRDefault="002F2F2C" w:rsidP="00C4684C">
      <w:pPr>
        <w:pStyle w:val="Rtab"/>
        <w:rPr>
          <w:lang w:val="en-GB"/>
        </w:rPr>
      </w:pPr>
      <w:r w:rsidRPr="00464512">
        <w:rPr>
          <w:b/>
          <w:iCs/>
          <w:lang w:val="en-GB"/>
        </w:rPr>
        <w:t>Table 2</w:t>
      </w:r>
      <w:r w:rsidR="004A3577" w:rsidRPr="00464512">
        <w:rPr>
          <w:b/>
          <w:iCs/>
          <w:lang w:val="en-GB"/>
        </w:rPr>
        <w:t>.</w:t>
      </w:r>
      <w:r w:rsidR="004A3577" w:rsidRPr="00464512">
        <w:rPr>
          <w:i/>
          <w:lang w:val="en-GB"/>
        </w:rPr>
        <w:t xml:space="preserve"> </w:t>
      </w:r>
      <w:r w:rsidR="00B30AE1" w:rsidRPr="00464512">
        <w:rPr>
          <w:lang w:val="en-GB"/>
        </w:rPr>
        <w:t>Factor (resource) indicators of influence on the volume of sold products (goods, services) of agricultural, forestry</w:t>
      </w:r>
      <w:r w:rsidR="00480D52">
        <w:rPr>
          <w:lang w:val="en-GB"/>
        </w:rPr>
        <w:t>,</w:t>
      </w:r>
      <w:r w:rsidR="00B30AE1" w:rsidRPr="00464512">
        <w:rPr>
          <w:lang w:val="en-GB"/>
        </w:rPr>
        <w:t xml:space="preserve"> and fishery enterprises,</w:t>
      </w:r>
      <w:r w:rsidR="00135DB2" w:rsidRPr="00464512">
        <w:rPr>
          <w:lang w:val="en-GB"/>
        </w:rPr>
        <w:t xml:space="preserve"> USD </w:t>
      </w:r>
      <w:proofErr w:type="spellStart"/>
      <w:r w:rsidR="00075AE1" w:rsidRPr="00464512">
        <w:rPr>
          <w:lang w:val="en-GB"/>
        </w:rPr>
        <w:t>mln</w:t>
      </w:r>
      <w:proofErr w:type="spellEnd"/>
      <w:r w:rsidR="00B30AE1" w:rsidRPr="00464512">
        <w:rPr>
          <w:lang w:val="en-GB"/>
        </w:rPr>
        <w:t>, 2014-2023</w:t>
      </w:r>
    </w:p>
    <w:tbl>
      <w:tblPr>
        <w:tblStyle w:val="Tabela-Siatka"/>
        <w:tblW w:w="5000" w:type="pct"/>
        <w:tblLook w:val="04A0" w:firstRow="1" w:lastRow="0" w:firstColumn="1" w:lastColumn="0" w:noHBand="0" w:noVBand="1"/>
      </w:tblPr>
      <w:tblGrid>
        <w:gridCol w:w="846"/>
        <w:gridCol w:w="3544"/>
        <w:gridCol w:w="2126"/>
        <w:gridCol w:w="3112"/>
      </w:tblGrid>
      <w:tr w:rsidR="00C4684C" w:rsidRPr="00464512" w14:paraId="41971355" w14:textId="77777777" w:rsidTr="00464512">
        <w:trPr>
          <w:trHeight w:val="840"/>
        </w:trPr>
        <w:tc>
          <w:tcPr>
            <w:tcW w:w="439" w:type="pct"/>
            <w:vAlign w:val="center"/>
          </w:tcPr>
          <w:p w14:paraId="4FB07FC1" w14:textId="2218E7C5" w:rsidR="0094231D" w:rsidRPr="00464512" w:rsidRDefault="007D4659" w:rsidP="0050381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Years</w:t>
            </w:r>
          </w:p>
        </w:tc>
        <w:tc>
          <w:tcPr>
            <w:tcW w:w="1840" w:type="pct"/>
            <w:vAlign w:val="center"/>
          </w:tcPr>
          <w:p w14:paraId="4121F2EB" w14:textId="754F6107" w:rsidR="00D53E41" w:rsidRPr="00464512" w:rsidRDefault="007D4659" w:rsidP="00BB52A5">
            <w:pPr>
              <w:widowControl w:val="0"/>
              <w:contextualSpacing/>
              <w:jc w:val="center"/>
              <w:rPr>
                <w:rFonts w:ascii="Times New Roman" w:hAnsi="Times New Roman" w:cs="Times New Roman"/>
                <w:lang w:val="en-GB"/>
              </w:rPr>
            </w:pPr>
            <w:r w:rsidRPr="00464512">
              <w:rPr>
                <w:rFonts w:ascii="Times New Roman" w:hAnsi="Times New Roman" w:cs="Times New Roman"/>
                <w:lang w:val="en-GB"/>
              </w:rPr>
              <w:t xml:space="preserve">Volume of products (goods, services) sold by enterprises </w:t>
            </w:r>
            <w:r w:rsidR="00D53E41" w:rsidRPr="00464512">
              <w:rPr>
                <w:rFonts w:ascii="Times New Roman" w:hAnsi="Times New Roman" w:cs="Times New Roman"/>
                <w:lang w:val="en-GB"/>
              </w:rPr>
              <w:t>(Y)</w:t>
            </w:r>
          </w:p>
        </w:tc>
        <w:tc>
          <w:tcPr>
            <w:tcW w:w="1104" w:type="pct"/>
            <w:vAlign w:val="center"/>
          </w:tcPr>
          <w:p w14:paraId="4E70F91D" w14:textId="1E9AB694" w:rsidR="00D53E41" w:rsidRPr="00464512" w:rsidRDefault="007D4659" w:rsidP="00BB52A5">
            <w:pPr>
              <w:widowControl w:val="0"/>
              <w:contextualSpacing/>
              <w:jc w:val="center"/>
              <w:rPr>
                <w:rFonts w:ascii="Times New Roman" w:hAnsi="Times New Roman" w:cs="Times New Roman"/>
                <w:lang w:val="en-GB"/>
              </w:rPr>
            </w:pPr>
            <w:r w:rsidRPr="00464512">
              <w:rPr>
                <w:rFonts w:ascii="Times New Roman" w:hAnsi="Times New Roman" w:cs="Times New Roman"/>
                <w:lang w:val="en-GB"/>
              </w:rPr>
              <w:t xml:space="preserve">Capital investments in land </w:t>
            </w:r>
            <w:r w:rsidR="00D53E41" w:rsidRPr="00464512">
              <w:rPr>
                <w:rFonts w:ascii="Times New Roman" w:hAnsi="Times New Roman" w:cs="Times New Roman"/>
                <w:lang w:val="en-GB"/>
              </w:rPr>
              <w:t>(X</w:t>
            </w:r>
            <w:r w:rsidR="00D53E41" w:rsidRPr="00464512">
              <w:rPr>
                <w:rFonts w:ascii="Times New Roman" w:hAnsi="Times New Roman" w:cs="Times New Roman"/>
                <w:vertAlign w:val="subscript"/>
                <w:lang w:val="en-GB"/>
              </w:rPr>
              <w:t>1</w:t>
            </w:r>
            <w:r w:rsidR="00D53E41" w:rsidRPr="00464512">
              <w:rPr>
                <w:rFonts w:ascii="Times New Roman" w:hAnsi="Times New Roman" w:cs="Times New Roman"/>
                <w:lang w:val="en-GB"/>
              </w:rPr>
              <w:t>)</w:t>
            </w:r>
          </w:p>
        </w:tc>
        <w:tc>
          <w:tcPr>
            <w:tcW w:w="1616" w:type="pct"/>
            <w:vAlign w:val="center"/>
          </w:tcPr>
          <w:p w14:paraId="5F119BE9" w14:textId="5692969C" w:rsidR="00D53E41" w:rsidRPr="00464512" w:rsidRDefault="007D4659" w:rsidP="00BB52A5">
            <w:pPr>
              <w:widowControl w:val="0"/>
              <w:contextualSpacing/>
              <w:jc w:val="center"/>
              <w:rPr>
                <w:rFonts w:ascii="Times New Roman" w:hAnsi="Times New Roman" w:cs="Times New Roman"/>
                <w:lang w:val="en-GB"/>
              </w:rPr>
            </w:pPr>
            <w:r w:rsidRPr="00464512">
              <w:rPr>
                <w:rFonts w:ascii="Times New Roman" w:hAnsi="Times New Roman" w:cs="Times New Roman"/>
                <w:lang w:val="en-GB"/>
              </w:rPr>
              <w:t xml:space="preserve">Costs for the production of products (goods, services) of enterprises </w:t>
            </w:r>
            <w:r w:rsidR="00D53E41" w:rsidRPr="00464512">
              <w:rPr>
                <w:rFonts w:ascii="Times New Roman" w:hAnsi="Times New Roman" w:cs="Times New Roman"/>
                <w:lang w:val="en-GB"/>
              </w:rPr>
              <w:t>(X</w:t>
            </w:r>
            <w:r w:rsidR="00D53E41" w:rsidRPr="00464512">
              <w:rPr>
                <w:rFonts w:ascii="Times New Roman" w:hAnsi="Times New Roman" w:cs="Times New Roman"/>
                <w:vertAlign w:val="subscript"/>
                <w:lang w:val="en-GB"/>
              </w:rPr>
              <w:t>2</w:t>
            </w:r>
            <w:r w:rsidR="00D53E41" w:rsidRPr="00464512">
              <w:rPr>
                <w:rFonts w:ascii="Times New Roman" w:hAnsi="Times New Roman" w:cs="Times New Roman"/>
                <w:lang w:val="en-GB"/>
              </w:rPr>
              <w:t>)</w:t>
            </w:r>
          </w:p>
        </w:tc>
      </w:tr>
      <w:tr w:rsidR="00C4684C" w:rsidRPr="00464512" w14:paraId="320948CE" w14:textId="77777777" w:rsidTr="00C4684C">
        <w:tc>
          <w:tcPr>
            <w:tcW w:w="439" w:type="pct"/>
            <w:vAlign w:val="center"/>
          </w:tcPr>
          <w:p w14:paraId="5BCD8DFA" w14:textId="244D820A"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2014</w:t>
            </w:r>
          </w:p>
        </w:tc>
        <w:tc>
          <w:tcPr>
            <w:tcW w:w="1840" w:type="pct"/>
            <w:vAlign w:val="center"/>
          </w:tcPr>
          <w:p w14:paraId="77CC9173" w14:textId="05143FA0"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5137</w:t>
            </w:r>
            <w:r w:rsidR="00974A16">
              <w:rPr>
                <w:rFonts w:ascii="Times New Roman" w:hAnsi="Times New Roman" w:cs="Times New Roman"/>
                <w:lang w:val="en-GB"/>
              </w:rPr>
              <w:t>.</w:t>
            </w:r>
            <w:r w:rsidRPr="00464512">
              <w:rPr>
                <w:rFonts w:ascii="Times New Roman" w:hAnsi="Times New Roman" w:cs="Times New Roman"/>
                <w:lang w:val="en-GB"/>
              </w:rPr>
              <w:t>33</w:t>
            </w:r>
          </w:p>
        </w:tc>
        <w:tc>
          <w:tcPr>
            <w:tcW w:w="1104" w:type="pct"/>
            <w:vAlign w:val="center"/>
          </w:tcPr>
          <w:p w14:paraId="7DF4DC9D" w14:textId="57768DAC"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w:t>
            </w:r>
            <w:r w:rsidR="00974A16">
              <w:rPr>
                <w:rFonts w:ascii="Times New Roman" w:hAnsi="Times New Roman" w:cs="Times New Roman"/>
                <w:lang w:val="en-GB"/>
              </w:rPr>
              <w:t>.</w:t>
            </w:r>
            <w:r w:rsidRPr="00464512">
              <w:rPr>
                <w:rFonts w:ascii="Times New Roman" w:hAnsi="Times New Roman" w:cs="Times New Roman"/>
                <w:lang w:val="en-GB"/>
              </w:rPr>
              <w:t>13</w:t>
            </w:r>
          </w:p>
        </w:tc>
        <w:tc>
          <w:tcPr>
            <w:tcW w:w="1616" w:type="pct"/>
            <w:vAlign w:val="center"/>
          </w:tcPr>
          <w:p w14:paraId="35C06C58" w14:textId="18E118E5"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4559</w:t>
            </w:r>
            <w:r w:rsidR="00974A16">
              <w:rPr>
                <w:rFonts w:ascii="Times New Roman" w:hAnsi="Times New Roman" w:cs="Times New Roman"/>
                <w:lang w:val="en-GB"/>
              </w:rPr>
              <w:t>.</w:t>
            </w:r>
            <w:r w:rsidRPr="00464512">
              <w:rPr>
                <w:rFonts w:ascii="Times New Roman" w:hAnsi="Times New Roman" w:cs="Times New Roman"/>
                <w:lang w:val="en-GB"/>
              </w:rPr>
              <w:t>48</w:t>
            </w:r>
          </w:p>
        </w:tc>
      </w:tr>
      <w:tr w:rsidR="00C4684C" w:rsidRPr="00464512" w14:paraId="50E20DE6" w14:textId="77777777" w:rsidTr="00C4684C">
        <w:tc>
          <w:tcPr>
            <w:tcW w:w="439" w:type="pct"/>
            <w:vAlign w:val="center"/>
          </w:tcPr>
          <w:p w14:paraId="293AE2B3" w14:textId="1A46CEFE"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2015</w:t>
            </w:r>
          </w:p>
        </w:tc>
        <w:tc>
          <w:tcPr>
            <w:tcW w:w="1840" w:type="pct"/>
            <w:vAlign w:val="center"/>
          </w:tcPr>
          <w:p w14:paraId="5317BB07" w14:textId="195D0EB9"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8696</w:t>
            </w:r>
            <w:r w:rsidR="00974A16">
              <w:rPr>
                <w:rFonts w:ascii="Times New Roman" w:hAnsi="Times New Roman" w:cs="Times New Roman"/>
                <w:lang w:val="en-GB"/>
              </w:rPr>
              <w:t>.</w:t>
            </w:r>
            <w:r w:rsidRPr="00464512">
              <w:rPr>
                <w:rFonts w:ascii="Times New Roman" w:hAnsi="Times New Roman" w:cs="Times New Roman"/>
                <w:lang w:val="en-GB"/>
              </w:rPr>
              <w:t>52</w:t>
            </w:r>
          </w:p>
        </w:tc>
        <w:tc>
          <w:tcPr>
            <w:tcW w:w="1104" w:type="pct"/>
            <w:vAlign w:val="center"/>
          </w:tcPr>
          <w:p w14:paraId="506ED8C1" w14:textId="079D8CC0"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w:t>
            </w:r>
            <w:r w:rsidR="00974A16">
              <w:rPr>
                <w:rFonts w:ascii="Times New Roman" w:hAnsi="Times New Roman" w:cs="Times New Roman"/>
                <w:lang w:val="en-GB"/>
              </w:rPr>
              <w:t>.</w:t>
            </w:r>
            <w:r w:rsidRPr="00464512">
              <w:rPr>
                <w:rFonts w:ascii="Times New Roman" w:hAnsi="Times New Roman" w:cs="Times New Roman"/>
                <w:lang w:val="en-GB"/>
              </w:rPr>
              <w:t>26</w:t>
            </w:r>
          </w:p>
        </w:tc>
        <w:tc>
          <w:tcPr>
            <w:tcW w:w="1616" w:type="pct"/>
            <w:vAlign w:val="center"/>
          </w:tcPr>
          <w:p w14:paraId="477E3C74" w14:textId="616D5542"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6600</w:t>
            </w:r>
            <w:r w:rsidR="00974A16">
              <w:rPr>
                <w:rFonts w:ascii="Times New Roman" w:hAnsi="Times New Roman" w:cs="Times New Roman"/>
                <w:lang w:val="en-GB"/>
              </w:rPr>
              <w:t>.</w:t>
            </w:r>
            <w:r w:rsidRPr="00464512">
              <w:rPr>
                <w:rFonts w:ascii="Times New Roman" w:hAnsi="Times New Roman" w:cs="Times New Roman"/>
                <w:lang w:val="en-GB"/>
              </w:rPr>
              <w:t>04</w:t>
            </w:r>
          </w:p>
        </w:tc>
      </w:tr>
      <w:tr w:rsidR="00C4684C" w:rsidRPr="00464512" w14:paraId="3BA251FC" w14:textId="77777777" w:rsidTr="00C4684C">
        <w:tc>
          <w:tcPr>
            <w:tcW w:w="439" w:type="pct"/>
            <w:vAlign w:val="center"/>
          </w:tcPr>
          <w:p w14:paraId="0B3C0FA4" w14:textId="37B235F0"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2016</w:t>
            </w:r>
          </w:p>
        </w:tc>
        <w:tc>
          <w:tcPr>
            <w:tcW w:w="1840" w:type="pct"/>
            <w:vAlign w:val="center"/>
          </w:tcPr>
          <w:p w14:paraId="1A30CD50" w14:textId="73D64C71"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9690</w:t>
            </w:r>
            <w:r w:rsidR="00974A16">
              <w:rPr>
                <w:rFonts w:ascii="Times New Roman" w:hAnsi="Times New Roman" w:cs="Times New Roman"/>
                <w:lang w:val="en-GB"/>
              </w:rPr>
              <w:t>.</w:t>
            </w:r>
            <w:r w:rsidRPr="00464512">
              <w:rPr>
                <w:rFonts w:ascii="Times New Roman" w:hAnsi="Times New Roman" w:cs="Times New Roman"/>
                <w:lang w:val="en-GB"/>
              </w:rPr>
              <w:t>25</w:t>
            </w:r>
          </w:p>
        </w:tc>
        <w:tc>
          <w:tcPr>
            <w:tcW w:w="1104" w:type="pct"/>
            <w:vAlign w:val="center"/>
          </w:tcPr>
          <w:p w14:paraId="5D413B85" w14:textId="4013B94C"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w:t>
            </w:r>
            <w:r w:rsidR="00974A16">
              <w:rPr>
                <w:rFonts w:ascii="Times New Roman" w:hAnsi="Times New Roman" w:cs="Times New Roman"/>
                <w:lang w:val="en-GB"/>
              </w:rPr>
              <w:t>.</w:t>
            </w:r>
            <w:r w:rsidRPr="00464512">
              <w:rPr>
                <w:rFonts w:ascii="Times New Roman" w:hAnsi="Times New Roman" w:cs="Times New Roman"/>
                <w:lang w:val="en-GB"/>
              </w:rPr>
              <w:t>31</w:t>
            </w:r>
          </w:p>
        </w:tc>
        <w:tc>
          <w:tcPr>
            <w:tcW w:w="1616" w:type="pct"/>
            <w:vAlign w:val="center"/>
          </w:tcPr>
          <w:p w14:paraId="2A9545C5" w14:textId="711A024F"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7840</w:t>
            </w:r>
            <w:r w:rsidR="00974A16">
              <w:rPr>
                <w:rFonts w:ascii="Times New Roman" w:hAnsi="Times New Roman" w:cs="Times New Roman"/>
                <w:lang w:val="en-GB"/>
              </w:rPr>
              <w:t>.</w:t>
            </w:r>
            <w:r w:rsidRPr="00464512">
              <w:rPr>
                <w:rFonts w:ascii="Times New Roman" w:hAnsi="Times New Roman" w:cs="Times New Roman"/>
                <w:lang w:val="en-GB"/>
              </w:rPr>
              <w:t>45</w:t>
            </w:r>
          </w:p>
        </w:tc>
      </w:tr>
      <w:tr w:rsidR="00C4684C" w:rsidRPr="00464512" w14:paraId="59CC4945" w14:textId="77777777" w:rsidTr="00C4684C">
        <w:tc>
          <w:tcPr>
            <w:tcW w:w="439" w:type="pct"/>
            <w:vAlign w:val="center"/>
          </w:tcPr>
          <w:p w14:paraId="5D300BF5" w14:textId="073DE052"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2017</w:t>
            </w:r>
          </w:p>
        </w:tc>
        <w:tc>
          <w:tcPr>
            <w:tcW w:w="1840" w:type="pct"/>
            <w:vAlign w:val="center"/>
          </w:tcPr>
          <w:p w14:paraId="1747A6EC" w14:textId="1A9C4339"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10</w:t>
            </w:r>
            <w:r w:rsidR="00974A16">
              <w:rPr>
                <w:rFonts w:ascii="Times New Roman" w:hAnsi="Times New Roman" w:cs="Times New Roman"/>
                <w:lang w:val="en-GB"/>
              </w:rPr>
              <w:t>,</w:t>
            </w:r>
            <w:r w:rsidRPr="00464512">
              <w:rPr>
                <w:rFonts w:ascii="Times New Roman" w:hAnsi="Times New Roman" w:cs="Times New Roman"/>
                <w:lang w:val="en-GB"/>
              </w:rPr>
              <w:t>909</w:t>
            </w:r>
            <w:r w:rsidR="00974A16">
              <w:rPr>
                <w:rFonts w:ascii="Times New Roman" w:hAnsi="Times New Roman" w:cs="Times New Roman"/>
                <w:lang w:val="en-GB"/>
              </w:rPr>
              <w:t>.</w:t>
            </w:r>
            <w:r w:rsidRPr="00464512">
              <w:rPr>
                <w:rFonts w:ascii="Times New Roman" w:hAnsi="Times New Roman" w:cs="Times New Roman"/>
                <w:lang w:val="en-GB"/>
              </w:rPr>
              <w:t>99</w:t>
            </w:r>
          </w:p>
        </w:tc>
        <w:tc>
          <w:tcPr>
            <w:tcW w:w="1104" w:type="pct"/>
            <w:vAlign w:val="center"/>
          </w:tcPr>
          <w:p w14:paraId="32DB7B4F" w14:textId="490CD338"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3</w:t>
            </w:r>
            <w:r w:rsidR="00974A16">
              <w:rPr>
                <w:rFonts w:ascii="Times New Roman" w:hAnsi="Times New Roman" w:cs="Times New Roman"/>
                <w:lang w:val="en-GB"/>
              </w:rPr>
              <w:t>.</w:t>
            </w:r>
            <w:r w:rsidRPr="00464512">
              <w:rPr>
                <w:rFonts w:ascii="Times New Roman" w:hAnsi="Times New Roman" w:cs="Times New Roman"/>
                <w:lang w:val="en-GB"/>
              </w:rPr>
              <w:t>68</w:t>
            </w:r>
          </w:p>
        </w:tc>
        <w:tc>
          <w:tcPr>
            <w:tcW w:w="1616" w:type="pct"/>
            <w:vAlign w:val="center"/>
          </w:tcPr>
          <w:p w14:paraId="29165BCB" w14:textId="595F27AB"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9339</w:t>
            </w:r>
            <w:r w:rsidR="00974A16">
              <w:rPr>
                <w:rFonts w:ascii="Times New Roman" w:hAnsi="Times New Roman" w:cs="Times New Roman"/>
                <w:lang w:val="en-GB"/>
              </w:rPr>
              <w:t>.</w:t>
            </w:r>
            <w:r w:rsidRPr="00464512">
              <w:rPr>
                <w:rFonts w:ascii="Times New Roman" w:hAnsi="Times New Roman" w:cs="Times New Roman"/>
                <w:lang w:val="en-GB"/>
              </w:rPr>
              <w:t>21</w:t>
            </w:r>
          </w:p>
        </w:tc>
      </w:tr>
      <w:tr w:rsidR="00C4684C" w:rsidRPr="00464512" w14:paraId="6D46F4FF" w14:textId="77777777" w:rsidTr="00C4684C">
        <w:tc>
          <w:tcPr>
            <w:tcW w:w="439" w:type="pct"/>
            <w:vAlign w:val="center"/>
          </w:tcPr>
          <w:p w14:paraId="0D23C3B2" w14:textId="6B0C41F2"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2018</w:t>
            </w:r>
          </w:p>
        </w:tc>
        <w:tc>
          <w:tcPr>
            <w:tcW w:w="1840" w:type="pct"/>
            <w:vAlign w:val="center"/>
          </w:tcPr>
          <w:p w14:paraId="30173F29" w14:textId="77CB9375"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12</w:t>
            </w:r>
            <w:r w:rsidR="00974A16">
              <w:rPr>
                <w:rFonts w:ascii="Times New Roman" w:hAnsi="Times New Roman" w:cs="Times New Roman"/>
                <w:lang w:val="en-GB"/>
              </w:rPr>
              <w:t>,</w:t>
            </w:r>
            <w:r w:rsidRPr="00464512">
              <w:rPr>
                <w:rFonts w:ascii="Times New Roman" w:hAnsi="Times New Roman" w:cs="Times New Roman"/>
                <w:lang w:val="en-GB"/>
              </w:rPr>
              <w:t>607</w:t>
            </w:r>
            <w:r w:rsidR="00974A16">
              <w:rPr>
                <w:rFonts w:ascii="Times New Roman" w:hAnsi="Times New Roman" w:cs="Times New Roman"/>
                <w:lang w:val="en-GB"/>
              </w:rPr>
              <w:t>.</w:t>
            </w:r>
            <w:r w:rsidRPr="00464512">
              <w:rPr>
                <w:rFonts w:ascii="Times New Roman" w:hAnsi="Times New Roman" w:cs="Times New Roman"/>
                <w:lang w:val="en-GB"/>
              </w:rPr>
              <w:t>45</w:t>
            </w:r>
          </w:p>
        </w:tc>
        <w:tc>
          <w:tcPr>
            <w:tcW w:w="1104" w:type="pct"/>
            <w:vAlign w:val="center"/>
          </w:tcPr>
          <w:p w14:paraId="06DEC3EA" w14:textId="3419EE1F"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4</w:t>
            </w:r>
            <w:r w:rsidR="00974A16">
              <w:rPr>
                <w:rFonts w:ascii="Times New Roman" w:hAnsi="Times New Roman" w:cs="Times New Roman"/>
                <w:lang w:val="en-GB"/>
              </w:rPr>
              <w:t>.</w:t>
            </w:r>
            <w:r w:rsidRPr="00464512">
              <w:rPr>
                <w:rFonts w:ascii="Times New Roman" w:hAnsi="Times New Roman" w:cs="Times New Roman"/>
                <w:lang w:val="en-GB"/>
              </w:rPr>
              <w:t>64</w:t>
            </w:r>
          </w:p>
        </w:tc>
        <w:tc>
          <w:tcPr>
            <w:tcW w:w="1616" w:type="pct"/>
            <w:vAlign w:val="center"/>
          </w:tcPr>
          <w:p w14:paraId="2B0EAE71" w14:textId="588A8809"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11</w:t>
            </w:r>
            <w:r w:rsidR="00974A16">
              <w:rPr>
                <w:rFonts w:ascii="Times New Roman" w:hAnsi="Times New Roman" w:cs="Times New Roman"/>
                <w:lang w:val="en-GB"/>
              </w:rPr>
              <w:t>,</w:t>
            </w:r>
            <w:r w:rsidRPr="00464512">
              <w:rPr>
                <w:rFonts w:ascii="Times New Roman" w:hAnsi="Times New Roman" w:cs="Times New Roman"/>
                <w:lang w:val="en-GB"/>
              </w:rPr>
              <w:t>560</w:t>
            </w:r>
            <w:r w:rsidR="00974A16">
              <w:rPr>
                <w:rFonts w:ascii="Times New Roman" w:hAnsi="Times New Roman" w:cs="Times New Roman"/>
                <w:lang w:val="en-GB"/>
              </w:rPr>
              <w:t>.</w:t>
            </w:r>
            <w:r w:rsidRPr="00464512">
              <w:rPr>
                <w:rFonts w:ascii="Times New Roman" w:hAnsi="Times New Roman" w:cs="Times New Roman"/>
                <w:lang w:val="en-GB"/>
              </w:rPr>
              <w:t>75</w:t>
            </w:r>
          </w:p>
        </w:tc>
      </w:tr>
      <w:tr w:rsidR="00C4684C" w:rsidRPr="00464512" w14:paraId="001B7ED8" w14:textId="77777777" w:rsidTr="00C4684C">
        <w:tc>
          <w:tcPr>
            <w:tcW w:w="439" w:type="pct"/>
            <w:vAlign w:val="center"/>
          </w:tcPr>
          <w:p w14:paraId="5631D392" w14:textId="43414BFF"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2019</w:t>
            </w:r>
          </w:p>
        </w:tc>
        <w:tc>
          <w:tcPr>
            <w:tcW w:w="1840" w:type="pct"/>
            <w:vAlign w:val="center"/>
          </w:tcPr>
          <w:p w14:paraId="508E6879" w14:textId="179888BA"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13</w:t>
            </w:r>
            <w:r w:rsidR="00974A16">
              <w:rPr>
                <w:rFonts w:ascii="Times New Roman" w:hAnsi="Times New Roman" w:cs="Times New Roman"/>
                <w:lang w:val="en-GB"/>
              </w:rPr>
              <w:t>,</w:t>
            </w:r>
            <w:r w:rsidRPr="00464512">
              <w:rPr>
                <w:rFonts w:ascii="Times New Roman" w:hAnsi="Times New Roman" w:cs="Times New Roman"/>
                <w:lang w:val="en-GB"/>
              </w:rPr>
              <w:t>363</w:t>
            </w:r>
            <w:r w:rsidR="00974A16">
              <w:rPr>
                <w:rFonts w:ascii="Times New Roman" w:hAnsi="Times New Roman" w:cs="Times New Roman"/>
                <w:lang w:val="en-GB"/>
              </w:rPr>
              <w:t>.</w:t>
            </w:r>
            <w:r w:rsidRPr="00464512">
              <w:rPr>
                <w:rFonts w:ascii="Times New Roman" w:hAnsi="Times New Roman" w:cs="Times New Roman"/>
                <w:lang w:val="en-GB"/>
              </w:rPr>
              <w:t>37</w:t>
            </w:r>
          </w:p>
        </w:tc>
        <w:tc>
          <w:tcPr>
            <w:tcW w:w="1104" w:type="pct"/>
            <w:vAlign w:val="center"/>
          </w:tcPr>
          <w:p w14:paraId="024ABB09" w14:textId="0ED22E0F"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7</w:t>
            </w:r>
            <w:r w:rsidR="00974A16">
              <w:rPr>
                <w:rFonts w:ascii="Times New Roman" w:hAnsi="Times New Roman" w:cs="Times New Roman"/>
                <w:lang w:val="en-GB"/>
              </w:rPr>
              <w:t>.</w:t>
            </w:r>
            <w:r w:rsidRPr="00464512">
              <w:rPr>
                <w:rFonts w:ascii="Times New Roman" w:hAnsi="Times New Roman" w:cs="Times New Roman"/>
                <w:lang w:val="en-GB"/>
              </w:rPr>
              <w:t>63</w:t>
            </w:r>
          </w:p>
        </w:tc>
        <w:tc>
          <w:tcPr>
            <w:tcW w:w="1616" w:type="pct"/>
            <w:vAlign w:val="center"/>
          </w:tcPr>
          <w:p w14:paraId="07F5E9EB" w14:textId="5591A8E5"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12</w:t>
            </w:r>
            <w:r w:rsidR="00974A16">
              <w:rPr>
                <w:rFonts w:ascii="Times New Roman" w:hAnsi="Times New Roman" w:cs="Times New Roman"/>
                <w:lang w:val="en-GB"/>
              </w:rPr>
              <w:t>,</w:t>
            </w:r>
            <w:r w:rsidRPr="00464512">
              <w:rPr>
                <w:rFonts w:ascii="Times New Roman" w:hAnsi="Times New Roman" w:cs="Times New Roman"/>
                <w:lang w:val="en-GB"/>
              </w:rPr>
              <w:t>211</w:t>
            </w:r>
            <w:r w:rsidR="00974A16">
              <w:rPr>
                <w:rFonts w:ascii="Times New Roman" w:hAnsi="Times New Roman" w:cs="Times New Roman"/>
                <w:lang w:val="en-GB"/>
              </w:rPr>
              <w:t>.</w:t>
            </w:r>
            <w:r w:rsidRPr="00464512">
              <w:rPr>
                <w:rFonts w:ascii="Times New Roman" w:hAnsi="Times New Roman" w:cs="Times New Roman"/>
                <w:lang w:val="en-GB"/>
              </w:rPr>
              <w:t>23</w:t>
            </w:r>
          </w:p>
        </w:tc>
      </w:tr>
      <w:tr w:rsidR="00C4684C" w:rsidRPr="00464512" w14:paraId="34FA8CBE" w14:textId="77777777" w:rsidTr="00C4684C">
        <w:tc>
          <w:tcPr>
            <w:tcW w:w="439" w:type="pct"/>
            <w:vAlign w:val="center"/>
          </w:tcPr>
          <w:p w14:paraId="39DDDDDB" w14:textId="09C03704"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2020</w:t>
            </w:r>
          </w:p>
        </w:tc>
        <w:tc>
          <w:tcPr>
            <w:tcW w:w="1840" w:type="pct"/>
            <w:vAlign w:val="center"/>
          </w:tcPr>
          <w:p w14:paraId="0F94EA64" w14:textId="51C21379"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14</w:t>
            </w:r>
            <w:r w:rsidR="00974A16">
              <w:rPr>
                <w:rFonts w:ascii="Times New Roman" w:hAnsi="Times New Roman" w:cs="Times New Roman"/>
                <w:lang w:val="en-GB"/>
              </w:rPr>
              <w:t>,</w:t>
            </w:r>
            <w:r w:rsidRPr="00464512">
              <w:rPr>
                <w:rFonts w:ascii="Times New Roman" w:hAnsi="Times New Roman" w:cs="Times New Roman"/>
                <w:lang w:val="en-GB"/>
              </w:rPr>
              <w:t>536</w:t>
            </w:r>
            <w:r w:rsidR="00974A16">
              <w:rPr>
                <w:rFonts w:ascii="Times New Roman" w:hAnsi="Times New Roman" w:cs="Times New Roman"/>
                <w:lang w:val="en-GB"/>
              </w:rPr>
              <w:t>.</w:t>
            </w:r>
            <w:r w:rsidRPr="00464512">
              <w:rPr>
                <w:rFonts w:ascii="Times New Roman" w:hAnsi="Times New Roman" w:cs="Times New Roman"/>
                <w:lang w:val="en-GB"/>
              </w:rPr>
              <w:t>76</w:t>
            </w:r>
          </w:p>
        </w:tc>
        <w:tc>
          <w:tcPr>
            <w:tcW w:w="1104" w:type="pct"/>
            <w:vAlign w:val="center"/>
          </w:tcPr>
          <w:p w14:paraId="5EF0B267" w14:textId="028AFE67"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6</w:t>
            </w:r>
            <w:r w:rsidR="00974A16">
              <w:rPr>
                <w:rFonts w:ascii="Times New Roman" w:hAnsi="Times New Roman" w:cs="Times New Roman"/>
                <w:lang w:val="en-GB"/>
              </w:rPr>
              <w:t>.</w:t>
            </w:r>
            <w:r w:rsidRPr="00464512">
              <w:rPr>
                <w:rFonts w:ascii="Times New Roman" w:hAnsi="Times New Roman" w:cs="Times New Roman"/>
                <w:lang w:val="en-GB"/>
              </w:rPr>
              <w:t>53</w:t>
            </w:r>
          </w:p>
        </w:tc>
        <w:tc>
          <w:tcPr>
            <w:tcW w:w="1616" w:type="pct"/>
            <w:vAlign w:val="center"/>
          </w:tcPr>
          <w:p w14:paraId="52F8FC79" w14:textId="50093B0C"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12</w:t>
            </w:r>
            <w:r w:rsidR="00974A16">
              <w:rPr>
                <w:rFonts w:ascii="Times New Roman" w:hAnsi="Times New Roman" w:cs="Times New Roman"/>
                <w:lang w:val="en-GB"/>
              </w:rPr>
              <w:t>,</w:t>
            </w:r>
            <w:r w:rsidRPr="00464512">
              <w:rPr>
                <w:rFonts w:ascii="Times New Roman" w:hAnsi="Times New Roman" w:cs="Times New Roman"/>
                <w:lang w:val="en-GB"/>
              </w:rPr>
              <w:t>299</w:t>
            </w:r>
            <w:r w:rsidR="00974A16">
              <w:rPr>
                <w:rFonts w:ascii="Times New Roman" w:hAnsi="Times New Roman" w:cs="Times New Roman"/>
                <w:lang w:val="en-GB"/>
              </w:rPr>
              <w:t>.</w:t>
            </w:r>
            <w:r w:rsidRPr="00464512">
              <w:rPr>
                <w:rFonts w:ascii="Times New Roman" w:hAnsi="Times New Roman" w:cs="Times New Roman"/>
                <w:lang w:val="en-GB"/>
              </w:rPr>
              <w:t>89</w:t>
            </w:r>
          </w:p>
        </w:tc>
      </w:tr>
      <w:tr w:rsidR="00C4684C" w:rsidRPr="00464512" w14:paraId="280ABCC4" w14:textId="77777777" w:rsidTr="00C4684C">
        <w:tc>
          <w:tcPr>
            <w:tcW w:w="439" w:type="pct"/>
            <w:vAlign w:val="center"/>
          </w:tcPr>
          <w:p w14:paraId="0AF62640" w14:textId="26C0FE2A"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2021</w:t>
            </w:r>
          </w:p>
        </w:tc>
        <w:tc>
          <w:tcPr>
            <w:tcW w:w="1840" w:type="pct"/>
            <w:vAlign w:val="center"/>
          </w:tcPr>
          <w:p w14:paraId="202614D5" w14:textId="1D71F9E0"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22</w:t>
            </w:r>
            <w:r w:rsidR="00974A16">
              <w:rPr>
                <w:rFonts w:ascii="Times New Roman" w:hAnsi="Times New Roman" w:cs="Times New Roman"/>
                <w:lang w:val="en-GB"/>
              </w:rPr>
              <w:t>,</w:t>
            </w:r>
            <w:r w:rsidRPr="00464512">
              <w:rPr>
                <w:rFonts w:ascii="Times New Roman" w:hAnsi="Times New Roman" w:cs="Times New Roman"/>
                <w:lang w:val="en-GB"/>
              </w:rPr>
              <w:t>058</w:t>
            </w:r>
            <w:r w:rsidR="00974A16">
              <w:rPr>
                <w:rFonts w:ascii="Times New Roman" w:hAnsi="Times New Roman" w:cs="Times New Roman"/>
                <w:lang w:val="en-GB"/>
              </w:rPr>
              <w:t>.</w:t>
            </w:r>
            <w:r w:rsidRPr="00464512">
              <w:rPr>
                <w:rFonts w:ascii="Times New Roman" w:hAnsi="Times New Roman" w:cs="Times New Roman"/>
                <w:lang w:val="en-GB"/>
              </w:rPr>
              <w:t>85</w:t>
            </w:r>
          </w:p>
        </w:tc>
        <w:tc>
          <w:tcPr>
            <w:tcW w:w="1104" w:type="pct"/>
            <w:vAlign w:val="center"/>
          </w:tcPr>
          <w:p w14:paraId="6FF9EFF7" w14:textId="3D96C5A6"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4</w:t>
            </w:r>
            <w:r w:rsidR="00974A16">
              <w:rPr>
                <w:rFonts w:ascii="Times New Roman" w:hAnsi="Times New Roman" w:cs="Times New Roman"/>
                <w:lang w:val="en-GB"/>
              </w:rPr>
              <w:t>.</w:t>
            </w:r>
            <w:r w:rsidRPr="00464512">
              <w:rPr>
                <w:rFonts w:ascii="Times New Roman" w:hAnsi="Times New Roman" w:cs="Times New Roman"/>
                <w:lang w:val="en-GB"/>
              </w:rPr>
              <w:t>34</w:t>
            </w:r>
          </w:p>
        </w:tc>
        <w:tc>
          <w:tcPr>
            <w:tcW w:w="1616" w:type="pct"/>
            <w:vAlign w:val="center"/>
          </w:tcPr>
          <w:p w14:paraId="6277C699" w14:textId="0D2B1DBE"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14</w:t>
            </w:r>
            <w:r w:rsidR="00974A16">
              <w:rPr>
                <w:rFonts w:ascii="Times New Roman" w:hAnsi="Times New Roman" w:cs="Times New Roman"/>
                <w:lang w:val="en-GB"/>
              </w:rPr>
              <w:t>,</w:t>
            </w:r>
            <w:r w:rsidRPr="00464512">
              <w:rPr>
                <w:rFonts w:ascii="Times New Roman" w:hAnsi="Times New Roman" w:cs="Times New Roman"/>
                <w:lang w:val="en-GB"/>
              </w:rPr>
              <w:t>550</w:t>
            </w:r>
            <w:r w:rsidR="00974A16">
              <w:rPr>
                <w:rFonts w:ascii="Times New Roman" w:hAnsi="Times New Roman" w:cs="Times New Roman"/>
                <w:lang w:val="en-GB"/>
              </w:rPr>
              <w:t>.</w:t>
            </w:r>
            <w:r w:rsidRPr="00464512">
              <w:rPr>
                <w:rFonts w:ascii="Times New Roman" w:hAnsi="Times New Roman" w:cs="Times New Roman"/>
                <w:lang w:val="en-GB"/>
              </w:rPr>
              <w:t>28</w:t>
            </w:r>
          </w:p>
        </w:tc>
      </w:tr>
      <w:tr w:rsidR="00C4684C" w:rsidRPr="00464512" w14:paraId="3F0ED6D2" w14:textId="77777777" w:rsidTr="00C4684C">
        <w:tc>
          <w:tcPr>
            <w:tcW w:w="439" w:type="pct"/>
            <w:vAlign w:val="center"/>
          </w:tcPr>
          <w:p w14:paraId="3EF8753C" w14:textId="2B4D34F4"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2022</w:t>
            </w:r>
          </w:p>
        </w:tc>
        <w:tc>
          <w:tcPr>
            <w:tcW w:w="1840" w:type="pct"/>
            <w:vAlign w:val="center"/>
          </w:tcPr>
          <w:p w14:paraId="5CB643F4" w14:textId="388BD5F3"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16</w:t>
            </w:r>
            <w:r w:rsidR="00974A16">
              <w:rPr>
                <w:rFonts w:ascii="Times New Roman" w:hAnsi="Times New Roman" w:cs="Times New Roman"/>
                <w:lang w:val="en-GB"/>
              </w:rPr>
              <w:t>,</w:t>
            </w:r>
            <w:r w:rsidRPr="00464512">
              <w:rPr>
                <w:rFonts w:ascii="Times New Roman" w:hAnsi="Times New Roman" w:cs="Times New Roman"/>
                <w:lang w:val="en-GB"/>
              </w:rPr>
              <w:t>338</w:t>
            </w:r>
            <w:r w:rsidR="00974A16">
              <w:rPr>
                <w:rFonts w:ascii="Times New Roman" w:hAnsi="Times New Roman" w:cs="Times New Roman"/>
                <w:lang w:val="en-GB"/>
              </w:rPr>
              <w:t>.</w:t>
            </w:r>
            <w:r w:rsidRPr="00464512">
              <w:rPr>
                <w:rFonts w:ascii="Times New Roman" w:hAnsi="Times New Roman" w:cs="Times New Roman"/>
                <w:lang w:val="en-GB"/>
              </w:rPr>
              <w:t>44</w:t>
            </w:r>
          </w:p>
        </w:tc>
        <w:tc>
          <w:tcPr>
            <w:tcW w:w="1104" w:type="pct"/>
            <w:vAlign w:val="center"/>
          </w:tcPr>
          <w:p w14:paraId="5759DA94" w14:textId="687B0955"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w:t>
            </w:r>
            <w:r w:rsidR="00974A16">
              <w:rPr>
                <w:rFonts w:ascii="Times New Roman" w:hAnsi="Times New Roman" w:cs="Times New Roman"/>
                <w:lang w:val="en-GB"/>
              </w:rPr>
              <w:t>.</w:t>
            </w:r>
            <w:r w:rsidRPr="00464512">
              <w:rPr>
                <w:rFonts w:ascii="Times New Roman" w:hAnsi="Times New Roman" w:cs="Times New Roman"/>
                <w:lang w:val="en-GB"/>
              </w:rPr>
              <w:t>44</w:t>
            </w:r>
          </w:p>
        </w:tc>
        <w:tc>
          <w:tcPr>
            <w:tcW w:w="1616" w:type="pct"/>
            <w:vAlign w:val="center"/>
          </w:tcPr>
          <w:p w14:paraId="2D235208" w14:textId="4A20C875"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14</w:t>
            </w:r>
            <w:r w:rsidR="00974A16">
              <w:rPr>
                <w:rFonts w:ascii="Times New Roman" w:hAnsi="Times New Roman" w:cs="Times New Roman"/>
                <w:lang w:val="en-GB"/>
              </w:rPr>
              <w:t>,</w:t>
            </w:r>
            <w:r w:rsidRPr="00464512">
              <w:rPr>
                <w:rFonts w:ascii="Times New Roman" w:hAnsi="Times New Roman" w:cs="Times New Roman"/>
                <w:lang w:val="en-GB"/>
              </w:rPr>
              <w:t>396</w:t>
            </w:r>
            <w:r w:rsidR="00974A16">
              <w:rPr>
                <w:rFonts w:ascii="Times New Roman" w:hAnsi="Times New Roman" w:cs="Times New Roman"/>
                <w:lang w:val="en-GB"/>
              </w:rPr>
              <w:t>.</w:t>
            </w:r>
            <w:r w:rsidRPr="00464512">
              <w:rPr>
                <w:rFonts w:ascii="Times New Roman" w:hAnsi="Times New Roman" w:cs="Times New Roman"/>
                <w:lang w:val="en-GB"/>
              </w:rPr>
              <w:t>89</w:t>
            </w:r>
          </w:p>
        </w:tc>
      </w:tr>
      <w:tr w:rsidR="00C4684C" w:rsidRPr="00464512" w14:paraId="61054ABC" w14:textId="77777777" w:rsidTr="00C4684C">
        <w:tc>
          <w:tcPr>
            <w:tcW w:w="439" w:type="pct"/>
            <w:vAlign w:val="center"/>
          </w:tcPr>
          <w:p w14:paraId="37540EEE" w14:textId="42CB52FD"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2023</w:t>
            </w:r>
          </w:p>
        </w:tc>
        <w:tc>
          <w:tcPr>
            <w:tcW w:w="1840" w:type="pct"/>
            <w:vAlign w:val="center"/>
          </w:tcPr>
          <w:p w14:paraId="2ECD95BB" w14:textId="679BA15E"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18</w:t>
            </w:r>
            <w:r w:rsidR="00974A16">
              <w:rPr>
                <w:rFonts w:ascii="Times New Roman" w:hAnsi="Times New Roman" w:cs="Times New Roman"/>
                <w:lang w:val="en-GB"/>
              </w:rPr>
              <w:t>,</w:t>
            </w:r>
            <w:r w:rsidRPr="00464512">
              <w:rPr>
                <w:rFonts w:ascii="Times New Roman" w:hAnsi="Times New Roman" w:cs="Times New Roman"/>
                <w:lang w:val="en-GB"/>
              </w:rPr>
              <w:t>729</w:t>
            </w:r>
            <w:r w:rsidR="00974A16">
              <w:rPr>
                <w:rFonts w:ascii="Times New Roman" w:hAnsi="Times New Roman" w:cs="Times New Roman"/>
                <w:lang w:val="en-GB"/>
              </w:rPr>
              <w:t>.</w:t>
            </w:r>
            <w:r w:rsidRPr="00464512">
              <w:rPr>
                <w:rFonts w:ascii="Times New Roman" w:hAnsi="Times New Roman" w:cs="Times New Roman"/>
                <w:lang w:val="en-GB"/>
              </w:rPr>
              <w:t>52</w:t>
            </w:r>
          </w:p>
        </w:tc>
        <w:tc>
          <w:tcPr>
            <w:tcW w:w="1104" w:type="pct"/>
            <w:vAlign w:val="center"/>
          </w:tcPr>
          <w:p w14:paraId="1FF5F589" w14:textId="231A202E"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w:t>
            </w:r>
            <w:r w:rsidR="00974A16">
              <w:rPr>
                <w:rFonts w:ascii="Times New Roman" w:hAnsi="Times New Roman" w:cs="Times New Roman"/>
                <w:lang w:val="en-GB"/>
              </w:rPr>
              <w:t>.</w:t>
            </w:r>
            <w:r w:rsidRPr="00464512">
              <w:rPr>
                <w:rFonts w:ascii="Times New Roman" w:hAnsi="Times New Roman" w:cs="Times New Roman"/>
                <w:lang w:val="en-GB"/>
              </w:rPr>
              <w:t>70</w:t>
            </w:r>
          </w:p>
        </w:tc>
        <w:tc>
          <w:tcPr>
            <w:tcW w:w="1616" w:type="pct"/>
            <w:vAlign w:val="center"/>
          </w:tcPr>
          <w:p w14:paraId="39D95100" w14:textId="66B70073" w:rsidR="00135DB2" w:rsidRPr="00464512" w:rsidRDefault="00135DB2" w:rsidP="00135DB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16</w:t>
            </w:r>
            <w:r w:rsidR="00974A16">
              <w:rPr>
                <w:rFonts w:ascii="Times New Roman" w:hAnsi="Times New Roman" w:cs="Times New Roman"/>
                <w:lang w:val="en-GB"/>
              </w:rPr>
              <w:t>,</w:t>
            </w:r>
            <w:r w:rsidRPr="00464512">
              <w:rPr>
                <w:rFonts w:ascii="Times New Roman" w:hAnsi="Times New Roman" w:cs="Times New Roman"/>
                <w:lang w:val="en-GB"/>
              </w:rPr>
              <w:t>675</w:t>
            </w:r>
            <w:r w:rsidR="00974A16">
              <w:rPr>
                <w:rFonts w:ascii="Times New Roman" w:hAnsi="Times New Roman" w:cs="Times New Roman"/>
                <w:lang w:val="en-GB"/>
              </w:rPr>
              <w:t>.</w:t>
            </w:r>
            <w:r w:rsidRPr="00464512">
              <w:rPr>
                <w:rFonts w:ascii="Times New Roman" w:hAnsi="Times New Roman" w:cs="Times New Roman"/>
                <w:lang w:val="en-GB"/>
              </w:rPr>
              <w:t>44</w:t>
            </w:r>
          </w:p>
        </w:tc>
      </w:tr>
    </w:tbl>
    <w:p w14:paraId="0577C241" w14:textId="4CDE9DCE" w:rsidR="00E6740D" w:rsidRPr="00464512" w:rsidRDefault="00DA7F4F" w:rsidP="00464512">
      <w:pPr>
        <w:shd w:val="clear" w:color="auto" w:fill="FFFFFF"/>
        <w:spacing w:before="60" w:after="0" w:line="240" w:lineRule="auto"/>
        <w:rPr>
          <w:rFonts w:ascii="Times New Roman" w:eastAsia="Times New Roman" w:hAnsi="Times New Roman" w:cs="Times New Roman"/>
          <w:sz w:val="20"/>
          <w:szCs w:val="20"/>
          <w:lang w:val="en-GB"/>
        </w:rPr>
      </w:pPr>
      <w:r w:rsidRPr="00464512">
        <w:rPr>
          <w:rFonts w:ascii="Times New Roman" w:eastAsia="Times New Roman" w:hAnsi="Times New Roman" w:cs="Times New Roman"/>
          <w:sz w:val="20"/>
          <w:szCs w:val="20"/>
          <w:lang w:val="en-GB"/>
        </w:rPr>
        <w:t xml:space="preserve">Source: formed by the authors using </w:t>
      </w:r>
      <w:r w:rsidR="00E6740D" w:rsidRPr="00464512">
        <w:rPr>
          <w:rFonts w:ascii="Times New Roman" w:eastAsia="Times New Roman" w:hAnsi="Times New Roman" w:cs="Times New Roman"/>
          <w:sz w:val="20"/>
          <w:szCs w:val="20"/>
          <w:lang w:val="en-GB"/>
        </w:rPr>
        <w:t>(State Statistics Service of Ukraine, 2014-2023)</w:t>
      </w:r>
    </w:p>
    <w:p w14:paraId="0D495A1C" w14:textId="5212A56F" w:rsidR="00C30F02" w:rsidRPr="00464512" w:rsidRDefault="00C30F02" w:rsidP="00C4684C">
      <w:pPr>
        <w:widowControl w:val="0"/>
        <w:spacing w:after="0" w:line="240" w:lineRule="auto"/>
        <w:ind w:firstLine="284"/>
        <w:contextualSpacing/>
        <w:jc w:val="both"/>
        <w:rPr>
          <w:rFonts w:ascii="Times New Roman" w:hAnsi="Times New Roman" w:cs="Times New Roman"/>
          <w:lang w:val="en-GB"/>
        </w:rPr>
      </w:pPr>
    </w:p>
    <w:p w14:paraId="311BCBBF" w14:textId="77777777" w:rsidR="00464512" w:rsidRDefault="00464512" w:rsidP="00C4684C">
      <w:pPr>
        <w:widowControl w:val="0"/>
        <w:spacing w:after="0" w:line="240" w:lineRule="auto"/>
        <w:ind w:firstLine="284"/>
        <w:contextualSpacing/>
        <w:jc w:val="both"/>
        <w:rPr>
          <w:rFonts w:ascii="Times New Roman" w:hAnsi="Times New Roman" w:cs="Times New Roman"/>
          <w:lang w:val="en-GB"/>
        </w:rPr>
      </w:pPr>
    </w:p>
    <w:p w14:paraId="6248DE71" w14:textId="3CA97B8C" w:rsidR="00A86292" w:rsidRPr="00464512" w:rsidRDefault="00A86292"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lastRenderedPageBreak/>
        <w:t>It should be noted that we study the economic performance of Ukrainian enterprises during the period of maximum political adversity – starting from the beginning of Russia</w:t>
      </w:r>
      <w:r w:rsidR="00480D52">
        <w:rPr>
          <w:rFonts w:ascii="Times New Roman" w:hAnsi="Times New Roman" w:cs="Times New Roman"/>
          <w:lang w:val="en-GB"/>
        </w:rPr>
        <w:t>'</w:t>
      </w:r>
      <w:r w:rsidRPr="00464512">
        <w:rPr>
          <w:rFonts w:ascii="Times New Roman" w:hAnsi="Times New Roman" w:cs="Times New Roman"/>
          <w:lang w:val="en-GB"/>
        </w:rPr>
        <w:t>s invasion of Ukraine in 2014 and ending with full-scale hostilities after 2022. These events significantly affected the economy of our state, which allows us to conduct an analysis based on the real state of agriculture, forestry, and fisheries, taking into account the risk factor, which always becomes a significant argument in the event of force majeure circumstances (Honcharuk et al. 2024).</w:t>
      </w:r>
    </w:p>
    <w:p w14:paraId="5B39FF9F" w14:textId="0E5D97EC" w:rsidR="00135DB2" w:rsidRPr="00464512" w:rsidRDefault="00135DB2"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As the results of the data show, the </w:t>
      </w:r>
      <w:r w:rsidR="00480D52">
        <w:rPr>
          <w:rFonts w:ascii="Times New Roman" w:hAnsi="Times New Roman" w:cs="Times New Roman"/>
          <w:lang w:val="en-GB"/>
        </w:rPr>
        <w:t>most significan</w:t>
      </w:r>
      <w:r w:rsidRPr="00464512">
        <w:rPr>
          <w:rFonts w:ascii="Times New Roman" w:hAnsi="Times New Roman" w:cs="Times New Roman"/>
          <w:lang w:val="en-GB"/>
        </w:rPr>
        <w:t xml:space="preserve">t volume of sales of products (goods, services) of agricultural, forestry, and fishery enterprises was observed in the last year before the full-scale invasion, in 2021, reaching </w:t>
      </w:r>
      <w:r w:rsidR="004F1467" w:rsidRPr="00464512">
        <w:rPr>
          <w:rFonts w:ascii="Times New Roman" w:hAnsi="Times New Roman" w:cs="Times New Roman"/>
          <w:lang w:val="en-GB"/>
        </w:rPr>
        <w:t>$</w:t>
      </w:r>
      <w:r w:rsidRPr="00464512">
        <w:rPr>
          <w:rFonts w:ascii="Times New Roman" w:hAnsi="Times New Roman" w:cs="Times New Roman"/>
          <w:lang w:val="en-GB"/>
        </w:rPr>
        <w:t>22</w:t>
      </w:r>
      <w:r w:rsidR="00974A16">
        <w:rPr>
          <w:rFonts w:ascii="Times New Roman" w:hAnsi="Times New Roman" w:cs="Times New Roman"/>
          <w:lang w:val="en-GB"/>
        </w:rPr>
        <w:t>,</w:t>
      </w:r>
      <w:r w:rsidRPr="00464512">
        <w:rPr>
          <w:rFonts w:ascii="Times New Roman" w:hAnsi="Times New Roman" w:cs="Times New Roman"/>
          <w:lang w:val="en-GB"/>
        </w:rPr>
        <w:t>058</w:t>
      </w:r>
      <w:r w:rsidR="00974A16">
        <w:rPr>
          <w:rFonts w:ascii="Times New Roman" w:hAnsi="Times New Roman" w:cs="Times New Roman"/>
          <w:lang w:val="en-GB"/>
        </w:rPr>
        <w:t>.</w:t>
      </w:r>
      <w:r w:rsidRPr="00464512">
        <w:rPr>
          <w:rFonts w:ascii="Times New Roman" w:hAnsi="Times New Roman" w:cs="Times New Roman"/>
          <w:lang w:val="en-GB"/>
        </w:rPr>
        <w:t xml:space="preserve">85 </w:t>
      </w:r>
      <w:proofErr w:type="spellStart"/>
      <w:r w:rsidR="00075AE1" w:rsidRPr="00464512">
        <w:rPr>
          <w:rFonts w:ascii="Times New Roman" w:hAnsi="Times New Roman" w:cs="Times New Roman"/>
          <w:lang w:val="en-GB"/>
        </w:rPr>
        <w:t>mln</w:t>
      </w:r>
      <w:proofErr w:type="spellEnd"/>
      <w:r w:rsidRPr="00464512">
        <w:rPr>
          <w:rFonts w:ascii="Times New Roman" w:hAnsi="Times New Roman" w:cs="Times New Roman"/>
          <w:lang w:val="en-GB"/>
        </w:rPr>
        <w:t xml:space="preserve">. After a significant drop in 2022 by 26% (to </w:t>
      </w:r>
      <w:r w:rsidR="004F1467" w:rsidRPr="00464512">
        <w:rPr>
          <w:rFonts w:ascii="Times New Roman" w:hAnsi="Times New Roman" w:cs="Times New Roman"/>
          <w:lang w:val="en-GB"/>
        </w:rPr>
        <w:t>$</w:t>
      </w:r>
      <w:r w:rsidRPr="00464512">
        <w:rPr>
          <w:rFonts w:ascii="Times New Roman" w:hAnsi="Times New Roman" w:cs="Times New Roman"/>
          <w:lang w:val="en-GB"/>
        </w:rPr>
        <w:t>16</w:t>
      </w:r>
      <w:r w:rsidR="00974A16">
        <w:rPr>
          <w:rFonts w:ascii="Times New Roman" w:hAnsi="Times New Roman" w:cs="Times New Roman"/>
          <w:lang w:val="en-GB"/>
        </w:rPr>
        <w:t>,</w:t>
      </w:r>
      <w:r w:rsidRPr="00464512">
        <w:rPr>
          <w:rFonts w:ascii="Times New Roman" w:hAnsi="Times New Roman" w:cs="Times New Roman"/>
          <w:lang w:val="en-GB"/>
        </w:rPr>
        <w:t>338</w:t>
      </w:r>
      <w:r w:rsidR="00974A16">
        <w:rPr>
          <w:rFonts w:ascii="Times New Roman" w:hAnsi="Times New Roman" w:cs="Times New Roman"/>
          <w:lang w:val="en-GB"/>
        </w:rPr>
        <w:t>.</w:t>
      </w:r>
      <w:r w:rsidRPr="00464512">
        <w:rPr>
          <w:rFonts w:ascii="Times New Roman" w:hAnsi="Times New Roman" w:cs="Times New Roman"/>
          <w:lang w:val="en-GB"/>
        </w:rPr>
        <w:t xml:space="preserve">44 </w:t>
      </w:r>
      <w:proofErr w:type="spellStart"/>
      <w:r w:rsidR="00075AE1" w:rsidRPr="00464512">
        <w:rPr>
          <w:rFonts w:ascii="Times New Roman" w:hAnsi="Times New Roman" w:cs="Times New Roman"/>
          <w:lang w:val="en-GB"/>
        </w:rPr>
        <w:t>mln</w:t>
      </w:r>
      <w:proofErr w:type="spellEnd"/>
      <w:r w:rsidRPr="00464512">
        <w:rPr>
          <w:rFonts w:ascii="Times New Roman" w:hAnsi="Times New Roman" w:cs="Times New Roman"/>
          <w:lang w:val="en-GB"/>
        </w:rPr>
        <w:t xml:space="preserve">), an increase of 15% was recorded in 2023 (to </w:t>
      </w:r>
      <w:r w:rsidR="004F1467" w:rsidRPr="00464512">
        <w:rPr>
          <w:rFonts w:ascii="Times New Roman" w:hAnsi="Times New Roman" w:cs="Times New Roman"/>
          <w:lang w:val="en-GB"/>
        </w:rPr>
        <w:t>$</w:t>
      </w:r>
      <w:r w:rsidRPr="00464512">
        <w:rPr>
          <w:rFonts w:ascii="Times New Roman" w:hAnsi="Times New Roman" w:cs="Times New Roman"/>
          <w:lang w:val="en-GB"/>
        </w:rPr>
        <w:t>18</w:t>
      </w:r>
      <w:r w:rsidR="00974A16">
        <w:rPr>
          <w:rFonts w:ascii="Times New Roman" w:hAnsi="Times New Roman" w:cs="Times New Roman"/>
          <w:lang w:val="en-GB"/>
        </w:rPr>
        <w:t>,</w:t>
      </w:r>
      <w:r w:rsidRPr="00464512">
        <w:rPr>
          <w:rFonts w:ascii="Times New Roman" w:hAnsi="Times New Roman" w:cs="Times New Roman"/>
          <w:lang w:val="en-GB"/>
        </w:rPr>
        <w:t>729</w:t>
      </w:r>
      <w:r w:rsidR="00974A16">
        <w:rPr>
          <w:rFonts w:ascii="Times New Roman" w:hAnsi="Times New Roman" w:cs="Times New Roman"/>
          <w:lang w:val="en-GB"/>
        </w:rPr>
        <w:t>.</w:t>
      </w:r>
      <w:r w:rsidRPr="00464512">
        <w:rPr>
          <w:rFonts w:ascii="Times New Roman" w:hAnsi="Times New Roman" w:cs="Times New Roman"/>
          <w:lang w:val="en-GB"/>
        </w:rPr>
        <w:t xml:space="preserve">52 </w:t>
      </w:r>
      <w:proofErr w:type="spellStart"/>
      <w:r w:rsidR="00075AE1" w:rsidRPr="00464512">
        <w:rPr>
          <w:rFonts w:ascii="Times New Roman" w:hAnsi="Times New Roman" w:cs="Times New Roman"/>
          <w:lang w:val="en-GB"/>
        </w:rPr>
        <w:t>mln</w:t>
      </w:r>
      <w:proofErr w:type="spellEnd"/>
      <w:r w:rsidRPr="00464512">
        <w:rPr>
          <w:rFonts w:ascii="Times New Roman" w:hAnsi="Times New Roman" w:cs="Times New Roman"/>
          <w:lang w:val="en-GB"/>
        </w:rPr>
        <w:t>).</w:t>
      </w:r>
    </w:p>
    <w:p w14:paraId="1D6C5933" w14:textId="70807CFD" w:rsidR="009D4F96" w:rsidRPr="00464512" w:rsidRDefault="007A196A"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Capital investments during 2014-2023 were carried out unevenly – the maximum volume occurred in 2019 (</w:t>
      </w:r>
      <w:r w:rsidR="004F1467" w:rsidRPr="00464512">
        <w:rPr>
          <w:rFonts w:ascii="Times New Roman" w:hAnsi="Times New Roman" w:cs="Times New Roman"/>
          <w:lang w:val="en-GB"/>
        </w:rPr>
        <w:t>$</w:t>
      </w:r>
      <w:r w:rsidRPr="00464512">
        <w:rPr>
          <w:rFonts w:ascii="Times New Roman" w:hAnsi="Times New Roman" w:cs="Times New Roman"/>
          <w:lang w:val="en-GB"/>
        </w:rPr>
        <w:t>7</w:t>
      </w:r>
      <w:r w:rsidR="00974A16">
        <w:rPr>
          <w:rFonts w:ascii="Times New Roman" w:hAnsi="Times New Roman" w:cs="Times New Roman"/>
          <w:lang w:val="en-GB"/>
        </w:rPr>
        <w:t>.</w:t>
      </w:r>
      <w:r w:rsidRPr="00464512">
        <w:rPr>
          <w:rFonts w:ascii="Times New Roman" w:hAnsi="Times New Roman" w:cs="Times New Roman"/>
          <w:lang w:val="en-GB"/>
        </w:rPr>
        <w:t xml:space="preserve">63 </w:t>
      </w:r>
      <w:proofErr w:type="spellStart"/>
      <w:r w:rsidR="00075AE1" w:rsidRPr="00464512">
        <w:rPr>
          <w:rFonts w:ascii="Times New Roman" w:hAnsi="Times New Roman" w:cs="Times New Roman"/>
          <w:lang w:val="en-GB"/>
        </w:rPr>
        <w:t>mln</w:t>
      </w:r>
      <w:proofErr w:type="spellEnd"/>
      <w:r w:rsidRPr="00464512">
        <w:rPr>
          <w:rFonts w:ascii="Times New Roman" w:hAnsi="Times New Roman" w:cs="Times New Roman"/>
          <w:lang w:val="en-GB"/>
        </w:rPr>
        <w:t xml:space="preserve">), while the minimum volumes (2015 at </w:t>
      </w:r>
      <w:r w:rsidR="00E97758" w:rsidRPr="00464512">
        <w:rPr>
          <w:rFonts w:ascii="Times New Roman" w:hAnsi="Times New Roman" w:cs="Times New Roman"/>
          <w:lang w:val="en-GB"/>
        </w:rPr>
        <w:t>$</w:t>
      </w:r>
      <w:r w:rsidRPr="00464512">
        <w:rPr>
          <w:rFonts w:ascii="Times New Roman" w:hAnsi="Times New Roman" w:cs="Times New Roman"/>
          <w:lang w:val="en-GB"/>
        </w:rPr>
        <w:t>1</w:t>
      </w:r>
      <w:r w:rsidR="00974A16">
        <w:rPr>
          <w:rFonts w:ascii="Times New Roman" w:hAnsi="Times New Roman" w:cs="Times New Roman"/>
          <w:lang w:val="en-GB"/>
        </w:rPr>
        <w:t>.</w:t>
      </w:r>
      <w:r w:rsidRPr="00464512">
        <w:rPr>
          <w:rFonts w:ascii="Times New Roman" w:hAnsi="Times New Roman" w:cs="Times New Roman"/>
          <w:lang w:val="en-GB"/>
        </w:rPr>
        <w:t xml:space="preserve">26 </w:t>
      </w:r>
      <w:proofErr w:type="spellStart"/>
      <w:r w:rsidR="00075AE1" w:rsidRPr="00464512">
        <w:rPr>
          <w:rFonts w:ascii="Times New Roman" w:hAnsi="Times New Roman" w:cs="Times New Roman"/>
          <w:lang w:val="en-GB"/>
        </w:rPr>
        <w:t>mln</w:t>
      </w:r>
      <w:proofErr w:type="spellEnd"/>
      <w:r w:rsidRPr="00464512">
        <w:rPr>
          <w:rFonts w:ascii="Times New Roman" w:hAnsi="Times New Roman" w:cs="Times New Roman"/>
          <w:lang w:val="en-GB"/>
        </w:rPr>
        <w:t xml:space="preserve"> and 2022 at </w:t>
      </w:r>
      <w:r w:rsidR="00E97758" w:rsidRPr="00464512">
        <w:rPr>
          <w:rFonts w:ascii="Times New Roman" w:hAnsi="Times New Roman" w:cs="Times New Roman"/>
          <w:lang w:val="en-GB"/>
        </w:rPr>
        <w:t>$</w:t>
      </w:r>
      <w:r w:rsidRPr="00464512">
        <w:rPr>
          <w:rFonts w:ascii="Times New Roman" w:hAnsi="Times New Roman" w:cs="Times New Roman"/>
          <w:lang w:val="en-GB"/>
        </w:rPr>
        <w:t>1</w:t>
      </w:r>
      <w:r w:rsidR="00974A16">
        <w:rPr>
          <w:rFonts w:ascii="Times New Roman" w:hAnsi="Times New Roman" w:cs="Times New Roman"/>
          <w:lang w:val="en-GB"/>
        </w:rPr>
        <w:t>.</w:t>
      </w:r>
      <w:r w:rsidRPr="00464512">
        <w:rPr>
          <w:rFonts w:ascii="Times New Roman" w:hAnsi="Times New Roman" w:cs="Times New Roman"/>
          <w:lang w:val="en-GB"/>
        </w:rPr>
        <w:t xml:space="preserve">44 </w:t>
      </w:r>
      <w:proofErr w:type="spellStart"/>
      <w:r w:rsidR="00075AE1" w:rsidRPr="00464512">
        <w:rPr>
          <w:rFonts w:ascii="Times New Roman" w:hAnsi="Times New Roman" w:cs="Times New Roman"/>
          <w:lang w:val="en-GB"/>
        </w:rPr>
        <w:t>mln</w:t>
      </w:r>
      <w:proofErr w:type="spellEnd"/>
      <w:r w:rsidRPr="00464512">
        <w:rPr>
          <w:rFonts w:ascii="Times New Roman" w:hAnsi="Times New Roman" w:cs="Times New Roman"/>
          <w:lang w:val="en-GB"/>
        </w:rPr>
        <w:t>) were associated with the consequences of the intensification of hostilities by Russia. The main characteristic of any investment is a</w:t>
      </w:r>
      <w:r w:rsidR="00C35E8A">
        <w:rPr>
          <w:rFonts w:ascii="Times New Roman" w:hAnsi="Times New Roman" w:cs="Times New Roman"/>
          <w:lang w:val="en-GB"/>
        </w:rPr>
        <w:t> </w:t>
      </w:r>
      <w:r w:rsidRPr="00464512">
        <w:rPr>
          <w:rFonts w:ascii="Times New Roman" w:hAnsi="Times New Roman" w:cs="Times New Roman"/>
          <w:lang w:val="en-GB"/>
        </w:rPr>
        <w:t>significant reduction during periods of military conflict</w:t>
      </w:r>
      <w:r w:rsidR="009D4F96" w:rsidRPr="00464512">
        <w:rPr>
          <w:rFonts w:ascii="Times New Roman" w:hAnsi="Times New Roman" w:cs="Times New Roman"/>
          <w:lang w:val="en-GB"/>
        </w:rPr>
        <w:t>.</w:t>
      </w:r>
    </w:p>
    <w:p w14:paraId="4C4EE5EE" w14:textId="5EB91768" w:rsidR="008976AD" w:rsidRPr="00464512" w:rsidRDefault="00225DBC"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The nature of production costs shows a tendency toward consistent increase, indicating an intensification of economic activity. In 2022, production costs decreased by 1% compared to 2021 (from </w:t>
      </w:r>
      <w:r w:rsidR="00E97758" w:rsidRPr="00464512">
        <w:rPr>
          <w:rFonts w:ascii="Times New Roman" w:hAnsi="Times New Roman" w:cs="Times New Roman"/>
          <w:lang w:val="en-GB"/>
        </w:rPr>
        <w:t>$</w:t>
      </w:r>
      <w:r w:rsidRPr="00464512">
        <w:rPr>
          <w:rFonts w:ascii="Times New Roman" w:hAnsi="Times New Roman" w:cs="Times New Roman"/>
          <w:lang w:val="en-GB"/>
        </w:rPr>
        <w:t>14</w:t>
      </w:r>
      <w:r w:rsidR="00974A16">
        <w:rPr>
          <w:rFonts w:ascii="Times New Roman" w:hAnsi="Times New Roman" w:cs="Times New Roman"/>
          <w:lang w:val="en-GB"/>
        </w:rPr>
        <w:t>,</w:t>
      </w:r>
      <w:r w:rsidRPr="00464512">
        <w:rPr>
          <w:rFonts w:ascii="Times New Roman" w:hAnsi="Times New Roman" w:cs="Times New Roman"/>
          <w:lang w:val="en-GB"/>
        </w:rPr>
        <w:t>550</w:t>
      </w:r>
      <w:r w:rsidR="00974A16">
        <w:rPr>
          <w:rFonts w:ascii="Times New Roman" w:hAnsi="Times New Roman" w:cs="Times New Roman"/>
          <w:lang w:val="en-GB"/>
        </w:rPr>
        <w:t>.</w:t>
      </w:r>
      <w:r w:rsidRPr="00464512">
        <w:rPr>
          <w:rFonts w:ascii="Times New Roman" w:hAnsi="Times New Roman" w:cs="Times New Roman"/>
          <w:lang w:val="en-GB"/>
        </w:rPr>
        <w:t xml:space="preserve">28 </w:t>
      </w:r>
      <w:proofErr w:type="spellStart"/>
      <w:r w:rsidR="00075AE1" w:rsidRPr="00464512">
        <w:rPr>
          <w:rFonts w:ascii="Times New Roman" w:hAnsi="Times New Roman" w:cs="Times New Roman"/>
          <w:lang w:val="en-GB"/>
        </w:rPr>
        <w:t>mln</w:t>
      </w:r>
      <w:proofErr w:type="spellEnd"/>
      <w:r w:rsidRPr="00464512">
        <w:rPr>
          <w:rFonts w:ascii="Times New Roman" w:hAnsi="Times New Roman" w:cs="Times New Roman"/>
          <w:lang w:val="en-GB"/>
        </w:rPr>
        <w:t xml:space="preserve"> to </w:t>
      </w:r>
      <w:r w:rsidR="00E97758" w:rsidRPr="00464512">
        <w:rPr>
          <w:rFonts w:ascii="Times New Roman" w:hAnsi="Times New Roman" w:cs="Times New Roman"/>
          <w:lang w:val="en-GB"/>
        </w:rPr>
        <w:t>$</w:t>
      </w:r>
      <w:r w:rsidRPr="00464512">
        <w:rPr>
          <w:rFonts w:ascii="Times New Roman" w:hAnsi="Times New Roman" w:cs="Times New Roman"/>
          <w:lang w:val="en-GB"/>
        </w:rPr>
        <w:t>14</w:t>
      </w:r>
      <w:r w:rsidR="00974A16">
        <w:rPr>
          <w:rFonts w:ascii="Times New Roman" w:hAnsi="Times New Roman" w:cs="Times New Roman"/>
          <w:lang w:val="en-GB"/>
        </w:rPr>
        <w:t>,</w:t>
      </w:r>
      <w:r w:rsidRPr="00464512">
        <w:rPr>
          <w:rFonts w:ascii="Times New Roman" w:hAnsi="Times New Roman" w:cs="Times New Roman"/>
          <w:lang w:val="en-GB"/>
        </w:rPr>
        <w:t>396</w:t>
      </w:r>
      <w:r w:rsidR="00974A16">
        <w:rPr>
          <w:rFonts w:ascii="Times New Roman" w:hAnsi="Times New Roman" w:cs="Times New Roman"/>
          <w:lang w:val="en-GB"/>
        </w:rPr>
        <w:t>.</w:t>
      </w:r>
      <w:r w:rsidRPr="00464512">
        <w:rPr>
          <w:rFonts w:ascii="Times New Roman" w:hAnsi="Times New Roman" w:cs="Times New Roman"/>
          <w:lang w:val="en-GB"/>
        </w:rPr>
        <w:t xml:space="preserve">89 </w:t>
      </w:r>
      <w:proofErr w:type="spellStart"/>
      <w:r w:rsidR="00075AE1" w:rsidRPr="00464512">
        <w:rPr>
          <w:rFonts w:ascii="Times New Roman" w:hAnsi="Times New Roman" w:cs="Times New Roman"/>
          <w:lang w:val="en-GB"/>
        </w:rPr>
        <w:t>mln</w:t>
      </w:r>
      <w:proofErr w:type="spellEnd"/>
      <w:r w:rsidRPr="00464512">
        <w:rPr>
          <w:rFonts w:ascii="Times New Roman" w:hAnsi="Times New Roman" w:cs="Times New Roman"/>
          <w:lang w:val="en-GB"/>
        </w:rPr>
        <w:t>), which can be considered a consequence of a shock to the entire domestic economy, reflected in reduced business activity across all enterprises. However, after overcoming this situation in 2023, the costs of production of products (goods, services) of agricultural, forestry, and fishery enterprises increased by 15</w:t>
      </w:r>
      <w:r w:rsidR="00974A16">
        <w:rPr>
          <w:rFonts w:ascii="Times New Roman" w:hAnsi="Times New Roman" w:cs="Times New Roman"/>
          <w:lang w:val="en-GB"/>
        </w:rPr>
        <w:t>.</w:t>
      </w:r>
      <w:r w:rsidRPr="00464512">
        <w:rPr>
          <w:rFonts w:ascii="Times New Roman" w:hAnsi="Times New Roman" w:cs="Times New Roman"/>
          <w:lang w:val="en-GB"/>
        </w:rPr>
        <w:t xml:space="preserve">8%, reaching a record value for the studied period of </w:t>
      </w:r>
      <w:r w:rsidR="00E97758" w:rsidRPr="00464512">
        <w:rPr>
          <w:rFonts w:ascii="Times New Roman" w:hAnsi="Times New Roman" w:cs="Times New Roman"/>
          <w:lang w:val="en-GB"/>
        </w:rPr>
        <w:t>$</w:t>
      </w:r>
      <w:r w:rsidRPr="00464512">
        <w:rPr>
          <w:rFonts w:ascii="Times New Roman" w:hAnsi="Times New Roman" w:cs="Times New Roman"/>
          <w:lang w:val="en-GB"/>
        </w:rPr>
        <w:t>16</w:t>
      </w:r>
      <w:r w:rsidR="00974A16">
        <w:rPr>
          <w:rFonts w:ascii="Times New Roman" w:hAnsi="Times New Roman" w:cs="Times New Roman"/>
          <w:lang w:val="en-GB"/>
        </w:rPr>
        <w:t>,</w:t>
      </w:r>
      <w:r w:rsidRPr="00464512">
        <w:rPr>
          <w:rFonts w:ascii="Times New Roman" w:hAnsi="Times New Roman" w:cs="Times New Roman"/>
          <w:lang w:val="en-GB"/>
        </w:rPr>
        <w:t>675</w:t>
      </w:r>
      <w:r w:rsidR="00974A16">
        <w:rPr>
          <w:rFonts w:ascii="Times New Roman" w:hAnsi="Times New Roman" w:cs="Times New Roman"/>
          <w:lang w:val="en-GB"/>
        </w:rPr>
        <w:t>.</w:t>
      </w:r>
      <w:r w:rsidRPr="00464512">
        <w:rPr>
          <w:rFonts w:ascii="Times New Roman" w:hAnsi="Times New Roman" w:cs="Times New Roman"/>
          <w:lang w:val="en-GB"/>
        </w:rPr>
        <w:t xml:space="preserve">44 </w:t>
      </w:r>
      <w:proofErr w:type="spellStart"/>
      <w:r w:rsidR="00075AE1" w:rsidRPr="00464512">
        <w:rPr>
          <w:rFonts w:ascii="Times New Roman" w:hAnsi="Times New Roman" w:cs="Times New Roman"/>
          <w:lang w:val="en-GB"/>
        </w:rPr>
        <w:t>mln</w:t>
      </w:r>
      <w:proofErr w:type="spellEnd"/>
      <w:r w:rsidR="008976AD" w:rsidRPr="00464512">
        <w:rPr>
          <w:rFonts w:ascii="Times New Roman" w:hAnsi="Times New Roman" w:cs="Times New Roman"/>
          <w:lang w:val="en-GB"/>
        </w:rPr>
        <w:t>.</w:t>
      </w:r>
    </w:p>
    <w:p w14:paraId="3061752F" w14:textId="70FA2121" w:rsidR="00C30F02" w:rsidRPr="00464512" w:rsidRDefault="00B116BD"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Based on the data in Table 1, we will calculate the coverage ratios of the volume of products (goods, services) sold by enterprises of capital investments in land </w:t>
      </w:r>
      <w:r w:rsidR="00483B78" w:rsidRPr="00464512">
        <w:rPr>
          <w:rFonts w:ascii="Times New Roman" w:hAnsi="Times New Roman" w:cs="Times New Roman"/>
          <w:lang w:val="en-GB"/>
        </w:rPr>
        <w:t>(X</w:t>
      </w:r>
      <w:r w:rsidR="00483B78" w:rsidRPr="00464512">
        <w:rPr>
          <w:rFonts w:ascii="Times New Roman" w:hAnsi="Times New Roman" w:cs="Times New Roman"/>
          <w:vertAlign w:val="subscript"/>
          <w:lang w:val="en-GB"/>
        </w:rPr>
        <w:t xml:space="preserve">1 </w:t>
      </w:r>
      <w:r w:rsidR="00483B78" w:rsidRPr="00464512">
        <w:rPr>
          <w:rFonts w:ascii="Times New Roman" w:hAnsi="Times New Roman" w:cs="Times New Roman"/>
          <w:lang w:val="en-GB"/>
        </w:rPr>
        <w:t xml:space="preserve">/ Y) </w:t>
      </w:r>
      <w:r w:rsidRPr="00464512">
        <w:rPr>
          <w:rFonts w:ascii="Times New Roman" w:hAnsi="Times New Roman" w:cs="Times New Roman"/>
          <w:lang w:val="en-GB"/>
        </w:rPr>
        <w:t xml:space="preserve">and the costs of production of products (goods, services) </w:t>
      </w:r>
      <w:r w:rsidR="00483B78" w:rsidRPr="00464512">
        <w:rPr>
          <w:rFonts w:ascii="Times New Roman" w:hAnsi="Times New Roman" w:cs="Times New Roman"/>
          <w:lang w:val="en-GB"/>
        </w:rPr>
        <w:t>(X</w:t>
      </w:r>
      <w:r w:rsidR="00483B78" w:rsidRPr="00464512">
        <w:rPr>
          <w:rFonts w:ascii="Times New Roman" w:hAnsi="Times New Roman" w:cs="Times New Roman"/>
          <w:vertAlign w:val="subscript"/>
          <w:lang w:val="en-GB"/>
        </w:rPr>
        <w:t xml:space="preserve">2 </w:t>
      </w:r>
      <w:r w:rsidR="00483B78" w:rsidRPr="00464512">
        <w:rPr>
          <w:rFonts w:ascii="Times New Roman" w:hAnsi="Times New Roman" w:cs="Times New Roman"/>
          <w:lang w:val="en-GB"/>
        </w:rPr>
        <w:t xml:space="preserve">/ Y) </w:t>
      </w:r>
      <w:r w:rsidRPr="00464512">
        <w:rPr>
          <w:rFonts w:ascii="Times New Roman" w:hAnsi="Times New Roman" w:cs="Times New Roman"/>
          <w:lang w:val="en-GB"/>
        </w:rPr>
        <w:t xml:space="preserve">for </w:t>
      </w:r>
      <w:r w:rsidR="00483B78" w:rsidRPr="00464512">
        <w:rPr>
          <w:rFonts w:ascii="Times New Roman" w:hAnsi="Times New Roman" w:cs="Times New Roman"/>
          <w:lang w:val="en-GB"/>
        </w:rPr>
        <w:t>2014-2023 (</w:t>
      </w:r>
      <w:r w:rsidRPr="00464512">
        <w:rPr>
          <w:rFonts w:ascii="Times New Roman" w:hAnsi="Times New Roman" w:cs="Times New Roman"/>
          <w:lang w:val="en-GB"/>
        </w:rPr>
        <w:t xml:space="preserve">Table </w:t>
      </w:r>
      <w:r w:rsidR="00E73CC0" w:rsidRPr="00464512">
        <w:rPr>
          <w:rFonts w:ascii="Times New Roman" w:hAnsi="Times New Roman" w:cs="Times New Roman"/>
          <w:lang w:val="en-GB"/>
        </w:rPr>
        <w:t>3</w:t>
      </w:r>
      <w:r w:rsidR="00483B78" w:rsidRPr="00464512">
        <w:rPr>
          <w:rFonts w:ascii="Times New Roman" w:hAnsi="Times New Roman" w:cs="Times New Roman"/>
          <w:lang w:val="en-GB"/>
        </w:rPr>
        <w:t>).</w:t>
      </w:r>
    </w:p>
    <w:p w14:paraId="3EDF9604" w14:textId="77777777" w:rsidR="00F01093" w:rsidRPr="00464512" w:rsidRDefault="00F01093" w:rsidP="00DA4FDD">
      <w:pPr>
        <w:widowControl w:val="0"/>
        <w:spacing w:after="0" w:line="240" w:lineRule="auto"/>
        <w:ind w:firstLine="567"/>
        <w:contextualSpacing/>
        <w:jc w:val="both"/>
        <w:rPr>
          <w:rFonts w:ascii="Times New Roman" w:hAnsi="Times New Roman" w:cs="Times New Roman"/>
          <w:i/>
          <w:lang w:val="en-GB"/>
        </w:rPr>
      </w:pPr>
    </w:p>
    <w:p w14:paraId="59B56FC0" w14:textId="0FC17B37" w:rsidR="0077695F" w:rsidRPr="00464512" w:rsidRDefault="001A3681" w:rsidP="00C4684C">
      <w:pPr>
        <w:pStyle w:val="Rtab"/>
        <w:rPr>
          <w:lang w:val="en-GB"/>
        </w:rPr>
      </w:pPr>
      <w:r w:rsidRPr="00464512">
        <w:rPr>
          <w:b/>
          <w:bCs/>
          <w:iCs/>
          <w:lang w:val="en-GB"/>
        </w:rPr>
        <w:t>Table 3</w:t>
      </w:r>
      <w:r w:rsidR="001C2AEC" w:rsidRPr="00464512">
        <w:rPr>
          <w:b/>
          <w:bCs/>
          <w:iCs/>
          <w:lang w:val="en-GB"/>
        </w:rPr>
        <w:t>.</w:t>
      </w:r>
      <w:r w:rsidR="001C2AEC" w:rsidRPr="00464512">
        <w:rPr>
          <w:i/>
          <w:lang w:val="en-GB"/>
        </w:rPr>
        <w:t xml:space="preserve"> </w:t>
      </w:r>
      <w:r w:rsidR="006A36EF" w:rsidRPr="00464512">
        <w:rPr>
          <w:lang w:val="en-GB"/>
        </w:rPr>
        <w:t xml:space="preserve">Coverage ratios of the volume of sold products (goods, services) of enterprises of capital investments in land </w:t>
      </w:r>
      <w:r w:rsidR="0077695F" w:rsidRPr="00464512">
        <w:rPr>
          <w:lang w:val="en-GB"/>
        </w:rPr>
        <w:t>(X</w:t>
      </w:r>
      <w:r w:rsidR="0077695F" w:rsidRPr="00464512">
        <w:rPr>
          <w:vertAlign w:val="subscript"/>
          <w:lang w:val="en-GB"/>
        </w:rPr>
        <w:t>1</w:t>
      </w:r>
      <w:r w:rsidR="0077695F" w:rsidRPr="00464512">
        <w:rPr>
          <w:lang w:val="en-GB"/>
        </w:rPr>
        <w:t xml:space="preserve"> / Y) </w:t>
      </w:r>
      <w:r w:rsidR="006A36EF" w:rsidRPr="00464512">
        <w:rPr>
          <w:lang w:val="en-GB"/>
        </w:rPr>
        <w:t xml:space="preserve">and costs of production of products (goods, services) </w:t>
      </w:r>
      <w:r w:rsidR="0077695F" w:rsidRPr="00464512">
        <w:rPr>
          <w:lang w:val="en-GB"/>
        </w:rPr>
        <w:t>(X</w:t>
      </w:r>
      <w:r w:rsidR="0077695F" w:rsidRPr="00464512">
        <w:rPr>
          <w:vertAlign w:val="subscript"/>
          <w:lang w:val="en-GB"/>
        </w:rPr>
        <w:t>2</w:t>
      </w:r>
      <w:r w:rsidR="0077695F" w:rsidRPr="00464512">
        <w:rPr>
          <w:lang w:val="en-GB"/>
        </w:rPr>
        <w:t xml:space="preserve"> / Y)</w:t>
      </w:r>
      <w:r w:rsidRPr="00464512">
        <w:rPr>
          <w:lang w:val="en-GB"/>
        </w:rPr>
        <w:t xml:space="preserve">, </w:t>
      </w:r>
      <w:r w:rsidR="0077695F" w:rsidRPr="00464512">
        <w:rPr>
          <w:lang w:val="en-GB"/>
        </w:rPr>
        <w:t>2014-2023</w:t>
      </w:r>
    </w:p>
    <w:tbl>
      <w:tblPr>
        <w:tblStyle w:val="Tabela-Siatka"/>
        <w:tblW w:w="2132" w:type="pct"/>
        <w:tblLook w:val="04A0" w:firstRow="1" w:lastRow="0" w:firstColumn="1" w:lastColumn="0" w:noHBand="0" w:noVBand="1"/>
      </w:tblPr>
      <w:tblGrid>
        <w:gridCol w:w="1129"/>
        <w:gridCol w:w="1488"/>
        <w:gridCol w:w="1488"/>
      </w:tblGrid>
      <w:tr w:rsidR="00C4684C" w:rsidRPr="00464512" w14:paraId="4578FCCB" w14:textId="77777777" w:rsidTr="00E74783">
        <w:tc>
          <w:tcPr>
            <w:tcW w:w="1375" w:type="pct"/>
            <w:vAlign w:val="center"/>
          </w:tcPr>
          <w:p w14:paraId="5E3C9029" w14:textId="4D9DE145" w:rsidR="00D53E41" w:rsidRPr="00464512" w:rsidRDefault="00A20199"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Years</w:t>
            </w:r>
          </w:p>
        </w:tc>
        <w:tc>
          <w:tcPr>
            <w:tcW w:w="1812" w:type="pct"/>
            <w:vAlign w:val="center"/>
          </w:tcPr>
          <w:p w14:paraId="5473576D" w14:textId="64E3F645" w:rsidR="00D53E41" w:rsidRPr="00464512" w:rsidRDefault="00D53E41"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X</w:t>
            </w:r>
            <w:r w:rsidRPr="00464512">
              <w:rPr>
                <w:rFonts w:ascii="Times New Roman" w:hAnsi="Times New Roman" w:cs="Times New Roman"/>
                <w:vertAlign w:val="subscript"/>
                <w:lang w:val="en-GB"/>
              </w:rPr>
              <w:t>1</w:t>
            </w:r>
            <w:r w:rsidRPr="00464512">
              <w:rPr>
                <w:rFonts w:ascii="Times New Roman" w:hAnsi="Times New Roman" w:cs="Times New Roman"/>
                <w:lang w:val="en-GB"/>
              </w:rPr>
              <w:t xml:space="preserve"> / Y</w:t>
            </w:r>
          </w:p>
        </w:tc>
        <w:tc>
          <w:tcPr>
            <w:tcW w:w="1812" w:type="pct"/>
            <w:vAlign w:val="center"/>
          </w:tcPr>
          <w:p w14:paraId="67EDC4F7" w14:textId="36D347F1" w:rsidR="00D53E41" w:rsidRPr="00464512" w:rsidRDefault="00D53E41"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X</w:t>
            </w:r>
            <w:r w:rsidRPr="00464512">
              <w:rPr>
                <w:rFonts w:ascii="Times New Roman" w:hAnsi="Times New Roman" w:cs="Times New Roman"/>
                <w:vertAlign w:val="subscript"/>
                <w:lang w:val="en-GB"/>
              </w:rPr>
              <w:t>2</w:t>
            </w:r>
            <w:r w:rsidRPr="00464512">
              <w:rPr>
                <w:rFonts w:ascii="Times New Roman" w:hAnsi="Times New Roman" w:cs="Times New Roman"/>
                <w:lang w:val="en-GB"/>
              </w:rPr>
              <w:t xml:space="preserve"> / Y</w:t>
            </w:r>
          </w:p>
        </w:tc>
      </w:tr>
      <w:tr w:rsidR="00C4684C" w:rsidRPr="00464512" w14:paraId="02720936" w14:textId="77777777" w:rsidTr="00E74783">
        <w:tc>
          <w:tcPr>
            <w:tcW w:w="1375" w:type="pct"/>
            <w:vAlign w:val="center"/>
          </w:tcPr>
          <w:p w14:paraId="4D86D0FC" w14:textId="77777777" w:rsidR="00D53E41" w:rsidRPr="00464512" w:rsidRDefault="00D53E41"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2014</w:t>
            </w:r>
          </w:p>
        </w:tc>
        <w:tc>
          <w:tcPr>
            <w:tcW w:w="1812" w:type="pct"/>
            <w:vAlign w:val="center"/>
          </w:tcPr>
          <w:p w14:paraId="480C3A33" w14:textId="3951BF7D" w:rsidR="00D53E41" w:rsidRPr="00464512" w:rsidRDefault="00C43258"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w:t>
            </w:r>
            <w:r w:rsidR="00D53E41" w:rsidRPr="00464512">
              <w:rPr>
                <w:rFonts w:ascii="Times New Roman" w:hAnsi="Times New Roman" w:cs="Times New Roman"/>
                <w:lang w:val="en-GB"/>
              </w:rPr>
              <w:t>41</w:t>
            </w:r>
            <w:r w:rsidRPr="00464512">
              <w:rPr>
                <w:rFonts w:ascii="Times New Roman" w:hAnsi="Times New Roman" w:cs="Times New Roman"/>
                <w:lang w:val="en-GB"/>
              </w:rPr>
              <w:t>5</w:t>
            </w:r>
          </w:p>
        </w:tc>
        <w:tc>
          <w:tcPr>
            <w:tcW w:w="1812" w:type="pct"/>
            <w:vAlign w:val="center"/>
          </w:tcPr>
          <w:p w14:paraId="18218A86" w14:textId="00025665" w:rsidR="00D53E41" w:rsidRPr="00464512" w:rsidRDefault="0050787E"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888</w:t>
            </w:r>
          </w:p>
        </w:tc>
      </w:tr>
      <w:tr w:rsidR="00C4684C" w:rsidRPr="00464512" w14:paraId="4CE8538C" w14:textId="77777777" w:rsidTr="00E74783">
        <w:tc>
          <w:tcPr>
            <w:tcW w:w="1375" w:type="pct"/>
            <w:vAlign w:val="center"/>
          </w:tcPr>
          <w:p w14:paraId="6BD80D9E" w14:textId="77777777" w:rsidR="00D53E41" w:rsidRPr="00464512" w:rsidRDefault="00D53E41"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2015</w:t>
            </w:r>
          </w:p>
        </w:tc>
        <w:tc>
          <w:tcPr>
            <w:tcW w:w="1812" w:type="pct"/>
            <w:vAlign w:val="center"/>
          </w:tcPr>
          <w:p w14:paraId="5A8F5EA9" w14:textId="7A3F1330" w:rsidR="00D53E41" w:rsidRPr="00464512" w:rsidRDefault="00C43258"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w:t>
            </w:r>
            <w:r w:rsidR="00D53E41" w:rsidRPr="00464512">
              <w:rPr>
                <w:rFonts w:ascii="Times New Roman" w:hAnsi="Times New Roman" w:cs="Times New Roman"/>
                <w:lang w:val="en-GB"/>
              </w:rPr>
              <w:t>14</w:t>
            </w:r>
            <w:r w:rsidRPr="00464512">
              <w:rPr>
                <w:rFonts w:ascii="Times New Roman" w:hAnsi="Times New Roman" w:cs="Times New Roman"/>
                <w:lang w:val="en-GB"/>
              </w:rPr>
              <w:t>5</w:t>
            </w:r>
          </w:p>
        </w:tc>
        <w:tc>
          <w:tcPr>
            <w:tcW w:w="1812" w:type="pct"/>
            <w:vAlign w:val="center"/>
          </w:tcPr>
          <w:p w14:paraId="492F5854" w14:textId="2BA70DCF" w:rsidR="00D53E41" w:rsidRPr="00464512" w:rsidRDefault="0050787E"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759</w:t>
            </w:r>
          </w:p>
        </w:tc>
      </w:tr>
      <w:tr w:rsidR="00C4684C" w:rsidRPr="00464512" w14:paraId="1FAB741A" w14:textId="77777777" w:rsidTr="00E74783">
        <w:tc>
          <w:tcPr>
            <w:tcW w:w="1375" w:type="pct"/>
            <w:vAlign w:val="center"/>
          </w:tcPr>
          <w:p w14:paraId="07DA0990" w14:textId="77777777" w:rsidR="00D53E41" w:rsidRPr="00464512" w:rsidRDefault="00D53E41"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2016</w:t>
            </w:r>
          </w:p>
        </w:tc>
        <w:tc>
          <w:tcPr>
            <w:tcW w:w="1812" w:type="pct"/>
            <w:vAlign w:val="center"/>
          </w:tcPr>
          <w:p w14:paraId="52AD9BC6" w14:textId="46B5D907" w:rsidR="00D53E41" w:rsidRPr="00464512" w:rsidRDefault="00C43258"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w:t>
            </w:r>
            <w:r w:rsidR="00D53E41" w:rsidRPr="00464512">
              <w:rPr>
                <w:rFonts w:ascii="Times New Roman" w:hAnsi="Times New Roman" w:cs="Times New Roman"/>
                <w:lang w:val="en-GB"/>
              </w:rPr>
              <w:t>23</w:t>
            </w:r>
            <w:r w:rsidRPr="00464512">
              <w:rPr>
                <w:rFonts w:ascii="Times New Roman" w:hAnsi="Times New Roman" w:cs="Times New Roman"/>
                <w:lang w:val="en-GB"/>
              </w:rPr>
              <w:t>8</w:t>
            </w:r>
          </w:p>
        </w:tc>
        <w:tc>
          <w:tcPr>
            <w:tcW w:w="1812" w:type="pct"/>
            <w:vAlign w:val="center"/>
          </w:tcPr>
          <w:p w14:paraId="693DD930" w14:textId="2A2368FA" w:rsidR="00D53E41" w:rsidRPr="00464512" w:rsidRDefault="0050787E"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809</w:t>
            </w:r>
          </w:p>
        </w:tc>
      </w:tr>
      <w:tr w:rsidR="00C4684C" w:rsidRPr="00464512" w14:paraId="4CC84707" w14:textId="77777777" w:rsidTr="00E74783">
        <w:tc>
          <w:tcPr>
            <w:tcW w:w="1375" w:type="pct"/>
            <w:vAlign w:val="center"/>
          </w:tcPr>
          <w:p w14:paraId="0F91C76A" w14:textId="77777777" w:rsidR="00D53E41" w:rsidRPr="00464512" w:rsidRDefault="00D53E41"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2017</w:t>
            </w:r>
          </w:p>
        </w:tc>
        <w:tc>
          <w:tcPr>
            <w:tcW w:w="1812" w:type="pct"/>
            <w:vAlign w:val="center"/>
          </w:tcPr>
          <w:p w14:paraId="669BE94C" w14:textId="430A9DC9" w:rsidR="00D53E41" w:rsidRPr="00464512" w:rsidRDefault="00C43258"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w:t>
            </w:r>
            <w:r w:rsidR="00D53E41" w:rsidRPr="00464512">
              <w:rPr>
                <w:rFonts w:ascii="Times New Roman" w:hAnsi="Times New Roman" w:cs="Times New Roman"/>
                <w:lang w:val="en-GB"/>
              </w:rPr>
              <w:t>33</w:t>
            </w:r>
            <w:r w:rsidRPr="00464512">
              <w:rPr>
                <w:rFonts w:ascii="Times New Roman" w:hAnsi="Times New Roman" w:cs="Times New Roman"/>
                <w:lang w:val="en-GB"/>
              </w:rPr>
              <w:t>8</w:t>
            </w:r>
          </w:p>
        </w:tc>
        <w:tc>
          <w:tcPr>
            <w:tcW w:w="1812" w:type="pct"/>
            <w:vAlign w:val="center"/>
          </w:tcPr>
          <w:p w14:paraId="065206DE" w14:textId="77CC7B99" w:rsidR="00D53E41" w:rsidRPr="00464512" w:rsidRDefault="0050787E"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856</w:t>
            </w:r>
          </w:p>
        </w:tc>
      </w:tr>
      <w:tr w:rsidR="00C4684C" w:rsidRPr="00464512" w14:paraId="47CB8678" w14:textId="77777777" w:rsidTr="00E74783">
        <w:tc>
          <w:tcPr>
            <w:tcW w:w="1375" w:type="pct"/>
            <w:vAlign w:val="center"/>
          </w:tcPr>
          <w:p w14:paraId="3A59C264" w14:textId="77777777" w:rsidR="00D53E41" w:rsidRPr="00464512" w:rsidRDefault="00D53E41"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2018</w:t>
            </w:r>
          </w:p>
        </w:tc>
        <w:tc>
          <w:tcPr>
            <w:tcW w:w="1812" w:type="pct"/>
            <w:vAlign w:val="center"/>
          </w:tcPr>
          <w:p w14:paraId="208350EB" w14:textId="16EFC649" w:rsidR="00D53E41" w:rsidRPr="00464512" w:rsidRDefault="00C43258"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w:t>
            </w:r>
            <w:r w:rsidR="0055152F" w:rsidRPr="00464512">
              <w:rPr>
                <w:rFonts w:ascii="Times New Roman" w:hAnsi="Times New Roman" w:cs="Times New Roman"/>
                <w:lang w:val="en-GB"/>
              </w:rPr>
              <w:t>36</w:t>
            </w:r>
            <w:r w:rsidRPr="00464512">
              <w:rPr>
                <w:rFonts w:ascii="Times New Roman" w:hAnsi="Times New Roman" w:cs="Times New Roman"/>
                <w:lang w:val="en-GB"/>
              </w:rPr>
              <w:t>8</w:t>
            </w:r>
          </w:p>
        </w:tc>
        <w:tc>
          <w:tcPr>
            <w:tcW w:w="1812" w:type="pct"/>
            <w:vAlign w:val="center"/>
          </w:tcPr>
          <w:p w14:paraId="68C411FF" w14:textId="378B2860" w:rsidR="00D53E41" w:rsidRPr="00464512" w:rsidRDefault="0050787E"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917</w:t>
            </w:r>
          </w:p>
        </w:tc>
      </w:tr>
      <w:tr w:rsidR="00C4684C" w:rsidRPr="00464512" w14:paraId="33D87172" w14:textId="77777777" w:rsidTr="00E74783">
        <w:tc>
          <w:tcPr>
            <w:tcW w:w="1375" w:type="pct"/>
            <w:vAlign w:val="center"/>
          </w:tcPr>
          <w:p w14:paraId="65F2787E" w14:textId="77777777" w:rsidR="00D53E41" w:rsidRPr="00464512" w:rsidRDefault="00D53E41"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2019</w:t>
            </w:r>
          </w:p>
        </w:tc>
        <w:tc>
          <w:tcPr>
            <w:tcW w:w="1812" w:type="pct"/>
            <w:vAlign w:val="center"/>
          </w:tcPr>
          <w:p w14:paraId="22055DE1" w14:textId="3129A1DC" w:rsidR="00D53E41" w:rsidRPr="00464512" w:rsidRDefault="00C43258"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w:t>
            </w:r>
            <w:r w:rsidR="0055152F" w:rsidRPr="00464512">
              <w:rPr>
                <w:rFonts w:ascii="Times New Roman" w:hAnsi="Times New Roman" w:cs="Times New Roman"/>
                <w:lang w:val="en-GB"/>
              </w:rPr>
              <w:t>571</w:t>
            </w:r>
          </w:p>
        </w:tc>
        <w:tc>
          <w:tcPr>
            <w:tcW w:w="1812" w:type="pct"/>
            <w:vAlign w:val="center"/>
          </w:tcPr>
          <w:p w14:paraId="42EF4DFD" w14:textId="393C84B9" w:rsidR="00D53E41" w:rsidRPr="00464512" w:rsidRDefault="001A2FEB"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914</w:t>
            </w:r>
          </w:p>
        </w:tc>
      </w:tr>
      <w:tr w:rsidR="00C4684C" w:rsidRPr="00464512" w14:paraId="76DDA3D5" w14:textId="77777777" w:rsidTr="00E74783">
        <w:tc>
          <w:tcPr>
            <w:tcW w:w="1375" w:type="pct"/>
            <w:vAlign w:val="center"/>
          </w:tcPr>
          <w:p w14:paraId="1184FE81" w14:textId="77777777" w:rsidR="00D53E41" w:rsidRPr="00464512" w:rsidRDefault="00D53E41"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2020</w:t>
            </w:r>
          </w:p>
        </w:tc>
        <w:tc>
          <w:tcPr>
            <w:tcW w:w="1812" w:type="pct"/>
            <w:vAlign w:val="center"/>
          </w:tcPr>
          <w:p w14:paraId="36245768" w14:textId="18F764A3" w:rsidR="00D53E41" w:rsidRPr="00464512" w:rsidRDefault="00C43258"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w:t>
            </w:r>
            <w:r w:rsidR="0055152F" w:rsidRPr="00464512">
              <w:rPr>
                <w:rFonts w:ascii="Times New Roman" w:hAnsi="Times New Roman" w:cs="Times New Roman"/>
                <w:lang w:val="en-GB"/>
              </w:rPr>
              <w:t>449</w:t>
            </w:r>
          </w:p>
        </w:tc>
        <w:tc>
          <w:tcPr>
            <w:tcW w:w="1812" w:type="pct"/>
            <w:vAlign w:val="center"/>
          </w:tcPr>
          <w:p w14:paraId="2B3A01A1" w14:textId="5763E5BA" w:rsidR="00D53E41" w:rsidRPr="00464512" w:rsidRDefault="001A2FEB"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846</w:t>
            </w:r>
          </w:p>
        </w:tc>
      </w:tr>
      <w:tr w:rsidR="00C4684C" w:rsidRPr="00464512" w14:paraId="700E363F" w14:textId="77777777" w:rsidTr="00E74783">
        <w:tc>
          <w:tcPr>
            <w:tcW w:w="1375" w:type="pct"/>
            <w:vAlign w:val="center"/>
          </w:tcPr>
          <w:p w14:paraId="2FE31073" w14:textId="77777777" w:rsidR="00D53E41" w:rsidRPr="00464512" w:rsidRDefault="00D53E41"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2021</w:t>
            </w:r>
          </w:p>
        </w:tc>
        <w:tc>
          <w:tcPr>
            <w:tcW w:w="1812" w:type="pct"/>
            <w:vAlign w:val="center"/>
          </w:tcPr>
          <w:p w14:paraId="34FADF2C" w14:textId="3FCEADEF" w:rsidR="00D53E41" w:rsidRPr="00464512" w:rsidRDefault="00C43258"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w:t>
            </w:r>
            <w:r w:rsidR="0055152F" w:rsidRPr="00464512">
              <w:rPr>
                <w:rFonts w:ascii="Times New Roman" w:hAnsi="Times New Roman" w:cs="Times New Roman"/>
                <w:lang w:val="en-GB"/>
              </w:rPr>
              <w:t>19</w:t>
            </w:r>
            <w:r w:rsidRPr="00464512">
              <w:rPr>
                <w:rFonts w:ascii="Times New Roman" w:hAnsi="Times New Roman" w:cs="Times New Roman"/>
                <w:lang w:val="en-GB"/>
              </w:rPr>
              <w:t>7</w:t>
            </w:r>
          </w:p>
        </w:tc>
        <w:tc>
          <w:tcPr>
            <w:tcW w:w="1812" w:type="pct"/>
            <w:vAlign w:val="center"/>
          </w:tcPr>
          <w:p w14:paraId="17507B32" w14:textId="7628ECC6" w:rsidR="00D53E41" w:rsidRPr="00464512" w:rsidRDefault="001A2FEB"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660</w:t>
            </w:r>
          </w:p>
        </w:tc>
      </w:tr>
      <w:tr w:rsidR="00C4684C" w:rsidRPr="00464512" w14:paraId="29DE0446" w14:textId="77777777" w:rsidTr="00E74783">
        <w:tc>
          <w:tcPr>
            <w:tcW w:w="1375" w:type="pct"/>
            <w:vAlign w:val="center"/>
          </w:tcPr>
          <w:p w14:paraId="6C43FCF4" w14:textId="77777777" w:rsidR="00D53E41" w:rsidRPr="00464512" w:rsidRDefault="00D53E41"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2022</w:t>
            </w:r>
          </w:p>
        </w:tc>
        <w:tc>
          <w:tcPr>
            <w:tcW w:w="1812" w:type="pct"/>
            <w:vAlign w:val="center"/>
          </w:tcPr>
          <w:p w14:paraId="074C1667" w14:textId="5D164D84" w:rsidR="00D53E41" w:rsidRPr="00464512" w:rsidRDefault="00C43258"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0000</w:t>
            </w:r>
            <w:r w:rsidR="0055152F" w:rsidRPr="00464512">
              <w:rPr>
                <w:rFonts w:ascii="Times New Roman" w:hAnsi="Times New Roman" w:cs="Times New Roman"/>
                <w:lang w:val="en-GB"/>
              </w:rPr>
              <w:t>88</w:t>
            </w:r>
            <w:r w:rsidRPr="00464512">
              <w:rPr>
                <w:rFonts w:ascii="Times New Roman" w:hAnsi="Times New Roman" w:cs="Times New Roman"/>
                <w:lang w:val="en-GB"/>
              </w:rPr>
              <w:t>2</w:t>
            </w:r>
          </w:p>
        </w:tc>
        <w:tc>
          <w:tcPr>
            <w:tcW w:w="1812" w:type="pct"/>
            <w:vAlign w:val="center"/>
          </w:tcPr>
          <w:p w14:paraId="0D042757" w14:textId="4DF3D32B" w:rsidR="00D53E41" w:rsidRPr="00464512" w:rsidRDefault="00D00FCB"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881</w:t>
            </w:r>
          </w:p>
        </w:tc>
      </w:tr>
      <w:tr w:rsidR="00C4684C" w:rsidRPr="00464512" w14:paraId="0ED279F3" w14:textId="77777777" w:rsidTr="00E74783">
        <w:tc>
          <w:tcPr>
            <w:tcW w:w="1375" w:type="pct"/>
            <w:vAlign w:val="center"/>
          </w:tcPr>
          <w:p w14:paraId="4556B996" w14:textId="77777777" w:rsidR="00D53E41" w:rsidRPr="00464512" w:rsidRDefault="00D53E41"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2023</w:t>
            </w:r>
          </w:p>
        </w:tc>
        <w:tc>
          <w:tcPr>
            <w:tcW w:w="1812" w:type="pct"/>
            <w:vAlign w:val="center"/>
          </w:tcPr>
          <w:p w14:paraId="2B1A8643" w14:textId="7312C3AF" w:rsidR="00D53E41" w:rsidRPr="00464512" w:rsidRDefault="00C43258"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w:t>
            </w:r>
            <w:r w:rsidR="0055152F" w:rsidRPr="00464512">
              <w:rPr>
                <w:rFonts w:ascii="Times New Roman" w:hAnsi="Times New Roman" w:cs="Times New Roman"/>
                <w:lang w:val="en-GB"/>
              </w:rPr>
              <w:t>144</w:t>
            </w:r>
          </w:p>
        </w:tc>
        <w:tc>
          <w:tcPr>
            <w:tcW w:w="1812" w:type="pct"/>
            <w:vAlign w:val="center"/>
          </w:tcPr>
          <w:p w14:paraId="339D78DB" w14:textId="7784C2CC" w:rsidR="00D53E41" w:rsidRPr="00464512" w:rsidRDefault="00E024C4" w:rsidP="00F0109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890</w:t>
            </w:r>
          </w:p>
        </w:tc>
      </w:tr>
    </w:tbl>
    <w:p w14:paraId="7D782446" w14:textId="145BCF06" w:rsidR="0074609D" w:rsidRPr="00EF261D" w:rsidRDefault="00B321BB" w:rsidP="00464512">
      <w:pPr>
        <w:widowControl w:val="0"/>
        <w:spacing w:before="60" w:after="0" w:line="240" w:lineRule="auto"/>
        <w:jc w:val="both"/>
        <w:rPr>
          <w:rFonts w:ascii="Times New Roman" w:hAnsi="Times New Roman" w:cs="Times New Roman"/>
          <w:iCs/>
          <w:sz w:val="20"/>
          <w:szCs w:val="20"/>
          <w:lang w:val="en-GB"/>
        </w:rPr>
      </w:pPr>
      <w:r w:rsidRPr="00EF261D">
        <w:rPr>
          <w:rFonts w:ascii="Times New Roman" w:hAnsi="Times New Roman" w:cs="Times New Roman"/>
          <w:iCs/>
          <w:sz w:val="20"/>
          <w:szCs w:val="20"/>
          <w:lang w:val="en-GB"/>
        </w:rPr>
        <w:t>Source: based on Table 2</w:t>
      </w:r>
    </w:p>
    <w:p w14:paraId="2BBD37C9" w14:textId="77777777" w:rsidR="00B321BB" w:rsidRPr="00464512" w:rsidRDefault="00B321BB" w:rsidP="00C4684C">
      <w:pPr>
        <w:widowControl w:val="0"/>
        <w:spacing w:after="0" w:line="240" w:lineRule="auto"/>
        <w:ind w:firstLine="284"/>
        <w:contextualSpacing/>
        <w:jc w:val="both"/>
        <w:rPr>
          <w:rFonts w:ascii="Times New Roman" w:hAnsi="Times New Roman" w:cs="Times New Roman"/>
          <w:lang w:val="en-GB"/>
        </w:rPr>
      </w:pPr>
    </w:p>
    <w:p w14:paraId="752F8AEC" w14:textId="09178C95" w:rsidR="00FE64F6" w:rsidRPr="00464512" w:rsidRDefault="00FE64F6"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most optimal option is to minimize these coefficients. The closer the coverage ratio is to zero, the greater the volume of sales of products (goods, services) of agricultural, forestry, and fishery enterprises. Otherwise, efficiency is achieved by reducing factor indicators</w:t>
      </w:r>
      <w:r w:rsidR="0060005C" w:rsidRPr="00464512">
        <w:rPr>
          <w:rFonts w:ascii="Times New Roman" w:hAnsi="Times New Roman" w:cs="Times New Roman"/>
          <w:lang w:val="en-GB"/>
        </w:rPr>
        <w:t xml:space="preserve"> – </w:t>
      </w:r>
      <w:r w:rsidRPr="00464512">
        <w:rPr>
          <w:rFonts w:ascii="Times New Roman" w:hAnsi="Times New Roman" w:cs="Times New Roman"/>
          <w:lang w:val="en-GB"/>
        </w:rPr>
        <w:t>the volume of capital investments and production costs.</w:t>
      </w:r>
    </w:p>
    <w:p w14:paraId="3BF16F74" w14:textId="77777777" w:rsidR="00FE64F6" w:rsidRPr="00464512" w:rsidRDefault="00FE64F6"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This suggests that enterprises reach higher performance levels either by significantly increasing output without a proportional rise in input resources or by streamlining internal operations to reduce expenditures.</w:t>
      </w:r>
    </w:p>
    <w:p w14:paraId="5C095773" w14:textId="1176103D" w:rsidR="00F42A8E" w:rsidRPr="00464512" w:rsidRDefault="00FE64F6"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In both scenarios, minimizing the coefficients reflects a more efficient use of available resources, pointing to operational models that are either output-driven or cost-conscious. Therefore, tracking the dynamics of these ratios can serve as an effective diagnostic tool for identifying performance trends and making informed investment or optimization decisions within the sector.</w:t>
      </w:r>
    </w:p>
    <w:p w14:paraId="6C1B7B59" w14:textId="59AE7C16" w:rsidR="00F42A8E" w:rsidRPr="00464512" w:rsidRDefault="00F42A8E"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Based on the coverage ratios of the volume of products sold (goods, services) of enterprises of capital investments in land during 2014-2023, the best indicator was obtained in 2022, and the worst in 2019. </w:t>
      </w:r>
      <w:proofErr w:type="spellStart"/>
      <w:r w:rsidRPr="00464512">
        <w:rPr>
          <w:rFonts w:ascii="Times New Roman" w:hAnsi="Times New Roman" w:cs="Times New Roman"/>
          <w:lang w:val="en-GB"/>
        </w:rPr>
        <w:t>Analyzing</w:t>
      </w:r>
      <w:proofErr w:type="spellEnd"/>
      <w:r w:rsidRPr="00464512">
        <w:rPr>
          <w:rFonts w:ascii="Times New Roman" w:hAnsi="Times New Roman" w:cs="Times New Roman"/>
          <w:lang w:val="en-GB"/>
        </w:rPr>
        <w:t xml:space="preserve"> the coverage ratios of the volume of products sold (goods, services) of enterprises</w:t>
      </w:r>
      <w:r w:rsidR="00480D52">
        <w:rPr>
          <w:rFonts w:ascii="Times New Roman" w:hAnsi="Times New Roman" w:cs="Times New Roman"/>
          <w:lang w:val="en-GB"/>
        </w:rPr>
        <w:t>,</w:t>
      </w:r>
      <w:r w:rsidRPr="00464512">
        <w:rPr>
          <w:rFonts w:ascii="Times New Roman" w:hAnsi="Times New Roman" w:cs="Times New Roman"/>
          <w:lang w:val="en-GB"/>
        </w:rPr>
        <w:t xml:space="preserve"> of the costs of production of products (goods, services) for 2014-2023, we can conclude that the best indicator was achieved in 2021, and the worst in 2018 and 2019.</w:t>
      </w:r>
    </w:p>
    <w:p w14:paraId="3D104702" w14:textId="77777777" w:rsidR="00C35E8A" w:rsidRDefault="00C35E8A" w:rsidP="00C4684C">
      <w:pPr>
        <w:widowControl w:val="0"/>
        <w:spacing w:after="0" w:line="240" w:lineRule="auto"/>
        <w:ind w:firstLine="284"/>
        <w:contextualSpacing/>
        <w:jc w:val="both"/>
        <w:rPr>
          <w:rFonts w:ascii="Times New Roman" w:hAnsi="Times New Roman" w:cs="Times New Roman"/>
          <w:lang w:val="en-GB"/>
        </w:rPr>
      </w:pPr>
    </w:p>
    <w:p w14:paraId="50A945E4" w14:textId="77777777" w:rsidR="00C35E8A" w:rsidRDefault="00C35E8A" w:rsidP="00C4684C">
      <w:pPr>
        <w:widowControl w:val="0"/>
        <w:spacing w:after="0" w:line="240" w:lineRule="auto"/>
        <w:ind w:firstLine="284"/>
        <w:contextualSpacing/>
        <w:jc w:val="both"/>
        <w:rPr>
          <w:rFonts w:ascii="Times New Roman" w:hAnsi="Times New Roman" w:cs="Times New Roman"/>
          <w:lang w:val="en-GB"/>
        </w:rPr>
      </w:pPr>
    </w:p>
    <w:p w14:paraId="7C97B136" w14:textId="3480EA4C" w:rsidR="00EF2A96" w:rsidRPr="00464512" w:rsidRDefault="00EF2A96"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lastRenderedPageBreak/>
        <w:t xml:space="preserve">Since coverage ratios are relative values, we propose to assess the level of efficiency of capital investments in land using the method of analysis of the operating environment. This method was used (Farrell, 1957) to </w:t>
      </w:r>
      <w:proofErr w:type="spellStart"/>
      <w:r w:rsidRPr="00464512">
        <w:rPr>
          <w:rFonts w:ascii="Times New Roman" w:hAnsi="Times New Roman" w:cs="Times New Roman"/>
          <w:lang w:val="en-GB"/>
        </w:rPr>
        <w:t>analyze</w:t>
      </w:r>
      <w:proofErr w:type="spellEnd"/>
      <w:r w:rsidRPr="00464512">
        <w:rPr>
          <w:rFonts w:ascii="Times New Roman" w:hAnsi="Times New Roman" w:cs="Times New Roman"/>
          <w:lang w:val="en-GB"/>
        </w:rPr>
        <w:t xml:space="preserve"> the efficiency of natural monopolies in order to establish fair pricing for their services. Labor costs and capital costs were proposed as factor indicators. The resulting indicator is the volume of products sold (services provided).</w:t>
      </w:r>
    </w:p>
    <w:p w14:paraId="6FC981D4" w14:textId="01518123" w:rsidR="00F17135" w:rsidRPr="00464512" w:rsidRDefault="00F17135"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The advantage of this method was that the efficiency was assessed not by the profit indicator, </w:t>
      </w:r>
      <w:r w:rsidR="00B407C0" w:rsidRPr="00464512">
        <w:rPr>
          <w:rFonts w:ascii="Times New Roman" w:hAnsi="Times New Roman" w:cs="Times New Roman"/>
          <w:lang w:val="en-GB"/>
        </w:rPr>
        <w:t>i.e.,</w:t>
      </w:r>
      <w:r w:rsidRPr="00464512">
        <w:rPr>
          <w:rFonts w:ascii="Times New Roman" w:hAnsi="Times New Roman" w:cs="Times New Roman"/>
          <w:lang w:val="en-GB"/>
        </w:rPr>
        <w:t xml:space="preserve"> financial performance, but by an indicator that could influence the company</w:t>
      </w:r>
      <w:r w:rsidR="00480D52">
        <w:rPr>
          <w:rFonts w:ascii="Times New Roman" w:hAnsi="Times New Roman" w:cs="Times New Roman"/>
          <w:lang w:val="en-GB"/>
        </w:rPr>
        <w:t>'</w:t>
      </w:r>
      <w:r w:rsidRPr="00464512">
        <w:rPr>
          <w:rFonts w:ascii="Times New Roman" w:hAnsi="Times New Roman" w:cs="Times New Roman"/>
          <w:lang w:val="en-GB"/>
        </w:rPr>
        <w:t>s activities based on the market situation. This was especially important, since profit could not always provide a production result in the context of the potential of other enterprises producing similar products.</w:t>
      </w:r>
    </w:p>
    <w:p w14:paraId="36E1BE38" w14:textId="44902382" w:rsidR="008649C5" w:rsidRPr="00464512" w:rsidRDefault="008649C5"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Unlike purely financial evaluation tools, this approach allows for a more objective measurement of performance by focusing on operational inputs and outputs, thereby accounting for resource use efficiency rather than income variability influenced by external market distortions.</w:t>
      </w:r>
    </w:p>
    <w:p w14:paraId="71D39959" w14:textId="6E6D0D43" w:rsidR="0074609D" w:rsidRPr="00464512" w:rsidRDefault="00F17135"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As a result, at present, the method of analysis of the operating environment is used to assess the efficiency not only of natural monopolies, but also of economic entities of other spheres of activity in the system of competitive relations. In addition, it is used to assess financial indicators and results at the level of the industry (sphere of activity), as well as the national economy as a whole </w:t>
      </w:r>
      <w:r w:rsidR="00927BF4" w:rsidRPr="00464512">
        <w:rPr>
          <w:rFonts w:ascii="Times New Roman" w:hAnsi="Times New Roman" w:cs="Times New Roman"/>
          <w:lang w:val="en-GB"/>
        </w:rPr>
        <w:t>(</w:t>
      </w:r>
      <w:proofErr w:type="spellStart"/>
      <w:r w:rsidR="00927BF4" w:rsidRPr="00464512">
        <w:rPr>
          <w:rFonts w:ascii="Times New Roman" w:hAnsi="Times New Roman" w:cs="Times New Roman"/>
          <w:lang w:val="en-GB"/>
        </w:rPr>
        <w:t>Pryshliak</w:t>
      </w:r>
      <w:proofErr w:type="spellEnd"/>
      <w:r w:rsidR="00927BF4" w:rsidRPr="00464512">
        <w:rPr>
          <w:rFonts w:ascii="Times New Roman" w:hAnsi="Times New Roman" w:cs="Times New Roman"/>
          <w:lang w:val="en-GB"/>
        </w:rPr>
        <w:t xml:space="preserve"> et al. 2022</w:t>
      </w:r>
      <w:r w:rsidR="004623D1" w:rsidRPr="00464512">
        <w:rPr>
          <w:rFonts w:ascii="Times New Roman" w:hAnsi="Times New Roman" w:cs="Times New Roman"/>
          <w:lang w:val="en-GB"/>
        </w:rPr>
        <w:t>,</w:t>
      </w:r>
      <w:r w:rsidR="00927BF4" w:rsidRPr="00464512">
        <w:rPr>
          <w:rFonts w:ascii="Times New Roman" w:hAnsi="Times New Roman" w:cs="Times New Roman"/>
          <w:lang w:val="en-GB"/>
        </w:rPr>
        <w:t xml:space="preserve"> </w:t>
      </w:r>
      <w:proofErr w:type="spellStart"/>
      <w:r w:rsidR="00927BF4" w:rsidRPr="00464512">
        <w:rPr>
          <w:rFonts w:ascii="Times New Roman" w:hAnsi="Times New Roman" w:cs="Times New Roman"/>
          <w:lang w:val="en-GB"/>
        </w:rPr>
        <w:t>Strelbytska</w:t>
      </w:r>
      <w:proofErr w:type="spellEnd"/>
      <w:r w:rsidR="00927BF4" w:rsidRPr="00464512">
        <w:rPr>
          <w:rFonts w:ascii="Times New Roman" w:hAnsi="Times New Roman" w:cs="Times New Roman"/>
          <w:lang w:val="en-GB"/>
        </w:rPr>
        <w:t xml:space="preserve"> et al. </w:t>
      </w:r>
      <w:r w:rsidR="009F2209" w:rsidRPr="00464512">
        <w:rPr>
          <w:rFonts w:ascii="Times New Roman" w:hAnsi="Times New Roman" w:cs="Times New Roman"/>
          <w:lang w:val="en-GB"/>
        </w:rPr>
        <w:t>2025)</w:t>
      </w:r>
      <w:r w:rsidR="000C7FC1" w:rsidRPr="00464512">
        <w:rPr>
          <w:rFonts w:ascii="Times New Roman" w:hAnsi="Times New Roman" w:cs="Times New Roman"/>
          <w:lang w:val="en-GB"/>
        </w:rPr>
        <w:t>.</w:t>
      </w:r>
    </w:p>
    <w:p w14:paraId="1CB40DC4" w14:textId="7A7459F3" w:rsidR="008649C5" w:rsidRPr="00464512" w:rsidRDefault="008649C5"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Its growing application across sectors demonstrates the flexibility and robustness of the method, especially in contexts where profit-based metrics are insufficient or inapplicable due to structural or market-specific constraints.</w:t>
      </w:r>
    </w:p>
    <w:p w14:paraId="54711C9A" w14:textId="77777777" w:rsidR="00FF326C" w:rsidRPr="00464512" w:rsidRDefault="00FF326C"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Unlike parametric methods (in particular, correlation-regression analysis), the method of </w:t>
      </w:r>
      <w:proofErr w:type="spellStart"/>
      <w:r w:rsidRPr="00464512">
        <w:rPr>
          <w:rFonts w:ascii="Times New Roman" w:hAnsi="Times New Roman" w:cs="Times New Roman"/>
          <w:lang w:val="en-GB"/>
        </w:rPr>
        <w:t>analyzing</w:t>
      </w:r>
      <w:proofErr w:type="spellEnd"/>
      <w:r w:rsidRPr="00464512">
        <w:rPr>
          <w:rFonts w:ascii="Times New Roman" w:hAnsi="Times New Roman" w:cs="Times New Roman"/>
          <w:lang w:val="en-GB"/>
        </w:rPr>
        <w:t xml:space="preserve"> the operating environment is not based on determining the dependence of one indicator on another, but on the marginal approach to assessing efficiency.</w:t>
      </w:r>
    </w:p>
    <w:p w14:paraId="126330A4" w14:textId="0AB5B5D8" w:rsidR="00FF326C" w:rsidRPr="00464512" w:rsidRDefault="00FF326C"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This method evaluates how closely an enterprise (or a particular observation) approaches the </w:t>
      </w:r>
      <w:r w:rsidR="00FB3F6E" w:rsidRPr="00464512">
        <w:rPr>
          <w:rFonts w:ascii="Times New Roman" w:hAnsi="Times New Roman" w:cs="Times New Roman"/>
          <w:lang w:val="en-GB"/>
        </w:rPr>
        <w:t>«</w:t>
      </w:r>
      <w:r w:rsidRPr="00464512">
        <w:rPr>
          <w:rFonts w:ascii="Times New Roman" w:hAnsi="Times New Roman" w:cs="Times New Roman"/>
          <w:lang w:val="en-GB"/>
        </w:rPr>
        <w:t>best practice frontier</w:t>
      </w:r>
      <w:r w:rsidR="00FB3F6E" w:rsidRPr="00464512">
        <w:rPr>
          <w:rFonts w:ascii="Times New Roman" w:hAnsi="Times New Roman" w:cs="Times New Roman"/>
          <w:lang w:val="en-GB"/>
        </w:rPr>
        <w:t>»</w:t>
      </w:r>
      <w:r w:rsidRPr="00464512">
        <w:rPr>
          <w:rFonts w:ascii="Times New Roman" w:hAnsi="Times New Roman" w:cs="Times New Roman"/>
          <w:lang w:val="en-GB"/>
        </w:rPr>
        <w:t xml:space="preserve"> formed by the most efficient units within the sample.</w:t>
      </w:r>
    </w:p>
    <w:p w14:paraId="024DBE40" w14:textId="62E62527" w:rsidR="00FF326C" w:rsidRPr="00464512" w:rsidRDefault="00FF326C"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As a result, this method can be used to assess efficiency in time space (Fig. </w:t>
      </w:r>
      <w:r w:rsidR="00C037C7">
        <w:rPr>
          <w:rFonts w:ascii="Times New Roman" w:hAnsi="Times New Roman" w:cs="Times New Roman"/>
          <w:lang w:val="en-GB"/>
        </w:rPr>
        <w:t>7</w:t>
      </w:r>
      <w:r w:rsidRPr="00464512">
        <w:rPr>
          <w:rFonts w:ascii="Times New Roman" w:hAnsi="Times New Roman" w:cs="Times New Roman"/>
          <w:lang w:val="en-GB"/>
        </w:rPr>
        <w:t>) during 2014</w:t>
      </w:r>
      <w:r w:rsidR="001905CD" w:rsidRPr="00464512">
        <w:rPr>
          <w:rFonts w:ascii="Times New Roman" w:hAnsi="Times New Roman" w:cs="Times New Roman"/>
          <w:lang w:val="en-GB"/>
        </w:rPr>
        <w:t>-</w:t>
      </w:r>
      <w:r w:rsidRPr="00464512">
        <w:rPr>
          <w:rFonts w:ascii="Times New Roman" w:hAnsi="Times New Roman" w:cs="Times New Roman"/>
          <w:lang w:val="en-GB"/>
        </w:rPr>
        <w:t>2023.</w:t>
      </w:r>
    </w:p>
    <w:p w14:paraId="5460DEAE" w14:textId="38D8525F" w:rsidR="00666A94" w:rsidRPr="00464512" w:rsidRDefault="00FF326C"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Such an approach allows tracking dynamic changes in relative efficiency over time, identifying periods of stagnation or improvement, and detecting structural shifts in resource utilization patterns.</w:t>
      </w:r>
    </w:p>
    <w:p w14:paraId="731C9F0A" w14:textId="65FF7ED9" w:rsidR="00FF326C" w:rsidRPr="00464512" w:rsidRDefault="00FF326C"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Unlike the example provided by Farrell (1957), we propose </w:t>
      </w:r>
      <w:r w:rsidR="00480D52">
        <w:rPr>
          <w:rFonts w:ascii="Times New Roman" w:hAnsi="Times New Roman" w:cs="Times New Roman"/>
          <w:lang w:val="en-GB"/>
        </w:rPr>
        <w:t xml:space="preserve">to use </w:t>
      </w:r>
      <w:r w:rsidRPr="00464512">
        <w:rPr>
          <w:rFonts w:ascii="Times New Roman" w:hAnsi="Times New Roman" w:cs="Times New Roman"/>
          <w:lang w:val="en-GB"/>
        </w:rPr>
        <w:t>capital investments and costs of production of products (goods, services) of agricultural, forestry, and fishery enterprises</w:t>
      </w:r>
      <w:r w:rsidR="00480D52">
        <w:rPr>
          <w:rFonts w:ascii="Times New Roman" w:hAnsi="Times New Roman" w:cs="Times New Roman"/>
          <w:lang w:val="en-GB"/>
        </w:rPr>
        <w:t xml:space="preserve"> </w:t>
      </w:r>
      <w:r w:rsidR="00480D52" w:rsidRPr="00464512">
        <w:rPr>
          <w:rFonts w:ascii="Times New Roman" w:hAnsi="Times New Roman" w:cs="Times New Roman"/>
          <w:lang w:val="en-GB"/>
        </w:rPr>
        <w:t>as factor indicators</w:t>
      </w:r>
      <w:r w:rsidRPr="00464512">
        <w:rPr>
          <w:rFonts w:ascii="Times New Roman" w:hAnsi="Times New Roman" w:cs="Times New Roman"/>
          <w:lang w:val="en-GB"/>
        </w:rPr>
        <w:t>.</w:t>
      </w:r>
    </w:p>
    <w:p w14:paraId="2C0E2CBC" w14:textId="77777777" w:rsidR="00FF326C" w:rsidRPr="00464512" w:rsidRDefault="00FF326C"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This adaptation reflects the sector-specific nature of the study, where the efficiency of enterprises is determined not by general resource inputs like </w:t>
      </w:r>
      <w:proofErr w:type="spellStart"/>
      <w:r w:rsidRPr="00464512">
        <w:rPr>
          <w:rFonts w:ascii="Times New Roman" w:hAnsi="Times New Roman" w:cs="Times New Roman"/>
          <w:lang w:val="en-GB"/>
        </w:rPr>
        <w:t>labor</w:t>
      </w:r>
      <w:proofErr w:type="spellEnd"/>
      <w:r w:rsidRPr="00464512">
        <w:rPr>
          <w:rFonts w:ascii="Times New Roman" w:hAnsi="Times New Roman" w:cs="Times New Roman"/>
          <w:lang w:val="en-GB"/>
        </w:rPr>
        <w:t xml:space="preserve"> and capital alone, but by the actual financial commitments made toward production infrastructure and operational expenditures.</w:t>
      </w:r>
    </w:p>
    <w:p w14:paraId="4E5584E9" w14:textId="743392A6" w:rsidR="004F5EFC" w:rsidRPr="00464512" w:rsidRDefault="00FF326C"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By focusing on capital investments and production costs as input variables, the model captures both long-term strategic and short-term operational resource allocations, making it more suitable for evaluating the productivity dynamics of resource-intensive industries such as agriculture, forestry, and fisheries.</w:t>
      </w:r>
    </w:p>
    <w:p w14:paraId="798DEFE6" w14:textId="77777777" w:rsidR="00FF326C" w:rsidRPr="00464512" w:rsidRDefault="00FF326C" w:rsidP="00FF326C">
      <w:pPr>
        <w:widowControl w:val="0"/>
        <w:spacing w:after="0" w:line="240" w:lineRule="auto"/>
        <w:ind w:firstLine="567"/>
        <w:contextualSpacing/>
        <w:jc w:val="both"/>
        <w:rPr>
          <w:rFonts w:ascii="Times New Roman" w:hAnsi="Times New Roman" w:cs="Times New Roman"/>
          <w:lang w:val="en-GB"/>
        </w:rPr>
      </w:pPr>
    </w:p>
    <w:p w14:paraId="6B9923D2" w14:textId="6D002500" w:rsidR="00532C96" w:rsidRPr="00464512" w:rsidRDefault="00532C96" w:rsidP="00FE729D">
      <w:pPr>
        <w:widowControl w:val="0"/>
        <w:spacing w:after="0" w:line="240" w:lineRule="auto"/>
        <w:contextualSpacing/>
        <w:jc w:val="center"/>
        <w:rPr>
          <w:rFonts w:ascii="Times New Roman" w:hAnsi="Times New Roman" w:cs="Times New Roman"/>
          <w:i/>
          <w:lang w:val="en-GB"/>
        </w:rPr>
      </w:pPr>
      <w:r w:rsidRPr="00464512">
        <w:rPr>
          <w:noProof/>
          <w:lang w:val="en-GB"/>
        </w:rPr>
        <w:drawing>
          <wp:inline distT="0" distB="0" distL="0" distR="0" wp14:anchorId="399858A0" wp14:editId="5C766B0A">
            <wp:extent cx="4660720" cy="2124000"/>
            <wp:effectExtent l="0" t="0" r="698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0720" cy="2124000"/>
                    </a:xfrm>
                    <a:prstGeom prst="rect">
                      <a:avLst/>
                    </a:prstGeom>
                  </pic:spPr>
                </pic:pic>
              </a:graphicData>
            </a:graphic>
          </wp:inline>
        </w:drawing>
      </w:r>
    </w:p>
    <w:p w14:paraId="223A7B1A" w14:textId="63E8A2A5" w:rsidR="001B7F45" w:rsidRPr="00464512" w:rsidRDefault="00E0404E" w:rsidP="00C4684C">
      <w:pPr>
        <w:pStyle w:val="Rrys"/>
        <w:rPr>
          <w:i/>
          <w:lang w:val="en-GB"/>
        </w:rPr>
      </w:pPr>
      <w:r w:rsidRPr="00464512">
        <w:rPr>
          <w:b/>
          <w:iCs/>
          <w:lang w:val="en-GB"/>
        </w:rPr>
        <w:t>Fig</w:t>
      </w:r>
      <w:r w:rsidR="00C652A2" w:rsidRPr="00464512">
        <w:rPr>
          <w:b/>
          <w:iCs/>
          <w:lang w:val="en-GB"/>
        </w:rPr>
        <w:t xml:space="preserve">. </w:t>
      </w:r>
      <w:r w:rsidR="00C037C7">
        <w:rPr>
          <w:b/>
          <w:iCs/>
          <w:lang w:val="en-GB"/>
        </w:rPr>
        <w:t>7</w:t>
      </w:r>
      <w:r w:rsidR="00C652A2" w:rsidRPr="00464512">
        <w:rPr>
          <w:b/>
          <w:iCs/>
          <w:lang w:val="en-GB"/>
        </w:rPr>
        <w:t>.</w:t>
      </w:r>
      <w:r w:rsidR="00C652A2" w:rsidRPr="00464512">
        <w:rPr>
          <w:i/>
          <w:lang w:val="en-GB"/>
        </w:rPr>
        <w:t xml:space="preserve"> </w:t>
      </w:r>
      <w:r w:rsidRPr="00464512">
        <w:rPr>
          <w:lang w:val="en-GB"/>
        </w:rPr>
        <w:t>Evaluating the effectiveness of capital investments in land using the operating environment analysis method, 2014-2023</w:t>
      </w:r>
      <w:r w:rsidR="00C4684C" w:rsidRPr="00464512">
        <w:rPr>
          <w:lang w:val="en-GB"/>
        </w:rPr>
        <w:t xml:space="preserve"> </w:t>
      </w:r>
      <w:r w:rsidR="00464512">
        <w:rPr>
          <w:lang w:val="en-GB"/>
        </w:rPr>
        <w:br/>
      </w:r>
      <w:r w:rsidR="00DB4704" w:rsidRPr="00464512">
        <w:rPr>
          <w:iCs/>
          <w:lang w:val="en-GB"/>
        </w:rPr>
        <w:t>Source: based on Table 3</w:t>
      </w:r>
    </w:p>
    <w:p w14:paraId="746B6CC2" w14:textId="77777777" w:rsidR="00DB4704" w:rsidRPr="00464512" w:rsidRDefault="00DB4704" w:rsidP="00C4684C">
      <w:pPr>
        <w:widowControl w:val="0"/>
        <w:spacing w:after="0" w:line="240" w:lineRule="auto"/>
        <w:ind w:firstLine="284"/>
        <w:contextualSpacing/>
        <w:jc w:val="both"/>
        <w:rPr>
          <w:rFonts w:ascii="Times New Roman" w:hAnsi="Times New Roman" w:cs="Times New Roman"/>
          <w:lang w:val="en-GB"/>
        </w:rPr>
      </w:pPr>
    </w:p>
    <w:p w14:paraId="460BE5B4" w14:textId="08EB2555" w:rsidR="00377D44" w:rsidRPr="00464512" w:rsidRDefault="006D6248"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efficiency line is a line connecting the positions of those years that are as close as possible to the abscissa and ordinate axes. It is the limit relative to which the efficiency (inefficiency) of the positions of other years is determined, during which capital investments were used in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w:t>
      </w:r>
    </w:p>
    <w:p w14:paraId="580FE1FF" w14:textId="4709F34A" w:rsidR="006D6248" w:rsidRPr="00464512" w:rsidRDefault="006D6248"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lastRenderedPageBreak/>
        <w:t xml:space="preserve">In our case, these years are 2019, 2021, </w:t>
      </w:r>
      <w:r w:rsidR="00480D52">
        <w:rPr>
          <w:rFonts w:ascii="Times New Roman" w:hAnsi="Times New Roman" w:cs="Times New Roman"/>
          <w:lang w:val="en-GB"/>
        </w:rPr>
        <w:t xml:space="preserve">and </w:t>
      </w:r>
      <w:r w:rsidRPr="00464512">
        <w:rPr>
          <w:rFonts w:ascii="Times New Roman" w:hAnsi="Times New Roman" w:cs="Times New Roman"/>
          <w:lang w:val="en-GB"/>
        </w:rPr>
        <w:t xml:space="preserve">2022, and the efficiency line looks like: 2019-2021-2022. These years are </w:t>
      </w:r>
      <w:r w:rsidR="00230FAA" w:rsidRPr="00464512">
        <w:rPr>
          <w:rFonts w:ascii="Times New Roman" w:hAnsi="Times New Roman" w:cs="Times New Roman"/>
          <w:lang w:val="en-GB"/>
        </w:rPr>
        <w:t>«</w:t>
      </w:r>
      <w:r w:rsidRPr="00464512">
        <w:rPr>
          <w:rFonts w:ascii="Times New Roman" w:hAnsi="Times New Roman" w:cs="Times New Roman"/>
          <w:lang w:val="en-GB"/>
        </w:rPr>
        <w:t>reference</w:t>
      </w:r>
      <w:r w:rsidR="00230FAA" w:rsidRPr="00464512">
        <w:rPr>
          <w:rFonts w:ascii="Times New Roman" w:hAnsi="Times New Roman" w:cs="Times New Roman"/>
          <w:lang w:val="en-GB"/>
        </w:rPr>
        <w:t>»</w:t>
      </w:r>
      <w:r w:rsidRPr="00464512">
        <w:rPr>
          <w:rFonts w:ascii="Times New Roman" w:hAnsi="Times New Roman" w:cs="Times New Roman"/>
          <w:lang w:val="en-GB"/>
        </w:rPr>
        <w:t xml:space="preserve"> for other years of the </w:t>
      </w:r>
      <w:proofErr w:type="spellStart"/>
      <w:r w:rsidRPr="00464512">
        <w:rPr>
          <w:rFonts w:ascii="Times New Roman" w:hAnsi="Times New Roman" w:cs="Times New Roman"/>
          <w:lang w:val="en-GB"/>
        </w:rPr>
        <w:t>analyzed</w:t>
      </w:r>
      <w:proofErr w:type="spellEnd"/>
      <w:r w:rsidRPr="00464512">
        <w:rPr>
          <w:rFonts w:ascii="Times New Roman" w:hAnsi="Times New Roman" w:cs="Times New Roman"/>
          <w:lang w:val="en-GB"/>
        </w:rPr>
        <w:t xml:space="preserve"> period, and therefore</w:t>
      </w:r>
      <w:r w:rsidR="00480D52">
        <w:rPr>
          <w:rFonts w:ascii="Times New Roman" w:hAnsi="Times New Roman" w:cs="Times New Roman"/>
          <w:lang w:val="en-GB"/>
        </w:rPr>
        <w:t>,</w:t>
      </w:r>
      <w:r w:rsidRPr="00464512">
        <w:rPr>
          <w:rFonts w:ascii="Times New Roman" w:hAnsi="Times New Roman" w:cs="Times New Roman"/>
          <w:lang w:val="en-GB"/>
        </w:rPr>
        <w:t xml:space="preserve"> the level of efficiency of capital investments in land during this period will be determined in relation to the given efficiency line.</w:t>
      </w:r>
    </w:p>
    <w:p w14:paraId="5953C998" w14:textId="60E1D428" w:rsidR="00410EC9" w:rsidRPr="00464512" w:rsidRDefault="00230FAA"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efficiency level is determined by calculating the efficiency coefficient based on the application of a</w:t>
      </w:r>
      <w:r w:rsidR="00C95B9C">
        <w:rPr>
          <w:rFonts w:ascii="Times New Roman" w:hAnsi="Times New Roman" w:cs="Times New Roman"/>
          <w:lang w:val="en-GB"/>
        </w:rPr>
        <w:t> </w:t>
      </w:r>
      <w:r w:rsidRPr="00464512">
        <w:rPr>
          <w:rFonts w:ascii="Times New Roman" w:hAnsi="Times New Roman" w:cs="Times New Roman"/>
          <w:lang w:val="en-GB"/>
        </w:rPr>
        <w:t>graphical method</w:t>
      </w:r>
      <w:r w:rsidR="00480D52">
        <w:rPr>
          <w:rFonts w:ascii="Times New Roman" w:hAnsi="Times New Roman" w:cs="Times New Roman"/>
          <w:lang w:val="en-GB"/>
        </w:rPr>
        <w:t>,</w:t>
      </w:r>
      <w:r w:rsidRPr="00464512">
        <w:rPr>
          <w:rFonts w:ascii="Times New Roman" w:hAnsi="Times New Roman" w:cs="Times New Roman"/>
          <w:lang w:val="en-GB"/>
        </w:rPr>
        <w:t xml:space="preserve"> evaluating the distances between positions and the efficiency line. For example, for a</w:t>
      </w:r>
      <w:r w:rsidR="00C95B9C">
        <w:rPr>
          <w:rFonts w:ascii="Times New Roman" w:hAnsi="Times New Roman" w:cs="Times New Roman"/>
          <w:lang w:val="en-GB"/>
        </w:rPr>
        <w:t> </w:t>
      </w:r>
      <w:r w:rsidRPr="00464512">
        <w:rPr>
          <w:rFonts w:ascii="Times New Roman" w:hAnsi="Times New Roman" w:cs="Times New Roman"/>
          <w:lang w:val="en-GB"/>
        </w:rPr>
        <w:t>position for 2014, the efficiency coefficient is determined</w:t>
      </w:r>
      <w:r w:rsidR="00410EC9" w:rsidRPr="00464512">
        <w:rPr>
          <w:rFonts w:ascii="Times New Roman" w:hAnsi="Times New Roman" w:cs="Times New Roman"/>
          <w:lang w:val="en-GB"/>
        </w:rPr>
        <w:t>: 0-2014</w:t>
      </w:r>
      <w:r w:rsidR="00410EC9" w:rsidRPr="00464512">
        <w:rPr>
          <w:rFonts w:ascii="Times New Roman" w:hAnsi="Times New Roman" w:cs="Times New Roman"/>
          <w:vertAlign w:val="superscript"/>
          <w:lang w:val="en-GB"/>
        </w:rPr>
        <w:t>1</w:t>
      </w:r>
      <w:r w:rsidR="00410EC9" w:rsidRPr="00464512">
        <w:rPr>
          <w:rFonts w:ascii="Times New Roman" w:hAnsi="Times New Roman" w:cs="Times New Roman"/>
          <w:lang w:val="en-GB"/>
        </w:rPr>
        <w:t>/0-2014.</w:t>
      </w:r>
      <w:r w:rsidR="000D5780" w:rsidRPr="00464512">
        <w:rPr>
          <w:rFonts w:ascii="Times New Roman" w:hAnsi="Times New Roman" w:cs="Times New Roman"/>
          <w:lang w:val="en-GB"/>
        </w:rPr>
        <w:t xml:space="preserve"> </w:t>
      </w:r>
      <w:r w:rsidRPr="00464512">
        <w:rPr>
          <w:rFonts w:ascii="Times New Roman" w:hAnsi="Times New Roman" w:cs="Times New Roman"/>
          <w:lang w:val="en-GB"/>
        </w:rPr>
        <w:t xml:space="preserve">The calculation results for all positions are shown in Table </w:t>
      </w:r>
      <w:r w:rsidR="00C84531" w:rsidRPr="00464512">
        <w:rPr>
          <w:rFonts w:ascii="Times New Roman" w:hAnsi="Times New Roman" w:cs="Times New Roman"/>
          <w:lang w:val="en-GB"/>
        </w:rPr>
        <w:t>4</w:t>
      </w:r>
      <w:r w:rsidR="000D5780" w:rsidRPr="00464512">
        <w:rPr>
          <w:rFonts w:ascii="Times New Roman" w:hAnsi="Times New Roman" w:cs="Times New Roman"/>
          <w:lang w:val="en-GB"/>
        </w:rPr>
        <w:t>.</w:t>
      </w:r>
    </w:p>
    <w:p w14:paraId="33F13259" w14:textId="77777777" w:rsidR="001905CD" w:rsidRPr="00464512" w:rsidRDefault="001905CD" w:rsidP="00DA4FDD">
      <w:pPr>
        <w:widowControl w:val="0"/>
        <w:spacing w:after="0" w:line="240" w:lineRule="auto"/>
        <w:ind w:firstLine="567"/>
        <w:contextualSpacing/>
        <w:jc w:val="both"/>
        <w:rPr>
          <w:rFonts w:ascii="Times New Roman" w:hAnsi="Times New Roman" w:cs="Times New Roman"/>
          <w:lang w:val="en-GB"/>
        </w:rPr>
      </w:pPr>
    </w:p>
    <w:p w14:paraId="0CE8DE0E" w14:textId="3F64FA3E" w:rsidR="006D61A7" w:rsidRPr="00464512" w:rsidRDefault="00C84531" w:rsidP="00C4684C">
      <w:pPr>
        <w:pStyle w:val="Rtab"/>
        <w:rPr>
          <w:i/>
          <w:lang w:val="en-GB"/>
        </w:rPr>
      </w:pPr>
      <w:r w:rsidRPr="00464512">
        <w:rPr>
          <w:b/>
          <w:bCs/>
          <w:lang w:val="en-GB"/>
        </w:rPr>
        <w:t>Table 4</w:t>
      </w:r>
      <w:r w:rsidR="00802E28" w:rsidRPr="00464512">
        <w:rPr>
          <w:b/>
          <w:bCs/>
          <w:i/>
          <w:lang w:val="en-GB"/>
        </w:rPr>
        <w:t>.</w:t>
      </w:r>
      <w:r w:rsidR="00802E28" w:rsidRPr="00464512">
        <w:rPr>
          <w:i/>
          <w:lang w:val="en-GB"/>
        </w:rPr>
        <w:t xml:space="preserve"> </w:t>
      </w:r>
      <w:r w:rsidR="00F57C3B" w:rsidRPr="00464512">
        <w:rPr>
          <w:lang w:val="en-GB"/>
        </w:rPr>
        <w:t>Efficiency (inefficiency) coefficients of capital investments in land, 2014-2023</w:t>
      </w:r>
    </w:p>
    <w:tbl>
      <w:tblPr>
        <w:tblStyle w:val="Tabela-Siatka"/>
        <w:tblW w:w="2795" w:type="pct"/>
        <w:tblLook w:val="04A0" w:firstRow="1" w:lastRow="0" w:firstColumn="1" w:lastColumn="0" w:noHBand="0" w:noVBand="1"/>
      </w:tblPr>
      <w:tblGrid>
        <w:gridCol w:w="1647"/>
        <w:gridCol w:w="1679"/>
        <w:gridCol w:w="2056"/>
      </w:tblGrid>
      <w:tr w:rsidR="00C4684C" w:rsidRPr="00464512" w14:paraId="0CB3705C" w14:textId="77777777" w:rsidTr="00E74783">
        <w:trPr>
          <w:trHeight w:val="436"/>
        </w:trPr>
        <w:tc>
          <w:tcPr>
            <w:tcW w:w="1530" w:type="pct"/>
            <w:vAlign w:val="center"/>
          </w:tcPr>
          <w:p w14:paraId="67F90C83" w14:textId="0160CF80" w:rsidR="008977E3" w:rsidRPr="00464512" w:rsidRDefault="00655E2D" w:rsidP="00E74783">
            <w:pPr>
              <w:widowControl w:val="0"/>
              <w:contextualSpacing/>
              <w:jc w:val="center"/>
              <w:rPr>
                <w:rFonts w:ascii="Times New Roman" w:hAnsi="Times New Roman" w:cs="Times New Roman"/>
                <w:lang w:val="en-GB"/>
              </w:rPr>
            </w:pPr>
            <w:r w:rsidRPr="00464512">
              <w:rPr>
                <w:rFonts w:ascii="Times New Roman" w:hAnsi="Times New Roman" w:cs="Times New Roman"/>
                <w:lang w:val="en-GB"/>
              </w:rPr>
              <w:t>Year</w:t>
            </w:r>
            <w:r w:rsidR="00316EC6" w:rsidRPr="00464512">
              <w:rPr>
                <w:rFonts w:ascii="Times New Roman" w:hAnsi="Times New Roman" w:cs="Times New Roman"/>
                <w:lang w:val="en-GB"/>
              </w:rPr>
              <w:t>s</w:t>
            </w:r>
          </w:p>
        </w:tc>
        <w:tc>
          <w:tcPr>
            <w:tcW w:w="1560" w:type="pct"/>
            <w:vAlign w:val="center"/>
          </w:tcPr>
          <w:p w14:paraId="5861E0F2" w14:textId="0A69A434" w:rsidR="008977E3" w:rsidRPr="00464512" w:rsidRDefault="00655E2D"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Efficiency factors</w:t>
            </w:r>
          </w:p>
        </w:tc>
        <w:tc>
          <w:tcPr>
            <w:tcW w:w="1910" w:type="pct"/>
            <w:vAlign w:val="center"/>
          </w:tcPr>
          <w:p w14:paraId="3DFF7835" w14:textId="4BA95D24" w:rsidR="008977E3" w:rsidRPr="00464512" w:rsidRDefault="00655E2D"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Inefficiencies</w:t>
            </w:r>
          </w:p>
        </w:tc>
      </w:tr>
      <w:tr w:rsidR="00C4684C" w:rsidRPr="00464512" w14:paraId="6FDBC59A" w14:textId="77777777" w:rsidTr="00E74783">
        <w:tc>
          <w:tcPr>
            <w:tcW w:w="1530" w:type="pct"/>
            <w:vAlign w:val="center"/>
          </w:tcPr>
          <w:p w14:paraId="5AEA2A80" w14:textId="77777777" w:rsidR="008977E3" w:rsidRPr="00464512" w:rsidRDefault="008977E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2014</w:t>
            </w:r>
          </w:p>
        </w:tc>
        <w:tc>
          <w:tcPr>
            <w:tcW w:w="1560" w:type="pct"/>
            <w:vAlign w:val="center"/>
          </w:tcPr>
          <w:p w14:paraId="646D495D" w14:textId="0ACFC239"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87</w:t>
            </w:r>
          </w:p>
        </w:tc>
        <w:tc>
          <w:tcPr>
            <w:tcW w:w="1910" w:type="pct"/>
            <w:vAlign w:val="center"/>
          </w:tcPr>
          <w:p w14:paraId="4FA45EF5" w14:textId="373BCA88"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13</w:t>
            </w:r>
          </w:p>
        </w:tc>
      </w:tr>
      <w:tr w:rsidR="00C4684C" w:rsidRPr="00464512" w14:paraId="6851A29F" w14:textId="77777777" w:rsidTr="00E74783">
        <w:tc>
          <w:tcPr>
            <w:tcW w:w="1530" w:type="pct"/>
            <w:vAlign w:val="center"/>
          </w:tcPr>
          <w:p w14:paraId="5D3894A9" w14:textId="77777777" w:rsidR="008977E3" w:rsidRPr="00464512" w:rsidRDefault="008977E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2015</w:t>
            </w:r>
          </w:p>
        </w:tc>
        <w:tc>
          <w:tcPr>
            <w:tcW w:w="1560" w:type="pct"/>
            <w:vAlign w:val="center"/>
          </w:tcPr>
          <w:p w14:paraId="5EAC1100" w14:textId="1A214C8A" w:rsidR="008977E3" w:rsidRPr="00464512" w:rsidRDefault="00D108F0"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99</w:t>
            </w:r>
          </w:p>
        </w:tc>
        <w:tc>
          <w:tcPr>
            <w:tcW w:w="1910" w:type="pct"/>
            <w:vAlign w:val="center"/>
          </w:tcPr>
          <w:p w14:paraId="0A1525A3" w14:textId="3A1BA220" w:rsidR="008977E3" w:rsidRPr="00464512" w:rsidRDefault="00D108F0"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01</w:t>
            </w:r>
          </w:p>
        </w:tc>
      </w:tr>
      <w:tr w:rsidR="00C4684C" w:rsidRPr="00464512" w14:paraId="1D2898BF" w14:textId="77777777" w:rsidTr="00E74783">
        <w:tc>
          <w:tcPr>
            <w:tcW w:w="1530" w:type="pct"/>
            <w:vAlign w:val="center"/>
          </w:tcPr>
          <w:p w14:paraId="1ED8A7BF" w14:textId="77777777" w:rsidR="008977E3" w:rsidRPr="00464512" w:rsidRDefault="008977E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2016</w:t>
            </w:r>
          </w:p>
        </w:tc>
        <w:tc>
          <w:tcPr>
            <w:tcW w:w="1560" w:type="pct"/>
            <w:vAlign w:val="center"/>
          </w:tcPr>
          <w:p w14:paraId="78A81922" w14:textId="738E272F"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81</w:t>
            </w:r>
          </w:p>
        </w:tc>
        <w:tc>
          <w:tcPr>
            <w:tcW w:w="1910" w:type="pct"/>
            <w:vAlign w:val="center"/>
          </w:tcPr>
          <w:p w14:paraId="63D929E1" w14:textId="2FDF4555"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19</w:t>
            </w:r>
          </w:p>
        </w:tc>
      </w:tr>
      <w:tr w:rsidR="00C4684C" w:rsidRPr="00464512" w14:paraId="011249CB" w14:textId="77777777" w:rsidTr="00E74783">
        <w:tc>
          <w:tcPr>
            <w:tcW w:w="1530" w:type="pct"/>
            <w:vAlign w:val="center"/>
          </w:tcPr>
          <w:p w14:paraId="3978A277" w14:textId="77777777" w:rsidR="008977E3" w:rsidRPr="00464512" w:rsidRDefault="008977E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2017</w:t>
            </w:r>
          </w:p>
        </w:tc>
        <w:tc>
          <w:tcPr>
            <w:tcW w:w="1560" w:type="pct"/>
            <w:vAlign w:val="center"/>
          </w:tcPr>
          <w:p w14:paraId="63FD8938" w14:textId="275AAAFE"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83</w:t>
            </w:r>
          </w:p>
        </w:tc>
        <w:tc>
          <w:tcPr>
            <w:tcW w:w="1910" w:type="pct"/>
            <w:vAlign w:val="center"/>
          </w:tcPr>
          <w:p w14:paraId="108608F5" w14:textId="328E394B"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17</w:t>
            </w:r>
          </w:p>
        </w:tc>
      </w:tr>
      <w:tr w:rsidR="00C4684C" w:rsidRPr="00464512" w14:paraId="752F5786" w14:textId="77777777" w:rsidTr="00E74783">
        <w:tc>
          <w:tcPr>
            <w:tcW w:w="1530" w:type="pct"/>
            <w:vAlign w:val="center"/>
          </w:tcPr>
          <w:p w14:paraId="35A5995C" w14:textId="77777777" w:rsidR="008977E3" w:rsidRPr="00464512" w:rsidRDefault="008977E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2018</w:t>
            </w:r>
          </w:p>
        </w:tc>
        <w:tc>
          <w:tcPr>
            <w:tcW w:w="1560" w:type="pct"/>
            <w:vAlign w:val="center"/>
          </w:tcPr>
          <w:p w14:paraId="2CF92322" w14:textId="3BA48013"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78</w:t>
            </w:r>
          </w:p>
        </w:tc>
        <w:tc>
          <w:tcPr>
            <w:tcW w:w="1910" w:type="pct"/>
            <w:vAlign w:val="center"/>
          </w:tcPr>
          <w:p w14:paraId="6CC5A3F1" w14:textId="0A535BD0"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22</w:t>
            </w:r>
          </w:p>
        </w:tc>
      </w:tr>
      <w:tr w:rsidR="00C4684C" w:rsidRPr="00464512" w14:paraId="4B37B1CF" w14:textId="77777777" w:rsidTr="00E74783">
        <w:tc>
          <w:tcPr>
            <w:tcW w:w="1530" w:type="pct"/>
            <w:vAlign w:val="center"/>
          </w:tcPr>
          <w:p w14:paraId="343D9D00" w14:textId="77777777" w:rsidR="008977E3" w:rsidRPr="00464512" w:rsidRDefault="008977E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2019</w:t>
            </w:r>
          </w:p>
        </w:tc>
        <w:tc>
          <w:tcPr>
            <w:tcW w:w="1560" w:type="pct"/>
            <w:vAlign w:val="center"/>
          </w:tcPr>
          <w:p w14:paraId="3ABCE370" w14:textId="07216E2A"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1</w:t>
            </w:r>
            <w:r w:rsidR="00974A16">
              <w:rPr>
                <w:rFonts w:ascii="Times New Roman" w:hAnsi="Times New Roman" w:cs="Times New Roman"/>
                <w:lang w:val="en-GB"/>
              </w:rPr>
              <w:t>.</w:t>
            </w:r>
            <w:r w:rsidRPr="00464512">
              <w:rPr>
                <w:rFonts w:ascii="Times New Roman" w:hAnsi="Times New Roman" w:cs="Times New Roman"/>
                <w:lang w:val="en-GB"/>
              </w:rPr>
              <w:t>00</w:t>
            </w:r>
          </w:p>
        </w:tc>
        <w:tc>
          <w:tcPr>
            <w:tcW w:w="1910" w:type="pct"/>
            <w:vAlign w:val="center"/>
          </w:tcPr>
          <w:p w14:paraId="7B6E22BD" w14:textId="3AC9FC9A"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w:t>
            </w:r>
          </w:p>
        </w:tc>
      </w:tr>
      <w:tr w:rsidR="00C4684C" w:rsidRPr="00464512" w14:paraId="6A3930AE" w14:textId="77777777" w:rsidTr="00E74783">
        <w:tc>
          <w:tcPr>
            <w:tcW w:w="1530" w:type="pct"/>
            <w:vAlign w:val="center"/>
          </w:tcPr>
          <w:p w14:paraId="32AD237F" w14:textId="77777777" w:rsidR="008977E3" w:rsidRPr="00464512" w:rsidRDefault="008977E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2020</w:t>
            </w:r>
          </w:p>
        </w:tc>
        <w:tc>
          <w:tcPr>
            <w:tcW w:w="1560" w:type="pct"/>
            <w:vAlign w:val="center"/>
          </w:tcPr>
          <w:p w14:paraId="37379C0C" w14:textId="1A64170D" w:rsidR="008977E3" w:rsidRPr="00464512" w:rsidRDefault="00D108F0"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99</w:t>
            </w:r>
          </w:p>
        </w:tc>
        <w:tc>
          <w:tcPr>
            <w:tcW w:w="1910" w:type="pct"/>
            <w:vAlign w:val="center"/>
          </w:tcPr>
          <w:p w14:paraId="6B6A5B30" w14:textId="6578D238" w:rsidR="008977E3" w:rsidRPr="00464512" w:rsidRDefault="00D108F0"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01</w:t>
            </w:r>
          </w:p>
        </w:tc>
      </w:tr>
      <w:tr w:rsidR="00C4684C" w:rsidRPr="00464512" w14:paraId="2B597F66" w14:textId="77777777" w:rsidTr="00E74783">
        <w:tc>
          <w:tcPr>
            <w:tcW w:w="1530" w:type="pct"/>
            <w:vAlign w:val="center"/>
          </w:tcPr>
          <w:p w14:paraId="2F0D60F3" w14:textId="77777777" w:rsidR="008977E3" w:rsidRPr="00464512" w:rsidRDefault="008977E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2021</w:t>
            </w:r>
          </w:p>
        </w:tc>
        <w:tc>
          <w:tcPr>
            <w:tcW w:w="1560" w:type="pct"/>
            <w:vAlign w:val="center"/>
          </w:tcPr>
          <w:p w14:paraId="2F4D06AC" w14:textId="2952FD4E" w:rsidR="008977E3" w:rsidRPr="00464512" w:rsidRDefault="008977E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1</w:t>
            </w:r>
            <w:r w:rsidR="00974A16">
              <w:rPr>
                <w:rFonts w:ascii="Times New Roman" w:hAnsi="Times New Roman" w:cs="Times New Roman"/>
                <w:lang w:val="en-GB"/>
              </w:rPr>
              <w:t>.</w:t>
            </w:r>
            <w:r w:rsidRPr="00464512">
              <w:rPr>
                <w:rFonts w:ascii="Times New Roman" w:hAnsi="Times New Roman" w:cs="Times New Roman"/>
                <w:lang w:val="en-GB"/>
              </w:rPr>
              <w:t>00</w:t>
            </w:r>
          </w:p>
        </w:tc>
        <w:tc>
          <w:tcPr>
            <w:tcW w:w="1910" w:type="pct"/>
            <w:vAlign w:val="center"/>
          </w:tcPr>
          <w:p w14:paraId="3905B765" w14:textId="17370F23"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w:t>
            </w:r>
          </w:p>
        </w:tc>
      </w:tr>
      <w:tr w:rsidR="00C4684C" w:rsidRPr="00464512" w14:paraId="306EF28D" w14:textId="77777777" w:rsidTr="00E74783">
        <w:tc>
          <w:tcPr>
            <w:tcW w:w="1530" w:type="pct"/>
            <w:vAlign w:val="center"/>
          </w:tcPr>
          <w:p w14:paraId="23794080" w14:textId="77777777" w:rsidR="008977E3" w:rsidRPr="00464512" w:rsidRDefault="008977E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2022</w:t>
            </w:r>
          </w:p>
        </w:tc>
        <w:tc>
          <w:tcPr>
            <w:tcW w:w="1560" w:type="pct"/>
            <w:vAlign w:val="center"/>
          </w:tcPr>
          <w:p w14:paraId="7DAC3D2C" w14:textId="0CF62A5E" w:rsidR="008977E3" w:rsidRPr="00464512" w:rsidRDefault="008977E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1</w:t>
            </w:r>
            <w:r w:rsidR="00974A16">
              <w:rPr>
                <w:rFonts w:ascii="Times New Roman" w:hAnsi="Times New Roman" w:cs="Times New Roman"/>
                <w:lang w:val="en-GB"/>
              </w:rPr>
              <w:t>.</w:t>
            </w:r>
            <w:r w:rsidRPr="00464512">
              <w:rPr>
                <w:rFonts w:ascii="Times New Roman" w:hAnsi="Times New Roman" w:cs="Times New Roman"/>
                <w:lang w:val="en-GB"/>
              </w:rPr>
              <w:t>00</w:t>
            </w:r>
          </w:p>
        </w:tc>
        <w:tc>
          <w:tcPr>
            <w:tcW w:w="1910" w:type="pct"/>
            <w:vAlign w:val="center"/>
          </w:tcPr>
          <w:p w14:paraId="53B3B68C" w14:textId="364C5EBF"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w:t>
            </w:r>
          </w:p>
        </w:tc>
      </w:tr>
      <w:tr w:rsidR="00C4684C" w:rsidRPr="00464512" w14:paraId="392CC93F" w14:textId="77777777" w:rsidTr="00E74783">
        <w:tc>
          <w:tcPr>
            <w:tcW w:w="1530" w:type="pct"/>
            <w:vAlign w:val="center"/>
          </w:tcPr>
          <w:p w14:paraId="2B5BCEF6" w14:textId="77777777" w:rsidR="008977E3" w:rsidRPr="00464512" w:rsidRDefault="008977E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2023</w:t>
            </w:r>
          </w:p>
        </w:tc>
        <w:tc>
          <w:tcPr>
            <w:tcW w:w="1560" w:type="pct"/>
            <w:vAlign w:val="center"/>
          </w:tcPr>
          <w:p w14:paraId="7C1F6EA2" w14:textId="2BE822DA"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89</w:t>
            </w:r>
          </w:p>
        </w:tc>
        <w:tc>
          <w:tcPr>
            <w:tcW w:w="1910" w:type="pct"/>
            <w:vAlign w:val="center"/>
          </w:tcPr>
          <w:p w14:paraId="5CE430B0" w14:textId="74843002" w:rsidR="008977E3" w:rsidRPr="00464512" w:rsidRDefault="00B74447"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11</w:t>
            </w:r>
          </w:p>
        </w:tc>
      </w:tr>
      <w:tr w:rsidR="00C4684C" w:rsidRPr="00464512" w14:paraId="3571CAC7" w14:textId="77777777" w:rsidTr="00E74783">
        <w:tc>
          <w:tcPr>
            <w:tcW w:w="1530" w:type="pct"/>
            <w:vAlign w:val="center"/>
          </w:tcPr>
          <w:p w14:paraId="0339FF2A" w14:textId="40224ECA" w:rsidR="008977E3" w:rsidRPr="00464512" w:rsidRDefault="00655E2D"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Sum</w:t>
            </w:r>
          </w:p>
        </w:tc>
        <w:tc>
          <w:tcPr>
            <w:tcW w:w="1560" w:type="pct"/>
            <w:vAlign w:val="center"/>
          </w:tcPr>
          <w:p w14:paraId="62FE9691" w14:textId="49D79B9B" w:rsidR="008977E3" w:rsidRPr="00464512" w:rsidRDefault="00B931C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6</w:t>
            </w:r>
            <w:r w:rsidR="00974A16">
              <w:rPr>
                <w:rFonts w:ascii="Times New Roman" w:hAnsi="Times New Roman" w:cs="Times New Roman"/>
                <w:lang w:val="en-GB"/>
              </w:rPr>
              <w:t>.</w:t>
            </w:r>
            <w:r w:rsidR="00FA34B5" w:rsidRPr="00464512">
              <w:rPr>
                <w:rFonts w:ascii="Times New Roman" w:hAnsi="Times New Roman" w:cs="Times New Roman"/>
                <w:lang w:val="en-GB"/>
              </w:rPr>
              <w:t>1</w:t>
            </w:r>
            <w:r w:rsidRPr="00464512">
              <w:rPr>
                <w:rFonts w:ascii="Times New Roman" w:hAnsi="Times New Roman" w:cs="Times New Roman"/>
                <w:lang w:val="en-GB"/>
              </w:rPr>
              <w:t>6</w:t>
            </w:r>
          </w:p>
        </w:tc>
        <w:tc>
          <w:tcPr>
            <w:tcW w:w="1910" w:type="pct"/>
            <w:vAlign w:val="center"/>
          </w:tcPr>
          <w:p w14:paraId="5BE32E3D" w14:textId="207E47BA" w:rsidR="008977E3" w:rsidRPr="00464512" w:rsidRDefault="00FA34B5"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8</w:t>
            </w:r>
            <w:r w:rsidR="00B931C3" w:rsidRPr="00464512">
              <w:rPr>
                <w:rFonts w:ascii="Times New Roman" w:hAnsi="Times New Roman" w:cs="Times New Roman"/>
                <w:lang w:val="en-GB"/>
              </w:rPr>
              <w:t>4</w:t>
            </w:r>
          </w:p>
        </w:tc>
      </w:tr>
      <w:tr w:rsidR="00C4684C" w:rsidRPr="00464512" w14:paraId="79013D76" w14:textId="77777777" w:rsidTr="00E74783">
        <w:tc>
          <w:tcPr>
            <w:tcW w:w="1530" w:type="pct"/>
            <w:vAlign w:val="center"/>
          </w:tcPr>
          <w:p w14:paraId="1F540967" w14:textId="31360A1E" w:rsidR="00FA34B5" w:rsidRPr="00464512" w:rsidRDefault="00655E2D"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Sum effective</w:t>
            </w:r>
          </w:p>
        </w:tc>
        <w:tc>
          <w:tcPr>
            <w:tcW w:w="1560" w:type="pct"/>
            <w:vAlign w:val="center"/>
          </w:tcPr>
          <w:p w14:paraId="75F98171" w14:textId="3790289D" w:rsidR="00FA34B5" w:rsidRPr="00464512" w:rsidRDefault="00B931C3"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3</w:t>
            </w:r>
            <w:r w:rsidR="00974A16">
              <w:rPr>
                <w:rFonts w:ascii="Times New Roman" w:hAnsi="Times New Roman" w:cs="Times New Roman"/>
                <w:lang w:val="en-GB"/>
              </w:rPr>
              <w:t>.</w:t>
            </w:r>
            <w:r w:rsidR="00FA34B5" w:rsidRPr="00464512">
              <w:rPr>
                <w:rFonts w:ascii="Times New Roman" w:hAnsi="Times New Roman" w:cs="Times New Roman"/>
                <w:lang w:val="en-GB"/>
              </w:rPr>
              <w:t>00</w:t>
            </w:r>
          </w:p>
        </w:tc>
        <w:tc>
          <w:tcPr>
            <w:tcW w:w="1910" w:type="pct"/>
            <w:vAlign w:val="center"/>
          </w:tcPr>
          <w:p w14:paraId="7FE7C1C2" w14:textId="43069BD6" w:rsidR="00FA34B5" w:rsidRPr="00464512" w:rsidRDefault="00FA34B5" w:rsidP="00AF385C">
            <w:pPr>
              <w:widowControl w:val="0"/>
              <w:spacing w:before="240"/>
              <w:contextualSpacing/>
              <w:jc w:val="center"/>
              <w:rPr>
                <w:rFonts w:ascii="Times New Roman" w:hAnsi="Times New Roman" w:cs="Times New Roman"/>
                <w:lang w:val="en-GB"/>
              </w:rPr>
            </w:pPr>
            <w:r w:rsidRPr="00464512">
              <w:rPr>
                <w:rFonts w:ascii="Times New Roman" w:hAnsi="Times New Roman" w:cs="Times New Roman"/>
                <w:lang w:val="en-GB"/>
              </w:rPr>
              <w:t>-</w:t>
            </w:r>
          </w:p>
        </w:tc>
      </w:tr>
    </w:tbl>
    <w:p w14:paraId="5AC224BB" w14:textId="1D42E80B" w:rsidR="00E91DF2" w:rsidRPr="00464512" w:rsidRDefault="005D2CDE" w:rsidP="00464512">
      <w:pPr>
        <w:widowControl w:val="0"/>
        <w:spacing w:before="60" w:after="0" w:line="240" w:lineRule="auto"/>
        <w:jc w:val="both"/>
        <w:rPr>
          <w:rFonts w:ascii="Times New Roman" w:hAnsi="Times New Roman" w:cs="Times New Roman"/>
          <w:iCs/>
          <w:sz w:val="20"/>
          <w:szCs w:val="20"/>
          <w:lang w:val="en-GB"/>
        </w:rPr>
      </w:pPr>
      <w:r w:rsidRPr="00464512">
        <w:rPr>
          <w:rFonts w:ascii="Times New Roman" w:hAnsi="Times New Roman" w:cs="Times New Roman"/>
          <w:iCs/>
          <w:sz w:val="20"/>
          <w:szCs w:val="20"/>
          <w:lang w:val="en-GB"/>
        </w:rPr>
        <w:t xml:space="preserve">Source: based on Fig. </w:t>
      </w:r>
      <w:r w:rsidR="00C037C7">
        <w:rPr>
          <w:rFonts w:ascii="Times New Roman" w:hAnsi="Times New Roman" w:cs="Times New Roman"/>
          <w:iCs/>
          <w:sz w:val="20"/>
          <w:szCs w:val="20"/>
          <w:lang w:val="en-GB"/>
        </w:rPr>
        <w:t>7</w:t>
      </w:r>
    </w:p>
    <w:p w14:paraId="48694DF8" w14:textId="77777777" w:rsidR="005D2CDE" w:rsidRPr="00464512" w:rsidRDefault="005D2CDE" w:rsidP="00C4684C">
      <w:pPr>
        <w:widowControl w:val="0"/>
        <w:spacing w:after="0" w:line="240" w:lineRule="auto"/>
        <w:ind w:firstLine="284"/>
        <w:contextualSpacing/>
        <w:jc w:val="both"/>
        <w:rPr>
          <w:rFonts w:ascii="Times New Roman" w:hAnsi="Times New Roman" w:cs="Times New Roman"/>
          <w:bCs/>
          <w:lang w:val="en-GB"/>
        </w:rPr>
      </w:pPr>
    </w:p>
    <w:p w14:paraId="606E6F7D" w14:textId="751BA7FE" w:rsidR="00A67F3A" w:rsidRPr="00464512" w:rsidRDefault="00A67F3A"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The positions of the years included in the efficiency line have efficiency coefficients equal to one, and the positions of other years, respectively, </w:t>
      </w:r>
      <w:r w:rsidR="00480D52">
        <w:rPr>
          <w:rFonts w:ascii="Times New Roman" w:hAnsi="Times New Roman" w:cs="Times New Roman"/>
          <w:lang w:val="en-GB"/>
        </w:rPr>
        <w:t xml:space="preserve">range </w:t>
      </w:r>
      <w:r w:rsidRPr="00464512">
        <w:rPr>
          <w:rFonts w:ascii="Times New Roman" w:hAnsi="Times New Roman" w:cs="Times New Roman"/>
          <w:lang w:val="en-GB"/>
        </w:rPr>
        <w:t>from 0 to 1. The closer the efficiency coefficient is to one, the higher the efficiency. Thus, the most efficient use of capital investments for the development of land resources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w:t>
      </w:r>
      <w:r w:rsidR="00E62E54" w:rsidRPr="00464512">
        <w:rPr>
          <w:rFonts w:ascii="Times New Roman" w:hAnsi="Times New Roman" w:cs="Times New Roman"/>
          <w:lang w:val="en-GB"/>
        </w:rPr>
        <w:t>w</w:t>
      </w:r>
      <w:r w:rsidR="00480D52">
        <w:rPr>
          <w:rFonts w:ascii="Times New Roman" w:hAnsi="Times New Roman" w:cs="Times New Roman"/>
          <w:lang w:val="en-GB"/>
        </w:rPr>
        <w:t>as</w:t>
      </w:r>
      <w:r w:rsidRPr="00464512">
        <w:rPr>
          <w:rFonts w:ascii="Times New Roman" w:hAnsi="Times New Roman" w:cs="Times New Roman"/>
          <w:lang w:val="en-GB"/>
        </w:rPr>
        <w:t xml:space="preserve"> carried out in 2015 and 2019, the least efficient in 2016 and 2017. The total efficiency is 7</w:t>
      </w:r>
      <w:r w:rsidR="00974A16">
        <w:rPr>
          <w:rFonts w:ascii="Times New Roman" w:hAnsi="Times New Roman" w:cs="Times New Roman"/>
          <w:lang w:val="en-GB"/>
        </w:rPr>
        <w:t>.</w:t>
      </w:r>
      <w:r w:rsidRPr="00464512">
        <w:rPr>
          <w:rFonts w:ascii="Times New Roman" w:hAnsi="Times New Roman" w:cs="Times New Roman"/>
          <w:lang w:val="en-GB"/>
        </w:rPr>
        <w:t>3 times higher than the total inefficiency (6</w:t>
      </w:r>
      <w:r w:rsidR="00974A16">
        <w:rPr>
          <w:rFonts w:ascii="Times New Roman" w:hAnsi="Times New Roman" w:cs="Times New Roman"/>
          <w:lang w:val="en-GB"/>
        </w:rPr>
        <w:t>.</w:t>
      </w:r>
      <w:r w:rsidRPr="00464512">
        <w:rPr>
          <w:rFonts w:ascii="Times New Roman" w:hAnsi="Times New Roman" w:cs="Times New Roman"/>
          <w:lang w:val="en-GB"/>
        </w:rPr>
        <w:t>16/0</w:t>
      </w:r>
      <w:r w:rsidR="00974A16">
        <w:rPr>
          <w:rFonts w:ascii="Times New Roman" w:hAnsi="Times New Roman" w:cs="Times New Roman"/>
          <w:lang w:val="en-GB"/>
        </w:rPr>
        <w:t>.</w:t>
      </w:r>
      <w:r w:rsidRPr="00464512">
        <w:rPr>
          <w:rFonts w:ascii="Times New Roman" w:hAnsi="Times New Roman" w:cs="Times New Roman"/>
          <w:lang w:val="en-GB"/>
        </w:rPr>
        <w:t>84).</w:t>
      </w:r>
    </w:p>
    <w:p w14:paraId="1A6A1466" w14:textId="4EC96906" w:rsidR="000716F1" w:rsidRPr="00464512" w:rsidRDefault="00A67F3A"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Without paying attention to the rather significant excess of efficiency over inefficiency, it should be noted that there are significant problems with capital investments in 2014-2018, 2020</w:t>
      </w:r>
      <w:r w:rsidR="00480D52">
        <w:rPr>
          <w:rFonts w:ascii="Times New Roman" w:hAnsi="Times New Roman" w:cs="Times New Roman"/>
          <w:lang w:val="en-GB"/>
        </w:rPr>
        <w:t>,</w:t>
      </w:r>
      <w:r w:rsidRPr="00464512">
        <w:rPr>
          <w:rFonts w:ascii="Times New Roman" w:hAnsi="Times New Roman" w:cs="Times New Roman"/>
          <w:lang w:val="en-GB"/>
        </w:rPr>
        <w:t xml:space="preserve"> and 2023. To do this, let us </w:t>
      </w:r>
      <w:proofErr w:type="spellStart"/>
      <w:r w:rsidRPr="00464512">
        <w:rPr>
          <w:rFonts w:ascii="Times New Roman" w:hAnsi="Times New Roman" w:cs="Times New Roman"/>
          <w:lang w:val="en-GB"/>
        </w:rPr>
        <w:t>analyze</w:t>
      </w:r>
      <w:proofErr w:type="spellEnd"/>
      <w:r w:rsidRPr="00464512">
        <w:rPr>
          <w:rFonts w:ascii="Times New Roman" w:hAnsi="Times New Roman" w:cs="Times New Roman"/>
          <w:lang w:val="en-GB"/>
        </w:rPr>
        <w:t xml:space="preserve"> the new positions that formed at the intersection between the efficiency line and the segments 0-2014, 0-2015, 0-2016, 0-2017, 0-2018, 0-2020, 0-2023 (Table </w:t>
      </w:r>
      <w:r w:rsidR="004B7381" w:rsidRPr="00464512">
        <w:rPr>
          <w:rFonts w:ascii="Times New Roman" w:hAnsi="Times New Roman" w:cs="Times New Roman"/>
          <w:lang w:val="en-GB"/>
        </w:rPr>
        <w:t>5</w:t>
      </w:r>
      <w:r w:rsidRPr="00464512">
        <w:rPr>
          <w:rFonts w:ascii="Times New Roman" w:hAnsi="Times New Roman" w:cs="Times New Roman"/>
          <w:lang w:val="en-GB"/>
        </w:rPr>
        <w:t>).</w:t>
      </w:r>
    </w:p>
    <w:p w14:paraId="0BF773D7" w14:textId="77777777" w:rsidR="00E97758" w:rsidRPr="00464512" w:rsidRDefault="00E97758" w:rsidP="00DA4FDD">
      <w:pPr>
        <w:widowControl w:val="0"/>
        <w:spacing w:after="0" w:line="240" w:lineRule="auto"/>
        <w:ind w:firstLine="567"/>
        <w:contextualSpacing/>
        <w:jc w:val="both"/>
        <w:rPr>
          <w:rFonts w:ascii="Times New Roman" w:hAnsi="Times New Roman" w:cs="Times New Roman"/>
          <w:lang w:val="en-GB"/>
        </w:rPr>
      </w:pPr>
    </w:p>
    <w:p w14:paraId="756C0FAD" w14:textId="1FCEE7DE" w:rsidR="00D21098" w:rsidRPr="00464512" w:rsidRDefault="004B7381" w:rsidP="00C4684C">
      <w:pPr>
        <w:pStyle w:val="Rtab"/>
        <w:rPr>
          <w:lang w:val="en-GB"/>
        </w:rPr>
      </w:pPr>
      <w:r w:rsidRPr="00464512">
        <w:rPr>
          <w:b/>
          <w:bCs/>
          <w:lang w:val="en-GB"/>
        </w:rPr>
        <w:t>Table 5</w:t>
      </w:r>
      <w:r w:rsidR="006D310E" w:rsidRPr="00464512">
        <w:rPr>
          <w:b/>
          <w:bCs/>
          <w:lang w:val="en-GB"/>
        </w:rPr>
        <w:t>.</w:t>
      </w:r>
      <w:r w:rsidR="006D310E" w:rsidRPr="00464512">
        <w:rPr>
          <w:lang w:val="en-GB"/>
        </w:rPr>
        <w:t xml:space="preserve"> </w:t>
      </w:r>
      <w:r w:rsidR="003F1572" w:rsidRPr="00464512">
        <w:rPr>
          <w:lang w:val="en-GB"/>
        </w:rPr>
        <w:t>Assessment of inefficiently used capital investments in land of agricultural, forestry</w:t>
      </w:r>
      <w:r w:rsidR="00480D52">
        <w:rPr>
          <w:lang w:val="en-GB"/>
        </w:rPr>
        <w:t>,</w:t>
      </w:r>
      <w:r w:rsidR="003F1572" w:rsidRPr="00464512">
        <w:rPr>
          <w:lang w:val="en-GB"/>
        </w:rPr>
        <w:t xml:space="preserve"> and fishery enterprises, 2014-2023</w:t>
      </w:r>
    </w:p>
    <w:tbl>
      <w:tblPr>
        <w:tblStyle w:val="Tabela-Siatka"/>
        <w:tblW w:w="5000" w:type="pct"/>
        <w:tblLook w:val="04A0" w:firstRow="1" w:lastRow="0" w:firstColumn="1" w:lastColumn="0" w:noHBand="0" w:noVBand="1"/>
      </w:tblPr>
      <w:tblGrid>
        <w:gridCol w:w="872"/>
        <w:gridCol w:w="3505"/>
        <w:gridCol w:w="2482"/>
        <w:gridCol w:w="2769"/>
      </w:tblGrid>
      <w:tr w:rsidR="00C4684C" w:rsidRPr="00464512" w14:paraId="27ED4AA3" w14:textId="77777777" w:rsidTr="00EA460F">
        <w:trPr>
          <w:trHeight w:val="856"/>
        </w:trPr>
        <w:tc>
          <w:tcPr>
            <w:tcW w:w="453" w:type="pct"/>
            <w:vAlign w:val="center"/>
          </w:tcPr>
          <w:p w14:paraId="2EA2BA9A" w14:textId="3789432C" w:rsidR="00D21098" w:rsidRPr="00464512" w:rsidRDefault="007840C1" w:rsidP="00BE602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Years</w:t>
            </w:r>
          </w:p>
        </w:tc>
        <w:tc>
          <w:tcPr>
            <w:tcW w:w="1820" w:type="pct"/>
            <w:vAlign w:val="center"/>
          </w:tcPr>
          <w:p w14:paraId="33DD82C8" w14:textId="75E5361E" w:rsidR="00D21098" w:rsidRPr="00464512" w:rsidRDefault="007840C1" w:rsidP="00BE602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New position covering the volume of products (goods, services) sold by enterprises investing in land</w:t>
            </w:r>
          </w:p>
        </w:tc>
        <w:tc>
          <w:tcPr>
            <w:tcW w:w="1289" w:type="pct"/>
            <w:vAlign w:val="center"/>
          </w:tcPr>
          <w:p w14:paraId="53EF0E84" w14:textId="647FE823" w:rsidR="00D21098" w:rsidRPr="00464512" w:rsidRDefault="007840C1" w:rsidP="00BE602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 xml:space="preserve">Volume of capital investments under the new position, </w:t>
            </w:r>
            <w:r w:rsidR="00C005B8" w:rsidRPr="00464512">
              <w:rPr>
                <w:rFonts w:ascii="Times New Roman" w:hAnsi="Times New Roman" w:cs="Times New Roman"/>
                <w:lang w:val="en-GB"/>
              </w:rPr>
              <w:t xml:space="preserve">USD </w:t>
            </w:r>
            <w:proofErr w:type="spellStart"/>
            <w:r w:rsidR="00075AE1" w:rsidRPr="00464512">
              <w:rPr>
                <w:rFonts w:ascii="Times New Roman" w:hAnsi="Times New Roman" w:cs="Times New Roman"/>
                <w:lang w:val="en-GB"/>
              </w:rPr>
              <w:t>mln</w:t>
            </w:r>
            <w:proofErr w:type="spellEnd"/>
          </w:p>
        </w:tc>
        <w:tc>
          <w:tcPr>
            <w:tcW w:w="1438" w:type="pct"/>
            <w:vAlign w:val="center"/>
          </w:tcPr>
          <w:p w14:paraId="150CD252" w14:textId="0FB4D0DB" w:rsidR="00D21098" w:rsidRPr="00464512" w:rsidRDefault="007840C1" w:rsidP="00BE602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 xml:space="preserve">Possible savings on capital investments, </w:t>
            </w:r>
            <w:r w:rsidR="00C005B8" w:rsidRPr="00464512">
              <w:rPr>
                <w:rFonts w:ascii="Times New Roman" w:hAnsi="Times New Roman" w:cs="Times New Roman"/>
                <w:lang w:val="en-GB"/>
              </w:rPr>
              <w:t xml:space="preserve">USD </w:t>
            </w:r>
            <w:proofErr w:type="spellStart"/>
            <w:r w:rsidR="00075AE1" w:rsidRPr="00464512">
              <w:rPr>
                <w:rFonts w:ascii="Times New Roman" w:hAnsi="Times New Roman" w:cs="Times New Roman"/>
                <w:lang w:val="en-GB"/>
              </w:rPr>
              <w:t>mln</w:t>
            </w:r>
            <w:proofErr w:type="spellEnd"/>
          </w:p>
        </w:tc>
      </w:tr>
      <w:tr w:rsidR="00C4684C" w:rsidRPr="00464512" w14:paraId="028EA1C0" w14:textId="77777777" w:rsidTr="00C50CF2">
        <w:tc>
          <w:tcPr>
            <w:tcW w:w="453" w:type="pct"/>
            <w:vAlign w:val="center"/>
          </w:tcPr>
          <w:p w14:paraId="5555278E" w14:textId="77BA8B49"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2014</w:t>
            </w:r>
          </w:p>
        </w:tc>
        <w:tc>
          <w:tcPr>
            <w:tcW w:w="1820" w:type="pct"/>
            <w:vAlign w:val="center"/>
          </w:tcPr>
          <w:p w14:paraId="3EDB5258" w14:textId="4498DCD2"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000363</w:t>
            </w:r>
          </w:p>
        </w:tc>
        <w:tc>
          <w:tcPr>
            <w:tcW w:w="1289" w:type="pct"/>
            <w:vAlign w:val="bottom"/>
          </w:tcPr>
          <w:p w14:paraId="7EF2D90D" w14:textId="08323BE1"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w:t>
            </w:r>
            <w:r w:rsidR="00974A16">
              <w:rPr>
                <w:rFonts w:ascii="Times New Roman" w:hAnsi="Times New Roman" w:cs="Times New Roman"/>
                <w:lang w:val="en-GB"/>
              </w:rPr>
              <w:t>.</w:t>
            </w:r>
            <w:r w:rsidRPr="00464512">
              <w:rPr>
                <w:rFonts w:ascii="Times New Roman" w:hAnsi="Times New Roman" w:cs="Times New Roman"/>
                <w:lang w:val="en-GB"/>
              </w:rPr>
              <w:t>86</w:t>
            </w:r>
          </w:p>
        </w:tc>
        <w:tc>
          <w:tcPr>
            <w:tcW w:w="1438" w:type="pct"/>
            <w:vAlign w:val="bottom"/>
          </w:tcPr>
          <w:p w14:paraId="457DB4D1" w14:textId="30574372"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26</w:t>
            </w:r>
          </w:p>
        </w:tc>
      </w:tr>
      <w:tr w:rsidR="00C4684C" w:rsidRPr="00464512" w14:paraId="0672B371" w14:textId="77777777" w:rsidTr="00C50CF2">
        <w:tc>
          <w:tcPr>
            <w:tcW w:w="453" w:type="pct"/>
            <w:vAlign w:val="center"/>
          </w:tcPr>
          <w:p w14:paraId="34E004D6" w14:textId="260C6AAB"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2015</w:t>
            </w:r>
          </w:p>
        </w:tc>
        <w:tc>
          <w:tcPr>
            <w:tcW w:w="1820" w:type="pct"/>
            <w:vAlign w:val="center"/>
          </w:tcPr>
          <w:p w14:paraId="11266787" w14:textId="69C53E47"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000139</w:t>
            </w:r>
          </w:p>
        </w:tc>
        <w:tc>
          <w:tcPr>
            <w:tcW w:w="1289" w:type="pct"/>
            <w:vAlign w:val="bottom"/>
          </w:tcPr>
          <w:p w14:paraId="095E7219" w14:textId="6A0C938E"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w:t>
            </w:r>
            <w:r w:rsidR="00974A16">
              <w:rPr>
                <w:rFonts w:ascii="Times New Roman" w:hAnsi="Times New Roman" w:cs="Times New Roman"/>
                <w:lang w:val="en-GB"/>
              </w:rPr>
              <w:t>.</w:t>
            </w:r>
            <w:r w:rsidRPr="00464512">
              <w:rPr>
                <w:rFonts w:ascii="Times New Roman" w:hAnsi="Times New Roman" w:cs="Times New Roman"/>
                <w:lang w:val="en-GB"/>
              </w:rPr>
              <w:t>21</w:t>
            </w:r>
          </w:p>
        </w:tc>
        <w:tc>
          <w:tcPr>
            <w:tcW w:w="1438" w:type="pct"/>
            <w:vAlign w:val="bottom"/>
          </w:tcPr>
          <w:p w14:paraId="074BEA93" w14:textId="26DC6F92"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05</w:t>
            </w:r>
          </w:p>
        </w:tc>
      </w:tr>
      <w:tr w:rsidR="00C4684C" w:rsidRPr="00464512" w14:paraId="662988FC" w14:textId="77777777" w:rsidTr="00C50CF2">
        <w:tc>
          <w:tcPr>
            <w:tcW w:w="453" w:type="pct"/>
            <w:vAlign w:val="center"/>
          </w:tcPr>
          <w:p w14:paraId="795AA5B4" w14:textId="3C1A175A"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2016</w:t>
            </w:r>
          </w:p>
        </w:tc>
        <w:tc>
          <w:tcPr>
            <w:tcW w:w="1820" w:type="pct"/>
            <w:vAlign w:val="center"/>
          </w:tcPr>
          <w:p w14:paraId="2593D850" w14:textId="5EF2CC16"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000197</w:t>
            </w:r>
          </w:p>
        </w:tc>
        <w:tc>
          <w:tcPr>
            <w:tcW w:w="1289" w:type="pct"/>
            <w:vAlign w:val="bottom"/>
          </w:tcPr>
          <w:p w14:paraId="33DE3A86" w14:textId="426A9CC7"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1</w:t>
            </w:r>
            <w:r w:rsidR="00974A16">
              <w:rPr>
                <w:rFonts w:ascii="Times New Roman" w:hAnsi="Times New Roman" w:cs="Times New Roman"/>
                <w:lang w:val="en-GB"/>
              </w:rPr>
              <w:t>.</w:t>
            </w:r>
            <w:r w:rsidRPr="00464512">
              <w:rPr>
                <w:rFonts w:ascii="Times New Roman" w:hAnsi="Times New Roman" w:cs="Times New Roman"/>
                <w:lang w:val="en-GB"/>
              </w:rPr>
              <w:t>54</w:t>
            </w:r>
          </w:p>
        </w:tc>
        <w:tc>
          <w:tcPr>
            <w:tcW w:w="1438" w:type="pct"/>
            <w:vAlign w:val="bottom"/>
          </w:tcPr>
          <w:p w14:paraId="6F77E8C4" w14:textId="5E90EB90"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76</w:t>
            </w:r>
          </w:p>
        </w:tc>
      </w:tr>
      <w:tr w:rsidR="00C4684C" w:rsidRPr="00464512" w14:paraId="6DFF0BCA" w14:textId="77777777" w:rsidTr="00C50CF2">
        <w:tc>
          <w:tcPr>
            <w:tcW w:w="453" w:type="pct"/>
            <w:vAlign w:val="center"/>
          </w:tcPr>
          <w:p w14:paraId="62790708" w14:textId="1876ABD0"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2017</w:t>
            </w:r>
          </w:p>
        </w:tc>
        <w:tc>
          <w:tcPr>
            <w:tcW w:w="1820" w:type="pct"/>
            <w:vAlign w:val="center"/>
          </w:tcPr>
          <w:p w14:paraId="580FB5CA" w14:textId="59F6B552"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000275</w:t>
            </w:r>
          </w:p>
        </w:tc>
        <w:tc>
          <w:tcPr>
            <w:tcW w:w="1289" w:type="pct"/>
            <w:vAlign w:val="bottom"/>
          </w:tcPr>
          <w:p w14:paraId="6DBDF832" w14:textId="0BD8BA99"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3</w:t>
            </w:r>
            <w:r w:rsidR="00974A16">
              <w:rPr>
                <w:rFonts w:ascii="Times New Roman" w:hAnsi="Times New Roman" w:cs="Times New Roman"/>
                <w:lang w:val="en-GB"/>
              </w:rPr>
              <w:t>.</w:t>
            </w:r>
            <w:r w:rsidRPr="00464512">
              <w:rPr>
                <w:rFonts w:ascii="Times New Roman" w:hAnsi="Times New Roman" w:cs="Times New Roman"/>
                <w:lang w:val="en-GB"/>
              </w:rPr>
              <w:t>00</w:t>
            </w:r>
          </w:p>
        </w:tc>
        <w:tc>
          <w:tcPr>
            <w:tcW w:w="1438" w:type="pct"/>
            <w:vAlign w:val="bottom"/>
          </w:tcPr>
          <w:p w14:paraId="2BE792FF" w14:textId="2C6AFD98"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68</w:t>
            </w:r>
          </w:p>
        </w:tc>
      </w:tr>
      <w:tr w:rsidR="00C4684C" w:rsidRPr="00464512" w14:paraId="0978E096" w14:textId="77777777" w:rsidTr="00C50CF2">
        <w:tc>
          <w:tcPr>
            <w:tcW w:w="453" w:type="pct"/>
            <w:vAlign w:val="center"/>
          </w:tcPr>
          <w:p w14:paraId="6C742556" w14:textId="753FE7EA"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2018</w:t>
            </w:r>
          </w:p>
        </w:tc>
        <w:tc>
          <w:tcPr>
            <w:tcW w:w="1820" w:type="pct"/>
            <w:vAlign w:val="center"/>
          </w:tcPr>
          <w:p w14:paraId="3EC9563E" w14:textId="0290E65A"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000294</w:t>
            </w:r>
          </w:p>
        </w:tc>
        <w:tc>
          <w:tcPr>
            <w:tcW w:w="1289" w:type="pct"/>
            <w:vAlign w:val="bottom"/>
          </w:tcPr>
          <w:p w14:paraId="4CFE680E" w14:textId="57ACFDBD"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3</w:t>
            </w:r>
            <w:r w:rsidR="00974A16">
              <w:rPr>
                <w:rFonts w:ascii="Times New Roman" w:hAnsi="Times New Roman" w:cs="Times New Roman"/>
                <w:lang w:val="en-GB"/>
              </w:rPr>
              <w:t>.</w:t>
            </w:r>
            <w:r w:rsidRPr="00464512">
              <w:rPr>
                <w:rFonts w:ascii="Times New Roman" w:hAnsi="Times New Roman" w:cs="Times New Roman"/>
                <w:lang w:val="en-GB"/>
              </w:rPr>
              <w:t>71</w:t>
            </w:r>
          </w:p>
        </w:tc>
        <w:tc>
          <w:tcPr>
            <w:tcW w:w="1438" w:type="pct"/>
            <w:vAlign w:val="bottom"/>
          </w:tcPr>
          <w:p w14:paraId="56EAD1A1" w14:textId="5A7C1D43"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93</w:t>
            </w:r>
          </w:p>
        </w:tc>
      </w:tr>
      <w:tr w:rsidR="00C4684C" w:rsidRPr="00464512" w14:paraId="75999206" w14:textId="77777777" w:rsidTr="00C50CF2">
        <w:tc>
          <w:tcPr>
            <w:tcW w:w="453" w:type="pct"/>
            <w:vAlign w:val="center"/>
          </w:tcPr>
          <w:p w14:paraId="7D4C9ED3" w14:textId="411081A9"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2020</w:t>
            </w:r>
          </w:p>
        </w:tc>
        <w:tc>
          <w:tcPr>
            <w:tcW w:w="1820" w:type="pct"/>
            <w:vAlign w:val="center"/>
          </w:tcPr>
          <w:p w14:paraId="7F75F7AA" w14:textId="6BC58CA0"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000436</w:t>
            </w:r>
          </w:p>
        </w:tc>
        <w:tc>
          <w:tcPr>
            <w:tcW w:w="1289" w:type="pct"/>
            <w:vAlign w:val="bottom"/>
          </w:tcPr>
          <w:p w14:paraId="6BAB2E10" w14:textId="66A5DC41"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6</w:t>
            </w:r>
            <w:r w:rsidR="00974A16">
              <w:rPr>
                <w:rFonts w:ascii="Times New Roman" w:hAnsi="Times New Roman" w:cs="Times New Roman"/>
                <w:lang w:val="en-GB"/>
              </w:rPr>
              <w:t>.</w:t>
            </w:r>
            <w:r w:rsidRPr="00464512">
              <w:rPr>
                <w:rFonts w:ascii="Times New Roman" w:hAnsi="Times New Roman" w:cs="Times New Roman"/>
                <w:lang w:val="en-GB"/>
              </w:rPr>
              <w:t>34</w:t>
            </w:r>
          </w:p>
        </w:tc>
        <w:tc>
          <w:tcPr>
            <w:tcW w:w="1438" w:type="pct"/>
            <w:vAlign w:val="bottom"/>
          </w:tcPr>
          <w:p w14:paraId="21131F04" w14:textId="3D5AE833"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20</w:t>
            </w:r>
          </w:p>
        </w:tc>
      </w:tr>
      <w:tr w:rsidR="00C4684C" w:rsidRPr="00464512" w14:paraId="35C4EE21" w14:textId="77777777" w:rsidTr="00C50CF2">
        <w:tc>
          <w:tcPr>
            <w:tcW w:w="453" w:type="pct"/>
            <w:vAlign w:val="center"/>
          </w:tcPr>
          <w:p w14:paraId="1F83EB84" w14:textId="49C62099"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2023</w:t>
            </w:r>
          </w:p>
        </w:tc>
        <w:tc>
          <w:tcPr>
            <w:tcW w:w="1820" w:type="pct"/>
            <w:vAlign w:val="center"/>
          </w:tcPr>
          <w:p w14:paraId="22EED9D5" w14:textId="5D184179"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000131</w:t>
            </w:r>
          </w:p>
        </w:tc>
        <w:tc>
          <w:tcPr>
            <w:tcW w:w="1289" w:type="pct"/>
            <w:vAlign w:val="bottom"/>
          </w:tcPr>
          <w:p w14:paraId="402780AB" w14:textId="01988ECF"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2</w:t>
            </w:r>
            <w:r w:rsidR="00974A16">
              <w:rPr>
                <w:rFonts w:ascii="Times New Roman" w:hAnsi="Times New Roman" w:cs="Times New Roman"/>
                <w:lang w:val="en-GB"/>
              </w:rPr>
              <w:t>.</w:t>
            </w:r>
            <w:r w:rsidRPr="00464512">
              <w:rPr>
                <w:rFonts w:ascii="Times New Roman" w:hAnsi="Times New Roman" w:cs="Times New Roman"/>
                <w:lang w:val="en-GB"/>
              </w:rPr>
              <w:t>45</w:t>
            </w:r>
          </w:p>
        </w:tc>
        <w:tc>
          <w:tcPr>
            <w:tcW w:w="1438" w:type="pct"/>
            <w:vAlign w:val="bottom"/>
          </w:tcPr>
          <w:p w14:paraId="467FF41E" w14:textId="4BCACAF3" w:rsidR="00C005B8" w:rsidRPr="00464512" w:rsidRDefault="00C005B8" w:rsidP="00C005B8">
            <w:pPr>
              <w:widowControl w:val="0"/>
              <w:contextualSpacing/>
              <w:jc w:val="center"/>
              <w:rPr>
                <w:rFonts w:ascii="Times New Roman" w:hAnsi="Times New Roman" w:cs="Times New Roman"/>
                <w:lang w:val="en-GB"/>
              </w:rPr>
            </w:pPr>
            <w:r w:rsidRPr="00464512">
              <w:rPr>
                <w:rFonts w:ascii="Times New Roman" w:hAnsi="Times New Roman" w:cs="Times New Roman"/>
                <w:lang w:val="en-GB"/>
              </w:rPr>
              <w:t>0</w:t>
            </w:r>
            <w:r w:rsidR="00974A16">
              <w:rPr>
                <w:rFonts w:ascii="Times New Roman" w:hAnsi="Times New Roman" w:cs="Times New Roman"/>
                <w:lang w:val="en-GB"/>
              </w:rPr>
              <w:t>.</w:t>
            </w:r>
            <w:r w:rsidRPr="00464512">
              <w:rPr>
                <w:rFonts w:ascii="Times New Roman" w:hAnsi="Times New Roman" w:cs="Times New Roman"/>
                <w:lang w:val="en-GB"/>
              </w:rPr>
              <w:t>25</w:t>
            </w:r>
          </w:p>
        </w:tc>
      </w:tr>
      <w:tr w:rsidR="00C4684C" w:rsidRPr="00464512" w14:paraId="5A10A6B9" w14:textId="77777777" w:rsidTr="00C041DB">
        <w:tc>
          <w:tcPr>
            <w:tcW w:w="3562" w:type="pct"/>
            <w:gridSpan w:val="3"/>
            <w:vAlign w:val="center"/>
          </w:tcPr>
          <w:p w14:paraId="6F9B0B78" w14:textId="304E5783" w:rsidR="0030065E" w:rsidRPr="00464512" w:rsidRDefault="007840C1" w:rsidP="00E24C25">
            <w:pPr>
              <w:widowControl w:val="0"/>
              <w:contextualSpacing/>
              <w:jc w:val="center"/>
              <w:rPr>
                <w:rFonts w:ascii="Times New Roman" w:hAnsi="Times New Roman" w:cs="Times New Roman"/>
                <w:lang w:val="en-GB"/>
              </w:rPr>
            </w:pPr>
            <w:r w:rsidRPr="00464512">
              <w:rPr>
                <w:rFonts w:ascii="Times New Roman" w:hAnsi="Times New Roman" w:cs="Times New Roman"/>
                <w:lang w:val="en-GB"/>
              </w:rPr>
              <w:t>Sum</w:t>
            </w:r>
          </w:p>
        </w:tc>
        <w:tc>
          <w:tcPr>
            <w:tcW w:w="1438" w:type="pct"/>
            <w:vAlign w:val="center"/>
          </w:tcPr>
          <w:p w14:paraId="2A13F0FB" w14:textId="10BBD8FF" w:rsidR="0030065E" w:rsidRPr="00464512" w:rsidRDefault="00C005B8" w:rsidP="00BE6022">
            <w:pPr>
              <w:widowControl w:val="0"/>
              <w:contextualSpacing/>
              <w:jc w:val="center"/>
              <w:rPr>
                <w:rFonts w:ascii="Times New Roman" w:hAnsi="Times New Roman" w:cs="Times New Roman"/>
                <w:lang w:val="en-GB"/>
              </w:rPr>
            </w:pPr>
            <w:r w:rsidRPr="00464512">
              <w:rPr>
                <w:rFonts w:ascii="Times New Roman" w:hAnsi="Times New Roman" w:cs="Times New Roman"/>
                <w:lang w:val="en-GB"/>
              </w:rPr>
              <w:t>3</w:t>
            </w:r>
            <w:r w:rsidR="00974A16">
              <w:rPr>
                <w:rFonts w:ascii="Times New Roman" w:hAnsi="Times New Roman" w:cs="Times New Roman"/>
                <w:lang w:val="en-GB"/>
              </w:rPr>
              <w:t>.</w:t>
            </w:r>
            <w:r w:rsidRPr="00464512">
              <w:rPr>
                <w:rFonts w:ascii="Times New Roman" w:hAnsi="Times New Roman" w:cs="Times New Roman"/>
                <w:lang w:val="en-GB"/>
              </w:rPr>
              <w:t>12</w:t>
            </w:r>
          </w:p>
        </w:tc>
      </w:tr>
    </w:tbl>
    <w:p w14:paraId="0C48097A" w14:textId="4FC892FC" w:rsidR="00F17E6E" w:rsidRPr="00EF261D" w:rsidRDefault="003E4C28" w:rsidP="00464512">
      <w:pPr>
        <w:widowControl w:val="0"/>
        <w:spacing w:before="60" w:after="0" w:line="240" w:lineRule="auto"/>
        <w:jc w:val="both"/>
        <w:rPr>
          <w:rFonts w:ascii="Times New Roman" w:hAnsi="Times New Roman" w:cs="Times New Roman"/>
          <w:iCs/>
          <w:sz w:val="20"/>
          <w:szCs w:val="20"/>
          <w:lang w:val="en-GB"/>
        </w:rPr>
      </w:pPr>
      <w:r w:rsidRPr="00EF261D">
        <w:rPr>
          <w:rFonts w:ascii="Times New Roman" w:hAnsi="Times New Roman" w:cs="Times New Roman"/>
          <w:iCs/>
          <w:sz w:val="20"/>
          <w:szCs w:val="20"/>
          <w:lang w:val="en-GB"/>
        </w:rPr>
        <w:t>Source: based on Table 4</w:t>
      </w:r>
    </w:p>
    <w:p w14:paraId="0C96E064" w14:textId="77777777" w:rsidR="003E4C28" w:rsidRPr="00464512" w:rsidRDefault="003E4C28" w:rsidP="00DA4FDD">
      <w:pPr>
        <w:widowControl w:val="0"/>
        <w:spacing w:after="0" w:line="240" w:lineRule="auto"/>
        <w:ind w:firstLine="567"/>
        <w:contextualSpacing/>
        <w:jc w:val="both"/>
        <w:rPr>
          <w:rFonts w:ascii="Times New Roman" w:hAnsi="Times New Roman" w:cs="Times New Roman"/>
          <w:lang w:val="en-GB"/>
        </w:rPr>
      </w:pPr>
    </w:p>
    <w:p w14:paraId="6FD177E9" w14:textId="4390871D" w:rsidR="00BD6A52" w:rsidRPr="00464512" w:rsidRDefault="00BD6A52"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Thus, during 2014-2023, it was possible to attract </w:t>
      </w:r>
      <w:r w:rsidR="00E97758" w:rsidRPr="00464512">
        <w:rPr>
          <w:rFonts w:ascii="Times New Roman" w:hAnsi="Times New Roman" w:cs="Times New Roman"/>
          <w:lang w:val="en-GB"/>
        </w:rPr>
        <w:t>$</w:t>
      </w:r>
      <w:r w:rsidR="003E2C23" w:rsidRPr="00464512">
        <w:rPr>
          <w:rFonts w:ascii="Times New Roman" w:hAnsi="Times New Roman" w:cs="Times New Roman"/>
          <w:lang w:val="en-GB"/>
        </w:rPr>
        <w:t>3</w:t>
      </w:r>
      <w:r w:rsidR="00974A16">
        <w:rPr>
          <w:rFonts w:ascii="Times New Roman" w:hAnsi="Times New Roman" w:cs="Times New Roman"/>
          <w:lang w:val="en-GB"/>
        </w:rPr>
        <w:t>.</w:t>
      </w:r>
      <w:r w:rsidR="003E2C23" w:rsidRPr="00464512">
        <w:rPr>
          <w:rFonts w:ascii="Times New Roman" w:hAnsi="Times New Roman" w:cs="Times New Roman"/>
          <w:lang w:val="en-GB"/>
        </w:rPr>
        <w:t xml:space="preserve">12 </w:t>
      </w:r>
      <w:proofErr w:type="spellStart"/>
      <w:r w:rsidR="00075AE1" w:rsidRPr="00464512">
        <w:rPr>
          <w:rFonts w:ascii="Times New Roman" w:hAnsi="Times New Roman" w:cs="Times New Roman"/>
          <w:lang w:val="en-GB"/>
        </w:rPr>
        <w:t>mln</w:t>
      </w:r>
      <w:proofErr w:type="spellEnd"/>
      <w:r w:rsidR="003E2C23" w:rsidRPr="00464512">
        <w:rPr>
          <w:rFonts w:ascii="Times New Roman" w:hAnsi="Times New Roman" w:cs="Times New Roman"/>
          <w:lang w:val="en-GB"/>
        </w:rPr>
        <w:t xml:space="preserve"> </w:t>
      </w:r>
      <w:r w:rsidRPr="00464512">
        <w:rPr>
          <w:rFonts w:ascii="Times New Roman" w:hAnsi="Times New Roman" w:cs="Times New Roman"/>
          <w:lang w:val="en-GB"/>
        </w:rPr>
        <w:t>of capital investments for the development of land resources of Ukraine. At the same time, we believe that in the future there are all opportunities to increase the volume of sales of products (goods, services) by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by increasing the efficiency of capital investment use.</w:t>
      </w:r>
    </w:p>
    <w:p w14:paraId="4438859D" w14:textId="77777777" w:rsidR="00010C3B" w:rsidRDefault="00010C3B" w:rsidP="00C4684C">
      <w:pPr>
        <w:widowControl w:val="0"/>
        <w:spacing w:after="0" w:line="240" w:lineRule="auto"/>
        <w:ind w:firstLine="284"/>
        <w:contextualSpacing/>
        <w:jc w:val="both"/>
        <w:rPr>
          <w:rFonts w:ascii="Times New Roman" w:hAnsi="Times New Roman" w:cs="Times New Roman"/>
          <w:lang w:val="en-GB"/>
        </w:rPr>
      </w:pPr>
    </w:p>
    <w:p w14:paraId="4C6E8614" w14:textId="3DF6E83F" w:rsidR="00BD6A52" w:rsidRPr="00464512" w:rsidRDefault="00BD6A52"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lastRenderedPageBreak/>
        <w:t xml:space="preserve">We propose calculating the potential for increasing product sales by adjusting the efficiency line (Fig. </w:t>
      </w:r>
      <w:r w:rsidR="00C037C7">
        <w:rPr>
          <w:rFonts w:ascii="Times New Roman" w:hAnsi="Times New Roman" w:cs="Times New Roman"/>
          <w:lang w:val="en-GB"/>
        </w:rPr>
        <w:t>8</w:t>
      </w:r>
      <w:r w:rsidRPr="00464512">
        <w:rPr>
          <w:rFonts w:ascii="Times New Roman" w:hAnsi="Times New Roman" w:cs="Times New Roman"/>
          <w:lang w:val="en-GB"/>
        </w:rPr>
        <w:t>).</w:t>
      </w:r>
    </w:p>
    <w:p w14:paraId="3FD100F9" w14:textId="0BAA3FA1" w:rsidR="00C2417C" w:rsidRPr="00464512" w:rsidRDefault="00BD6A52"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Based on the approaches to assessing the effectiveness of capital investments in land using the method of </w:t>
      </w:r>
      <w:proofErr w:type="spellStart"/>
      <w:r w:rsidRPr="00464512">
        <w:rPr>
          <w:rFonts w:ascii="Times New Roman" w:hAnsi="Times New Roman" w:cs="Times New Roman"/>
          <w:lang w:val="en-GB"/>
        </w:rPr>
        <w:t>analyzing</w:t>
      </w:r>
      <w:proofErr w:type="spellEnd"/>
      <w:r w:rsidRPr="00464512">
        <w:rPr>
          <w:rFonts w:ascii="Times New Roman" w:hAnsi="Times New Roman" w:cs="Times New Roman"/>
          <w:lang w:val="en-GB"/>
        </w:rPr>
        <w:t xml:space="preserve"> the operating environment for 2014-2023 (Fig. </w:t>
      </w:r>
      <w:r w:rsidR="00010C3B">
        <w:rPr>
          <w:rFonts w:ascii="Times New Roman" w:hAnsi="Times New Roman" w:cs="Times New Roman"/>
          <w:lang w:val="en-GB"/>
        </w:rPr>
        <w:t>8</w:t>
      </w:r>
      <w:r w:rsidRPr="00464512">
        <w:rPr>
          <w:rFonts w:ascii="Times New Roman" w:hAnsi="Times New Roman" w:cs="Times New Roman"/>
          <w:lang w:val="en-GB"/>
        </w:rPr>
        <w:t>), the following graphic actions were carried out to design the potential for increasing the volume of sales of products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based on the results of their activities:</w:t>
      </w:r>
    </w:p>
    <w:p w14:paraId="4E18A594" w14:textId="44E457E2" w:rsidR="002F14B4" w:rsidRPr="00464512" w:rsidRDefault="00E438C3" w:rsidP="00C4684C">
      <w:pPr>
        <w:pStyle w:val="Akapitzlist"/>
        <w:widowControl w:val="0"/>
        <w:numPr>
          <w:ilvl w:val="0"/>
          <w:numId w:val="1"/>
        </w:numPr>
        <w:spacing w:after="0" w:line="240" w:lineRule="auto"/>
        <w:ind w:firstLine="0"/>
        <w:jc w:val="both"/>
        <w:rPr>
          <w:rFonts w:ascii="Times New Roman" w:hAnsi="Times New Roman" w:cs="Times New Roman"/>
          <w:lang w:val="en-GB"/>
        </w:rPr>
      </w:pPr>
      <w:r w:rsidRPr="00464512">
        <w:rPr>
          <w:rFonts w:ascii="Times New Roman" w:hAnsi="Times New Roman" w:cs="Times New Roman"/>
          <w:lang w:val="en-GB"/>
        </w:rPr>
        <w:t>extension of line 2022-2021 towards the abscissa axis</w:t>
      </w:r>
      <w:r w:rsidR="004623D1" w:rsidRPr="00464512">
        <w:rPr>
          <w:rFonts w:ascii="Times New Roman" w:hAnsi="Times New Roman" w:cs="Times New Roman"/>
          <w:lang w:val="en-GB"/>
        </w:rPr>
        <w:t>,</w:t>
      </w:r>
    </w:p>
    <w:p w14:paraId="5902D080" w14:textId="008E8571" w:rsidR="002F14B4" w:rsidRPr="00464512" w:rsidRDefault="00E438C3" w:rsidP="00C4684C">
      <w:pPr>
        <w:pStyle w:val="Akapitzlist"/>
        <w:widowControl w:val="0"/>
        <w:numPr>
          <w:ilvl w:val="0"/>
          <w:numId w:val="1"/>
        </w:numPr>
        <w:spacing w:after="0" w:line="240" w:lineRule="auto"/>
        <w:ind w:firstLine="0"/>
        <w:jc w:val="both"/>
        <w:rPr>
          <w:rFonts w:ascii="Times New Roman" w:hAnsi="Times New Roman" w:cs="Times New Roman"/>
          <w:lang w:val="en-GB"/>
        </w:rPr>
      </w:pPr>
      <w:r w:rsidRPr="00464512">
        <w:rPr>
          <w:rFonts w:ascii="Times New Roman" w:hAnsi="Times New Roman" w:cs="Times New Roman"/>
          <w:lang w:val="en-GB"/>
        </w:rPr>
        <w:t>extension of the 2019-2021 line towards the ordinate axis</w:t>
      </w:r>
      <w:r w:rsidR="004623D1" w:rsidRPr="00464512">
        <w:rPr>
          <w:rFonts w:ascii="Times New Roman" w:hAnsi="Times New Roman" w:cs="Times New Roman"/>
          <w:lang w:val="en-GB"/>
        </w:rPr>
        <w:t>,</w:t>
      </w:r>
    </w:p>
    <w:p w14:paraId="27E3286A" w14:textId="3B761155" w:rsidR="002F14B4" w:rsidRPr="00464512" w:rsidRDefault="00E438C3" w:rsidP="00C4684C">
      <w:pPr>
        <w:pStyle w:val="Akapitzlist"/>
        <w:widowControl w:val="0"/>
        <w:numPr>
          <w:ilvl w:val="0"/>
          <w:numId w:val="1"/>
        </w:numPr>
        <w:spacing w:after="0" w:line="240" w:lineRule="auto"/>
        <w:ind w:firstLine="0"/>
        <w:jc w:val="both"/>
        <w:rPr>
          <w:rFonts w:ascii="Times New Roman" w:hAnsi="Times New Roman" w:cs="Times New Roman"/>
          <w:lang w:val="en-GB"/>
        </w:rPr>
      </w:pPr>
      <w:r w:rsidRPr="00464512">
        <w:rPr>
          <w:rFonts w:ascii="Times New Roman" w:hAnsi="Times New Roman" w:cs="Times New Roman"/>
          <w:lang w:val="en-GB"/>
        </w:rPr>
        <w:t xml:space="preserve">construction of a conditional line </w:t>
      </w:r>
      <w:r w:rsidR="002F14B4" w:rsidRPr="00464512">
        <w:rPr>
          <w:rFonts w:ascii="Times New Roman" w:hAnsi="Times New Roman" w:cs="Times New Roman"/>
          <w:lang w:val="en-GB"/>
        </w:rPr>
        <w:t>0-2019</w:t>
      </w:r>
      <w:r w:rsidR="004623D1" w:rsidRPr="00464512">
        <w:rPr>
          <w:rFonts w:ascii="Times New Roman" w:hAnsi="Times New Roman" w:cs="Times New Roman"/>
          <w:lang w:val="en-GB"/>
        </w:rPr>
        <w:t>,</w:t>
      </w:r>
    </w:p>
    <w:p w14:paraId="4FE7B635" w14:textId="3B12C993" w:rsidR="002F14B4" w:rsidRPr="00464512" w:rsidRDefault="00E438C3" w:rsidP="00C4684C">
      <w:pPr>
        <w:pStyle w:val="Akapitzlist"/>
        <w:widowControl w:val="0"/>
        <w:numPr>
          <w:ilvl w:val="0"/>
          <w:numId w:val="1"/>
        </w:numPr>
        <w:spacing w:after="0" w:line="240" w:lineRule="auto"/>
        <w:ind w:firstLine="0"/>
        <w:jc w:val="both"/>
        <w:rPr>
          <w:rFonts w:ascii="Times New Roman" w:hAnsi="Times New Roman" w:cs="Times New Roman"/>
          <w:lang w:val="en-GB"/>
        </w:rPr>
      </w:pPr>
      <w:r w:rsidRPr="00464512">
        <w:rPr>
          <w:rFonts w:ascii="Times New Roman" w:hAnsi="Times New Roman" w:cs="Times New Roman"/>
          <w:lang w:val="en-GB"/>
        </w:rPr>
        <w:t xml:space="preserve">construction of a conditional line </w:t>
      </w:r>
      <w:r w:rsidR="002F14B4" w:rsidRPr="00464512">
        <w:rPr>
          <w:rFonts w:ascii="Times New Roman" w:hAnsi="Times New Roman" w:cs="Times New Roman"/>
          <w:lang w:val="en-GB"/>
        </w:rPr>
        <w:t>0-2022</w:t>
      </w:r>
      <w:r w:rsidR="000F06AA" w:rsidRPr="00464512">
        <w:rPr>
          <w:rFonts w:ascii="Times New Roman" w:hAnsi="Times New Roman" w:cs="Times New Roman"/>
          <w:lang w:val="en-GB"/>
        </w:rPr>
        <w:t>.</w:t>
      </w:r>
    </w:p>
    <w:p w14:paraId="603F8CD2" w14:textId="010A340E" w:rsidR="00364C97" w:rsidRPr="00464512" w:rsidRDefault="00364C97" w:rsidP="00364C97">
      <w:pPr>
        <w:widowControl w:val="0"/>
        <w:spacing w:after="0" w:line="240" w:lineRule="auto"/>
        <w:contextualSpacing/>
        <w:jc w:val="both"/>
        <w:rPr>
          <w:rFonts w:ascii="Times New Roman" w:hAnsi="Times New Roman" w:cs="Times New Roman"/>
          <w:lang w:val="en-GB"/>
        </w:rPr>
      </w:pPr>
    </w:p>
    <w:p w14:paraId="7F7B9AE7" w14:textId="43F29B5C" w:rsidR="00364C97" w:rsidRPr="00464512" w:rsidRDefault="00364C97" w:rsidP="00364C97">
      <w:pPr>
        <w:widowControl w:val="0"/>
        <w:spacing w:after="0" w:line="240" w:lineRule="auto"/>
        <w:contextualSpacing/>
        <w:jc w:val="center"/>
        <w:rPr>
          <w:rFonts w:ascii="Times New Roman" w:hAnsi="Times New Roman" w:cs="Times New Roman"/>
          <w:lang w:val="en-GB"/>
        </w:rPr>
      </w:pPr>
      <w:r w:rsidRPr="00464512">
        <w:rPr>
          <w:noProof/>
          <w:lang w:val="en-GB"/>
        </w:rPr>
        <w:drawing>
          <wp:inline distT="0" distB="0" distL="0" distR="0" wp14:anchorId="4D3EFF26" wp14:editId="182B9EC3">
            <wp:extent cx="4577021" cy="21960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7021" cy="2196000"/>
                    </a:xfrm>
                    <a:prstGeom prst="rect">
                      <a:avLst/>
                    </a:prstGeom>
                  </pic:spPr>
                </pic:pic>
              </a:graphicData>
            </a:graphic>
          </wp:inline>
        </w:drawing>
      </w:r>
    </w:p>
    <w:p w14:paraId="509C97DD" w14:textId="490773EB" w:rsidR="002F14B4" w:rsidRPr="00464512" w:rsidRDefault="007D322C" w:rsidP="00C4684C">
      <w:pPr>
        <w:pStyle w:val="Rrys"/>
        <w:rPr>
          <w:iCs/>
          <w:lang w:val="en-GB"/>
        </w:rPr>
      </w:pPr>
      <w:r w:rsidRPr="00464512">
        <w:rPr>
          <w:b/>
          <w:iCs/>
          <w:lang w:val="en-GB"/>
        </w:rPr>
        <w:t>Fig</w:t>
      </w:r>
      <w:r w:rsidR="00C2417C" w:rsidRPr="00464512">
        <w:rPr>
          <w:b/>
          <w:iCs/>
          <w:lang w:val="en-GB"/>
        </w:rPr>
        <w:t xml:space="preserve">. </w:t>
      </w:r>
      <w:r w:rsidR="00010C3B">
        <w:rPr>
          <w:b/>
          <w:iCs/>
          <w:lang w:val="en-GB"/>
        </w:rPr>
        <w:t>8</w:t>
      </w:r>
      <w:r w:rsidR="00C2417C" w:rsidRPr="00464512">
        <w:rPr>
          <w:b/>
          <w:iCs/>
          <w:lang w:val="en-GB"/>
        </w:rPr>
        <w:t>.</w:t>
      </w:r>
      <w:r w:rsidR="00C2417C" w:rsidRPr="00464512">
        <w:rPr>
          <w:i/>
          <w:lang w:val="en-GB"/>
        </w:rPr>
        <w:t xml:space="preserve"> </w:t>
      </w:r>
      <w:r w:rsidR="00BF5907" w:rsidRPr="00464512">
        <w:rPr>
          <w:lang w:val="en-GB"/>
        </w:rPr>
        <w:t>Assessment of the potential for increasing the volume of sales of products (goods, services) of agricultural, forestry</w:t>
      </w:r>
      <w:r w:rsidR="00480D52">
        <w:rPr>
          <w:lang w:val="en-GB"/>
        </w:rPr>
        <w:t>,</w:t>
      </w:r>
      <w:r w:rsidR="00BF5907" w:rsidRPr="00464512">
        <w:rPr>
          <w:lang w:val="en-GB"/>
        </w:rPr>
        <w:t xml:space="preserve"> and fishery enterprises based on the results of their activities during 2014-2023</w:t>
      </w:r>
      <w:r w:rsidR="00C4684C" w:rsidRPr="00464512">
        <w:rPr>
          <w:lang w:val="en-GB"/>
        </w:rPr>
        <w:t xml:space="preserve"> </w:t>
      </w:r>
      <w:r w:rsidR="00464512">
        <w:rPr>
          <w:lang w:val="en-GB"/>
        </w:rPr>
        <w:br/>
      </w:r>
      <w:r w:rsidR="000774C8" w:rsidRPr="00464512">
        <w:rPr>
          <w:iCs/>
          <w:lang w:val="en-GB"/>
        </w:rPr>
        <w:t>Source: based on Fig. 6</w:t>
      </w:r>
    </w:p>
    <w:p w14:paraId="6B72C014" w14:textId="77777777" w:rsidR="000774C8" w:rsidRPr="00464512" w:rsidRDefault="000774C8" w:rsidP="00DA4FDD">
      <w:pPr>
        <w:widowControl w:val="0"/>
        <w:spacing w:after="0" w:line="240" w:lineRule="auto"/>
        <w:ind w:firstLine="567"/>
        <w:contextualSpacing/>
        <w:jc w:val="both"/>
        <w:rPr>
          <w:rFonts w:ascii="Times New Roman" w:hAnsi="Times New Roman" w:cs="Times New Roman"/>
          <w:b/>
          <w:lang w:val="en-GB"/>
        </w:rPr>
      </w:pPr>
    </w:p>
    <w:p w14:paraId="5C13AF08" w14:textId="485742C2" w:rsidR="002F14B4" w:rsidRPr="00464512" w:rsidRDefault="004B5A67" w:rsidP="00C4684C">
      <w:pPr>
        <w:pStyle w:val="Akapitzlist"/>
        <w:widowControl w:val="0"/>
        <w:numPr>
          <w:ilvl w:val="0"/>
          <w:numId w:val="1"/>
        </w:numPr>
        <w:spacing w:after="0" w:line="240" w:lineRule="auto"/>
        <w:ind w:firstLine="0"/>
        <w:jc w:val="both"/>
        <w:rPr>
          <w:rFonts w:ascii="Times New Roman" w:hAnsi="Times New Roman" w:cs="Times New Roman"/>
          <w:lang w:val="en-GB"/>
        </w:rPr>
      </w:pPr>
      <w:r w:rsidRPr="00464512">
        <w:rPr>
          <w:rFonts w:ascii="Times New Roman" w:hAnsi="Times New Roman" w:cs="Times New Roman"/>
          <w:lang w:val="en-GB"/>
        </w:rPr>
        <w:t xml:space="preserve">formation of the conditional position </w:t>
      </w:r>
      <w:r w:rsidR="002F14B4" w:rsidRPr="00464512">
        <w:rPr>
          <w:rFonts w:ascii="Times New Roman" w:hAnsi="Times New Roman" w:cs="Times New Roman"/>
          <w:lang w:val="en-GB"/>
        </w:rPr>
        <w:t>2019</w:t>
      </w:r>
      <w:r w:rsidR="002F14B4" w:rsidRPr="00464512">
        <w:rPr>
          <w:rFonts w:ascii="Times New Roman" w:hAnsi="Times New Roman" w:cs="Times New Roman"/>
          <w:vertAlign w:val="superscript"/>
          <w:lang w:val="en-GB"/>
        </w:rPr>
        <w:t>1</w:t>
      </w:r>
      <w:r w:rsidR="00AA233F" w:rsidRPr="00464512">
        <w:rPr>
          <w:rFonts w:ascii="Times New Roman" w:hAnsi="Times New Roman" w:cs="Times New Roman"/>
          <w:lang w:val="en-GB"/>
        </w:rPr>
        <w:t xml:space="preserve"> </w:t>
      </w:r>
      <w:r w:rsidRPr="00464512">
        <w:rPr>
          <w:rFonts w:ascii="Times New Roman" w:hAnsi="Times New Roman" w:cs="Times New Roman"/>
          <w:lang w:val="en-GB"/>
        </w:rPr>
        <w:t>as the intersection point of the lines</w:t>
      </w:r>
      <w:r w:rsidR="00AA233F" w:rsidRPr="00464512">
        <w:rPr>
          <w:rFonts w:ascii="Times New Roman" w:hAnsi="Times New Roman" w:cs="Times New Roman"/>
          <w:lang w:val="en-GB"/>
        </w:rPr>
        <w:t xml:space="preserve"> 0-2019 </w:t>
      </w:r>
      <w:r w:rsidRPr="00464512">
        <w:rPr>
          <w:rFonts w:ascii="Times New Roman" w:hAnsi="Times New Roman" w:cs="Times New Roman"/>
          <w:lang w:val="en-GB"/>
        </w:rPr>
        <w:t>and</w:t>
      </w:r>
      <w:r w:rsidR="00AA233F" w:rsidRPr="00464512">
        <w:rPr>
          <w:rFonts w:ascii="Times New Roman" w:hAnsi="Times New Roman" w:cs="Times New Roman"/>
          <w:lang w:val="en-GB"/>
        </w:rPr>
        <w:t xml:space="preserve"> 2021-2022</w:t>
      </w:r>
      <w:r w:rsidR="004623D1" w:rsidRPr="00464512">
        <w:rPr>
          <w:rFonts w:ascii="Times New Roman" w:hAnsi="Times New Roman" w:cs="Times New Roman"/>
          <w:lang w:val="en-GB"/>
        </w:rPr>
        <w:t>,</w:t>
      </w:r>
    </w:p>
    <w:p w14:paraId="15F315B2" w14:textId="289E42D7" w:rsidR="00AA233F" w:rsidRPr="00464512" w:rsidRDefault="004B5A67" w:rsidP="00C4684C">
      <w:pPr>
        <w:pStyle w:val="Akapitzlist"/>
        <w:widowControl w:val="0"/>
        <w:numPr>
          <w:ilvl w:val="0"/>
          <w:numId w:val="1"/>
        </w:numPr>
        <w:spacing w:after="0" w:line="240" w:lineRule="auto"/>
        <w:ind w:firstLine="0"/>
        <w:jc w:val="both"/>
        <w:rPr>
          <w:rFonts w:ascii="Times New Roman" w:hAnsi="Times New Roman" w:cs="Times New Roman"/>
          <w:lang w:val="en-GB"/>
        </w:rPr>
      </w:pPr>
      <w:r w:rsidRPr="00464512">
        <w:rPr>
          <w:rFonts w:ascii="Times New Roman" w:hAnsi="Times New Roman" w:cs="Times New Roman"/>
          <w:lang w:val="en-GB"/>
        </w:rPr>
        <w:t xml:space="preserve">formation of the conditional position </w:t>
      </w:r>
      <w:r w:rsidR="00AA233F" w:rsidRPr="00464512">
        <w:rPr>
          <w:rFonts w:ascii="Times New Roman" w:hAnsi="Times New Roman" w:cs="Times New Roman"/>
          <w:lang w:val="en-GB"/>
        </w:rPr>
        <w:t>2022</w:t>
      </w:r>
      <w:r w:rsidR="00AA233F" w:rsidRPr="00464512">
        <w:rPr>
          <w:rFonts w:ascii="Times New Roman" w:hAnsi="Times New Roman" w:cs="Times New Roman"/>
          <w:vertAlign w:val="superscript"/>
          <w:lang w:val="en-GB"/>
        </w:rPr>
        <w:t>1</w:t>
      </w:r>
      <w:r w:rsidR="00AA233F" w:rsidRPr="00464512">
        <w:rPr>
          <w:rFonts w:ascii="Times New Roman" w:hAnsi="Times New Roman" w:cs="Times New Roman"/>
          <w:lang w:val="en-GB"/>
        </w:rPr>
        <w:t xml:space="preserve"> </w:t>
      </w:r>
      <w:r w:rsidRPr="00464512">
        <w:rPr>
          <w:rFonts w:ascii="Times New Roman" w:hAnsi="Times New Roman" w:cs="Times New Roman"/>
          <w:lang w:val="en-GB"/>
        </w:rPr>
        <w:t>as the intersection point of the lines</w:t>
      </w:r>
      <w:r w:rsidR="00AA233F" w:rsidRPr="00464512">
        <w:rPr>
          <w:rFonts w:ascii="Times New Roman" w:hAnsi="Times New Roman" w:cs="Times New Roman"/>
          <w:lang w:val="en-GB"/>
        </w:rPr>
        <w:t xml:space="preserve"> 0-2022 </w:t>
      </w:r>
      <w:r w:rsidRPr="00464512">
        <w:rPr>
          <w:rFonts w:ascii="Times New Roman" w:hAnsi="Times New Roman" w:cs="Times New Roman"/>
          <w:lang w:val="en-GB"/>
        </w:rPr>
        <w:t xml:space="preserve">and </w:t>
      </w:r>
      <w:r w:rsidR="00AA233F" w:rsidRPr="00464512">
        <w:rPr>
          <w:rFonts w:ascii="Times New Roman" w:hAnsi="Times New Roman" w:cs="Times New Roman"/>
          <w:lang w:val="en-GB"/>
        </w:rPr>
        <w:t>2019-2021</w:t>
      </w:r>
      <w:r w:rsidR="004623D1" w:rsidRPr="00464512">
        <w:rPr>
          <w:rFonts w:ascii="Times New Roman" w:hAnsi="Times New Roman" w:cs="Times New Roman"/>
          <w:lang w:val="en-GB"/>
        </w:rPr>
        <w:t>,</w:t>
      </w:r>
    </w:p>
    <w:p w14:paraId="1B10684F" w14:textId="610A0C7D" w:rsidR="00AA233F" w:rsidRPr="00464512" w:rsidRDefault="004B5A67" w:rsidP="00C4684C">
      <w:pPr>
        <w:pStyle w:val="Akapitzlist"/>
        <w:widowControl w:val="0"/>
        <w:numPr>
          <w:ilvl w:val="0"/>
          <w:numId w:val="1"/>
        </w:numPr>
        <w:spacing w:after="0" w:line="240" w:lineRule="auto"/>
        <w:ind w:firstLine="0"/>
        <w:jc w:val="both"/>
        <w:rPr>
          <w:rFonts w:ascii="Times New Roman" w:hAnsi="Times New Roman" w:cs="Times New Roman"/>
          <w:lang w:val="en-GB"/>
        </w:rPr>
      </w:pPr>
      <w:r w:rsidRPr="00464512">
        <w:rPr>
          <w:rFonts w:ascii="Times New Roman" w:hAnsi="Times New Roman" w:cs="Times New Roman"/>
          <w:lang w:val="en-GB"/>
        </w:rPr>
        <w:t xml:space="preserve">forming a new line of efficiency </w:t>
      </w:r>
      <w:r w:rsidR="00AA233F" w:rsidRPr="00464512">
        <w:rPr>
          <w:rFonts w:ascii="Times New Roman" w:hAnsi="Times New Roman" w:cs="Times New Roman"/>
          <w:lang w:val="en-GB"/>
        </w:rPr>
        <w:t>2019</w:t>
      </w:r>
      <w:r w:rsidR="00AA233F" w:rsidRPr="00464512">
        <w:rPr>
          <w:rFonts w:ascii="Times New Roman" w:hAnsi="Times New Roman" w:cs="Times New Roman"/>
          <w:vertAlign w:val="superscript"/>
          <w:lang w:val="en-GB"/>
        </w:rPr>
        <w:t>1</w:t>
      </w:r>
      <w:r w:rsidR="00AA233F" w:rsidRPr="00464512">
        <w:rPr>
          <w:rFonts w:ascii="Times New Roman" w:hAnsi="Times New Roman" w:cs="Times New Roman"/>
          <w:lang w:val="en-GB"/>
        </w:rPr>
        <w:t>-2022</w:t>
      </w:r>
      <w:r w:rsidR="00AA233F" w:rsidRPr="00464512">
        <w:rPr>
          <w:rFonts w:ascii="Times New Roman" w:hAnsi="Times New Roman" w:cs="Times New Roman"/>
          <w:vertAlign w:val="superscript"/>
          <w:lang w:val="en-GB"/>
        </w:rPr>
        <w:t>1</w:t>
      </w:r>
      <w:r w:rsidR="00AA233F" w:rsidRPr="00464512">
        <w:rPr>
          <w:rFonts w:ascii="Times New Roman" w:hAnsi="Times New Roman" w:cs="Times New Roman"/>
          <w:lang w:val="en-GB"/>
        </w:rPr>
        <w:t>.</w:t>
      </w:r>
    </w:p>
    <w:p w14:paraId="34C76422" w14:textId="77777777" w:rsidR="00C4684C" w:rsidRPr="00464512" w:rsidRDefault="00C4684C" w:rsidP="00C4684C">
      <w:pPr>
        <w:widowControl w:val="0"/>
        <w:spacing w:after="0" w:line="240" w:lineRule="auto"/>
        <w:ind w:firstLine="284"/>
        <w:contextualSpacing/>
        <w:jc w:val="both"/>
        <w:rPr>
          <w:rFonts w:ascii="Times New Roman" w:hAnsi="Times New Roman" w:cs="Times New Roman"/>
          <w:lang w:val="en-GB"/>
        </w:rPr>
      </w:pPr>
    </w:p>
    <w:p w14:paraId="493D3085" w14:textId="7391A081" w:rsidR="0003414C" w:rsidRPr="00464512" w:rsidRDefault="00AA11BE"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Although the shape of the efficiency line is specific due to the use of specific factors (capital investments in land and production costs) and an output indicator (sales volume), the methodological approach is universal and can be adapted for other studies in different sectors of the economy. In particular, the method of operating environment analysis allows for flexible variation of resource and output factors depending on the specifics of the industry, for example, replacing capital investments in land with investments in technology or human capital, and sales volume with profit or productivity indicators. Such universalization is ensured by the non-parametric nature of the method, which does not depend on assumptions about the distribution of data, which makes it suitable for </w:t>
      </w:r>
      <w:proofErr w:type="spellStart"/>
      <w:r w:rsidRPr="00464512">
        <w:rPr>
          <w:rFonts w:ascii="Times New Roman" w:hAnsi="Times New Roman" w:cs="Times New Roman"/>
          <w:lang w:val="en-GB"/>
        </w:rPr>
        <w:t>analyzing</w:t>
      </w:r>
      <w:proofErr w:type="spellEnd"/>
      <w:r w:rsidRPr="00464512">
        <w:rPr>
          <w:rFonts w:ascii="Times New Roman" w:hAnsi="Times New Roman" w:cs="Times New Roman"/>
          <w:lang w:val="en-GB"/>
        </w:rPr>
        <w:t xml:space="preserve"> investment efficiency in any context where it is necessary to assess the relationship between resources and results. </w:t>
      </w:r>
      <w:r w:rsidRPr="00AD34E2">
        <w:rPr>
          <w:rFonts w:ascii="Times New Roman" w:hAnsi="Times New Roman" w:cs="Times New Roman"/>
          <w:spacing w:val="-2"/>
          <w:lang w:val="en-GB"/>
        </w:rPr>
        <w:t>Thus, the proposed approach to constructing the efficiency line can be used as a universal tool for assessing the growth potential of economic indicators in other studies, taking into account the specifics of the selected factors and adapting the shape of the efficiency line to the relevant conditions.</w:t>
      </w:r>
    </w:p>
    <w:p w14:paraId="44BB8A1B" w14:textId="42692CF8" w:rsidR="00A979C5" w:rsidRPr="00464512" w:rsidRDefault="00C40138"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Thus, the efficiency line </w:t>
      </w:r>
      <w:r w:rsidR="00AA233F" w:rsidRPr="00464512">
        <w:rPr>
          <w:rFonts w:ascii="Times New Roman" w:hAnsi="Times New Roman" w:cs="Times New Roman"/>
          <w:lang w:val="en-GB"/>
        </w:rPr>
        <w:t>2019</w:t>
      </w:r>
      <w:r w:rsidR="00AA233F" w:rsidRPr="00464512">
        <w:rPr>
          <w:rFonts w:ascii="Times New Roman" w:hAnsi="Times New Roman" w:cs="Times New Roman"/>
          <w:vertAlign w:val="superscript"/>
          <w:lang w:val="en-GB"/>
        </w:rPr>
        <w:t>1</w:t>
      </w:r>
      <w:r w:rsidR="00AA233F" w:rsidRPr="00464512">
        <w:rPr>
          <w:rFonts w:ascii="Times New Roman" w:hAnsi="Times New Roman" w:cs="Times New Roman"/>
          <w:lang w:val="en-GB"/>
        </w:rPr>
        <w:t>-2022</w:t>
      </w:r>
      <w:r w:rsidR="00AA233F" w:rsidRPr="00464512">
        <w:rPr>
          <w:rFonts w:ascii="Times New Roman" w:hAnsi="Times New Roman" w:cs="Times New Roman"/>
          <w:vertAlign w:val="superscript"/>
          <w:lang w:val="en-GB"/>
        </w:rPr>
        <w:t xml:space="preserve">1 </w:t>
      </w:r>
      <w:r w:rsidRPr="00464512">
        <w:rPr>
          <w:rFonts w:ascii="Times New Roman" w:hAnsi="Times New Roman" w:cs="Times New Roman"/>
          <w:lang w:val="en-GB"/>
        </w:rPr>
        <w:t xml:space="preserve">defines the limit in the coordinates of the new coverage coefficients, the achievement of which in the following periods will allow </w:t>
      </w:r>
      <w:r w:rsidR="00480D52">
        <w:rPr>
          <w:rFonts w:ascii="Times New Roman" w:hAnsi="Times New Roman" w:cs="Times New Roman"/>
          <w:lang w:val="en-GB"/>
        </w:rPr>
        <w:t>for increasing</w:t>
      </w:r>
      <w:r w:rsidRPr="00464512">
        <w:rPr>
          <w:rFonts w:ascii="Times New Roman" w:hAnsi="Times New Roman" w:cs="Times New Roman"/>
          <w:lang w:val="en-GB"/>
        </w:rPr>
        <w:t xml:space="preserve"> the volume of sales of products (goods, services) of agricultural,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enterprises with the rational use of capital investments and reduction of production costs</w:t>
      </w:r>
      <w:r w:rsidR="0065126A" w:rsidRPr="00464512">
        <w:rPr>
          <w:rFonts w:ascii="Times New Roman" w:hAnsi="Times New Roman" w:cs="Times New Roman"/>
          <w:lang w:val="en-GB"/>
        </w:rPr>
        <w:t xml:space="preserve">. </w:t>
      </w:r>
      <w:r w:rsidRPr="00464512">
        <w:rPr>
          <w:rFonts w:ascii="Times New Roman" w:hAnsi="Times New Roman" w:cs="Times New Roman"/>
          <w:lang w:val="en-GB"/>
        </w:rPr>
        <w:t xml:space="preserve">The area </w:t>
      </w:r>
      <w:r w:rsidR="0065126A" w:rsidRPr="00464512">
        <w:rPr>
          <w:rFonts w:ascii="Times New Roman" w:hAnsi="Times New Roman" w:cs="Times New Roman"/>
          <w:lang w:val="en-GB"/>
        </w:rPr>
        <w:t>2019-2019</w:t>
      </w:r>
      <w:r w:rsidR="0065126A" w:rsidRPr="00464512">
        <w:rPr>
          <w:rFonts w:ascii="Times New Roman" w:hAnsi="Times New Roman" w:cs="Times New Roman"/>
          <w:vertAlign w:val="superscript"/>
          <w:lang w:val="en-GB"/>
        </w:rPr>
        <w:t>1</w:t>
      </w:r>
      <w:r w:rsidR="0065126A" w:rsidRPr="00464512">
        <w:rPr>
          <w:rFonts w:ascii="Times New Roman" w:hAnsi="Times New Roman" w:cs="Times New Roman"/>
          <w:lang w:val="en-GB"/>
        </w:rPr>
        <w:t>-2022</w:t>
      </w:r>
      <w:r w:rsidR="0065126A" w:rsidRPr="00464512">
        <w:rPr>
          <w:rFonts w:ascii="Times New Roman" w:hAnsi="Times New Roman" w:cs="Times New Roman"/>
          <w:vertAlign w:val="superscript"/>
          <w:lang w:val="en-GB"/>
        </w:rPr>
        <w:t>1</w:t>
      </w:r>
      <w:r w:rsidR="0065126A" w:rsidRPr="00464512">
        <w:rPr>
          <w:rFonts w:ascii="Times New Roman" w:hAnsi="Times New Roman" w:cs="Times New Roman"/>
          <w:lang w:val="en-GB"/>
        </w:rPr>
        <w:t xml:space="preserve">-2022-2021 </w:t>
      </w:r>
      <w:r w:rsidRPr="00464512">
        <w:rPr>
          <w:rFonts w:ascii="Times New Roman" w:hAnsi="Times New Roman" w:cs="Times New Roman"/>
          <w:lang w:val="en-GB"/>
        </w:rPr>
        <w:t>is the area of potential opportunities relative to the period 2014-2023 for the development of agriculture, forestry</w:t>
      </w:r>
      <w:r w:rsidR="00480D52">
        <w:rPr>
          <w:rFonts w:ascii="Times New Roman" w:hAnsi="Times New Roman" w:cs="Times New Roman"/>
          <w:lang w:val="en-GB"/>
        </w:rPr>
        <w:t>,</w:t>
      </w:r>
      <w:r w:rsidRPr="00464512">
        <w:rPr>
          <w:rFonts w:ascii="Times New Roman" w:hAnsi="Times New Roman" w:cs="Times New Roman"/>
          <w:lang w:val="en-GB"/>
        </w:rPr>
        <w:t xml:space="preserve"> and fishery in the direction of minimizing costs and rationalizing the use of capital investments in land (general direction to zero).</w:t>
      </w:r>
    </w:p>
    <w:p w14:paraId="6DBA26ED" w14:textId="71D457E5" w:rsidR="00304FFF" w:rsidRPr="00464512" w:rsidRDefault="00304FFF" w:rsidP="00C4684C">
      <w:pPr>
        <w:pStyle w:val="Rn1"/>
        <w:rPr>
          <w:lang w:val="en-GB"/>
        </w:rPr>
      </w:pPr>
      <w:r w:rsidRPr="00464512">
        <w:rPr>
          <w:lang w:val="en-GB" w:eastAsia="ru-RU"/>
        </w:rPr>
        <w:t>4. Discussion</w:t>
      </w:r>
    </w:p>
    <w:p w14:paraId="19744EB5" w14:textId="77777777" w:rsidR="00304FFF"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The results of the study showed that capital investments in the development of land resources of agricultural enterprises in Ukraine during 2014-2023 did not provide the expected increase in product sales and did not lead to a significant increase in economic efficiency. This contrasts with the widespread notion in the literature of land as a key factor of production in the agricultural sector. While land remains an essential input in agriculture, the limited impact of land-based investments suggests that additional strategies, such as </w:t>
      </w:r>
      <w:r w:rsidRPr="00464512">
        <w:rPr>
          <w:rFonts w:ascii="Times New Roman" w:hAnsi="Times New Roman" w:cs="Times New Roman"/>
          <w:lang w:val="en-GB"/>
        </w:rPr>
        <w:lastRenderedPageBreak/>
        <w:t>technological advancements or diversification of asset portfolios, are crucial for driving productivity growth.</w:t>
      </w:r>
    </w:p>
    <w:p w14:paraId="1DFC2BEE" w14:textId="06FCE414"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In particular, the study by </w:t>
      </w:r>
      <w:proofErr w:type="spellStart"/>
      <w:r w:rsidRPr="00464512">
        <w:rPr>
          <w:rFonts w:ascii="Times New Roman" w:hAnsi="Times New Roman" w:cs="Times New Roman"/>
          <w:lang w:val="en-GB"/>
        </w:rPr>
        <w:t>Ciaian</w:t>
      </w:r>
      <w:proofErr w:type="spellEnd"/>
      <w:r w:rsidRPr="00464512">
        <w:rPr>
          <w:rFonts w:ascii="Times New Roman" w:hAnsi="Times New Roman" w:cs="Times New Roman"/>
          <w:lang w:val="en-GB"/>
        </w:rPr>
        <w:t xml:space="preserve"> et al. (2020) shows that investments in land assets in Eastern European countries can have a significant positive impact if accompanied by institutional reforms, land market improvements, and property rights. While Ukrainian agricultural enterprises operated under a moratorium on the sale of agricultural land (until 2021), which significantly limited the incentive to modernize land use and invest in increasing fertility. The absence of a fully functional land market undoubtedly hindered optimal land utilization and stymied capital flow toward land-based improvements, making alternative investments</w:t>
      </w:r>
      <w:r w:rsidR="00480D52">
        <w:rPr>
          <w:rFonts w:ascii="Times New Roman" w:hAnsi="Times New Roman" w:cs="Times New Roman"/>
          <w:lang w:val="en-GB"/>
        </w:rPr>
        <w:t>,</w:t>
      </w:r>
      <w:r w:rsidRPr="00464512">
        <w:rPr>
          <w:rFonts w:ascii="Times New Roman" w:hAnsi="Times New Roman" w:cs="Times New Roman"/>
          <w:lang w:val="en-GB"/>
        </w:rPr>
        <w:t xml:space="preserve"> such as in digital infrastructure and human capital</w:t>
      </w:r>
      <w:r w:rsidR="00480D52">
        <w:rPr>
          <w:rFonts w:ascii="Times New Roman" w:hAnsi="Times New Roman" w:cs="Times New Roman"/>
          <w:lang w:val="en-GB"/>
        </w:rPr>
        <w:t>,</w:t>
      </w:r>
      <w:r w:rsidRPr="00464512">
        <w:rPr>
          <w:rFonts w:ascii="Times New Roman" w:hAnsi="Times New Roman" w:cs="Times New Roman"/>
          <w:lang w:val="en-GB"/>
        </w:rPr>
        <w:t xml:space="preserve"> more critical during this period</w:t>
      </w:r>
      <w:r w:rsidR="000D4CB3" w:rsidRPr="00464512">
        <w:rPr>
          <w:rFonts w:ascii="Times New Roman" w:hAnsi="Times New Roman" w:cs="Times New Roman"/>
          <w:lang w:val="en-GB"/>
        </w:rPr>
        <w:t xml:space="preserve"> (Shvets</w:t>
      </w:r>
      <w:r w:rsidR="004623D1" w:rsidRPr="00464512">
        <w:rPr>
          <w:rFonts w:ascii="Times New Roman" w:hAnsi="Times New Roman" w:cs="Times New Roman"/>
          <w:lang w:val="en-GB"/>
        </w:rPr>
        <w:t xml:space="preserve"> et al.</w:t>
      </w:r>
      <w:r w:rsidR="000D4CB3" w:rsidRPr="00464512">
        <w:rPr>
          <w:rFonts w:ascii="Times New Roman" w:hAnsi="Times New Roman" w:cs="Times New Roman"/>
          <w:lang w:val="en-GB"/>
        </w:rPr>
        <w:t xml:space="preserve"> 2021</w:t>
      </w:r>
      <w:r w:rsidR="004623D1" w:rsidRPr="00464512">
        <w:rPr>
          <w:rFonts w:ascii="Times New Roman" w:hAnsi="Times New Roman" w:cs="Times New Roman"/>
          <w:lang w:val="en-GB"/>
        </w:rPr>
        <w:t>,</w:t>
      </w:r>
      <w:r w:rsidR="000D4CB3" w:rsidRPr="00464512">
        <w:rPr>
          <w:rFonts w:ascii="Times New Roman" w:hAnsi="Times New Roman" w:cs="Times New Roman"/>
          <w:lang w:val="en-GB"/>
        </w:rPr>
        <w:t xml:space="preserve"> Kyiv School of Economics, 2023)</w:t>
      </w:r>
      <w:r w:rsidRPr="00464512">
        <w:rPr>
          <w:rFonts w:ascii="Times New Roman" w:hAnsi="Times New Roman" w:cs="Times New Roman"/>
          <w:lang w:val="en-GB"/>
        </w:rPr>
        <w:t>.</w:t>
      </w:r>
    </w:p>
    <w:p w14:paraId="6E2E0972" w14:textId="39BDFD9B"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One of the main shortcomings of the operating environment analysis method used in the study is the lack of a profit indicator as a key indicator of investment efficiency. This limits the ability to assess the financial return on investment, which is </w:t>
      </w:r>
      <w:r w:rsidR="00480D52">
        <w:rPr>
          <w:rFonts w:ascii="Times New Roman" w:hAnsi="Times New Roman" w:cs="Times New Roman"/>
          <w:lang w:val="en-GB"/>
        </w:rPr>
        <w:t>essential</w:t>
      </w:r>
      <w:r w:rsidRPr="00464512">
        <w:rPr>
          <w:rFonts w:ascii="Times New Roman" w:hAnsi="Times New Roman" w:cs="Times New Roman"/>
          <w:lang w:val="en-GB"/>
        </w:rPr>
        <w:t xml:space="preserve"> for agricultural enterprises in the context of market competition. Thus, a special aspect that requires attention is the limited use of performance indicators. In our work, sales volumes and costs were used; however, profitability, </w:t>
      </w:r>
      <w:proofErr w:type="spellStart"/>
      <w:r w:rsidRPr="00464512">
        <w:rPr>
          <w:rFonts w:ascii="Times New Roman" w:hAnsi="Times New Roman" w:cs="Times New Roman"/>
          <w:lang w:val="en-GB"/>
        </w:rPr>
        <w:t>labor</w:t>
      </w:r>
      <w:proofErr w:type="spellEnd"/>
      <w:r w:rsidRPr="00464512">
        <w:rPr>
          <w:rFonts w:ascii="Times New Roman" w:hAnsi="Times New Roman" w:cs="Times New Roman"/>
          <w:lang w:val="en-GB"/>
        </w:rPr>
        <w:t xml:space="preserve"> productivity, or the level of added value could provide a deeper understanding of the real efficiency of investments. In future analyses, the inclusion of profit margins and productivity metrics could offer a more comprehensive picture of the return on investment and allow for more granular assessments of capital allocation.</w:t>
      </w:r>
    </w:p>
    <w:p w14:paraId="772D5F42" w14:textId="100F6580"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In modern studies, in particular</w:t>
      </w:r>
      <w:r w:rsidR="00480D52">
        <w:rPr>
          <w:rFonts w:ascii="Times New Roman" w:hAnsi="Times New Roman" w:cs="Times New Roman"/>
          <w:lang w:val="en-GB"/>
        </w:rPr>
        <w:t>,</w:t>
      </w:r>
      <w:r w:rsidRPr="00464512">
        <w:rPr>
          <w:rFonts w:ascii="Times New Roman" w:hAnsi="Times New Roman" w:cs="Times New Roman"/>
          <w:lang w:val="en-GB"/>
        </w:rPr>
        <w:t xml:space="preserve"> Farrell (1957) and his followers (</w:t>
      </w:r>
      <w:proofErr w:type="spellStart"/>
      <w:r w:rsidRPr="00464512">
        <w:rPr>
          <w:rFonts w:ascii="Times New Roman" w:hAnsi="Times New Roman" w:cs="Times New Roman"/>
          <w:lang w:val="en-GB"/>
        </w:rPr>
        <w:t>Pryshliak</w:t>
      </w:r>
      <w:proofErr w:type="spellEnd"/>
      <w:r w:rsidRPr="00464512">
        <w:rPr>
          <w:rFonts w:ascii="Times New Roman" w:hAnsi="Times New Roman" w:cs="Times New Roman"/>
          <w:lang w:val="en-GB"/>
        </w:rPr>
        <w:t xml:space="preserve"> et al. 2022</w:t>
      </w:r>
      <w:r w:rsidR="004623D1" w:rsidRPr="00464512">
        <w:rPr>
          <w:rFonts w:ascii="Times New Roman" w:hAnsi="Times New Roman" w:cs="Times New Roman"/>
          <w:lang w:val="en-GB"/>
        </w:rPr>
        <w:t>,</w:t>
      </w:r>
      <w:r w:rsidRPr="00464512">
        <w:rPr>
          <w:rFonts w:ascii="Times New Roman" w:hAnsi="Times New Roman" w:cs="Times New Roman"/>
          <w:lang w:val="en-GB"/>
        </w:rPr>
        <w:t xml:space="preserve"> </w:t>
      </w:r>
      <w:proofErr w:type="spellStart"/>
      <w:r w:rsidRPr="00464512">
        <w:rPr>
          <w:rFonts w:ascii="Times New Roman" w:hAnsi="Times New Roman" w:cs="Times New Roman"/>
          <w:lang w:val="en-GB"/>
        </w:rPr>
        <w:t>Strelbytska</w:t>
      </w:r>
      <w:proofErr w:type="spellEnd"/>
      <w:r w:rsidRPr="00464512">
        <w:rPr>
          <w:rFonts w:ascii="Times New Roman" w:hAnsi="Times New Roman" w:cs="Times New Roman"/>
          <w:lang w:val="en-GB"/>
        </w:rPr>
        <w:t xml:space="preserve"> et al. 2025), the DEA method is used precisely for a comprehensive assessment of efficiency, taking into account many output and input parameters. Incorporating DEA into future studies would provide a more multifaceted evaluation of efficiency by integrating both financial and operational indicators, offering clearer insights into resource allocation and performance optimization.</w:t>
      </w:r>
    </w:p>
    <w:p w14:paraId="22AC6921" w14:textId="160FBF22"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Unlike the research of </w:t>
      </w:r>
      <w:proofErr w:type="spellStart"/>
      <w:r w:rsidRPr="00464512">
        <w:rPr>
          <w:rFonts w:ascii="Times New Roman" w:hAnsi="Times New Roman" w:cs="Times New Roman"/>
          <w:lang w:val="en-GB"/>
        </w:rPr>
        <w:t>Bokusheva</w:t>
      </w:r>
      <w:proofErr w:type="spellEnd"/>
      <w:r w:rsidRPr="00464512">
        <w:rPr>
          <w:rFonts w:ascii="Times New Roman" w:hAnsi="Times New Roman" w:cs="Times New Roman"/>
          <w:lang w:val="en-GB"/>
        </w:rPr>
        <w:t xml:space="preserve"> &amp; </w:t>
      </w:r>
      <w:proofErr w:type="spellStart"/>
      <w:r w:rsidRPr="00464512">
        <w:rPr>
          <w:rFonts w:ascii="Times New Roman" w:hAnsi="Times New Roman" w:cs="Times New Roman"/>
          <w:lang w:val="en-GB"/>
        </w:rPr>
        <w:t>Čechura</w:t>
      </w:r>
      <w:proofErr w:type="spellEnd"/>
      <w:r w:rsidRPr="00464512">
        <w:rPr>
          <w:rFonts w:ascii="Times New Roman" w:hAnsi="Times New Roman" w:cs="Times New Roman"/>
          <w:lang w:val="en-GB"/>
        </w:rPr>
        <w:t xml:space="preserve"> (2017), which indicates that the effectiveness of investments in land increases significantly when combined with investments in infrastructure, digital technologies, and education of agricultural workers, ours indicates that investments in software, unlike investments in land, demonstrate a stable positive relationship with the production results of agro-industrial enterprises.</w:t>
      </w:r>
      <w:r w:rsidR="00F22456" w:rsidRPr="00464512">
        <w:rPr>
          <w:rFonts w:ascii="Times New Roman" w:hAnsi="Times New Roman" w:cs="Times New Roman"/>
          <w:lang w:val="en-GB"/>
        </w:rPr>
        <w:t xml:space="preserve"> </w:t>
      </w:r>
      <w:r w:rsidRPr="00464512">
        <w:rPr>
          <w:rFonts w:ascii="Times New Roman" w:hAnsi="Times New Roman" w:cs="Times New Roman"/>
          <w:lang w:val="en-GB"/>
        </w:rPr>
        <w:t>This reinforces the idea that the synergy between traditional agricultural inputs and modern technological advancements, such as software and automation, is the key to improving sectoral performance.</w:t>
      </w:r>
    </w:p>
    <w:p w14:paraId="4B49DE18" w14:textId="49B25B2A"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Our research highlights the importance of software investments, which do not cover a </w:t>
      </w:r>
      <w:r w:rsidR="00480D52">
        <w:rPr>
          <w:rFonts w:ascii="Times New Roman" w:hAnsi="Times New Roman" w:cs="Times New Roman"/>
          <w:lang w:val="en-GB"/>
        </w:rPr>
        <w:t>broa</w:t>
      </w:r>
      <w:r w:rsidRPr="00464512">
        <w:rPr>
          <w:rFonts w:ascii="Times New Roman" w:hAnsi="Times New Roman" w:cs="Times New Roman"/>
          <w:lang w:val="en-GB"/>
        </w:rPr>
        <w:t>der range of digital technologies, such as precision agriculture or automated management systems, which are actively used in developed countries. However, the research of Van der Ploeg et al. (2019) suggests a comprehensive approach to innovation, including not only software but also the integration of IoT and artificial intelligence into agricultural production. This allows for greater productivity and efficiency of land use. The integration of IoT and AI in agriculture represents the next frontier in enhancing land use efficiency, offering real-time data-driven insights that can optimize both decision-making and resource utilization across the supply chain.</w:t>
      </w:r>
    </w:p>
    <w:p w14:paraId="7129C6CE" w14:textId="0969493E" w:rsidR="00CB384D" w:rsidRPr="00464512" w:rsidRDefault="0073391E"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The sufficiency of linear models is justified by their effectiveness in identifying key dependencies, as shown in the studies of </w:t>
      </w:r>
      <w:proofErr w:type="spellStart"/>
      <w:r w:rsidRPr="00464512">
        <w:rPr>
          <w:rFonts w:ascii="Times New Roman" w:hAnsi="Times New Roman" w:cs="Times New Roman"/>
          <w:lang w:val="en-GB"/>
        </w:rPr>
        <w:t>Dotsiuk</w:t>
      </w:r>
      <w:proofErr w:type="spellEnd"/>
      <w:r w:rsidRPr="00464512">
        <w:rPr>
          <w:rFonts w:ascii="Times New Roman" w:hAnsi="Times New Roman" w:cs="Times New Roman"/>
          <w:lang w:val="en-GB"/>
        </w:rPr>
        <w:t xml:space="preserve"> et al. </w:t>
      </w:r>
      <w:r w:rsidR="001218F3" w:rsidRPr="00464512">
        <w:rPr>
          <w:rFonts w:ascii="Times New Roman" w:hAnsi="Times New Roman" w:cs="Times New Roman"/>
          <w:lang w:val="en-GB"/>
        </w:rPr>
        <w:t>(</w:t>
      </w:r>
      <w:r w:rsidRPr="00464512">
        <w:rPr>
          <w:rFonts w:ascii="Times New Roman" w:hAnsi="Times New Roman" w:cs="Times New Roman"/>
          <w:lang w:val="en-GB"/>
        </w:rPr>
        <w:t>2024</w:t>
      </w:r>
      <w:r w:rsidR="001218F3" w:rsidRPr="00464512">
        <w:rPr>
          <w:rFonts w:ascii="Times New Roman" w:hAnsi="Times New Roman" w:cs="Times New Roman"/>
          <w:lang w:val="en-GB"/>
        </w:rPr>
        <w:t>) and</w:t>
      </w:r>
      <w:r w:rsidRPr="00464512">
        <w:rPr>
          <w:rFonts w:ascii="Times New Roman" w:hAnsi="Times New Roman" w:cs="Times New Roman"/>
          <w:lang w:val="en-GB"/>
        </w:rPr>
        <w:t xml:space="preserve"> </w:t>
      </w:r>
      <w:proofErr w:type="spellStart"/>
      <w:r w:rsidRPr="00464512">
        <w:rPr>
          <w:rFonts w:ascii="Times New Roman" w:hAnsi="Times New Roman" w:cs="Times New Roman"/>
          <w:lang w:val="en-GB"/>
        </w:rPr>
        <w:t>Strelbytska</w:t>
      </w:r>
      <w:proofErr w:type="spellEnd"/>
      <w:r w:rsidRPr="00464512">
        <w:rPr>
          <w:rFonts w:ascii="Times New Roman" w:hAnsi="Times New Roman" w:cs="Times New Roman"/>
          <w:lang w:val="en-GB"/>
        </w:rPr>
        <w:t xml:space="preserve"> et al. </w:t>
      </w:r>
      <w:r w:rsidR="001218F3" w:rsidRPr="00464512">
        <w:rPr>
          <w:rFonts w:ascii="Times New Roman" w:hAnsi="Times New Roman" w:cs="Times New Roman"/>
          <w:lang w:val="en-GB"/>
        </w:rPr>
        <w:t>(</w:t>
      </w:r>
      <w:r w:rsidRPr="00464512">
        <w:rPr>
          <w:rFonts w:ascii="Times New Roman" w:hAnsi="Times New Roman" w:cs="Times New Roman"/>
          <w:lang w:val="en-GB"/>
        </w:rPr>
        <w:t>2025</w:t>
      </w:r>
      <w:r w:rsidR="001218F3" w:rsidRPr="00464512">
        <w:rPr>
          <w:rFonts w:ascii="Times New Roman" w:hAnsi="Times New Roman" w:cs="Times New Roman"/>
          <w:lang w:val="en-GB"/>
        </w:rPr>
        <w:t>)</w:t>
      </w:r>
      <w:r w:rsidR="00480D52">
        <w:rPr>
          <w:rFonts w:ascii="Times New Roman" w:hAnsi="Times New Roman" w:cs="Times New Roman"/>
          <w:lang w:val="en-GB"/>
        </w:rPr>
        <w:t>,</w:t>
      </w:r>
      <w:r w:rsidRPr="00464512">
        <w:rPr>
          <w:rFonts w:ascii="Times New Roman" w:hAnsi="Times New Roman" w:cs="Times New Roman"/>
          <w:lang w:val="en-GB"/>
        </w:rPr>
        <w:t xml:space="preserve"> where linear regressions were successfully used to </w:t>
      </w:r>
      <w:proofErr w:type="spellStart"/>
      <w:r w:rsidRPr="00464512">
        <w:rPr>
          <w:rFonts w:ascii="Times New Roman" w:hAnsi="Times New Roman" w:cs="Times New Roman"/>
          <w:lang w:val="en-GB"/>
        </w:rPr>
        <w:t>analyze</w:t>
      </w:r>
      <w:proofErr w:type="spellEnd"/>
      <w:r w:rsidRPr="00464512">
        <w:rPr>
          <w:rFonts w:ascii="Times New Roman" w:hAnsi="Times New Roman" w:cs="Times New Roman"/>
          <w:lang w:val="en-GB"/>
        </w:rPr>
        <w:t xml:space="preserve"> socio-economic processes in Ukraine under conditions of economic instability. To check the possibility of improving the results, nonlinear models were also tested, in particular second-order polynomials, which showed a potential increase in accuracy by 3-5% for investments in construction and software, especially during periods of economic instability (2014</w:t>
      </w:r>
      <w:r w:rsidR="004623D1" w:rsidRPr="00464512">
        <w:rPr>
          <w:rFonts w:ascii="Times New Roman" w:hAnsi="Times New Roman" w:cs="Times New Roman"/>
          <w:lang w:val="en-GB"/>
        </w:rPr>
        <w:t>-</w:t>
      </w:r>
      <w:r w:rsidRPr="00464512">
        <w:rPr>
          <w:rFonts w:ascii="Times New Roman" w:hAnsi="Times New Roman" w:cs="Times New Roman"/>
          <w:lang w:val="en-GB"/>
        </w:rPr>
        <w:t xml:space="preserve">2015, 2022). However, this slight improvement is not justified given the complexity of the model in the context of the available data, since linear models already provide a reliable and interpretable basis for analysis, and the additional computational costs of nonlinear </w:t>
      </w:r>
      <w:proofErr w:type="spellStart"/>
      <w:r w:rsidRPr="00464512">
        <w:rPr>
          <w:rFonts w:ascii="Times New Roman" w:hAnsi="Times New Roman" w:cs="Times New Roman"/>
          <w:lang w:val="en-GB"/>
        </w:rPr>
        <w:t>modeling</w:t>
      </w:r>
      <w:proofErr w:type="spellEnd"/>
      <w:r w:rsidRPr="00464512">
        <w:rPr>
          <w:rFonts w:ascii="Times New Roman" w:hAnsi="Times New Roman" w:cs="Times New Roman"/>
          <w:lang w:val="en-GB"/>
        </w:rPr>
        <w:t xml:space="preserve"> do not correspond to the resulting increase in accuracy.</w:t>
      </w:r>
    </w:p>
    <w:p w14:paraId="6BDA2704" w14:textId="04EC1D39"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study confirms the importance of capital investments for the agricultural sector, but points to the need for their rational use, especially in conditions of limited resources and military threats. Comparison with other studies shows that the emphasis on digitalization, environmental responsibility, and innovation ecosystems can significantly increase the effectiveness of investments. As Ukraine moves toward post-conflict recovery, prioritizing investments in digital infrastructure, sustainable practices, and innovative ecosystems could pave the way for long-term growth and resilience in the agricultural sector.</w:t>
      </w:r>
    </w:p>
    <w:p w14:paraId="2B17BEAA" w14:textId="77777777"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Further research should be aimed at overcoming the identified shortcomings, in particular by integrating a wider range of indicators and taking into account current technological trends. Expanding the scope of research to include broader metrics, such as climate impact, </w:t>
      </w:r>
      <w:proofErr w:type="spellStart"/>
      <w:r w:rsidRPr="00464512">
        <w:rPr>
          <w:rFonts w:ascii="Times New Roman" w:hAnsi="Times New Roman" w:cs="Times New Roman"/>
          <w:lang w:val="en-GB"/>
        </w:rPr>
        <w:t>labor</w:t>
      </w:r>
      <w:proofErr w:type="spellEnd"/>
      <w:r w:rsidRPr="00464512">
        <w:rPr>
          <w:rFonts w:ascii="Times New Roman" w:hAnsi="Times New Roman" w:cs="Times New Roman"/>
          <w:lang w:val="en-GB"/>
        </w:rPr>
        <w:t xml:space="preserve"> quality, and technological adaptation, will enhance the robustness of investment strategies and guide the agricultural sector toward more sustainable and profitable outcomes.</w:t>
      </w:r>
    </w:p>
    <w:p w14:paraId="641F5291" w14:textId="77777777" w:rsidR="002202E5" w:rsidRDefault="002202E5">
      <w:pPr>
        <w:rPr>
          <w:rFonts w:ascii="Times New Roman" w:hAnsi="Times New Roman"/>
          <w:b/>
          <w:kern w:val="2"/>
          <w:sz w:val="24"/>
          <w:lang w:val="en-GB"/>
          <w14:ligatures w14:val="standardContextual"/>
        </w:rPr>
      </w:pPr>
      <w:r>
        <w:rPr>
          <w:lang w:val="en-GB"/>
        </w:rPr>
        <w:br w:type="page"/>
      </w:r>
    </w:p>
    <w:p w14:paraId="48FA3D20" w14:textId="361F26C6" w:rsidR="00304FFF" w:rsidRPr="00464512" w:rsidRDefault="00304FFF" w:rsidP="00C4684C">
      <w:pPr>
        <w:pStyle w:val="Rn1"/>
        <w:rPr>
          <w:lang w:val="en-GB"/>
        </w:rPr>
      </w:pPr>
      <w:r w:rsidRPr="00464512">
        <w:rPr>
          <w:lang w:val="en-GB"/>
        </w:rPr>
        <w:lastRenderedPageBreak/>
        <w:t>5. Conclusions</w:t>
      </w:r>
    </w:p>
    <w:p w14:paraId="4307C566" w14:textId="77777777"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According to the results of the study, it can be concluded that capital investments for agricultural production play a significant role. However, the use of capital investments does not always ensure efficient land use. Correlation-regression analysis has shown that capital investments in land do not affect the increase in the volume of sold products (goods, services) of agricultural, forestry, and fishery enterprises and production costs. The absence of a linear relationship indicates the insufficiency of the capital investment factor alone to ensure efficient land use.</w:t>
      </w:r>
    </w:p>
    <w:p w14:paraId="1C2CAC8E" w14:textId="49DA2F05"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 xml:space="preserve">This suggests that land, as a primary resource, must be complemented by additional investments in infrastructure, technology, and human capital to </w:t>
      </w:r>
      <w:r w:rsidR="00480D52">
        <w:rPr>
          <w:rFonts w:ascii="Times New Roman" w:hAnsi="Times New Roman" w:cs="Times New Roman"/>
          <w:lang w:val="en-GB"/>
        </w:rPr>
        <w:t>leverage its potential for increasing productivity and profitability trul</w:t>
      </w:r>
      <w:r w:rsidRPr="00464512">
        <w:rPr>
          <w:rFonts w:ascii="Times New Roman" w:hAnsi="Times New Roman" w:cs="Times New Roman"/>
          <w:lang w:val="en-GB"/>
        </w:rPr>
        <w:t>y.</w:t>
      </w:r>
    </w:p>
    <w:p w14:paraId="78E47689" w14:textId="77777777"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influence of capital investments in other types of assets, the return on which ensures the growth of performance indicators, is substantiated. In particular, investments in modern machinery, technological advancements, and innovations play a crucial role in improving productivity.</w:t>
      </w:r>
    </w:p>
    <w:p w14:paraId="6FA45363" w14:textId="77777777" w:rsidR="00304FFF" w:rsidRPr="00AD34E2" w:rsidRDefault="00304FFF" w:rsidP="00C4684C">
      <w:pPr>
        <w:widowControl w:val="0"/>
        <w:spacing w:after="0" w:line="240" w:lineRule="auto"/>
        <w:ind w:firstLine="284"/>
        <w:contextualSpacing/>
        <w:jc w:val="both"/>
        <w:rPr>
          <w:rFonts w:ascii="Times New Roman" w:hAnsi="Times New Roman" w:cs="Times New Roman"/>
          <w:spacing w:val="-2"/>
          <w:lang w:val="en-GB"/>
        </w:rPr>
      </w:pPr>
      <w:r w:rsidRPr="00AD34E2">
        <w:rPr>
          <w:rFonts w:ascii="Times New Roman" w:hAnsi="Times New Roman" w:cs="Times New Roman"/>
          <w:spacing w:val="-2"/>
          <w:lang w:val="en-GB"/>
        </w:rPr>
        <w:t>Against this background, investing in intangible assets (software, intellectual property, digital infrastructure) allows stimulating agriculture, forestry, and fisheries through an increase in the volume of products sold (goods, services) of enterprises and production costs.</w:t>
      </w:r>
    </w:p>
    <w:p w14:paraId="0E1FF348" w14:textId="77777777"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Using the method of analysis of the operating environment, the possibilities of achieving effective land use through capital investments were investigated over a period of ten years, which allowed constructing an efficiency line and proving an acceptable level of efficiency in general under the conditions prevailing during 2014-2023.</w:t>
      </w:r>
    </w:p>
    <w:p w14:paraId="7AC4BD70" w14:textId="77777777"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The dynamic assessment of efficiency during this period indicates the need for a more adaptive investment strategy, one that aligns with market shifts and evolving production practices.</w:t>
      </w:r>
    </w:p>
    <w:p w14:paraId="68A458F0" w14:textId="77777777"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In addition, an approach was proposed that allows, through the design of the positions of «effective» years, to optimize the efficiency line for future planning of both performance indicators (volume of products sold and production costs) and capital investments for agricultural, forestry, and fishery enterprises.</w:t>
      </w:r>
    </w:p>
    <w:p w14:paraId="03F4D4B8" w14:textId="77777777" w:rsidR="00304FFF" w:rsidRPr="00464512" w:rsidRDefault="00304FFF" w:rsidP="00C4684C">
      <w:pPr>
        <w:widowControl w:val="0"/>
        <w:spacing w:after="0" w:line="240" w:lineRule="auto"/>
        <w:ind w:firstLine="284"/>
        <w:contextualSpacing/>
        <w:jc w:val="both"/>
        <w:rPr>
          <w:rFonts w:ascii="Times New Roman" w:hAnsi="Times New Roman" w:cs="Times New Roman"/>
          <w:lang w:val="en-GB"/>
        </w:rPr>
      </w:pPr>
      <w:r w:rsidRPr="00464512">
        <w:rPr>
          <w:rFonts w:ascii="Times New Roman" w:hAnsi="Times New Roman" w:cs="Times New Roman"/>
          <w:lang w:val="en-GB"/>
        </w:rPr>
        <w:t>This strategic approach offers the potential to guide future investments more effectively, ensuring sustainable growth and improving the competitiveness of agricultural enterprises within the broader national economy.</w:t>
      </w:r>
    </w:p>
    <w:p w14:paraId="7B92154F" w14:textId="77777777" w:rsidR="00304FFF" w:rsidRPr="00464512" w:rsidRDefault="00304FFF" w:rsidP="00C4684C">
      <w:pPr>
        <w:pStyle w:val="Rn2"/>
        <w:rPr>
          <w:lang w:val="en-GB"/>
        </w:rPr>
      </w:pPr>
      <w:r w:rsidRPr="00464512">
        <w:rPr>
          <w:lang w:val="en-GB"/>
        </w:rPr>
        <w:t>References</w:t>
      </w:r>
    </w:p>
    <w:p w14:paraId="1E56BB98" w14:textId="5086BBE9" w:rsidR="00526FC4" w:rsidRPr="00464512" w:rsidRDefault="00526FC4" w:rsidP="00C4684C">
      <w:pPr>
        <w:pStyle w:val="Rlit"/>
        <w:rPr>
          <w:lang w:val="en-GB"/>
        </w:rPr>
      </w:pPr>
      <w:proofErr w:type="spellStart"/>
      <w:r w:rsidRPr="00464512">
        <w:rPr>
          <w:lang w:val="en-GB"/>
        </w:rPr>
        <w:t>Andriushchenko</w:t>
      </w:r>
      <w:proofErr w:type="spellEnd"/>
      <w:r w:rsidRPr="00464512">
        <w:rPr>
          <w:lang w:val="en-GB"/>
        </w:rPr>
        <w:t xml:space="preserve">, K., </w:t>
      </w:r>
      <w:proofErr w:type="spellStart"/>
      <w:r w:rsidRPr="00464512">
        <w:rPr>
          <w:lang w:val="en-GB"/>
        </w:rPr>
        <w:t>Datsii</w:t>
      </w:r>
      <w:proofErr w:type="spellEnd"/>
      <w:r w:rsidRPr="00464512">
        <w:rPr>
          <w:lang w:val="en-GB"/>
        </w:rPr>
        <w:t xml:space="preserve">, O., </w:t>
      </w:r>
      <w:proofErr w:type="spellStart"/>
      <w:r w:rsidRPr="00464512">
        <w:rPr>
          <w:lang w:val="en-GB"/>
        </w:rPr>
        <w:t>Lavruk</w:t>
      </w:r>
      <w:proofErr w:type="spellEnd"/>
      <w:r w:rsidRPr="00464512">
        <w:rPr>
          <w:lang w:val="en-GB"/>
        </w:rPr>
        <w:t xml:space="preserve">, O., Dmytrenko, R., Kutashev, I., </w:t>
      </w:r>
      <w:proofErr w:type="spellStart"/>
      <w:r w:rsidRPr="00464512">
        <w:rPr>
          <w:lang w:val="en-GB"/>
        </w:rPr>
        <w:t>Vinichenko</w:t>
      </w:r>
      <w:proofErr w:type="spellEnd"/>
      <w:r w:rsidRPr="00464512">
        <w:rPr>
          <w:lang w:val="en-GB"/>
        </w:rPr>
        <w:t xml:space="preserve">, I., Mishchenko, D., </w:t>
      </w:r>
      <w:proofErr w:type="spellStart"/>
      <w:r w:rsidRPr="00464512">
        <w:rPr>
          <w:lang w:val="en-GB"/>
        </w:rPr>
        <w:t>Kakhovych</w:t>
      </w:r>
      <w:proofErr w:type="spellEnd"/>
      <w:r w:rsidRPr="00464512">
        <w:rPr>
          <w:lang w:val="en-GB"/>
        </w:rPr>
        <w:t xml:space="preserve">, Y., Pivovarov, K., &amp; </w:t>
      </w:r>
      <w:proofErr w:type="spellStart"/>
      <w:r w:rsidRPr="00464512">
        <w:rPr>
          <w:lang w:val="en-GB"/>
        </w:rPr>
        <w:t>Ortina</w:t>
      </w:r>
      <w:proofErr w:type="spellEnd"/>
      <w:r w:rsidRPr="00464512">
        <w:rPr>
          <w:lang w:val="en-GB"/>
        </w:rPr>
        <w:t xml:space="preserve">, G. (2021). Development of а matrix of food industry capacity for making management decisions in the formation of sustainable development of agroecosystems. </w:t>
      </w:r>
      <w:r w:rsidRPr="00464512">
        <w:rPr>
          <w:i/>
          <w:iCs/>
          <w:lang w:val="en-GB"/>
        </w:rPr>
        <w:t>Eastern-European Journal of Enterprise Technologies</w:t>
      </w:r>
      <w:r w:rsidRPr="00464512">
        <w:rPr>
          <w:lang w:val="en-GB"/>
        </w:rPr>
        <w:t xml:space="preserve">, </w:t>
      </w:r>
      <w:r w:rsidRPr="00464512">
        <w:rPr>
          <w:i/>
          <w:iCs/>
          <w:lang w:val="en-GB"/>
        </w:rPr>
        <w:t>2</w:t>
      </w:r>
      <w:r w:rsidRPr="00464512">
        <w:rPr>
          <w:lang w:val="en-GB"/>
        </w:rPr>
        <w:t>(13(110)), 16</w:t>
      </w:r>
      <w:r w:rsidR="00EA460F" w:rsidRPr="00464512">
        <w:rPr>
          <w:lang w:val="en-GB"/>
        </w:rPr>
        <w:t>-</w:t>
      </w:r>
      <w:r w:rsidRPr="00464512">
        <w:rPr>
          <w:lang w:val="en-GB"/>
        </w:rPr>
        <w:t xml:space="preserve">27. </w:t>
      </w:r>
      <w:hyperlink r:id="rId16" w:history="1">
        <w:r w:rsidRPr="00464512">
          <w:rPr>
            <w:rStyle w:val="Hipercze"/>
            <w:color w:val="auto"/>
            <w:u w:val="none"/>
            <w:lang w:val="en-GB"/>
          </w:rPr>
          <w:t>https://doi.org/10.15587/1729-4061.2021.227805</w:t>
        </w:r>
      </w:hyperlink>
    </w:p>
    <w:p w14:paraId="00677F81" w14:textId="746F907A" w:rsidR="00526FC4" w:rsidRPr="00464512" w:rsidRDefault="00526FC4" w:rsidP="00EA460F">
      <w:pPr>
        <w:pStyle w:val="Rlit"/>
        <w:jc w:val="left"/>
        <w:rPr>
          <w:lang w:val="en-GB"/>
        </w:rPr>
      </w:pPr>
      <w:proofErr w:type="spellStart"/>
      <w:r w:rsidRPr="00464512">
        <w:rPr>
          <w:lang w:val="en-GB"/>
        </w:rPr>
        <w:t>Andriushchenko</w:t>
      </w:r>
      <w:proofErr w:type="spellEnd"/>
      <w:r w:rsidRPr="00464512">
        <w:rPr>
          <w:lang w:val="en-GB"/>
        </w:rPr>
        <w:t xml:space="preserve">, K., </w:t>
      </w:r>
      <w:proofErr w:type="spellStart"/>
      <w:r w:rsidRPr="00464512">
        <w:rPr>
          <w:lang w:val="en-GB"/>
        </w:rPr>
        <w:t>Liezina</w:t>
      </w:r>
      <w:proofErr w:type="spellEnd"/>
      <w:r w:rsidRPr="00464512">
        <w:rPr>
          <w:lang w:val="en-GB"/>
        </w:rPr>
        <w:t xml:space="preserve">, A., </w:t>
      </w:r>
      <w:proofErr w:type="spellStart"/>
      <w:r w:rsidRPr="00464512">
        <w:rPr>
          <w:lang w:val="en-GB"/>
        </w:rPr>
        <w:t>Vasylchak</w:t>
      </w:r>
      <w:proofErr w:type="spellEnd"/>
      <w:r w:rsidRPr="00464512">
        <w:rPr>
          <w:lang w:val="en-GB"/>
        </w:rPr>
        <w:t xml:space="preserve">, S., </w:t>
      </w:r>
      <w:proofErr w:type="spellStart"/>
      <w:r w:rsidRPr="00464512">
        <w:rPr>
          <w:lang w:val="en-GB"/>
        </w:rPr>
        <w:t>Manylich</w:t>
      </w:r>
      <w:proofErr w:type="spellEnd"/>
      <w:r w:rsidRPr="00464512">
        <w:rPr>
          <w:lang w:val="en-GB"/>
        </w:rPr>
        <w:t xml:space="preserve">, M., </w:t>
      </w:r>
      <w:proofErr w:type="spellStart"/>
      <w:r w:rsidRPr="00464512">
        <w:rPr>
          <w:lang w:val="en-GB"/>
        </w:rPr>
        <w:t>Shterma</w:t>
      </w:r>
      <w:proofErr w:type="spellEnd"/>
      <w:r w:rsidRPr="00464512">
        <w:rPr>
          <w:lang w:val="en-GB"/>
        </w:rPr>
        <w:t xml:space="preserve">, T. &amp; </w:t>
      </w:r>
      <w:proofErr w:type="spellStart"/>
      <w:r w:rsidRPr="00464512">
        <w:rPr>
          <w:lang w:val="en-GB"/>
        </w:rPr>
        <w:t>Petrynyak</w:t>
      </w:r>
      <w:proofErr w:type="spellEnd"/>
      <w:r w:rsidRPr="00464512">
        <w:rPr>
          <w:lang w:val="en-GB"/>
        </w:rPr>
        <w:t xml:space="preserve">, U. (2022). Management of the development of the innovative potential of the region. </w:t>
      </w:r>
      <w:r w:rsidRPr="00464512">
        <w:rPr>
          <w:i/>
          <w:iCs/>
          <w:lang w:val="en-GB"/>
        </w:rPr>
        <w:t>TEM Journal</w:t>
      </w:r>
      <w:r w:rsidRPr="00464512">
        <w:rPr>
          <w:lang w:val="en-GB"/>
        </w:rPr>
        <w:t xml:space="preserve">, </w:t>
      </w:r>
      <w:r w:rsidRPr="00464512">
        <w:rPr>
          <w:i/>
          <w:iCs/>
          <w:lang w:val="en-GB"/>
        </w:rPr>
        <w:t>11</w:t>
      </w:r>
      <w:r w:rsidRPr="00464512">
        <w:rPr>
          <w:lang w:val="en-GB"/>
        </w:rPr>
        <w:t>(1), 339</w:t>
      </w:r>
      <w:r w:rsidR="00EA460F" w:rsidRPr="00464512">
        <w:rPr>
          <w:lang w:val="en-GB"/>
        </w:rPr>
        <w:t>-</w:t>
      </w:r>
      <w:r w:rsidRPr="00464512">
        <w:rPr>
          <w:lang w:val="en-GB"/>
        </w:rPr>
        <w:t xml:space="preserve">347. </w:t>
      </w:r>
      <w:hyperlink r:id="rId17" w:history="1">
        <w:r w:rsidRPr="00464512">
          <w:rPr>
            <w:rStyle w:val="Hipercze"/>
            <w:color w:val="auto"/>
            <w:u w:val="none"/>
            <w:lang w:val="en-GB"/>
          </w:rPr>
          <w:t>https://doi.org/10.18421/TEM111-43</w:t>
        </w:r>
      </w:hyperlink>
    </w:p>
    <w:p w14:paraId="1D931DB4" w14:textId="5DB42991" w:rsidR="00526FC4" w:rsidRPr="00464512" w:rsidRDefault="00526FC4" w:rsidP="00C4684C">
      <w:pPr>
        <w:pStyle w:val="Rlit"/>
        <w:rPr>
          <w:lang w:val="en-GB"/>
        </w:rPr>
      </w:pPr>
      <w:r w:rsidRPr="00464512">
        <w:rPr>
          <w:lang w:val="en-GB"/>
        </w:rPr>
        <w:t xml:space="preserve">Baik, О., </w:t>
      </w:r>
      <w:proofErr w:type="spellStart"/>
      <w:r w:rsidRPr="00464512">
        <w:rPr>
          <w:lang w:val="en-GB"/>
        </w:rPr>
        <w:t>Yarmol</w:t>
      </w:r>
      <w:proofErr w:type="spellEnd"/>
      <w:r w:rsidRPr="00464512">
        <w:rPr>
          <w:lang w:val="en-GB"/>
        </w:rPr>
        <w:t xml:space="preserve">, L., </w:t>
      </w:r>
      <w:proofErr w:type="spellStart"/>
      <w:r w:rsidRPr="00464512">
        <w:rPr>
          <w:lang w:val="en-GB"/>
        </w:rPr>
        <w:t>Sirant</w:t>
      </w:r>
      <w:proofErr w:type="spellEnd"/>
      <w:r w:rsidRPr="00464512">
        <w:rPr>
          <w:lang w:val="en-GB"/>
        </w:rPr>
        <w:t xml:space="preserve">, М., Popadynets, H., &amp; </w:t>
      </w:r>
      <w:proofErr w:type="spellStart"/>
      <w:r w:rsidRPr="00464512">
        <w:rPr>
          <w:lang w:val="en-GB"/>
        </w:rPr>
        <w:t>Stetsyuk</w:t>
      </w:r>
      <w:proofErr w:type="spellEnd"/>
      <w:r w:rsidRPr="00464512">
        <w:rPr>
          <w:lang w:val="en-GB"/>
        </w:rPr>
        <w:t xml:space="preserve">, N. (2021). Rational nature management as a component of environmental safety: economic and legal aspects. </w:t>
      </w:r>
      <w:r w:rsidRPr="00464512">
        <w:rPr>
          <w:i/>
          <w:iCs/>
          <w:lang w:val="en-GB"/>
        </w:rPr>
        <w:t>Financial and Credit Activity Problems of Theory and Practice</w:t>
      </w:r>
      <w:r w:rsidRPr="00464512">
        <w:rPr>
          <w:lang w:val="en-GB"/>
        </w:rPr>
        <w:t xml:space="preserve">, </w:t>
      </w:r>
      <w:r w:rsidRPr="00464512">
        <w:rPr>
          <w:i/>
          <w:iCs/>
          <w:lang w:val="en-GB"/>
        </w:rPr>
        <w:t>4</w:t>
      </w:r>
      <w:r w:rsidRPr="00464512">
        <w:rPr>
          <w:lang w:val="en-GB"/>
        </w:rPr>
        <w:t>(39), 429</w:t>
      </w:r>
      <w:r w:rsidR="00EA460F" w:rsidRPr="00464512">
        <w:rPr>
          <w:lang w:val="en-GB"/>
        </w:rPr>
        <w:t>-</w:t>
      </w:r>
      <w:r w:rsidRPr="00464512">
        <w:rPr>
          <w:lang w:val="en-GB"/>
        </w:rPr>
        <w:t xml:space="preserve">438. </w:t>
      </w:r>
      <w:hyperlink r:id="rId18" w:history="1">
        <w:r w:rsidRPr="00464512">
          <w:rPr>
            <w:rStyle w:val="Hipercze"/>
            <w:color w:val="auto"/>
            <w:u w:val="none"/>
            <w:lang w:val="en-GB"/>
          </w:rPr>
          <w:t>https://doi.org/10.18371/fcaptp.v4i39.241410</w:t>
        </w:r>
      </w:hyperlink>
    </w:p>
    <w:p w14:paraId="2FE751D1" w14:textId="77777777" w:rsidR="00526FC4" w:rsidRPr="00464512" w:rsidRDefault="00526FC4" w:rsidP="00F112EA">
      <w:pPr>
        <w:pStyle w:val="Rlit"/>
        <w:jc w:val="left"/>
        <w:rPr>
          <w:lang w:val="en-GB"/>
        </w:rPr>
      </w:pPr>
      <w:proofErr w:type="spellStart"/>
      <w:r w:rsidRPr="00464512">
        <w:rPr>
          <w:lang w:val="en-GB"/>
        </w:rPr>
        <w:t>Balanovska</w:t>
      </w:r>
      <w:proofErr w:type="spellEnd"/>
      <w:r w:rsidRPr="00464512">
        <w:rPr>
          <w:lang w:val="en-GB"/>
        </w:rPr>
        <w:t xml:space="preserve">, T., </w:t>
      </w:r>
      <w:proofErr w:type="spellStart"/>
      <w:r w:rsidRPr="00464512">
        <w:rPr>
          <w:lang w:val="en-GB"/>
        </w:rPr>
        <w:t>Mykhailichenko</w:t>
      </w:r>
      <w:proofErr w:type="spellEnd"/>
      <w:r w:rsidRPr="00464512">
        <w:rPr>
          <w:lang w:val="en-GB"/>
        </w:rPr>
        <w:t xml:space="preserve"> М., Holik, V., </w:t>
      </w:r>
      <w:proofErr w:type="spellStart"/>
      <w:r w:rsidRPr="00464512">
        <w:rPr>
          <w:lang w:val="en-GB"/>
        </w:rPr>
        <w:t>Dramaretska</w:t>
      </w:r>
      <w:proofErr w:type="spellEnd"/>
      <w:r w:rsidRPr="00464512">
        <w:rPr>
          <w:lang w:val="en-GB"/>
        </w:rPr>
        <w:t xml:space="preserve">, К., &amp; Troian, A. (2021). Development management of agricultural enterprises. </w:t>
      </w:r>
      <w:r w:rsidRPr="00464512">
        <w:rPr>
          <w:i/>
          <w:iCs/>
          <w:lang w:val="en-GB"/>
        </w:rPr>
        <w:t>Financial and Credit Activity: Problems of Theory and Practice</w:t>
      </w:r>
      <w:r w:rsidRPr="00464512">
        <w:rPr>
          <w:lang w:val="en-GB"/>
        </w:rPr>
        <w:t xml:space="preserve">, </w:t>
      </w:r>
      <w:r w:rsidRPr="00464512">
        <w:rPr>
          <w:i/>
          <w:iCs/>
          <w:lang w:val="en-GB"/>
        </w:rPr>
        <w:t>3</w:t>
      </w:r>
      <w:r w:rsidRPr="00464512">
        <w:rPr>
          <w:lang w:val="en-GB"/>
        </w:rPr>
        <w:t xml:space="preserve">(38), 134-143. </w:t>
      </w:r>
      <w:hyperlink r:id="rId19" w:history="1">
        <w:r w:rsidRPr="00464512">
          <w:rPr>
            <w:rStyle w:val="Hipercze"/>
            <w:color w:val="auto"/>
            <w:u w:val="none"/>
            <w:lang w:val="en-GB"/>
          </w:rPr>
          <w:t>https://doi.org/10.18371/fcaptp.v3i38.237434</w:t>
        </w:r>
      </w:hyperlink>
    </w:p>
    <w:p w14:paraId="583A9578" w14:textId="77777777" w:rsidR="00526FC4" w:rsidRPr="00464512" w:rsidRDefault="00526FC4" w:rsidP="00C4684C">
      <w:pPr>
        <w:pStyle w:val="Rlit"/>
        <w:rPr>
          <w:lang w:val="en-GB"/>
        </w:rPr>
      </w:pPr>
      <w:r w:rsidRPr="00464512">
        <w:rPr>
          <w:lang w:val="en-GB"/>
        </w:rPr>
        <w:t xml:space="preserve">Bezdushna, Y., </w:t>
      </w:r>
      <w:proofErr w:type="spellStart"/>
      <w:r w:rsidRPr="00464512">
        <w:rPr>
          <w:lang w:val="en-GB"/>
        </w:rPr>
        <w:t>Prodanchuk</w:t>
      </w:r>
      <w:proofErr w:type="spellEnd"/>
      <w:r w:rsidRPr="00464512">
        <w:rPr>
          <w:lang w:val="en-GB"/>
        </w:rPr>
        <w:t xml:space="preserve">, M., Zhuk, V., &amp; Popko, E. (2023). Rationale of Management Principles of Providing Sustainable Development of Rural Territorial Communities. </w:t>
      </w:r>
      <w:r w:rsidRPr="00464512">
        <w:rPr>
          <w:i/>
          <w:iCs/>
          <w:lang w:val="en-GB"/>
        </w:rPr>
        <w:t>International Journal of Information Technology Project Management (IJITPM)</w:t>
      </w:r>
      <w:r w:rsidRPr="00464512">
        <w:rPr>
          <w:lang w:val="en-GB"/>
        </w:rPr>
        <w:t xml:space="preserve">, </w:t>
      </w:r>
      <w:r w:rsidRPr="00464512">
        <w:rPr>
          <w:i/>
          <w:iCs/>
          <w:lang w:val="en-GB"/>
        </w:rPr>
        <w:t>14</w:t>
      </w:r>
      <w:r w:rsidRPr="00464512">
        <w:rPr>
          <w:lang w:val="en-GB"/>
        </w:rPr>
        <w:t xml:space="preserve">(1), 1-11. </w:t>
      </w:r>
      <w:hyperlink r:id="rId20" w:history="1">
        <w:r w:rsidRPr="00464512">
          <w:rPr>
            <w:rStyle w:val="Hipercze"/>
            <w:color w:val="auto"/>
            <w:u w:val="none"/>
            <w:lang w:val="en-GB"/>
          </w:rPr>
          <w:t>https://doi.org/10.4018/IJITPM.323209</w:t>
        </w:r>
      </w:hyperlink>
    </w:p>
    <w:p w14:paraId="5A84EE90" w14:textId="77777777" w:rsidR="00526FC4" w:rsidRPr="00464512" w:rsidRDefault="00526FC4" w:rsidP="00C4684C">
      <w:pPr>
        <w:pStyle w:val="Rlit"/>
        <w:rPr>
          <w:lang w:val="en-GB"/>
        </w:rPr>
      </w:pPr>
      <w:proofErr w:type="spellStart"/>
      <w:r w:rsidRPr="00464512">
        <w:rPr>
          <w:lang w:val="en-GB"/>
        </w:rPr>
        <w:t>Bokusheva</w:t>
      </w:r>
      <w:proofErr w:type="spellEnd"/>
      <w:r w:rsidRPr="00464512">
        <w:rPr>
          <w:lang w:val="en-GB"/>
        </w:rPr>
        <w:t xml:space="preserve">, R., &amp; </w:t>
      </w:r>
      <w:proofErr w:type="spellStart"/>
      <w:r w:rsidRPr="00464512">
        <w:rPr>
          <w:lang w:val="en-GB"/>
        </w:rPr>
        <w:t>Čechura</w:t>
      </w:r>
      <w:proofErr w:type="spellEnd"/>
      <w:r w:rsidRPr="00464512">
        <w:rPr>
          <w:lang w:val="en-GB"/>
        </w:rPr>
        <w:t xml:space="preserve">, L. (2017). Evaluating dynamics, sources and drivers of productivity growth at the farm level. </w:t>
      </w:r>
      <w:r w:rsidRPr="00464512">
        <w:rPr>
          <w:i/>
          <w:iCs/>
          <w:lang w:val="en-GB"/>
        </w:rPr>
        <w:t>OECD Food, Agriculture and Fisheries Papers</w:t>
      </w:r>
      <w:r w:rsidRPr="00464512">
        <w:rPr>
          <w:lang w:val="en-GB"/>
        </w:rPr>
        <w:t xml:space="preserve">, </w:t>
      </w:r>
      <w:r w:rsidRPr="00464512">
        <w:rPr>
          <w:i/>
          <w:iCs/>
          <w:lang w:val="en-GB"/>
        </w:rPr>
        <w:t>106</w:t>
      </w:r>
      <w:r w:rsidRPr="00464512">
        <w:rPr>
          <w:lang w:val="en-GB"/>
        </w:rPr>
        <w:t xml:space="preserve">, OECD Publishing, Paris. </w:t>
      </w:r>
      <w:hyperlink r:id="rId21" w:history="1">
        <w:r w:rsidRPr="00464512">
          <w:rPr>
            <w:rStyle w:val="Hipercze"/>
            <w:color w:val="auto"/>
            <w:u w:val="none"/>
            <w:lang w:val="en-GB"/>
          </w:rPr>
          <w:t>https://doi.org/10.1787/5f2d0601-en</w:t>
        </w:r>
      </w:hyperlink>
    </w:p>
    <w:p w14:paraId="38C0FF93" w14:textId="77777777" w:rsidR="00526FC4" w:rsidRPr="00464512" w:rsidRDefault="00526FC4" w:rsidP="00C4684C">
      <w:pPr>
        <w:pStyle w:val="Rlit"/>
        <w:rPr>
          <w:lang w:val="en-GB"/>
        </w:rPr>
      </w:pPr>
      <w:proofErr w:type="spellStart"/>
      <w:r w:rsidRPr="00464512">
        <w:rPr>
          <w:lang w:val="en-GB"/>
        </w:rPr>
        <w:t>Boussakra</w:t>
      </w:r>
      <w:proofErr w:type="spellEnd"/>
      <w:r w:rsidRPr="00464512">
        <w:rPr>
          <w:lang w:val="en-GB"/>
        </w:rPr>
        <w:t xml:space="preserve">, A., Abdeslam, S., &amp; </w:t>
      </w:r>
      <w:proofErr w:type="spellStart"/>
      <w:r w:rsidRPr="00464512">
        <w:rPr>
          <w:lang w:val="en-GB"/>
        </w:rPr>
        <w:t>Boukheit</w:t>
      </w:r>
      <w:proofErr w:type="spellEnd"/>
      <w:r w:rsidRPr="00464512">
        <w:rPr>
          <w:lang w:val="en-GB"/>
        </w:rPr>
        <w:t xml:space="preserve">, S. (2025). Urban and Rural Sustainability as a Pathway to Achieving Sustainable Development. </w:t>
      </w:r>
      <w:r w:rsidRPr="00464512">
        <w:rPr>
          <w:i/>
          <w:iCs/>
          <w:lang w:val="en-GB"/>
        </w:rPr>
        <w:t>Ukrainian Policymaker</w:t>
      </w:r>
      <w:r w:rsidRPr="00464512">
        <w:rPr>
          <w:lang w:val="en-GB"/>
        </w:rPr>
        <w:t xml:space="preserve">, </w:t>
      </w:r>
      <w:r w:rsidRPr="00464512">
        <w:rPr>
          <w:i/>
          <w:iCs/>
          <w:lang w:val="en-GB"/>
        </w:rPr>
        <w:t>16</w:t>
      </w:r>
      <w:r w:rsidRPr="00464512">
        <w:rPr>
          <w:lang w:val="en-GB"/>
        </w:rPr>
        <w:t xml:space="preserve">, 13-28. </w:t>
      </w:r>
      <w:hyperlink r:id="rId22" w:history="1">
        <w:r w:rsidRPr="00464512">
          <w:rPr>
            <w:rStyle w:val="Hipercze"/>
            <w:color w:val="auto"/>
            <w:u w:val="none"/>
            <w:lang w:val="en-GB"/>
          </w:rPr>
          <w:t>https://doi.org/10.29202/up/16/2</w:t>
        </w:r>
      </w:hyperlink>
    </w:p>
    <w:p w14:paraId="5F198E81" w14:textId="63AB94C9" w:rsidR="00526FC4" w:rsidRPr="00464512" w:rsidRDefault="00526FC4" w:rsidP="00F112EA">
      <w:pPr>
        <w:pStyle w:val="Rlit"/>
        <w:jc w:val="left"/>
        <w:rPr>
          <w:rFonts w:eastAsia="Calibri"/>
          <w:lang w:val="en-GB"/>
        </w:rPr>
      </w:pPr>
      <w:r w:rsidRPr="00464512">
        <w:rPr>
          <w:rFonts w:eastAsia="Calibri"/>
          <w:lang w:val="en-GB"/>
        </w:rPr>
        <w:t xml:space="preserve">Chikov, I., </w:t>
      </w:r>
      <w:proofErr w:type="spellStart"/>
      <w:r w:rsidRPr="00464512">
        <w:rPr>
          <w:rFonts w:eastAsia="Calibri"/>
          <w:lang w:val="en-GB"/>
        </w:rPr>
        <w:t>Khaietska</w:t>
      </w:r>
      <w:proofErr w:type="spellEnd"/>
      <w:r w:rsidRPr="00464512">
        <w:rPr>
          <w:rFonts w:eastAsia="Calibri"/>
          <w:lang w:val="en-GB"/>
        </w:rPr>
        <w:t xml:space="preserve">, O., </w:t>
      </w:r>
      <w:proofErr w:type="spellStart"/>
      <w:r w:rsidRPr="00464512">
        <w:rPr>
          <w:rFonts w:eastAsia="Calibri"/>
          <w:lang w:val="en-GB"/>
        </w:rPr>
        <w:t>Okhota</w:t>
      </w:r>
      <w:proofErr w:type="spellEnd"/>
      <w:r w:rsidRPr="00464512">
        <w:rPr>
          <w:rFonts w:eastAsia="Calibri"/>
          <w:lang w:val="en-GB"/>
        </w:rPr>
        <w:t xml:space="preserve">, Yu., Titov, D., Prygotsky, V., &amp; </w:t>
      </w:r>
      <w:proofErr w:type="spellStart"/>
      <w:r w:rsidRPr="00464512">
        <w:rPr>
          <w:rFonts w:eastAsia="Calibri"/>
          <w:lang w:val="en-GB"/>
        </w:rPr>
        <w:t>Nitsenko</w:t>
      </w:r>
      <w:proofErr w:type="spellEnd"/>
      <w:r w:rsidRPr="00464512">
        <w:rPr>
          <w:rFonts w:eastAsia="Calibri"/>
          <w:lang w:val="en-GB"/>
        </w:rPr>
        <w:t xml:space="preserve">, V. (2023a). </w:t>
      </w:r>
      <w:proofErr w:type="spellStart"/>
      <w:r w:rsidRPr="00464512">
        <w:rPr>
          <w:rFonts w:eastAsia="Calibri"/>
          <w:lang w:val="en-GB"/>
        </w:rPr>
        <w:t>Modeling</w:t>
      </w:r>
      <w:proofErr w:type="spellEnd"/>
      <w:r w:rsidRPr="00464512">
        <w:rPr>
          <w:rFonts w:eastAsia="Calibri"/>
          <w:lang w:val="en-GB"/>
        </w:rPr>
        <w:t xml:space="preserve"> of the synthetic indicator of competitiveness of agricultural enterprises: a methodological approach to the use of neural network tools. </w:t>
      </w:r>
      <w:r w:rsidRPr="00464512">
        <w:rPr>
          <w:rFonts w:eastAsia="Calibri"/>
          <w:i/>
          <w:iCs/>
          <w:lang w:val="en-GB"/>
        </w:rPr>
        <w:t>Financial and Credit Activity: Problems of Theory and Practice</w:t>
      </w:r>
      <w:r w:rsidRPr="00464512">
        <w:rPr>
          <w:rFonts w:eastAsia="Calibri"/>
          <w:lang w:val="en-GB"/>
        </w:rPr>
        <w:t xml:space="preserve">, </w:t>
      </w:r>
      <w:r w:rsidRPr="00464512">
        <w:rPr>
          <w:rFonts w:eastAsia="Calibri"/>
          <w:i/>
          <w:iCs/>
          <w:lang w:val="en-GB"/>
        </w:rPr>
        <w:t>5</w:t>
      </w:r>
      <w:r w:rsidRPr="00464512">
        <w:rPr>
          <w:rFonts w:eastAsia="Calibri"/>
          <w:lang w:val="en-GB"/>
        </w:rPr>
        <w:t xml:space="preserve">(52), 222-242. </w:t>
      </w:r>
      <w:hyperlink r:id="rId23" w:history="1">
        <w:r w:rsidRPr="00464512">
          <w:rPr>
            <w:rStyle w:val="Hipercze"/>
            <w:rFonts w:eastAsia="Calibri"/>
            <w:color w:val="auto"/>
            <w:u w:val="none"/>
            <w:lang w:val="en-GB"/>
          </w:rPr>
          <w:t>https://doi.org/10.55643/fcaptp.5.52.2023.4149</w:t>
        </w:r>
      </w:hyperlink>
    </w:p>
    <w:p w14:paraId="727CDE7A" w14:textId="4877DF8D" w:rsidR="00526FC4" w:rsidRPr="00464512" w:rsidRDefault="00526FC4" w:rsidP="00C4684C">
      <w:pPr>
        <w:pStyle w:val="Rlit"/>
        <w:rPr>
          <w:rFonts w:eastAsia="Calibri"/>
          <w:lang w:val="en-GB"/>
        </w:rPr>
      </w:pPr>
      <w:r w:rsidRPr="00464512">
        <w:rPr>
          <w:rFonts w:eastAsia="Calibri"/>
          <w:lang w:val="en-GB"/>
        </w:rPr>
        <w:t xml:space="preserve">Chikov, I., Radko, V., Marshalok, M., Tepliuk, M., Petrenko, O., Sharko, I., &amp; </w:t>
      </w:r>
      <w:proofErr w:type="spellStart"/>
      <w:r w:rsidRPr="00464512">
        <w:rPr>
          <w:rFonts w:eastAsia="Calibri"/>
          <w:lang w:val="en-GB"/>
        </w:rPr>
        <w:t>Sitkovska</w:t>
      </w:r>
      <w:proofErr w:type="spellEnd"/>
      <w:r w:rsidRPr="00464512">
        <w:rPr>
          <w:rFonts w:eastAsia="Calibri"/>
          <w:lang w:val="en-GB"/>
        </w:rPr>
        <w:t xml:space="preserve">, A. (2022). Economic development of agricultural food enterprises on an innovative basis. </w:t>
      </w:r>
      <w:r w:rsidRPr="00464512">
        <w:rPr>
          <w:rFonts w:eastAsia="Calibri"/>
          <w:i/>
          <w:iCs/>
          <w:lang w:val="en-GB"/>
        </w:rPr>
        <w:t>Financial and Credit Activity: Problems of Theory and Practice</w:t>
      </w:r>
      <w:r w:rsidRPr="00464512">
        <w:rPr>
          <w:rFonts w:eastAsia="Calibri"/>
          <w:lang w:val="en-GB"/>
        </w:rPr>
        <w:t xml:space="preserve">, </w:t>
      </w:r>
      <w:r w:rsidRPr="00464512">
        <w:rPr>
          <w:rFonts w:eastAsia="Calibri"/>
          <w:i/>
          <w:iCs/>
          <w:lang w:val="en-GB"/>
        </w:rPr>
        <w:t>1</w:t>
      </w:r>
      <w:r w:rsidRPr="00464512">
        <w:rPr>
          <w:rFonts w:eastAsia="Calibri"/>
          <w:lang w:val="en-GB"/>
        </w:rPr>
        <w:t xml:space="preserve">(42), 98-106. </w:t>
      </w:r>
      <w:hyperlink r:id="rId24" w:history="1">
        <w:r w:rsidRPr="00464512">
          <w:rPr>
            <w:rStyle w:val="Hipercze"/>
            <w:rFonts w:eastAsia="Calibri"/>
            <w:color w:val="auto"/>
            <w:u w:val="none"/>
            <w:lang w:val="en-GB"/>
          </w:rPr>
          <w:t>https://doi.org/10.55643/fcaptp.1.42.2022.3672</w:t>
        </w:r>
      </w:hyperlink>
    </w:p>
    <w:p w14:paraId="3B6FD293" w14:textId="206BF05C" w:rsidR="00526FC4" w:rsidRPr="00464512" w:rsidRDefault="00526FC4" w:rsidP="00C4684C">
      <w:pPr>
        <w:pStyle w:val="Rlit"/>
        <w:rPr>
          <w:rFonts w:eastAsia="Calibri"/>
          <w:lang w:val="en-GB"/>
        </w:rPr>
      </w:pPr>
      <w:r w:rsidRPr="00464512">
        <w:rPr>
          <w:rFonts w:eastAsia="Calibri"/>
          <w:lang w:val="en-GB"/>
        </w:rPr>
        <w:lastRenderedPageBreak/>
        <w:t>Chikov, I.</w:t>
      </w:r>
      <w:r w:rsidR="00855F01" w:rsidRPr="00464512">
        <w:rPr>
          <w:rFonts w:eastAsia="Calibri"/>
          <w:lang w:val="en-GB"/>
        </w:rPr>
        <w:t xml:space="preserve"> </w:t>
      </w:r>
      <w:r w:rsidRPr="00464512">
        <w:rPr>
          <w:rFonts w:eastAsia="Calibri"/>
          <w:lang w:val="en-GB"/>
        </w:rPr>
        <w:t xml:space="preserve">A., </w:t>
      </w:r>
      <w:proofErr w:type="spellStart"/>
      <w:r w:rsidRPr="00464512">
        <w:rPr>
          <w:rFonts w:eastAsia="Calibri"/>
          <w:lang w:val="en-GB"/>
        </w:rPr>
        <w:t>Koliadenko</w:t>
      </w:r>
      <w:proofErr w:type="spellEnd"/>
      <w:r w:rsidRPr="00464512">
        <w:rPr>
          <w:rFonts w:eastAsia="Calibri"/>
          <w:lang w:val="en-GB"/>
        </w:rPr>
        <w:t>, S.</w:t>
      </w:r>
      <w:r w:rsidR="00855F01" w:rsidRPr="00464512">
        <w:rPr>
          <w:rFonts w:eastAsia="Calibri"/>
          <w:lang w:val="en-GB"/>
        </w:rPr>
        <w:t xml:space="preserve"> </w:t>
      </w:r>
      <w:r w:rsidRPr="00464512">
        <w:rPr>
          <w:rFonts w:eastAsia="Calibri"/>
          <w:lang w:val="en-GB"/>
        </w:rPr>
        <w:t>V., Supryhan, V.</w:t>
      </w:r>
      <w:r w:rsidR="00855F01" w:rsidRPr="00464512">
        <w:rPr>
          <w:rFonts w:eastAsia="Calibri"/>
          <w:lang w:val="en-GB"/>
        </w:rPr>
        <w:t xml:space="preserve"> </w:t>
      </w:r>
      <w:r w:rsidRPr="00464512">
        <w:rPr>
          <w:rFonts w:eastAsia="Calibri"/>
          <w:lang w:val="en-GB"/>
        </w:rPr>
        <w:t xml:space="preserve">A., </w:t>
      </w:r>
      <w:proofErr w:type="spellStart"/>
      <w:r w:rsidRPr="00464512">
        <w:rPr>
          <w:rFonts w:eastAsia="Calibri"/>
          <w:lang w:val="en-GB"/>
        </w:rPr>
        <w:t>Tabenska</w:t>
      </w:r>
      <w:proofErr w:type="spellEnd"/>
      <w:r w:rsidRPr="00464512">
        <w:rPr>
          <w:rFonts w:eastAsia="Calibri"/>
          <w:lang w:val="en-GB"/>
        </w:rPr>
        <w:t>, O.</w:t>
      </w:r>
      <w:r w:rsidR="00855F01" w:rsidRPr="00464512">
        <w:rPr>
          <w:rFonts w:eastAsia="Calibri"/>
          <w:lang w:val="en-GB"/>
        </w:rPr>
        <w:t xml:space="preserve"> </w:t>
      </w:r>
      <w:r w:rsidRPr="00464512">
        <w:rPr>
          <w:rFonts w:eastAsia="Calibri"/>
          <w:lang w:val="en-GB"/>
        </w:rPr>
        <w:t xml:space="preserve">I., </w:t>
      </w:r>
      <w:proofErr w:type="spellStart"/>
      <w:r w:rsidRPr="00464512">
        <w:rPr>
          <w:rFonts w:eastAsia="Calibri"/>
          <w:lang w:val="en-GB"/>
        </w:rPr>
        <w:t>Nitsenko</w:t>
      </w:r>
      <w:proofErr w:type="spellEnd"/>
      <w:r w:rsidRPr="00464512">
        <w:rPr>
          <w:rFonts w:eastAsia="Calibri"/>
          <w:lang w:val="en-GB"/>
        </w:rPr>
        <w:t>, V.</w:t>
      </w:r>
      <w:r w:rsidR="00855F01" w:rsidRPr="00464512">
        <w:rPr>
          <w:rFonts w:eastAsia="Calibri"/>
          <w:lang w:val="en-GB"/>
        </w:rPr>
        <w:t xml:space="preserve"> </w:t>
      </w:r>
      <w:r w:rsidRPr="00464512">
        <w:rPr>
          <w:rFonts w:eastAsia="Calibri"/>
          <w:lang w:val="en-GB"/>
        </w:rPr>
        <w:t>S., &amp; Holinko, O.</w:t>
      </w:r>
      <w:r w:rsidR="00855F01" w:rsidRPr="00464512">
        <w:rPr>
          <w:rFonts w:eastAsia="Calibri"/>
          <w:lang w:val="en-GB"/>
        </w:rPr>
        <w:t xml:space="preserve"> </w:t>
      </w:r>
      <w:r w:rsidRPr="00464512">
        <w:rPr>
          <w:rFonts w:eastAsia="Calibri"/>
          <w:lang w:val="en-GB"/>
        </w:rPr>
        <w:t xml:space="preserve">V. (2023b). Smart contracts and business process automation: the technical aspect. </w:t>
      </w:r>
      <w:proofErr w:type="spellStart"/>
      <w:r w:rsidRPr="00464512">
        <w:rPr>
          <w:rFonts w:eastAsia="Calibri"/>
          <w:i/>
          <w:iCs/>
          <w:lang w:val="en-GB"/>
        </w:rPr>
        <w:t>Naukovyi</w:t>
      </w:r>
      <w:proofErr w:type="spellEnd"/>
      <w:r w:rsidRPr="00464512">
        <w:rPr>
          <w:rFonts w:eastAsia="Calibri"/>
          <w:i/>
          <w:iCs/>
          <w:lang w:val="en-GB"/>
        </w:rPr>
        <w:t xml:space="preserve"> </w:t>
      </w:r>
      <w:proofErr w:type="spellStart"/>
      <w:r w:rsidRPr="00464512">
        <w:rPr>
          <w:rFonts w:eastAsia="Calibri"/>
          <w:i/>
          <w:iCs/>
          <w:lang w:val="en-GB"/>
        </w:rPr>
        <w:t>Visnyk</w:t>
      </w:r>
      <w:proofErr w:type="spellEnd"/>
      <w:r w:rsidRPr="00464512">
        <w:rPr>
          <w:rFonts w:eastAsia="Calibri"/>
          <w:i/>
          <w:iCs/>
          <w:lang w:val="en-GB"/>
        </w:rPr>
        <w:t xml:space="preserve"> </w:t>
      </w:r>
      <w:proofErr w:type="spellStart"/>
      <w:r w:rsidRPr="00464512">
        <w:rPr>
          <w:rFonts w:eastAsia="Calibri"/>
          <w:i/>
          <w:iCs/>
          <w:lang w:val="en-GB"/>
        </w:rPr>
        <w:t>Natsionalnoho</w:t>
      </w:r>
      <w:proofErr w:type="spellEnd"/>
      <w:r w:rsidRPr="00464512">
        <w:rPr>
          <w:rFonts w:eastAsia="Calibri"/>
          <w:i/>
          <w:iCs/>
          <w:lang w:val="en-GB"/>
        </w:rPr>
        <w:t xml:space="preserve"> </w:t>
      </w:r>
      <w:proofErr w:type="spellStart"/>
      <w:r w:rsidRPr="00464512">
        <w:rPr>
          <w:rFonts w:eastAsia="Calibri"/>
          <w:i/>
          <w:iCs/>
          <w:lang w:val="en-GB"/>
        </w:rPr>
        <w:t>Hirnychoho</w:t>
      </w:r>
      <w:proofErr w:type="spellEnd"/>
      <w:r w:rsidRPr="00464512">
        <w:rPr>
          <w:rFonts w:eastAsia="Calibri"/>
          <w:i/>
          <w:iCs/>
          <w:lang w:val="en-GB"/>
        </w:rPr>
        <w:t xml:space="preserve"> </w:t>
      </w:r>
      <w:proofErr w:type="spellStart"/>
      <w:r w:rsidRPr="00464512">
        <w:rPr>
          <w:rFonts w:eastAsia="Calibri"/>
          <w:i/>
          <w:iCs/>
          <w:lang w:val="en-GB"/>
        </w:rPr>
        <w:t>Universytetu</w:t>
      </w:r>
      <w:proofErr w:type="spellEnd"/>
      <w:r w:rsidRPr="00464512">
        <w:rPr>
          <w:rFonts w:eastAsia="Calibri"/>
          <w:lang w:val="en-GB"/>
        </w:rPr>
        <w:t xml:space="preserve">, </w:t>
      </w:r>
      <w:r w:rsidRPr="00464512">
        <w:rPr>
          <w:rFonts w:eastAsia="Calibri"/>
          <w:i/>
          <w:iCs/>
          <w:lang w:val="en-GB"/>
        </w:rPr>
        <w:t>5</w:t>
      </w:r>
      <w:r w:rsidRPr="00464512">
        <w:rPr>
          <w:rFonts w:eastAsia="Calibri"/>
          <w:lang w:val="en-GB"/>
        </w:rPr>
        <w:t xml:space="preserve">, 186-192. </w:t>
      </w:r>
      <w:hyperlink r:id="rId25" w:history="1">
        <w:r w:rsidRPr="00464512">
          <w:rPr>
            <w:rStyle w:val="Hipercze"/>
            <w:rFonts w:eastAsia="Calibri"/>
            <w:color w:val="auto"/>
            <w:u w:val="none"/>
            <w:lang w:val="en-GB"/>
          </w:rPr>
          <w:t>https://doi.org/10.33271/nvngu/2023-5/186</w:t>
        </w:r>
      </w:hyperlink>
    </w:p>
    <w:p w14:paraId="4BEE2CBD" w14:textId="0D625E5D" w:rsidR="00526FC4" w:rsidRPr="00464512" w:rsidRDefault="00526FC4" w:rsidP="00C4684C">
      <w:pPr>
        <w:pStyle w:val="Rlit"/>
        <w:rPr>
          <w:lang w:val="en-GB"/>
        </w:rPr>
      </w:pPr>
      <w:r w:rsidRPr="00464512">
        <w:rPr>
          <w:shd w:val="clear" w:color="auto" w:fill="FFFFFF"/>
          <w:lang w:val="en-GB"/>
        </w:rPr>
        <w:t xml:space="preserve">Davydenko, N., Titenko, Z., Buriak, A., &amp; </w:t>
      </w:r>
      <w:proofErr w:type="spellStart"/>
      <w:r w:rsidRPr="00464512">
        <w:rPr>
          <w:shd w:val="clear" w:color="auto" w:fill="FFFFFF"/>
          <w:lang w:val="en-GB"/>
        </w:rPr>
        <w:t>Polova</w:t>
      </w:r>
      <w:proofErr w:type="spellEnd"/>
      <w:r w:rsidRPr="00464512">
        <w:rPr>
          <w:shd w:val="clear" w:color="auto" w:fill="FFFFFF"/>
          <w:lang w:val="en-GB"/>
        </w:rPr>
        <w:t xml:space="preserve">, O. (2021). The impact of climate change on the investment attractiveness of agricultural enterprises. </w:t>
      </w:r>
      <w:r w:rsidRPr="00464512">
        <w:rPr>
          <w:i/>
          <w:iCs/>
          <w:shd w:val="clear" w:color="auto" w:fill="FFFFFF"/>
          <w:lang w:val="en-GB"/>
        </w:rPr>
        <w:t>IOP Conference Series: Earth and Environmental Science</w:t>
      </w:r>
      <w:r w:rsidRPr="00464512">
        <w:rPr>
          <w:shd w:val="clear" w:color="auto" w:fill="FFFFFF"/>
          <w:lang w:val="en-GB"/>
        </w:rPr>
        <w:t xml:space="preserve">, </w:t>
      </w:r>
      <w:r w:rsidRPr="00464512">
        <w:rPr>
          <w:i/>
          <w:iCs/>
          <w:shd w:val="clear" w:color="auto" w:fill="FFFFFF"/>
          <w:lang w:val="en-GB"/>
        </w:rPr>
        <w:t>915</w:t>
      </w:r>
      <w:r w:rsidR="00F112EA" w:rsidRPr="00464512">
        <w:rPr>
          <w:shd w:val="clear" w:color="auto" w:fill="FFFFFF"/>
          <w:lang w:val="en-GB"/>
        </w:rPr>
        <w:t>(</w:t>
      </w:r>
      <w:r w:rsidRPr="00464512">
        <w:rPr>
          <w:shd w:val="clear" w:color="auto" w:fill="FFFFFF"/>
          <w:lang w:val="en-GB"/>
        </w:rPr>
        <w:t>1</w:t>
      </w:r>
      <w:r w:rsidR="00F112EA" w:rsidRPr="00464512">
        <w:rPr>
          <w:shd w:val="clear" w:color="auto" w:fill="FFFFFF"/>
          <w:lang w:val="en-GB"/>
        </w:rPr>
        <w:t>)</w:t>
      </w:r>
      <w:r w:rsidRPr="00464512">
        <w:rPr>
          <w:shd w:val="clear" w:color="auto" w:fill="FFFFFF"/>
          <w:lang w:val="en-GB"/>
        </w:rPr>
        <w:t xml:space="preserve">, 1-9. </w:t>
      </w:r>
      <w:hyperlink r:id="rId26" w:history="1">
        <w:r w:rsidRPr="00464512">
          <w:rPr>
            <w:rStyle w:val="Hipercze"/>
            <w:color w:val="auto"/>
            <w:u w:val="none"/>
            <w:lang w:val="en-GB"/>
          </w:rPr>
          <w:t>https://doi.org/10.1088/1755-1315/915/1/012016</w:t>
        </w:r>
      </w:hyperlink>
    </w:p>
    <w:p w14:paraId="0B37389D" w14:textId="11CAC13F" w:rsidR="00526FC4" w:rsidRPr="00464512" w:rsidRDefault="00526FC4" w:rsidP="00C4684C">
      <w:pPr>
        <w:pStyle w:val="Rlit"/>
        <w:rPr>
          <w:lang w:val="en-GB"/>
        </w:rPr>
      </w:pPr>
      <w:r w:rsidRPr="00464512">
        <w:rPr>
          <w:lang w:val="en-GB"/>
        </w:rPr>
        <w:t xml:space="preserve">Denysiuk, O., </w:t>
      </w:r>
      <w:proofErr w:type="spellStart"/>
      <w:r w:rsidRPr="00464512">
        <w:rPr>
          <w:lang w:val="en-GB"/>
        </w:rPr>
        <w:t>Svitlyshyn</w:t>
      </w:r>
      <w:proofErr w:type="spellEnd"/>
      <w:r w:rsidRPr="00464512">
        <w:rPr>
          <w:lang w:val="en-GB"/>
        </w:rPr>
        <w:t xml:space="preserve">, I., </w:t>
      </w:r>
      <w:proofErr w:type="spellStart"/>
      <w:r w:rsidRPr="00464512">
        <w:rPr>
          <w:lang w:val="en-GB"/>
        </w:rPr>
        <w:t>Tsaruk</w:t>
      </w:r>
      <w:proofErr w:type="spellEnd"/>
      <w:r w:rsidRPr="00464512">
        <w:rPr>
          <w:lang w:val="en-GB"/>
        </w:rPr>
        <w:t xml:space="preserve">, I., </w:t>
      </w:r>
      <w:proofErr w:type="spellStart"/>
      <w:r w:rsidRPr="00464512">
        <w:rPr>
          <w:lang w:val="en-GB"/>
        </w:rPr>
        <w:t>Vikarchuk</w:t>
      </w:r>
      <w:proofErr w:type="spellEnd"/>
      <w:r w:rsidRPr="00464512">
        <w:rPr>
          <w:lang w:val="en-GB"/>
        </w:rPr>
        <w:t xml:space="preserve">, O., &amp; </w:t>
      </w:r>
      <w:proofErr w:type="spellStart"/>
      <w:r w:rsidRPr="00464512">
        <w:rPr>
          <w:lang w:val="en-GB"/>
        </w:rPr>
        <w:t>Dankevych</w:t>
      </w:r>
      <w:proofErr w:type="spellEnd"/>
      <w:r w:rsidRPr="00464512">
        <w:rPr>
          <w:lang w:val="en-GB"/>
        </w:rPr>
        <w:t xml:space="preserve"> A. (2022). Diversification in the enterprises' activities for sustainable development in the agricultural sector. </w:t>
      </w:r>
      <w:r w:rsidRPr="00464512">
        <w:rPr>
          <w:i/>
          <w:iCs/>
          <w:lang w:val="en-GB"/>
        </w:rPr>
        <w:t xml:space="preserve">Rivista di </w:t>
      </w:r>
      <w:proofErr w:type="spellStart"/>
      <w:r w:rsidRPr="00464512">
        <w:rPr>
          <w:i/>
          <w:iCs/>
          <w:lang w:val="en-GB"/>
        </w:rPr>
        <w:t>studi</w:t>
      </w:r>
      <w:proofErr w:type="spellEnd"/>
      <w:r w:rsidRPr="00464512">
        <w:rPr>
          <w:i/>
          <w:iCs/>
          <w:lang w:val="en-GB"/>
        </w:rPr>
        <w:t xml:space="preserve"> </w:t>
      </w:r>
      <w:proofErr w:type="spellStart"/>
      <w:r w:rsidRPr="00464512">
        <w:rPr>
          <w:i/>
          <w:iCs/>
          <w:lang w:val="en-GB"/>
        </w:rPr>
        <w:t>sulla</w:t>
      </w:r>
      <w:proofErr w:type="spellEnd"/>
      <w:r w:rsidRPr="00464512">
        <w:rPr>
          <w:i/>
          <w:iCs/>
          <w:lang w:val="en-GB"/>
        </w:rPr>
        <w:t xml:space="preserve"> </w:t>
      </w:r>
      <w:proofErr w:type="spellStart"/>
      <w:r w:rsidRPr="00464512">
        <w:rPr>
          <w:i/>
          <w:iCs/>
          <w:lang w:val="en-GB"/>
        </w:rPr>
        <w:t>sostenibilita</w:t>
      </w:r>
      <w:proofErr w:type="spellEnd"/>
      <w:r w:rsidRPr="00464512">
        <w:rPr>
          <w:lang w:val="en-GB"/>
        </w:rPr>
        <w:t xml:space="preserve">, </w:t>
      </w:r>
      <w:r w:rsidRPr="00464512">
        <w:rPr>
          <w:i/>
          <w:iCs/>
          <w:lang w:val="en-GB"/>
        </w:rPr>
        <w:t>XII</w:t>
      </w:r>
      <w:r w:rsidRPr="00464512">
        <w:rPr>
          <w:lang w:val="en-GB"/>
        </w:rPr>
        <w:t xml:space="preserve">(2), 85-102. </w:t>
      </w:r>
      <w:hyperlink r:id="rId27" w:history="1">
        <w:r w:rsidRPr="00464512">
          <w:rPr>
            <w:rStyle w:val="Hipercze"/>
            <w:color w:val="auto"/>
            <w:u w:val="none"/>
            <w:lang w:val="en-GB"/>
          </w:rPr>
          <w:t>https://doi.org/10.3280/RISS2022-002007</w:t>
        </w:r>
      </w:hyperlink>
    </w:p>
    <w:p w14:paraId="60838C5D" w14:textId="77777777" w:rsidR="00526FC4" w:rsidRPr="00464512" w:rsidRDefault="00526FC4" w:rsidP="00C4684C">
      <w:pPr>
        <w:pStyle w:val="Rlit"/>
        <w:rPr>
          <w:lang w:val="en-GB"/>
        </w:rPr>
      </w:pPr>
      <w:r w:rsidRPr="00464512">
        <w:rPr>
          <w:lang w:val="en-GB"/>
        </w:rPr>
        <w:t xml:space="preserve">Dorosh, Y., </w:t>
      </w:r>
      <w:proofErr w:type="spellStart"/>
      <w:r w:rsidRPr="00464512">
        <w:rPr>
          <w:lang w:val="en-GB"/>
        </w:rPr>
        <w:t>Bratinova</w:t>
      </w:r>
      <w:proofErr w:type="spellEnd"/>
      <w:r w:rsidRPr="00464512">
        <w:rPr>
          <w:lang w:val="en-GB"/>
        </w:rPr>
        <w:t xml:space="preserve">, M., &amp; Myronov, O. (2024). Formation of land capital in economic science: lessons for Ukraine. </w:t>
      </w:r>
      <w:r w:rsidRPr="00464512">
        <w:rPr>
          <w:i/>
          <w:iCs/>
          <w:lang w:val="en-GB"/>
        </w:rPr>
        <w:t>Land management, cadastre and land monitoring</w:t>
      </w:r>
      <w:r w:rsidRPr="00464512">
        <w:rPr>
          <w:lang w:val="en-GB"/>
        </w:rPr>
        <w:t xml:space="preserve">, </w:t>
      </w:r>
      <w:r w:rsidRPr="00464512">
        <w:rPr>
          <w:i/>
          <w:iCs/>
          <w:lang w:val="en-GB"/>
        </w:rPr>
        <w:t>2</w:t>
      </w:r>
      <w:r w:rsidRPr="00464512">
        <w:rPr>
          <w:lang w:val="en-GB"/>
        </w:rPr>
        <w:t xml:space="preserve">, 6-17. </w:t>
      </w:r>
      <w:hyperlink r:id="rId28" w:history="1">
        <w:r w:rsidRPr="00464512">
          <w:rPr>
            <w:rStyle w:val="Hipercze"/>
            <w:color w:val="auto"/>
            <w:u w:val="none"/>
            <w:lang w:val="en-GB"/>
          </w:rPr>
          <w:t>https://doi.org/10.31548/zemleustriy2024.02.01</w:t>
        </w:r>
      </w:hyperlink>
    </w:p>
    <w:p w14:paraId="31ACC7DE" w14:textId="2A644EDA" w:rsidR="00526FC4" w:rsidRPr="00464512" w:rsidRDefault="00526FC4" w:rsidP="00C4684C">
      <w:pPr>
        <w:pStyle w:val="Rlit"/>
        <w:rPr>
          <w:rFonts w:eastAsia="Calibri"/>
          <w:lang w:val="en-GB"/>
        </w:rPr>
      </w:pPr>
      <w:r w:rsidRPr="00464512">
        <w:rPr>
          <w:rFonts w:eastAsia="Calibri"/>
          <w:lang w:val="en-GB"/>
        </w:rPr>
        <w:t xml:space="preserve">Dotsiuk, S., Chikov, I., Shevchenko, O., Nitsenko, V., Gerasymchuk, N., &amp; </w:t>
      </w:r>
      <w:proofErr w:type="spellStart"/>
      <w:r w:rsidRPr="00464512">
        <w:rPr>
          <w:rFonts w:eastAsia="Calibri"/>
          <w:lang w:val="en-GB"/>
        </w:rPr>
        <w:t>Demydova</w:t>
      </w:r>
      <w:proofErr w:type="spellEnd"/>
      <w:r w:rsidRPr="00464512">
        <w:rPr>
          <w:rFonts w:eastAsia="Calibri"/>
          <w:lang w:val="en-GB"/>
        </w:rPr>
        <w:t xml:space="preserve">, M. (2024). Evaluation of the institutional development of innovative activities to ensure the economy of the state. </w:t>
      </w:r>
      <w:proofErr w:type="spellStart"/>
      <w:r w:rsidRPr="00464512">
        <w:rPr>
          <w:rFonts w:eastAsia="Calibri"/>
          <w:i/>
          <w:iCs/>
          <w:lang w:val="en-GB"/>
        </w:rPr>
        <w:t>Naukovyi</w:t>
      </w:r>
      <w:proofErr w:type="spellEnd"/>
      <w:r w:rsidRPr="00464512">
        <w:rPr>
          <w:rFonts w:eastAsia="Calibri"/>
          <w:i/>
          <w:iCs/>
          <w:lang w:val="en-GB"/>
        </w:rPr>
        <w:t xml:space="preserve"> </w:t>
      </w:r>
      <w:proofErr w:type="spellStart"/>
      <w:r w:rsidRPr="00464512">
        <w:rPr>
          <w:rFonts w:eastAsia="Calibri"/>
          <w:i/>
          <w:iCs/>
          <w:lang w:val="en-GB"/>
        </w:rPr>
        <w:t>Visnyk</w:t>
      </w:r>
      <w:proofErr w:type="spellEnd"/>
      <w:r w:rsidRPr="00464512">
        <w:rPr>
          <w:rFonts w:eastAsia="Calibri"/>
          <w:i/>
          <w:iCs/>
          <w:lang w:val="en-GB"/>
        </w:rPr>
        <w:t xml:space="preserve"> </w:t>
      </w:r>
      <w:proofErr w:type="spellStart"/>
      <w:r w:rsidRPr="00464512">
        <w:rPr>
          <w:rFonts w:eastAsia="Calibri"/>
          <w:i/>
          <w:iCs/>
          <w:lang w:val="en-GB"/>
        </w:rPr>
        <w:t>Natsionalnoho</w:t>
      </w:r>
      <w:proofErr w:type="spellEnd"/>
      <w:r w:rsidRPr="00464512">
        <w:rPr>
          <w:rFonts w:eastAsia="Calibri"/>
          <w:i/>
          <w:iCs/>
          <w:lang w:val="en-GB"/>
        </w:rPr>
        <w:t xml:space="preserve"> </w:t>
      </w:r>
      <w:proofErr w:type="spellStart"/>
      <w:r w:rsidRPr="00464512">
        <w:rPr>
          <w:rFonts w:eastAsia="Calibri"/>
          <w:i/>
          <w:iCs/>
          <w:lang w:val="en-GB"/>
        </w:rPr>
        <w:t>Hirnychoho</w:t>
      </w:r>
      <w:proofErr w:type="spellEnd"/>
      <w:r w:rsidRPr="00464512">
        <w:rPr>
          <w:rFonts w:eastAsia="Calibri"/>
          <w:i/>
          <w:iCs/>
          <w:lang w:val="en-GB"/>
        </w:rPr>
        <w:t xml:space="preserve"> </w:t>
      </w:r>
      <w:proofErr w:type="spellStart"/>
      <w:r w:rsidRPr="00464512">
        <w:rPr>
          <w:rFonts w:eastAsia="Calibri"/>
          <w:i/>
          <w:iCs/>
          <w:lang w:val="en-GB"/>
        </w:rPr>
        <w:t>Universytetu</w:t>
      </w:r>
      <w:proofErr w:type="spellEnd"/>
      <w:r w:rsidRPr="00464512">
        <w:rPr>
          <w:rFonts w:eastAsia="Calibri"/>
          <w:lang w:val="en-GB"/>
        </w:rPr>
        <w:t xml:space="preserve">, </w:t>
      </w:r>
      <w:r w:rsidRPr="00464512">
        <w:rPr>
          <w:rFonts w:eastAsia="Calibri"/>
          <w:i/>
          <w:iCs/>
          <w:lang w:val="en-GB"/>
        </w:rPr>
        <w:t>3</w:t>
      </w:r>
      <w:r w:rsidRPr="00464512">
        <w:rPr>
          <w:rFonts w:eastAsia="Calibri"/>
          <w:lang w:val="en-GB"/>
        </w:rPr>
        <w:t xml:space="preserve">, 171-180. </w:t>
      </w:r>
      <w:hyperlink r:id="rId29" w:history="1">
        <w:r w:rsidRPr="00464512">
          <w:rPr>
            <w:rStyle w:val="Hipercze"/>
            <w:rFonts w:eastAsia="Calibri"/>
            <w:color w:val="auto"/>
            <w:u w:val="none"/>
            <w:lang w:val="en-GB"/>
          </w:rPr>
          <w:t>https://doi.org/10.33271/nvngu/2024-3/171</w:t>
        </w:r>
      </w:hyperlink>
    </w:p>
    <w:p w14:paraId="4C7C61B2" w14:textId="67F0B8E2" w:rsidR="00526FC4" w:rsidRPr="00464512" w:rsidRDefault="00526FC4" w:rsidP="00C4684C">
      <w:pPr>
        <w:pStyle w:val="Rlit"/>
        <w:rPr>
          <w:lang w:val="en-GB"/>
        </w:rPr>
      </w:pPr>
      <w:r w:rsidRPr="00464512">
        <w:rPr>
          <w:lang w:val="en-GB"/>
        </w:rPr>
        <w:t>Farrell, M.</w:t>
      </w:r>
      <w:r w:rsidR="00855F01" w:rsidRPr="00464512">
        <w:rPr>
          <w:lang w:val="en-GB"/>
        </w:rPr>
        <w:t xml:space="preserve"> </w:t>
      </w:r>
      <w:r w:rsidRPr="00464512">
        <w:rPr>
          <w:lang w:val="en-GB"/>
        </w:rPr>
        <w:t xml:space="preserve">J. (1957). The Measurement of Productive Efficiency. </w:t>
      </w:r>
      <w:r w:rsidRPr="00464512">
        <w:rPr>
          <w:i/>
          <w:iCs/>
          <w:lang w:val="en-GB"/>
        </w:rPr>
        <w:t>Journal of Royal Statistical Society</w:t>
      </w:r>
      <w:r w:rsidRPr="00464512">
        <w:rPr>
          <w:lang w:val="en-GB"/>
        </w:rPr>
        <w:t xml:space="preserve">, </w:t>
      </w:r>
      <w:r w:rsidRPr="00464512">
        <w:rPr>
          <w:i/>
          <w:iCs/>
          <w:lang w:val="en-GB"/>
        </w:rPr>
        <w:t>120</w:t>
      </w:r>
      <w:r w:rsidRPr="00464512">
        <w:rPr>
          <w:lang w:val="en-GB"/>
        </w:rPr>
        <w:t xml:space="preserve">, 253-281. </w:t>
      </w:r>
      <w:hyperlink r:id="rId30" w:history="1">
        <w:r w:rsidRPr="00464512">
          <w:rPr>
            <w:rStyle w:val="Hipercze"/>
            <w:color w:val="auto"/>
            <w:u w:val="none"/>
            <w:lang w:val="en-GB"/>
          </w:rPr>
          <w:t>http://dx.doi.org/10.2307/2343100</w:t>
        </w:r>
      </w:hyperlink>
    </w:p>
    <w:p w14:paraId="5ABCBF88" w14:textId="4DB1850B" w:rsidR="00526FC4" w:rsidRPr="00464512" w:rsidRDefault="00526FC4" w:rsidP="00C4684C">
      <w:pPr>
        <w:pStyle w:val="Rlit"/>
        <w:rPr>
          <w:rFonts w:eastAsia="Calibri"/>
          <w:lang w:val="en-GB"/>
        </w:rPr>
      </w:pPr>
      <w:r w:rsidRPr="00464512">
        <w:rPr>
          <w:rFonts w:eastAsia="Calibri"/>
          <w:lang w:val="en-GB"/>
        </w:rPr>
        <w:t xml:space="preserve">Honcharuk, I., </w:t>
      </w:r>
      <w:proofErr w:type="spellStart"/>
      <w:r w:rsidRPr="00464512">
        <w:rPr>
          <w:rFonts w:eastAsia="Calibri"/>
          <w:lang w:val="en-GB"/>
        </w:rPr>
        <w:t>Tokarchuk</w:t>
      </w:r>
      <w:proofErr w:type="spellEnd"/>
      <w:r w:rsidRPr="00464512">
        <w:rPr>
          <w:rFonts w:eastAsia="Calibri"/>
          <w:lang w:val="en-GB"/>
        </w:rPr>
        <w:t xml:space="preserve">, D., </w:t>
      </w:r>
      <w:proofErr w:type="spellStart"/>
      <w:r w:rsidRPr="00464512">
        <w:rPr>
          <w:rFonts w:eastAsia="Calibri"/>
          <w:lang w:val="en-GB"/>
        </w:rPr>
        <w:t>Gontaruk</w:t>
      </w:r>
      <w:proofErr w:type="spellEnd"/>
      <w:r w:rsidRPr="00464512">
        <w:rPr>
          <w:rFonts w:eastAsia="Calibri"/>
          <w:lang w:val="en-GB"/>
        </w:rPr>
        <w:t xml:space="preserve">, Y., &amp; </w:t>
      </w:r>
      <w:proofErr w:type="spellStart"/>
      <w:r w:rsidRPr="00464512">
        <w:rPr>
          <w:rFonts w:eastAsia="Calibri"/>
          <w:lang w:val="en-GB"/>
        </w:rPr>
        <w:t>Kolomiiets</w:t>
      </w:r>
      <w:proofErr w:type="spellEnd"/>
      <w:r w:rsidRPr="00464512">
        <w:rPr>
          <w:rFonts w:eastAsia="Calibri"/>
          <w:lang w:val="en-GB"/>
        </w:rPr>
        <w:t>, T. (2024). Production and Use of Biogas and Biomethane from</w:t>
      </w:r>
      <w:r w:rsidR="00F112EA" w:rsidRPr="00464512">
        <w:rPr>
          <w:rFonts w:eastAsia="Calibri"/>
          <w:lang w:val="en-GB"/>
        </w:rPr>
        <w:t> </w:t>
      </w:r>
      <w:r w:rsidRPr="00464512">
        <w:rPr>
          <w:rFonts w:eastAsia="Calibri"/>
          <w:lang w:val="en-GB"/>
        </w:rPr>
        <w:t xml:space="preserve">Waste for Climate Neutrality and Development of Green Economy. </w:t>
      </w:r>
      <w:r w:rsidRPr="00464512">
        <w:rPr>
          <w:rFonts w:eastAsia="Calibri"/>
          <w:i/>
          <w:iCs/>
          <w:lang w:val="en-GB"/>
        </w:rPr>
        <w:t>Journal of Ecological Engineering</w:t>
      </w:r>
      <w:r w:rsidRPr="00464512">
        <w:rPr>
          <w:rFonts w:eastAsia="Calibri"/>
          <w:lang w:val="en-GB"/>
        </w:rPr>
        <w:t xml:space="preserve">, </w:t>
      </w:r>
      <w:r w:rsidRPr="00464512">
        <w:rPr>
          <w:rFonts w:eastAsia="Calibri"/>
          <w:i/>
          <w:iCs/>
          <w:lang w:val="en-GB"/>
        </w:rPr>
        <w:t>25</w:t>
      </w:r>
      <w:r w:rsidRPr="00464512">
        <w:rPr>
          <w:rFonts w:eastAsia="Calibri"/>
          <w:lang w:val="en-GB"/>
        </w:rPr>
        <w:t xml:space="preserve">(2), 20-32. </w:t>
      </w:r>
      <w:hyperlink r:id="rId31" w:history="1">
        <w:r w:rsidRPr="00464512">
          <w:rPr>
            <w:rStyle w:val="Hipercze"/>
            <w:rFonts w:eastAsia="Calibri"/>
            <w:color w:val="auto"/>
            <w:u w:val="none"/>
            <w:lang w:val="en-GB"/>
          </w:rPr>
          <w:t>https://doi.org/10.12911/22998993/175876</w:t>
        </w:r>
      </w:hyperlink>
    </w:p>
    <w:p w14:paraId="160CA464" w14:textId="2E49CF43" w:rsidR="00526FC4" w:rsidRPr="00464512" w:rsidRDefault="00526FC4" w:rsidP="00C4684C">
      <w:pPr>
        <w:pStyle w:val="Rlit"/>
        <w:rPr>
          <w:rFonts w:eastAsia="Calibri"/>
          <w:lang w:val="en-GB"/>
        </w:rPr>
      </w:pPr>
      <w:r w:rsidRPr="00464512">
        <w:rPr>
          <w:rFonts w:eastAsia="Calibri"/>
          <w:lang w:val="en-GB"/>
        </w:rPr>
        <w:t xml:space="preserve">Honcharuk, І., &amp; </w:t>
      </w:r>
      <w:proofErr w:type="spellStart"/>
      <w:r w:rsidRPr="00464512">
        <w:rPr>
          <w:rFonts w:eastAsia="Calibri"/>
          <w:lang w:val="en-GB"/>
        </w:rPr>
        <w:t>Tokarchuk</w:t>
      </w:r>
      <w:proofErr w:type="spellEnd"/>
      <w:r w:rsidRPr="00464512">
        <w:rPr>
          <w:rFonts w:eastAsia="Calibri"/>
          <w:lang w:val="en-GB"/>
        </w:rPr>
        <w:t xml:space="preserve">, D. (2024). Review of the European experience of AIC development and the role of green technologies in the modernisation of this process. </w:t>
      </w:r>
      <w:r w:rsidRPr="00464512">
        <w:rPr>
          <w:rFonts w:eastAsia="Calibri"/>
          <w:i/>
          <w:iCs/>
          <w:lang w:val="en-GB"/>
        </w:rPr>
        <w:t>Baltic Journal of Economic Studies</w:t>
      </w:r>
      <w:r w:rsidRPr="00464512">
        <w:rPr>
          <w:rFonts w:eastAsia="Calibri"/>
          <w:lang w:val="en-GB"/>
        </w:rPr>
        <w:t xml:space="preserve">, </w:t>
      </w:r>
      <w:r w:rsidRPr="00464512">
        <w:rPr>
          <w:rFonts w:eastAsia="Calibri"/>
          <w:i/>
          <w:iCs/>
          <w:lang w:val="en-GB"/>
        </w:rPr>
        <w:t>10</w:t>
      </w:r>
      <w:r w:rsidRPr="00464512">
        <w:rPr>
          <w:rFonts w:eastAsia="Calibri"/>
          <w:lang w:val="en-GB"/>
        </w:rPr>
        <w:t xml:space="preserve">(5), 155-165. </w:t>
      </w:r>
      <w:hyperlink r:id="rId32" w:history="1">
        <w:r w:rsidRPr="00464512">
          <w:rPr>
            <w:rStyle w:val="Hipercze"/>
            <w:rFonts w:eastAsia="Calibri"/>
            <w:color w:val="auto"/>
            <w:u w:val="none"/>
            <w:lang w:val="en-GB"/>
          </w:rPr>
          <w:t>https://doi.org/10.30525/2256-0742/2024-10-5-155-165</w:t>
        </w:r>
      </w:hyperlink>
    </w:p>
    <w:p w14:paraId="7E0B5DF3" w14:textId="1EDAD332" w:rsidR="00526FC4" w:rsidRPr="00464512" w:rsidRDefault="00526FC4" w:rsidP="00C4684C">
      <w:pPr>
        <w:pStyle w:val="Rlit"/>
        <w:rPr>
          <w:lang w:val="en-GB"/>
        </w:rPr>
      </w:pPr>
      <w:r w:rsidRPr="00464512">
        <w:rPr>
          <w:lang w:val="en-GB"/>
        </w:rPr>
        <w:t xml:space="preserve">Hutorov, A., Lupenko, Y., </w:t>
      </w:r>
      <w:proofErr w:type="spellStart"/>
      <w:r w:rsidRPr="00464512">
        <w:rPr>
          <w:lang w:val="en-GB"/>
        </w:rPr>
        <w:t>Sherstiuk</w:t>
      </w:r>
      <w:proofErr w:type="spellEnd"/>
      <w:r w:rsidRPr="00464512">
        <w:rPr>
          <w:lang w:val="en-GB"/>
        </w:rPr>
        <w:t xml:space="preserve">, S., Ponomarenko, Y., </w:t>
      </w:r>
      <w:proofErr w:type="spellStart"/>
      <w:r w:rsidRPr="00464512">
        <w:rPr>
          <w:lang w:val="en-GB"/>
        </w:rPr>
        <w:t>Hutorova</w:t>
      </w:r>
      <w:proofErr w:type="spellEnd"/>
      <w:r w:rsidRPr="00464512">
        <w:rPr>
          <w:lang w:val="en-GB"/>
        </w:rPr>
        <w:t xml:space="preserve">, O., &amp; </w:t>
      </w:r>
      <w:proofErr w:type="spellStart"/>
      <w:r w:rsidRPr="00464512">
        <w:rPr>
          <w:lang w:val="en-GB"/>
        </w:rPr>
        <w:t>Yermolenko</w:t>
      </w:r>
      <w:proofErr w:type="spellEnd"/>
      <w:r w:rsidRPr="00464512">
        <w:rPr>
          <w:lang w:val="en-GB"/>
        </w:rPr>
        <w:t xml:space="preserve">, O. (2021). Innovative Potential of the Agrarian Sector of Ukraine: Forming and Efficiency of Realization. </w:t>
      </w:r>
      <w:r w:rsidRPr="00464512">
        <w:rPr>
          <w:i/>
          <w:iCs/>
          <w:lang w:val="en-GB"/>
        </w:rPr>
        <w:t>TEM Journal</w:t>
      </w:r>
      <w:r w:rsidRPr="00464512">
        <w:rPr>
          <w:lang w:val="en-GB"/>
        </w:rPr>
        <w:t xml:space="preserve">, </w:t>
      </w:r>
      <w:r w:rsidRPr="00464512">
        <w:rPr>
          <w:i/>
          <w:iCs/>
          <w:lang w:val="en-GB"/>
        </w:rPr>
        <w:t>10</w:t>
      </w:r>
      <w:r w:rsidRPr="00464512">
        <w:rPr>
          <w:lang w:val="en-GB"/>
        </w:rPr>
        <w:t>(3), 1228</w:t>
      </w:r>
      <w:r w:rsidR="00F112EA" w:rsidRPr="00464512">
        <w:rPr>
          <w:lang w:val="en-GB"/>
        </w:rPr>
        <w:t>-</w:t>
      </w:r>
      <w:r w:rsidRPr="00464512">
        <w:rPr>
          <w:lang w:val="en-GB"/>
        </w:rPr>
        <w:t xml:space="preserve">1238. </w:t>
      </w:r>
      <w:hyperlink r:id="rId33" w:history="1">
        <w:r w:rsidRPr="00464512">
          <w:rPr>
            <w:rStyle w:val="Hipercze"/>
            <w:color w:val="auto"/>
            <w:u w:val="none"/>
            <w:lang w:val="en-GB"/>
          </w:rPr>
          <w:t>https://doi.org/10.18421/tem103-29</w:t>
        </w:r>
      </w:hyperlink>
    </w:p>
    <w:p w14:paraId="15203A60" w14:textId="77777777" w:rsidR="00526FC4" w:rsidRPr="00464512" w:rsidRDefault="00526FC4" w:rsidP="00C4684C">
      <w:pPr>
        <w:pStyle w:val="Rlit"/>
        <w:rPr>
          <w:lang w:val="en-GB"/>
        </w:rPr>
      </w:pPr>
      <w:r w:rsidRPr="00464512">
        <w:rPr>
          <w:lang w:val="en-GB"/>
        </w:rPr>
        <w:t xml:space="preserve">Jia, X. (2024). Legal Framework for Coordinated Development of International Trade and Ecological Protection. </w:t>
      </w:r>
      <w:r w:rsidRPr="00464512">
        <w:rPr>
          <w:i/>
          <w:iCs/>
          <w:lang w:val="en-GB"/>
        </w:rPr>
        <w:t>Future Human Image</w:t>
      </w:r>
      <w:r w:rsidRPr="00464512">
        <w:rPr>
          <w:lang w:val="en-GB"/>
        </w:rPr>
        <w:t xml:space="preserve">, </w:t>
      </w:r>
      <w:r w:rsidRPr="00464512">
        <w:rPr>
          <w:i/>
          <w:iCs/>
          <w:lang w:val="en-GB"/>
        </w:rPr>
        <w:t>21</w:t>
      </w:r>
      <w:r w:rsidRPr="00464512">
        <w:rPr>
          <w:lang w:val="en-GB"/>
        </w:rPr>
        <w:t xml:space="preserve">, 16-24. </w:t>
      </w:r>
      <w:hyperlink r:id="rId34" w:history="1">
        <w:r w:rsidRPr="00464512">
          <w:rPr>
            <w:rStyle w:val="Hipercze"/>
            <w:color w:val="auto"/>
            <w:u w:val="none"/>
            <w:lang w:val="en-GB"/>
          </w:rPr>
          <w:t>https://doi.org/10.29202/fhi/21/2</w:t>
        </w:r>
      </w:hyperlink>
    </w:p>
    <w:p w14:paraId="106C3B89" w14:textId="4BE4EB85" w:rsidR="00526FC4" w:rsidRPr="00464512" w:rsidRDefault="00526FC4" w:rsidP="00C4684C">
      <w:pPr>
        <w:pStyle w:val="Rlit"/>
        <w:rPr>
          <w:rFonts w:eastAsia="Calibri"/>
          <w:lang w:val="en-GB"/>
        </w:rPr>
      </w:pPr>
      <w:proofErr w:type="spellStart"/>
      <w:r w:rsidRPr="00464512">
        <w:rPr>
          <w:lang w:val="en-GB"/>
        </w:rPr>
        <w:t>Kaletnik</w:t>
      </w:r>
      <w:proofErr w:type="spellEnd"/>
      <w:r w:rsidRPr="00464512">
        <w:rPr>
          <w:lang w:val="en-GB"/>
        </w:rPr>
        <w:t xml:space="preserve">, G., &amp; </w:t>
      </w:r>
      <w:proofErr w:type="spellStart"/>
      <w:r w:rsidRPr="00464512">
        <w:rPr>
          <w:lang w:val="en-GB"/>
        </w:rPr>
        <w:t>Lutkovska</w:t>
      </w:r>
      <w:proofErr w:type="spellEnd"/>
      <w:r w:rsidRPr="00464512">
        <w:rPr>
          <w:lang w:val="en-GB"/>
        </w:rPr>
        <w:t xml:space="preserve">, S. (2020). Innovative environmental strategy for sustainable development. </w:t>
      </w:r>
      <w:r w:rsidRPr="00464512">
        <w:rPr>
          <w:i/>
          <w:iCs/>
          <w:lang w:val="en-GB"/>
        </w:rPr>
        <w:t>European Journal of Sustainable Development</w:t>
      </w:r>
      <w:r w:rsidRPr="00464512">
        <w:rPr>
          <w:lang w:val="en-GB"/>
        </w:rPr>
        <w:t xml:space="preserve">, </w:t>
      </w:r>
      <w:r w:rsidRPr="00464512">
        <w:rPr>
          <w:i/>
          <w:iCs/>
          <w:lang w:val="en-GB"/>
        </w:rPr>
        <w:t>9</w:t>
      </w:r>
      <w:r w:rsidRPr="00464512">
        <w:rPr>
          <w:lang w:val="en-GB"/>
        </w:rPr>
        <w:t xml:space="preserve">(2), 89-98. </w:t>
      </w:r>
      <w:hyperlink r:id="rId35" w:tgtFrame="_new" w:history="1">
        <w:r w:rsidRPr="00464512">
          <w:rPr>
            <w:lang w:val="en-GB"/>
          </w:rPr>
          <w:t>https://doi.org/10.14207/ejsd.2020.v9n2p89</w:t>
        </w:r>
      </w:hyperlink>
    </w:p>
    <w:p w14:paraId="2334B543" w14:textId="282C3CA9" w:rsidR="00526FC4" w:rsidRPr="00464512" w:rsidRDefault="00526FC4" w:rsidP="00C4684C">
      <w:pPr>
        <w:pStyle w:val="Rlit"/>
        <w:rPr>
          <w:rFonts w:eastAsia="Calibri"/>
          <w:lang w:val="en-GB"/>
        </w:rPr>
      </w:pPr>
      <w:proofErr w:type="spellStart"/>
      <w:r w:rsidRPr="00464512">
        <w:rPr>
          <w:rFonts w:eastAsia="Calibri"/>
          <w:lang w:val="en-GB"/>
        </w:rPr>
        <w:t>Kaletnik</w:t>
      </w:r>
      <w:proofErr w:type="spellEnd"/>
      <w:r w:rsidRPr="00464512">
        <w:rPr>
          <w:rFonts w:eastAsia="Calibri"/>
          <w:lang w:val="en-GB"/>
        </w:rPr>
        <w:t xml:space="preserve">, G., </w:t>
      </w:r>
      <w:r w:rsidRPr="00464512">
        <w:rPr>
          <w:lang w:val="en-GB"/>
        </w:rPr>
        <w:t xml:space="preserve">&amp; </w:t>
      </w:r>
      <w:proofErr w:type="spellStart"/>
      <w:r w:rsidRPr="00464512">
        <w:rPr>
          <w:rFonts w:eastAsia="Calibri"/>
          <w:lang w:val="en-GB"/>
        </w:rPr>
        <w:t>Lutkovska</w:t>
      </w:r>
      <w:proofErr w:type="spellEnd"/>
      <w:r w:rsidRPr="00464512">
        <w:rPr>
          <w:rFonts w:eastAsia="Calibri"/>
          <w:lang w:val="en-GB"/>
        </w:rPr>
        <w:t xml:space="preserve">, S. (2021). Implementation of Public-Private Partnership Models in the Field of Ecological Modernization of the Environmental Safety System. </w:t>
      </w:r>
      <w:r w:rsidRPr="00464512">
        <w:rPr>
          <w:rFonts w:eastAsia="Calibri"/>
          <w:i/>
          <w:iCs/>
          <w:lang w:val="en-GB"/>
        </w:rPr>
        <w:t>European Journal of Sustainable Development</w:t>
      </w:r>
      <w:r w:rsidRPr="00464512">
        <w:rPr>
          <w:rFonts w:eastAsia="Calibri"/>
          <w:lang w:val="en-GB"/>
        </w:rPr>
        <w:t xml:space="preserve">, </w:t>
      </w:r>
      <w:r w:rsidRPr="00464512">
        <w:rPr>
          <w:rFonts w:eastAsia="Calibri"/>
          <w:i/>
          <w:iCs/>
          <w:lang w:val="en-GB"/>
        </w:rPr>
        <w:t>10</w:t>
      </w:r>
      <w:r w:rsidRPr="00464512">
        <w:rPr>
          <w:rFonts w:eastAsia="Calibri"/>
          <w:lang w:val="en-GB"/>
        </w:rPr>
        <w:t xml:space="preserve">(1), 81-89. </w:t>
      </w:r>
      <w:hyperlink r:id="rId36" w:history="1">
        <w:r w:rsidRPr="00464512">
          <w:rPr>
            <w:rStyle w:val="Hipercze"/>
            <w:rFonts w:eastAsia="Calibri"/>
            <w:color w:val="auto"/>
            <w:u w:val="none"/>
            <w:lang w:val="en-GB"/>
          </w:rPr>
          <w:t>https://doi.org/10.14207/ejsd.2021.v10n1p81</w:t>
        </w:r>
      </w:hyperlink>
    </w:p>
    <w:p w14:paraId="381A918C" w14:textId="77777777" w:rsidR="00526FC4" w:rsidRPr="00464512" w:rsidRDefault="00526FC4" w:rsidP="00C4684C">
      <w:pPr>
        <w:pStyle w:val="Rlit"/>
        <w:rPr>
          <w:lang w:val="en-GB"/>
        </w:rPr>
      </w:pPr>
      <w:r w:rsidRPr="00464512">
        <w:rPr>
          <w:spacing w:val="-2"/>
          <w:lang w:val="en-GB"/>
        </w:rPr>
        <w:t xml:space="preserve">Kolesnyk, T., Samborska, O., </w:t>
      </w:r>
      <w:proofErr w:type="spellStart"/>
      <w:r w:rsidRPr="00464512">
        <w:rPr>
          <w:spacing w:val="-2"/>
          <w:lang w:val="en-GB"/>
        </w:rPr>
        <w:t>Talavyria</w:t>
      </w:r>
      <w:proofErr w:type="spellEnd"/>
      <w:r w:rsidRPr="00464512">
        <w:rPr>
          <w:spacing w:val="-2"/>
          <w:lang w:val="en-GB"/>
        </w:rPr>
        <w:t>, M., &amp; Nikolenko, L. (2018). Ensuring the sustainable development of the Ukrainian agrarian sector in conditions of globalization.</w:t>
      </w:r>
      <w:r w:rsidRPr="00464512">
        <w:rPr>
          <w:lang w:val="en-GB"/>
        </w:rPr>
        <w:t xml:space="preserve"> </w:t>
      </w:r>
      <w:r w:rsidRPr="00464512">
        <w:rPr>
          <w:i/>
          <w:iCs/>
          <w:lang w:val="en-GB"/>
        </w:rPr>
        <w:t>Problems and Perspectives in Management</w:t>
      </w:r>
      <w:r w:rsidRPr="00464512">
        <w:rPr>
          <w:lang w:val="en-GB"/>
        </w:rPr>
        <w:t xml:space="preserve">, </w:t>
      </w:r>
      <w:r w:rsidRPr="00464512">
        <w:rPr>
          <w:i/>
          <w:iCs/>
          <w:lang w:val="en-GB"/>
        </w:rPr>
        <w:t>16</w:t>
      </w:r>
      <w:r w:rsidRPr="00464512">
        <w:rPr>
          <w:lang w:val="en-GB"/>
        </w:rPr>
        <w:t xml:space="preserve">(3), 245-258. </w:t>
      </w:r>
      <w:hyperlink r:id="rId37" w:history="1">
        <w:r w:rsidRPr="00464512">
          <w:rPr>
            <w:rStyle w:val="Hipercze"/>
            <w:color w:val="auto"/>
            <w:u w:val="none"/>
            <w:lang w:val="en-GB"/>
          </w:rPr>
          <w:t>http://dx.doi.org/10.21511/ppm.16(3).2018.20</w:t>
        </w:r>
      </w:hyperlink>
    </w:p>
    <w:p w14:paraId="6E4E8943" w14:textId="77777777" w:rsidR="00526FC4" w:rsidRPr="00464512" w:rsidRDefault="00526FC4" w:rsidP="00C4684C">
      <w:pPr>
        <w:pStyle w:val="Rlit"/>
        <w:rPr>
          <w:lang w:val="en-GB"/>
        </w:rPr>
      </w:pPr>
      <w:r w:rsidRPr="00464512">
        <w:rPr>
          <w:lang w:val="en-GB"/>
        </w:rPr>
        <w:t xml:space="preserve">Koval, V., Hrymalyk, A., Kulish, A., </w:t>
      </w:r>
      <w:proofErr w:type="spellStart"/>
      <w:r w:rsidRPr="00464512">
        <w:rPr>
          <w:lang w:val="en-GB"/>
        </w:rPr>
        <w:t>Kontseva</w:t>
      </w:r>
      <w:proofErr w:type="spellEnd"/>
      <w:r w:rsidRPr="00464512">
        <w:rPr>
          <w:lang w:val="en-GB"/>
        </w:rPr>
        <w:t xml:space="preserve">, V., Boiko, N., &amp; </w:t>
      </w:r>
      <w:proofErr w:type="spellStart"/>
      <w:r w:rsidRPr="00464512">
        <w:rPr>
          <w:lang w:val="en-GB"/>
        </w:rPr>
        <w:t>Nesenenko</w:t>
      </w:r>
      <w:proofErr w:type="spellEnd"/>
      <w:r w:rsidRPr="00464512">
        <w:rPr>
          <w:lang w:val="en-GB"/>
        </w:rPr>
        <w:t xml:space="preserve">, P. (2021). Economic Policy of Industrial Development and Investment Approach to the Analysis of the National Economy. </w:t>
      </w:r>
      <w:r w:rsidRPr="00464512">
        <w:rPr>
          <w:i/>
          <w:iCs/>
          <w:lang w:val="en-GB"/>
        </w:rPr>
        <w:t>Studies of Applied Economics</w:t>
      </w:r>
      <w:r w:rsidRPr="00464512">
        <w:rPr>
          <w:lang w:val="en-GB"/>
        </w:rPr>
        <w:t xml:space="preserve">, </w:t>
      </w:r>
      <w:r w:rsidRPr="00464512">
        <w:rPr>
          <w:i/>
          <w:iCs/>
          <w:lang w:val="en-GB"/>
        </w:rPr>
        <w:t>39</w:t>
      </w:r>
      <w:r w:rsidRPr="00464512">
        <w:rPr>
          <w:lang w:val="en-GB"/>
        </w:rPr>
        <w:t xml:space="preserve">(6). </w:t>
      </w:r>
      <w:hyperlink r:id="rId38" w:history="1">
        <w:r w:rsidRPr="00464512">
          <w:rPr>
            <w:rStyle w:val="Hipercze"/>
            <w:color w:val="auto"/>
            <w:u w:val="none"/>
            <w:lang w:val="en-GB"/>
          </w:rPr>
          <w:t>https://doi.org/10.25115/eea.v39i6.5263</w:t>
        </w:r>
      </w:hyperlink>
    </w:p>
    <w:p w14:paraId="55F4D4A3" w14:textId="77777777" w:rsidR="00526FC4" w:rsidRPr="00464512" w:rsidRDefault="00526FC4" w:rsidP="00C4684C">
      <w:pPr>
        <w:pStyle w:val="Rlit"/>
        <w:rPr>
          <w:lang w:val="en-GB"/>
        </w:rPr>
      </w:pPr>
      <w:r w:rsidRPr="00464512">
        <w:rPr>
          <w:lang w:val="en-GB"/>
        </w:rPr>
        <w:t xml:space="preserve">Kyiv School of Economics (2023). KSE </w:t>
      </w:r>
      <w:proofErr w:type="spellStart"/>
      <w:r w:rsidRPr="00464512">
        <w:rPr>
          <w:lang w:val="en-GB"/>
        </w:rPr>
        <w:t>Agrocenter</w:t>
      </w:r>
      <w:proofErr w:type="spellEnd"/>
      <w:r w:rsidRPr="00464512">
        <w:rPr>
          <w:lang w:val="en-GB"/>
        </w:rPr>
        <w:t xml:space="preserve"> Discussion Series Discussion 4: Agricultural land market in Ukraine: current state, efficiency and transparency. </w:t>
      </w:r>
      <w:hyperlink r:id="rId39" w:history="1">
        <w:r w:rsidRPr="00464512">
          <w:rPr>
            <w:rStyle w:val="Hipercze"/>
            <w:color w:val="auto"/>
            <w:u w:val="none"/>
            <w:lang w:val="en-GB"/>
          </w:rPr>
          <w:t>https://kse.ua/about-the-school/news/kse-agrocenter-discussion-series-discussion-4-agricultural-land-market-in-ukraine-current-state-efficiency-and-transparency/</w:t>
        </w:r>
      </w:hyperlink>
    </w:p>
    <w:p w14:paraId="2C8E5073" w14:textId="77777777" w:rsidR="00526FC4" w:rsidRPr="00464512" w:rsidRDefault="00526FC4" w:rsidP="00F112EA">
      <w:pPr>
        <w:pStyle w:val="Rlit"/>
        <w:jc w:val="left"/>
        <w:rPr>
          <w:lang w:val="en-GB"/>
        </w:rPr>
      </w:pPr>
      <w:proofErr w:type="spellStart"/>
      <w:r w:rsidRPr="00464512">
        <w:rPr>
          <w:lang w:val="en-GB"/>
        </w:rPr>
        <w:t>Lepetan</w:t>
      </w:r>
      <w:proofErr w:type="spellEnd"/>
      <w:r w:rsidRPr="00464512">
        <w:rPr>
          <w:lang w:val="en-GB"/>
        </w:rPr>
        <w:t xml:space="preserve">, I., </w:t>
      </w:r>
      <w:proofErr w:type="spellStart"/>
      <w:r w:rsidRPr="00464512">
        <w:rPr>
          <w:lang w:val="en-GB"/>
        </w:rPr>
        <w:t>Hutsalenko</w:t>
      </w:r>
      <w:proofErr w:type="spellEnd"/>
      <w:r w:rsidRPr="00464512">
        <w:rPr>
          <w:lang w:val="en-GB"/>
        </w:rPr>
        <w:t xml:space="preserve">, L., </w:t>
      </w:r>
      <w:proofErr w:type="spellStart"/>
      <w:r w:rsidRPr="00464512">
        <w:rPr>
          <w:lang w:val="en-GB"/>
        </w:rPr>
        <w:t>Prodanchuk</w:t>
      </w:r>
      <w:proofErr w:type="spellEnd"/>
      <w:r w:rsidRPr="00464512">
        <w:rPr>
          <w:lang w:val="en-GB"/>
        </w:rPr>
        <w:t xml:space="preserve">, M., &amp; </w:t>
      </w:r>
      <w:proofErr w:type="spellStart"/>
      <w:r w:rsidRPr="00464512">
        <w:rPr>
          <w:lang w:val="en-GB"/>
        </w:rPr>
        <w:t>Cherednichenko</w:t>
      </w:r>
      <w:proofErr w:type="spellEnd"/>
      <w:r w:rsidRPr="00464512">
        <w:rPr>
          <w:lang w:val="en-GB"/>
        </w:rPr>
        <w:t xml:space="preserve">, T. (2023). Environmental safety of agricultural business in </w:t>
      </w:r>
      <w:proofErr w:type="spellStart"/>
      <w:r w:rsidRPr="00464512">
        <w:rPr>
          <w:lang w:val="en-GB"/>
        </w:rPr>
        <w:t>ukraine</w:t>
      </w:r>
      <w:proofErr w:type="spellEnd"/>
      <w:r w:rsidRPr="00464512">
        <w:rPr>
          <w:lang w:val="en-GB"/>
        </w:rPr>
        <w:t xml:space="preserve">: accounting and analytical support. </w:t>
      </w:r>
      <w:r w:rsidRPr="00464512">
        <w:rPr>
          <w:i/>
          <w:iCs/>
          <w:lang w:val="en-GB"/>
        </w:rPr>
        <w:t>Economic Science For Rural Development</w:t>
      </w:r>
      <w:r w:rsidRPr="00464512">
        <w:rPr>
          <w:lang w:val="en-GB"/>
        </w:rPr>
        <w:t xml:space="preserve">, </w:t>
      </w:r>
      <w:r w:rsidRPr="00464512">
        <w:rPr>
          <w:i/>
          <w:iCs/>
          <w:lang w:val="en-GB"/>
        </w:rPr>
        <w:t>57</w:t>
      </w:r>
      <w:r w:rsidRPr="00464512">
        <w:rPr>
          <w:lang w:val="en-GB"/>
        </w:rPr>
        <w:t xml:space="preserve">, 61-71. </w:t>
      </w:r>
      <w:hyperlink r:id="rId40" w:history="1">
        <w:r w:rsidRPr="00464512">
          <w:rPr>
            <w:rStyle w:val="Hipercze"/>
            <w:color w:val="auto"/>
            <w:u w:val="none"/>
            <w:lang w:val="en-GB"/>
          </w:rPr>
          <w:t>https://doi.org/10.22616/ESRD.2023.57.001</w:t>
        </w:r>
      </w:hyperlink>
    </w:p>
    <w:p w14:paraId="6AB12072" w14:textId="76272993" w:rsidR="00526FC4" w:rsidRPr="00464512" w:rsidRDefault="00526FC4" w:rsidP="00F112EA">
      <w:pPr>
        <w:pStyle w:val="Rlit"/>
        <w:jc w:val="left"/>
        <w:rPr>
          <w:lang w:val="en-GB"/>
        </w:rPr>
      </w:pPr>
      <w:proofErr w:type="spellStart"/>
      <w:r w:rsidRPr="00464512">
        <w:rPr>
          <w:lang w:val="en-GB"/>
        </w:rPr>
        <w:t>Lozynska</w:t>
      </w:r>
      <w:proofErr w:type="spellEnd"/>
      <w:r w:rsidRPr="00464512">
        <w:rPr>
          <w:lang w:val="en-GB"/>
        </w:rPr>
        <w:t xml:space="preserve">, T., Birchenko, N., Piskun, A., &amp; </w:t>
      </w:r>
      <w:proofErr w:type="spellStart"/>
      <w:r w:rsidRPr="00464512">
        <w:rPr>
          <w:lang w:val="en-GB"/>
        </w:rPr>
        <w:t>Dengub</w:t>
      </w:r>
      <w:proofErr w:type="spellEnd"/>
      <w:r w:rsidRPr="00464512">
        <w:rPr>
          <w:lang w:val="en-GB"/>
        </w:rPr>
        <w:t xml:space="preserve">, V. (2024). Investment and Infrastructure Development Projects in Public–Private Partnerships in Ukraine. </w:t>
      </w:r>
      <w:r w:rsidRPr="00464512">
        <w:rPr>
          <w:i/>
          <w:iCs/>
          <w:lang w:val="en-GB"/>
        </w:rPr>
        <w:t xml:space="preserve">Economics Ecology </w:t>
      </w:r>
      <w:proofErr w:type="spellStart"/>
      <w:r w:rsidRPr="00464512">
        <w:rPr>
          <w:i/>
          <w:iCs/>
          <w:lang w:val="en-GB"/>
        </w:rPr>
        <w:t>Socium</w:t>
      </w:r>
      <w:proofErr w:type="spellEnd"/>
      <w:r w:rsidRPr="00464512">
        <w:rPr>
          <w:lang w:val="en-GB"/>
        </w:rPr>
        <w:t xml:space="preserve">, </w:t>
      </w:r>
      <w:r w:rsidRPr="00464512">
        <w:rPr>
          <w:i/>
          <w:iCs/>
          <w:lang w:val="en-GB"/>
        </w:rPr>
        <w:t>8</w:t>
      </w:r>
      <w:r w:rsidRPr="00464512">
        <w:rPr>
          <w:lang w:val="en-GB"/>
        </w:rPr>
        <w:t>(4), 53</w:t>
      </w:r>
      <w:r w:rsidR="00F112EA" w:rsidRPr="00464512">
        <w:rPr>
          <w:lang w:val="en-GB"/>
        </w:rPr>
        <w:t>-</w:t>
      </w:r>
      <w:r w:rsidRPr="00464512">
        <w:rPr>
          <w:lang w:val="en-GB"/>
        </w:rPr>
        <w:t xml:space="preserve">65. </w:t>
      </w:r>
      <w:r w:rsidR="00F112EA" w:rsidRPr="00464512">
        <w:rPr>
          <w:lang w:val="en-GB"/>
        </w:rPr>
        <w:br/>
      </w:r>
      <w:hyperlink r:id="rId41" w:history="1">
        <w:r w:rsidRPr="00464512">
          <w:rPr>
            <w:rStyle w:val="Hipercze"/>
            <w:color w:val="auto"/>
            <w:u w:val="none"/>
            <w:lang w:val="en-GB"/>
          </w:rPr>
          <w:t>https://doi.org/10.61954/2616-7107/2024.8.4-5</w:t>
        </w:r>
      </w:hyperlink>
    </w:p>
    <w:p w14:paraId="283698FF" w14:textId="6DC0290B" w:rsidR="00526FC4" w:rsidRPr="00464512" w:rsidRDefault="00526FC4" w:rsidP="00C4684C">
      <w:pPr>
        <w:pStyle w:val="Rlit"/>
        <w:rPr>
          <w:lang w:val="en-GB"/>
        </w:rPr>
      </w:pPr>
      <w:r w:rsidRPr="00464512">
        <w:rPr>
          <w:lang w:val="en-GB"/>
        </w:rPr>
        <w:t xml:space="preserve">Lupenko, Y., </w:t>
      </w:r>
      <w:proofErr w:type="spellStart"/>
      <w:r w:rsidRPr="00464512">
        <w:rPr>
          <w:lang w:val="en-GB"/>
        </w:rPr>
        <w:t>Khodakivska</w:t>
      </w:r>
      <w:proofErr w:type="spellEnd"/>
      <w:r w:rsidRPr="00464512">
        <w:rPr>
          <w:lang w:val="en-GB"/>
        </w:rPr>
        <w:t xml:space="preserve">, O., Nechyporenko, O., &amp; </w:t>
      </w:r>
      <w:proofErr w:type="spellStart"/>
      <w:r w:rsidRPr="00464512">
        <w:rPr>
          <w:lang w:val="en-GB"/>
        </w:rPr>
        <w:t>Shpykuliak</w:t>
      </w:r>
      <w:proofErr w:type="spellEnd"/>
      <w:r w:rsidRPr="00464512">
        <w:rPr>
          <w:lang w:val="en-GB"/>
        </w:rPr>
        <w:t xml:space="preserve">, O. (2022). The State and Trends of Agricultural Development in the Structure of the National Economy of Ukraine. </w:t>
      </w:r>
      <w:r w:rsidRPr="00464512">
        <w:rPr>
          <w:i/>
          <w:iCs/>
          <w:lang w:val="en-GB"/>
        </w:rPr>
        <w:t>Scientific Horizons</w:t>
      </w:r>
      <w:r w:rsidRPr="00464512">
        <w:rPr>
          <w:lang w:val="en-GB"/>
        </w:rPr>
        <w:t xml:space="preserve">, </w:t>
      </w:r>
      <w:r w:rsidRPr="00464512">
        <w:rPr>
          <w:i/>
          <w:iCs/>
          <w:lang w:val="en-GB"/>
        </w:rPr>
        <w:t>25</w:t>
      </w:r>
      <w:r w:rsidRPr="00464512">
        <w:rPr>
          <w:lang w:val="en-GB"/>
        </w:rPr>
        <w:t>(6), 121</w:t>
      </w:r>
      <w:r w:rsidR="00F112EA" w:rsidRPr="00464512">
        <w:rPr>
          <w:lang w:val="en-GB"/>
        </w:rPr>
        <w:t>-</w:t>
      </w:r>
      <w:r w:rsidRPr="00464512">
        <w:rPr>
          <w:lang w:val="en-GB"/>
        </w:rPr>
        <w:t xml:space="preserve">128. </w:t>
      </w:r>
      <w:hyperlink r:id="rId42" w:history="1">
        <w:r w:rsidRPr="00464512">
          <w:rPr>
            <w:rStyle w:val="Hipercze"/>
            <w:color w:val="auto"/>
            <w:u w:val="none"/>
            <w:lang w:val="en-GB"/>
          </w:rPr>
          <w:t>https://doi.org/10.48077/scihor.25(6).2022.121-128</w:t>
        </w:r>
      </w:hyperlink>
    </w:p>
    <w:p w14:paraId="51983179" w14:textId="0B0E49F8" w:rsidR="00526FC4" w:rsidRPr="00464512" w:rsidRDefault="00526FC4" w:rsidP="00C4684C">
      <w:pPr>
        <w:pStyle w:val="Rlit"/>
        <w:rPr>
          <w:shd w:val="clear" w:color="auto" w:fill="FFFFFF"/>
          <w:lang w:val="en-GB"/>
        </w:rPr>
      </w:pPr>
      <w:proofErr w:type="spellStart"/>
      <w:r w:rsidRPr="00464512">
        <w:rPr>
          <w:lang w:val="en-GB"/>
        </w:rPr>
        <w:t>Lutkovska</w:t>
      </w:r>
      <w:proofErr w:type="spellEnd"/>
      <w:r w:rsidRPr="00464512">
        <w:rPr>
          <w:lang w:val="en-GB"/>
        </w:rPr>
        <w:t>, S.</w:t>
      </w:r>
      <w:r w:rsidR="00855F01" w:rsidRPr="00464512">
        <w:rPr>
          <w:lang w:val="en-GB"/>
        </w:rPr>
        <w:t xml:space="preserve"> </w:t>
      </w:r>
      <w:r w:rsidRPr="00464512">
        <w:rPr>
          <w:lang w:val="en-GB"/>
        </w:rPr>
        <w:t xml:space="preserve">M., &amp; </w:t>
      </w:r>
      <w:proofErr w:type="spellStart"/>
      <w:r w:rsidRPr="00464512">
        <w:rPr>
          <w:lang w:val="en-GB"/>
        </w:rPr>
        <w:t>Lebid</w:t>
      </w:r>
      <w:proofErr w:type="spellEnd"/>
      <w:r w:rsidRPr="00464512">
        <w:rPr>
          <w:lang w:val="en-GB"/>
        </w:rPr>
        <w:t>, O.</w:t>
      </w:r>
      <w:r w:rsidR="00855F01" w:rsidRPr="00464512">
        <w:rPr>
          <w:lang w:val="en-GB"/>
        </w:rPr>
        <w:t xml:space="preserve"> </w:t>
      </w:r>
      <w:r w:rsidRPr="00464512">
        <w:rPr>
          <w:lang w:val="en-GB"/>
        </w:rPr>
        <w:t xml:space="preserve">V. (2024). Environmental aspects of investment policy as a component part of the economic mechanism of nature use. </w:t>
      </w:r>
      <w:r w:rsidRPr="00464512">
        <w:rPr>
          <w:i/>
          <w:iCs/>
          <w:shd w:val="clear" w:color="auto" w:fill="FFFFFF"/>
          <w:lang w:val="en-GB"/>
        </w:rPr>
        <w:t>Herald of Lviv University of Trade and Economics. Economic sciences</w:t>
      </w:r>
      <w:r w:rsidRPr="00464512">
        <w:rPr>
          <w:shd w:val="clear" w:color="auto" w:fill="FFFFFF"/>
          <w:lang w:val="en-GB"/>
        </w:rPr>
        <w:t xml:space="preserve">. 2024. № 79. С. 27-37. </w:t>
      </w:r>
      <w:hyperlink r:id="rId43" w:history="1">
        <w:r w:rsidRPr="00464512">
          <w:rPr>
            <w:rStyle w:val="Hipercze"/>
            <w:color w:val="auto"/>
            <w:u w:val="none"/>
            <w:shd w:val="clear" w:color="auto" w:fill="FFFFFF"/>
            <w:lang w:val="en-GB"/>
          </w:rPr>
          <w:t>https://doi.org/10.32782/2522-1205-2024-79-03</w:t>
        </w:r>
      </w:hyperlink>
      <w:r w:rsidRPr="00464512">
        <w:rPr>
          <w:shd w:val="clear" w:color="auto" w:fill="FFFFFF"/>
          <w:lang w:val="en-GB"/>
        </w:rPr>
        <w:t>.</w:t>
      </w:r>
    </w:p>
    <w:p w14:paraId="56AEC9B2" w14:textId="0BE07D96" w:rsidR="00526FC4" w:rsidRPr="00464512" w:rsidRDefault="00526FC4" w:rsidP="00C4684C">
      <w:pPr>
        <w:pStyle w:val="Rlit"/>
        <w:rPr>
          <w:lang w:val="en-GB"/>
        </w:rPr>
      </w:pPr>
      <w:proofErr w:type="spellStart"/>
      <w:r w:rsidRPr="00464512">
        <w:rPr>
          <w:lang w:val="en-GB"/>
        </w:rPr>
        <w:t>Martsynkevych</w:t>
      </w:r>
      <w:proofErr w:type="spellEnd"/>
      <w:r w:rsidRPr="00464512">
        <w:rPr>
          <w:lang w:val="en-GB"/>
        </w:rPr>
        <w:t xml:space="preserve">, V., &amp; </w:t>
      </w:r>
      <w:proofErr w:type="spellStart"/>
      <w:r w:rsidRPr="00464512">
        <w:rPr>
          <w:lang w:val="en-GB"/>
        </w:rPr>
        <w:t>Danyliak</w:t>
      </w:r>
      <w:proofErr w:type="spellEnd"/>
      <w:r w:rsidRPr="00464512">
        <w:rPr>
          <w:lang w:val="en-GB"/>
        </w:rPr>
        <w:t>, A. (2023). Agriculture: priorities for sustainable investments to aid Ukraine</w:t>
      </w:r>
      <w:r w:rsidR="00480D52">
        <w:rPr>
          <w:lang w:val="en-GB"/>
        </w:rPr>
        <w:t>'</w:t>
      </w:r>
      <w:r w:rsidRPr="00464512">
        <w:rPr>
          <w:lang w:val="en-GB"/>
        </w:rPr>
        <w:t xml:space="preserve">s recovery. </w:t>
      </w:r>
      <w:proofErr w:type="spellStart"/>
      <w:r w:rsidRPr="00464512">
        <w:rPr>
          <w:i/>
          <w:iCs/>
          <w:lang w:val="en-GB"/>
        </w:rPr>
        <w:t>Center</w:t>
      </w:r>
      <w:proofErr w:type="spellEnd"/>
      <w:r w:rsidRPr="00464512">
        <w:rPr>
          <w:i/>
          <w:iCs/>
          <w:lang w:val="en-GB"/>
        </w:rPr>
        <w:t xml:space="preserve"> for Environmental Initiatives </w:t>
      </w:r>
      <w:proofErr w:type="spellStart"/>
      <w:r w:rsidRPr="00464512">
        <w:rPr>
          <w:i/>
          <w:iCs/>
          <w:lang w:val="en-GB"/>
        </w:rPr>
        <w:t>Ecoaction</w:t>
      </w:r>
      <w:proofErr w:type="spellEnd"/>
      <w:r w:rsidRPr="00464512">
        <w:rPr>
          <w:lang w:val="en-GB"/>
        </w:rPr>
        <w:t xml:space="preserve">. </w:t>
      </w:r>
      <w:hyperlink r:id="rId44" w:history="1">
        <w:r w:rsidRPr="00464512">
          <w:rPr>
            <w:rStyle w:val="Hipercze"/>
            <w:color w:val="auto"/>
            <w:u w:val="none"/>
            <w:lang w:val="en-GB"/>
          </w:rPr>
          <w:t>https://en.ecoaction.org.ua/agri-priorities-sustainable-ukraine.html</w:t>
        </w:r>
      </w:hyperlink>
      <w:r w:rsidRPr="00464512">
        <w:rPr>
          <w:lang w:val="en-GB"/>
        </w:rPr>
        <w:t xml:space="preserve"> </w:t>
      </w:r>
    </w:p>
    <w:p w14:paraId="0A7C8A3C" w14:textId="77777777" w:rsidR="00526FC4" w:rsidRPr="00464512" w:rsidRDefault="00526FC4" w:rsidP="00C4684C">
      <w:pPr>
        <w:pStyle w:val="Rlit"/>
        <w:rPr>
          <w:lang w:val="en-GB"/>
        </w:rPr>
      </w:pPr>
      <w:r w:rsidRPr="00464512">
        <w:rPr>
          <w:lang w:val="en-GB"/>
        </w:rPr>
        <w:t xml:space="preserve">Mykhailenko, V., Safranov, T., &amp; </w:t>
      </w:r>
      <w:proofErr w:type="spellStart"/>
      <w:r w:rsidRPr="00464512">
        <w:rPr>
          <w:lang w:val="en-GB"/>
        </w:rPr>
        <w:t>Adobovska</w:t>
      </w:r>
      <w:proofErr w:type="spellEnd"/>
      <w:r w:rsidRPr="00464512">
        <w:rPr>
          <w:lang w:val="en-GB"/>
        </w:rPr>
        <w:t xml:space="preserve">, M. (2023). Biological wastewater treatment plants as sources of environmental pollution by persistent organic pollutants (on the example of Odesa industrial-and-urban agglomeration). </w:t>
      </w:r>
      <w:proofErr w:type="spellStart"/>
      <w:r w:rsidRPr="00464512">
        <w:rPr>
          <w:i/>
          <w:iCs/>
          <w:lang w:val="en-GB"/>
        </w:rPr>
        <w:t>Visnyk</w:t>
      </w:r>
      <w:proofErr w:type="spellEnd"/>
      <w:r w:rsidRPr="00464512">
        <w:rPr>
          <w:i/>
          <w:iCs/>
          <w:lang w:val="en-GB"/>
        </w:rPr>
        <w:t xml:space="preserve"> of V. N. Karazin Kharkiv National University, Series "Geology. Geography. Ecology"</w:t>
      </w:r>
      <w:r w:rsidRPr="00464512">
        <w:rPr>
          <w:lang w:val="en-GB"/>
        </w:rPr>
        <w:t xml:space="preserve">, </w:t>
      </w:r>
      <w:r w:rsidRPr="00464512">
        <w:rPr>
          <w:i/>
          <w:iCs/>
          <w:lang w:val="en-GB"/>
        </w:rPr>
        <w:t>58</w:t>
      </w:r>
      <w:r w:rsidRPr="00464512">
        <w:rPr>
          <w:lang w:val="en-GB"/>
        </w:rPr>
        <w:t xml:space="preserve">, 350-359. </w:t>
      </w:r>
      <w:hyperlink r:id="rId45" w:history="1">
        <w:r w:rsidRPr="00464512">
          <w:rPr>
            <w:rStyle w:val="Hipercze"/>
            <w:color w:val="auto"/>
            <w:u w:val="none"/>
            <w:lang w:val="en-GB"/>
          </w:rPr>
          <w:t>https://doi.org/10.26565/2410-7360-2023-58-26</w:t>
        </w:r>
      </w:hyperlink>
    </w:p>
    <w:p w14:paraId="66CFC7BB" w14:textId="67E74704" w:rsidR="00526FC4" w:rsidRPr="00464512" w:rsidRDefault="00526FC4" w:rsidP="00C4684C">
      <w:pPr>
        <w:pStyle w:val="Rlit"/>
        <w:rPr>
          <w:lang w:val="en-GB"/>
        </w:rPr>
      </w:pPr>
      <w:proofErr w:type="spellStart"/>
      <w:r w:rsidRPr="00464512">
        <w:rPr>
          <w:lang w:val="en-GB"/>
        </w:rPr>
        <w:t>Onegina</w:t>
      </w:r>
      <w:proofErr w:type="spellEnd"/>
      <w:r w:rsidRPr="00464512">
        <w:rPr>
          <w:lang w:val="en-GB"/>
        </w:rPr>
        <w:t xml:space="preserve">, V., &amp; </w:t>
      </w:r>
      <w:proofErr w:type="spellStart"/>
      <w:r w:rsidRPr="00464512">
        <w:rPr>
          <w:lang w:val="en-GB"/>
        </w:rPr>
        <w:t>Vitkovskyi</w:t>
      </w:r>
      <w:proofErr w:type="spellEnd"/>
      <w:r w:rsidRPr="00464512">
        <w:rPr>
          <w:lang w:val="en-GB"/>
        </w:rPr>
        <w:t xml:space="preserve">, Y. (2020). Investments and land reform in agriculture of Ukraine. </w:t>
      </w:r>
      <w:r w:rsidRPr="00464512">
        <w:rPr>
          <w:i/>
          <w:iCs/>
          <w:lang w:val="en-GB"/>
        </w:rPr>
        <w:t>Agricultural and Resource Economics: International Scientific E-Journal</w:t>
      </w:r>
      <w:r w:rsidRPr="00464512">
        <w:rPr>
          <w:lang w:val="en-GB"/>
        </w:rPr>
        <w:t xml:space="preserve">, </w:t>
      </w:r>
      <w:r w:rsidRPr="00464512">
        <w:rPr>
          <w:i/>
          <w:iCs/>
          <w:lang w:val="en-GB"/>
        </w:rPr>
        <w:t>6</w:t>
      </w:r>
      <w:r w:rsidRPr="00464512">
        <w:rPr>
          <w:lang w:val="en-GB"/>
        </w:rPr>
        <w:t>(4), 187</w:t>
      </w:r>
      <w:r w:rsidR="00F112EA" w:rsidRPr="00464512">
        <w:rPr>
          <w:lang w:val="en-GB"/>
        </w:rPr>
        <w:t>-</w:t>
      </w:r>
      <w:r w:rsidRPr="00464512">
        <w:rPr>
          <w:lang w:val="en-GB"/>
        </w:rPr>
        <w:t xml:space="preserve">210. </w:t>
      </w:r>
      <w:hyperlink r:id="rId46" w:history="1">
        <w:r w:rsidRPr="00464512">
          <w:rPr>
            <w:rStyle w:val="Hipercze"/>
            <w:color w:val="auto"/>
            <w:u w:val="none"/>
            <w:lang w:val="en-GB"/>
          </w:rPr>
          <w:t>https://doi.org/10.51599/are.2020.06.04.10</w:t>
        </w:r>
      </w:hyperlink>
    </w:p>
    <w:p w14:paraId="4C2E4A04" w14:textId="77777777" w:rsidR="00526FC4" w:rsidRPr="00464512" w:rsidRDefault="00526FC4" w:rsidP="00C4684C">
      <w:pPr>
        <w:pStyle w:val="Rlit"/>
        <w:rPr>
          <w:lang w:val="en-GB"/>
        </w:rPr>
      </w:pPr>
      <w:r w:rsidRPr="00464512">
        <w:rPr>
          <w:lang w:val="en-GB"/>
        </w:rPr>
        <w:lastRenderedPageBreak/>
        <w:t xml:space="preserve">Ostapchuk, T., Orlova, K., Biriuchenko, S., </w:t>
      </w:r>
      <w:proofErr w:type="spellStart"/>
      <w:r w:rsidRPr="00464512">
        <w:rPr>
          <w:lang w:val="en-GB"/>
        </w:rPr>
        <w:t>Dankevych</w:t>
      </w:r>
      <w:proofErr w:type="spellEnd"/>
      <w:r w:rsidRPr="00464512">
        <w:rPr>
          <w:lang w:val="en-GB"/>
        </w:rPr>
        <w:t xml:space="preserve">, A., &amp; Marchuk, G. (2021). Defuzzification in the process of managerial estimating the value of agricultural lands. </w:t>
      </w:r>
      <w:r w:rsidRPr="00464512">
        <w:rPr>
          <w:i/>
          <w:iCs/>
          <w:lang w:val="en-GB"/>
        </w:rPr>
        <w:t>Agricultural and Resource Economics: International Scientific E-Journal</w:t>
      </w:r>
      <w:r w:rsidRPr="00464512">
        <w:rPr>
          <w:lang w:val="en-GB"/>
        </w:rPr>
        <w:t xml:space="preserve">, </w:t>
      </w:r>
      <w:r w:rsidRPr="00464512">
        <w:rPr>
          <w:i/>
          <w:iCs/>
          <w:lang w:val="en-GB"/>
        </w:rPr>
        <w:t>7</w:t>
      </w:r>
      <w:r w:rsidRPr="00464512">
        <w:rPr>
          <w:lang w:val="en-GB"/>
        </w:rPr>
        <w:t xml:space="preserve">(4), 62-81. </w:t>
      </w:r>
      <w:hyperlink r:id="rId47" w:history="1">
        <w:r w:rsidRPr="00464512">
          <w:rPr>
            <w:rStyle w:val="Hipercze"/>
            <w:color w:val="auto"/>
            <w:u w:val="none"/>
            <w:lang w:val="en-GB"/>
          </w:rPr>
          <w:t>https://doi.org/10.51599/are.2021.07.04.04</w:t>
        </w:r>
      </w:hyperlink>
    </w:p>
    <w:p w14:paraId="26DA69AD" w14:textId="77777777" w:rsidR="00526FC4" w:rsidRPr="00464512" w:rsidRDefault="00526FC4" w:rsidP="00C4684C">
      <w:pPr>
        <w:pStyle w:val="Rlit"/>
        <w:rPr>
          <w:lang w:val="en-GB"/>
        </w:rPr>
      </w:pPr>
      <w:proofErr w:type="spellStart"/>
      <w:r w:rsidRPr="00464512">
        <w:rPr>
          <w:lang w:val="en-GB"/>
        </w:rPr>
        <w:t>Perevozova</w:t>
      </w:r>
      <w:proofErr w:type="spellEnd"/>
      <w:r w:rsidRPr="00464512">
        <w:rPr>
          <w:lang w:val="en-GB"/>
        </w:rPr>
        <w:t xml:space="preserve">, I., Horal, L., </w:t>
      </w:r>
      <w:proofErr w:type="spellStart"/>
      <w:r w:rsidRPr="00464512">
        <w:rPr>
          <w:lang w:val="en-GB"/>
        </w:rPr>
        <w:t>Daliak</w:t>
      </w:r>
      <w:proofErr w:type="spellEnd"/>
      <w:r w:rsidRPr="00464512">
        <w:rPr>
          <w:lang w:val="en-GB"/>
        </w:rPr>
        <w:t xml:space="preserve">, N., </w:t>
      </w:r>
      <w:proofErr w:type="spellStart"/>
      <w:r w:rsidRPr="00464512">
        <w:rPr>
          <w:lang w:val="en-GB"/>
        </w:rPr>
        <w:t>Karlova</w:t>
      </w:r>
      <w:proofErr w:type="spellEnd"/>
      <w:r w:rsidRPr="00464512">
        <w:rPr>
          <w:lang w:val="en-GB"/>
        </w:rPr>
        <w:t xml:space="preserve">, O., </w:t>
      </w:r>
      <w:proofErr w:type="spellStart"/>
      <w:r w:rsidRPr="00464512">
        <w:rPr>
          <w:lang w:val="en-GB"/>
        </w:rPr>
        <w:t>Chekmasova</w:t>
      </w:r>
      <w:proofErr w:type="spellEnd"/>
      <w:r w:rsidRPr="00464512">
        <w:rPr>
          <w:lang w:val="en-GB"/>
        </w:rPr>
        <w:t xml:space="preserve">, I., &amp; </w:t>
      </w:r>
      <w:proofErr w:type="spellStart"/>
      <w:r w:rsidRPr="00464512">
        <w:rPr>
          <w:lang w:val="en-GB"/>
        </w:rPr>
        <w:t>Shyiko</w:t>
      </w:r>
      <w:proofErr w:type="spellEnd"/>
      <w:r w:rsidRPr="00464512">
        <w:rPr>
          <w:lang w:val="en-GB"/>
        </w:rPr>
        <w:t xml:space="preserve">, V. (2021). Experimental management of ecological security of territorial facilities for forecasting the developing economy dynamics. </w:t>
      </w:r>
      <w:r w:rsidRPr="00464512">
        <w:rPr>
          <w:i/>
          <w:iCs/>
          <w:lang w:val="en-GB"/>
        </w:rPr>
        <w:t>IOP Conference Series: Earth and Environmental Science</w:t>
      </w:r>
      <w:r w:rsidRPr="00464512">
        <w:rPr>
          <w:lang w:val="en-GB"/>
        </w:rPr>
        <w:t xml:space="preserve">, </w:t>
      </w:r>
      <w:r w:rsidRPr="00464512">
        <w:rPr>
          <w:i/>
          <w:iCs/>
          <w:lang w:val="en-GB"/>
        </w:rPr>
        <w:t>628</w:t>
      </w:r>
      <w:r w:rsidRPr="00464512">
        <w:rPr>
          <w:lang w:val="en-GB"/>
        </w:rPr>
        <w:t xml:space="preserve">(1), 012022. </w:t>
      </w:r>
      <w:hyperlink r:id="rId48" w:history="1">
        <w:r w:rsidRPr="00464512">
          <w:rPr>
            <w:rStyle w:val="Hipercze"/>
            <w:color w:val="auto"/>
            <w:u w:val="none"/>
            <w:lang w:val="en-GB"/>
          </w:rPr>
          <w:t>https://doi.org/10.1088/1755-1315/628/1/012022</w:t>
        </w:r>
      </w:hyperlink>
    </w:p>
    <w:p w14:paraId="2414CCBE" w14:textId="77777777" w:rsidR="00526FC4" w:rsidRPr="00464512" w:rsidRDefault="00526FC4" w:rsidP="00C4684C">
      <w:pPr>
        <w:pStyle w:val="Rlit"/>
        <w:rPr>
          <w:lang w:val="en-GB"/>
        </w:rPr>
      </w:pPr>
      <w:proofErr w:type="spellStart"/>
      <w:r w:rsidRPr="00464512">
        <w:rPr>
          <w:lang w:val="en-GB"/>
        </w:rPr>
        <w:t>Perevozova</w:t>
      </w:r>
      <w:proofErr w:type="spellEnd"/>
      <w:r w:rsidRPr="00464512">
        <w:rPr>
          <w:lang w:val="en-GB"/>
        </w:rPr>
        <w:t xml:space="preserve">, I., </w:t>
      </w:r>
      <w:proofErr w:type="spellStart"/>
      <w:r w:rsidRPr="00464512">
        <w:rPr>
          <w:lang w:val="en-GB"/>
        </w:rPr>
        <w:t>Prodius</w:t>
      </w:r>
      <w:proofErr w:type="spellEnd"/>
      <w:r w:rsidRPr="00464512">
        <w:rPr>
          <w:lang w:val="en-GB"/>
        </w:rPr>
        <w:t xml:space="preserve">, Y., </w:t>
      </w:r>
      <w:proofErr w:type="spellStart"/>
      <w:r w:rsidRPr="00464512">
        <w:rPr>
          <w:lang w:val="en-GB"/>
        </w:rPr>
        <w:t>Selinnyi</w:t>
      </w:r>
      <w:proofErr w:type="spellEnd"/>
      <w:r w:rsidRPr="00464512">
        <w:rPr>
          <w:lang w:val="en-GB"/>
        </w:rPr>
        <w:t xml:space="preserve">, M., </w:t>
      </w:r>
      <w:proofErr w:type="spellStart"/>
      <w:r w:rsidRPr="00464512">
        <w:rPr>
          <w:lang w:val="en-GB"/>
        </w:rPr>
        <w:t>Lobza</w:t>
      </w:r>
      <w:proofErr w:type="spellEnd"/>
      <w:r w:rsidRPr="00464512">
        <w:rPr>
          <w:lang w:val="en-GB"/>
        </w:rPr>
        <w:t xml:space="preserve">, A., &amp; </w:t>
      </w:r>
      <w:proofErr w:type="spellStart"/>
      <w:r w:rsidRPr="00464512">
        <w:rPr>
          <w:lang w:val="en-GB"/>
        </w:rPr>
        <w:t>Pikulina</w:t>
      </w:r>
      <w:proofErr w:type="spellEnd"/>
      <w:r w:rsidRPr="00464512">
        <w:rPr>
          <w:lang w:val="en-GB"/>
        </w:rPr>
        <w:t xml:space="preserve">, N. (2022). Improving the efficiency of land use in the agricultural sector of Ukraine. </w:t>
      </w:r>
      <w:r w:rsidRPr="00464512">
        <w:rPr>
          <w:i/>
          <w:iCs/>
          <w:lang w:val="en-GB"/>
        </w:rPr>
        <w:t>IOP Conference Series: Earth and Environmental Science</w:t>
      </w:r>
      <w:r w:rsidRPr="00464512">
        <w:rPr>
          <w:lang w:val="en-GB"/>
        </w:rPr>
        <w:t xml:space="preserve">, </w:t>
      </w:r>
      <w:r w:rsidRPr="00464512">
        <w:rPr>
          <w:i/>
          <w:iCs/>
          <w:lang w:val="en-GB"/>
        </w:rPr>
        <w:t>949</w:t>
      </w:r>
      <w:r w:rsidRPr="00464512">
        <w:rPr>
          <w:lang w:val="en-GB"/>
        </w:rPr>
        <w:t xml:space="preserve">(1), 012044. </w:t>
      </w:r>
      <w:hyperlink r:id="rId49" w:history="1">
        <w:r w:rsidRPr="00464512">
          <w:rPr>
            <w:rStyle w:val="Hipercze"/>
            <w:color w:val="auto"/>
            <w:u w:val="none"/>
            <w:lang w:val="en-GB"/>
          </w:rPr>
          <w:t>https://doi.org/10.1088/1755-1315/949/1/012044</w:t>
        </w:r>
      </w:hyperlink>
    </w:p>
    <w:p w14:paraId="4CFF6605" w14:textId="2E9C52F9" w:rsidR="00526FC4" w:rsidRPr="00464512" w:rsidRDefault="00526FC4" w:rsidP="00C4684C">
      <w:pPr>
        <w:pStyle w:val="Rlit"/>
        <w:rPr>
          <w:lang w:val="en-GB"/>
        </w:rPr>
      </w:pPr>
      <w:proofErr w:type="spellStart"/>
      <w:r w:rsidRPr="00464512">
        <w:rPr>
          <w:lang w:val="en-GB"/>
        </w:rPr>
        <w:t>Prib</w:t>
      </w:r>
      <w:proofErr w:type="spellEnd"/>
      <w:r w:rsidRPr="00464512">
        <w:rPr>
          <w:lang w:val="en-GB"/>
        </w:rPr>
        <w:t xml:space="preserve">, K., Stepanchuk, S., Antonova, O., </w:t>
      </w:r>
      <w:proofErr w:type="spellStart"/>
      <w:r w:rsidRPr="00464512">
        <w:rPr>
          <w:lang w:val="en-GB"/>
        </w:rPr>
        <w:t>Dergach</w:t>
      </w:r>
      <w:proofErr w:type="spellEnd"/>
      <w:r w:rsidRPr="00464512">
        <w:rPr>
          <w:lang w:val="en-GB"/>
        </w:rPr>
        <w:t xml:space="preserve">, A., Bodnar, O., &amp; </w:t>
      </w:r>
      <w:proofErr w:type="spellStart"/>
      <w:r w:rsidRPr="00464512">
        <w:rPr>
          <w:lang w:val="en-GB"/>
        </w:rPr>
        <w:t>Karpinska</w:t>
      </w:r>
      <w:proofErr w:type="spellEnd"/>
      <w:r w:rsidRPr="00464512">
        <w:rPr>
          <w:lang w:val="en-GB"/>
        </w:rPr>
        <w:t xml:space="preserve">, N. (2022). Modern Aspects of Capital Investment in the Development of Individual Farm Enterprises as a Prerogative for Food Security of Ukraine. </w:t>
      </w:r>
      <w:r w:rsidRPr="00464512">
        <w:rPr>
          <w:i/>
          <w:iCs/>
          <w:lang w:val="en-GB"/>
        </w:rPr>
        <w:t>Econ. Aff.</w:t>
      </w:r>
      <w:r w:rsidRPr="00464512">
        <w:rPr>
          <w:lang w:val="en-GB"/>
        </w:rPr>
        <w:t xml:space="preserve">, </w:t>
      </w:r>
      <w:r w:rsidRPr="00464512">
        <w:rPr>
          <w:i/>
          <w:iCs/>
          <w:lang w:val="en-GB"/>
        </w:rPr>
        <w:t>67</w:t>
      </w:r>
      <w:r w:rsidRPr="00464512">
        <w:rPr>
          <w:lang w:val="en-GB"/>
        </w:rPr>
        <w:t xml:space="preserve">(04s), 745-754. </w:t>
      </w:r>
      <w:hyperlink r:id="rId50" w:history="1">
        <w:r w:rsidRPr="00464512">
          <w:rPr>
            <w:rStyle w:val="Hipercze"/>
            <w:color w:val="auto"/>
            <w:u w:val="none"/>
            <w:lang w:val="en-GB"/>
          </w:rPr>
          <w:t>https://doi.org/10.46852/0424-2513.4s.2022.8</w:t>
        </w:r>
      </w:hyperlink>
    </w:p>
    <w:p w14:paraId="7CF9B537" w14:textId="3E27F139" w:rsidR="00526FC4" w:rsidRPr="00464512" w:rsidRDefault="00526FC4" w:rsidP="00C4684C">
      <w:pPr>
        <w:pStyle w:val="Rlit"/>
        <w:rPr>
          <w:rFonts w:eastAsia="Calibri"/>
          <w:lang w:val="en-GB"/>
        </w:rPr>
      </w:pPr>
      <w:r w:rsidRPr="00464512">
        <w:rPr>
          <w:rFonts w:eastAsia="Calibri"/>
          <w:lang w:val="en-GB"/>
        </w:rPr>
        <w:t xml:space="preserve">Pryshliak, N., Sakhno, A., </w:t>
      </w:r>
      <w:proofErr w:type="spellStart"/>
      <w:r w:rsidRPr="00464512">
        <w:rPr>
          <w:rFonts w:eastAsia="Calibri"/>
          <w:lang w:val="en-GB"/>
        </w:rPr>
        <w:t>Tokarchuk</w:t>
      </w:r>
      <w:proofErr w:type="spellEnd"/>
      <w:r w:rsidRPr="00464512">
        <w:rPr>
          <w:rFonts w:eastAsia="Calibri"/>
          <w:lang w:val="en-GB"/>
        </w:rPr>
        <w:t xml:space="preserve">, D., </w:t>
      </w:r>
      <w:r w:rsidRPr="00464512">
        <w:rPr>
          <w:lang w:val="en-GB"/>
        </w:rPr>
        <w:t xml:space="preserve">&amp; </w:t>
      </w:r>
      <w:r w:rsidRPr="00464512">
        <w:rPr>
          <w:rFonts w:eastAsia="Calibri"/>
          <w:lang w:val="en-GB"/>
        </w:rPr>
        <w:t xml:space="preserve">Shevchuk, H. (2022). Peculiarities of assessing the possibilities of increasing the yield of biofuels from agricultural crops on the example of Ukraine. </w:t>
      </w:r>
      <w:proofErr w:type="spellStart"/>
      <w:r w:rsidRPr="00464512">
        <w:rPr>
          <w:rFonts w:eastAsia="Calibri"/>
          <w:i/>
          <w:iCs/>
          <w:lang w:val="en-GB"/>
        </w:rPr>
        <w:t>Polityka</w:t>
      </w:r>
      <w:proofErr w:type="spellEnd"/>
      <w:r w:rsidRPr="00464512">
        <w:rPr>
          <w:rFonts w:eastAsia="Calibri"/>
          <w:i/>
          <w:iCs/>
          <w:lang w:val="en-GB"/>
        </w:rPr>
        <w:t xml:space="preserve"> </w:t>
      </w:r>
      <w:proofErr w:type="spellStart"/>
      <w:r w:rsidRPr="00464512">
        <w:rPr>
          <w:rFonts w:eastAsia="Calibri"/>
          <w:i/>
          <w:iCs/>
          <w:lang w:val="en-GB"/>
        </w:rPr>
        <w:t>Energetyczna</w:t>
      </w:r>
      <w:proofErr w:type="spellEnd"/>
      <w:r w:rsidRPr="00464512">
        <w:rPr>
          <w:rFonts w:eastAsia="Calibri"/>
          <w:i/>
          <w:iCs/>
          <w:lang w:val="en-GB"/>
        </w:rPr>
        <w:t xml:space="preserve"> – Energy Policy Journal</w:t>
      </w:r>
      <w:r w:rsidRPr="00464512">
        <w:rPr>
          <w:rFonts w:eastAsia="Calibri"/>
          <w:lang w:val="en-GB"/>
        </w:rPr>
        <w:t xml:space="preserve">, </w:t>
      </w:r>
      <w:r w:rsidRPr="00464512">
        <w:rPr>
          <w:rFonts w:eastAsia="Calibri"/>
          <w:i/>
          <w:iCs/>
          <w:lang w:val="en-GB"/>
        </w:rPr>
        <w:t>25</w:t>
      </w:r>
      <w:r w:rsidRPr="00464512">
        <w:rPr>
          <w:rFonts w:eastAsia="Calibri"/>
          <w:lang w:val="en-GB"/>
        </w:rPr>
        <w:t xml:space="preserve">(1), 155-174. </w:t>
      </w:r>
      <w:hyperlink r:id="rId51" w:history="1">
        <w:r w:rsidRPr="00464512">
          <w:rPr>
            <w:rStyle w:val="Hipercze"/>
            <w:rFonts w:eastAsia="Calibri"/>
            <w:color w:val="auto"/>
            <w:u w:val="none"/>
            <w:lang w:val="en-GB"/>
          </w:rPr>
          <w:t>https://doi.org/10.33223/epj/147155</w:t>
        </w:r>
      </w:hyperlink>
    </w:p>
    <w:p w14:paraId="12A9F24C" w14:textId="77777777" w:rsidR="00526FC4" w:rsidRPr="00464512" w:rsidRDefault="00526FC4" w:rsidP="00C4684C">
      <w:pPr>
        <w:pStyle w:val="Rlit"/>
        <w:rPr>
          <w:lang w:val="en-GB"/>
        </w:rPr>
      </w:pPr>
      <w:r w:rsidRPr="00464512">
        <w:rPr>
          <w:lang w:val="en-GB"/>
        </w:rPr>
        <w:t xml:space="preserve">Shvets, V., Mishchuk, N., &amp; </w:t>
      </w:r>
      <w:proofErr w:type="spellStart"/>
      <w:r w:rsidRPr="00464512">
        <w:rPr>
          <w:lang w:val="en-GB"/>
        </w:rPr>
        <w:t>Novostavska</w:t>
      </w:r>
      <w:proofErr w:type="spellEnd"/>
      <w:r w:rsidRPr="00464512">
        <w:rPr>
          <w:lang w:val="en-GB"/>
        </w:rPr>
        <w:t xml:space="preserve">, O. (2021). Methods of estimating land resources of Ukraine in the conditions of land market formation for the purposes of sustainable development. </w:t>
      </w:r>
      <w:r w:rsidRPr="00464512">
        <w:rPr>
          <w:i/>
          <w:iCs/>
          <w:lang w:val="en-GB"/>
        </w:rPr>
        <w:t>E3S Web of Conferences</w:t>
      </w:r>
      <w:r w:rsidRPr="00464512">
        <w:rPr>
          <w:lang w:val="en-GB"/>
        </w:rPr>
        <w:t xml:space="preserve">, </w:t>
      </w:r>
      <w:r w:rsidRPr="00464512">
        <w:rPr>
          <w:i/>
          <w:iCs/>
          <w:lang w:val="en-GB"/>
        </w:rPr>
        <w:t>255</w:t>
      </w:r>
      <w:r w:rsidRPr="00464512">
        <w:rPr>
          <w:lang w:val="en-GB"/>
        </w:rPr>
        <w:t xml:space="preserve">, 01018. </w:t>
      </w:r>
      <w:hyperlink r:id="rId52" w:history="1">
        <w:r w:rsidRPr="00464512">
          <w:rPr>
            <w:rStyle w:val="Hipercze"/>
            <w:color w:val="auto"/>
            <w:u w:val="none"/>
            <w:lang w:val="en-GB"/>
          </w:rPr>
          <w:t>https://doi.org/10.1051/e3sconf/202125501018</w:t>
        </w:r>
      </w:hyperlink>
    </w:p>
    <w:p w14:paraId="1CC11611" w14:textId="77777777" w:rsidR="00526FC4" w:rsidRPr="00464512" w:rsidRDefault="00526FC4" w:rsidP="00C4684C">
      <w:pPr>
        <w:pStyle w:val="Rlit"/>
        <w:rPr>
          <w:lang w:val="en-GB"/>
        </w:rPr>
      </w:pPr>
      <w:proofErr w:type="spellStart"/>
      <w:r w:rsidRPr="00464512">
        <w:rPr>
          <w:lang w:val="en-GB"/>
        </w:rPr>
        <w:t>Sirant</w:t>
      </w:r>
      <w:proofErr w:type="spellEnd"/>
      <w:r w:rsidRPr="00464512">
        <w:rPr>
          <w:lang w:val="en-GB"/>
        </w:rPr>
        <w:t xml:space="preserve">, M., </w:t>
      </w:r>
      <w:proofErr w:type="spellStart"/>
      <w:r w:rsidRPr="00464512">
        <w:rPr>
          <w:lang w:val="en-GB"/>
        </w:rPr>
        <w:t>Yarmol</w:t>
      </w:r>
      <w:proofErr w:type="spellEnd"/>
      <w:r w:rsidRPr="00464512">
        <w:rPr>
          <w:lang w:val="en-GB"/>
        </w:rPr>
        <w:t xml:space="preserve">, L., Baik, O., </w:t>
      </w:r>
      <w:proofErr w:type="spellStart"/>
      <w:r w:rsidRPr="00464512">
        <w:rPr>
          <w:lang w:val="en-GB"/>
        </w:rPr>
        <w:t>Andrusiak</w:t>
      </w:r>
      <w:proofErr w:type="spellEnd"/>
      <w:r w:rsidRPr="00464512">
        <w:rPr>
          <w:lang w:val="en-GB"/>
        </w:rPr>
        <w:t xml:space="preserve">, I., &amp; </w:t>
      </w:r>
      <w:proofErr w:type="spellStart"/>
      <w:r w:rsidRPr="00464512">
        <w:rPr>
          <w:lang w:val="en-GB"/>
        </w:rPr>
        <w:t>Stetsyuk</w:t>
      </w:r>
      <w:proofErr w:type="spellEnd"/>
      <w:r w:rsidRPr="00464512">
        <w:rPr>
          <w:lang w:val="en-GB"/>
        </w:rPr>
        <w:t xml:space="preserve">, N. (2022). State policy of Ukraine in the sphere of environmental protection in the context of European integration. </w:t>
      </w:r>
      <w:proofErr w:type="spellStart"/>
      <w:r w:rsidRPr="00464512">
        <w:rPr>
          <w:i/>
          <w:iCs/>
          <w:lang w:val="en-GB"/>
        </w:rPr>
        <w:t>Naukovyi</w:t>
      </w:r>
      <w:proofErr w:type="spellEnd"/>
      <w:r w:rsidRPr="00464512">
        <w:rPr>
          <w:i/>
          <w:iCs/>
          <w:lang w:val="en-GB"/>
        </w:rPr>
        <w:t xml:space="preserve"> </w:t>
      </w:r>
      <w:proofErr w:type="spellStart"/>
      <w:r w:rsidRPr="00464512">
        <w:rPr>
          <w:i/>
          <w:iCs/>
          <w:lang w:val="en-GB"/>
        </w:rPr>
        <w:t>Visnyk</w:t>
      </w:r>
      <w:proofErr w:type="spellEnd"/>
      <w:r w:rsidRPr="00464512">
        <w:rPr>
          <w:i/>
          <w:iCs/>
          <w:lang w:val="en-GB"/>
        </w:rPr>
        <w:t xml:space="preserve"> </w:t>
      </w:r>
      <w:proofErr w:type="spellStart"/>
      <w:r w:rsidRPr="00464512">
        <w:rPr>
          <w:i/>
          <w:iCs/>
          <w:lang w:val="en-GB"/>
        </w:rPr>
        <w:t>Natsionalnoho</w:t>
      </w:r>
      <w:proofErr w:type="spellEnd"/>
      <w:r w:rsidRPr="00464512">
        <w:rPr>
          <w:i/>
          <w:iCs/>
          <w:lang w:val="en-GB"/>
        </w:rPr>
        <w:t xml:space="preserve"> </w:t>
      </w:r>
      <w:proofErr w:type="spellStart"/>
      <w:r w:rsidRPr="00464512">
        <w:rPr>
          <w:i/>
          <w:iCs/>
          <w:lang w:val="en-GB"/>
        </w:rPr>
        <w:t>Hirnychoho</w:t>
      </w:r>
      <w:proofErr w:type="spellEnd"/>
      <w:r w:rsidRPr="00464512">
        <w:rPr>
          <w:i/>
          <w:iCs/>
          <w:lang w:val="en-GB"/>
        </w:rPr>
        <w:t xml:space="preserve"> </w:t>
      </w:r>
      <w:proofErr w:type="spellStart"/>
      <w:r w:rsidRPr="00464512">
        <w:rPr>
          <w:i/>
          <w:iCs/>
          <w:lang w:val="en-GB"/>
        </w:rPr>
        <w:t>Universytetu</w:t>
      </w:r>
      <w:proofErr w:type="spellEnd"/>
      <w:r w:rsidRPr="00464512">
        <w:rPr>
          <w:lang w:val="en-GB"/>
        </w:rPr>
        <w:t xml:space="preserve">, </w:t>
      </w:r>
      <w:r w:rsidRPr="00464512">
        <w:rPr>
          <w:i/>
          <w:iCs/>
          <w:lang w:val="en-GB"/>
        </w:rPr>
        <w:t>2</w:t>
      </w:r>
      <w:r w:rsidRPr="00464512">
        <w:rPr>
          <w:lang w:val="en-GB"/>
        </w:rPr>
        <w:t xml:space="preserve">, 107-111. </w:t>
      </w:r>
      <w:hyperlink r:id="rId53" w:history="1">
        <w:r w:rsidRPr="00464512">
          <w:rPr>
            <w:rStyle w:val="Hipercze"/>
            <w:color w:val="auto"/>
            <w:u w:val="none"/>
            <w:lang w:val="en-GB"/>
          </w:rPr>
          <w:t>https://doi.org/10.33271/nvngu/2022-2/107</w:t>
        </w:r>
      </w:hyperlink>
    </w:p>
    <w:p w14:paraId="36785674" w14:textId="6CE42E25" w:rsidR="00526FC4" w:rsidRPr="00464512" w:rsidRDefault="00526FC4" w:rsidP="00C4684C">
      <w:pPr>
        <w:pStyle w:val="Rlit"/>
        <w:rPr>
          <w:rFonts w:eastAsia="Calibri"/>
          <w:lang w:val="en-GB"/>
        </w:rPr>
      </w:pPr>
      <w:r w:rsidRPr="00464512">
        <w:rPr>
          <w:rFonts w:eastAsia="Calibri"/>
          <w:lang w:val="en-GB"/>
        </w:rPr>
        <w:t>State Statistics Service of Ukraine (202</w:t>
      </w:r>
      <w:r w:rsidR="00522507" w:rsidRPr="00464512">
        <w:rPr>
          <w:rFonts w:eastAsia="Calibri"/>
          <w:lang w:val="en-GB"/>
        </w:rPr>
        <w:t>4</w:t>
      </w:r>
      <w:r w:rsidRPr="00464512">
        <w:rPr>
          <w:rFonts w:eastAsia="Calibri"/>
          <w:lang w:val="en-GB"/>
        </w:rPr>
        <w:t xml:space="preserve">). Available at: </w:t>
      </w:r>
      <w:hyperlink r:id="rId54" w:history="1">
        <w:r w:rsidRPr="00464512">
          <w:rPr>
            <w:rStyle w:val="Hipercze"/>
            <w:rFonts w:eastAsia="Calibri"/>
            <w:color w:val="auto"/>
            <w:u w:val="none"/>
            <w:lang w:val="en-GB"/>
          </w:rPr>
          <w:t>http://www.ukrstat.gov.ua</w:t>
        </w:r>
      </w:hyperlink>
      <w:r w:rsidRPr="00464512">
        <w:rPr>
          <w:rFonts w:eastAsia="Calibri"/>
          <w:lang w:val="en-GB"/>
        </w:rPr>
        <w:t>.</w:t>
      </w:r>
    </w:p>
    <w:p w14:paraId="41997688" w14:textId="1D5DFE96" w:rsidR="00526FC4" w:rsidRPr="00464512" w:rsidRDefault="00526FC4" w:rsidP="00C4684C">
      <w:pPr>
        <w:pStyle w:val="Rlit"/>
        <w:rPr>
          <w:rFonts w:eastAsia="Calibri"/>
          <w:lang w:val="en-GB"/>
        </w:rPr>
      </w:pPr>
      <w:proofErr w:type="spellStart"/>
      <w:r w:rsidRPr="00464512">
        <w:rPr>
          <w:rFonts w:eastAsia="Calibri"/>
          <w:lang w:val="en-GB"/>
        </w:rPr>
        <w:t>Strelbytska</w:t>
      </w:r>
      <w:proofErr w:type="spellEnd"/>
      <w:r w:rsidRPr="00464512">
        <w:rPr>
          <w:rFonts w:eastAsia="Calibri"/>
          <w:lang w:val="en-GB"/>
        </w:rPr>
        <w:t xml:space="preserve">, T., Sakhno, A., Novitska, N., Romanenko, S., </w:t>
      </w:r>
      <w:r w:rsidRPr="00464512">
        <w:rPr>
          <w:lang w:val="en-GB"/>
        </w:rPr>
        <w:t xml:space="preserve">&amp; </w:t>
      </w:r>
      <w:proofErr w:type="spellStart"/>
      <w:r w:rsidRPr="00464512">
        <w:rPr>
          <w:rFonts w:eastAsia="Calibri"/>
          <w:lang w:val="en-GB"/>
        </w:rPr>
        <w:t>Nitsenko</w:t>
      </w:r>
      <w:proofErr w:type="spellEnd"/>
      <w:r w:rsidRPr="00464512">
        <w:rPr>
          <w:rFonts w:eastAsia="Calibri"/>
          <w:lang w:val="en-GB"/>
        </w:rPr>
        <w:t xml:space="preserve">, V. (2025). Fertilizer Application as a Factor of Economic Security in Achieving Effective Land Use in the Conditions of Environmental Development. </w:t>
      </w:r>
      <w:proofErr w:type="spellStart"/>
      <w:r w:rsidRPr="00464512">
        <w:rPr>
          <w:rFonts w:eastAsia="Calibri"/>
          <w:i/>
          <w:iCs/>
          <w:lang w:val="en-GB"/>
        </w:rPr>
        <w:t>Rocznik</w:t>
      </w:r>
      <w:proofErr w:type="spellEnd"/>
      <w:r w:rsidRPr="00464512">
        <w:rPr>
          <w:rFonts w:eastAsia="Calibri"/>
          <w:i/>
          <w:iCs/>
          <w:lang w:val="en-GB"/>
        </w:rPr>
        <w:t xml:space="preserve"> </w:t>
      </w:r>
      <w:proofErr w:type="spellStart"/>
      <w:r w:rsidRPr="00464512">
        <w:rPr>
          <w:rFonts w:eastAsia="Calibri"/>
          <w:i/>
          <w:iCs/>
          <w:lang w:val="en-GB"/>
        </w:rPr>
        <w:t>Ochrona</w:t>
      </w:r>
      <w:proofErr w:type="spellEnd"/>
      <w:r w:rsidRPr="00464512">
        <w:rPr>
          <w:rFonts w:eastAsia="Calibri"/>
          <w:i/>
          <w:iCs/>
          <w:lang w:val="en-GB"/>
        </w:rPr>
        <w:t xml:space="preserve"> </w:t>
      </w:r>
      <w:proofErr w:type="spellStart"/>
      <w:r w:rsidRPr="00464512">
        <w:rPr>
          <w:rFonts w:eastAsia="Calibri"/>
          <w:i/>
          <w:iCs/>
          <w:lang w:val="en-GB"/>
        </w:rPr>
        <w:t>Środowiska</w:t>
      </w:r>
      <w:proofErr w:type="spellEnd"/>
      <w:r w:rsidRPr="00464512">
        <w:rPr>
          <w:rFonts w:eastAsia="Calibri"/>
          <w:lang w:val="en-GB"/>
        </w:rPr>
        <w:t xml:space="preserve">, </w:t>
      </w:r>
      <w:r w:rsidRPr="00464512">
        <w:rPr>
          <w:rFonts w:eastAsia="Calibri"/>
          <w:i/>
          <w:iCs/>
          <w:lang w:val="en-GB"/>
        </w:rPr>
        <w:t>27</w:t>
      </w:r>
      <w:r w:rsidRPr="00464512">
        <w:rPr>
          <w:rFonts w:eastAsia="Calibri"/>
          <w:lang w:val="en-GB"/>
        </w:rPr>
        <w:t xml:space="preserve">, 253-268. </w:t>
      </w:r>
      <w:hyperlink r:id="rId55" w:history="1">
        <w:r w:rsidRPr="00464512">
          <w:rPr>
            <w:rStyle w:val="Hipercze"/>
            <w:rFonts w:eastAsia="Calibri"/>
            <w:color w:val="auto"/>
            <w:u w:val="none"/>
            <w:lang w:val="en-GB"/>
          </w:rPr>
          <w:t>https://doi.org/10.54740/ros.2025.021</w:t>
        </w:r>
      </w:hyperlink>
    </w:p>
    <w:p w14:paraId="376529CE" w14:textId="5017CACC" w:rsidR="00526FC4" w:rsidRPr="00464512" w:rsidRDefault="00526FC4" w:rsidP="00C4684C">
      <w:pPr>
        <w:pStyle w:val="Rlit"/>
        <w:rPr>
          <w:shd w:val="clear" w:color="auto" w:fill="FFFFFF"/>
          <w:lang w:val="en-GB"/>
        </w:rPr>
      </w:pPr>
      <w:r w:rsidRPr="00464512">
        <w:rPr>
          <w:shd w:val="clear" w:color="auto" w:fill="FFFFFF"/>
          <w:lang w:val="en-GB"/>
        </w:rPr>
        <w:t xml:space="preserve">Tomashuk, I., </w:t>
      </w:r>
      <w:proofErr w:type="spellStart"/>
      <w:r w:rsidRPr="00464512">
        <w:rPr>
          <w:shd w:val="clear" w:color="auto" w:fill="FFFFFF"/>
          <w:lang w:val="en-GB"/>
        </w:rPr>
        <w:t>Khaietska</w:t>
      </w:r>
      <w:proofErr w:type="spellEnd"/>
      <w:r w:rsidRPr="00464512">
        <w:rPr>
          <w:shd w:val="clear" w:color="auto" w:fill="FFFFFF"/>
          <w:lang w:val="en-GB"/>
        </w:rPr>
        <w:t xml:space="preserve">, O., </w:t>
      </w:r>
      <w:r w:rsidRPr="00464512">
        <w:rPr>
          <w:lang w:val="en-GB"/>
        </w:rPr>
        <w:t xml:space="preserve">&amp; </w:t>
      </w:r>
      <w:proofErr w:type="spellStart"/>
      <w:r w:rsidRPr="00464512">
        <w:rPr>
          <w:shd w:val="clear" w:color="auto" w:fill="FFFFFF"/>
          <w:lang w:val="en-GB"/>
        </w:rPr>
        <w:t>Boltovska</w:t>
      </w:r>
      <w:proofErr w:type="spellEnd"/>
      <w:r w:rsidRPr="00464512">
        <w:rPr>
          <w:shd w:val="clear" w:color="auto" w:fill="FFFFFF"/>
          <w:lang w:val="en-GB"/>
        </w:rPr>
        <w:t xml:space="preserve">, L. (2024). Analysis of investment activities in the agricultural sector of Ukraine: determination of factors and ways of its activation. </w:t>
      </w:r>
      <w:r w:rsidRPr="00464512">
        <w:rPr>
          <w:i/>
          <w:iCs/>
          <w:shd w:val="clear" w:color="auto" w:fill="FFFFFF"/>
          <w:lang w:val="en-GB"/>
        </w:rPr>
        <w:t>Baltic Journal of Economic Studies</w:t>
      </w:r>
      <w:r w:rsidRPr="00464512">
        <w:rPr>
          <w:shd w:val="clear" w:color="auto" w:fill="FFFFFF"/>
          <w:lang w:val="en-GB"/>
        </w:rPr>
        <w:t xml:space="preserve">, </w:t>
      </w:r>
      <w:r w:rsidRPr="00464512">
        <w:rPr>
          <w:i/>
          <w:iCs/>
          <w:shd w:val="clear" w:color="auto" w:fill="FFFFFF"/>
          <w:lang w:val="en-GB"/>
        </w:rPr>
        <w:t>10</w:t>
      </w:r>
      <w:r w:rsidR="00F112EA" w:rsidRPr="00464512">
        <w:rPr>
          <w:shd w:val="clear" w:color="auto" w:fill="FFFFFF"/>
          <w:lang w:val="en-GB"/>
        </w:rPr>
        <w:t>(</w:t>
      </w:r>
      <w:r w:rsidRPr="00464512">
        <w:rPr>
          <w:shd w:val="clear" w:color="auto" w:fill="FFFFFF"/>
          <w:lang w:val="en-GB"/>
        </w:rPr>
        <w:t>3</w:t>
      </w:r>
      <w:r w:rsidR="00F112EA" w:rsidRPr="00464512">
        <w:rPr>
          <w:shd w:val="clear" w:color="auto" w:fill="FFFFFF"/>
          <w:lang w:val="en-GB"/>
        </w:rPr>
        <w:t>)</w:t>
      </w:r>
      <w:r w:rsidRPr="00464512">
        <w:rPr>
          <w:shd w:val="clear" w:color="auto" w:fill="FFFFFF"/>
          <w:lang w:val="en-GB"/>
        </w:rPr>
        <w:t xml:space="preserve">, 340-352. </w:t>
      </w:r>
      <w:hyperlink r:id="rId56" w:history="1">
        <w:r w:rsidRPr="00464512">
          <w:rPr>
            <w:rStyle w:val="Hipercze"/>
            <w:color w:val="auto"/>
            <w:u w:val="none"/>
            <w:shd w:val="clear" w:color="auto" w:fill="FFFFFF"/>
            <w:lang w:val="en-GB"/>
          </w:rPr>
          <w:t>https://doi.org/10.30525/2256-0742/2024-10-3-340-352</w:t>
        </w:r>
      </w:hyperlink>
    </w:p>
    <w:p w14:paraId="3F019AFA" w14:textId="1501D0F1" w:rsidR="00526FC4" w:rsidRPr="00464512" w:rsidRDefault="00526FC4" w:rsidP="00F112EA">
      <w:pPr>
        <w:pStyle w:val="Rlit"/>
        <w:jc w:val="left"/>
        <w:rPr>
          <w:lang w:val="en-GB"/>
        </w:rPr>
      </w:pPr>
      <w:r w:rsidRPr="00464512">
        <w:rPr>
          <w:shd w:val="clear" w:color="auto" w:fill="FFFFFF"/>
          <w:lang w:val="en-GB"/>
        </w:rPr>
        <w:t xml:space="preserve">Tomashuk, I., </w:t>
      </w:r>
      <w:proofErr w:type="spellStart"/>
      <w:r w:rsidRPr="00464512">
        <w:rPr>
          <w:shd w:val="clear" w:color="auto" w:fill="FFFFFF"/>
          <w:lang w:val="en-GB"/>
        </w:rPr>
        <w:t>Koliadenko</w:t>
      </w:r>
      <w:proofErr w:type="spellEnd"/>
      <w:r w:rsidRPr="00464512">
        <w:rPr>
          <w:shd w:val="clear" w:color="auto" w:fill="FFFFFF"/>
          <w:lang w:val="en-GB"/>
        </w:rPr>
        <w:t xml:space="preserve">, S., </w:t>
      </w:r>
      <w:r w:rsidRPr="00464512">
        <w:rPr>
          <w:lang w:val="en-GB"/>
        </w:rPr>
        <w:t xml:space="preserve">&amp; </w:t>
      </w:r>
      <w:proofErr w:type="spellStart"/>
      <w:r w:rsidRPr="00464512">
        <w:rPr>
          <w:shd w:val="clear" w:color="auto" w:fill="FFFFFF"/>
          <w:lang w:val="en-GB"/>
        </w:rPr>
        <w:t>Burdіak</w:t>
      </w:r>
      <w:proofErr w:type="spellEnd"/>
      <w:r w:rsidRPr="00464512">
        <w:rPr>
          <w:shd w:val="clear" w:color="auto" w:fill="FFFFFF"/>
          <w:lang w:val="en-GB"/>
        </w:rPr>
        <w:t xml:space="preserve">, М. (2025). The impact of digital innovations on the development of agricultural businesses. </w:t>
      </w:r>
      <w:r w:rsidRPr="00464512">
        <w:rPr>
          <w:i/>
          <w:iCs/>
          <w:shd w:val="clear" w:color="auto" w:fill="FFFFFF"/>
          <w:lang w:val="en-GB"/>
        </w:rPr>
        <w:t>Baltic Journal of Economic Studies</w:t>
      </w:r>
      <w:r w:rsidRPr="00464512">
        <w:rPr>
          <w:shd w:val="clear" w:color="auto" w:fill="FFFFFF"/>
          <w:lang w:val="en-GB"/>
        </w:rPr>
        <w:t xml:space="preserve">, </w:t>
      </w:r>
      <w:r w:rsidRPr="00464512">
        <w:rPr>
          <w:i/>
          <w:iCs/>
          <w:shd w:val="clear" w:color="auto" w:fill="FFFFFF"/>
          <w:lang w:val="en-GB"/>
        </w:rPr>
        <w:t>11</w:t>
      </w:r>
      <w:r w:rsidRPr="00464512">
        <w:rPr>
          <w:shd w:val="clear" w:color="auto" w:fill="FFFFFF"/>
          <w:lang w:val="en-GB"/>
        </w:rPr>
        <w:t xml:space="preserve">(1), 361-375. </w:t>
      </w:r>
      <w:r w:rsidR="00F112EA" w:rsidRPr="00464512">
        <w:rPr>
          <w:shd w:val="clear" w:color="auto" w:fill="FFFFFF"/>
          <w:lang w:val="en-GB"/>
        </w:rPr>
        <w:br/>
      </w:r>
      <w:hyperlink r:id="rId57" w:history="1">
        <w:r w:rsidRPr="00464512">
          <w:rPr>
            <w:rStyle w:val="Hipercze"/>
            <w:color w:val="auto"/>
            <w:u w:val="none"/>
            <w:shd w:val="clear" w:color="auto" w:fill="FFFFFF"/>
            <w:lang w:val="en-GB"/>
          </w:rPr>
          <w:t>https://doi.org/10.30525/2256-0742/2025-11-1-361-375</w:t>
        </w:r>
      </w:hyperlink>
    </w:p>
    <w:p w14:paraId="3BA34C2D" w14:textId="77777777" w:rsidR="00526FC4" w:rsidRPr="00464512" w:rsidRDefault="00526FC4" w:rsidP="00C4684C">
      <w:pPr>
        <w:pStyle w:val="Rlit"/>
        <w:rPr>
          <w:lang w:val="en-GB"/>
        </w:rPr>
      </w:pPr>
      <w:r w:rsidRPr="00464512">
        <w:rPr>
          <w:lang w:val="en-GB"/>
        </w:rPr>
        <w:t xml:space="preserve">Tretiak, N., Sakal, O., Kovalenko, A., Kalinowski, S., Tretiak, V., Shtohryn, H., Behal, I., &amp; Klodzinski, M. (2021). Land Resources and Land Use Management in Ukraine: Problems of Agreement of the Institutional Structure, Functions and Authorities. </w:t>
      </w:r>
      <w:r w:rsidRPr="00464512">
        <w:rPr>
          <w:i/>
          <w:iCs/>
          <w:lang w:val="en-GB"/>
        </w:rPr>
        <w:t>European Research Studies Journal</w:t>
      </w:r>
      <w:r w:rsidRPr="00464512">
        <w:rPr>
          <w:lang w:val="en-GB"/>
        </w:rPr>
        <w:t xml:space="preserve">, </w:t>
      </w:r>
      <w:r w:rsidRPr="00464512">
        <w:rPr>
          <w:i/>
          <w:iCs/>
          <w:lang w:val="en-GB"/>
        </w:rPr>
        <w:t>XXIV</w:t>
      </w:r>
      <w:r w:rsidRPr="00464512">
        <w:rPr>
          <w:lang w:val="en-GB"/>
        </w:rPr>
        <w:t xml:space="preserve">(1), 776-789. </w:t>
      </w:r>
      <w:hyperlink r:id="rId58" w:history="1">
        <w:r w:rsidRPr="00464512">
          <w:rPr>
            <w:rStyle w:val="Hipercze"/>
            <w:color w:val="auto"/>
            <w:u w:val="none"/>
            <w:lang w:val="en-GB"/>
          </w:rPr>
          <w:t>https://doi.org/10.35808/ersj/1994</w:t>
        </w:r>
      </w:hyperlink>
    </w:p>
    <w:p w14:paraId="02AE2EA5" w14:textId="15451C23" w:rsidR="00526FC4" w:rsidRPr="00464512" w:rsidRDefault="00526FC4" w:rsidP="00C4684C">
      <w:pPr>
        <w:pStyle w:val="Rlit"/>
        <w:rPr>
          <w:lang w:val="en-GB"/>
        </w:rPr>
      </w:pPr>
      <w:r w:rsidRPr="00464512">
        <w:rPr>
          <w:lang w:val="en-GB"/>
        </w:rPr>
        <w:t xml:space="preserve">van der Ploeg, J. D., </w:t>
      </w:r>
      <w:proofErr w:type="spellStart"/>
      <w:r w:rsidRPr="00464512">
        <w:rPr>
          <w:lang w:val="en-GB"/>
        </w:rPr>
        <w:t>Barjolle</w:t>
      </w:r>
      <w:proofErr w:type="spellEnd"/>
      <w:r w:rsidRPr="00464512">
        <w:rPr>
          <w:lang w:val="en-GB"/>
        </w:rPr>
        <w:t xml:space="preserve">, D., &amp; </w:t>
      </w:r>
      <w:proofErr w:type="spellStart"/>
      <w:r w:rsidRPr="00464512">
        <w:rPr>
          <w:lang w:val="en-GB"/>
        </w:rPr>
        <w:t>Bruil</w:t>
      </w:r>
      <w:proofErr w:type="spellEnd"/>
      <w:r w:rsidRPr="00464512">
        <w:rPr>
          <w:lang w:val="en-GB"/>
        </w:rPr>
        <w:t xml:space="preserve">, J. (2019). </w:t>
      </w:r>
      <w:r w:rsidRPr="00464512">
        <w:rPr>
          <w:i/>
          <w:iCs/>
          <w:lang w:val="en-GB"/>
        </w:rPr>
        <w:t>The economic potential of agroecology: Empirical evidence from Europe</w:t>
      </w:r>
      <w:r w:rsidRPr="00464512">
        <w:rPr>
          <w:lang w:val="en-GB"/>
        </w:rPr>
        <w:t xml:space="preserve">. </w:t>
      </w:r>
      <w:r w:rsidRPr="00464512">
        <w:rPr>
          <w:i/>
          <w:iCs/>
          <w:lang w:val="en-GB"/>
        </w:rPr>
        <w:t>Journal of Rural Studies</w:t>
      </w:r>
      <w:r w:rsidRPr="00464512">
        <w:rPr>
          <w:lang w:val="en-GB"/>
        </w:rPr>
        <w:t xml:space="preserve">, </w:t>
      </w:r>
      <w:r w:rsidRPr="00464512">
        <w:rPr>
          <w:i/>
          <w:iCs/>
          <w:lang w:val="en-GB"/>
        </w:rPr>
        <w:t>71</w:t>
      </w:r>
      <w:r w:rsidRPr="00464512">
        <w:rPr>
          <w:lang w:val="en-GB"/>
        </w:rPr>
        <w:t xml:space="preserve">, 46-61. </w:t>
      </w:r>
      <w:hyperlink r:id="rId59" w:history="1">
        <w:r w:rsidRPr="00464512">
          <w:rPr>
            <w:rStyle w:val="Hipercze"/>
            <w:color w:val="auto"/>
            <w:u w:val="none"/>
            <w:lang w:val="en-GB"/>
          </w:rPr>
          <w:t>https://doi.org/10.1016/j.jrurstud.2019.09.003</w:t>
        </w:r>
      </w:hyperlink>
    </w:p>
    <w:p w14:paraId="6F4030AD" w14:textId="17552217" w:rsidR="00526FC4" w:rsidRPr="00464512" w:rsidRDefault="00526FC4" w:rsidP="00C4684C">
      <w:pPr>
        <w:pStyle w:val="Rlit"/>
        <w:rPr>
          <w:lang w:val="en-GB"/>
        </w:rPr>
      </w:pPr>
      <w:r w:rsidRPr="00464512">
        <w:rPr>
          <w:spacing w:val="-2"/>
          <w:shd w:val="clear" w:color="auto" w:fill="FFFFFF"/>
          <w:lang w:val="en-GB"/>
        </w:rPr>
        <w:t xml:space="preserve">Vdovenko, L., Ruda, O., Koval, O., Horlachuk, M., </w:t>
      </w:r>
      <w:r w:rsidRPr="00464512">
        <w:rPr>
          <w:spacing w:val="-2"/>
          <w:lang w:val="en-GB"/>
        </w:rPr>
        <w:t xml:space="preserve">&amp; </w:t>
      </w:r>
      <w:proofErr w:type="spellStart"/>
      <w:r w:rsidRPr="00464512">
        <w:rPr>
          <w:spacing w:val="-2"/>
          <w:shd w:val="clear" w:color="auto" w:fill="FFFFFF"/>
          <w:lang w:val="en-GB"/>
        </w:rPr>
        <w:t>Herasymchuk</w:t>
      </w:r>
      <w:proofErr w:type="spellEnd"/>
      <w:r w:rsidRPr="00464512">
        <w:rPr>
          <w:spacing w:val="-2"/>
          <w:shd w:val="clear" w:color="auto" w:fill="FFFFFF"/>
          <w:lang w:val="en-GB"/>
        </w:rPr>
        <w:t xml:space="preserve">, V. (2023). Strategy of investment attraction for the development of rural areas for the economic restoration of the agricultural sector. </w:t>
      </w:r>
      <w:r w:rsidRPr="00464512">
        <w:rPr>
          <w:i/>
          <w:iCs/>
          <w:spacing w:val="-2"/>
          <w:shd w:val="clear" w:color="auto" w:fill="FFFFFF"/>
          <w:lang w:val="en-GB"/>
        </w:rPr>
        <w:t>Scientific Horizons</w:t>
      </w:r>
      <w:r w:rsidRPr="00464512">
        <w:rPr>
          <w:spacing w:val="-2"/>
          <w:shd w:val="clear" w:color="auto" w:fill="FFFFFF"/>
          <w:lang w:val="en-GB"/>
        </w:rPr>
        <w:t xml:space="preserve">, </w:t>
      </w:r>
      <w:r w:rsidRPr="00464512">
        <w:rPr>
          <w:i/>
          <w:iCs/>
          <w:spacing w:val="-2"/>
          <w:shd w:val="clear" w:color="auto" w:fill="FFFFFF"/>
          <w:lang w:val="en-GB"/>
        </w:rPr>
        <w:t>26</w:t>
      </w:r>
      <w:r w:rsidRPr="00464512">
        <w:rPr>
          <w:spacing w:val="-2"/>
          <w:shd w:val="clear" w:color="auto" w:fill="FFFFFF"/>
          <w:lang w:val="en-GB"/>
        </w:rPr>
        <w:t>(5), 137-150.</w:t>
      </w:r>
      <w:r w:rsidRPr="00464512">
        <w:rPr>
          <w:shd w:val="clear" w:color="auto" w:fill="FFFFFF"/>
          <w:lang w:val="en-GB"/>
        </w:rPr>
        <w:t xml:space="preserve"> </w:t>
      </w:r>
      <w:hyperlink r:id="rId60" w:history="1">
        <w:r w:rsidRPr="00464512">
          <w:rPr>
            <w:rStyle w:val="Hipercze"/>
            <w:color w:val="auto"/>
            <w:u w:val="none"/>
            <w:shd w:val="clear" w:color="auto" w:fill="FFFFFF"/>
            <w:lang w:val="en-GB"/>
          </w:rPr>
          <w:t>https://doi.org/10.48077/scihor5.2023.137</w:t>
        </w:r>
      </w:hyperlink>
    </w:p>
    <w:p w14:paraId="0C985AA8" w14:textId="380988C0" w:rsidR="00526FC4" w:rsidRPr="00464512" w:rsidRDefault="00526FC4" w:rsidP="00C4684C">
      <w:pPr>
        <w:pStyle w:val="Rlit"/>
        <w:rPr>
          <w:lang w:val="en-GB"/>
        </w:rPr>
      </w:pPr>
      <w:r w:rsidRPr="00464512">
        <w:rPr>
          <w:lang w:val="en-GB"/>
        </w:rPr>
        <w:t xml:space="preserve">von Hegner, I. (2025). The Biodiversification Resistor: Ramifications for Life on Extreme </w:t>
      </w:r>
      <w:proofErr w:type="spellStart"/>
      <w:r w:rsidRPr="00464512">
        <w:rPr>
          <w:lang w:val="en-GB"/>
        </w:rPr>
        <w:t>Exoworlds</w:t>
      </w:r>
      <w:proofErr w:type="spellEnd"/>
      <w:r w:rsidRPr="00464512">
        <w:rPr>
          <w:lang w:val="en-GB"/>
        </w:rPr>
        <w:t xml:space="preserve">. </w:t>
      </w:r>
      <w:r w:rsidRPr="00464512">
        <w:rPr>
          <w:i/>
          <w:iCs/>
          <w:lang w:val="en-GB"/>
        </w:rPr>
        <w:t>Philosophy and Cosmology</w:t>
      </w:r>
      <w:r w:rsidRPr="00464512">
        <w:rPr>
          <w:lang w:val="en-GB"/>
        </w:rPr>
        <w:t xml:space="preserve">, </w:t>
      </w:r>
      <w:r w:rsidRPr="00464512">
        <w:rPr>
          <w:i/>
          <w:iCs/>
          <w:lang w:val="en-GB"/>
        </w:rPr>
        <w:t>35</w:t>
      </w:r>
      <w:r w:rsidRPr="00464512">
        <w:rPr>
          <w:lang w:val="en-GB"/>
        </w:rPr>
        <w:t xml:space="preserve">, 52-74. </w:t>
      </w:r>
      <w:hyperlink r:id="rId61" w:history="1">
        <w:r w:rsidRPr="00464512">
          <w:rPr>
            <w:rStyle w:val="Hipercze"/>
            <w:color w:val="auto"/>
            <w:u w:val="none"/>
            <w:lang w:val="en-GB"/>
          </w:rPr>
          <w:t>https://doi.org/10.29202/philcosm/35/2</w:t>
        </w:r>
      </w:hyperlink>
    </w:p>
    <w:p w14:paraId="4BDAA889" w14:textId="77777777" w:rsidR="00526FC4" w:rsidRPr="00464512" w:rsidRDefault="00526FC4" w:rsidP="00F112EA">
      <w:pPr>
        <w:pStyle w:val="Rlit"/>
        <w:jc w:val="left"/>
        <w:rPr>
          <w:lang w:val="en-GB"/>
        </w:rPr>
      </w:pPr>
      <w:proofErr w:type="spellStart"/>
      <w:r w:rsidRPr="00464512">
        <w:rPr>
          <w:lang w:val="en-GB"/>
        </w:rPr>
        <w:t>Yankovyi</w:t>
      </w:r>
      <w:proofErr w:type="spellEnd"/>
      <w:r w:rsidRPr="00464512">
        <w:rPr>
          <w:lang w:val="en-GB"/>
        </w:rPr>
        <w:t xml:space="preserve">, O., Koval, V., Lazorenko, L., </w:t>
      </w:r>
      <w:proofErr w:type="spellStart"/>
      <w:r w:rsidRPr="00464512">
        <w:rPr>
          <w:lang w:val="en-GB"/>
        </w:rPr>
        <w:t>Poberezhets</w:t>
      </w:r>
      <w:proofErr w:type="spellEnd"/>
      <w:r w:rsidRPr="00464512">
        <w:rPr>
          <w:lang w:val="en-GB"/>
        </w:rPr>
        <w:t xml:space="preserve">, O., Novikova, M., &amp; Gonchar, V. (2021). </w:t>
      </w:r>
      <w:proofErr w:type="spellStart"/>
      <w:r w:rsidRPr="00464512">
        <w:rPr>
          <w:lang w:val="en-GB"/>
        </w:rPr>
        <w:t>Modeling</w:t>
      </w:r>
      <w:proofErr w:type="spellEnd"/>
      <w:r w:rsidRPr="00464512">
        <w:rPr>
          <w:lang w:val="en-GB"/>
        </w:rPr>
        <w:t xml:space="preserve"> Sustainable Economic Development Using Production Functions. </w:t>
      </w:r>
      <w:r w:rsidRPr="00464512">
        <w:rPr>
          <w:i/>
          <w:iCs/>
          <w:lang w:val="en-GB"/>
        </w:rPr>
        <w:t>Studies of Applied Economics</w:t>
      </w:r>
      <w:r w:rsidRPr="00464512">
        <w:rPr>
          <w:lang w:val="en-GB"/>
        </w:rPr>
        <w:t xml:space="preserve">, </w:t>
      </w:r>
      <w:r w:rsidRPr="00464512">
        <w:rPr>
          <w:i/>
          <w:iCs/>
          <w:lang w:val="en-GB"/>
        </w:rPr>
        <w:t>39</w:t>
      </w:r>
      <w:r w:rsidRPr="00464512">
        <w:rPr>
          <w:lang w:val="en-GB"/>
        </w:rPr>
        <w:t>(5). https://doi.org/10.25115/eea.v39i5.5090</w:t>
      </w:r>
    </w:p>
    <w:p w14:paraId="1E8070E1" w14:textId="77777777" w:rsidR="00526FC4" w:rsidRPr="00464512" w:rsidRDefault="00526FC4" w:rsidP="00C4684C">
      <w:pPr>
        <w:pStyle w:val="Rlit"/>
        <w:rPr>
          <w:lang w:val="en-GB"/>
        </w:rPr>
      </w:pPr>
      <w:proofErr w:type="spellStart"/>
      <w:r w:rsidRPr="00464512">
        <w:rPr>
          <w:spacing w:val="-2"/>
          <w:lang w:val="en-GB"/>
        </w:rPr>
        <w:t>Yarmol</w:t>
      </w:r>
      <w:proofErr w:type="spellEnd"/>
      <w:r w:rsidRPr="00464512">
        <w:rPr>
          <w:spacing w:val="-2"/>
          <w:lang w:val="en-GB"/>
        </w:rPr>
        <w:t xml:space="preserve">, L., </w:t>
      </w:r>
      <w:proofErr w:type="spellStart"/>
      <w:r w:rsidRPr="00464512">
        <w:rPr>
          <w:spacing w:val="-2"/>
          <w:lang w:val="en-GB"/>
        </w:rPr>
        <w:t>Dolynska</w:t>
      </w:r>
      <w:proofErr w:type="spellEnd"/>
      <w:r w:rsidRPr="00464512">
        <w:rPr>
          <w:spacing w:val="-2"/>
          <w:lang w:val="en-GB"/>
        </w:rPr>
        <w:t xml:space="preserve">, M., Stetsyuk, N., </w:t>
      </w:r>
      <w:proofErr w:type="spellStart"/>
      <w:r w:rsidRPr="00464512">
        <w:rPr>
          <w:spacing w:val="-2"/>
          <w:lang w:val="en-GB"/>
        </w:rPr>
        <w:t>Andrusiak</w:t>
      </w:r>
      <w:proofErr w:type="spellEnd"/>
      <w:r w:rsidRPr="00464512">
        <w:rPr>
          <w:spacing w:val="-2"/>
          <w:lang w:val="en-GB"/>
        </w:rPr>
        <w:t xml:space="preserve">, I., &amp; </w:t>
      </w:r>
      <w:proofErr w:type="spellStart"/>
      <w:r w:rsidRPr="00464512">
        <w:rPr>
          <w:spacing w:val="-2"/>
          <w:lang w:val="en-GB"/>
        </w:rPr>
        <w:t>Muraviova</w:t>
      </w:r>
      <w:proofErr w:type="spellEnd"/>
      <w:r w:rsidRPr="00464512">
        <w:rPr>
          <w:spacing w:val="-2"/>
          <w:lang w:val="en-GB"/>
        </w:rPr>
        <w:t xml:space="preserve">, I. (2022). Legal security of environmental safety under the conditions of marital state in Ukraine. </w:t>
      </w:r>
      <w:proofErr w:type="spellStart"/>
      <w:r w:rsidRPr="00464512">
        <w:rPr>
          <w:i/>
          <w:iCs/>
          <w:spacing w:val="-2"/>
          <w:lang w:val="en-GB"/>
        </w:rPr>
        <w:t>Naukovyi</w:t>
      </w:r>
      <w:proofErr w:type="spellEnd"/>
      <w:r w:rsidRPr="00464512">
        <w:rPr>
          <w:i/>
          <w:iCs/>
          <w:spacing w:val="-2"/>
          <w:lang w:val="en-GB"/>
        </w:rPr>
        <w:t xml:space="preserve"> </w:t>
      </w:r>
      <w:proofErr w:type="spellStart"/>
      <w:r w:rsidRPr="00464512">
        <w:rPr>
          <w:i/>
          <w:iCs/>
          <w:spacing w:val="-2"/>
          <w:lang w:val="en-GB"/>
        </w:rPr>
        <w:t>Visnyk</w:t>
      </w:r>
      <w:proofErr w:type="spellEnd"/>
      <w:r w:rsidRPr="00464512">
        <w:rPr>
          <w:i/>
          <w:iCs/>
          <w:spacing w:val="-2"/>
          <w:lang w:val="en-GB"/>
        </w:rPr>
        <w:t xml:space="preserve"> </w:t>
      </w:r>
      <w:proofErr w:type="spellStart"/>
      <w:r w:rsidRPr="00464512">
        <w:rPr>
          <w:i/>
          <w:iCs/>
          <w:spacing w:val="-2"/>
          <w:lang w:val="en-GB"/>
        </w:rPr>
        <w:t>Natsionalnoho</w:t>
      </w:r>
      <w:proofErr w:type="spellEnd"/>
      <w:r w:rsidRPr="00464512">
        <w:rPr>
          <w:i/>
          <w:iCs/>
          <w:spacing w:val="-2"/>
          <w:lang w:val="en-GB"/>
        </w:rPr>
        <w:t xml:space="preserve"> </w:t>
      </w:r>
      <w:proofErr w:type="spellStart"/>
      <w:r w:rsidRPr="00464512">
        <w:rPr>
          <w:i/>
          <w:iCs/>
          <w:spacing w:val="-2"/>
          <w:lang w:val="en-GB"/>
        </w:rPr>
        <w:t>Hirnychoho</w:t>
      </w:r>
      <w:proofErr w:type="spellEnd"/>
      <w:r w:rsidRPr="00464512">
        <w:rPr>
          <w:i/>
          <w:iCs/>
          <w:spacing w:val="-2"/>
          <w:lang w:val="en-GB"/>
        </w:rPr>
        <w:t xml:space="preserve"> </w:t>
      </w:r>
      <w:proofErr w:type="spellStart"/>
      <w:r w:rsidRPr="00464512">
        <w:rPr>
          <w:i/>
          <w:iCs/>
          <w:spacing w:val="-2"/>
          <w:lang w:val="en-GB"/>
        </w:rPr>
        <w:t>Universytetu</w:t>
      </w:r>
      <w:proofErr w:type="spellEnd"/>
      <w:r w:rsidRPr="00464512">
        <w:rPr>
          <w:spacing w:val="-2"/>
          <w:lang w:val="en-GB"/>
        </w:rPr>
        <w:t xml:space="preserve">, </w:t>
      </w:r>
      <w:r w:rsidRPr="00464512">
        <w:rPr>
          <w:i/>
          <w:iCs/>
          <w:spacing w:val="-2"/>
          <w:lang w:val="en-GB"/>
        </w:rPr>
        <w:t>5</w:t>
      </w:r>
      <w:r w:rsidRPr="00464512">
        <w:rPr>
          <w:spacing w:val="-2"/>
          <w:lang w:val="en-GB"/>
        </w:rPr>
        <w:t xml:space="preserve">, 110-115. </w:t>
      </w:r>
      <w:hyperlink r:id="rId62" w:history="1">
        <w:r w:rsidRPr="00464512">
          <w:rPr>
            <w:rStyle w:val="Hipercze"/>
            <w:color w:val="auto"/>
            <w:u w:val="none"/>
            <w:lang w:val="en-GB"/>
          </w:rPr>
          <w:t>https://doi.org/10.33271/nvngu/2022-5/110</w:t>
        </w:r>
      </w:hyperlink>
      <w:r w:rsidRPr="00464512">
        <w:rPr>
          <w:lang w:val="en-GB"/>
        </w:rPr>
        <w:t xml:space="preserve"> </w:t>
      </w:r>
    </w:p>
    <w:p w14:paraId="40772ACD" w14:textId="3E386C89" w:rsidR="00526FC4" w:rsidRPr="00464512" w:rsidRDefault="00526FC4" w:rsidP="00855F01">
      <w:pPr>
        <w:pStyle w:val="Rlit"/>
        <w:jc w:val="left"/>
        <w:rPr>
          <w:lang w:val="en-GB"/>
        </w:rPr>
      </w:pPr>
      <w:r w:rsidRPr="00464512">
        <w:rPr>
          <w:lang w:val="en-GB"/>
        </w:rPr>
        <w:t xml:space="preserve">Yermakov, O., </w:t>
      </w:r>
      <w:proofErr w:type="spellStart"/>
      <w:r w:rsidRPr="00464512">
        <w:rPr>
          <w:lang w:val="en-GB"/>
        </w:rPr>
        <w:t>Tіurina</w:t>
      </w:r>
      <w:proofErr w:type="spellEnd"/>
      <w:r w:rsidRPr="00464512">
        <w:rPr>
          <w:lang w:val="en-GB"/>
        </w:rPr>
        <w:t xml:space="preserve">, А., &amp; Kalashnikova, H. (2022). Economic assessment of the investment potential of agricultural sector of Ukraine. </w:t>
      </w:r>
      <w:r w:rsidRPr="00464512">
        <w:rPr>
          <w:i/>
          <w:iCs/>
          <w:lang w:val="en-GB"/>
        </w:rPr>
        <w:t>Economics and Business Management</w:t>
      </w:r>
      <w:r w:rsidRPr="00464512">
        <w:rPr>
          <w:lang w:val="en-GB"/>
        </w:rPr>
        <w:t xml:space="preserve">, </w:t>
      </w:r>
      <w:r w:rsidRPr="00464512">
        <w:rPr>
          <w:i/>
          <w:iCs/>
          <w:lang w:val="en-GB"/>
        </w:rPr>
        <w:t>13</w:t>
      </w:r>
      <w:r w:rsidRPr="00464512">
        <w:rPr>
          <w:lang w:val="en-GB"/>
        </w:rPr>
        <w:t xml:space="preserve">(2), 3-16. </w:t>
      </w:r>
      <w:hyperlink r:id="rId63" w:history="1">
        <w:r w:rsidRPr="00464512">
          <w:rPr>
            <w:rStyle w:val="Hipercze"/>
            <w:color w:val="auto"/>
            <w:u w:val="none"/>
            <w:lang w:val="en-GB"/>
          </w:rPr>
          <w:t>https://doi.org/10.31548/bioeconomy13(2).2022.3-16</w:t>
        </w:r>
      </w:hyperlink>
    </w:p>
    <w:p w14:paraId="36B1C3C1" w14:textId="77777777" w:rsidR="00526FC4" w:rsidRPr="00464512" w:rsidRDefault="00526FC4" w:rsidP="00C4684C">
      <w:pPr>
        <w:pStyle w:val="Rlit"/>
        <w:rPr>
          <w:lang w:val="en-GB"/>
        </w:rPr>
      </w:pPr>
      <w:r w:rsidRPr="00464512">
        <w:rPr>
          <w:lang w:val="en-GB"/>
        </w:rPr>
        <w:t xml:space="preserve">Zakharchuk, O., </w:t>
      </w:r>
      <w:proofErr w:type="spellStart"/>
      <w:r w:rsidRPr="00464512">
        <w:rPr>
          <w:lang w:val="en-GB"/>
        </w:rPr>
        <w:t>Kisil</w:t>
      </w:r>
      <w:proofErr w:type="spellEnd"/>
      <w:r w:rsidRPr="00464512">
        <w:rPr>
          <w:lang w:val="en-GB"/>
        </w:rPr>
        <w:t xml:space="preserve">, M., &amp; </w:t>
      </w:r>
      <w:proofErr w:type="spellStart"/>
      <w:r w:rsidRPr="00464512">
        <w:rPr>
          <w:lang w:val="en-GB"/>
        </w:rPr>
        <w:t>Nechytailo</w:t>
      </w:r>
      <w:proofErr w:type="spellEnd"/>
      <w:r w:rsidRPr="00464512">
        <w:rPr>
          <w:lang w:val="en-GB"/>
        </w:rPr>
        <w:t xml:space="preserve">, V. (2022). The state and prospects of investing in the development of agriculture in conditions of instability. </w:t>
      </w:r>
      <w:proofErr w:type="spellStart"/>
      <w:r w:rsidRPr="00464512">
        <w:rPr>
          <w:i/>
          <w:iCs/>
          <w:lang w:val="en-GB"/>
        </w:rPr>
        <w:t>Ekonomika</w:t>
      </w:r>
      <w:proofErr w:type="spellEnd"/>
      <w:r w:rsidRPr="00464512">
        <w:rPr>
          <w:i/>
          <w:iCs/>
          <w:lang w:val="en-GB"/>
        </w:rPr>
        <w:t xml:space="preserve"> APK</w:t>
      </w:r>
      <w:r w:rsidRPr="00464512">
        <w:rPr>
          <w:lang w:val="en-GB"/>
        </w:rPr>
        <w:t xml:space="preserve">, </w:t>
      </w:r>
      <w:r w:rsidRPr="00464512">
        <w:rPr>
          <w:i/>
          <w:iCs/>
          <w:lang w:val="en-GB"/>
        </w:rPr>
        <w:t>29</w:t>
      </w:r>
      <w:r w:rsidRPr="00464512">
        <w:rPr>
          <w:lang w:val="en-GB"/>
        </w:rPr>
        <w:t xml:space="preserve">(6), 41-56. </w:t>
      </w:r>
      <w:hyperlink r:id="rId64" w:history="1">
        <w:r w:rsidRPr="00464512">
          <w:rPr>
            <w:rStyle w:val="Hipercze"/>
            <w:color w:val="auto"/>
            <w:u w:val="none"/>
            <w:lang w:val="en-GB"/>
          </w:rPr>
          <w:t>https://doi.org/10.32317/2221-1055.202206041</w:t>
        </w:r>
      </w:hyperlink>
    </w:p>
    <w:p w14:paraId="5CAF8F50" w14:textId="77777777" w:rsidR="00526FC4" w:rsidRPr="00464512" w:rsidRDefault="00526FC4" w:rsidP="00C4684C">
      <w:pPr>
        <w:pStyle w:val="Rlit"/>
        <w:rPr>
          <w:lang w:val="en-GB"/>
        </w:rPr>
      </w:pPr>
      <w:proofErr w:type="spellStart"/>
      <w:r w:rsidRPr="00464512">
        <w:rPr>
          <w:lang w:val="en-GB"/>
        </w:rPr>
        <w:t>Zamula</w:t>
      </w:r>
      <w:proofErr w:type="spellEnd"/>
      <w:r w:rsidRPr="00464512">
        <w:rPr>
          <w:lang w:val="en-GB"/>
        </w:rPr>
        <w:t xml:space="preserve">, І., </w:t>
      </w:r>
      <w:proofErr w:type="spellStart"/>
      <w:r w:rsidRPr="00464512">
        <w:rPr>
          <w:lang w:val="en-GB"/>
        </w:rPr>
        <w:t>Prodanchuk</w:t>
      </w:r>
      <w:proofErr w:type="spellEnd"/>
      <w:r w:rsidRPr="00464512">
        <w:rPr>
          <w:lang w:val="en-GB"/>
        </w:rPr>
        <w:t xml:space="preserve">, M.,  Kovalchuk, T., Kolesnikova, O., &amp; </w:t>
      </w:r>
      <w:proofErr w:type="spellStart"/>
      <w:r w:rsidRPr="00464512">
        <w:rPr>
          <w:lang w:val="en-GB"/>
        </w:rPr>
        <w:t>Myhalkiv</w:t>
      </w:r>
      <w:proofErr w:type="spellEnd"/>
      <w:r w:rsidRPr="00464512">
        <w:rPr>
          <w:lang w:val="en-GB"/>
        </w:rPr>
        <w:t xml:space="preserve">, A. (2020). Indicators of ecological condition of natural resources in integrated reporting of the enterprise. </w:t>
      </w:r>
      <w:proofErr w:type="spellStart"/>
      <w:r w:rsidRPr="00464512">
        <w:rPr>
          <w:i/>
          <w:iCs/>
          <w:lang w:val="en-GB"/>
        </w:rPr>
        <w:t>Naukovyi</w:t>
      </w:r>
      <w:proofErr w:type="spellEnd"/>
      <w:r w:rsidRPr="00464512">
        <w:rPr>
          <w:i/>
          <w:iCs/>
          <w:lang w:val="en-GB"/>
        </w:rPr>
        <w:t xml:space="preserve"> </w:t>
      </w:r>
      <w:proofErr w:type="spellStart"/>
      <w:r w:rsidRPr="00464512">
        <w:rPr>
          <w:i/>
          <w:iCs/>
          <w:lang w:val="en-GB"/>
        </w:rPr>
        <w:t>Visnyk</w:t>
      </w:r>
      <w:proofErr w:type="spellEnd"/>
      <w:r w:rsidRPr="00464512">
        <w:rPr>
          <w:i/>
          <w:iCs/>
          <w:lang w:val="en-GB"/>
        </w:rPr>
        <w:t xml:space="preserve"> </w:t>
      </w:r>
      <w:proofErr w:type="spellStart"/>
      <w:r w:rsidRPr="00464512">
        <w:rPr>
          <w:i/>
          <w:iCs/>
          <w:lang w:val="en-GB"/>
        </w:rPr>
        <w:t>Natsionalnoho</w:t>
      </w:r>
      <w:proofErr w:type="spellEnd"/>
      <w:r w:rsidRPr="00464512">
        <w:rPr>
          <w:i/>
          <w:iCs/>
          <w:lang w:val="en-GB"/>
        </w:rPr>
        <w:t xml:space="preserve"> </w:t>
      </w:r>
      <w:proofErr w:type="spellStart"/>
      <w:r w:rsidRPr="00464512">
        <w:rPr>
          <w:i/>
          <w:iCs/>
          <w:lang w:val="en-GB"/>
        </w:rPr>
        <w:t>Hirnychoho</w:t>
      </w:r>
      <w:proofErr w:type="spellEnd"/>
      <w:r w:rsidRPr="00464512">
        <w:rPr>
          <w:i/>
          <w:iCs/>
          <w:lang w:val="en-GB"/>
        </w:rPr>
        <w:t xml:space="preserve"> </w:t>
      </w:r>
      <w:proofErr w:type="spellStart"/>
      <w:r w:rsidRPr="00464512">
        <w:rPr>
          <w:i/>
          <w:iCs/>
          <w:lang w:val="en-GB"/>
        </w:rPr>
        <w:t>Universytet</w:t>
      </w:r>
      <w:proofErr w:type="spellEnd"/>
      <w:r w:rsidRPr="00464512">
        <w:rPr>
          <w:lang w:val="en-GB"/>
        </w:rPr>
        <w:t xml:space="preserve">, </w:t>
      </w:r>
      <w:r w:rsidRPr="00464512">
        <w:rPr>
          <w:i/>
          <w:iCs/>
          <w:lang w:val="en-GB"/>
        </w:rPr>
        <w:t>6</w:t>
      </w:r>
      <w:r w:rsidRPr="00464512">
        <w:rPr>
          <w:lang w:val="en-GB"/>
        </w:rPr>
        <w:t xml:space="preserve">, 180-187. </w:t>
      </w:r>
      <w:hyperlink r:id="rId65" w:history="1">
        <w:r w:rsidRPr="00464512">
          <w:rPr>
            <w:rStyle w:val="Hipercze"/>
            <w:color w:val="auto"/>
            <w:u w:val="none"/>
            <w:lang w:val="en-GB"/>
          </w:rPr>
          <w:t>https://doi.org/10.33271/nvngu/2020-6/180</w:t>
        </w:r>
      </w:hyperlink>
    </w:p>
    <w:p w14:paraId="5619E5D9" w14:textId="77777777" w:rsidR="00526FC4" w:rsidRPr="00464512" w:rsidRDefault="00526FC4" w:rsidP="00C4684C">
      <w:pPr>
        <w:pStyle w:val="Rlit"/>
        <w:rPr>
          <w:lang w:val="en-GB"/>
        </w:rPr>
      </w:pPr>
      <w:proofErr w:type="spellStart"/>
      <w:r w:rsidRPr="00464512">
        <w:rPr>
          <w:lang w:val="en-GB"/>
        </w:rPr>
        <w:t>Zhovnirchyk</w:t>
      </w:r>
      <w:proofErr w:type="spellEnd"/>
      <w:r w:rsidRPr="00464512">
        <w:rPr>
          <w:lang w:val="en-GB"/>
        </w:rPr>
        <w:t xml:space="preserve">, Y., Bondarchuk, N., </w:t>
      </w:r>
      <w:proofErr w:type="spellStart"/>
      <w:r w:rsidRPr="00464512">
        <w:rPr>
          <w:lang w:val="en-GB"/>
        </w:rPr>
        <w:t>Cherkaska</w:t>
      </w:r>
      <w:proofErr w:type="spellEnd"/>
      <w:r w:rsidRPr="00464512">
        <w:rPr>
          <w:lang w:val="en-GB"/>
        </w:rPr>
        <w:t xml:space="preserve">, V., Terletska, V., &amp; </w:t>
      </w:r>
      <w:proofErr w:type="spellStart"/>
      <w:r w:rsidRPr="00464512">
        <w:rPr>
          <w:lang w:val="en-GB"/>
        </w:rPr>
        <w:t>Gusiev</w:t>
      </w:r>
      <w:proofErr w:type="spellEnd"/>
      <w:r w:rsidRPr="00464512">
        <w:rPr>
          <w:lang w:val="en-GB"/>
        </w:rPr>
        <w:t xml:space="preserve">, V. (2023). Sustainable development of the agro-industrial complex through </w:t>
      </w:r>
      <w:proofErr w:type="spellStart"/>
      <w:r w:rsidRPr="00464512">
        <w:rPr>
          <w:lang w:val="en-GB"/>
        </w:rPr>
        <w:t>modeling</w:t>
      </w:r>
      <w:proofErr w:type="spellEnd"/>
      <w:r w:rsidRPr="00464512">
        <w:rPr>
          <w:lang w:val="en-GB"/>
        </w:rPr>
        <w:t xml:space="preserve"> aspects of logistics management. </w:t>
      </w:r>
      <w:r w:rsidRPr="00464512">
        <w:rPr>
          <w:i/>
          <w:iCs/>
          <w:lang w:val="en-GB"/>
        </w:rPr>
        <w:t>International Journal of Sustainable Development and Planning</w:t>
      </w:r>
      <w:r w:rsidRPr="00464512">
        <w:rPr>
          <w:lang w:val="en-GB"/>
        </w:rPr>
        <w:t xml:space="preserve">, </w:t>
      </w:r>
      <w:r w:rsidRPr="00464512">
        <w:rPr>
          <w:i/>
          <w:iCs/>
          <w:lang w:val="en-GB"/>
        </w:rPr>
        <w:t>18</w:t>
      </w:r>
      <w:r w:rsidRPr="00464512">
        <w:rPr>
          <w:lang w:val="en-GB"/>
        </w:rPr>
        <w:t xml:space="preserve">(6), 1911-1917. </w:t>
      </w:r>
      <w:hyperlink r:id="rId66" w:history="1">
        <w:r w:rsidRPr="00464512">
          <w:rPr>
            <w:rStyle w:val="Hipercze"/>
            <w:color w:val="auto"/>
            <w:u w:val="none"/>
            <w:lang w:val="en-GB"/>
          </w:rPr>
          <w:t>https://doi.org/10.18280/ijsdp.180627</w:t>
        </w:r>
      </w:hyperlink>
    </w:p>
    <w:p w14:paraId="3A93A45A" w14:textId="77777777" w:rsidR="00526FC4" w:rsidRPr="00464512" w:rsidRDefault="00526FC4" w:rsidP="00C4684C">
      <w:pPr>
        <w:pStyle w:val="Rlit"/>
        <w:rPr>
          <w:lang w:val="en-GB"/>
        </w:rPr>
      </w:pPr>
      <w:r w:rsidRPr="00464512">
        <w:rPr>
          <w:lang w:val="en-GB"/>
        </w:rPr>
        <w:t xml:space="preserve">Zhuk, V. (2016). The Influence of Institutional Changes on the Investment Attractiveness of the Agricultural Sector of Ukrainian Economy. </w:t>
      </w:r>
      <w:r w:rsidRPr="00464512">
        <w:rPr>
          <w:i/>
          <w:iCs/>
          <w:lang w:val="en-GB"/>
        </w:rPr>
        <w:t>Economy and Sociology</w:t>
      </w:r>
      <w:r w:rsidRPr="00464512">
        <w:rPr>
          <w:lang w:val="en-GB"/>
        </w:rPr>
        <w:t xml:space="preserve">, </w:t>
      </w:r>
      <w:r w:rsidRPr="00464512">
        <w:rPr>
          <w:i/>
          <w:iCs/>
          <w:lang w:val="en-GB"/>
        </w:rPr>
        <w:t>2</w:t>
      </w:r>
      <w:r w:rsidRPr="00464512">
        <w:rPr>
          <w:lang w:val="en-GB"/>
        </w:rPr>
        <w:t xml:space="preserve">, 18-23. </w:t>
      </w:r>
      <w:hyperlink r:id="rId67" w:history="1">
        <w:r w:rsidRPr="00464512">
          <w:rPr>
            <w:rStyle w:val="Hipercze"/>
            <w:color w:val="auto"/>
            <w:u w:val="none"/>
            <w:lang w:val="en-GB"/>
          </w:rPr>
          <w:t>https://magazine.faaf.org.ua/the-influence-of-institutional-changes-on-the-investment-attractiveness-of-the-agricultural-sector-of-ukrainian-economy.html</w:t>
        </w:r>
      </w:hyperlink>
    </w:p>
    <w:sectPr w:rsidR="00526FC4" w:rsidRPr="00464512" w:rsidSect="00EA6DA4">
      <w:headerReference w:type="even" r:id="rId68"/>
      <w:headerReference w:type="default" r:id="rId69"/>
      <w:footerReference w:type="first" r:id="rId70"/>
      <w:pgSz w:w="11906" w:h="16838" w:code="9"/>
      <w:pgMar w:top="1134" w:right="1134" w:bottom="1134" w:left="1134" w:header="567" w:footer="567" w:gutter="0"/>
      <w:pgNumType w:start="72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B1DD" w14:textId="77777777" w:rsidR="00C22726" w:rsidRDefault="00C22726" w:rsidP="00D7743C">
      <w:pPr>
        <w:spacing w:after="0" w:line="240" w:lineRule="auto"/>
      </w:pPr>
      <w:r>
        <w:separator/>
      </w:r>
    </w:p>
  </w:endnote>
  <w:endnote w:type="continuationSeparator" w:id="0">
    <w:p w14:paraId="0B6E81C1" w14:textId="77777777" w:rsidR="00C22726" w:rsidRDefault="00C22726" w:rsidP="00D7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D7743C" w:rsidRPr="007A749A" w14:paraId="4EC553CA" w14:textId="77777777" w:rsidTr="00384768">
      <w:trPr>
        <w:trHeight w:val="198"/>
      </w:trPr>
      <w:tc>
        <w:tcPr>
          <w:tcW w:w="1384" w:type="dxa"/>
          <w:vAlign w:val="center"/>
        </w:tcPr>
        <w:p w14:paraId="0670DAC7" w14:textId="43BD6DA5" w:rsidR="00D7743C" w:rsidRPr="007A749A" w:rsidRDefault="00D7743C" w:rsidP="00D7743C">
          <w:pPr>
            <w:spacing w:after="0" w:line="240" w:lineRule="auto"/>
            <w:ind w:left="-106"/>
            <w:rPr>
              <w:rFonts w:ascii="Times New Roman" w:hAnsi="Times New Roman"/>
            </w:rPr>
          </w:pPr>
          <w:bookmarkStart w:id="4" w:name="_Hlk104286226"/>
          <w:bookmarkStart w:id="5" w:name="_Hlk104286227"/>
          <w:bookmarkStart w:id="6" w:name="_Hlk154270864"/>
          <w:bookmarkStart w:id="7" w:name="_Hlk154270865"/>
          <w:r>
            <w:rPr>
              <w:rFonts w:ascii="Times New Roman" w:hAnsi="Times New Roman"/>
              <w:noProof/>
              <w:lang w:val="en-GB" w:eastAsia="en-GB"/>
            </w:rPr>
            <w:drawing>
              <wp:inline distT="0" distB="0" distL="0" distR="0" wp14:anchorId="7722A069" wp14:editId="08B285A3">
                <wp:extent cx="690245" cy="235585"/>
                <wp:effectExtent l="0" t="0" r="0" b="0"/>
                <wp:docPr id="16587575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 cy="235585"/>
                        </a:xfrm>
                        <a:prstGeom prst="rect">
                          <a:avLst/>
                        </a:prstGeom>
                        <a:noFill/>
                        <a:ln>
                          <a:noFill/>
                        </a:ln>
                      </pic:spPr>
                    </pic:pic>
                  </a:graphicData>
                </a:graphic>
              </wp:inline>
            </w:drawing>
          </w:r>
        </w:p>
      </w:tc>
      <w:tc>
        <w:tcPr>
          <w:tcW w:w="5387" w:type="dxa"/>
          <w:vAlign w:val="center"/>
        </w:tcPr>
        <w:p w14:paraId="3285B6DF" w14:textId="77777777" w:rsidR="00D7743C" w:rsidRPr="007A749A" w:rsidRDefault="00D7743C" w:rsidP="00D7743C">
          <w:pPr>
            <w:suppressAutoHyphens/>
            <w:spacing w:after="0" w:line="240" w:lineRule="auto"/>
            <w:ind w:left="-75"/>
            <w:rPr>
              <w:rFonts w:ascii="Times New Roman" w:hAnsi="Times New Roman"/>
              <w:sz w:val="18"/>
              <w:lang w:val="en-GB"/>
            </w:rPr>
          </w:pPr>
          <w:r w:rsidRPr="007A749A">
            <w:rPr>
              <w:rFonts w:ascii="Times New Roman" w:hAnsi="Times New Roman"/>
              <w:sz w:val="18"/>
              <w:lang w:val="en-GB"/>
            </w:rPr>
            <w:t>© 2025. Author(s). This work is licensed under a Creative Commons Attribution 4.0 International License (CC BY-SA)</w:t>
          </w:r>
        </w:p>
      </w:tc>
    </w:tr>
    <w:bookmarkEnd w:id="4"/>
    <w:bookmarkEnd w:id="5"/>
    <w:bookmarkEnd w:id="6"/>
    <w:bookmarkEnd w:id="7"/>
  </w:tbl>
  <w:p w14:paraId="032C50DE" w14:textId="77777777" w:rsidR="00D7743C" w:rsidRPr="007A749A" w:rsidRDefault="00D7743C" w:rsidP="00D7743C">
    <w:pPr>
      <w:pStyle w:val="Stopka"/>
      <w:rPr>
        <w:rFonts w:ascii="Times New Roman" w:hAnsi="Times New Roman"/>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F18C3" w14:textId="77777777" w:rsidR="00C22726" w:rsidRDefault="00C22726" w:rsidP="00D7743C">
      <w:pPr>
        <w:spacing w:after="0" w:line="240" w:lineRule="auto"/>
      </w:pPr>
      <w:r>
        <w:separator/>
      </w:r>
    </w:p>
  </w:footnote>
  <w:footnote w:type="continuationSeparator" w:id="0">
    <w:p w14:paraId="2F42F7F9" w14:textId="77777777" w:rsidR="00C22726" w:rsidRDefault="00C22726" w:rsidP="00D77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D7743C" w:rsidRPr="00855C77" w14:paraId="3D27696C" w14:textId="77777777" w:rsidTr="00384768">
      <w:trPr>
        <w:trHeight w:hRule="exact" w:val="284"/>
      </w:trPr>
      <w:tc>
        <w:tcPr>
          <w:tcW w:w="397" w:type="dxa"/>
          <w:vAlign w:val="center"/>
        </w:tcPr>
        <w:p w14:paraId="3096E27A" w14:textId="77777777" w:rsidR="00D7743C" w:rsidRPr="00855C77" w:rsidRDefault="00D7743C" w:rsidP="00D7743C">
          <w:pPr>
            <w:pStyle w:val="Nagwek"/>
            <w:rPr>
              <w:rFonts w:ascii="Arial" w:hAnsi="Arial" w:cs="Arial"/>
              <w:i/>
              <w:sz w:val="20"/>
              <w:lang w:val="en-GB"/>
            </w:rPr>
          </w:pPr>
          <w:r w:rsidRPr="00855C77">
            <w:rPr>
              <w:rFonts w:ascii="Arial" w:hAnsi="Arial" w:cs="Arial"/>
              <w:sz w:val="20"/>
              <w:lang w:val="en-GB"/>
            </w:rPr>
            <w:fldChar w:fldCharType="begin"/>
          </w:r>
          <w:r w:rsidRPr="00855C77">
            <w:rPr>
              <w:rFonts w:ascii="Arial" w:hAnsi="Arial" w:cs="Arial"/>
              <w:sz w:val="20"/>
              <w:lang w:val="en-GB"/>
            </w:rPr>
            <w:instrText xml:space="preserve"> PAGE   \* MERGEFORMAT </w:instrText>
          </w:r>
          <w:r w:rsidRPr="00855C77">
            <w:rPr>
              <w:rFonts w:ascii="Arial" w:hAnsi="Arial" w:cs="Arial"/>
              <w:sz w:val="20"/>
              <w:lang w:val="en-GB"/>
            </w:rPr>
            <w:fldChar w:fldCharType="separate"/>
          </w:r>
          <w:r>
            <w:rPr>
              <w:rFonts w:ascii="Arial" w:hAnsi="Arial" w:cs="Arial"/>
              <w:sz w:val="20"/>
              <w:lang w:val="en-GB"/>
            </w:rPr>
            <w:t>2</w:t>
          </w:r>
          <w:r w:rsidRPr="00855C77">
            <w:rPr>
              <w:rFonts w:ascii="Arial" w:hAnsi="Arial" w:cs="Arial"/>
              <w:sz w:val="20"/>
              <w:lang w:val="en-GB"/>
            </w:rPr>
            <w:fldChar w:fldCharType="end"/>
          </w:r>
        </w:p>
      </w:tc>
      <w:tc>
        <w:tcPr>
          <w:tcW w:w="9242" w:type="dxa"/>
          <w:vAlign w:val="center"/>
        </w:tcPr>
        <w:p w14:paraId="277B3831" w14:textId="6855D41F" w:rsidR="00D7743C" w:rsidRPr="00361064" w:rsidRDefault="00723DB0" w:rsidP="00D7743C">
          <w:pPr>
            <w:pStyle w:val="Nagwek"/>
            <w:jc w:val="center"/>
            <w:rPr>
              <w:rFonts w:ascii="Arial" w:hAnsi="Arial" w:cs="Arial"/>
              <w:i/>
              <w:sz w:val="20"/>
              <w:lang w:val="pl-PL"/>
            </w:rPr>
          </w:pPr>
          <w:r w:rsidRPr="00723DB0">
            <w:rPr>
              <w:rFonts w:ascii="Arial" w:hAnsi="Arial" w:cs="Arial"/>
              <w:i/>
              <w:sz w:val="20"/>
            </w:rPr>
            <w:t>Oleksandr Zaremba</w:t>
          </w:r>
          <w:r w:rsidR="00D7743C">
            <w:rPr>
              <w:rFonts w:ascii="Arial" w:hAnsi="Arial" w:cs="Arial"/>
              <w:i/>
              <w:sz w:val="20"/>
              <w:lang w:val="pl-PL"/>
            </w:rPr>
            <w:t xml:space="preserve"> et al.</w:t>
          </w:r>
        </w:p>
      </w:tc>
    </w:tr>
  </w:tbl>
  <w:p w14:paraId="2C0421DD" w14:textId="77777777" w:rsidR="00D7743C" w:rsidRPr="00E90ABA" w:rsidRDefault="00D7743C" w:rsidP="00D7743C">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D7743C" w:rsidRPr="00855C77" w14:paraId="0212B28D" w14:textId="77777777" w:rsidTr="00384768">
      <w:trPr>
        <w:trHeight w:hRule="exact" w:val="284"/>
        <w:jc w:val="right"/>
      </w:trPr>
      <w:tc>
        <w:tcPr>
          <w:tcW w:w="9243" w:type="dxa"/>
          <w:vAlign w:val="center"/>
        </w:tcPr>
        <w:p w14:paraId="603CFFD6" w14:textId="67396457" w:rsidR="00D7743C" w:rsidRPr="00855C77" w:rsidRDefault="006326F2" w:rsidP="00D7743C">
          <w:pPr>
            <w:pStyle w:val="Nagwek"/>
            <w:jc w:val="center"/>
            <w:rPr>
              <w:rFonts w:ascii="Arial" w:hAnsi="Arial" w:cs="Arial"/>
              <w:i/>
              <w:sz w:val="20"/>
              <w:szCs w:val="12"/>
              <w:lang w:val="en-GB"/>
            </w:rPr>
          </w:pPr>
          <w:r w:rsidRPr="006326F2">
            <w:rPr>
              <w:rFonts w:ascii="Arial" w:hAnsi="Arial" w:cs="Arial"/>
              <w:i/>
              <w:sz w:val="20"/>
              <w:szCs w:val="12"/>
              <w:lang w:val="en-GB"/>
            </w:rPr>
            <w:t>Capital Investments in Sustainable Development of Land Resources of Ukrainian Agrarian</w:t>
          </w:r>
          <w:r w:rsidR="00D7743C">
            <w:rPr>
              <w:rFonts w:ascii="Arial" w:hAnsi="Arial" w:cs="Arial"/>
              <w:i/>
              <w:sz w:val="20"/>
              <w:szCs w:val="12"/>
              <w:lang w:val="en-GB"/>
            </w:rPr>
            <w:t>…</w:t>
          </w:r>
        </w:p>
      </w:tc>
      <w:tc>
        <w:tcPr>
          <w:tcW w:w="397" w:type="dxa"/>
          <w:vAlign w:val="center"/>
        </w:tcPr>
        <w:p w14:paraId="1F2FA67C" w14:textId="77777777" w:rsidR="00D7743C" w:rsidRPr="00855C77" w:rsidRDefault="00D7743C" w:rsidP="00D7743C">
          <w:pPr>
            <w:pStyle w:val="Nagwek"/>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3</w:t>
          </w:r>
          <w:r w:rsidRPr="00855C77">
            <w:rPr>
              <w:rFonts w:ascii="Arial" w:hAnsi="Arial" w:cs="Arial"/>
              <w:sz w:val="20"/>
              <w:szCs w:val="12"/>
              <w:lang w:val="en-GB"/>
            </w:rPr>
            <w:fldChar w:fldCharType="end"/>
          </w:r>
        </w:p>
      </w:tc>
    </w:tr>
  </w:tbl>
  <w:p w14:paraId="225873FC" w14:textId="77777777" w:rsidR="00D7743C" w:rsidRPr="00007E12" w:rsidRDefault="00D7743C" w:rsidP="00D7743C">
    <w:pPr>
      <w:pStyle w:val="Nagwek"/>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05384"/>
    <w:multiLevelType w:val="hybridMultilevel"/>
    <w:tmpl w:val="168A2C40"/>
    <w:lvl w:ilvl="0" w:tplc="B8A88D88">
      <w:start w:val="1"/>
      <w:numFmt w:val="bullet"/>
      <w:suff w:val="space"/>
      <w:lvlText w:val=""/>
      <w:lvlJc w:val="left"/>
      <w:pPr>
        <w:ind w:left="0" w:firstLine="567"/>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141998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hideSpellingErrors/>
  <w:hideGrammaticalError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0MbU0szS2NDI2NTVX0lEKTi0uzszPAykwrAUAxwYpECwAAAA="/>
  </w:docVars>
  <w:rsids>
    <w:rsidRoot w:val="00110BAB"/>
    <w:rsid w:val="0000041B"/>
    <w:rsid w:val="0000280D"/>
    <w:rsid w:val="00003BE3"/>
    <w:rsid w:val="00004047"/>
    <w:rsid w:val="00004E83"/>
    <w:rsid w:val="00005307"/>
    <w:rsid w:val="000102D8"/>
    <w:rsid w:val="00010C3B"/>
    <w:rsid w:val="00012831"/>
    <w:rsid w:val="0001514C"/>
    <w:rsid w:val="00016CDA"/>
    <w:rsid w:val="00021D0A"/>
    <w:rsid w:val="000253B3"/>
    <w:rsid w:val="00025FA4"/>
    <w:rsid w:val="00026E86"/>
    <w:rsid w:val="000311DC"/>
    <w:rsid w:val="00031E47"/>
    <w:rsid w:val="0003414C"/>
    <w:rsid w:val="00043A82"/>
    <w:rsid w:val="00044B25"/>
    <w:rsid w:val="00045A12"/>
    <w:rsid w:val="00045D5B"/>
    <w:rsid w:val="00047168"/>
    <w:rsid w:val="0004767C"/>
    <w:rsid w:val="0005242A"/>
    <w:rsid w:val="00052D6F"/>
    <w:rsid w:val="0005342A"/>
    <w:rsid w:val="000536BC"/>
    <w:rsid w:val="00053B87"/>
    <w:rsid w:val="00053E47"/>
    <w:rsid w:val="00054FC6"/>
    <w:rsid w:val="00055E3B"/>
    <w:rsid w:val="00055EB2"/>
    <w:rsid w:val="00056927"/>
    <w:rsid w:val="00063632"/>
    <w:rsid w:val="00066653"/>
    <w:rsid w:val="00067145"/>
    <w:rsid w:val="000716F1"/>
    <w:rsid w:val="0007428B"/>
    <w:rsid w:val="000746B1"/>
    <w:rsid w:val="00074E1D"/>
    <w:rsid w:val="00075AE1"/>
    <w:rsid w:val="000774C8"/>
    <w:rsid w:val="000812C1"/>
    <w:rsid w:val="000877E6"/>
    <w:rsid w:val="000927F4"/>
    <w:rsid w:val="00093857"/>
    <w:rsid w:val="00095B95"/>
    <w:rsid w:val="000A0FCC"/>
    <w:rsid w:val="000A278F"/>
    <w:rsid w:val="000A39CF"/>
    <w:rsid w:val="000A40DE"/>
    <w:rsid w:val="000A6888"/>
    <w:rsid w:val="000B34FE"/>
    <w:rsid w:val="000B6576"/>
    <w:rsid w:val="000C1DAA"/>
    <w:rsid w:val="000C4967"/>
    <w:rsid w:val="000C7FC1"/>
    <w:rsid w:val="000D1319"/>
    <w:rsid w:val="000D147B"/>
    <w:rsid w:val="000D4CB3"/>
    <w:rsid w:val="000D5780"/>
    <w:rsid w:val="000E4210"/>
    <w:rsid w:val="000E5B3B"/>
    <w:rsid w:val="000E6C14"/>
    <w:rsid w:val="000F06AA"/>
    <w:rsid w:val="00100250"/>
    <w:rsid w:val="00102567"/>
    <w:rsid w:val="00103F67"/>
    <w:rsid w:val="00105F5B"/>
    <w:rsid w:val="00106086"/>
    <w:rsid w:val="00106FA4"/>
    <w:rsid w:val="001079E6"/>
    <w:rsid w:val="00110BAB"/>
    <w:rsid w:val="0011160C"/>
    <w:rsid w:val="001137AB"/>
    <w:rsid w:val="00114FC2"/>
    <w:rsid w:val="001153BE"/>
    <w:rsid w:val="00116D99"/>
    <w:rsid w:val="001201D9"/>
    <w:rsid w:val="001218F3"/>
    <w:rsid w:val="001248B1"/>
    <w:rsid w:val="00125070"/>
    <w:rsid w:val="001330DC"/>
    <w:rsid w:val="001332E8"/>
    <w:rsid w:val="00133BBC"/>
    <w:rsid w:val="00135DB2"/>
    <w:rsid w:val="00135F4B"/>
    <w:rsid w:val="001406C7"/>
    <w:rsid w:val="00142227"/>
    <w:rsid w:val="001452E0"/>
    <w:rsid w:val="00147275"/>
    <w:rsid w:val="0015039F"/>
    <w:rsid w:val="00153605"/>
    <w:rsid w:val="001562FF"/>
    <w:rsid w:val="00156325"/>
    <w:rsid w:val="00164066"/>
    <w:rsid w:val="0016422B"/>
    <w:rsid w:val="00166D62"/>
    <w:rsid w:val="001678BE"/>
    <w:rsid w:val="00167D4D"/>
    <w:rsid w:val="001716C1"/>
    <w:rsid w:val="001905CD"/>
    <w:rsid w:val="00190D1A"/>
    <w:rsid w:val="0019200B"/>
    <w:rsid w:val="00193EFE"/>
    <w:rsid w:val="001A2964"/>
    <w:rsid w:val="001A2FEB"/>
    <w:rsid w:val="001A337A"/>
    <w:rsid w:val="001A3681"/>
    <w:rsid w:val="001A5AA4"/>
    <w:rsid w:val="001A643E"/>
    <w:rsid w:val="001B18C0"/>
    <w:rsid w:val="001B2A97"/>
    <w:rsid w:val="001B7F45"/>
    <w:rsid w:val="001C0079"/>
    <w:rsid w:val="001C2AEC"/>
    <w:rsid w:val="001C41EC"/>
    <w:rsid w:val="001C57E6"/>
    <w:rsid w:val="001D0676"/>
    <w:rsid w:val="001D1505"/>
    <w:rsid w:val="001D17C4"/>
    <w:rsid w:val="001D4CE9"/>
    <w:rsid w:val="001D7BB0"/>
    <w:rsid w:val="001E4C68"/>
    <w:rsid w:val="001E59E3"/>
    <w:rsid w:val="001E6F18"/>
    <w:rsid w:val="001F3242"/>
    <w:rsid w:val="00201F22"/>
    <w:rsid w:val="00207D1D"/>
    <w:rsid w:val="00212DDF"/>
    <w:rsid w:val="00213D9B"/>
    <w:rsid w:val="002202E5"/>
    <w:rsid w:val="00225DBC"/>
    <w:rsid w:val="00225F6D"/>
    <w:rsid w:val="00226882"/>
    <w:rsid w:val="00230FAA"/>
    <w:rsid w:val="00232582"/>
    <w:rsid w:val="00237916"/>
    <w:rsid w:val="00237D18"/>
    <w:rsid w:val="00241774"/>
    <w:rsid w:val="002426AE"/>
    <w:rsid w:val="002438B2"/>
    <w:rsid w:val="00244740"/>
    <w:rsid w:val="0024519B"/>
    <w:rsid w:val="002603B2"/>
    <w:rsid w:val="0026265F"/>
    <w:rsid w:val="0026293B"/>
    <w:rsid w:val="0027099B"/>
    <w:rsid w:val="00281B5F"/>
    <w:rsid w:val="00281FD9"/>
    <w:rsid w:val="00282AED"/>
    <w:rsid w:val="00291A42"/>
    <w:rsid w:val="00291FBB"/>
    <w:rsid w:val="00297C13"/>
    <w:rsid w:val="002A28FF"/>
    <w:rsid w:val="002A547A"/>
    <w:rsid w:val="002B0D37"/>
    <w:rsid w:val="002B1116"/>
    <w:rsid w:val="002B4FE0"/>
    <w:rsid w:val="002B7B92"/>
    <w:rsid w:val="002C1822"/>
    <w:rsid w:val="002C3FD4"/>
    <w:rsid w:val="002D0693"/>
    <w:rsid w:val="002D196E"/>
    <w:rsid w:val="002D22C0"/>
    <w:rsid w:val="002D43E8"/>
    <w:rsid w:val="002D4912"/>
    <w:rsid w:val="002D5133"/>
    <w:rsid w:val="002E4B1A"/>
    <w:rsid w:val="002E50D3"/>
    <w:rsid w:val="002E5712"/>
    <w:rsid w:val="002F14B4"/>
    <w:rsid w:val="002F2F2C"/>
    <w:rsid w:val="002F33AD"/>
    <w:rsid w:val="0030065E"/>
    <w:rsid w:val="003038F4"/>
    <w:rsid w:val="00303DD8"/>
    <w:rsid w:val="00304FFF"/>
    <w:rsid w:val="00307CA8"/>
    <w:rsid w:val="00310FBA"/>
    <w:rsid w:val="00311DFB"/>
    <w:rsid w:val="00313916"/>
    <w:rsid w:val="003153DD"/>
    <w:rsid w:val="0031600E"/>
    <w:rsid w:val="00316EC6"/>
    <w:rsid w:val="003209A2"/>
    <w:rsid w:val="00327375"/>
    <w:rsid w:val="0033447B"/>
    <w:rsid w:val="003360B4"/>
    <w:rsid w:val="003416CE"/>
    <w:rsid w:val="00341F3D"/>
    <w:rsid w:val="00344614"/>
    <w:rsid w:val="00344DD6"/>
    <w:rsid w:val="00347D23"/>
    <w:rsid w:val="00347ED9"/>
    <w:rsid w:val="00351317"/>
    <w:rsid w:val="003517D0"/>
    <w:rsid w:val="003603DE"/>
    <w:rsid w:val="00364C97"/>
    <w:rsid w:val="00366127"/>
    <w:rsid w:val="00370A29"/>
    <w:rsid w:val="00376948"/>
    <w:rsid w:val="00377D44"/>
    <w:rsid w:val="003833FE"/>
    <w:rsid w:val="003841A1"/>
    <w:rsid w:val="003858F4"/>
    <w:rsid w:val="00386E3D"/>
    <w:rsid w:val="00386E84"/>
    <w:rsid w:val="00386F1E"/>
    <w:rsid w:val="003903A8"/>
    <w:rsid w:val="00391132"/>
    <w:rsid w:val="00391603"/>
    <w:rsid w:val="003938FD"/>
    <w:rsid w:val="00393D46"/>
    <w:rsid w:val="0039413F"/>
    <w:rsid w:val="0039750A"/>
    <w:rsid w:val="003A1C09"/>
    <w:rsid w:val="003A3AE0"/>
    <w:rsid w:val="003A5369"/>
    <w:rsid w:val="003A756B"/>
    <w:rsid w:val="003B1089"/>
    <w:rsid w:val="003B4A51"/>
    <w:rsid w:val="003B4C3F"/>
    <w:rsid w:val="003C0EEF"/>
    <w:rsid w:val="003C279A"/>
    <w:rsid w:val="003C2940"/>
    <w:rsid w:val="003E2C23"/>
    <w:rsid w:val="003E3F7A"/>
    <w:rsid w:val="003E4C28"/>
    <w:rsid w:val="003E7130"/>
    <w:rsid w:val="003F1572"/>
    <w:rsid w:val="003F366F"/>
    <w:rsid w:val="003F6F2D"/>
    <w:rsid w:val="003F7DCC"/>
    <w:rsid w:val="003F7F69"/>
    <w:rsid w:val="00400517"/>
    <w:rsid w:val="00400AEE"/>
    <w:rsid w:val="00402B1E"/>
    <w:rsid w:val="0040365F"/>
    <w:rsid w:val="004046CF"/>
    <w:rsid w:val="004059F6"/>
    <w:rsid w:val="004109E5"/>
    <w:rsid w:val="00410EC9"/>
    <w:rsid w:val="004119E1"/>
    <w:rsid w:val="00416860"/>
    <w:rsid w:val="00417BFC"/>
    <w:rsid w:val="004209DA"/>
    <w:rsid w:val="00423444"/>
    <w:rsid w:val="004248AC"/>
    <w:rsid w:val="004268C0"/>
    <w:rsid w:val="0043047B"/>
    <w:rsid w:val="0044299B"/>
    <w:rsid w:val="00444866"/>
    <w:rsid w:val="004507AB"/>
    <w:rsid w:val="00453D8D"/>
    <w:rsid w:val="0045562C"/>
    <w:rsid w:val="004606FC"/>
    <w:rsid w:val="004623D1"/>
    <w:rsid w:val="00464512"/>
    <w:rsid w:val="00465010"/>
    <w:rsid w:val="00471E16"/>
    <w:rsid w:val="00472381"/>
    <w:rsid w:val="0047333B"/>
    <w:rsid w:val="004748AB"/>
    <w:rsid w:val="00475DC1"/>
    <w:rsid w:val="00475E04"/>
    <w:rsid w:val="004772BA"/>
    <w:rsid w:val="0047741B"/>
    <w:rsid w:val="00480D52"/>
    <w:rsid w:val="00483101"/>
    <w:rsid w:val="00483B78"/>
    <w:rsid w:val="004902BF"/>
    <w:rsid w:val="00491B8F"/>
    <w:rsid w:val="004A3577"/>
    <w:rsid w:val="004A4988"/>
    <w:rsid w:val="004B5A67"/>
    <w:rsid w:val="004B5A76"/>
    <w:rsid w:val="004B7381"/>
    <w:rsid w:val="004B7CCB"/>
    <w:rsid w:val="004C5312"/>
    <w:rsid w:val="004D1105"/>
    <w:rsid w:val="004D45BA"/>
    <w:rsid w:val="004E4ECC"/>
    <w:rsid w:val="004E5944"/>
    <w:rsid w:val="004F1467"/>
    <w:rsid w:val="004F17AD"/>
    <w:rsid w:val="004F375F"/>
    <w:rsid w:val="004F397E"/>
    <w:rsid w:val="004F5EFC"/>
    <w:rsid w:val="004F64F4"/>
    <w:rsid w:val="00503818"/>
    <w:rsid w:val="00506AD2"/>
    <w:rsid w:val="00507765"/>
    <w:rsid w:val="0050787E"/>
    <w:rsid w:val="00515C1F"/>
    <w:rsid w:val="00522507"/>
    <w:rsid w:val="00524AE3"/>
    <w:rsid w:val="00526FC4"/>
    <w:rsid w:val="00531C9D"/>
    <w:rsid w:val="00532935"/>
    <w:rsid w:val="00532C96"/>
    <w:rsid w:val="00533E00"/>
    <w:rsid w:val="00534F95"/>
    <w:rsid w:val="00536883"/>
    <w:rsid w:val="005373C3"/>
    <w:rsid w:val="0054067D"/>
    <w:rsid w:val="00542A53"/>
    <w:rsid w:val="00544086"/>
    <w:rsid w:val="005450D3"/>
    <w:rsid w:val="0054604D"/>
    <w:rsid w:val="00546CE7"/>
    <w:rsid w:val="0055152F"/>
    <w:rsid w:val="0055312C"/>
    <w:rsid w:val="0055456E"/>
    <w:rsid w:val="005559F2"/>
    <w:rsid w:val="005653C7"/>
    <w:rsid w:val="005657C4"/>
    <w:rsid w:val="005667B6"/>
    <w:rsid w:val="00566CF9"/>
    <w:rsid w:val="00567F55"/>
    <w:rsid w:val="00574331"/>
    <w:rsid w:val="00575F88"/>
    <w:rsid w:val="00585730"/>
    <w:rsid w:val="00591EE7"/>
    <w:rsid w:val="00595076"/>
    <w:rsid w:val="005A0ECD"/>
    <w:rsid w:val="005B3831"/>
    <w:rsid w:val="005B78E9"/>
    <w:rsid w:val="005C00C4"/>
    <w:rsid w:val="005C047D"/>
    <w:rsid w:val="005C3B1B"/>
    <w:rsid w:val="005C5032"/>
    <w:rsid w:val="005C5A2A"/>
    <w:rsid w:val="005C5A73"/>
    <w:rsid w:val="005C726D"/>
    <w:rsid w:val="005C73A7"/>
    <w:rsid w:val="005D010F"/>
    <w:rsid w:val="005D2B8A"/>
    <w:rsid w:val="005D2CDE"/>
    <w:rsid w:val="005D65C0"/>
    <w:rsid w:val="005D7D00"/>
    <w:rsid w:val="005E1266"/>
    <w:rsid w:val="005E2F7A"/>
    <w:rsid w:val="005E3849"/>
    <w:rsid w:val="005E4612"/>
    <w:rsid w:val="005E4826"/>
    <w:rsid w:val="005F2171"/>
    <w:rsid w:val="0060005C"/>
    <w:rsid w:val="0060152D"/>
    <w:rsid w:val="0060161A"/>
    <w:rsid w:val="00602829"/>
    <w:rsid w:val="00615688"/>
    <w:rsid w:val="00615726"/>
    <w:rsid w:val="0061582A"/>
    <w:rsid w:val="00615A15"/>
    <w:rsid w:val="00615C82"/>
    <w:rsid w:val="00624B0F"/>
    <w:rsid w:val="006250FB"/>
    <w:rsid w:val="00631F6D"/>
    <w:rsid w:val="006326F2"/>
    <w:rsid w:val="0063378A"/>
    <w:rsid w:val="00636683"/>
    <w:rsid w:val="0064060D"/>
    <w:rsid w:val="00641975"/>
    <w:rsid w:val="00647DBA"/>
    <w:rsid w:val="00650B1B"/>
    <w:rsid w:val="00650D25"/>
    <w:rsid w:val="0065126A"/>
    <w:rsid w:val="00651EE4"/>
    <w:rsid w:val="00654E4E"/>
    <w:rsid w:val="00655493"/>
    <w:rsid w:val="00655E2D"/>
    <w:rsid w:val="0065738F"/>
    <w:rsid w:val="006607E3"/>
    <w:rsid w:val="0066104B"/>
    <w:rsid w:val="00662DBD"/>
    <w:rsid w:val="00666A94"/>
    <w:rsid w:val="0066778D"/>
    <w:rsid w:val="00670376"/>
    <w:rsid w:val="006737EA"/>
    <w:rsid w:val="00675966"/>
    <w:rsid w:val="006802C9"/>
    <w:rsid w:val="00680F67"/>
    <w:rsid w:val="0069154F"/>
    <w:rsid w:val="00691640"/>
    <w:rsid w:val="00692AEF"/>
    <w:rsid w:val="0069540A"/>
    <w:rsid w:val="006A03D4"/>
    <w:rsid w:val="006A048B"/>
    <w:rsid w:val="006A298E"/>
    <w:rsid w:val="006A36EF"/>
    <w:rsid w:val="006A4894"/>
    <w:rsid w:val="006A48BB"/>
    <w:rsid w:val="006A563A"/>
    <w:rsid w:val="006A731F"/>
    <w:rsid w:val="006B11C8"/>
    <w:rsid w:val="006B26BE"/>
    <w:rsid w:val="006C3F31"/>
    <w:rsid w:val="006C7537"/>
    <w:rsid w:val="006D003C"/>
    <w:rsid w:val="006D310E"/>
    <w:rsid w:val="006D3A93"/>
    <w:rsid w:val="006D61A7"/>
    <w:rsid w:val="006D6248"/>
    <w:rsid w:val="006D665C"/>
    <w:rsid w:val="006D7239"/>
    <w:rsid w:val="006D7E26"/>
    <w:rsid w:val="006E58FB"/>
    <w:rsid w:val="006F3400"/>
    <w:rsid w:val="006F66DE"/>
    <w:rsid w:val="006F7424"/>
    <w:rsid w:val="0070140A"/>
    <w:rsid w:val="00701BE1"/>
    <w:rsid w:val="007075D5"/>
    <w:rsid w:val="007078BE"/>
    <w:rsid w:val="0071016F"/>
    <w:rsid w:val="00710CEF"/>
    <w:rsid w:val="00712583"/>
    <w:rsid w:val="00714D58"/>
    <w:rsid w:val="00715187"/>
    <w:rsid w:val="00716DE4"/>
    <w:rsid w:val="00717020"/>
    <w:rsid w:val="00723D2B"/>
    <w:rsid w:val="00723DB0"/>
    <w:rsid w:val="0073375F"/>
    <w:rsid w:val="0073391E"/>
    <w:rsid w:val="00734406"/>
    <w:rsid w:val="00736A08"/>
    <w:rsid w:val="0074609D"/>
    <w:rsid w:val="00747611"/>
    <w:rsid w:val="007514E3"/>
    <w:rsid w:val="007518F6"/>
    <w:rsid w:val="00751AAA"/>
    <w:rsid w:val="00751F51"/>
    <w:rsid w:val="00754810"/>
    <w:rsid w:val="00760072"/>
    <w:rsid w:val="00761231"/>
    <w:rsid w:val="00764E3C"/>
    <w:rsid w:val="00765997"/>
    <w:rsid w:val="00766659"/>
    <w:rsid w:val="007675BE"/>
    <w:rsid w:val="00770267"/>
    <w:rsid w:val="00770D2B"/>
    <w:rsid w:val="007736E9"/>
    <w:rsid w:val="00774B03"/>
    <w:rsid w:val="0077695F"/>
    <w:rsid w:val="00780A7E"/>
    <w:rsid w:val="007840C1"/>
    <w:rsid w:val="0079066E"/>
    <w:rsid w:val="00791BA4"/>
    <w:rsid w:val="007977B1"/>
    <w:rsid w:val="007A196A"/>
    <w:rsid w:val="007A61F1"/>
    <w:rsid w:val="007A6466"/>
    <w:rsid w:val="007B17BD"/>
    <w:rsid w:val="007B20DD"/>
    <w:rsid w:val="007B2551"/>
    <w:rsid w:val="007B4416"/>
    <w:rsid w:val="007C17DC"/>
    <w:rsid w:val="007D0139"/>
    <w:rsid w:val="007D322C"/>
    <w:rsid w:val="007D4659"/>
    <w:rsid w:val="007D66F5"/>
    <w:rsid w:val="007D69B5"/>
    <w:rsid w:val="007D751E"/>
    <w:rsid w:val="007E1329"/>
    <w:rsid w:val="007E4BEA"/>
    <w:rsid w:val="007E5683"/>
    <w:rsid w:val="007E688A"/>
    <w:rsid w:val="007E713D"/>
    <w:rsid w:val="007F1A9F"/>
    <w:rsid w:val="007F541E"/>
    <w:rsid w:val="00801ADE"/>
    <w:rsid w:val="00802E28"/>
    <w:rsid w:val="008041DB"/>
    <w:rsid w:val="00804227"/>
    <w:rsid w:val="008049AB"/>
    <w:rsid w:val="00807CA4"/>
    <w:rsid w:val="00815AD7"/>
    <w:rsid w:val="00830C7C"/>
    <w:rsid w:val="0083379D"/>
    <w:rsid w:val="008403BF"/>
    <w:rsid w:val="008405D9"/>
    <w:rsid w:val="00840672"/>
    <w:rsid w:val="00844949"/>
    <w:rsid w:val="00846846"/>
    <w:rsid w:val="008504ED"/>
    <w:rsid w:val="00855F01"/>
    <w:rsid w:val="0086421F"/>
    <w:rsid w:val="008649C5"/>
    <w:rsid w:val="00865A1F"/>
    <w:rsid w:val="00875743"/>
    <w:rsid w:val="0088036A"/>
    <w:rsid w:val="008844E4"/>
    <w:rsid w:val="00895C47"/>
    <w:rsid w:val="008976AD"/>
    <w:rsid w:val="008977E3"/>
    <w:rsid w:val="008978D9"/>
    <w:rsid w:val="008A2ABC"/>
    <w:rsid w:val="008A39FA"/>
    <w:rsid w:val="008A43C4"/>
    <w:rsid w:val="008B1452"/>
    <w:rsid w:val="008C30EE"/>
    <w:rsid w:val="008C4926"/>
    <w:rsid w:val="008C7B97"/>
    <w:rsid w:val="008D339B"/>
    <w:rsid w:val="008D5750"/>
    <w:rsid w:val="008D6043"/>
    <w:rsid w:val="008D631A"/>
    <w:rsid w:val="008D6B9B"/>
    <w:rsid w:val="008D73BE"/>
    <w:rsid w:val="008E14B6"/>
    <w:rsid w:val="008E22B2"/>
    <w:rsid w:val="008E37E6"/>
    <w:rsid w:val="008E6FAE"/>
    <w:rsid w:val="008F238A"/>
    <w:rsid w:val="00912DC5"/>
    <w:rsid w:val="00913AA3"/>
    <w:rsid w:val="00917675"/>
    <w:rsid w:val="009215D1"/>
    <w:rsid w:val="0092421E"/>
    <w:rsid w:val="0092574F"/>
    <w:rsid w:val="00927BF4"/>
    <w:rsid w:val="00932C8C"/>
    <w:rsid w:val="009340CF"/>
    <w:rsid w:val="0094231D"/>
    <w:rsid w:val="009433CF"/>
    <w:rsid w:val="0094646F"/>
    <w:rsid w:val="00947812"/>
    <w:rsid w:val="009504AE"/>
    <w:rsid w:val="00954F0B"/>
    <w:rsid w:val="0095563F"/>
    <w:rsid w:val="009574CE"/>
    <w:rsid w:val="00957D9E"/>
    <w:rsid w:val="0096179C"/>
    <w:rsid w:val="00962C45"/>
    <w:rsid w:val="0096308E"/>
    <w:rsid w:val="0096435A"/>
    <w:rsid w:val="009656BF"/>
    <w:rsid w:val="0097359D"/>
    <w:rsid w:val="00974A16"/>
    <w:rsid w:val="00977C8E"/>
    <w:rsid w:val="00984B82"/>
    <w:rsid w:val="00986372"/>
    <w:rsid w:val="00993FD3"/>
    <w:rsid w:val="00995A42"/>
    <w:rsid w:val="00995D08"/>
    <w:rsid w:val="00996236"/>
    <w:rsid w:val="0099708B"/>
    <w:rsid w:val="009A05E7"/>
    <w:rsid w:val="009A6D7F"/>
    <w:rsid w:val="009B02A8"/>
    <w:rsid w:val="009B3CBF"/>
    <w:rsid w:val="009B4634"/>
    <w:rsid w:val="009C175B"/>
    <w:rsid w:val="009D379E"/>
    <w:rsid w:val="009D3800"/>
    <w:rsid w:val="009D3980"/>
    <w:rsid w:val="009D4F96"/>
    <w:rsid w:val="009D5567"/>
    <w:rsid w:val="009D662E"/>
    <w:rsid w:val="009D6C23"/>
    <w:rsid w:val="009D7557"/>
    <w:rsid w:val="009E3FBB"/>
    <w:rsid w:val="009E4CC0"/>
    <w:rsid w:val="009E6D9C"/>
    <w:rsid w:val="009F102A"/>
    <w:rsid w:val="009F2209"/>
    <w:rsid w:val="009F4CCC"/>
    <w:rsid w:val="009F5B48"/>
    <w:rsid w:val="00A02791"/>
    <w:rsid w:val="00A02CE2"/>
    <w:rsid w:val="00A07716"/>
    <w:rsid w:val="00A07C2F"/>
    <w:rsid w:val="00A10620"/>
    <w:rsid w:val="00A11498"/>
    <w:rsid w:val="00A1152C"/>
    <w:rsid w:val="00A16C45"/>
    <w:rsid w:val="00A20199"/>
    <w:rsid w:val="00A242EB"/>
    <w:rsid w:val="00A26427"/>
    <w:rsid w:val="00A268D2"/>
    <w:rsid w:val="00A26E41"/>
    <w:rsid w:val="00A301B4"/>
    <w:rsid w:val="00A30D2C"/>
    <w:rsid w:val="00A322E5"/>
    <w:rsid w:val="00A4321B"/>
    <w:rsid w:val="00A46E55"/>
    <w:rsid w:val="00A51678"/>
    <w:rsid w:val="00A51CC8"/>
    <w:rsid w:val="00A539DB"/>
    <w:rsid w:val="00A53F27"/>
    <w:rsid w:val="00A55A27"/>
    <w:rsid w:val="00A577F0"/>
    <w:rsid w:val="00A61BB8"/>
    <w:rsid w:val="00A6638C"/>
    <w:rsid w:val="00A67F3A"/>
    <w:rsid w:val="00A70641"/>
    <w:rsid w:val="00A71975"/>
    <w:rsid w:val="00A72E23"/>
    <w:rsid w:val="00A74328"/>
    <w:rsid w:val="00A77455"/>
    <w:rsid w:val="00A82F5B"/>
    <w:rsid w:val="00A84EE1"/>
    <w:rsid w:val="00A86292"/>
    <w:rsid w:val="00A87957"/>
    <w:rsid w:val="00A91181"/>
    <w:rsid w:val="00A94F3D"/>
    <w:rsid w:val="00A979C5"/>
    <w:rsid w:val="00A97D47"/>
    <w:rsid w:val="00A97D68"/>
    <w:rsid w:val="00A97D88"/>
    <w:rsid w:val="00AA0A2D"/>
    <w:rsid w:val="00AA11BE"/>
    <w:rsid w:val="00AA233F"/>
    <w:rsid w:val="00AA2CB8"/>
    <w:rsid w:val="00AA4885"/>
    <w:rsid w:val="00AA541B"/>
    <w:rsid w:val="00AA7118"/>
    <w:rsid w:val="00AB328D"/>
    <w:rsid w:val="00AC453A"/>
    <w:rsid w:val="00AD34E2"/>
    <w:rsid w:val="00AD41E6"/>
    <w:rsid w:val="00AD4554"/>
    <w:rsid w:val="00AD50A2"/>
    <w:rsid w:val="00AD694C"/>
    <w:rsid w:val="00AD6996"/>
    <w:rsid w:val="00AE3CB1"/>
    <w:rsid w:val="00AF1B67"/>
    <w:rsid w:val="00AF1BBE"/>
    <w:rsid w:val="00AF265A"/>
    <w:rsid w:val="00AF385C"/>
    <w:rsid w:val="00AF7EFC"/>
    <w:rsid w:val="00B011C3"/>
    <w:rsid w:val="00B07AE1"/>
    <w:rsid w:val="00B11423"/>
    <w:rsid w:val="00B116BD"/>
    <w:rsid w:val="00B11A3D"/>
    <w:rsid w:val="00B13D7C"/>
    <w:rsid w:val="00B16E16"/>
    <w:rsid w:val="00B20BB0"/>
    <w:rsid w:val="00B21BED"/>
    <w:rsid w:val="00B22910"/>
    <w:rsid w:val="00B22D46"/>
    <w:rsid w:val="00B30AE1"/>
    <w:rsid w:val="00B321BB"/>
    <w:rsid w:val="00B339AE"/>
    <w:rsid w:val="00B353D0"/>
    <w:rsid w:val="00B35EF2"/>
    <w:rsid w:val="00B407C0"/>
    <w:rsid w:val="00B41B15"/>
    <w:rsid w:val="00B42F76"/>
    <w:rsid w:val="00B45AB3"/>
    <w:rsid w:val="00B470F4"/>
    <w:rsid w:val="00B47417"/>
    <w:rsid w:val="00B53A01"/>
    <w:rsid w:val="00B5400B"/>
    <w:rsid w:val="00B60881"/>
    <w:rsid w:val="00B60952"/>
    <w:rsid w:val="00B64146"/>
    <w:rsid w:val="00B65589"/>
    <w:rsid w:val="00B65952"/>
    <w:rsid w:val="00B66234"/>
    <w:rsid w:val="00B6644D"/>
    <w:rsid w:val="00B6692A"/>
    <w:rsid w:val="00B66B3F"/>
    <w:rsid w:val="00B70168"/>
    <w:rsid w:val="00B7293D"/>
    <w:rsid w:val="00B74447"/>
    <w:rsid w:val="00B82713"/>
    <w:rsid w:val="00B86F95"/>
    <w:rsid w:val="00B927D6"/>
    <w:rsid w:val="00B931C3"/>
    <w:rsid w:val="00B93660"/>
    <w:rsid w:val="00BA0003"/>
    <w:rsid w:val="00BA26B9"/>
    <w:rsid w:val="00BA2B1F"/>
    <w:rsid w:val="00BA3F35"/>
    <w:rsid w:val="00BA7F3B"/>
    <w:rsid w:val="00BB21F6"/>
    <w:rsid w:val="00BB3F5F"/>
    <w:rsid w:val="00BB4803"/>
    <w:rsid w:val="00BB50FF"/>
    <w:rsid w:val="00BB52A5"/>
    <w:rsid w:val="00BB6554"/>
    <w:rsid w:val="00BB6724"/>
    <w:rsid w:val="00BC08AF"/>
    <w:rsid w:val="00BC1551"/>
    <w:rsid w:val="00BC1635"/>
    <w:rsid w:val="00BD582C"/>
    <w:rsid w:val="00BD6A52"/>
    <w:rsid w:val="00BE2524"/>
    <w:rsid w:val="00BE2FFB"/>
    <w:rsid w:val="00BE6008"/>
    <w:rsid w:val="00BE6022"/>
    <w:rsid w:val="00BF5907"/>
    <w:rsid w:val="00C0001F"/>
    <w:rsid w:val="00C00201"/>
    <w:rsid w:val="00C005B8"/>
    <w:rsid w:val="00C00D52"/>
    <w:rsid w:val="00C00FCF"/>
    <w:rsid w:val="00C037C7"/>
    <w:rsid w:val="00C041DB"/>
    <w:rsid w:val="00C100BA"/>
    <w:rsid w:val="00C1633D"/>
    <w:rsid w:val="00C16DC3"/>
    <w:rsid w:val="00C17BE4"/>
    <w:rsid w:val="00C22726"/>
    <w:rsid w:val="00C2417C"/>
    <w:rsid w:val="00C24A3C"/>
    <w:rsid w:val="00C30F02"/>
    <w:rsid w:val="00C35E8A"/>
    <w:rsid w:val="00C40138"/>
    <w:rsid w:val="00C43258"/>
    <w:rsid w:val="00C433B9"/>
    <w:rsid w:val="00C4684C"/>
    <w:rsid w:val="00C51921"/>
    <w:rsid w:val="00C555E2"/>
    <w:rsid w:val="00C57917"/>
    <w:rsid w:val="00C62936"/>
    <w:rsid w:val="00C63E5C"/>
    <w:rsid w:val="00C652A2"/>
    <w:rsid w:val="00C67025"/>
    <w:rsid w:val="00C6717E"/>
    <w:rsid w:val="00C6796B"/>
    <w:rsid w:val="00C712E8"/>
    <w:rsid w:val="00C76890"/>
    <w:rsid w:val="00C83B47"/>
    <w:rsid w:val="00C83CFE"/>
    <w:rsid w:val="00C84531"/>
    <w:rsid w:val="00C90A1D"/>
    <w:rsid w:val="00C93B33"/>
    <w:rsid w:val="00C94C86"/>
    <w:rsid w:val="00C95B9C"/>
    <w:rsid w:val="00C96B0B"/>
    <w:rsid w:val="00CA413F"/>
    <w:rsid w:val="00CA4EE9"/>
    <w:rsid w:val="00CA77C6"/>
    <w:rsid w:val="00CB2451"/>
    <w:rsid w:val="00CB384D"/>
    <w:rsid w:val="00CB3924"/>
    <w:rsid w:val="00CC46D2"/>
    <w:rsid w:val="00CC6FC2"/>
    <w:rsid w:val="00CE296C"/>
    <w:rsid w:val="00CE4C1A"/>
    <w:rsid w:val="00CE7338"/>
    <w:rsid w:val="00CF0ADD"/>
    <w:rsid w:val="00CF0B79"/>
    <w:rsid w:val="00CF5154"/>
    <w:rsid w:val="00CF5CA3"/>
    <w:rsid w:val="00D0092E"/>
    <w:rsid w:val="00D00FCB"/>
    <w:rsid w:val="00D0123C"/>
    <w:rsid w:val="00D03485"/>
    <w:rsid w:val="00D0350B"/>
    <w:rsid w:val="00D06FAC"/>
    <w:rsid w:val="00D108F0"/>
    <w:rsid w:val="00D12AA8"/>
    <w:rsid w:val="00D13FF7"/>
    <w:rsid w:val="00D169A3"/>
    <w:rsid w:val="00D21098"/>
    <w:rsid w:val="00D306BB"/>
    <w:rsid w:val="00D3183A"/>
    <w:rsid w:val="00D32296"/>
    <w:rsid w:val="00D40B87"/>
    <w:rsid w:val="00D50060"/>
    <w:rsid w:val="00D51720"/>
    <w:rsid w:val="00D53E41"/>
    <w:rsid w:val="00D544A3"/>
    <w:rsid w:val="00D57174"/>
    <w:rsid w:val="00D60180"/>
    <w:rsid w:val="00D64FD6"/>
    <w:rsid w:val="00D771FE"/>
    <w:rsid w:val="00D7743C"/>
    <w:rsid w:val="00D80093"/>
    <w:rsid w:val="00D8709B"/>
    <w:rsid w:val="00D8733D"/>
    <w:rsid w:val="00D875F2"/>
    <w:rsid w:val="00D91846"/>
    <w:rsid w:val="00D96CFD"/>
    <w:rsid w:val="00D970A3"/>
    <w:rsid w:val="00D971FE"/>
    <w:rsid w:val="00D9731D"/>
    <w:rsid w:val="00DA0193"/>
    <w:rsid w:val="00DA30A9"/>
    <w:rsid w:val="00DA4FDD"/>
    <w:rsid w:val="00DA6EBA"/>
    <w:rsid w:val="00DA7F4F"/>
    <w:rsid w:val="00DB16F0"/>
    <w:rsid w:val="00DB20C7"/>
    <w:rsid w:val="00DB23F9"/>
    <w:rsid w:val="00DB36E5"/>
    <w:rsid w:val="00DB3AC8"/>
    <w:rsid w:val="00DB4704"/>
    <w:rsid w:val="00DB4DDE"/>
    <w:rsid w:val="00DB75BD"/>
    <w:rsid w:val="00DC30AB"/>
    <w:rsid w:val="00DC38BB"/>
    <w:rsid w:val="00DC51F4"/>
    <w:rsid w:val="00DC6A7B"/>
    <w:rsid w:val="00DD033B"/>
    <w:rsid w:val="00DF05CC"/>
    <w:rsid w:val="00DF52EF"/>
    <w:rsid w:val="00E00ACE"/>
    <w:rsid w:val="00E024C4"/>
    <w:rsid w:val="00E03D93"/>
    <w:rsid w:val="00E0404E"/>
    <w:rsid w:val="00E0498E"/>
    <w:rsid w:val="00E13524"/>
    <w:rsid w:val="00E2008A"/>
    <w:rsid w:val="00E20980"/>
    <w:rsid w:val="00E21273"/>
    <w:rsid w:val="00E24C25"/>
    <w:rsid w:val="00E327C2"/>
    <w:rsid w:val="00E35A12"/>
    <w:rsid w:val="00E35BDD"/>
    <w:rsid w:val="00E35D4B"/>
    <w:rsid w:val="00E36927"/>
    <w:rsid w:val="00E37245"/>
    <w:rsid w:val="00E40469"/>
    <w:rsid w:val="00E40FA5"/>
    <w:rsid w:val="00E438C3"/>
    <w:rsid w:val="00E516A8"/>
    <w:rsid w:val="00E51E8B"/>
    <w:rsid w:val="00E51F0A"/>
    <w:rsid w:val="00E570B5"/>
    <w:rsid w:val="00E6130F"/>
    <w:rsid w:val="00E62E54"/>
    <w:rsid w:val="00E65178"/>
    <w:rsid w:val="00E66F76"/>
    <w:rsid w:val="00E6740D"/>
    <w:rsid w:val="00E73483"/>
    <w:rsid w:val="00E73CC0"/>
    <w:rsid w:val="00E73E65"/>
    <w:rsid w:val="00E74783"/>
    <w:rsid w:val="00E8531E"/>
    <w:rsid w:val="00E86381"/>
    <w:rsid w:val="00E87298"/>
    <w:rsid w:val="00E872C6"/>
    <w:rsid w:val="00E91DF2"/>
    <w:rsid w:val="00E9690B"/>
    <w:rsid w:val="00E97758"/>
    <w:rsid w:val="00E97B6A"/>
    <w:rsid w:val="00EA2591"/>
    <w:rsid w:val="00EA460F"/>
    <w:rsid w:val="00EA65DD"/>
    <w:rsid w:val="00EA6BE4"/>
    <w:rsid w:val="00EA6DA4"/>
    <w:rsid w:val="00EB1E31"/>
    <w:rsid w:val="00EC2209"/>
    <w:rsid w:val="00EC3233"/>
    <w:rsid w:val="00EC36FE"/>
    <w:rsid w:val="00EC517E"/>
    <w:rsid w:val="00ED10AA"/>
    <w:rsid w:val="00ED200D"/>
    <w:rsid w:val="00ED3652"/>
    <w:rsid w:val="00ED445C"/>
    <w:rsid w:val="00ED6FE7"/>
    <w:rsid w:val="00EE074B"/>
    <w:rsid w:val="00EE0996"/>
    <w:rsid w:val="00EE4F57"/>
    <w:rsid w:val="00EE67F6"/>
    <w:rsid w:val="00EF261D"/>
    <w:rsid w:val="00EF2A96"/>
    <w:rsid w:val="00EF7C9B"/>
    <w:rsid w:val="00F01093"/>
    <w:rsid w:val="00F10993"/>
    <w:rsid w:val="00F112EA"/>
    <w:rsid w:val="00F17135"/>
    <w:rsid w:val="00F17E6E"/>
    <w:rsid w:val="00F22456"/>
    <w:rsid w:val="00F26A05"/>
    <w:rsid w:val="00F33AF4"/>
    <w:rsid w:val="00F37F1D"/>
    <w:rsid w:val="00F42A8E"/>
    <w:rsid w:val="00F50A1F"/>
    <w:rsid w:val="00F52A41"/>
    <w:rsid w:val="00F5320D"/>
    <w:rsid w:val="00F56FFD"/>
    <w:rsid w:val="00F57C3B"/>
    <w:rsid w:val="00F64486"/>
    <w:rsid w:val="00F711A3"/>
    <w:rsid w:val="00F73D68"/>
    <w:rsid w:val="00F7760A"/>
    <w:rsid w:val="00F818F6"/>
    <w:rsid w:val="00F85FEF"/>
    <w:rsid w:val="00F927F2"/>
    <w:rsid w:val="00F92E95"/>
    <w:rsid w:val="00F9570E"/>
    <w:rsid w:val="00FA177F"/>
    <w:rsid w:val="00FA2558"/>
    <w:rsid w:val="00FA34B5"/>
    <w:rsid w:val="00FB1CBF"/>
    <w:rsid w:val="00FB23FC"/>
    <w:rsid w:val="00FB3F6E"/>
    <w:rsid w:val="00FB515C"/>
    <w:rsid w:val="00FC021F"/>
    <w:rsid w:val="00FC38CA"/>
    <w:rsid w:val="00FC38F5"/>
    <w:rsid w:val="00FC65A0"/>
    <w:rsid w:val="00FC668E"/>
    <w:rsid w:val="00FC755B"/>
    <w:rsid w:val="00FD6480"/>
    <w:rsid w:val="00FE0A87"/>
    <w:rsid w:val="00FE190A"/>
    <w:rsid w:val="00FE28BF"/>
    <w:rsid w:val="00FE334C"/>
    <w:rsid w:val="00FE6246"/>
    <w:rsid w:val="00FE64F6"/>
    <w:rsid w:val="00FE729D"/>
    <w:rsid w:val="00FE7684"/>
    <w:rsid w:val="00FF0FFD"/>
    <w:rsid w:val="00FF326C"/>
    <w:rsid w:val="00FF3DA0"/>
    <w:rsid w:val="00FF4B76"/>
    <w:rsid w:val="00FF6074"/>
    <w:rsid w:val="00FF6F6B"/>
    <w:rsid w:val="00FF7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424E"/>
  <w15:chartTrackingRefBased/>
  <w15:docId w15:val="{DDCAA82B-4E9A-4C26-AEB2-1BF13281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688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4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C4325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kapitzlist">
    <w:name w:val="List Paragraph"/>
    <w:basedOn w:val="Normalny"/>
    <w:uiPriority w:val="34"/>
    <w:qFormat/>
    <w:rsid w:val="003A3AE0"/>
    <w:pPr>
      <w:ind w:left="720"/>
      <w:contextualSpacing/>
    </w:pPr>
  </w:style>
  <w:style w:type="paragraph" w:styleId="Tekstdymka">
    <w:name w:val="Balloon Text"/>
    <w:basedOn w:val="Normalny"/>
    <w:link w:val="TekstdymkaZnak"/>
    <w:uiPriority w:val="99"/>
    <w:semiHidden/>
    <w:unhideWhenUsed/>
    <w:rsid w:val="00B45A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5AB3"/>
    <w:rPr>
      <w:rFonts w:ascii="Segoe UI" w:hAnsi="Segoe UI" w:cs="Segoe UI"/>
      <w:sz w:val="18"/>
      <w:szCs w:val="18"/>
    </w:rPr>
  </w:style>
  <w:style w:type="character" w:styleId="Hipercze">
    <w:name w:val="Hyperlink"/>
    <w:basedOn w:val="Domylnaczcionkaakapitu"/>
    <w:uiPriority w:val="99"/>
    <w:unhideWhenUsed/>
    <w:rsid w:val="00A74328"/>
    <w:rPr>
      <w:color w:val="0563C1" w:themeColor="hyperlink"/>
      <w:u w:val="single"/>
    </w:rPr>
  </w:style>
  <w:style w:type="character" w:styleId="Nierozpoznanawzmianka">
    <w:name w:val="Unresolved Mention"/>
    <w:basedOn w:val="Domylnaczcionkaakapitu"/>
    <w:uiPriority w:val="99"/>
    <w:semiHidden/>
    <w:unhideWhenUsed/>
    <w:rsid w:val="006A4894"/>
    <w:rPr>
      <w:color w:val="605E5C"/>
      <w:shd w:val="clear" w:color="auto" w:fill="E1DFDD"/>
    </w:rPr>
  </w:style>
  <w:style w:type="character" w:styleId="UyteHipercze">
    <w:name w:val="FollowedHyperlink"/>
    <w:basedOn w:val="Domylnaczcionkaakapitu"/>
    <w:uiPriority w:val="99"/>
    <w:semiHidden/>
    <w:unhideWhenUsed/>
    <w:rsid w:val="00636683"/>
    <w:rPr>
      <w:color w:val="954F72" w:themeColor="followedHyperlink"/>
      <w:u w:val="single"/>
    </w:rPr>
  </w:style>
  <w:style w:type="character" w:styleId="Uwydatnienie">
    <w:name w:val="Emphasis"/>
    <w:basedOn w:val="Domylnaczcionkaakapitu"/>
    <w:uiPriority w:val="20"/>
    <w:qFormat/>
    <w:rsid w:val="009F102A"/>
    <w:rPr>
      <w:i/>
      <w:iCs/>
    </w:rPr>
  </w:style>
  <w:style w:type="character" w:styleId="Pogrubienie">
    <w:name w:val="Strong"/>
    <w:basedOn w:val="Domylnaczcionkaakapitu"/>
    <w:uiPriority w:val="22"/>
    <w:qFormat/>
    <w:rsid w:val="009215D1"/>
    <w:rPr>
      <w:b/>
      <w:bCs/>
    </w:rPr>
  </w:style>
  <w:style w:type="paragraph" w:customStyle="1" w:styleId="Rab1">
    <w:name w:val="R_ab1"/>
    <w:next w:val="Normalny"/>
    <w:autoRedefine/>
    <w:qFormat/>
    <w:rsid w:val="00C4684C"/>
    <w:pPr>
      <w:suppressAutoHyphens/>
      <w:spacing w:before="120" w:after="0" w:line="240" w:lineRule="auto"/>
      <w:ind w:left="567" w:right="567"/>
      <w:jc w:val="both"/>
    </w:pPr>
    <w:rPr>
      <w:rFonts w:ascii="Times New Roman" w:eastAsia="SimSun" w:hAnsi="Times New Roman" w:cs="Times New Roman"/>
      <w:kern w:val="2"/>
      <w:sz w:val="18"/>
      <w:szCs w:val="20"/>
      <w:lang w:val="en-GB" w:eastAsia="pl-PL"/>
      <w14:ligatures w14:val="standardContextual"/>
    </w:rPr>
  </w:style>
  <w:style w:type="paragraph" w:customStyle="1" w:styleId="Rab2">
    <w:name w:val="R_ab2"/>
    <w:basedOn w:val="Rab1"/>
    <w:next w:val="Normalny"/>
    <w:autoRedefine/>
    <w:qFormat/>
    <w:rsid w:val="00C4684C"/>
    <w:pPr>
      <w:spacing w:before="60"/>
    </w:pPr>
  </w:style>
  <w:style w:type="paragraph" w:customStyle="1" w:styleId="Rafiliacja">
    <w:name w:val="R_afiliacja"/>
    <w:basedOn w:val="Normalny"/>
    <w:link w:val="RafiliacjaZnak"/>
    <w:qFormat/>
    <w:rsid w:val="00C4684C"/>
    <w:pPr>
      <w:suppressAutoHyphens/>
      <w:spacing w:after="0" w:line="240" w:lineRule="auto"/>
      <w:jc w:val="center"/>
    </w:pPr>
    <w:rPr>
      <w:rFonts w:ascii="Times New Roman" w:hAnsi="Times New Roman" w:cs="Times New Roman"/>
      <w:i/>
      <w:kern w:val="2"/>
      <w:sz w:val="20"/>
      <w:szCs w:val="28"/>
      <w:lang w:val="pl-PL"/>
      <w14:ligatures w14:val="standardContextual"/>
    </w:rPr>
  </w:style>
  <w:style w:type="character" w:customStyle="1" w:styleId="RafiliacjaZnak">
    <w:name w:val="R_afiliacja Znak"/>
    <w:basedOn w:val="Domylnaczcionkaakapitu"/>
    <w:link w:val="Rafiliacja"/>
    <w:rsid w:val="00C4684C"/>
    <w:rPr>
      <w:rFonts w:ascii="Times New Roman" w:hAnsi="Times New Roman" w:cs="Times New Roman"/>
      <w:i/>
      <w:kern w:val="2"/>
      <w:sz w:val="20"/>
      <w:szCs w:val="28"/>
      <w:lang w:val="pl-PL"/>
      <w14:ligatures w14:val="standardContextual"/>
    </w:rPr>
  </w:style>
  <w:style w:type="paragraph" w:customStyle="1" w:styleId="Rauco">
    <w:name w:val="R_au_co"/>
    <w:basedOn w:val="Rafiliacja"/>
    <w:autoRedefine/>
    <w:qFormat/>
    <w:rsid w:val="00C4684C"/>
    <w:pPr>
      <w:spacing w:before="120"/>
    </w:pPr>
    <w:rPr>
      <w:lang w:val="en-GB"/>
    </w:rPr>
  </w:style>
  <w:style w:type="paragraph" w:customStyle="1" w:styleId="Rn1">
    <w:name w:val="R_n1"/>
    <w:basedOn w:val="Normalny"/>
    <w:link w:val="Rn1Znak"/>
    <w:qFormat/>
    <w:rsid w:val="00C4684C"/>
    <w:pPr>
      <w:suppressAutoHyphens/>
      <w:spacing w:before="240" w:after="120" w:line="240" w:lineRule="auto"/>
      <w:jc w:val="both"/>
    </w:pPr>
    <w:rPr>
      <w:rFonts w:ascii="Times New Roman" w:hAnsi="Times New Roman"/>
      <w:b/>
      <w:kern w:val="2"/>
      <w:sz w:val="24"/>
      <w:lang w:val="pl-PL"/>
      <w14:ligatures w14:val="standardContextual"/>
    </w:rPr>
  </w:style>
  <w:style w:type="character" w:customStyle="1" w:styleId="Rn1Znak">
    <w:name w:val="R_n1 Znak"/>
    <w:basedOn w:val="Domylnaczcionkaakapitu"/>
    <w:link w:val="Rn1"/>
    <w:rsid w:val="00C4684C"/>
    <w:rPr>
      <w:rFonts w:ascii="Times New Roman" w:hAnsi="Times New Roman"/>
      <w:b/>
      <w:kern w:val="2"/>
      <w:sz w:val="24"/>
      <w:lang w:val="pl-PL"/>
      <w14:ligatures w14:val="standardContextual"/>
    </w:rPr>
  </w:style>
  <w:style w:type="paragraph" w:customStyle="1" w:styleId="Rn2">
    <w:name w:val="R_n2"/>
    <w:basedOn w:val="Rn1"/>
    <w:link w:val="Rn2Znak"/>
    <w:qFormat/>
    <w:rsid w:val="00C4684C"/>
    <w:pPr>
      <w:spacing w:before="120"/>
      <w:jc w:val="left"/>
    </w:pPr>
    <w:rPr>
      <w:sz w:val="22"/>
    </w:rPr>
  </w:style>
  <w:style w:type="character" w:customStyle="1" w:styleId="Rn2Znak">
    <w:name w:val="R_n2 Znak"/>
    <w:link w:val="Rn2"/>
    <w:rsid w:val="00C4684C"/>
    <w:rPr>
      <w:rFonts w:ascii="Times New Roman" w:hAnsi="Times New Roman"/>
      <w:b/>
      <w:kern w:val="2"/>
      <w:lang w:val="pl-PL"/>
      <w14:ligatures w14:val="standardContextual"/>
    </w:rPr>
  </w:style>
  <w:style w:type="paragraph" w:customStyle="1" w:styleId="Rtytu">
    <w:name w:val="R_tytuł"/>
    <w:basedOn w:val="Rn2"/>
    <w:link w:val="RtytuZnak"/>
    <w:autoRedefine/>
    <w:qFormat/>
    <w:rsid w:val="00C4684C"/>
    <w:pPr>
      <w:spacing w:before="240" w:after="0"/>
      <w:jc w:val="center"/>
    </w:pPr>
    <w:rPr>
      <w:sz w:val="24"/>
      <w:szCs w:val="28"/>
    </w:rPr>
  </w:style>
  <w:style w:type="character" w:customStyle="1" w:styleId="RtytuZnak">
    <w:name w:val="R_tytuł Znak"/>
    <w:basedOn w:val="Rn2Znak"/>
    <w:link w:val="Rtytu"/>
    <w:rsid w:val="00C4684C"/>
    <w:rPr>
      <w:rFonts w:ascii="Times New Roman" w:hAnsi="Times New Roman"/>
      <w:b/>
      <w:kern w:val="2"/>
      <w:sz w:val="24"/>
      <w:szCs w:val="28"/>
      <w:lang w:val="pl-PL"/>
      <w14:ligatures w14:val="standardContextual"/>
    </w:rPr>
  </w:style>
  <w:style w:type="paragraph" w:customStyle="1" w:styleId="Rautor">
    <w:name w:val="R_autor"/>
    <w:basedOn w:val="Rtytu"/>
    <w:link w:val="RautorZnak"/>
    <w:autoRedefine/>
    <w:qFormat/>
    <w:rsid w:val="00C4684C"/>
    <w:pPr>
      <w:spacing w:before="120"/>
    </w:pPr>
    <w:rPr>
      <w:rFonts w:eastAsia="Calibri" w:cs="Times New Roman"/>
      <w:b w:val="0"/>
      <w:i/>
    </w:rPr>
  </w:style>
  <w:style w:type="character" w:customStyle="1" w:styleId="RautorZnak">
    <w:name w:val="R_autor Znak"/>
    <w:link w:val="Rautor"/>
    <w:rsid w:val="00C4684C"/>
    <w:rPr>
      <w:rFonts w:ascii="Times New Roman" w:eastAsia="Calibri" w:hAnsi="Times New Roman" w:cs="Times New Roman"/>
      <w:i/>
      <w:kern w:val="2"/>
      <w:sz w:val="24"/>
      <w:szCs w:val="28"/>
      <w:lang w:val="pl-PL"/>
      <w14:ligatures w14:val="standardContextual"/>
    </w:rPr>
  </w:style>
  <w:style w:type="paragraph" w:customStyle="1" w:styleId="Rlit">
    <w:name w:val="R_lit"/>
    <w:basedOn w:val="Normalny"/>
    <w:link w:val="RlitZnak"/>
    <w:qFormat/>
    <w:rsid w:val="00C4684C"/>
    <w:pPr>
      <w:spacing w:after="0" w:line="240" w:lineRule="auto"/>
      <w:ind w:left="425" w:hanging="425"/>
      <w:jc w:val="both"/>
    </w:pPr>
    <w:rPr>
      <w:rFonts w:ascii="Times New Roman" w:eastAsia="Times New Roman" w:hAnsi="Times New Roman" w:cs="Times New Roman"/>
      <w:kern w:val="2"/>
      <w:sz w:val="20"/>
      <w:szCs w:val="20"/>
      <w:lang w:val="en-US" w:eastAsia="pl-PL"/>
      <w14:ligatures w14:val="standardContextual"/>
    </w:rPr>
  </w:style>
  <w:style w:type="character" w:customStyle="1" w:styleId="RlitZnak">
    <w:name w:val="R_lit Znak"/>
    <w:basedOn w:val="Domylnaczcionkaakapitu"/>
    <w:link w:val="Rlit"/>
    <w:rsid w:val="00C4684C"/>
    <w:rPr>
      <w:rFonts w:ascii="Times New Roman" w:eastAsia="Times New Roman" w:hAnsi="Times New Roman" w:cs="Times New Roman"/>
      <w:kern w:val="2"/>
      <w:sz w:val="20"/>
      <w:szCs w:val="20"/>
      <w:lang w:val="en-US" w:eastAsia="pl-PL"/>
      <w14:ligatures w14:val="standardContextual"/>
    </w:rPr>
  </w:style>
  <w:style w:type="paragraph" w:customStyle="1" w:styleId="Rtab">
    <w:name w:val="R_tab"/>
    <w:basedOn w:val="Normalny"/>
    <w:link w:val="RtabZnak"/>
    <w:qFormat/>
    <w:rsid w:val="00C4684C"/>
    <w:pPr>
      <w:suppressAutoHyphens/>
      <w:spacing w:after="120" w:line="240" w:lineRule="auto"/>
    </w:pPr>
    <w:rPr>
      <w:rFonts w:ascii="Times New Roman" w:hAnsi="Times New Roman"/>
      <w:kern w:val="2"/>
      <w:sz w:val="20"/>
      <w:lang w:val="pl-PL"/>
      <w14:ligatures w14:val="standardContextual"/>
    </w:rPr>
  </w:style>
  <w:style w:type="character" w:customStyle="1" w:styleId="RtabZnak">
    <w:name w:val="R_tab Znak"/>
    <w:basedOn w:val="Domylnaczcionkaakapitu"/>
    <w:link w:val="Rtab"/>
    <w:rsid w:val="00C4684C"/>
    <w:rPr>
      <w:rFonts w:ascii="Times New Roman" w:hAnsi="Times New Roman"/>
      <w:kern w:val="2"/>
      <w:sz w:val="20"/>
      <w:lang w:val="pl-PL"/>
      <w14:ligatures w14:val="standardContextual"/>
    </w:rPr>
  </w:style>
  <w:style w:type="paragraph" w:customStyle="1" w:styleId="Rn3">
    <w:name w:val="R_n3"/>
    <w:basedOn w:val="Rtab"/>
    <w:link w:val="Rn3Znak"/>
    <w:autoRedefine/>
    <w:qFormat/>
    <w:rsid w:val="00C4684C"/>
    <w:pPr>
      <w:spacing w:before="120"/>
      <w:jc w:val="both"/>
    </w:pPr>
    <w:rPr>
      <w:i/>
    </w:rPr>
  </w:style>
  <w:style w:type="character" w:customStyle="1" w:styleId="Rn3Znak">
    <w:name w:val="R_n3 Znak"/>
    <w:basedOn w:val="RtabZnak"/>
    <w:link w:val="Rn3"/>
    <w:rsid w:val="00C4684C"/>
    <w:rPr>
      <w:rFonts w:ascii="Times New Roman" w:hAnsi="Times New Roman"/>
      <w:i/>
      <w:kern w:val="2"/>
      <w:sz w:val="20"/>
      <w:lang w:val="pl-PL"/>
      <w14:ligatures w14:val="standardContextual"/>
    </w:rPr>
  </w:style>
  <w:style w:type="paragraph" w:customStyle="1" w:styleId="Rrys">
    <w:name w:val="R_rys"/>
    <w:basedOn w:val="Rafiliacja"/>
    <w:link w:val="RrysZnak"/>
    <w:qFormat/>
    <w:rsid w:val="00C4684C"/>
    <w:pPr>
      <w:spacing w:before="120"/>
      <w:jc w:val="left"/>
    </w:pPr>
    <w:rPr>
      <w:i w:val="0"/>
    </w:rPr>
  </w:style>
  <w:style w:type="character" w:customStyle="1" w:styleId="RrysZnak">
    <w:name w:val="R_rys Znak"/>
    <w:basedOn w:val="RafiliacjaZnak"/>
    <w:link w:val="Rrys"/>
    <w:rsid w:val="00C4684C"/>
    <w:rPr>
      <w:rFonts w:ascii="Times New Roman" w:hAnsi="Times New Roman" w:cs="Times New Roman"/>
      <w:i w:val="0"/>
      <w:kern w:val="2"/>
      <w:sz w:val="20"/>
      <w:szCs w:val="28"/>
      <w:lang w:val="pl-PL"/>
      <w14:ligatures w14:val="standardContextual"/>
    </w:rPr>
  </w:style>
  <w:style w:type="paragraph" w:styleId="Nagwek">
    <w:name w:val="header"/>
    <w:basedOn w:val="Normalny"/>
    <w:link w:val="NagwekZnak"/>
    <w:uiPriority w:val="99"/>
    <w:unhideWhenUsed/>
    <w:rsid w:val="00D774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743C"/>
  </w:style>
  <w:style w:type="paragraph" w:styleId="Stopka">
    <w:name w:val="footer"/>
    <w:basedOn w:val="Normalny"/>
    <w:link w:val="StopkaZnak"/>
    <w:uiPriority w:val="99"/>
    <w:unhideWhenUsed/>
    <w:rsid w:val="00D774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497">
      <w:bodyDiv w:val="1"/>
      <w:marLeft w:val="0"/>
      <w:marRight w:val="0"/>
      <w:marTop w:val="0"/>
      <w:marBottom w:val="0"/>
      <w:divBdr>
        <w:top w:val="none" w:sz="0" w:space="0" w:color="auto"/>
        <w:left w:val="none" w:sz="0" w:space="0" w:color="auto"/>
        <w:bottom w:val="none" w:sz="0" w:space="0" w:color="auto"/>
        <w:right w:val="none" w:sz="0" w:space="0" w:color="auto"/>
      </w:divBdr>
    </w:div>
    <w:div w:id="130052914">
      <w:bodyDiv w:val="1"/>
      <w:marLeft w:val="0"/>
      <w:marRight w:val="0"/>
      <w:marTop w:val="0"/>
      <w:marBottom w:val="0"/>
      <w:divBdr>
        <w:top w:val="none" w:sz="0" w:space="0" w:color="auto"/>
        <w:left w:val="none" w:sz="0" w:space="0" w:color="auto"/>
        <w:bottom w:val="none" w:sz="0" w:space="0" w:color="auto"/>
        <w:right w:val="none" w:sz="0" w:space="0" w:color="auto"/>
      </w:divBdr>
    </w:div>
    <w:div w:id="145174566">
      <w:bodyDiv w:val="1"/>
      <w:marLeft w:val="0"/>
      <w:marRight w:val="0"/>
      <w:marTop w:val="0"/>
      <w:marBottom w:val="0"/>
      <w:divBdr>
        <w:top w:val="none" w:sz="0" w:space="0" w:color="auto"/>
        <w:left w:val="none" w:sz="0" w:space="0" w:color="auto"/>
        <w:bottom w:val="none" w:sz="0" w:space="0" w:color="auto"/>
        <w:right w:val="none" w:sz="0" w:space="0" w:color="auto"/>
      </w:divBdr>
    </w:div>
    <w:div w:id="148715169">
      <w:bodyDiv w:val="1"/>
      <w:marLeft w:val="0"/>
      <w:marRight w:val="0"/>
      <w:marTop w:val="0"/>
      <w:marBottom w:val="0"/>
      <w:divBdr>
        <w:top w:val="none" w:sz="0" w:space="0" w:color="auto"/>
        <w:left w:val="none" w:sz="0" w:space="0" w:color="auto"/>
        <w:bottom w:val="none" w:sz="0" w:space="0" w:color="auto"/>
        <w:right w:val="none" w:sz="0" w:space="0" w:color="auto"/>
      </w:divBdr>
    </w:div>
    <w:div w:id="210922554">
      <w:bodyDiv w:val="1"/>
      <w:marLeft w:val="0"/>
      <w:marRight w:val="0"/>
      <w:marTop w:val="0"/>
      <w:marBottom w:val="0"/>
      <w:divBdr>
        <w:top w:val="none" w:sz="0" w:space="0" w:color="auto"/>
        <w:left w:val="none" w:sz="0" w:space="0" w:color="auto"/>
        <w:bottom w:val="none" w:sz="0" w:space="0" w:color="auto"/>
        <w:right w:val="none" w:sz="0" w:space="0" w:color="auto"/>
      </w:divBdr>
    </w:div>
    <w:div w:id="359403585">
      <w:bodyDiv w:val="1"/>
      <w:marLeft w:val="0"/>
      <w:marRight w:val="0"/>
      <w:marTop w:val="0"/>
      <w:marBottom w:val="0"/>
      <w:divBdr>
        <w:top w:val="none" w:sz="0" w:space="0" w:color="auto"/>
        <w:left w:val="none" w:sz="0" w:space="0" w:color="auto"/>
        <w:bottom w:val="none" w:sz="0" w:space="0" w:color="auto"/>
        <w:right w:val="none" w:sz="0" w:space="0" w:color="auto"/>
      </w:divBdr>
    </w:div>
    <w:div w:id="379943595">
      <w:bodyDiv w:val="1"/>
      <w:marLeft w:val="0"/>
      <w:marRight w:val="0"/>
      <w:marTop w:val="0"/>
      <w:marBottom w:val="0"/>
      <w:divBdr>
        <w:top w:val="none" w:sz="0" w:space="0" w:color="auto"/>
        <w:left w:val="none" w:sz="0" w:space="0" w:color="auto"/>
        <w:bottom w:val="none" w:sz="0" w:space="0" w:color="auto"/>
        <w:right w:val="none" w:sz="0" w:space="0" w:color="auto"/>
      </w:divBdr>
    </w:div>
    <w:div w:id="391780956">
      <w:bodyDiv w:val="1"/>
      <w:marLeft w:val="0"/>
      <w:marRight w:val="0"/>
      <w:marTop w:val="0"/>
      <w:marBottom w:val="0"/>
      <w:divBdr>
        <w:top w:val="none" w:sz="0" w:space="0" w:color="auto"/>
        <w:left w:val="none" w:sz="0" w:space="0" w:color="auto"/>
        <w:bottom w:val="none" w:sz="0" w:space="0" w:color="auto"/>
        <w:right w:val="none" w:sz="0" w:space="0" w:color="auto"/>
      </w:divBdr>
    </w:div>
    <w:div w:id="401759473">
      <w:bodyDiv w:val="1"/>
      <w:marLeft w:val="0"/>
      <w:marRight w:val="0"/>
      <w:marTop w:val="0"/>
      <w:marBottom w:val="0"/>
      <w:divBdr>
        <w:top w:val="none" w:sz="0" w:space="0" w:color="auto"/>
        <w:left w:val="none" w:sz="0" w:space="0" w:color="auto"/>
        <w:bottom w:val="none" w:sz="0" w:space="0" w:color="auto"/>
        <w:right w:val="none" w:sz="0" w:space="0" w:color="auto"/>
      </w:divBdr>
    </w:div>
    <w:div w:id="431554704">
      <w:bodyDiv w:val="1"/>
      <w:marLeft w:val="0"/>
      <w:marRight w:val="0"/>
      <w:marTop w:val="0"/>
      <w:marBottom w:val="0"/>
      <w:divBdr>
        <w:top w:val="none" w:sz="0" w:space="0" w:color="auto"/>
        <w:left w:val="none" w:sz="0" w:space="0" w:color="auto"/>
        <w:bottom w:val="none" w:sz="0" w:space="0" w:color="auto"/>
        <w:right w:val="none" w:sz="0" w:space="0" w:color="auto"/>
      </w:divBdr>
    </w:div>
    <w:div w:id="527989441">
      <w:bodyDiv w:val="1"/>
      <w:marLeft w:val="0"/>
      <w:marRight w:val="0"/>
      <w:marTop w:val="0"/>
      <w:marBottom w:val="0"/>
      <w:divBdr>
        <w:top w:val="none" w:sz="0" w:space="0" w:color="auto"/>
        <w:left w:val="none" w:sz="0" w:space="0" w:color="auto"/>
        <w:bottom w:val="none" w:sz="0" w:space="0" w:color="auto"/>
        <w:right w:val="none" w:sz="0" w:space="0" w:color="auto"/>
      </w:divBdr>
    </w:div>
    <w:div w:id="644432746">
      <w:bodyDiv w:val="1"/>
      <w:marLeft w:val="0"/>
      <w:marRight w:val="0"/>
      <w:marTop w:val="0"/>
      <w:marBottom w:val="0"/>
      <w:divBdr>
        <w:top w:val="none" w:sz="0" w:space="0" w:color="auto"/>
        <w:left w:val="none" w:sz="0" w:space="0" w:color="auto"/>
        <w:bottom w:val="none" w:sz="0" w:space="0" w:color="auto"/>
        <w:right w:val="none" w:sz="0" w:space="0" w:color="auto"/>
      </w:divBdr>
    </w:div>
    <w:div w:id="675496003">
      <w:bodyDiv w:val="1"/>
      <w:marLeft w:val="0"/>
      <w:marRight w:val="0"/>
      <w:marTop w:val="0"/>
      <w:marBottom w:val="0"/>
      <w:divBdr>
        <w:top w:val="none" w:sz="0" w:space="0" w:color="auto"/>
        <w:left w:val="none" w:sz="0" w:space="0" w:color="auto"/>
        <w:bottom w:val="none" w:sz="0" w:space="0" w:color="auto"/>
        <w:right w:val="none" w:sz="0" w:space="0" w:color="auto"/>
      </w:divBdr>
    </w:div>
    <w:div w:id="678238265">
      <w:bodyDiv w:val="1"/>
      <w:marLeft w:val="0"/>
      <w:marRight w:val="0"/>
      <w:marTop w:val="0"/>
      <w:marBottom w:val="0"/>
      <w:divBdr>
        <w:top w:val="none" w:sz="0" w:space="0" w:color="auto"/>
        <w:left w:val="none" w:sz="0" w:space="0" w:color="auto"/>
        <w:bottom w:val="none" w:sz="0" w:space="0" w:color="auto"/>
        <w:right w:val="none" w:sz="0" w:space="0" w:color="auto"/>
      </w:divBdr>
    </w:div>
    <w:div w:id="752968498">
      <w:bodyDiv w:val="1"/>
      <w:marLeft w:val="0"/>
      <w:marRight w:val="0"/>
      <w:marTop w:val="0"/>
      <w:marBottom w:val="0"/>
      <w:divBdr>
        <w:top w:val="none" w:sz="0" w:space="0" w:color="auto"/>
        <w:left w:val="none" w:sz="0" w:space="0" w:color="auto"/>
        <w:bottom w:val="none" w:sz="0" w:space="0" w:color="auto"/>
        <w:right w:val="none" w:sz="0" w:space="0" w:color="auto"/>
      </w:divBdr>
    </w:div>
    <w:div w:id="770320107">
      <w:bodyDiv w:val="1"/>
      <w:marLeft w:val="0"/>
      <w:marRight w:val="0"/>
      <w:marTop w:val="0"/>
      <w:marBottom w:val="0"/>
      <w:divBdr>
        <w:top w:val="none" w:sz="0" w:space="0" w:color="auto"/>
        <w:left w:val="none" w:sz="0" w:space="0" w:color="auto"/>
        <w:bottom w:val="none" w:sz="0" w:space="0" w:color="auto"/>
        <w:right w:val="none" w:sz="0" w:space="0" w:color="auto"/>
      </w:divBdr>
    </w:div>
    <w:div w:id="878083508">
      <w:bodyDiv w:val="1"/>
      <w:marLeft w:val="0"/>
      <w:marRight w:val="0"/>
      <w:marTop w:val="0"/>
      <w:marBottom w:val="0"/>
      <w:divBdr>
        <w:top w:val="none" w:sz="0" w:space="0" w:color="auto"/>
        <w:left w:val="none" w:sz="0" w:space="0" w:color="auto"/>
        <w:bottom w:val="none" w:sz="0" w:space="0" w:color="auto"/>
        <w:right w:val="none" w:sz="0" w:space="0" w:color="auto"/>
      </w:divBdr>
    </w:div>
    <w:div w:id="980236795">
      <w:bodyDiv w:val="1"/>
      <w:marLeft w:val="0"/>
      <w:marRight w:val="0"/>
      <w:marTop w:val="0"/>
      <w:marBottom w:val="0"/>
      <w:divBdr>
        <w:top w:val="none" w:sz="0" w:space="0" w:color="auto"/>
        <w:left w:val="none" w:sz="0" w:space="0" w:color="auto"/>
        <w:bottom w:val="none" w:sz="0" w:space="0" w:color="auto"/>
        <w:right w:val="none" w:sz="0" w:space="0" w:color="auto"/>
      </w:divBdr>
    </w:div>
    <w:div w:id="1029455431">
      <w:bodyDiv w:val="1"/>
      <w:marLeft w:val="0"/>
      <w:marRight w:val="0"/>
      <w:marTop w:val="0"/>
      <w:marBottom w:val="0"/>
      <w:divBdr>
        <w:top w:val="none" w:sz="0" w:space="0" w:color="auto"/>
        <w:left w:val="none" w:sz="0" w:space="0" w:color="auto"/>
        <w:bottom w:val="none" w:sz="0" w:space="0" w:color="auto"/>
        <w:right w:val="none" w:sz="0" w:space="0" w:color="auto"/>
      </w:divBdr>
    </w:div>
    <w:div w:id="1159659698">
      <w:bodyDiv w:val="1"/>
      <w:marLeft w:val="0"/>
      <w:marRight w:val="0"/>
      <w:marTop w:val="0"/>
      <w:marBottom w:val="0"/>
      <w:divBdr>
        <w:top w:val="none" w:sz="0" w:space="0" w:color="auto"/>
        <w:left w:val="none" w:sz="0" w:space="0" w:color="auto"/>
        <w:bottom w:val="none" w:sz="0" w:space="0" w:color="auto"/>
        <w:right w:val="none" w:sz="0" w:space="0" w:color="auto"/>
      </w:divBdr>
    </w:div>
    <w:div w:id="1220168922">
      <w:bodyDiv w:val="1"/>
      <w:marLeft w:val="0"/>
      <w:marRight w:val="0"/>
      <w:marTop w:val="0"/>
      <w:marBottom w:val="0"/>
      <w:divBdr>
        <w:top w:val="none" w:sz="0" w:space="0" w:color="auto"/>
        <w:left w:val="none" w:sz="0" w:space="0" w:color="auto"/>
        <w:bottom w:val="none" w:sz="0" w:space="0" w:color="auto"/>
        <w:right w:val="none" w:sz="0" w:space="0" w:color="auto"/>
      </w:divBdr>
    </w:div>
    <w:div w:id="1226834589">
      <w:bodyDiv w:val="1"/>
      <w:marLeft w:val="0"/>
      <w:marRight w:val="0"/>
      <w:marTop w:val="0"/>
      <w:marBottom w:val="0"/>
      <w:divBdr>
        <w:top w:val="none" w:sz="0" w:space="0" w:color="auto"/>
        <w:left w:val="none" w:sz="0" w:space="0" w:color="auto"/>
        <w:bottom w:val="none" w:sz="0" w:space="0" w:color="auto"/>
        <w:right w:val="none" w:sz="0" w:space="0" w:color="auto"/>
      </w:divBdr>
    </w:div>
    <w:div w:id="1256523272">
      <w:bodyDiv w:val="1"/>
      <w:marLeft w:val="0"/>
      <w:marRight w:val="0"/>
      <w:marTop w:val="0"/>
      <w:marBottom w:val="0"/>
      <w:divBdr>
        <w:top w:val="none" w:sz="0" w:space="0" w:color="auto"/>
        <w:left w:val="none" w:sz="0" w:space="0" w:color="auto"/>
        <w:bottom w:val="none" w:sz="0" w:space="0" w:color="auto"/>
        <w:right w:val="none" w:sz="0" w:space="0" w:color="auto"/>
      </w:divBdr>
    </w:div>
    <w:div w:id="1281691992">
      <w:bodyDiv w:val="1"/>
      <w:marLeft w:val="0"/>
      <w:marRight w:val="0"/>
      <w:marTop w:val="0"/>
      <w:marBottom w:val="0"/>
      <w:divBdr>
        <w:top w:val="none" w:sz="0" w:space="0" w:color="auto"/>
        <w:left w:val="none" w:sz="0" w:space="0" w:color="auto"/>
        <w:bottom w:val="none" w:sz="0" w:space="0" w:color="auto"/>
        <w:right w:val="none" w:sz="0" w:space="0" w:color="auto"/>
      </w:divBdr>
    </w:div>
    <w:div w:id="1327635552">
      <w:bodyDiv w:val="1"/>
      <w:marLeft w:val="0"/>
      <w:marRight w:val="0"/>
      <w:marTop w:val="0"/>
      <w:marBottom w:val="0"/>
      <w:divBdr>
        <w:top w:val="none" w:sz="0" w:space="0" w:color="auto"/>
        <w:left w:val="none" w:sz="0" w:space="0" w:color="auto"/>
        <w:bottom w:val="none" w:sz="0" w:space="0" w:color="auto"/>
        <w:right w:val="none" w:sz="0" w:space="0" w:color="auto"/>
      </w:divBdr>
    </w:div>
    <w:div w:id="1513881915">
      <w:bodyDiv w:val="1"/>
      <w:marLeft w:val="0"/>
      <w:marRight w:val="0"/>
      <w:marTop w:val="0"/>
      <w:marBottom w:val="0"/>
      <w:divBdr>
        <w:top w:val="none" w:sz="0" w:space="0" w:color="auto"/>
        <w:left w:val="none" w:sz="0" w:space="0" w:color="auto"/>
        <w:bottom w:val="none" w:sz="0" w:space="0" w:color="auto"/>
        <w:right w:val="none" w:sz="0" w:space="0" w:color="auto"/>
      </w:divBdr>
    </w:div>
    <w:div w:id="1562525003">
      <w:bodyDiv w:val="1"/>
      <w:marLeft w:val="0"/>
      <w:marRight w:val="0"/>
      <w:marTop w:val="0"/>
      <w:marBottom w:val="0"/>
      <w:divBdr>
        <w:top w:val="none" w:sz="0" w:space="0" w:color="auto"/>
        <w:left w:val="none" w:sz="0" w:space="0" w:color="auto"/>
        <w:bottom w:val="none" w:sz="0" w:space="0" w:color="auto"/>
        <w:right w:val="none" w:sz="0" w:space="0" w:color="auto"/>
      </w:divBdr>
    </w:div>
    <w:div w:id="1578829214">
      <w:bodyDiv w:val="1"/>
      <w:marLeft w:val="0"/>
      <w:marRight w:val="0"/>
      <w:marTop w:val="0"/>
      <w:marBottom w:val="0"/>
      <w:divBdr>
        <w:top w:val="none" w:sz="0" w:space="0" w:color="auto"/>
        <w:left w:val="none" w:sz="0" w:space="0" w:color="auto"/>
        <w:bottom w:val="none" w:sz="0" w:space="0" w:color="auto"/>
        <w:right w:val="none" w:sz="0" w:space="0" w:color="auto"/>
      </w:divBdr>
    </w:div>
    <w:div w:id="1581062228">
      <w:bodyDiv w:val="1"/>
      <w:marLeft w:val="0"/>
      <w:marRight w:val="0"/>
      <w:marTop w:val="0"/>
      <w:marBottom w:val="0"/>
      <w:divBdr>
        <w:top w:val="none" w:sz="0" w:space="0" w:color="auto"/>
        <w:left w:val="none" w:sz="0" w:space="0" w:color="auto"/>
        <w:bottom w:val="none" w:sz="0" w:space="0" w:color="auto"/>
        <w:right w:val="none" w:sz="0" w:space="0" w:color="auto"/>
      </w:divBdr>
    </w:div>
    <w:div w:id="1698847468">
      <w:bodyDiv w:val="1"/>
      <w:marLeft w:val="0"/>
      <w:marRight w:val="0"/>
      <w:marTop w:val="0"/>
      <w:marBottom w:val="0"/>
      <w:divBdr>
        <w:top w:val="none" w:sz="0" w:space="0" w:color="auto"/>
        <w:left w:val="none" w:sz="0" w:space="0" w:color="auto"/>
        <w:bottom w:val="none" w:sz="0" w:space="0" w:color="auto"/>
        <w:right w:val="none" w:sz="0" w:space="0" w:color="auto"/>
      </w:divBdr>
    </w:div>
    <w:div w:id="1768385259">
      <w:bodyDiv w:val="1"/>
      <w:marLeft w:val="0"/>
      <w:marRight w:val="0"/>
      <w:marTop w:val="0"/>
      <w:marBottom w:val="0"/>
      <w:divBdr>
        <w:top w:val="none" w:sz="0" w:space="0" w:color="auto"/>
        <w:left w:val="none" w:sz="0" w:space="0" w:color="auto"/>
        <w:bottom w:val="none" w:sz="0" w:space="0" w:color="auto"/>
        <w:right w:val="none" w:sz="0" w:space="0" w:color="auto"/>
      </w:divBdr>
    </w:div>
    <w:div w:id="1785225421">
      <w:bodyDiv w:val="1"/>
      <w:marLeft w:val="0"/>
      <w:marRight w:val="0"/>
      <w:marTop w:val="0"/>
      <w:marBottom w:val="0"/>
      <w:divBdr>
        <w:top w:val="none" w:sz="0" w:space="0" w:color="auto"/>
        <w:left w:val="none" w:sz="0" w:space="0" w:color="auto"/>
        <w:bottom w:val="none" w:sz="0" w:space="0" w:color="auto"/>
        <w:right w:val="none" w:sz="0" w:space="0" w:color="auto"/>
      </w:divBdr>
    </w:div>
    <w:div w:id="208702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18371/fcaptp.v4i39.241410" TargetMode="External"/><Relationship Id="rId26" Type="http://schemas.openxmlformats.org/officeDocument/2006/relationships/hyperlink" Target="https://doi.org/10.1088/1755-1315/915/1/012016" TargetMode="External"/><Relationship Id="rId39" Type="http://schemas.openxmlformats.org/officeDocument/2006/relationships/hyperlink" Target="https://kse.ua/about-the-school/news/kse-agrocenter-discussion-series-discussion-4-agricultural-land-market-in-ukraine-current-state-efficiency-and-transparency/" TargetMode="External"/><Relationship Id="rId21" Type="http://schemas.openxmlformats.org/officeDocument/2006/relationships/hyperlink" Target="https://doi.org/10.1787/5f2d0601-en" TargetMode="External"/><Relationship Id="rId34" Type="http://schemas.openxmlformats.org/officeDocument/2006/relationships/hyperlink" Target="https://doi.org/10.29202/fhi/21/2" TargetMode="External"/><Relationship Id="rId42" Type="http://schemas.openxmlformats.org/officeDocument/2006/relationships/hyperlink" Target="https://doi.org/10.48077/scihor.25(6).2022.121-128" TargetMode="External"/><Relationship Id="rId47" Type="http://schemas.openxmlformats.org/officeDocument/2006/relationships/hyperlink" Target="https://doi.org/10.51599/are.2021.07.04.04" TargetMode="External"/><Relationship Id="rId50" Type="http://schemas.openxmlformats.org/officeDocument/2006/relationships/hyperlink" Target="https://doi.org/10.46852/0424-2513.4s.2022.8" TargetMode="External"/><Relationship Id="rId55" Type="http://schemas.openxmlformats.org/officeDocument/2006/relationships/hyperlink" Target="https://doi.org/10.54740/ros.2025.021" TargetMode="External"/><Relationship Id="rId63" Type="http://schemas.openxmlformats.org/officeDocument/2006/relationships/hyperlink" Target="https://doi.org/10.31548/bioeconomy13(2).2022.3-16" TargetMode="External"/><Relationship Id="rId68"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587/1729-4061.2021.227805" TargetMode="External"/><Relationship Id="rId29" Type="http://schemas.openxmlformats.org/officeDocument/2006/relationships/hyperlink" Target="https://doi.org/10.33271/nvngu/2024-3/1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55643/fcaptp.1.42.2022.3672" TargetMode="External"/><Relationship Id="rId32" Type="http://schemas.openxmlformats.org/officeDocument/2006/relationships/hyperlink" Target="https://doi.org/10.30525/2256-0742/2024-10-5-155-165" TargetMode="External"/><Relationship Id="rId37" Type="http://schemas.openxmlformats.org/officeDocument/2006/relationships/hyperlink" Target="http://dx.doi.org/10.21511/ppm.16(3).2018.20" TargetMode="External"/><Relationship Id="rId40" Type="http://schemas.openxmlformats.org/officeDocument/2006/relationships/hyperlink" Target="https://doi.org/10.22616/ESRD.2023.57.001" TargetMode="External"/><Relationship Id="rId45" Type="http://schemas.openxmlformats.org/officeDocument/2006/relationships/hyperlink" Target="https://doi.org/10.26565/2410-7360-2023-58-26" TargetMode="External"/><Relationship Id="rId53" Type="http://schemas.openxmlformats.org/officeDocument/2006/relationships/hyperlink" Target="https://doi.org/10.33271/nvngu/2022-2/107" TargetMode="External"/><Relationship Id="rId58" Type="http://schemas.openxmlformats.org/officeDocument/2006/relationships/hyperlink" Target="https://doi.org/10.35808/ersj/1994" TargetMode="External"/><Relationship Id="rId66" Type="http://schemas.openxmlformats.org/officeDocument/2006/relationships/hyperlink" Target="https://doi.org/10.18280/ijsdp.180627"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55643/fcaptp.5.52.2023.4149" TargetMode="External"/><Relationship Id="rId28" Type="http://schemas.openxmlformats.org/officeDocument/2006/relationships/hyperlink" Target="https://doi.org/10.31548/zemleustriy2024.02.01" TargetMode="External"/><Relationship Id="rId36" Type="http://schemas.openxmlformats.org/officeDocument/2006/relationships/hyperlink" Target="https://doi.org/10.14207/ejsd.2021.v10n1p81" TargetMode="External"/><Relationship Id="rId49" Type="http://schemas.openxmlformats.org/officeDocument/2006/relationships/hyperlink" Target="https://doi.org/10.1088/1755-1315/949/1/012044" TargetMode="External"/><Relationship Id="rId57" Type="http://schemas.openxmlformats.org/officeDocument/2006/relationships/hyperlink" Target="https://doi.org/10.30525/2256-0742/2025-11-1-361-375" TargetMode="External"/><Relationship Id="rId61" Type="http://schemas.openxmlformats.org/officeDocument/2006/relationships/hyperlink" Target="https://doi.org/10.29202/philcosm/35/2" TargetMode="External"/><Relationship Id="rId10" Type="http://schemas.openxmlformats.org/officeDocument/2006/relationships/chart" Target="charts/chart3.xml"/><Relationship Id="rId19" Type="http://schemas.openxmlformats.org/officeDocument/2006/relationships/hyperlink" Target="https://doi.org/10.18371/fcaptp.v3i38.237434" TargetMode="External"/><Relationship Id="rId31" Type="http://schemas.openxmlformats.org/officeDocument/2006/relationships/hyperlink" Target="https://doi.org/10.12911/22998993/175876" TargetMode="External"/><Relationship Id="rId44" Type="http://schemas.openxmlformats.org/officeDocument/2006/relationships/hyperlink" Target="https://en.ecoaction.org.ua/agri-priorities-sustainable-ukraine.html" TargetMode="External"/><Relationship Id="rId52" Type="http://schemas.openxmlformats.org/officeDocument/2006/relationships/hyperlink" Target="https://doi.org/10.1051/e3sconf/202125501018" TargetMode="External"/><Relationship Id="rId60" Type="http://schemas.openxmlformats.org/officeDocument/2006/relationships/hyperlink" Target="https://doi.org/10.48077/scihor5.2023.137" TargetMode="External"/><Relationship Id="rId65" Type="http://schemas.openxmlformats.org/officeDocument/2006/relationships/hyperlink" Target="https://doi.org/10.33271/nvngu/2020-6/180"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hyperlink" Target="https://doi.org/10.29202/up/16/2" TargetMode="External"/><Relationship Id="rId27" Type="http://schemas.openxmlformats.org/officeDocument/2006/relationships/hyperlink" Target="https://doi.org/10.3280/RISS2022-002007" TargetMode="External"/><Relationship Id="rId30" Type="http://schemas.openxmlformats.org/officeDocument/2006/relationships/hyperlink" Target="http://dx.doi.org/10.2307/2343100" TargetMode="External"/><Relationship Id="rId35" Type="http://schemas.openxmlformats.org/officeDocument/2006/relationships/hyperlink" Target="https://doi.org/10.14207/ejsd.2020.v9n2p89" TargetMode="External"/><Relationship Id="rId43" Type="http://schemas.openxmlformats.org/officeDocument/2006/relationships/hyperlink" Target="https://doi.org/10.32782/2522-1205-2024-79-03" TargetMode="External"/><Relationship Id="rId48" Type="http://schemas.openxmlformats.org/officeDocument/2006/relationships/hyperlink" Target="https://doi.org/10.1088/1755-1315/628/1/012022" TargetMode="External"/><Relationship Id="rId56" Type="http://schemas.openxmlformats.org/officeDocument/2006/relationships/hyperlink" Target="https://doi.org/10.30525/2256-0742/2024-10-3-340-352" TargetMode="External"/><Relationship Id="rId64" Type="http://schemas.openxmlformats.org/officeDocument/2006/relationships/hyperlink" Target="https://doi.org/10.32317/2221-1055.202206041" TargetMode="External"/><Relationship Id="rId69" Type="http://schemas.openxmlformats.org/officeDocument/2006/relationships/header" Target="header2.xml"/><Relationship Id="rId8" Type="http://schemas.openxmlformats.org/officeDocument/2006/relationships/chart" Target="charts/chart1.xml"/><Relationship Id="rId51" Type="http://schemas.openxmlformats.org/officeDocument/2006/relationships/hyperlink" Target="https://doi.org/10.33223/epj/147155"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yperlink" Target="https://doi.org/10.18421/TEM111-43" TargetMode="External"/><Relationship Id="rId25" Type="http://schemas.openxmlformats.org/officeDocument/2006/relationships/hyperlink" Target="https://doi.org/10.33271/nvngu/2023-5/186" TargetMode="External"/><Relationship Id="rId33" Type="http://schemas.openxmlformats.org/officeDocument/2006/relationships/hyperlink" Target="https://doi.org/10.18421/tem103-29" TargetMode="External"/><Relationship Id="rId38" Type="http://schemas.openxmlformats.org/officeDocument/2006/relationships/hyperlink" Target="https://doi.org/10.25115/eea.v39i6.5263" TargetMode="External"/><Relationship Id="rId46" Type="http://schemas.openxmlformats.org/officeDocument/2006/relationships/hyperlink" Target="https://doi.org/10.51599/are.2020.06.04.10" TargetMode="External"/><Relationship Id="rId59" Type="http://schemas.openxmlformats.org/officeDocument/2006/relationships/hyperlink" Target="https://doi.org/10.1016/j.jrurstud.2019.09.003" TargetMode="External"/><Relationship Id="rId67" Type="http://schemas.openxmlformats.org/officeDocument/2006/relationships/hyperlink" Target="https://magazine.faaf.org.ua/the-influence-of-institutional-changes-on-the-investment-attractiveness-of-the-agricultural-sector-of-ukrainian-economy.html" TargetMode="External"/><Relationship Id="rId20" Type="http://schemas.openxmlformats.org/officeDocument/2006/relationships/hyperlink" Target="https://doi.org/10.4018/IJITPM.323209" TargetMode="External"/><Relationship Id="rId41" Type="http://schemas.openxmlformats.org/officeDocument/2006/relationships/hyperlink" Target="https://doi.org/10.61954/2616-7107/2024.8.4-5" TargetMode="External"/><Relationship Id="rId54" Type="http://schemas.openxmlformats.org/officeDocument/2006/relationships/hyperlink" Target="http://www.ukrstat.gov.ua" TargetMode="External"/><Relationship Id="rId62" Type="http://schemas.openxmlformats.org/officeDocument/2006/relationships/hyperlink" Target="https://doi.org/10.33271/nvngu/2022-5/110" TargetMode="External"/><Relationship Id="rId7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98750843527832"/>
          <c:y val="5.6323604710701483E-2"/>
          <c:w val="0.79662278415654575"/>
          <c:h val="0.72357927173660253"/>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6.3028277000160643E-2"/>
                  <c:y val="-0.10701917468649752"/>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baseline="0"/>
                      <a:t>y = 56.276x + 80.623</a:t>
                    </a:r>
                    <a:br>
                      <a:rPr lang="pl-PL" baseline="0"/>
                    </a:br>
                    <a:r>
                      <a:rPr lang="pl-PL" baseline="0"/>
                      <a:t>R² = 0.6702</a:t>
                    </a:r>
                    <a:endParaRPr lang="pl-PL"/>
                  </a:p>
                </c:rich>
              </c:tx>
              <c:numFmt formatCode="General" sourceLinked="0"/>
              <c:spPr>
                <a:solidFill>
                  <a:schemeClr val="bg1"/>
                </a:solidFill>
                <a:ln w="3175">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rendlineLbl>
          </c:trendline>
          <c:xVal>
            <c:numRef>
              <c:f>Лист2!$D$4:$D$13</c:f>
              <c:numCache>
                <c:formatCode>General</c:formatCode>
                <c:ptCount val="10"/>
                <c:pt idx="0">
                  <c:v>99.28</c:v>
                </c:pt>
                <c:pt idx="1">
                  <c:v>138.37</c:v>
                </c:pt>
                <c:pt idx="2">
                  <c:v>183.92</c:v>
                </c:pt>
                <c:pt idx="3">
                  <c:v>227.79</c:v>
                </c:pt>
                <c:pt idx="4">
                  <c:v>237.53</c:v>
                </c:pt>
                <c:pt idx="5">
                  <c:v>246.85</c:v>
                </c:pt>
                <c:pt idx="6">
                  <c:v>299.45999999999998</c:v>
                </c:pt>
                <c:pt idx="7">
                  <c:v>291.97000000000003</c:v>
                </c:pt>
                <c:pt idx="8">
                  <c:v>300.19</c:v>
                </c:pt>
                <c:pt idx="9">
                  <c:v>307.10000000000002</c:v>
                </c:pt>
              </c:numCache>
            </c:numRef>
          </c:xVal>
          <c:yVal>
            <c:numRef>
              <c:f>Лист2!$E$4:$E$13</c:f>
              <c:numCache>
                <c:formatCode>General</c:formatCode>
                <c:ptCount val="10"/>
                <c:pt idx="0">
                  <c:v>5137.33</c:v>
                </c:pt>
                <c:pt idx="1">
                  <c:v>8696.52</c:v>
                </c:pt>
                <c:pt idx="2">
                  <c:v>9690.25</c:v>
                </c:pt>
                <c:pt idx="3">
                  <c:v>16338.44</c:v>
                </c:pt>
                <c:pt idx="4">
                  <c:v>10909.99</c:v>
                </c:pt>
                <c:pt idx="5">
                  <c:v>14536.76</c:v>
                </c:pt>
                <c:pt idx="6">
                  <c:v>12607.45</c:v>
                </c:pt>
                <c:pt idx="7">
                  <c:v>13363.37</c:v>
                </c:pt>
                <c:pt idx="8">
                  <c:v>18729.52</c:v>
                </c:pt>
                <c:pt idx="9">
                  <c:v>22058.85</c:v>
                </c:pt>
              </c:numCache>
            </c:numRef>
          </c:yVal>
          <c:smooth val="0"/>
          <c:extLst>
            <c:ext xmlns:c16="http://schemas.microsoft.com/office/drawing/2014/chart" uri="{C3380CC4-5D6E-409C-BE32-E72D297353CC}">
              <c16:uniqueId val="{00000001-CFA3-45EE-9A16-A5DF66BBBB7C}"/>
            </c:ext>
          </c:extLst>
        </c:ser>
        <c:dLbls>
          <c:showLegendKey val="0"/>
          <c:showVal val="0"/>
          <c:showCatName val="0"/>
          <c:showSerName val="0"/>
          <c:showPercent val="0"/>
          <c:showBubbleSize val="0"/>
        </c:dLbls>
        <c:axId val="803133407"/>
        <c:axId val="803132575"/>
      </c:scatterChart>
      <c:valAx>
        <c:axId val="80313340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b="1"/>
                  <a:t>Capital investments in construction and reconstruction of buildings, USD </a:t>
                </a:r>
                <a:r>
                  <a:rPr lang="pl-PL"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mln</a:t>
                </a:r>
                <a:endParaRPr lang="pl-PL" b="1"/>
              </a:p>
            </c:rich>
          </c:tx>
          <c:layout>
            <c:manualLayout>
              <c:xMode val="edge"/>
              <c:yMode val="edge"/>
              <c:x val="0.13060539563702078"/>
              <c:y val="0.88991295442908369"/>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803132575"/>
        <c:crosses val="autoZero"/>
        <c:crossBetween val="midCat"/>
      </c:valAx>
      <c:valAx>
        <c:axId val="8031325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b="1"/>
                  <a:t>Volume of products sold (goods, services) by enterprises, USD </a:t>
                </a:r>
                <a:r>
                  <a:rPr lang="pl-PL"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mln</a:t>
                </a:r>
                <a:endParaRPr lang="pl-PL" b="1"/>
              </a:p>
            </c:rich>
          </c:tx>
          <c:layout>
            <c:manualLayout>
              <c:xMode val="edge"/>
              <c:yMode val="edge"/>
              <c:x val="1.0375596596804317E-2"/>
              <c:y val="5.6323604710701483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80313340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8720441801161695"/>
                  <c:y val="7.2085572428758432E-2"/>
                </c:manualLayout>
              </c:layout>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baseline="0"/>
                      <a:t>y = 45.977x + 279.42</a:t>
                    </a:r>
                    <a:br>
                      <a:rPr lang="pl-PL" baseline="0"/>
                    </a:br>
                    <a:r>
                      <a:rPr lang="pl-PL" baseline="0"/>
                      <a:t>R² = 0.7508</a:t>
                    </a:r>
                    <a:endParaRPr lang="pl-PL"/>
                  </a:p>
                </c:rich>
              </c:tx>
              <c:numFmt formatCode="General" sourceLinked="0"/>
              <c:spPr>
                <a:solidFill>
                  <a:schemeClr val="bg1"/>
                </a:solidFill>
                <a:ln w="3175">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rendlineLbl>
          </c:trendline>
          <c:xVal>
            <c:numRef>
              <c:f>Лист4!$D$5:$D$14</c:f>
              <c:numCache>
                <c:formatCode>General</c:formatCode>
                <c:ptCount val="10"/>
                <c:pt idx="0">
                  <c:v>99.28</c:v>
                </c:pt>
                <c:pt idx="1">
                  <c:v>138.37</c:v>
                </c:pt>
                <c:pt idx="2">
                  <c:v>183.92</c:v>
                </c:pt>
                <c:pt idx="3">
                  <c:v>227.79</c:v>
                </c:pt>
                <c:pt idx="4">
                  <c:v>237.53</c:v>
                </c:pt>
                <c:pt idx="5">
                  <c:v>246.85</c:v>
                </c:pt>
                <c:pt idx="6">
                  <c:v>299.45999999999998</c:v>
                </c:pt>
                <c:pt idx="7">
                  <c:v>291.97000000000003</c:v>
                </c:pt>
                <c:pt idx="8">
                  <c:v>300.19</c:v>
                </c:pt>
                <c:pt idx="9">
                  <c:v>307.10000000000002</c:v>
                </c:pt>
              </c:numCache>
            </c:numRef>
          </c:xVal>
          <c:yVal>
            <c:numRef>
              <c:f>Лист4!$E$5:$E$14</c:f>
              <c:numCache>
                <c:formatCode>General</c:formatCode>
                <c:ptCount val="10"/>
                <c:pt idx="0">
                  <c:v>4559.4799999999996</c:v>
                </c:pt>
                <c:pt idx="1">
                  <c:v>6600.04</c:v>
                </c:pt>
                <c:pt idx="2">
                  <c:v>7840.45</c:v>
                </c:pt>
                <c:pt idx="3">
                  <c:v>14396.89</c:v>
                </c:pt>
                <c:pt idx="4">
                  <c:v>9339.2099999999991</c:v>
                </c:pt>
                <c:pt idx="5">
                  <c:v>12299.89</c:v>
                </c:pt>
                <c:pt idx="6">
                  <c:v>11560.75</c:v>
                </c:pt>
                <c:pt idx="7">
                  <c:v>12211.23</c:v>
                </c:pt>
                <c:pt idx="8">
                  <c:v>16675.439999999999</c:v>
                </c:pt>
                <c:pt idx="9">
                  <c:v>14550.28</c:v>
                </c:pt>
              </c:numCache>
            </c:numRef>
          </c:yVal>
          <c:smooth val="0"/>
          <c:extLst>
            <c:ext xmlns:c16="http://schemas.microsoft.com/office/drawing/2014/chart" uri="{C3380CC4-5D6E-409C-BE32-E72D297353CC}">
              <c16:uniqueId val="{00000001-7C70-45CA-889A-CB4A29C05929}"/>
            </c:ext>
          </c:extLst>
        </c:ser>
        <c:dLbls>
          <c:showLegendKey val="0"/>
          <c:showVal val="0"/>
          <c:showCatName val="0"/>
          <c:showSerName val="0"/>
          <c:showPercent val="0"/>
          <c:showBubbleSize val="0"/>
        </c:dLbls>
        <c:axId val="743594351"/>
        <c:axId val="743591855"/>
      </c:scatterChart>
      <c:valAx>
        <c:axId val="74359435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b="1"/>
                  <a:t>Capital investments in construction and reconstruction of buildings, USD </a:t>
                </a:r>
                <a:r>
                  <a:rPr lang="pl-PL"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mln</a:t>
                </a:r>
                <a:endParaRPr lang="pl-PL" b="1"/>
              </a:p>
            </c:rich>
          </c:tx>
          <c:layout>
            <c:manualLayout>
              <c:xMode val="edge"/>
              <c:yMode val="edge"/>
              <c:x val="0.17767544544116795"/>
              <c:y val="0.9091774312524658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743591855"/>
        <c:crosses val="autoZero"/>
        <c:crossBetween val="midCat"/>
      </c:valAx>
      <c:valAx>
        <c:axId val="7435918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b="1"/>
                  <a:t>Costs for production of products (goods, services) of enterprises, USD </a:t>
                </a:r>
                <a:r>
                  <a:rPr lang="pl-PL"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mln</a:t>
                </a:r>
                <a:endParaRPr lang="pl-PL" b="1"/>
              </a:p>
            </c:rich>
          </c:tx>
          <c:layout>
            <c:manualLayout>
              <c:xMode val="edge"/>
              <c:yMode val="edge"/>
              <c:x val="1.6602677181695547E-2"/>
              <c:y val="5.4903397491980171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74359435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18247747567408"/>
          <c:y val="5.0925925925925923E-2"/>
          <c:w val="0.82431082957008706"/>
          <c:h val="0.77170530766987455"/>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1231261729930329"/>
                  <c:y val="-3.7672426363371245E-2"/>
                </c:manualLayout>
              </c:layout>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y = 11</a:t>
                    </a:r>
                    <a:r>
                      <a:rPr lang="pl-PL" baseline="0"/>
                      <a:t>.</a:t>
                    </a:r>
                    <a:r>
                      <a:rPr lang="en-US" baseline="0"/>
                      <a:t>383x + 3381</a:t>
                    </a:r>
                    <a:r>
                      <a:rPr lang="pl-PL" baseline="0"/>
                      <a:t>.</a:t>
                    </a:r>
                    <a:r>
                      <a:rPr lang="en-US" baseline="0"/>
                      <a:t>7</a:t>
                    </a:r>
                    <a:br>
                      <a:rPr lang="en-US" baseline="0"/>
                    </a:br>
                    <a:r>
                      <a:rPr lang="en-US" baseline="0"/>
                      <a:t>R² = 0</a:t>
                    </a:r>
                    <a:r>
                      <a:rPr lang="pl-PL" baseline="0"/>
                      <a:t>.</a:t>
                    </a:r>
                    <a:r>
                      <a:rPr lang="en-US" baseline="0"/>
                      <a:t>4313</a:t>
                    </a:r>
                    <a:endParaRPr lang="en-US"/>
                  </a:p>
                </c:rich>
              </c:tx>
              <c:numFmt formatCode="General" sourceLinked="0"/>
              <c:spPr>
                <a:solidFill>
                  <a:schemeClr val="bg1"/>
                </a:solidFill>
                <a:ln w="3175">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Лист6!$C$4:$C$13</c:f>
              <c:numCache>
                <c:formatCode>General</c:formatCode>
                <c:ptCount val="10"/>
                <c:pt idx="0">
                  <c:v>286.01</c:v>
                </c:pt>
                <c:pt idx="1">
                  <c:v>477.31</c:v>
                </c:pt>
                <c:pt idx="2">
                  <c:v>917.75</c:v>
                </c:pt>
                <c:pt idx="3">
                  <c:v>827.06</c:v>
                </c:pt>
                <c:pt idx="4">
                  <c:v>1174.78</c:v>
                </c:pt>
                <c:pt idx="5">
                  <c:v>790.92</c:v>
                </c:pt>
                <c:pt idx="6">
                  <c:v>1091.28</c:v>
                </c:pt>
                <c:pt idx="7">
                  <c:v>908.28</c:v>
                </c:pt>
                <c:pt idx="8">
                  <c:v>1010.62</c:v>
                </c:pt>
                <c:pt idx="9">
                  <c:v>1147.73</c:v>
                </c:pt>
              </c:numCache>
            </c:numRef>
          </c:xVal>
          <c:yVal>
            <c:numRef>
              <c:f>Лист6!$D$4:$D$13</c:f>
              <c:numCache>
                <c:formatCode>General</c:formatCode>
                <c:ptCount val="10"/>
                <c:pt idx="0">
                  <c:v>5137.33</c:v>
                </c:pt>
                <c:pt idx="1">
                  <c:v>8696.52</c:v>
                </c:pt>
                <c:pt idx="2">
                  <c:v>9690.25</c:v>
                </c:pt>
                <c:pt idx="3">
                  <c:v>16338.44</c:v>
                </c:pt>
                <c:pt idx="4">
                  <c:v>10909.99</c:v>
                </c:pt>
                <c:pt idx="5">
                  <c:v>14536.76</c:v>
                </c:pt>
                <c:pt idx="6">
                  <c:v>12607.45</c:v>
                </c:pt>
                <c:pt idx="7">
                  <c:v>13363.37</c:v>
                </c:pt>
                <c:pt idx="8">
                  <c:v>18729.52</c:v>
                </c:pt>
                <c:pt idx="9">
                  <c:v>22058.85</c:v>
                </c:pt>
              </c:numCache>
            </c:numRef>
          </c:yVal>
          <c:smooth val="0"/>
          <c:extLst>
            <c:ext xmlns:c16="http://schemas.microsoft.com/office/drawing/2014/chart" uri="{C3380CC4-5D6E-409C-BE32-E72D297353CC}">
              <c16:uniqueId val="{00000001-7DD1-4387-A118-67CDEBA8F939}"/>
            </c:ext>
          </c:extLst>
        </c:ser>
        <c:dLbls>
          <c:showLegendKey val="0"/>
          <c:showVal val="0"/>
          <c:showCatName val="0"/>
          <c:showSerName val="0"/>
          <c:showPercent val="0"/>
          <c:showBubbleSize val="0"/>
        </c:dLbls>
        <c:axId val="345043551"/>
        <c:axId val="345043967"/>
      </c:scatterChart>
      <c:valAx>
        <c:axId val="34504355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b="1"/>
                  <a:t>Capital investments in machinery and equipment</a:t>
                </a:r>
                <a:r>
                  <a:rPr lang="uk-UA" b="1"/>
                  <a:t>, </a:t>
                </a:r>
                <a:r>
                  <a:rPr lang="pl-PL" b="1"/>
                  <a:t>USD </a:t>
                </a:r>
                <a:r>
                  <a:rPr lang="pl-PL"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mln</a:t>
                </a:r>
                <a:endParaRPr lang="uk-UA" b="1"/>
              </a:p>
            </c:rich>
          </c:tx>
          <c:layout>
            <c:manualLayout>
              <c:xMode val="edge"/>
              <c:yMode val="edge"/>
              <c:x val="0.26723528657184942"/>
              <c:y val="0.9113977319820668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345043967"/>
        <c:crosses val="autoZero"/>
        <c:crossBetween val="midCat"/>
      </c:valAx>
      <c:valAx>
        <c:axId val="345043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b="1"/>
                  <a:t>Volume of products sold (goods, services) by enterprises</a:t>
                </a:r>
                <a:r>
                  <a:rPr lang="uk-UA" b="1"/>
                  <a:t>, </a:t>
                </a:r>
                <a:r>
                  <a:rPr lang="pl-PL" b="1"/>
                  <a:t>USD </a:t>
                </a:r>
                <a:r>
                  <a:rPr lang="pl-PL"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mln</a:t>
                </a:r>
                <a:endParaRPr lang="uk-UA" b="1"/>
              </a:p>
            </c:rich>
          </c:tx>
          <c:layout>
            <c:manualLayout>
              <c:xMode val="edge"/>
              <c:yMode val="edge"/>
              <c:x val="1.0504624973139125E-2"/>
              <c:y val="0.1160648148148148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34504355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27482986749722"/>
          <c:y val="5.0925925925925923E-2"/>
          <c:w val="0.79421847717826388"/>
          <c:h val="0.76707567804024501"/>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2130420892573652"/>
                  <c:y val="-6.2034485272674252E-2"/>
                </c:manualLayout>
              </c:layout>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y = 8</a:t>
                    </a:r>
                    <a:r>
                      <a:rPr lang="pl-PL" baseline="0"/>
                      <a:t>.</a:t>
                    </a:r>
                    <a:r>
                      <a:rPr lang="en-US" baseline="0"/>
                      <a:t>7714x + 3432</a:t>
                    </a:r>
                    <a:r>
                      <a:rPr lang="pl-PL" baseline="0"/>
                      <a:t>.</a:t>
                    </a:r>
                    <a:r>
                      <a:rPr lang="en-US" baseline="0"/>
                      <a:t>1</a:t>
                    </a:r>
                    <a:br>
                      <a:rPr lang="en-US" baseline="0"/>
                    </a:br>
                    <a:r>
                      <a:rPr lang="en-US" baseline="0"/>
                      <a:t>R² = 0</a:t>
                    </a:r>
                    <a:r>
                      <a:rPr lang="pl-PL" baseline="0"/>
                      <a:t>.</a:t>
                    </a:r>
                    <a:r>
                      <a:rPr lang="en-US" baseline="0"/>
                      <a:t>4299</a:t>
                    </a:r>
                    <a:endParaRPr lang="en-US"/>
                  </a:p>
                </c:rich>
              </c:tx>
              <c:numFmt formatCode="General" sourceLinked="0"/>
              <c:spPr>
                <a:solidFill>
                  <a:schemeClr val="bg1"/>
                </a:solidFill>
                <a:ln w="3175">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Лист9!$C$3:$C$12</c:f>
              <c:numCache>
                <c:formatCode>General</c:formatCode>
                <c:ptCount val="10"/>
                <c:pt idx="0">
                  <c:v>286.01</c:v>
                </c:pt>
                <c:pt idx="1">
                  <c:v>477.31</c:v>
                </c:pt>
                <c:pt idx="2">
                  <c:v>917.75</c:v>
                </c:pt>
                <c:pt idx="3">
                  <c:v>827.06</c:v>
                </c:pt>
                <c:pt idx="4">
                  <c:v>1174.78</c:v>
                </c:pt>
                <c:pt idx="5">
                  <c:v>790.92</c:v>
                </c:pt>
                <c:pt idx="6">
                  <c:v>1091.28</c:v>
                </c:pt>
                <c:pt idx="7">
                  <c:v>908.28</c:v>
                </c:pt>
                <c:pt idx="8">
                  <c:v>1010.62</c:v>
                </c:pt>
                <c:pt idx="9">
                  <c:v>1147.73</c:v>
                </c:pt>
              </c:numCache>
            </c:numRef>
          </c:xVal>
          <c:yVal>
            <c:numRef>
              <c:f>Лист9!$D$3:$D$12</c:f>
              <c:numCache>
                <c:formatCode>General</c:formatCode>
                <c:ptCount val="10"/>
                <c:pt idx="0">
                  <c:v>4559.4799999999996</c:v>
                </c:pt>
                <c:pt idx="1">
                  <c:v>6600.04</c:v>
                </c:pt>
                <c:pt idx="2">
                  <c:v>7840.45</c:v>
                </c:pt>
                <c:pt idx="3">
                  <c:v>14396.89</c:v>
                </c:pt>
                <c:pt idx="4">
                  <c:v>9339.2099999999991</c:v>
                </c:pt>
                <c:pt idx="5">
                  <c:v>12299.89</c:v>
                </c:pt>
                <c:pt idx="6">
                  <c:v>11560.75</c:v>
                </c:pt>
                <c:pt idx="7">
                  <c:v>12211.23</c:v>
                </c:pt>
                <c:pt idx="8">
                  <c:v>16675.439999999999</c:v>
                </c:pt>
                <c:pt idx="9">
                  <c:v>14550.28</c:v>
                </c:pt>
              </c:numCache>
            </c:numRef>
          </c:yVal>
          <c:smooth val="0"/>
          <c:extLst>
            <c:ext xmlns:c16="http://schemas.microsoft.com/office/drawing/2014/chart" uri="{C3380CC4-5D6E-409C-BE32-E72D297353CC}">
              <c16:uniqueId val="{00000001-3A58-48BB-B34C-E6833E036101}"/>
            </c:ext>
          </c:extLst>
        </c:ser>
        <c:dLbls>
          <c:showLegendKey val="0"/>
          <c:showVal val="0"/>
          <c:showCatName val="0"/>
          <c:showSerName val="0"/>
          <c:showPercent val="0"/>
          <c:showBubbleSize val="0"/>
        </c:dLbls>
        <c:axId val="923221023"/>
        <c:axId val="923221439"/>
      </c:scatterChart>
      <c:valAx>
        <c:axId val="923221023"/>
        <c:scaling>
          <c:orientation val="minMax"/>
        </c:scaling>
        <c:delete val="0"/>
        <c:axPos val="b"/>
        <c:majorGridlines>
          <c:spPr>
            <a:ln w="9525" cap="flat" cmpd="sng" algn="ctr">
              <a:solidFill>
                <a:schemeClr val="tx1">
                  <a:lumMod val="15000"/>
                  <a:lumOff val="85000"/>
                </a:schemeClr>
              </a:solidFill>
              <a:round/>
            </a:ln>
            <a:effectLst/>
          </c:spPr>
        </c:majorGridlines>
        <c:title>
          <c:tx>
            <c:strRef>
              <c:f>Лист9!$D$2</c:f>
              <c:strCache>
                <c:ptCount val="1"/>
                <c:pt idx="0">
                  <c:v>Capital investments in machinery and equipment, USD million</c:v>
                </c:pt>
              </c:strCache>
            </c:strRef>
          </c:tx>
          <c:layout>
            <c:manualLayout>
              <c:xMode val="edge"/>
              <c:yMode val="edge"/>
              <c:x val="0.23368872758291326"/>
              <c:y val="0.9054319949136793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923221439"/>
        <c:crosses val="autoZero"/>
        <c:crossBetween val="midCat"/>
      </c:valAx>
      <c:valAx>
        <c:axId val="923221439"/>
        <c:scaling>
          <c:orientation val="minMax"/>
        </c:scaling>
        <c:delete val="0"/>
        <c:axPos val="l"/>
        <c:majorGridlines>
          <c:spPr>
            <a:ln w="9525" cap="flat" cmpd="sng" algn="ctr">
              <a:solidFill>
                <a:schemeClr val="tx1">
                  <a:lumMod val="15000"/>
                  <a:lumOff val="85000"/>
                </a:schemeClr>
              </a:solidFill>
              <a:round/>
            </a:ln>
            <a:effectLst/>
          </c:spPr>
        </c:majorGridlines>
        <c:title>
          <c:tx>
            <c:strRef>
              <c:f>Лист9!$C$2</c:f>
              <c:strCache>
                <c:ptCount val="1"/>
                <c:pt idx="0">
                  <c:v>Costs for production of products (goods, services) of enterprises, USD million</c:v>
                </c:pt>
              </c:strCache>
            </c:strRef>
          </c:tx>
          <c:layout>
            <c:manualLayout>
              <c:xMode val="edge"/>
              <c:yMode val="edge"/>
              <c:x val="1.6602677181695547E-2"/>
              <c:y val="5.4903397491980171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92322102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0675562280874485"/>
                  <c:y val="-2.8381612115837118E-2"/>
                </c:manualLayout>
              </c:layout>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y = 6654</a:t>
                    </a:r>
                    <a:r>
                      <a:rPr lang="pl-PL" baseline="0"/>
                      <a:t>.</a:t>
                    </a:r>
                    <a:r>
                      <a:rPr lang="en-US" baseline="0"/>
                      <a:t>8x + 4369</a:t>
                    </a:r>
                    <a:r>
                      <a:rPr lang="pl-PL" baseline="0"/>
                      <a:t>.</a:t>
                    </a:r>
                    <a:r>
                      <a:rPr lang="en-US" baseline="0"/>
                      <a:t>3</a:t>
                    </a:r>
                    <a:br>
                      <a:rPr lang="en-US" baseline="0"/>
                    </a:br>
                    <a:r>
                      <a:rPr lang="en-US" baseline="0"/>
                      <a:t>R² = 0</a:t>
                    </a:r>
                    <a:r>
                      <a:rPr lang="pl-PL" baseline="0"/>
                      <a:t>.</a:t>
                    </a:r>
                    <a:r>
                      <a:rPr lang="en-US" baseline="0"/>
                      <a:t>837</a:t>
                    </a:r>
                    <a:endParaRPr lang="en-US"/>
                  </a:p>
                </c:rich>
              </c:tx>
              <c:numFmt formatCode="General" sourceLinked="0"/>
              <c:spPr>
                <a:solidFill>
                  <a:schemeClr val="bg1"/>
                </a:solidFill>
                <a:ln w="3175">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Лист10!$E$4:$E$13</c:f>
              <c:numCache>
                <c:formatCode>0.00</c:formatCode>
                <c:ptCount val="10"/>
                <c:pt idx="0">
                  <c:v>0.59</c:v>
                </c:pt>
                <c:pt idx="1">
                  <c:v>0.61</c:v>
                </c:pt>
                <c:pt idx="2">
                  <c:v>0.89</c:v>
                </c:pt>
                <c:pt idx="3">
                  <c:v>1.61</c:v>
                </c:pt>
                <c:pt idx="4">
                  <c:v>1.22</c:v>
                </c:pt>
                <c:pt idx="5">
                  <c:v>1.06</c:v>
                </c:pt>
                <c:pt idx="6">
                  <c:v>1.4</c:v>
                </c:pt>
                <c:pt idx="7">
                  <c:v>0.94</c:v>
                </c:pt>
                <c:pt idx="8">
                  <c:v>2.42</c:v>
                </c:pt>
                <c:pt idx="9">
                  <c:v>2.54</c:v>
                </c:pt>
              </c:numCache>
            </c:numRef>
          </c:xVal>
          <c:yVal>
            <c:numRef>
              <c:f>Лист10!$F$4:$F$13</c:f>
              <c:numCache>
                <c:formatCode>General</c:formatCode>
                <c:ptCount val="10"/>
                <c:pt idx="0">
                  <c:v>5137.33</c:v>
                </c:pt>
                <c:pt idx="1">
                  <c:v>8696.52</c:v>
                </c:pt>
                <c:pt idx="2">
                  <c:v>9690.25</c:v>
                </c:pt>
                <c:pt idx="3">
                  <c:v>16338.44</c:v>
                </c:pt>
                <c:pt idx="4">
                  <c:v>10909.99</c:v>
                </c:pt>
                <c:pt idx="5">
                  <c:v>14536.76</c:v>
                </c:pt>
                <c:pt idx="6">
                  <c:v>12607.45</c:v>
                </c:pt>
                <c:pt idx="7">
                  <c:v>13363.37</c:v>
                </c:pt>
                <c:pt idx="8">
                  <c:v>18729.52</c:v>
                </c:pt>
                <c:pt idx="9">
                  <c:v>22058.85</c:v>
                </c:pt>
              </c:numCache>
            </c:numRef>
          </c:yVal>
          <c:smooth val="0"/>
          <c:extLst>
            <c:ext xmlns:c16="http://schemas.microsoft.com/office/drawing/2014/chart" uri="{C3380CC4-5D6E-409C-BE32-E72D297353CC}">
              <c16:uniqueId val="{00000001-137F-4616-AE38-330816D49A9E}"/>
            </c:ext>
          </c:extLst>
        </c:ser>
        <c:dLbls>
          <c:showLegendKey val="0"/>
          <c:showVal val="0"/>
          <c:showCatName val="0"/>
          <c:showSerName val="0"/>
          <c:showPercent val="0"/>
          <c:showBubbleSize val="0"/>
        </c:dLbls>
        <c:axId val="1004835663"/>
        <c:axId val="1004824847"/>
      </c:scatterChart>
      <c:valAx>
        <c:axId val="1004835663"/>
        <c:scaling>
          <c:orientation val="minMax"/>
          <c:max val="3"/>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b="1"/>
                  <a:t>Capital investments in software acquisition, USD </a:t>
                </a:r>
                <a:r>
                  <a:rPr lang="pl-PL"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mln</a:t>
                </a:r>
                <a:endParaRPr lang="pl-PL" b="1"/>
              </a:p>
            </c:rich>
          </c:tx>
          <c:layout>
            <c:manualLayout>
              <c:xMode val="edge"/>
              <c:yMode val="edge"/>
              <c:x val="0.23005770901030237"/>
              <c:y val="0.8916813480506717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004824847"/>
        <c:crosses val="autoZero"/>
        <c:crossBetween val="midCat"/>
        <c:majorUnit val="1"/>
      </c:valAx>
      <c:valAx>
        <c:axId val="1004824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b="1"/>
                  <a:t>Volume of products sold (goods, services) by enterprises, USD </a:t>
                </a:r>
                <a:r>
                  <a:rPr lang="pl-PL"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mln</a:t>
                </a:r>
                <a:endParaRPr lang="pl-PL" b="1"/>
              </a:p>
            </c:rich>
          </c:tx>
          <c:layout>
            <c:manualLayout>
              <c:xMode val="edge"/>
              <c:yMode val="edge"/>
              <c:x val="1.6602677181695547E-2"/>
              <c:y val="5.0925925925925923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00483566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0488259243614"/>
          <c:y val="5.0925925925925923E-2"/>
          <c:w val="0.80277931430616434"/>
          <c:h val="0.74061864915788356"/>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3.2353018372703414E-2"/>
                  <c:y val="0.16162037037037033"/>
                </c:manualLayout>
              </c:layout>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y = 4762</a:t>
                    </a:r>
                    <a:r>
                      <a:rPr lang="pl-PL" baseline="0"/>
                      <a:t>.</a:t>
                    </a:r>
                    <a:r>
                      <a:rPr lang="en-US" baseline="0"/>
                      <a:t>6x + 4678</a:t>
                    </a:r>
                    <a:r>
                      <a:rPr lang="pl-PL" baseline="0"/>
                      <a:t>.</a:t>
                    </a:r>
                    <a:r>
                      <a:rPr lang="en-US" baseline="0"/>
                      <a:t>7</a:t>
                    </a:r>
                    <a:br>
                      <a:rPr lang="en-US" baseline="0"/>
                    </a:br>
                    <a:r>
                      <a:rPr lang="en-US" baseline="0"/>
                      <a:t>R² = 0</a:t>
                    </a:r>
                    <a:r>
                      <a:rPr lang="pl-PL" baseline="0"/>
                      <a:t>.</a:t>
                    </a:r>
                    <a:r>
                      <a:rPr lang="en-US" baseline="0"/>
                      <a:t>7196</a:t>
                    </a:r>
                    <a:endParaRPr lang="en-US"/>
                  </a:p>
                </c:rich>
              </c:tx>
              <c:numFmt formatCode="General" sourceLinked="0"/>
              <c:spPr>
                <a:solidFill>
                  <a:schemeClr val="bg1"/>
                </a:solidFill>
                <a:ln w="3175">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Лист11!$B$6:$B$15</c:f>
              <c:numCache>
                <c:formatCode>0.00</c:formatCode>
                <c:ptCount val="10"/>
                <c:pt idx="0">
                  <c:v>0.59</c:v>
                </c:pt>
                <c:pt idx="1">
                  <c:v>0.61</c:v>
                </c:pt>
                <c:pt idx="2">
                  <c:v>0.89</c:v>
                </c:pt>
                <c:pt idx="3">
                  <c:v>1.61</c:v>
                </c:pt>
                <c:pt idx="4">
                  <c:v>1.22</c:v>
                </c:pt>
                <c:pt idx="5">
                  <c:v>1.06</c:v>
                </c:pt>
                <c:pt idx="6">
                  <c:v>1.4</c:v>
                </c:pt>
                <c:pt idx="7">
                  <c:v>0.94</c:v>
                </c:pt>
                <c:pt idx="8">
                  <c:v>2.42</c:v>
                </c:pt>
                <c:pt idx="9">
                  <c:v>2.54</c:v>
                </c:pt>
              </c:numCache>
            </c:numRef>
          </c:xVal>
          <c:yVal>
            <c:numRef>
              <c:f>Лист11!$C$6:$C$15</c:f>
              <c:numCache>
                <c:formatCode>General</c:formatCode>
                <c:ptCount val="10"/>
                <c:pt idx="0">
                  <c:v>4559.4799999999996</c:v>
                </c:pt>
                <c:pt idx="1">
                  <c:v>6600.04</c:v>
                </c:pt>
                <c:pt idx="2">
                  <c:v>7840.45</c:v>
                </c:pt>
                <c:pt idx="3">
                  <c:v>14396.89</c:v>
                </c:pt>
                <c:pt idx="4">
                  <c:v>9339.2099999999991</c:v>
                </c:pt>
                <c:pt idx="5">
                  <c:v>12299.89</c:v>
                </c:pt>
                <c:pt idx="6">
                  <c:v>11560.75</c:v>
                </c:pt>
                <c:pt idx="7">
                  <c:v>12211.23</c:v>
                </c:pt>
                <c:pt idx="8">
                  <c:v>16675.439999999999</c:v>
                </c:pt>
                <c:pt idx="9">
                  <c:v>14550.28</c:v>
                </c:pt>
              </c:numCache>
            </c:numRef>
          </c:yVal>
          <c:smooth val="0"/>
          <c:extLst>
            <c:ext xmlns:c16="http://schemas.microsoft.com/office/drawing/2014/chart" uri="{C3380CC4-5D6E-409C-BE32-E72D297353CC}">
              <c16:uniqueId val="{00000001-6EC2-4A36-8033-F28914A5B742}"/>
            </c:ext>
          </c:extLst>
        </c:ser>
        <c:dLbls>
          <c:showLegendKey val="0"/>
          <c:showVal val="0"/>
          <c:showCatName val="0"/>
          <c:showSerName val="0"/>
          <c:showPercent val="0"/>
          <c:showBubbleSize val="0"/>
        </c:dLbls>
        <c:axId val="936292799"/>
        <c:axId val="936295711"/>
      </c:scatterChart>
      <c:valAx>
        <c:axId val="93629279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b="1"/>
                  <a:t>Capital investments in software acquisition, USD </a:t>
                </a:r>
                <a:r>
                  <a:rPr lang="pl-PL"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mln</a:t>
                </a:r>
                <a:endParaRPr lang="pl-PL" b="1"/>
              </a:p>
            </c:rich>
          </c:tx>
          <c:layout>
            <c:manualLayout>
              <c:xMode val="edge"/>
              <c:yMode val="edge"/>
              <c:x val="0.23688474294038969"/>
              <c:y val="0.9018285214348206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936295711"/>
        <c:crosses val="autoZero"/>
        <c:crossBetween val="midCat"/>
        <c:majorUnit val="1"/>
      </c:valAx>
      <c:valAx>
        <c:axId val="936295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b="1"/>
                  <a:t>Costs for production of products (goods, services) of enterprises, USD </a:t>
                </a:r>
                <a:r>
                  <a:rPr lang="pl-PL"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mln</a:t>
                </a:r>
                <a:endParaRPr lang="pl-PL" b="1"/>
              </a:p>
            </c:rich>
          </c:tx>
          <c:layout>
            <c:manualLayout>
              <c:xMode val="edge"/>
              <c:yMode val="edge"/>
              <c:x val="1.0376673238559718E-2"/>
              <c:y val="5.4903397491980171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93629279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16</Pages>
  <Words>9956</Words>
  <Characters>59737</Characters>
  <Application>Microsoft Office Word</Application>
  <DocSecurity>0</DocSecurity>
  <Lines>497</Lines>
  <Paragraphs>139</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Janusz Dabrowski NA</cp:lastModifiedBy>
  <cp:revision>31</cp:revision>
  <cp:lastPrinted>2025-11-25T13:09:00Z</cp:lastPrinted>
  <dcterms:created xsi:type="dcterms:W3CDTF">2025-11-17T08:59:00Z</dcterms:created>
  <dcterms:modified xsi:type="dcterms:W3CDTF">2025-12-12T06:42:00Z</dcterms:modified>
</cp:coreProperties>
</file>