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666F87" w:rsidRPr="00297C20" w14:paraId="0AFD6411" w14:textId="77777777" w:rsidTr="009C077C">
        <w:trPr>
          <w:trHeight w:hRule="exact" w:val="142"/>
        </w:trPr>
        <w:tc>
          <w:tcPr>
            <w:tcW w:w="709" w:type="dxa"/>
            <w:vMerge w:val="restart"/>
            <w:vAlign w:val="center"/>
          </w:tcPr>
          <w:p w14:paraId="4FE234BA" w14:textId="1C43F42D" w:rsidR="00666F87" w:rsidRPr="00297C20" w:rsidRDefault="00666F87" w:rsidP="00666F87">
            <w:pPr>
              <w:ind w:firstLine="0"/>
              <w:rPr>
                <w:rFonts w:cs="Times New Roman"/>
                <w:lang w:val="en-GB"/>
              </w:rPr>
            </w:pPr>
            <w:bookmarkStart w:id="0" w:name="_Hlk184284483"/>
            <w:bookmarkStart w:id="1" w:name="_Hlk145412337"/>
            <w:bookmarkStart w:id="2" w:name="_Hlk103340665"/>
            <w:bookmarkStart w:id="3" w:name="_Hlk24804592"/>
            <w:bookmarkEnd w:id="0"/>
            <w:bookmarkEnd w:id="1"/>
            <w:bookmarkEnd w:id="2"/>
          </w:p>
        </w:tc>
        <w:tc>
          <w:tcPr>
            <w:tcW w:w="8930" w:type="dxa"/>
            <w:gridSpan w:val="3"/>
            <w:vAlign w:val="center"/>
          </w:tcPr>
          <w:p w14:paraId="340DA846" w14:textId="77777777" w:rsidR="00666F87" w:rsidRPr="00297C20" w:rsidRDefault="00666F87" w:rsidP="00666F87">
            <w:pPr>
              <w:ind w:firstLine="0"/>
              <w:jc w:val="center"/>
              <w:rPr>
                <w:rFonts w:cs="Times New Roman"/>
                <w:lang w:val="en-GB"/>
              </w:rPr>
            </w:pPr>
          </w:p>
        </w:tc>
      </w:tr>
      <w:tr w:rsidR="00666F87" w:rsidRPr="00297C20" w14:paraId="14810CEE" w14:textId="77777777" w:rsidTr="009C077C">
        <w:trPr>
          <w:trHeight w:hRule="exact" w:val="283"/>
        </w:trPr>
        <w:tc>
          <w:tcPr>
            <w:tcW w:w="709" w:type="dxa"/>
            <w:vMerge/>
          </w:tcPr>
          <w:p w14:paraId="35F4A376" w14:textId="77777777" w:rsidR="00666F87" w:rsidRPr="00297C20" w:rsidRDefault="00666F87" w:rsidP="00666F87">
            <w:pPr>
              <w:ind w:firstLine="0"/>
              <w:jc w:val="center"/>
              <w:rPr>
                <w:rFonts w:cs="Times New Roman"/>
                <w:lang w:val="en-GB"/>
              </w:rPr>
            </w:pPr>
          </w:p>
        </w:tc>
        <w:tc>
          <w:tcPr>
            <w:tcW w:w="8930" w:type="dxa"/>
            <w:gridSpan w:val="3"/>
            <w:tcBorders>
              <w:bottom w:val="single" w:sz="2" w:space="0" w:color="auto"/>
            </w:tcBorders>
            <w:vAlign w:val="center"/>
          </w:tcPr>
          <w:p w14:paraId="052FC40E" w14:textId="77777777" w:rsidR="00666F87" w:rsidRPr="00297C20" w:rsidRDefault="00666F87" w:rsidP="00666F87">
            <w:pPr>
              <w:ind w:firstLine="0"/>
              <w:jc w:val="center"/>
              <w:rPr>
                <w:rFonts w:cs="Times New Roman"/>
                <w:lang w:val="en-GB"/>
              </w:rPr>
            </w:pPr>
            <w:proofErr w:type="spellStart"/>
            <w:r w:rsidRPr="00297C20">
              <w:rPr>
                <w:rFonts w:cs="Times New Roman"/>
                <w:b/>
                <w:sz w:val="20"/>
                <w:szCs w:val="20"/>
                <w:lang w:val="en-GB"/>
              </w:rPr>
              <w:t>Rocznik</w:t>
            </w:r>
            <w:proofErr w:type="spellEnd"/>
            <w:r w:rsidRPr="00297C20">
              <w:rPr>
                <w:rFonts w:cs="Times New Roman"/>
                <w:b/>
                <w:sz w:val="20"/>
                <w:szCs w:val="20"/>
                <w:lang w:val="en-GB"/>
              </w:rPr>
              <w:t xml:space="preserve"> </w:t>
            </w:r>
            <w:proofErr w:type="spellStart"/>
            <w:r w:rsidRPr="00297C20">
              <w:rPr>
                <w:rFonts w:cs="Times New Roman"/>
                <w:b/>
                <w:sz w:val="20"/>
                <w:szCs w:val="20"/>
                <w:lang w:val="en-GB"/>
              </w:rPr>
              <w:t>Ochrona</w:t>
            </w:r>
            <w:proofErr w:type="spellEnd"/>
            <w:r w:rsidRPr="00297C20">
              <w:rPr>
                <w:rFonts w:cs="Times New Roman"/>
                <w:b/>
                <w:sz w:val="20"/>
                <w:szCs w:val="20"/>
                <w:lang w:val="en-GB"/>
              </w:rPr>
              <w:t xml:space="preserve"> </w:t>
            </w:r>
            <w:proofErr w:type="spellStart"/>
            <w:r w:rsidRPr="00297C20">
              <w:rPr>
                <w:rFonts w:cs="Times New Roman"/>
                <w:b/>
                <w:sz w:val="20"/>
                <w:szCs w:val="20"/>
                <w:lang w:val="en-GB"/>
              </w:rPr>
              <w:t>Środowiska</w:t>
            </w:r>
            <w:proofErr w:type="spellEnd"/>
          </w:p>
        </w:tc>
      </w:tr>
      <w:tr w:rsidR="00666F87" w:rsidRPr="00297C20" w14:paraId="30FF39C0" w14:textId="77777777" w:rsidTr="009C077C">
        <w:trPr>
          <w:trHeight w:hRule="exact" w:val="283"/>
        </w:trPr>
        <w:tc>
          <w:tcPr>
            <w:tcW w:w="709" w:type="dxa"/>
            <w:vMerge/>
          </w:tcPr>
          <w:p w14:paraId="35D9B0A6" w14:textId="77777777" w:rsidR="00666F87" w:rsidRPr="00297C20" w:rsidRDefault="00666F87" w:rsidP="00666F87">
            <w:pPr>
              <w:ind w:firstLine="0"/>
              <w:jc w:val="center"/>
              <w:rPr>
                <w:rFonts w:cs="Times New Roman"/>
                <w:lang w:val="en-GB"/>
              </w:rPr>
            </w:pPr>
          </w:p>
        </w:tc>
        <w:tc>
          <w:tcPr>
            <w:tcW w:w="992" w:type="dxa"/>
            <w:tcBorders>
              <w:top w:val="single" w:sz="2" w:space="0" w:color="auto"/>
              <w:bottom w:val="single" w:sz="2" w:space="0" w:color="auto"/>
            </w:tcBorders>
            <w:vAlign w:val="center"/>
          </w:tcPr>
          <w:p w14:paraId="7B5A8DE4" w14:textId="3BF6075F" w:rsidR="00666F87" w:rsidRPr="00297C20" w:rsidRDefault="00310D5E" w:rsidP="00666F87">
            <w:pPr>
              <w:ind w:firstLine="0"/>
              <w:rPr>
                <w:rFonts w:cs="Times New Roman"/>
                <w:sz w:val="18"/>
                <w:szCs w:val="18"/>
                <w:lang w:val="en-GB"/>
              </w:rPr>
            </w:pPr>
            <w:r w:rsidRPr="00297C20">
              <w:rPr>
                <w:rFonts w:cs="Times New Roman"/>
                <w:sz w:val="18"/>
                <w:szCs w:val="18"/>
                <w:lang w:val="en-GB"/>
              </w:rPr>
              <w:t>Volume</w:t>
            </w:r>
            <w:r w:rsidR="00FA50FF">
              <w:rPr>
                <w:rFonts w:cs="Times New Roman"/>
                <w:sz w:val="18"/>
                <w:szCs w:val="18"/>
                <w:lang w:val="en-GB"/>
              </w:rPr>
              <w:t xml:space="preserve"> 27</w:t>
            </w:r>
          </w:p>
        </w:tc>
        <w:tc>
          <w:tcPr>
            <w:tcW w:w="6304" w:type="dxa"/>
            <w:tcBorders>
              <w:top w:val="single" w:sz="2" w:space="0" w:color="auto"/>
              <w:bottom w:val="single" w:sz="2" w:space="0" w:color="auto"/>
            </w:tcBorders>
            <w:vAlign w:val="center"/>
          </w:tcPr>
          <w:p w14:paraId="5C026FDE" w14:textId="3C904E02" w:rsidR="00666F87" w:rsidRPr="00297C20" w:rsidRDefault="00310D5E" w:rsidP="00310D5E">
            <w:pPr>
              <w:tabs>
                <w:tab w:val="left" w:pos="3057"/>
              </w:tabs>
              <w:ind w:left="141" w:firstLine="0"/>
              <w:rPr>
                <w:rFonts w:cs="Times New Roman"/>
                <w:sz w:val="18"/>
                <w:szCs w:val="18"/>
                <w:lang w:val="en-GB"/>
              </w:rPr>
            </w:pPr>
            <w:r w:rsidRPr="00297C20">
              <w:rPr>
                <w:rFonts w:cs="Times New Roman"/>
                <w:sz w:val="18"/>
                <w:szCs w:val="18"/>
                <w:lang w:val="en-GB"/>
              </w:rPr>
              <w:t>Year 2025</w:t>
            </w:r>
            <w:r w:rsidR="00666F87" w:rsidRPr="00297C20">
              <w:rPr>
                <w:rFonts w:cs="Times New Roman"/>
                <w:sz w:val="18"/>
                <w:szCs w:val="18"/>
                <w:lang w:val="en-GB"/>
              </w:rPr>
              <w:tab/>
              <w:t xml:space="preserve">ISSN </w:t>
            </w:r>
            <w:r w:rsidR="00FA50FF" w:rsidRPr="00FE40B9">
              <w:rPr>
                <w:sz w:val="18"/>
                <w:szCs w:val="18"/>
                <w:lang w:val="en-GB"/>
              </w:rPr>
              <w:t>2720-7501</w:t>
            </w:r>
          </w:p>
        </w:tc>
        <w:tc>
          <w:tcPr>
            <w:tcW w:w="1634" w:type="dxa"/>
            <w:tcBorders>
              <w:top w:val="single" w:sz="2" w:space="0" w:color="auto"/>
              <w:bottom w:val="single" w:sz="2" w:space="0" w:color="auto"/>
            </w:tcBorders>
            <w:vAlign w:val="center"/>
          </w:tcPr>
          <w:p w14:paraId="648A8438" w14:textId="2C087330" w:rsidR="00666F87" w:rsidRPr="00297C20" w:rsidRDefault="00666F87" w:rsidP="00310D5E">
            <w:pPr>
              <w:ind w:firstLine="0"/>
              <w:jc w:val="right"/>
              <w:rPr>
                <w:rFonts w:cs="Times New Roman"/>
                <w:sz w:val="18"/>
                <w:szCs w:val="18"/>
                <w:lang w:val="en-GB"/>
              </w:rPr>
            </w:pPr>
            <w:r w:rsidRPr="00297C20">
              <w:rPr>
                <w:rFonts w:cs="Times New Roman"/>
                <w:sz w:val="18"/>
                <w:szCs w:val="18"/>
                <w:lang w:val="en-GB"/>
              </w:rPr>
              <w:t>pp.</w:t>
            </w:r>
            <w:r w:rsidR="00FA50FF">
              <w:rPr>
                <w:rFonts w:cs="Times New Roman"/>
                <w:sz w:val="18"/>
                <w:szCs w:val="18"/>
                <w:lang w:val="en-GB"/>
              </w:rPr>
              <w:t xml:space="preserve"> </w:t>
            </w:r>
            <w:r w:rsidR="002A6BA8">
              <w:rPr>
                <w:sz w:val="18"/>
                <w:szCs w:val="18"/>
                <w:lang w:val="en-GB"/>
              </w:rPr>
              <w:t>635</w:t>
            </w:r>
            <w:r w:rsidR="00FA50FF" w:rsidRPr="00FE40B9">
              <w:rPr>
                <w:sz w:val="18"/>
                <w:szCs w:val="18"/>
                <w:lang w:val="en-GB"/>
              </w:rPr>
              <w:t>-</w:t>
            </w:r>
            <w:r w:rsidR="002A6BA8">
              <w:rPr>
                <w:sz w:val="18"/>
                <w:szCs w:val="18"/>
                <w:lang w:val="en-GB"/>
              </w:rPr>
              <w:t>651</w:t>
            </w:r>
            <w:r w:rsidRPr="00297C20">
              <w:rPr>
                <w:rFonts w:cs="Times New Roman"/>
                <w:sz w:val="18"/>
                <w:szCs w:val="18"/>
                <w:lang w:val="en-GB"/>
              </w:rPr>
              <w:t xml:space="preserve"> </w:t>
            </w:r>
          </w:p>
        </w:tc>
      </w:tr>
      <w:tr w:rsidR="00666F87" w:rsidRPr="0042740C" w14:paraId="08369300" w14:textId="77777777" w:rsidTr="009C077C">
        <w:trPr>
          <w:trHeight w:hRule="exact" w:val="283"/>
        </w:trPr>
        <w:tc>
          <w:tcPr>
            <w:tcW w:w="709" w:type="dxa"/>
          </w:tcPr>
          <w:p w14:paraId="4A5759AF" w14:textId="77777777" w:rsidR="00666F87" w:rsidRPr="00297C20" w:rsidRDefault="00666F87" w:rsidP="00666F87">
            <w:pPr>
              <w:ind w:firstLine="0"/>
              <w:jc w:val="center"/>
              <w:rPr>
                <w:rFonts w:cs="Times New Roman"/>
                <w:lang w:val="en-GB"/>
              </w:rPr>
            </w:pPr>
          </w:p>
        </w:tc>
        <w:tc>
          <w:tcPr>
            <w:tcW w:w="8930" w:type="dxa"/>
            <w:gridSpan w:val="3"/>
            <w:tcBorders>
              <w:top w:val="single" w:sz="2" w:space="0" w:color="auto"/>
              <w:bottom w:val="single" w:sz="2" w:space="0" w:color="auto"/>
            </w:tcBorders>
            <w:vAlign w:val="center"/>
          </w:tcPr>
          <w:p w14:paraId="14186DBC" w14:textId="4428AB4C" w:rsidR="00666F87" w:rsidRPr="00297C20" w:rsidRDefault="00666F87" w:rsidP="00310D5E">
            <w:pPr>
              <w:tabs>
                <w:tab w:val="right" w:pos="8928"/>
              </w:tabs>
              <w:ind w:firstLine="0"/>
              <w:rPr>
                <w:rFonts w:cs="Times New Roman"/>
                <w:sz w:val="18"/>
                <w:szCs w:val="18"/>
                <w:lang w:val="en-GB"/>
              </w:rPr>
            </w:pPr>
            <w:r w:rsidRPr="00297C20">
              <w:rPr>
                <w:rFonts w:cs="Times New Roman"/>
                <w:sz w:val="18"/>
                <w:szCs w:val="18"/>
                <w:lang w:val="en-GB"/>
              </w:rPr>
              <w:t>https://doi.org/</w:t>
            </w:r>
            <w:r w:rsidR="00FA50FF" w:rsidRPr="00FE40B9">
              <w:rPr>
                <w:sz w:val="18"/>
                <w:szCs w:val="18"/>
                <w:lang w:val="en-GB"/>
              </w:rPr>
              <w:t>10.54740/ros.2025.0</w:t>
            </w:r>
            <w:r w:rsidR="002A6BA8">
              <w:rPr>
                <w:sz w:val="18"/>
                <w:szCs w:val="18"/>
                <w:lang w:val="en-GB"/>
              </w:rPr>
              <w:t>51</w:t>
            </w:r>
            <w:r w:rsidRPr="00297C20">
              <w:rPr>
                <w:rFonts w:cs="Times New Roman"/>
                <w:sz w:val="18"/>
                <w:szCs w:val="18"/>
                <w:lang w:val="en-GB"/>
              </w:rPr>
              <w:tab/>
              <w:t>open access</w:t>
            </w:r>
          </w:p>
        </w:tc>
      </w:tr>
      <w:tr w:rsidR="00666F87" w:rsidRPr="0042740C" w14:paraId="631FEE6F" w14:textId="77777777" w:rsidTr="009C077C">
        <w:trPr>
          <w:trHeight w:hRule="exact" w:val="283"/>
        </w:trPr>
        <w:tc>
          <w:tcPr>
            <w:tcW w:w="709" w:type="dxa"/>
          </w:tcPr>
          <w:p w14:paraId="30B22857" w14:textId="40A521B8" w:rsidR="00666F87" w:rsidRPr="00297C20" w:rsidRDefault="00666F87" w:rsidP="00666F87">
            <w:pPr>
              <w:ind w:firstLine="0"/>
              <w:jc w:val="center"/>
              <w:rPr>
                <w:rFonts w:cs="Times New Roman"/>
                <w:lang w:val="en-GB"/>
              </w:rPr>
            </w:pPr>
          </w:p>
        </w:tc>
        <w:tc>
          <w:tcPr>
            <w:tcW w:w="8930" w:type="dxa"/>
            <w:gridSpan w:val="3"/>
            <w:tcBorders>
              <w:top w:val="single" w:sz="2" w:space="0" w:color="auto"/>
            </w:tcBorders>
            <w:vAlign w:val="center"/>
          </w:tcPr>
          <w:p w14:paraId="3DC25411" w14:textId="2581F15A" w:rsidR="00666F87" w:rsidRPr="00297C20" w:rsidRDefault="00666F87" w:rsidP="00310D5E">
            <w:pPr>
              <w:tabs>
                <w:tab w:val="left" w:pos="3684"/>
                <w:tab w:val="right" w:pos="8928"/>
              </w:tabs>
              <w:ind w:firstLine="0"/>
              <w:rPr>
                <w:rFonts w:cs="Times New Roman"/>
                <w:sz w:val="18"/>
                <w:szCs w:val="18"/>
                <w:lang w:val="en-GB"/>
              </w:rPr>
            </w:pPr>
            <w:r w:rsidRPr="00297C20">
              <w:rPr>
                <w:rFonts w:cs="Times New Roman"/>
                <w:sz w:val="18"/>
                <w:szCs w:val="18"/>
                <w:lang w:val="en-GB"/>
              </w:rPr>
              <w:t xml:space="preserve">Received: </w:t>
            </w:r>
            <w:r w:rsidR="00FA50FF">
              <w:rPr>
                <w:sz w:val="18"/>
                <w:szCs w:val="18"/>
                <w:lang w:val="en-GB"/>
              </w:rPr>
              <w:t>September</w:t>
            </w:r>
            <w:r w:rsidR="00FA50FF" w:rsidRPr="00FE40B9">
              <w:rPr>
                <w:sz w:val="18"/>
                <w:szCs w:val="18"/>
                <w:lang w:val="en-GB"/>
              </w:rPr>
              <w:t xml:space="preserve"> 2025</w:t>
            </w:r>
            <w:r w:rsidRPr="00297C20">
              <w:rPr>
                <w:rFonts w:cs="Times New Roman"/>
                <w:sz w:val="18"/>
                <w:szCs w:val="18"/>
                <w:lang w:val="en-GB"/>
              </w:rPr>
              <w:tab/>
              <w:t xml:space="preserve">Accepted: </w:t>
            </w:r>
            <w:r w:rsidR="00FA50FF">
              <w:rPr>
                <w:sz w:val="18"/>
                <w:szCs w:val="18"/>
                <w:lang w:val="en-GB"/>
              </w:rPr>
              <w:t>October</w:t>
            </w:r>
            <w:r w:rsidR="00FA50FF" w:rsidRPr="00FE40B9">
              <w:rPr>
                <w:sz w:val="18"/>
                <w:szCs w:val="18"/>
                <w:lang w:val="en-GB"/>
              </w:rPr>
              <w:t xml:space="preserve"> 2025</w:t>
            </w:r>
            <w:r w:rsidRPr="00297C20">
              <w:rPr>
                <w:rFonts w:cs="Times New Roman"/>
                <w:sz w:val="18"/>
                <w:szCs w:val="18"/>
                <w:lang w:val="en-GB"/>
              </w:rPr>
              <w:tab/>
              <w:t xml:space="preserve">Published: </w:t>
            </w:r>
            <w:r w:rsidR="00FA50FF">
              <w:rPr>
                <w:sz w:val="18"/>
                <w:szCs w:val="18"/>
                <w:lang w:val="en-GB"/>
              </w:rPr>
              <w:t>October</w:t>
            </w:r>
            <w:r w:rsidR="00FA50FF" w:rsidRPr="00FE40B9">
              <w:rPr>
                <w:sz w:val="18"/>
                <w:szCs w:val="18"/>
                <w:lang w:val="en-GB"/>
              </w:rPr>
              <w:t xml:space="preserve"> 2025</w:t>
            </w:r>
          </w:p>
        </w:tc>
      </w:tr>
    </w:tbl>
    <w:bookmarkEnd w:id="3"/>
    <w:p w14:paraId="6F5B042A" w14:textId="705CF833" w:rsidR="00691AFF" w:rsidRPr="00297C20" w:rsidRDefault="00F926A0" w:rsidP="00D11ED9">
      <w:pPr>
        <w:pStyle w:val="Rtytu"/>
        <w:rPr>
          <w:lang w:val="en-GB"/>
        </w:rPr>
      </w:pPr>
      <w:r w:rsidRPr="00297C20">
        <w:rPr>
          <w:rFonts w:cs="Times New Roman"/>
          <w:noProof/>
          <w:lang w:val="en-GB" w:eastAsia="en-GB"/>
        </w:rPr>
        <w:drawing>
          <wp:anchor distT="0" distB="0" distL="114300" distR="114300" simplePos="0" relativeHeight="251730944" behindDoc="0" locked="0" layoutInCell="1" allowOverlap="1" wp14:anchorId="7B023087" wp14:editId="46860BA8">
            <wp:simplePos x="0" y="0"/>
            <wp:positionH relativeFrom="column">
              <wp:posOffset>-6350</wp:posOffset>
            </wp:positionH>
            <wp:positionV relativeFrom="paragraph">
              <wp:posOffset>-455930</wp:posOffset>
            </wp:positionV>
            <wp:extent cx="431800" cy="425450"/>
            <wp:effectExtent l="0" t="0" r="6350" b="0"/>
            <wp:wrapNone/>
            <wp:docPr id="2058697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10" w:rsidRPr="00297C20">
        <w:rPr>
          <w:rFonts w:cs="Times New Roman"/>
          <w:noProof/>
          <w:lang w:val="en-GB" w:eastAsia="en-GB"/>
        </w:rPr>
        <w:drawing>
          <wp:anchor distT="0" distB="0" distL="114300" distR="114300" simplePos="0" relativeHeight="251728896" behindDoc="0" locked="0" layoutInCell="1" allowOverlap="1" wp14:anchorId="5B0B057E" wp14:editId="0DD49F66">
            <wp:simplePos x="0" y="0"/>
            <wp:positionH relativeFrom="column">
              <wp:posOffset>-2047800</wp:posOffset>
            </wp:positionH>
            <wp:positionV relativeFrom="paragraph">
              <wp:posOffset>-938047</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AF1" w:rsidRPr="00297C20">
        <w:rPr>
          <w:lang w:val="en-GB"/>
        </w:rPr>
        <w:t xml:space="preserve">Multi-sensor </w:t>
      </w:r>
      <w:r w:rsidR="00FA50FF">
        <w:rPr>
          <w:lang w:val="en-GB"/>
        </w:rPr>
        <w:t>S</w:t>
      </w:r>
      <w:r w:rsidR="00B32AF1" w:rsidRPr="00297C20">
        <w:rPr>
          <w:lang w:val="en-GB"/>
        </w:rPr>
        <w:t xml:space="preserve">atellite </w:t>
      </w:r>
      <w:r w:rsidR="00FA50FF">
        <w:rPr>
          <w:lang w:val="en-GB"/>
        </w:rPr>
        <w:t>M</w:t>
      </w:r>
      <w:r w:rsidR="00B32AF1" w:rsidRPr="00297C20">
        <w:rPr>
          <w:lang w:val="en-GB"/>
        </w:rPr>
        <w:t xml:space="preserve">onitoring of </w:t>
      </w:r>
      <w:r w:rsidR="00FA50FF">
        <w:rPr>
          <w:lang w:val="en-GB"/>
        </w:rPr>
        <w:t>V</w:t>
      </w:r>
      <w:r w:rsidR="00B32AF1" w:rsidRPr="00297C20">
        <w:rPr>
          <w:lang w:val="en-GB"/>
        </w:rPr>
        <w:t xml:space="preserve">olcanic </w:t>
      </w:r>
      <w:r w:rsidR="0042740C">
        <w:rPr>
          <w:lang w:val="en-GB"/>
        </w:rPr>
        <w:t>A</w:t>
      </w:r>
      <w:r w:rsidR="00B32AF1" w:rsidRPr="00297C20">
        <w:rPr>
          <w:lang w:val="en-GB"/>
        </w:rPr>
        <w:t>ctivity: Insights from the July</w:t>
      </w:r>
      <w:r w:rsidR="008E1993">
        <w:rPr>
          <w:lang w:val="en-GB"/>
        </w:rPr>
        <w:t>-</w:t>
      </w:r>
      <w:r w:rsidR="00B32AF1" w:rsidRPr="00297C20">
        <w:rPr>
          <w:lang w:val="en-GB"/>
        </w:rPr>
        <w:t xml:space="preserve">August 2024 </w:t>
      </w:r>
      <w:r w:rsidR="00FA50FF">
        <w:rPr>
          <w:lang w:val="en-GB"/>
        </w:rPr>
        <w:t>E</w:t>
      </w:r>
      <w:r w:rsidR="00B32AF1" w:rsidRPr="00297C20">
        <w:rPr>
          <w:lang w:val="en-GB"/>
        </w:rPr>
        <w:t>ruptions of Mount Etna</w:t>
      </w:r>
    </w:p>
    <w:p w14:paraId="229759E6" w14:textId="5BF49460" w:rsidR="003B521A" w:rsidRPr="00512625" w:rsidRDefault="00EB7C0D" w:rsidP="00D11ED9">
      <w:pPr>
        <w:pStyle w:val="Rautor"/>
        <w:rPr>
          <w:lang w:val="en-GB"/>
        </w:rPr>
      </w:pPr>
      <w:r w:rsidRPr="00297C20">
        <w:rPr>
          <w:lang w:val="en-GB"/>
        </w:rPr>
        <w:t>Natalia Węgrzyn</w:t>
      </w:r>
    </w:p>
    <w:p w14:paraId="626AF39D" w14:textId="07FDA731" w:rsidR="00C214C4" w:rsidRPr="00297C20" w:rsidRDefault="00C214C4" w:rsidP="00512625">
      <w:pPr>
        <w:pStyle w:val="Rafiliacja"/>
        <w:rPr>
          <w:lang w:val="en-GB"/>
        </w:rPr>
      </w:pPr>
      <w:r w:rsidRPr="00297C20">
        <w:rPr>
          <w:lang w:val="en-GB"/>
        </w:rPr>
        <w:t xml:space="preserve">Department of </w:t>
      </w:r>
      <w:r w:rsidR="00EB7C0D" w:rsidRPr="00297C20">
        <w:rPr>
          <w:lang w:val="en-GB"/>
        </w:rPr>
        <w:t>Geodesy,</w:t>
      </w:r>
      <w:r w:rsidRPr="00297C20">
        <w:rPr>
          <w:lang w:val="en-GB"/>
        </w:rPr>
        <w:t xml:space="preserve"> </w:t>
      </w:r>
      <w:r w:rsidR="002D5984" w:rsidRPr="00297C20">
        <w:rPr>
          <w:lang w:val="en-GB"/>
        </w:rPr>
        <w:t xml:space="preserve">Faculty of </w:t>
      </w:r>
      <w:r w:rsidR="006332AA" w:rsidRPr="00297C20">
        <w:rPr>
          <w:lang w:val="en-GB"/>
        </w:rPr>
        <w:t xml:space="preserve">Civil and </w:t>
      </w:r>
      <w:r w:rsidR="002D5984" w:rsidRPr="00297C20">
        <w:rPr>
          <w:lang w:val="en-GB"/>
        </w:rPr>
        <w:t>Environmental Engineering</w:t>
      </w:r>
      <w:r w:rsidR="00C0039F">
        <w:rPr>
          <w:lang w:val="en-GB"/>
        </w:rPr>
        <w:t>,</w:t>
      </w:r>
      <w:r w:rsidR="00292A95" w:rsidRPr="00297C20">
        <w:rPr>
          <w:lang w:val="en-GB"/>
        </w:rPr>
        <w:br/>
      </w:r>
      <w:proofErr w:type="spellStart"/>
      <w:r w:rsidR="00EB7C0D" w:rsidRPr="00297C20">
        <w:rPr>
          <w:lang w:val="en-GB"/>
        </w:rPr>
        <w:t>Gdańsk</w:t>
      </w:r>
      <w:proofErr w:type="spellEnd"/>
      <w:r w:rsidR="00EB7C0D" w:rsidRPr="00297C20">
        <w:rPr>
          <w:lang w:val="en-GB"/>
        </w:rPr>
        <w:t xml:space="preserve"> University of Technology, </w:t>
      </w:r>
      <w:proofErr w:type="spellStart"/>
      <w:r w:rsidR="00EB7C0D" w:rsidRPr="00297C20">
        <w:rPr>
          <w:lang w:val="en-GB"/>
        </w:rPr>
        <w:t>Gdańsk</w:t>
      </w:r>
      <w:proofErr w:type="spellEnd"/>
      <w:r w:rsidR="00EB7C0D" w:rsidRPr="00297C20">
        <w:rPr>
          <w:lang w:val="en-GB"/>
        </w:rPr>
        <w:t>, Poland</w:t>
      </w:r>
      <w:r w:rsidR="00292A95" w:rsidRPr="00297C20">
        <w:rPr>
          <w:lang w:val="en-GB"/>
        </w:rPr>
        <w:br/>
      </w:r>
      <w:r w:rsidR="00310D5E" w:rsidRPr="00297C20">
        <w:rPr>
          <w:lang w:val="en-GB"/>
        </w:rPr>
        <w:t>https://orcid.org/</w:t>
      </w:r>
      <w:r w:rsidR="00310D5E" w:rsidRPr="0042740C">
        <w:rPr>
          <w:lang w:val="en-GB"/>
        </w:rPr>
        <w:t>0009</w:t>
      </w:r>
      <w:r w:rsidR="00310D5E" w:rsidRPr="00297C20">
        <w:rPr>
          <w:lang w:val="en-GB"/>
        </w:rPr>
        <w:t>-0002-2763-7784</w:t>
      </w:r>
    </w:p>
    <w:p w14:paraId="4CE45744" w14:textId="2E69A7DA" w:rsidR="003B521A" w:rsidRPr="00297C20" w:rsidRDefault="00D11ED9" w:rsidP="00512625">
      <w:pPr>
        <w:pStyle w:val="Rauco"/>
      </w:pPr>
      <w:bookmarkStart w:id="4" w:name="_Hlk156983793"/>
      <w:r w:rsidRPr="00297C20">
        <w:t>corresponding author</w:t>
      </w:r>
      <w:r w:rsidR="006C1828" w:rsidRPr="00297C20">
        <w:t>'</w:t>
      </w:r>
      <w:r w:rsidRPr="00297C20">
        <w:t>s e-mail:</w:t>
      </w:r>
      <w:bookmarkEnd w:id="4"/>
      <w:r w:rsidR="00B308A4" w:rsidRPr="00297C20">
        <w:t xml:space="preserve"> </w:t>
      </w:r>
      <w:r w:rsidR="00EB7C0D" w:rsidRPr="00297C20">
        <w:t>natwegrz@pg.edu.pl</w:t>
      </w:r>
    </w:p>
    <w:p w14:paraId="25D9FA4A" w14:textId="62445D08" w:rsidR="003B521A" w:rsidRPr="00297C20" w:rsidRDefault="003B521A" w:rsidP="00FA50FF">
      <w:pPr>
        <w:pStyle w:val="Rab1"/>
      </w:pPr>
      <w:r w:rsidRPr="00297C20">
        <w:rPr>
          <w:b/>
          <w:bCs/>
        </w:rPr>
        <w:t>Abstract:</w:t>
      </w:r>
      <w:r w:rsidR="00B34286" w:rsidRPr="00297C20">
        <w:t xml:space="preserve"> </w:t>
      </w:r>
      <w:r w:rsidR="00E54F4B" w:rsidRPr="00297C20">
        <w:t>Volcanic monitoring is crucial for disaster risk reduct</w:t>
      </w:r>
      <w:r w:rsidR="00762EEA" w:rsidRPr="00297C20">
        <w:t>ion in Europe, where active vol</w:t>
      </w:r>
      <w:r w:rsidR="00E54F4B" w:rsidRPr="00297C20">
        <w:t xml:space="preserve">canoes threaten populations and infrastructure. This study evaluates a time-series, meteorology-aware framework </w:t>
      </w:r>
      <w:r w:rsidR="0042740C">
        <w:t>that integrates satellite-derived vegetation indices (NDVI, EVI, NBR, NDMI), volcanic gas emissions (SO₂, NO₂, CO), and ground deformation (InSAR) for the</w:t>
      </w:r>
      <w:r w:rsidR="00E54F4B" w:rsidRPr="00297C20">
        <w:t xml:space="preserve"> early detection of unrest. Focusing on Mount Etna, we analysed ±60-day windows centred on the July and August 2024 eruptions, using multi-year climatology and upwind/off-volcano control areas to remove seasonal and anthropogenic effects. Gas observations from Sentinel-5P were quality-filtered and sampled in plume vs. upwind regions, with anthropogenic contribution</w:t>
      </w:r>
      <w:r w:rsidR="00762EEA" w:rsidRPr="00297C20">
        <w:t>s masked using EDGAR/CAMS inven</w:t>
      </w:r>
      <w:r w:rsidR="00E54F4B" w:rsidRPr="00297C20">
        <w:t>tories. Vegetation indices from Sentinel-2 were corrected for topography and illumina</w:t>
      </w:r>
      <w:r w:rsidR="00E54F4B" w:rsidRPr="00FA50FF">
        <w:t>tion</w:t>
      </w:r>
      <w:r w:rsidR="00E54F4B" w:rsidRPr="00297C20">
        <w:t xml:space="preserve"> and expressed as z-score anomalies relative </w:t>
      </w:r>
      <w:r w:rsidR="00762EEA" w:rsidRPr="00297C20">
        <w:t>to 2018</w:t>
      </w:r>
      <w:r w:rsidR="00FA50FF">
        <w:t>-</w:t>
      </w:r>
      <w:r w:rsidR="00762EEA" w:rsidRPr="00297C20">
        <w:t>2023 climatology. Defor</w:t>
      </w:r>
      <w:r w:rsidR="00E54F4B" w:rsidRPr="00297C20">
        <w:t xml:space="preserve">mation was retrieved from multi-temporal SBAS InSAR </w:t>
      </w:r>
      <w:r w:rsidR="00762EEA" w:rsidRPr="00297C20">
        <w:t>with atmospheric delay cor</w:t>
      </w:r>
      <w:r w:rsidR="00E54F4B" w:rsidRPr="00297C20">
        <w:t>r</w:t>
      </w:r>
      <w:r w:rsidR="00762EEA" w:rsidRPr="00297C20">
        <w:t>ection (ERA5/GACOS) and GNSS co</w:t>
      </w:r>
      <w:r w:rsidR="00E54F4B" w:rsidRPr="00297C20">
        <w:t>location for m</w:t>
      </w:r>
      <w:r w:rsidR="00762EEA" w:rsidRPr="00297C20">
        <w:t>otion decomposition. Results reveal consistent lead-</w:t>
      </w:r>
      <w:r w:rsidR="00E54F4B" w:rsidRPr="00297C20">
        <w:t>lag patterns, with SO₂ a</w:t>
      </w:r>
      <w:r w:rsidR="00762EEA" w:rsidRPr="00297C20">
        <w:t>nd uplift anomalies appearing 5-</w:t>
      </w:r>
      <w:r w:rsidR="00E54F4B" w:rsidRPr="00297C20">
        <w:t>15 days before NDVI and NDMI declines. Uncertainty estimates were propagated through all indicators, yielding confidence intervals for effect sizes. This approach demonstrates that freely available satellite data (Sentinel-1, Sentinel-2, Sentinel-5P) combined with cloud-based processing platforms (Google Earth Engine, SNAP) pro</w:t>
      </w:r>
      <w:r w:rsidR="00762EEA" w:rsidRPr="00297C20">
        <w:t>vide a reproduci</w:t>
      </w:r>
      <w:r w:rsidR="00E54F4B" w:rsidRPr="00297C20">
        <w:t>ble, cost-effective tool for volcanic early warning</w:t>
      </w:r>
      <w:r w:rsidR="00B34286" w:rsidRPr="00297C20">
        <w:t>.</w:t>
      </w:r>
    </w:p>
    <w:p w14:paraId="44F95E81" w14:textId="0FB62B0F" w:rsidR="003B521A" w:rsidRPr="00297C20" w:rsidRDefault="003B521A" w:rsidP="00FA50FF">
      <w:pPr>
        <w:pStyle w:val="Rab2"/>
      </w:pPr>
      <w:r w:rsidRPr="00297C20">
        <w:rPr>
          <w:b/>
          <w:bCs/>
        </w:rPr>
        <w:t>Keywords:</w:t>
      </w:r>
      <w:r w:rsidR="00B34286" w:rsidRPr="00297C20">
        <w:t xml:space="preserve"> </w:t>
      </w:r>
      <w:r w:rsidR="00E54F4B" w:rsidRPr="00297C20">
        <w:t>volcanic activity monitoring</w:t>
      </w:r>
      <w:r w:rsidR="00FA50FF">
        <w:t>,</w:t>
      </w:r>
      <w:r w:rsidR="00E54F4B" w:rsidRPr="00297C20">
        <w:t xml:space="preserve"> NDVI</w:t>
      </w:r>
      <w:r w:rsidR="00FA50FF">
        <w:t>,</w:t>
      </w:r>
      <w:r w:rsidR="00E54F4B" w:rsidRPr="00297C20">
        <w:t xml:space="preserve"> EVI</w:t>
      </w:r>
      <w:r w:rsidR="00FA50FF">
        <w:t>,</w:t>
      </w:r>
      <w:r w:rsidR="00E54F4B" w:rsidRPr="00297C20">
        <w:t xml:space="preserve"> NBR</w:t>
      </w:r>
      <w:r w:rsidR="00FA50FF">
        <w:t>,</w:t>
      </w:r>
      <w:r w:rsidR="00E54F4B" w:rsidRPr="00297C20">
        <w:t xml:space="preserve"> NDMI</w:t>
      </w:r>
      <w:r w:rsidR="00FA50FF">
        <w:t>,</w:t>
      </w:r>
      <w:r w:rsidR="00E54F4B" w:rsidRPr="00297C20">
        <w:t xml:space="preserve"> mu</w:t>
      </w:r>
      <w:r w:rsidR="00762EEA" w:rsidRPr="00297C20">
        <w:t>lti-sensor satellite data</w:t>
      </w:r>
      <w:r w:rsidR="00FA50FF">
        <w:t>,</w:t>
      </w:r>
      <w:r w:rsidR="00762EEA" w:rsidRPr="00297C20">
        <w:t xml:space="preserve"> lead-</w:t>
      </w:r>
      <w:r w:rsidR="00E54F4B" w:rsidRPr="00297C20">
        <w:t>lag analysis</w:t>
      </w:r>
      <w:r w:rsidR="00FA50FF">
        <w:t>,</w:t>
      </w:r>
      <w:r w:rsidR="00E54F4B" w:rsidRPr="00297C20">
        <w:t xml:space="preserve"> Mount Etna</w:t>
      </w:r>
      <w:r w:rsidR="00FA50FF">
        <w:t>,</w:t>
      </w:r>
      <w:r w:rsidR="00E54F4B" w:rsidRPr="00297C20">
        <w:t xml:space="preserve"> InSAR SBAS</w:t>
      </w:r>
      <w:r w:rsidR="00FA50FF">
        <w:t>,</w:t>
      </w:r>
      <w:r w:rsidR="00E54F4B" w:rsidRPr="00297C20">
        <w:t xml:space="preserve"> volcanic gas </w:t>
      </w:r>
      <w:r w:rsidR="00762EEA" w:rsidRPr="00FA50FF">
        <w:t>emissions</w:t>
      </w:r>
      <w:r w:rsidR="00762EEA" w:rsidRPr="00297C20">
        <w:t xml:space="preserve"> (SO₂, CO, NO₂)</w:t>
      </w:r>
      <w:r w:rsidR="00FA50FF">
        <w:t>,</w:t>
      </w:r>
      <w:r w:rsidR="00762EEA" w:rsidRPr="00297C20">
        <w:t xml:space="preserve"> plume-</w:t>
      </w:r>
      <w:r w:rsidR="00E54F4B" w:rsidRPr="00297C20">
        <w:t>control differencing</w:t>
      </w:r>
      <w:r w:rsidR="00FA50FF">
        <w:t>,</w:t>
      </w:r>
      <w:r w:rsidR="00E54F4B" w:rsidRPr="00297C20">
        <w:t xml:space="preserve"> anthropogenic masking</w:t>
      </w:r>
      <w:r w:rsidR="00FA50FF">
        <w:t>,</w:t>
      </w:r>
      <w:r w:rsidR="00E54F4B" w:rsidRPr="00297C20">
        <w:t xml:space="preserve"> meteorology-aware sampling</w:t>
      </w:r>
      <w:r w:rsidR="00FA50FF">
        <w:t>,</w:t>
      </w:r>
      <w:r w:rsidR="00E54F4B" w:rsidRPr="00297C20">
        <w:t xml:space="preserve"> eruption forecasting</w:t>
      </w:r>
    </w:p>
    <w:p w14:paraId="1E99BA04" w14:textId="1EF67108" w:rsidR="00FA42C4" w:rsidRPr="00297C20" w:rsidRDefault="00FA42C4" w:rsidP="00E4533F">
      <w:pPr>
        <w:pStyle w:val="Rn1"/>
        <w:rPr>
          <w:lang w:val="en-GB"/>
        </w:rPr>
      </w:pPr>
      <w:r w:rsidRPr="00297C20">
        <w:rPr>
          <w:lang w:val="en-GB"/>
        </w:rPr>
        <w:t>1. Introduction</w:t>
      </w:r>
    </w:p>
    <w:p w14:paraId="4B29EFB9" w14:textId="2BF55BE7" w:rsidR="00C214C4" w:rsidRPr="00297C20" w:rsidRDefault="00CA1202" w:rsidP="00C214C4">
      <w:pPr>
        <w:rPr>
          <w:lang w:val="en-GB"/>
        </w:rPr>
      </w:pPr>
      <w:r w:rsidRPr="00297C20">
        <w:rPr>
          <w:lang w:val="en-GB"/>
        </w:rPr>
        <w:t>Volcanic activity poses significant environmental and societal risks across Europe, particularly in tectonically active regions such as southern Italy (Figure 1), the Aegean Arc, and Iceland. In recent years, civil protection authorities and the geoscientific community have emphasized the need for monitorin</w:t>
      </w:r>
      <w:r w:rsidR="00DC33AA" w:rsidRPr="00297C20">
        <w:rPr>
          <w:lang w:val="en-GB"/>
        </w:rPr>
        <w:t>g frameworks that not only inte</w:t>
      </w:r>
      <w:r w:rsidRPr="00297C20">
        <w:rPr>
          <w:lang w:val="en-GB"/>
        </w:rPr>
        <w:t>grate multiple satellite indicators but also explicitl</w:t>
      </w:r>
      <w:r w:rsidR="00DC33AA" w:rsidRPr="00297C20">
        <w:rPr>
          <w:lang w:val="en-GB"/>
        </w:rPr>
        <w:t>y account for confounding influ</w:t>
      </w:r>
      <w:r w:rsidRPr="00297C20">
        <w:rPr>
          <w:lang w:val="en-GB"/>
        </w:rPr>
        <w:t>ences such as seasonal vegetation cycles, meteorological variability, and anthropogenic emissions. Traditional ground-based methods such</w:t>
      </w:r>
      <w:r w:rsidR="00DC33AA" w:rsidRPr="00297C20">
        <w:rPr>
          <w:lang w:val="en-GB"/>
        </w:rPr>
        <w:t xml:space="preserve"> as seismic arrays and gas spec</w:t>
      </w:r>
      <w:r w:rsidRPr="00297C20">
        <w:rPr>
          <w:lang w:val="en-GB"/>
        </w:rPr>
        <w:t>trometry, while accurate, are often constrained by limited spatial coverage, cost, and logistical challenges – particularly in remote or hazardous volcanic terrain</w:t>
      </w:r>
      <w:r w:rsidR="00C214C4" w:rsidRPr="00297C20">
        <w:rPr>
          <w:lang w:val="en-GB"/>
        </w:rPr>
        <w:t>.</w:t>
      </w:r>
    </w:p>
    <w:p w14:paraId="22DE6C0B" w14:textId="407A7E1B" w:rsidR="00C214C4" w:rsidRPr="00297C20" w:rsidRDefault="00CA1202" w:rsidP="00C214C4">
      <w:pPr>
        <w:rPr>
          <w:lang w:val="en-GB"/>
        </w:rPr>
      </w:pPr>
      <w:r w:rsidRPr="00297C20">
        <w:rPr>
          <w:lang w:val="en-GB"/>
        </w:rPr>
        <w:t>This study responds to these limitations by impl</w:t>
      </w:r>
      <w:r w:rsidR="00DC33AA" w:rsidRPr="00297C20">
        <w:rPr>
          <w:lang w:val="en-GB"/>
        </w:rPr>
        <w:t>ementing a multi-sensor, meteor</w:t>
      </w:r>
      <w:r w:rsidRPr="00297C20">
        <w:rPr>
          <w:lang w:val="en-GB"/>
        </w:rPr>
        <w:t>ology-aware, and spatially</w:t>
      </w:r>
      <w:r w:rsidR="00DC33AA" w:rsidRPr="00297C20">
        <w:rPr>
          <w:lang w:val="en-GB"/>
        </w:rPr>
        <w:t xml:space="preserve"> stratified monitoring design (</w:t>
      </w:r>
      <w:r w:rsidR="00E56E45" w:rsidRPr="00297C20">
        <w:rPr>
          <w:lang w:val="en-GB"/>
        </w:rPr>
        <w:t>Furtney et al. 2018</w:t>
      </w:r>
      <w:r w:rsidR="00DC33AA" w:rsidRPr="00297C20">
        <w:rPr>
          <w:lang w:val="en-GB"/>
        </w:rPr>
        <w:t>)</w:t>
      </w:r>
      <w:r w:rsidRPr="00297C20">
        <w:rPr>
          <w:lang w:val="en-GB"/>
        </w:rPr>
        <w:t>. We combine vegetation indices (NDVI – Normalized Difference Vegetation Index, EVI – Enhanced Vegetation Index, NBR – Normalized Burn Ratio, NDMI – No</w:t>
      </w:r>
      <w:r w:rsidR="00DC33AA" w:rsidRPr="00297C20">
        <w:rPr>
          <w:lang w:val="en-GB"/>
        </w:rPr>
        <w:t>rmalized Difference Moisture In</w:t>
      </w:r>
      <w:r w:rsidRPr="00297C20">
        <w:rPr>
          <w:lang w:val="en-GB"/>
        </w:rPr>
        <w:t>dex), volcanic gas concentrations (SO₂, NO₂, CO), and ground deformation (InSAR) in event-aligned time series centred on eruption onset dates. Concentric ROI zones and upwind/off-volcano control areas are used to isolate true volcanic signals from regional environmental changes, enabling a more reliable interpretation of pre-e</w:t>
      </w:r>
      <w:r w:rsidR="007B08EA" w:rsidRPr="00297C20">
        <w:rPr>
          <w:lang w:val="en-GB"/>
        </w:rPr>
        <w:t>ruptive and eruptive patterns (</w:t>
      </w:r>
      <w:r w:rsidR="00E56E45" w:rsidRPr="00297C20">
        <w:rPr>
          <w:lang w:val="en-GB"/>
        </w:rPr>
        <w:t>Iacono et al. 2025</w:t>
      </w:r>
      <w:r w:rsidR="007B08EA" w:rsidRPr="00297C20">
        <w:rPr>
          <w:lang w:val="en-GB"/>
        </w:rPr>
        <w:t>)</w:t>
      </w:r>
      <w:r w:rsidR="00C214C4" w:rsidRPr="00297C20">
        <w:rPr>
          <w:lang w:val="en-GB"/>
        </w:rPr>
        <w:t>.</w:t>
      </w:r>
    </w:p>
    <w:p w14:paraId="180E9DBE" w14:textId="36449CBD" w:rsidR="00894FA5" w:rsidRPr="00297C20" w:rsidRDefault="00894FA5" w:rsidP="00894FA5">
      <w:pPr>
        <w:rPr>
          <w:lang w:val="en-GB"/>
        </w:rPr>
      </w:pPr>
      <w:r w:rsidRPr="00297C20">
        <w:rPr>
          <w:lang w:val="en-GB"/>
        </w:rPr>
        <w:t>Satellite remote sensing has emerged as a powerful tool for volcanic monitoring, complementing and, in some cases, substituting in-situ networks. The integration of multi-sensor data – optical, radar, and atmospheric – offers unprecedented spatial and temporal coverage (Plank et al. 2023). As demonstrated by Pritchard (</w:t>
      </w:r>
      <w:proofErr w:type="spellStart"/>
      <w:r w:rsidRPr="00297C20">
        <w:rPr>
          <w:lang w:val="en-GB"/>
        </w:rPr>
        <w:t>Pitchard</w:t>
      </w:r>
      <w:proofErr w:type="spellEnd"/>
      <w:r w:rsidRPr="00297C20">
        <w:rPr>
          <w:lang w:val="en-GB"/>
        </w:rPr>
        <w:t xml:space="preserve"> et al. 2022), combining In-SAR and optical indicators allows for effective detection of subtle deformation and stress-induced vegetation changes (</w:t>
      </w:r>
      <w:proofErr w:type="spellStart"/>
      <w:r w:rsidRPr="00297C20">
        <w:rPr>
          <w:lang w:val="en-GB"/>
        </w:rPr>
        <w:t>Kancheva</w:t>
      </w:r>
      <w:proofErr w:type="spellEnd"/>
      <w:r w:rsidRPr="00297C20">
        <w:rPr>
          <w:lang w:val="en-GB"/>
        </w:rPr>
        <w:t xml:space="preserve"> 2021), while Paez (Paez et al. 2021) highlighted the value of Sentinel-5P SO₂ retrievals in capturing short-term degassing episodes.</w:t>
      </w:r>
    </w:p>
    <w:p w14:paraId="03C64563" w14:textId="697F8749" w:rsidR="00894FA5" w:rsidRPr="00B26811" w:rsidRDefault="00894FA5" w:rsidP="00894FA5">
      <w:pPr>
        <w:rPr>
          <w:spacing w:val="-2"/>
          <w:lang w:val="en-GB"/>
        </w:rPr>
      </w:pPr>
      <w:r w:rsidRPr="00B26811">
        <w:rPr>
          <w:spacing w:val="-2"/>
          <w:lang w:val="en-GB"/>
        </w:rPr>
        <w:t xml:space="preserve">Among spectral indices, the Normalized Difference Vegetation Index (NDVI) has recently gained attention as an indirect proxy for volcanic stress, as vegetation responds to elevated soil temperatures, toxic gas exposure, or mechanical disturbance from ash deposition. Building on various studies, which showed that Sentinel-2 NDVI anomalies may precede eruptions by several days to weeks, we apply NDVI together with complementary indices (EVI, NBR, NDMI) to capture a </w:t>
      </w:r>
      <w:r w:rsidR="0042740C">
        <w:rPr>
          <w:spacing w:val="-2"/>
          <w:lang w:val="en-GB"/>
        </w:rPr>
        <w:t>broa</w:t>
      </w:r>
      <w:r w:rsidRPr="00B26811">
        <w:rPr>
          <w:spacing w:val="-2"/>
          <w:lang w:val="en-GB"/>
        </w:rPr>
        <w:t xml:space="preserve">der spectrum of vegetation stress and disturbance effects. All vegetation </w:t>
      </w:r>
      <w:r w:rsidRPr="00B26811">
        <w:rPr>
          <w:spacing w:val="-2"/>
          <w:lang w:val="en-GB"/>
        </w:rPr>
        <w:lastRenderedPageBreak/>
        <w:t>indices are seasonally detrended using multi-year same-month climatology and corrected for topographic illumination, ensuring that anomalies reflect volcanic impacts rather than seasonal or geometric artefacts.</w:t>
      </w:r>
    </w:p>
    <w:p w14:paraId="7F8B24C5" w14:textId="77777777" w:rsidR="00894FA5" w:rsidRPr="00297C20" w:rsidRDefault="00894FA5" w:rsidP="00C214C4">
      <w:pPr>
        <w:rPr>
          <w:lang w:val="en-GB"/>
        </w:rPr>
      </w:pPr>
    </w:p>
    <w:p w14:paraId="29212B98" w14:textId="0B180621" w:rsidR="00377377" w:rsidRPr="00297C20" w:rsidRDefault="00CA1202" w:rsidP="00A259DA">
      <w:pPr>
        <w:spacing w:after="160" w:line="259" w:lineRule="auto"/>
        <w:ind w:firstLine="0"/>
        <w:jc w:val="center"/>
        <w:rPr>
          <w:lang w:val="en-GB"/>
        </w:rPr>
      </w:pPr>
      <w:r w:rsidRPr="00297C20">
        <w:rPr>
          <w:noProof/>
          <w:lang w:val="en-GB" w:eastAsia="en-GB"/>
        </w:rPr>
        <w:drawing>
          <wp:inline distT="0" distB="0" distL="0" distR="0" wp14:anchorId="084C9F78" wp14:editId="701943B9">
            <wp:extent cx="5625345" cy="3978537"/>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5345" cy="3978537"/>
                    </a:xfrm>
                    <a:prstGeom prst="rect">
                      <a:avLst/>
                    </a:prstGeom>
                    <a:noFill/>
                  </pic:spPr>
                </pic:pic>
              </a:graphicData>
            </a:graphic>
          </wp:inline>
        </w:drawing>
      </w:r>
    </w:p>
    <w:p w14:paraId="33AFE453" w14:textId="52746E4E" w:rsidR="00CA1202" w:rsidRPr="00297C20" w:rsidRDefault="00CA1202">
      <w:pPr>
        <w:spacing w:after="160" w:line="259" w:lineRule="auto"/>
        <w:ind w:firstLine="0"/>
        <w:jc w:val="left"/>
        <w:rPr>
          <w:sz w:val="20"/>
          <w:lang w:val="en-GB"/>
        </w:rPr>
      </w:pPr>
      <w:r w:rsidRPr="00297C20">
        <w:rPr>
          <w:b/>
          <w:sz w:val="20"/>
          <w:lang w:val="en-GB"/>
        </w:rPr>
        <w:t>Fig. 1.</w:t>
      </w:r>
      <w:r w:rsidRPr="00297C20">
        <w:rPr>
          <w:sz w:val="20"/>
          <w:lang w:val="en-GB"/>
        </w:rPr>
        <w:t xml:space="preserve"> Open Street Map image showing the location</w:t>
      </w:r>
      <w:r w:rsidR="00DC33AA" w:rsidRPr="00297C20">
        <w:rPr>
          <w:sz w:val="20"/>
          <w:lang w:val="en-GB"/>
        </w:rPr>
        <w:t xml:space="preserve"> of Mount Etna in Sicily, Italy</w:t>
      </w:r>
    </w:p>
    <w:p w14:paraId="77FBAA0E" w14:textId="3D1DED7E" w:rsidR="00C214C4" w:rsidRPr="00297C20" w:rsidRDefault="001806B2" w:rsidP="00C214C4">
      <w:pPr>
        <w:rPr>
          <w:lang w:val="en-GB"/>
        </w:rPr>
      </w:pPr>
      <w:r w:rsidRPr="00297C20">
        <w:rPr>
          <w:lang w:val="en-GB"/>
        </w:rPr>
        <w:t xml:space="preserve">Volcanic gas emissions – particularly </w:t>
      </w:r>
      <w:proofErr w:type="spellStart"/>
      <w:r w:rsidRPr="00297C20">
        <w:rPr>
          <w:lang w:val="en-GB"/>
        </w:rPr>
        <w:t>sulfur</w:t>
      </w:r>
      <w:proofErr w:type="spellEnd"/>
      <w:r w:rsidRPr="00297C20">
        <w:rPr>
          <w:lang w:val="en-GB"/>
        </w:rPr>
        <w:t xml:space="preserve"> dioxide (SO₂), nitrogen dioxide (NO₂), and carbon monoxide (CO) – are integrated as complementary indicators of unrest. Sentinel-5P TROPOMI data are quality</w:t>
      </w:r>
      <w:r w:rsidR="007B08EA" w:rsidRPr="00297C20">
        <w:rPr>
          <w:lang w:val="en-GB"/>
        </w:rPr>
        <w:t>-filtered, sampled using plume (</w:t>
      </w:r>
      <w:r w:rsidR="00E56E45" w:rsidRPr="00297C20">
        <w:rPr>
          <w:lang w:val="en-GB"/>
        </w:rPr>
        <w:t>Paez et al. 2021</w:t>
      </w:r>
      <w:r w:rsidR="007B08EA" w:rsidRPr="00297C20">
        <w:rPr>
          <w:lang w:val="en-GB"/>
        </w:rPr>
        <w:t>)</w:t>
      </w:r>
      <w:r w:rsidRPr="00297C20">
        <w:rPr>
          <w:lang w:val="en-GB"/>
        </w:rPr>
        <w:t xml:space="preserve"> vs. upwind differencing, and corrected with anthropogenic masks based on EDGAR/CA</w:t>
      </w:r>
      <w:r w:rsidR="00570A13" w:rsidRPr="00297C20">
        <w:rPr>
          <w:lang w:val="en-GB"/>
        </w:rPr>
        <w:t>MS in</w:t>
      </w:r>
      <w:r w:rsidR="00DC33AA" w:rsidRPr="00297C20">
        <w:rPr>
          <w:lang w:val="en-GB"/>
        </w:rPr>
        <w:t>ventories and VIIRS night</w:t>
      </w:r>
      <w:r w:rsidRPr="00297C20">
        <w:rPr>
          <w:lang w:val="en-GB"/>
        </w:rPr>
        <w:t>lights to suppress urban and industrial signals. Meteorological covariates (wind speed/direction, boundary layer he</w:t>
      </w:r>
      <w:r w:rsidR="007B08EA" w:rsidRPr="00297C20">
        <w:rPr>
          <w:lang w:val="en-GB"/>
        </w:rPr>
        <w:t>ight, cloud fraction, precipita</w:t>
      </w:r>
      <w:r w:rsidRPr="00297C20">
        <w:rPr>
          <w:lang w:val="en-GB"/>
        </w:rPr>
        <w:t>tion) are included in gas</w:t>
      </w:r>
      <w:r w:rsidR="008E1993">
        <w:rPr>
          <w:lang w:val="en-GB"/>
        </w:rPr>
        <w:t>-</w:t>
      </w:r>
      <w:r w:rsidRPr="00297C20">
        <w:rPr>
          <w:lang w:val="en-GB"/>
        </w:rPr>
        <w:t>vegetation analyses to reduce false positives cause</w:t>
      </w:r>
      <w:r w:rsidR="007B08EA" w:rsidRPr="00297C20">
        <w:rPr>
          <w:lang w:val="en-GB"/>
        </w:rPr>
        <w:t>d by atmospheric variability (</w:t>
      </w:r>
      <w:r w:rsidR="00E56E45" w:rsidRPr="00297C20">
        <w:rPr>
          <w:lang w:val="en-GB"/>
        </w:rPr>
        <w:t>Albino et al. 2020</w:t>
      </w:r>
      <w:r w:rsidR="007B08EA" w:rsidRPr="00297C20">
        <w:rPr>
          <w:lang w:val="en-GB"/>
        </w:rPr>
        <w:t>)</w:t>
      </w:r>
      <w:r w:rsidR="00C214C4" w:rsidRPr="00297C20">
        <w:rPr>
          <w:lang w:val="en-GB"/>
        </w:rPr>
        <w:t>.</w:t>
      </w:r>
    </w:p>
    <w:p w14:paraId="135FC8CD" w14:textId="1C4E9B93" w:rsidR="001806B2" w:rsidRPr="00297C20" w:rsidRDefault="001806B2" w:rsidP="001806B2">
      <w:pPr>
        <w:rPr>
          <w:lang w:val="en-GB"/>
        </w:rPr>
      </w:pPr>
      <w:r w:rsidRPr="00297C20">
        <w:rPr>
          <w:lang w:val="en-GB"/>
        </w:rPr>
        <w:t>Ground deformation is retrieved from Sentinel-1 using a Small Baseline Subset (SBAS) time-series approach with ERA5/GACOS atmospheric delay correction and GNSS colocation for decomposition of line-of-sight displacements into vertical and horizontal motion. This provides robust constraints on pre-eruptive uplift and post-eruptive deflation.</w:t>
      </w:r>
    </w:p>
    <w:p w14:paraId="5CA71539" w14:textId="4B873E61" w:rsidR="001806B2" w:rsidRPr="00297C20" w:rsidRDefault="001806B2" w:rsidP="001806B2">
      <w:pPr>
        <w:rPr>
          <w:lang w:val="en-GB"/>
        </w:rPr>
      </w:pPr>
      <w:r w:rsidRPr="00297C20">
        <w:rPr>
          <w:lang w:val="en-GB"/>
        </w:rPr>
        <w:t>This study implements an event-aligned, multi-sensor framework in w</w:t>
      </w:r>
      <w:r w:rsidR="00570A13" w:rsidRPr="00297C20">
        <w:rPr>
          <w:lang w:val="en-GB"/>
        </w:rPr>
        <w:t>hich all in</w:t>
      </w:r>
      <w:r w:rsidRPr="00297C20">
        <w:rPr>
          <w:lang w:val="en-GB"/>
        </w:rPr>
        <w:t>dicators are analysed in ±60-day windows centred on eruption onset dates reported by INGV/VONA bulletins. Although climatological baseline</w:t>
      </w:r>
      <w:r w:rsidR="007B08EA" w:rsidRPr="00297C20">
        <w:rPr>
          <w:lang w:val="en-GB"/>
        </w:rPr>
        <w:t>s are drawn from 2018-</w:t>
      </w:r>
      <w:r w:rsidRPr="00297C20">
        <w:rPr>
          <w:lang w:val="en-GB"/>
        </w:rPr>
        <w:t>2023, the primary analysis focuses on the two best-documented eruptions of Mount Etna in July and August 2024. This design al</w:t>
      </w:r>
      <w:r w:rsidR="00570A13" w:rsidRPr="00297C20">
        <w:rPr>
          <w:lang w:val="en-GB"/>
        </w:rPr>
        <w:t>lows for quantification of lead-</w:t>
      </w:r>
      <w:r w:rsidRPr="00297C20">
        <w:rPr>
          <w:lang w:val="en-GB"/>
        </w:rPr>
        <w:t>lag relationships – e.g., whether deformation or gas anomalies consistently precede vegetation stress – and supports the development of reprodu</w:t>
      </w:r>
      <w:r w:rsidR="007B08EA" w:rsidRPr="00297C20">
        <w:rPr>
          <w:lang w:val="en-GB"/>
        </w:rPr>
        <w:t>cible early-warning workflows (</w:t>
      </w:r>
      <w:r w:rsidR="00E56E45" w:rsidRPr="00297C20">
        <w:rPr>
          <w:lang w:val="en-GB"/>
        </w:rPr>
        <w:t>Pritchard et al. 2022</w:t>
      </w:r>
      <w:r w:rsidR="007B08EA" w:rsidRPr="00297C20">
        <w:rPr>
          <w:lang w:val="en-GB"/>
        </w:rPr>
        <w:t>)</w:t>
      </w:r>
      <w:r w:rsidRPr="00297C20">
        <w:rPr>
          <w:lang w:val="en-GB"/>
        </w:rPr>
        <w:t>.</w:t>
      </w:r>
    </w:p>
    <w:p w14:paraId="10E617C2" w14:textId="779B9504" w:rsidR="001806B2" w:rsidRPr="00297C20" w:rsidRDefault="001806B2" w:rsidP="001806B2">
      <w:pPr>
        <w:rPr>
          <w:lang w:val="en-GB"/>
        </w:rPr>
      </w:pPr>
      <w:r w:rsidRPr="00297C20">
        <w:rPr>
          <w:lang w:val="en-GB"/>
        </w:rPr>
        <w:t xml:space="preserve">The overarching research question addressed is: </w:t>
      </w:r>
      <w:r w:rsidR="00570A13" w:rsidRPr="00297C20">
        <w:rPr>
          <w:lang w:val="en-GB"/>
        </w:rPr>
        <w:t>Can integrated satellite indica</w:t>
      </w:r>
      <w:r w:rsidRPr="00297C20">
        <w:rPr>
          <w:lang w:val="en-GB"/>
        </w:rPr>
        <w:t>tors, particularly vegetation anomalies, when combined with gas emissions and ground deformation, serve as reliable pre-eruptive signals at Mount Etna?</w:t>
      </w:r>
    </w:p>
    <w:p w14:paraId="4A62F7CB" w14:textId="155FC4A3" w:rsidR="00C214C4" w:rsidRPr="00297C20" w:rsidRDefault="001806B2" w:rsidP="001806B2">
      <w:pPr>
        <w:rPr>
          <w:lang w:val="en-GB"/>
        </w:rPr>
      </w:pPr>
      <w:r w:rsidRPr="00297C20">
        <w:rPr>
          <w:lang w:val="en-GB"/>
        </w:rPr>
        <w:t>By addressing this question, the study contributes to the growing body of evidence supporting integrated remote sensing frameworks for volcanic hazard assessment and proposes a scalable, cost-effective model for implementation across other active volcanoes in Europe</w:t>
      </w:r>
      <w:r w:rsidR="00C214C4" w:rsidRPr="00297C20">
        <w:rPr>
          <w:lang w:val="en-GB"/>
        </w:rPr>
        <w:t>.</w:t>
      </w:r>
    </w:p>
    <w:p w14:paraId="338E402C" w14:textId="74A61410" w:rsidR="00B26811" w:rsidRDefault="00F2390F" w:rsidP="00B26811">
      <w:pPr>
        <w:rPr>
          <w:lang w:val="en-GB"/>
        </w:rPr>
      </w:pPr>
      <w:r w:rsidRPr="00297C20">
        <w:rPr>
          <w:lang w:val="en-GB"/>
        </w:rPr>
        <w:t>Although this study focuses on two well-documented eruptions in 2024, the findings should be regarded as preliminary and exploratory. The observed relationships between gas, deformation, and vegetation indicators require further testing across additional eruption cycles to confirm repeatability.</w:t>
      </w:r>
    </w:p>
    <w:p w14:paraId="22033BEA" w14:textId="77777777" w:rsidR="00FF1226" w:rsidRPr="00FF1226" w:rsidRDefault="00FF1226" w:rsidP="00B26811">
      <w:pPr>
        <w:rPr>
          <w:bCs/>
          <w:szCs w:val="20"/>
          <w:lang w:val="en-GB"/>
        </w:rPr>
      </w:pPr>
    </w:p>
    <w:p w14:paraId="233DAE64" w14:textId="65456DB2" w:rsidR="00AC7833" w:rsidRPr="00297C20" w:rsidRDefault="00AC7833" w:rsidP="00E4533F">
      <w:pPr>
        <w:pStyle w:val="Rn1"/>
        <w:rPr>
          <w:lang w:val="en-GB"/>
        </w:rPr>
      </w:pPr>
      <w:r w:rsidRPr="00297C20">
        <w:rPr>
          <w:lang w:val="en-GB"/>
        </w:rPr>
        <w:lastRenderedPageBreak/>
        <w:t xml:space="preserve">2. </w:t>
      </w:r>
      <w:r w:rsidR="00A259DA" w:rsidRPr="00297C20">
        <w:rPr>
          <w:lang w:val="en-GB"/>
        </w:rPr>
        <w:t>Materials and Methods</w:t>
      </w:r>
    </w:p>
    <w:p w14:paraId="2A326271" w14:textId="49128348" w:rsidR="00A259DA" w:rsidRPr="00297C20" w:rsidRDefault="00A259DA" w:rsidP="00A259DA">
      <w:pPr>
        <w:rPr>
          <w:lang w:val="en-GB"/>
        </w:rPr>
      </w:pPr>
      <w:r w:rsidRPr="00297C20">
        <w:rPr>
          <w:lang w:val="en-GB"/>
        </w:rPr>
        <w:t>This study employed a multi-sensor, multi-temporal approach to assess pre- and post-eruptive changes associated with Mount Etna</w:t>
      </w:r>
      <w:r w:rsidR="0042740C">
        <w:rPr>
          <w:lang w:val="en-GB"/>
        </w:rPr>
        <w:t>'</w:t>
      </w:r>
      <w:r w:rsidRPr="00297C20">
        <w:rPr>
          <w:lang w:val="en-GB"/>
        </w:rPr>
        <w:t xml:space="preserve">s volcanic activity (Table 1). The objective was to evaluate the potential of satellite-derived vegetation indices, gas emissions (SO₂, NO₂, CO), and ground deformation (InSAR), supported by land cover classification, to improve volcanic monitoring quality. </w:t>
      </w:r>
      <w:r w:rsidR="007B08EA" w:rsidRPr="00297C20">
        <w:rPr>
          <w:lang w:val="en-GB"/>
        </w:rPr>
        <w:t>All data used were freely acces</w:t>
      </w:r>
      <w:r w:rsidRPr="00297C20">
        <w:rPr>
          <w:lang w:val="en-GB"/>
        </w:rPr>
        <w:t>sible via platforms such as Google Earth Engine (GEE) and the Copernicus Open Access Hub.</w:t>
      </w:r>
    </w:p>
    <w:p w14:paraId="1057F205" w14:textId="11111CC9" w:rsidR="00AC7833" w:rsidRPr="00297C20" w:rsidRDefault="00AC7833" w:rsidP="00E4533F">
      <w:pPr>
        <w:pStyle w:val="Rn2"/>
        <w:rPr>
          <w:lang w:val="en-GB"/>
        </w:rPr>
      </w:pPr>
      <w:r w:rsidRPr="00297C20">
        <w:rPr>
          <w:lang w:val="en-GB"/>
        </w:rPr>
        <w:t xml:space="preserve">2.1. </w:t>
      </w:r>
      <w:r w:rsidR="00A259DA" w:rsidRPr="00297C20">
        <w:rPr>
          <w:lang w:val="en-GB"/>
        </w:rPr>
        <w:t>Data and sensors</w:t>
      </w:r>
    </w:p>
    <w:p w14:paraId="0703294F" w14:textId="788A949B" w:rsidR="00A259DA" w:rsidRPr="00297C20" w:rsidRDefault="00A259DA" w:rsidP="008C25D5">
      <w:pPr>
        <w:pStyle w:val="Akapitzlist"/>
        <w:numPr>
          <w:ilvl w:val="0"/>
          <w:numId w:val="15"/>
        </w:numPr>
        <w:ind w:left="284" w:hanging="284"/>
        <w:rPr>
          <w:lang w:val="en-GB"/>
        </w:rPr>
      </w:pPr>
      <w:r w:rsidRPr="00297C20">
        <w:rPr>
          <w:b/>
          <w:lang w:val="en-GB"/>
        </w:rPr>
        <w:t>Sentinel-1 (InSAR):</w:t>
      </w:r>
      <w:r w:rsidRPr="00297C20">
        <w:rPr>
          <w:lang w:val="en-GB"/>
        </w:rPr>
        <w:t xml:space="preserve"> C-band SAR imagery (COPERNICUS/S1_SLC). Ground deformation was retrieved using a Small Baseline Subset (SBAS) time-series approach in SNAP/</w:t>
      </w:r>
      <w:proofErr w:type="spellStart"/>
      <w:r w:rsidRPr="00297C20">
        <w:rPr>
          <w:lang w:val="en-GB"/>
        </w:rPr>
        <w:t>StaMPS</w:t>
      </w:r>
      <w:proofErr w:type="spellEnd"/>
      <w:r w:rsidRPr="00297C20">
        <w:rPr>
          <w:lang w:val="en-GB"/>
        </w:rPr>
        <w:t>, with atmospheric delay correction from ERA5 and GACOS. Ascending and descending geometries were combined with co-located GNSS station data (INGV-OE) to decompose line-of-sight displacements into vertical and horizontal motion. Coherence masks (&gt;0.4) and unwrapping error checks were applied. Confidence intervals were calculated from the cov</w:t>
      </w:r>
      <w:r w:rsidR="007B08EA" w:rsidRPr="00297C20">
        <w:rPr>
          <w:lang w:val="en-GB"/>
        </w:rPr>
        <w:t>ariance of the time series (</w:t>
      </w:r>
      <w:r w:rsidR="00E56E45" w:rsidRPr="00297C20">
        <w:rPr>
          <w:lang w:val="en-GB"/>
        </w:rPr>
        <w:t xml:space="preserve">Biggs et al. 2025, </w:t>
      </w:r>
      <w:proofErr w:type="spellStart"/>
      <w:r w:rsidR="00E56E45" w:rsidRPr="00297C20">
        <w:rPr>
          <w:lang w:val="en-GB"/>
        </w:rPr>
        <w:t>Geudtner</w:t>
      </w:r>
      <w:proofErr w:type="spellEnd"/>
      <w:r w:rsidR="00E56E45" w:rsidRPr="00297C20">
        <w:rPr>
          <w:lang w:val="en-GB"/>
        </w:rPr>
        <w:t xml:space="preserve"> et al. 2014, Braun et al. 2021, Ferretti et al. 2007</w:t>
      </w:r>
      <w:r w:rsidR="007B08EA" w:rsidRPr="00297C20">
        <w:rPr>
          <w:lang w:val="en-GB"/>
        </w:rPr>
        <w:t>)</w:t>
      </w:r>
      <w:r w:rsidRPr="00297C20">
        <w:rPr>
          <w:lang w:val="en-GB"/>
        </w:rPr>
        <w:t>.</w:t>
      </w:r>
    </w:p>
    <w:p w14:paraId="1F546583" w14:textId="0A0F8AEF" w:rsidR="00A259DA" w:rsidRPr="00297C20" w:rsidRDefault="00A259DA" w:rsidP="008C25D5">
      <w:pPr>
        <w:pStyle w:val="Akapitzlist"/>
        <w:numPr>
          <w:ilvl w:val="0"/>
          <w:numId w:val="15"/>
        </w:numPr>
        <w:ind w:left="284" w:hanging="284"/>
        <w:rPr>
          <w:lang w:val="en-GB"/>
        </w:rPr>
      </w:pPr>
      <w:r w:rsidRPr="00297C20">
        <w:rPr>
          <w:b/>
          <w:lang w:val="en-GB"/>
        </w:rPr>
        <w:t>Sentinel-2 (vegetation indices and land cover):</w:t>
      </w:r>
      <w:r w:rsidRPr="00297C20">
        <w:rPr>
          <w:lang w:val="en-GB"/>
        </w:rPr>
        <w:t xml:space="preserve"> Level-2A surface reflectance (COPERNICUS/S2_SR_HARMONIZED, 10 m resolution). NDVI, EVI, NBR, and NDMI were calculated, se</w:t>
      </w:r>
      <w:r w:rsidR="007B08EA" w:rsidRPr="00297C20">
        <w:rPr>
          <w:lang w:val="en-GB"/>
        </w:rPr>
        <w:t>asonally detrended using a 2018-</w:t>
      </w:r>
      <w:r w:rsidRPr="00297C20">
        <w:rPr>
          <w:lang w:val="en-GB"/>
        </w:rPr>
        <w:t>2023 same-month climatology per pixel, and corrected for topographic illumination (C-correction) and BRDF effects. Cloud and snow masking combined the Scene Classification Layer (SCL) probabilities</w:t>
      </w:r>
      <w:r w:rsidR="007B08EA" w:rsidRPr="00297C20">
        <w:rPr>
          <w:lang w:val="en-GB"/>
        </w:rPr>
        <w:t xml:space="preserve"> and Sentinel-Hub snow index (</w:t>
      </w:r>
      <w:proofErr w:type="spellStart"/>
      <w:r w:rsidR="00E56E45" w:rsidRPr="00297C20">
        <w:rPr>
          <w:lang w:val="en-GB"/>
        </w:rPr>
        <w:t>Strashok</w:t>
      </w:r>
      <w:proofErr w:type="spellEnd"/>
      <w:r w:rsidR="00E56E45" w:rsidRPr="00297C20">
        <w:rPr>
          <w:lang w:val="en-GB"/>
        </w:rPr>
        <w:t xml:space="preserve"> et al. 2020</w:t>
      </w:r>
      <w:r w:rsidR="007B08EA" w:rsidRPr="00297C20">
        <w:rPr>
          <w:lang w:val="en-GB"/>
        </w:rPr>
        <w:t>)</w:t>
      </w:r>
      <w:r w:rsidRPr="00297C20">
        <w:rPr>
          <w:lang w:val="en-GB"/>
        </w:rPr>
        <w:t>.</w:t>
      </w:r>
    </w:p>
    <w:p w14:paraId="03C713B5" w14:textId="03ED6923" w:rsidR="00A259DA" w:rsidRPr="00297C20" w:rsidRDefault="00A259DA" w:rsidP="00192EA0">
      <w:pPr>
        <w:pStyle w:val="Akapitzlist"/>
        <w:numPr>
          <w:ilvl w:val="0"/>
          <w:numId w:val="15"/>
        </w:numPr>
        <w:ind w:left="284"/>
        <w:rPr>
          <w:lang w:val="en-GB"/>
        </w:rPr>
      </w:pPr>
      <w:r w:rsidRPr="00297C20">
        <w:rPr>
          <w:b/>
          <w:lang w:val="en-GB"/>
        </w:rPr>
        <w:t>Sentinel-5P TROPOMI (SO₂, NO₂, CO):</w:t>
      </w:r>
      <w:r w:rsidRPr="00297C20">
        <w:rPr>
          <w:lang w:val="en-GB"/>
        </w:rPr>
        <w:t xml:space="preserve"> </w:t>
      </w:r>
      <w:r w:rsidR="00192EA0" w:rsidRPr="00297C20">
        <w:rPr>
          <w:lang w:val="en-GB"/>
        </w:rPr>
        <w:t>OFFL L3 daily products (7×3.5 km) were used. Data were QA-filtered (QA &gt; 0.75). For SO₂, anomalies were calculated as Δ = plume – upwind, where plume polygons were delineated using a 5 Dobson Unit (DU) threshold and verified with HYSPLIT trajectories. To ensure consistency, SO₂ column amounts were converted to mol m⁻² using the factor 1 DU = 2.69 × 10¹⁶ molecules cm⁻² = 4.46 × 10⁻⁴ mol m⁻², and all values are reported in mol m⁻² throughout the paper. NO₂ and CO were corrected using an anthropogenic mask based on EDGAR/CAMS inventories and VIIRS nightlights. Level-2 OFFL retrievals were averaged into Level-3 composites using Google Earth Engine, ensuring spatial consistency across daily mosaics and avoiding sampling bias caused by cloud cover.</w:t>
      </w:r>
    </w:p>
    <w:p w14:paraId="7863F62B" w14:textId="13D9EBAF" w:rsidR="00A259DA" w:rsidRPr="00297C20" w:rsidRDefault="00A259DA" w:rsidP="008C25D5">
      <w:pPr>
        <w:pStyle w:val="Akapitzlist"/>
        <w:numPr>
          <w:ilvl w:val="0"/>
          <w:numId w:val="15"/>
        </w:numPr>
        <w:ind w:left="284" w:hanging="284"/>
        <w:rPr>
          <w:lang w:val="en-GB"/>
        </w:rPr>
      </w:pPr>
      <w:r w:rsidRPr="00297C20">
        <w:rPr>
          <w:b/>
          <w:lang w:val="en-GB"/>
        </w:rPr>
        <w:t>Meteorological data (ERA5):</w:t>
      </w:r>
      <w:r w:rsidRPr="00297C20">
        <w:rPr>
          <w:lang w:val="en-GB"/>
        </w:rPr>
        <w:t xml:space="preserve"> wind speed/direction at plume altitude, boundary layer height, precipitation, and cloud fraction were included as covariates in gas</w:t>
      </w:r>
      <w:r w:rsidR="008E1993">
        <w:rPr>
          <w:lang w:val="en-GB"/>
        </w:rPr>
        <w:t>-</w:t>
      </w:r>
      <w:r w:rsidRPr="00297C20">
        <w:rPr>
          <w:lang w:val="en-GB"/>
        </w:rPr>
        <w:t>vegetation analyses.</w:t>
      </w:r>
    </w:p>
    <w:p w14:paraId="5B27FAA3" w14:textId="0C330952" w:rsidR="00AC7833" w:rsidRPr="00297C20" w:rsidRDefault="00A259DA" w:rsidP="00A259DA">
      <w:pPr>
        <w:spacing w:after="240"/>
        <w:rPr>
          <w:lang w:val="en-GB"/>
        </w:rPr>
      </w:pPr>
      <w:r w:rsidRPr="00297C20">
        <w:rPr>
          <w:lang w:val="en-GB"/>
        </w:rPr>
        <w:t>Meteorological data (ERA5) – wind speed/direction at plume altitude, boundary layer height, total precipitation, and cloud fraction – were retrieved for each day and used as covariates in all gas</w:t>
      </w:r>
      <w:r w:rsidR="008E1993">
        <w:rPr>
          <w:lang w:val="en-GB"/>
        </w:rPr>
        <w:t>-</w:t>
      </w:r>
      <w:r w:rsidRPr="00297C20">
        <w:rPr>
          <w:lang w:val="en-GB"/>
        </w:rPr>
        <w:t>vegetation analyses</w:t>
      </w:r>
      <w:r w:rsidR="00470947" w:rsidRPr="00297C20">
        <w:rPr>
          <w:lang w:val="en-GB"/>
        </w:rPr>
        <w:t>.</w:t>
      </w:r>
    </w:p>
    <w:p w14:paraId="27D2B2B4" w14:textId="2CCE2B7B" w:rsidR="00A259DA" w:rsidRPr="00297C20" w:rsidRDefault="00A259DA" w:rsidP="00A259DA">
      <w:pPr>
        <w:pStyle w:val="Rtab"/>
        <w:rPr>
          <w:lang w:val="en-GB"/>
        </w:rPr>
      </w:pPr>
      <w:r w:rsidRPr="00297C20">
        <w:rPr>
          <w:b/>
          <w:bCs/>
          <w:lang w:val="en-GB"/>
        </w:rPr>
        <w:t>Table 1.</w:t>
      </w:r>
      <w:r w:rsidRPr="00297C20">
        <w:rPr>
          <w:lang w:val="en-GB"/>
        </w:rPr>
        <w:t xml:space="preserve"> Satellite Data Sources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482"/>
        <w:gridCol w:w="1596"/>
        <w:gridCol w:w="1463"/>
        <w:gridCol w:w="1462"/>
        <w:gridCol w:w="2365"/>
      </w:tblGrid>
      <w:tr w:rsidR="00A259DA" w:rsidRPr="00297C20" w14:paraId="1DA09A32" w14:textId="77777777" w:rsidTr="00FA50FF">
        <w:trPr>
          <w:trHeight w:val="397"/>
          <w:jc w:val="center"/>
        </w:trPr>
        <w:tc>
          <w:tcPr>
            <w:tcW w:w="1271" w:type="dxa"/>
            <w:vAlign w:val="center"/>
          </w:tcPr>
          <w:p w14:paraId="5C081182"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Sensor</w:t>
            </w:r>
          </w:p>
        </w:tc>
        <w:tc>
          <w:tcPr>
            <w:tcW w:w="1482" w:type="dxa"/>
            <w:vAlign w:val="center"/>
          </w:tcPr>
          <w:p w14:paraId="3C949014"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Platform</w:t>
            </w:r>
          </w:p>
        </w:tc>
        <w:tc>
          <w:tcPr>
            <w:tcW w:w="1596" w:type="dxa"/>
            <w:vAlign w:val="center"/>
            <w:hideMark/>
          </w:tcPr>
          <w:p w14:paraId="2A681FAA"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Resolution (m)</w:t>
            </w:r>
          </w:p>
        </w:tc>
        <w:tc>
          <w:tcPr>
            <w:tcW w:w="1463" w:type="dxa"/>
            <w:vAlign w:val="center"/>
          </w:tcPr>
          <w:p w14:paraId="779392C6"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Revisit Time</w:t>
            </w:r>
          </w:p>
        </w:tc>
        <w:tc>
          <w:tcPr>
            <w:tcW w:w="1462" w:type="dxa"/>
            <w:vAlign w:val="center"/>
          </w:tcPr>
          <w:p w14:paraId="7372A3D9"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Product Used</w:t>
            </w:r>
          </w:p>
        </w:tc>
        <w:tc>
          <w:tcPr>
            <w:tcW w:w="2365" w:type="dxa"/>
            <w:vAlign w:val="center"/>
          </w:tcPr>
          <w:p w14:paraId="1004A7A8"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Main Use</w:t>
            </w:r>
          </w:p>
        </w:tc>
      </w:tr>
      <w:tr w:rsidR="00A259DA" w:rsidRPr="00297C20" w14:paraId="4C6F8C0A" w14:textId="77777777" w:rsidTr="00FA50FF">
        <w:trPr>
          <w:trHeight w:val="584"/>
          <w:jc w:val="center"/>
        </w:trPr>
        <w:tc>
          <w:tcPr>
            <w:tcW w:w="1271" w:type="dxa"/>
            <w:vAlign w:val="center"/>
            <w:hideMark/>
          </w:tcPr>
          <w:p w14:paraId="3548328D"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Sentinel-1</w:t>
            </w:r>
          </w:p>
        </w:tc>
        <w:tc>
          <w:tcPr>
            <w:tcW w:w="1482" w:type="dxa"/>
            <w:vAlign w:val="center"/>
            <w:hideMark/>
          </w:tcPr>
          <w:p w14:paraId="2DC82284"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C-band SAR</w:t>
            </w:r>
          </w:p>
        </w:tc>
        <w:tc>
          <w:tcPr>
            <w:tcW w:w="1596" w:type="dxa"/>
            <w:vAlign w:val="center"/>
          </w:tcPr>
          <w:p w14:paraId="71E0ECE1" w14:textId="4B88DA75"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~20×5</w:t>
            </w:r>
          </w:p>
        </w:tc>
        <w:tc>
          <w:tcPr>
            <w:tcW w:w="1463" w:type="dxa"/>
            <w:vAlign w:val="center"/>
          </w:tcPr>
          <w:p w14:paraId="5CEC6627" w14:textId="23BD41DD"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6</w:t>
            </w:r>
            <w:r w:rsidR="008E1993">
              <w:rPr>
                <w:rFonts w:eastAsia="Times New Roman" w:cs="Times New Roman"/>
                <w:snapToGrid w:val="0"/>
                <w:color w:val="000000"/>
                <w:kern w:val="0"/>
                <w:sz w:val="20"/>
                <w:szCs w:val="20"/>
                <w:lang w:val="en-GB" w:eastAsia="de-DE" w:bidi="en-US"/>
                <w14:ligatures w14:val="none"/>
              </w:rPr>
              <w:t>-</w:t>
            </w:r>
            <w:r w:rsidRPr="00FA50FF">
              <w:rPr>
                <w:rFonts w:eastAsia="Times New Roman" w:cs="Times New Roman"/>
                <w:snapToGrid w:val="0"/>
                <w:color w:val="000000"/>
                <w:kern w:val="0"/>
                <w:sz w:val="20"/>
                <w:szCs w:val="20"/>
                <w:lang w:val="en-GB" w:eastAsia="de-DE" w:bidi="en-US"/>
                <w14:ligatures w14:val="none"/>
              </w:rPr>
              <w:t>12 days</w:t>
            </w:r>
          </w:p>
        </w:tc>
        <w:tc>
          <w:tcPr>
            <w:tcW w:w="1462" w:type="dxa"/>
            <w:vAlign w:val="center"/>
          </w:tcPr>
          <w:p w14:paraId="7417CE17"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IW SLC</w:t>
            </w:r>
          </w:p>
        </w:tc>
        <w:tc>
          <w:tcPr>
            <w:tcW w:w="2365" w:type="dxa"/>
            <w:vAlign w:val="center"/>
          </w:tcPr>
          <w:p w14:paraId="504A4616" w14:textId="70C2C44A"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 xml:space="preserve">Ground deformation </w:t>
            </w:r>
            <w:r w:rsidR="00EC62D0" w:rsidRPr="00FA50FF">
              <w:rPr>
                <w:rFonts w:eastAsia="Times New Roman" w:cs="Times New Roman"/>
                <w:snapToGrid w:val="0"/>
                <w:color w:val="000000"/>
                <w:kern w:val="0"/>
                <w:sz w:val="20"/>
                <w:szCs w:val="20"/>
                <w:lang w:val="en-GB" w:eastAsia="de-DE" w:bidi="en-US"/>
                <w14:ligatures w14:val="none"/>
              </w:rPr>
              <w:br/>
            </w:r>
            <w:r w:rsidRPr="00FA50FF">
              <w:rPr>
                <w:rFonts w:eastAsia="Times New Roman" w:cs="Times New Roman"/>
                <w:snapToGrid w:val="0"/>
                <w:color w:val="000000"/>
                <w:kern w:val="0"/>
                <w:sz w:val="20"/>
                <w:szCs w:val="20"/>
                <w:lang w:val="en-GB" w:eastAsia="de-DE" w:bidi="en-US"/>
                <w14:ligatures w14:val="none"/>
              </w:rPr>
              <w:t>(InSAR SBAS)</w:t>
            </w:r>
          </w:p>
        </w:tc>
      </w:tr>
      <w:tr w:rsidR="00A259DA" w:rsidRPr="0042740C" w14:paraId="1D78A03F" w14:textId="77777777" w:rsidTr="00FA50FF">
        <w:trPr>
          <w:trHeight w:val="543"/>
          <w:jc w:val="center"/>
        </w:trPr>
        <w:tc>
          <w:tcPr>
            <w:tcW w:w="1271" w:type="dxa"/>
            <w:vAlign w:val="center"/>
            <w:hideMark/>
          </w:tcPr>
          <w:p w14:paraId="6E5C3180"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Sentinel-2</w:t>
            </w:r>
          </w:p>
        </w:tc>
        <w:tc>
          <w:tcPr>
            <w:tcW w:w="1482" w:type="dxa"/>
            <w:vAlign w:val="center"/>
          </w:tcPr>
          <w:p w14:paraId="61E3DB7B"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MSI</w:t>
            </w:r>
          </w:p>
        </w:tc>
        <w:tc>
          <w:tcPr>
            <w:tcW w:w="1596" w:type="dxa"/>
            <w:vAlign w:val="center"/>
          </w:tcPr>
          <w:p w14:paraId="7D67F1BE"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10-20</w:t>
            </w:r>
          </w:p>
        </w:tc>
        <w:tc>
          <w:tcPr>
            <w:tcW w:w="1463" w:type="dxa"/>
            <w:vAlign w:val="center"/>
          </w:tcPr>
          <w:p w14:paraId="17B21417"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5 days</w:t>
            </w:r>
          </w:p>
        </w:tc>
        <w:tc>
          <w:tcPr>
            <w:tcW w:w="1462" w:type="dxa"/>
            <w:vAlign w:val="center"/>
          </w:tcPr>
          <w:p w14:paraId="25B978D2"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Level-2A</w:t>
            </w:r>
          </w:p>
        </w:tc>
        <w:tc>
          <w:tcPr>
            <w:tcW w:w="2365" w:type="dxa"/>
            <w:vAlign w:val="center"/>
          </w:tcPr>
          <w:p w14:paraId="575CC82F"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NDVI, EVI, NBR, NDMI, Land Cover</w:t>
            </w:r>
          </w:p>
        </w:tc>
      </w:tr>
      <w:tr w:rsidR="00A259DA" w:rsidRPr="00297C20" w14:paraId="0D1C38C4" w14:textId="77777777" w:rsidTr="00B26811">
        <w:trPr>
          <w:trHeight w:val="393"/>
          <w:jc w:val="center"/>
        </w:trPr>
        <w:tc>
          <w:tcPr>
            <w:tcW w:w="1271" w:type="dxa"/>
            <w:vAlign w:val="center"/>
            <w:hideMark/>
          </w:tcPr>
          <w:p w14:paraId="37A85D50"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Sentinel-5P</w:t>
            </w:r>
          </w:p>
        </w:tc>
        <w:tc>
          <w:tcPr>
            <w:tcW w:w="1482" w:type="dxa"/>
            <w:vAlign w:val="center"/>
          </w:tcPr>
          <w:p w14:paraId="5110AA64"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TROPOMI</w:t>
            </w:r>
          </w:p>
        </w:tc>
        <w:tc>
          <w:tcPr>
            <w:tcW w:w="1596" w:type="dxa"/>
            <w:vAlign w:val="center"/>
          </w:tcPr>
          <w:p w14:paraId="0765A07D" w14:textId="7684B515"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~7×3.5 km</w:t>
            </w:r>
          </w:p>
        </w:tc>
        <w:tc>
          <w:tcPr>
            <w:tcW w:w="1463" w:type="dxa"/>
            <w:vAlign w:val="center"/>
          </w:tcPr>
          <w:p w14:paraId="60CA8CF0"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Daily</w:t>
            </w:r>
          </w:p>
        </w:tc>
        <w:tc>
          <w:tcPr>
            <w:tcW w:w="1462" w:type="dxa"/>
            <w:vAlign w:val="center"/>
          </w:tcPr>
          <w:p w14:paraId="558DAF80" w14:textId="0EEB01E0" w:rsidR="00A259DA" w:rsidRPr="00FA50FF" w:rsidRDefault="00933B72"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Level-3</w:t>
            </w:r>
          </w:p>
        </w:tc>
        <w:tc>
          <w:tcPr>
            <w:tcW w:w="2365" w:type="dxa"/>
            <w:vAlign w:val="center"/>
          </w:tcPr>
          <w:p w14:paraId="379292F3" w14:textId="77777777" w:rsidR="00A259DA" w:rsidRPr="00FA50FF" w:rsidRDefault="00A259DA" w:rsidP="00A259D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FA50FF">
              <w:rPr>
                <w:rFonts w:eastAsia="Times New Roman" w:cs="Times New Roman"/>
                <w:snapToGrid w:val="0"/>
                <w:color w:val="000000"/>
                <w:kern w:val="0"/>
                <w:sz w:val="20"/>
                <w:szCs w:val="20"/>
                <w:lang w:val="en-GB" w:eastAsia="de-DE" w:bidi="en-US"/>
                <w14:ligatures w14:val="none"/>
              </w:rPr>
              <w:t>SO₂, NO₂, CO mapping</w:t>
            </w:r>
          </w:p>
        </w:tc>
      </w:tr>
    </w:tbl>
    <w:p w14:paraId="592A37F2" w14:textId="674C4528" w:rsidR="00A259DA" w:rsidRPr="00297C20" w:rsidRDefault="00A259DA" w:rsidP="00A259DA">
      <w:pPr>
        <w:ind w:firstLine="0"/>
        <w:rPr>
          <w:lang w:val="en-GB"/>
        </w:rPr>
      </w:pPr>
    </w:p>
    <w:p w14:paraId="59DFB240" w14:textId="1E3AD163" w:rsidR="00A259DA" w:rsidRPr="00297C20" w:rsidRDefault="00A259DA" w:rsidP="00A259DA">
      <w:pPr>
        <w:pStyle w:val="Rn2"/>
        <w:rPr>
          <w:lang w:val="en-GB"/>
        </w:rPr>
      </w:pPr>
      <w:r w:rsidRPr="00297C20">
        <w:rPr>
          <w:lang w:val="en-GB"/>
        </w:rPr>
        <w:t>2.2. Methodological workflow</w:t>
      </w:r>
    </w:p>
    <w:p w14:paraId="33BC9A31" w14:textId="197DA1A2" w:rsidR="00981E3C" w:rsidRPr="00297C20" w:rsidRDefault="001C79C4" w:rsidP="00685A9C">
      <w:pPr>
        <w:rPr>
          <w:lang w:val="en-GB"/>
        </w:rPr>
      </w:pPr>
      <w:r w:rsidRPr="00297C20">
        <w:rPr>
          <w:lang w:val="en-GB"/>
        </w:rPr>
        <w:t>The methodological sequence included the following steps:</w:t>
      </w:r>
    </w:p>
    <w:p w14:paraId="0FF4CBCF" w14:textId="77777777" w:rsidR="001C79C4" w:rsidRPr="00297C20" w:rsidRDefault="001C79C4" w:rsidP="008C25D5">
      <w:pPr>
        <w:pStyle w:val="Akapitzlist"/>
        <w:numPr>
          <w:ilvl w:val="0"/>
          <w:numId w:val="16"/>
        </w:numPr>
        <w:ind w:left="284" w:hanging="284"/>
        <w:rPr>
          <w:lang w:val="en-GB"/>
        </w:rPr>
      </w:pPr>
      <w:r w:rsidRPr="00297C20">
        <w:rPr>
          <w:b/>
          <w:lang w:val="en-GB"/>
        </w:rPr>
        <w:t>Event alignment:</w:t>
      </w:r>
      <w:r w:rsidRPr="00297C20">
        <w:rPr>
          <w:lang w:val="en-GB"/>
        </w:rPr>
        <w:t xml:space="preserve"> Analysis windows of ±60 days were centred on eruption onset dates reported by INGV/VONA bulletins for July and August 2024.</w:t>
      </w:r>
    </w:p>
    <w:p w14:paraId="3D3B78A6" w14:textId="1D67D393" w:rsidR="001C79C4" w:rsidRPr="00297C20" w:rsidRDefault="001C79C4" w:rsidP="008C25D5">
      <w:pPr>
        <w:pStyle w:val="Akapitzlist"/>
        <w:numPr>
          <w:ilvl w:val="0"/>
          <w:numId w:val="16"/>
        </w:numPr>
        <w:ind w:left="284" w:hanging="284"/>
        <w:rPr>
          <w:lang w:val="en-GB"/>
        </w:rPr>
      </w:pPr>
      <w:r w:rsidRPr="00297C20">
        <w:rPr>
          <w:b/>
          <w:lang w:val="en-GB"/>
        </w:rPr>
        <w:t>ROI stratification:</w:t>
      </w:r>
      <w:r w:rsidRPr="00297C20">
        <w:rPr>
          <w:lang w:val="en-GB"/>
        </w:rPr>
        <w:t xml:space="preserve"> Three concentric rings were used</w:t>
      </w:r>
      <w:r w:rsidR="00DC33AA" w:rsidRPr="00297C20">
        <w:rPr>
          <w:lang w:val="en-GB"/>
        </w:rPr>
        <w:t>: proximal (&lt;10 km), medial (10-30 km), and distal (30-</w:t>
      </w:r>
      <w:r w:rsidRPr="00297C20">
        <w:rPr>
          <w:lang w:val="en-GB"/>
        </w:rPr>
        <w:t>50 km) from the summit. Each ring was intersected with ecological strata (forest, agricultural, urban).</w:t>
      </w:r>
    </w:p>
    <w:p w14:paraId="2D9057D7" w14:textId="7226E390" w:rsidR="001C79C4" w:rsidRPr="00297C20" w:rsidRDefault="001C79C4" w:rsidP="008C25D5">
      <w:pPr>
        <w:pStyle w:val="Akapitzlist"/>
        <w:numPr>
          <w:ilvl w:val="0"/>
          <w:numId w:val="16"/>
        </w:numPr>
        <w:ind w:left="284" w:hanging="284"/>
        <w:rPr>
          <w:lang w:val="en-GB"/>
        </w:rPr>
      </w:pPr>
      <w:r w:rsidRPr="00297C20">
        <w:rPr>
          <w:b/>
          <w:lang w:val="en-GB"/>
        </w:rPr>
        <w:t>Vegetation anomalies:</w:t>
      </w:r>
      <w:r w:rsidRPr="00297C20">
        <w:rPr>
          <w:lang w:val="en-GB"/>
        </w:rPr>
        <w:t xml:space="preserve"> NDVI, EVI, NBR, and NDMI were calculated as z-scores relative to 2018</w:t>
      </w:r>
      <w:r w:rsidR="007B08EA" w:rsidRPr="00297C20">
        <w:rPr>
          <w:lang w:val="en-GB"/>
        </w:rPr>
        <w:t>-</w:t>
      </w:r>
      <w:r w:rsidRPr="00297C20">
        <w:rPr>
          <w:lang w:val="en-GB"/>
        </w:rPr>
        <w:t>2023 climatology.</w:t>
      </w:r>
    </w:p>
    <w:p w14:paraId="15869D4A" w14:textId="77777777" w:rsidR="001C79C4" w:rsidRPr="00297C20" w:rsidRDefault="001C79C4" w:rsidP="008C25D5">
      <w:pPr>
        <w:pStyle w:val="Akapitzlist"/>
        <w:numPr>
          <w:ilvl w:val="0"/>
          <w:numId w:val="16"/>
        </w:numPr>
        <w:ind w:left="284" w:hanging="284"/>
        <w:rPr>
          <w:lang w:val="en-GB"/>
        </w:rPr>
      </w:pPr>
      <w:r w:rsidRPr="00297C20">
        <w:rPr>
          <w:b/>
          <w:lang w:val="en-GB"/>
        </w:rPr>
        <w:t>Gas anomalies:</w:t>
      </w:r>
      <w:r w:rsidRPr="00297C20">
        <w:rPr>
          <w:lang w:val="en-GB"/>
        </w:rPr>
        <w:t xml:space="preserve"> ΔSO₂ was calculated as plume – upwind; NO₂ and CO were masked for anthropogenic sources before averaging. </w:t>
      </w:r>
    </w:p>
    <w:p w14:paraId="684CCC9D" w14:textId="77777777" w:rsidR="001C79C4" w:rsidRPr="00297C20" w:rsidRDefault="001C79C4" w:rsidP="008C25D5">
      <w:pPr>
        <w:pStyle w:val="Akapitzlist"/>
        <w:numPr>
          <w:ilvl w:val="0"/>
          <w:numId w:val="16"/>
        </w:numPr>
        <w:ind w:left="284" w:hanging="284"/>
        <w:rPr>
          <w:lang w:val="en-GB"/>
        </w:rPr>
      </w:pPr>
      <w:r w:rsidRPr="00297C20">
        <w:rPr>
          <w:b/>
          <w:lang w:val="en-GB"/>
        </w:rPr>
        <w:t>Deformation analysis:</w:t>
      </w:r>
      <w:r w:rsidRPr="00297C20">
        <w:rPr>
          <w:lang w:val="en-GB"/>
        </w:rPr>
        <w:t xml:space="preserve"> SBAS InSAR displacements were generated, corrected for atmosphere, decomposed into vertical/horizontal components, and statistically summarised with 95% CIs.</w:t>
      </w:r>
    </w:p>
    <w:p w14:paraId="65528DBB" w14:textId="77777777" w:rsidR="001C79C4" w:rsidRPr="00297C20" w:rsidRDefault="001C79C4" w:rsidP="008C25D5">
      <w:pPr>
        <w:pStyle w:val="Akapitzlist"/>
        <w:numPr>
          <w:ilvl w:val="0"/>
          <w:numId w:val="16"/>
        </w:numPr>
        <w:ind w:left="284" w:hanging="284"/>
        <w:rPr>
          <w:lang w:val="en-GB"/>
        </w:rPr>
      </w:pPr>
      <w:r w:rsidRPr="00297C20">
        <w:rPr>
          <w:b/>
          <w:lang w:val="en-GB"/>
        </w:rPr>
        <w:lastRenderedPageBreak/>
        <w:t>Land cover classification:</w:t>
      </w:r>
      <w:r w:rsidRPr="00297C20">
        <w:rPr>
          <w:lang w:val="en-GB"/>
        </w:rPr>
        <w:t xml:space="preserve"> A Random Forest model (50 trees) was applied in GEE using Sentinel-2 L2A data. Three classes were distinguished: vegetation, bare ground, and urban. Training polygons were split into 60% training and 40% validation sets. Accuracy was assessed via confusion matrix, overall accuracy, and κ.</w:t>
      </w:r>
    </w:p>
    <w:p w14:paraId="66023AA5" w14:textId="11CDD205" w:rsidR="0044548C" w:rsidRPr="00297C20" w:rsidRDefault="0044548C" w:rsidP="00317BF6">
      <w:pPr>
        <w:pStyle w:val="Rn2"/>
        <w:jc w:val="both"/>
        <w:rPr>
          <w:lang w:val="en-GB"/>
        </w:rPr>
      </w:pPr>
      <w:r w:rsidRPr="00297C20">
        <w:rPr>
          <w:lang w:val="en-GB"/>
        </w:rPr>
        <w:t>2.3. Quantification of uncertainty</w:t>
      </w:r>
    </w:p>
    <w:p w14:paraId="207D0984" w14:textId="402CDC41" w:rsidR="0044548C" w:rsidRPr="00297C20" w:rsidRDefault="0044548C" w:rsidP="00317BF6">
      <w:pPr>
        <w:rPr>
          <w:rFonts w:cs="Times New Roman"/>
          <w:lang w:val="en-GB"/>
        </w:rPr>
      </w:pPr>
      <w:r w:rsidRPr="00297C20">
        <w:rPr>
          <w:rFonts w:cs="Times New Roman"/>
          <w:lang w:val="en-GB"/>
        </w:rPr>
        <w:t>To ensure robustness of the results, uncertainty estimates were calculated or inferred for each dataset:</w:t>
      </w:r>
    </w:p>
    <w:p w14:paraId="189C54EE" w14:textId="743095FD" w:rsidR="0044548C" w:rsidRPr="00297C20" w:rsidRDefault="0044548C" w:rsidP="008C25D5">
      <w:pPr>
        <w:pStyle w:val="MDPI31text"/>
        <w:numPr>
          <w:ilvl w:val="0"/>
          <w:numId w:val="17"/>
        </w:numPr>
        <w:ind w:left="284" w:hanging="284"/>
        <w:rPr>
          <w:rFonts w:ascii="Times New Roman" w:hAnsi="Times New Roman"/>
          <w:sz w:val="22"/>
          <w:lang w:val="en-GB"/>
        </w:rPr>
      </w:pPr>
      <w:proofErr w:type="spellStart"/>
      <w:r w:rsidRPr="00297C20">
        <w:rPr>
          <w:rFonts w:ascii="Times New Roman" w:hAnsi="Times New Roman"/>
          <w:b/>
          <w:sz w:val="22"/>
          <w:lang w:val="en-GB"/>
        </w:rPr>
        <w:t>DInSAR</w:t>
      </w:r>
      <w:proofErr w:type="spellEnd"/>
      <w:r w:rsidRPr="00297C20">
        <w:rPr>
          <w:rFonts w:ascii="Times New Roman" w:hAnsi="Times New Roman"/>
          <w:b/>
          <w:sz w:val="22"/>
          <w:lang w:val="en-GB"/>
        </w:rPr>
        <w:t xml:space="preserve"> Displacement (Sentinel-1):</w:t>
      </w:r>
      <w:r w:rsidRPr="00297C20">
        <w:rPr>
          <w:rFonts w:ascii="Times New Roman" w:hAnsi="Times New Roman"/>
          <w:sz w:val="22"/>
          <w:lang w:val="en-GB"/>
        </w:rPr>
        <w:t xml:space="preserve"> </w:t>
      </w:r>
      <w:r w:rsidRPr="002D2276">
        <w:rPr>
          <w:rFonts w:ascii="Times New Roman" w:hAnsi="Times New Roman"/>
          <w:spacing w:val="-2"/>
          <w:sz w:val="22"/>
          <w:lang w:val="en-GB"/>
        </w:rPr>
        <w:t>Based on SNAP documentation and published benchmarks, the expected displacement uncertainty using Sentinel-1 IW data processed in SNAP is approximately ±2 to ±3 cm, assuming moderate coherence levels</w:t>
      </w:r>
      <w:r w:rsidRPr="00297C20">
        <w:rPr>
          <w:rFonts w:ascii="Times New Roman" w:hAnsi="Times New Roman"/>
          <w:sz w:val="22"/>
          <w:lang w:val="en-GB"/>
        </w:rPr>
        <w:t xml:space="preserve">. </w:t>
      </w:r>
      <w:r w:rsidR="0042740C">
        <w:rPr>
          <w:rFonts w:ascii="Times New Roman" w:hAnsi="Times New Roman"/>
          <w:sz w:val="22"/>
          <w:lang w:val="en-GB"/>
        </w:rPr>
        <w:t>P</w:t>
      </w:r>
      <w:r w:rsidRPr="00297C20">
        <w:rPr>
          <w:rFonts w:ascii="Times New Roman" w:hAnsi="Times New Roman"/>
          <w:sz w:val="22"/>
          <w:lang w:val="en-GB"/>
        </w:rPr>
        <w:t>hase-to-displacement conversion was performed using the Sentinel-1 radar wavelength (5.6 cm), applying the standard formula:</w:t>
      </w:r>
    </w:p>
    <w:p w14:paraId="4072E875" w14:textId="77777777" w:rsidR="0044548C" w:rsidRPr="00297C20" w:rsidRDefault="0044548C" w:rsidP="00297C20">
      <w:pPr>
        <w:pStyle w:val="MDPI31text"/>
        <w:spacing w:before="120" w:after="120" w:line="240" w:lineRule="auto"/>
        <w:ind w:left="284" w:hanging="284"/>
        <w:rPr>
          <w:rFonts w:ascii="Times New Roman" w:hAnsi="Times New Roman"/>
          <w:sz w:val="22"/>
          <w:lang w:val="en-GB"/>
        </w:rPr>
      </w:pPr>
      <m:oMathPara>
        <m:oMath>
          <m:r>
            <w:rPr>
              <w:rFonts w:ascii="Cambria Math" w:hAnsi="Cambria Math"/>
              <w:sz w:val="22"/>
              <w:lang w:val="en-GB"/>
            </w:rPr>
            <m:t xml:space="preserve">d= </m:t>
          </m:r>
          <m:f>
            <m:fPr>
              <m:ctrlPr>
                <w:rPr>
                  <w:rFonts w:ascii="Cambria Math" w:hAnsi="Cambria Math"/>
                  <w:i/>
                  <w:sz w:val="22"/>
                  <w:lang w:val="en-GB"/>
                </w:rPr>
              </m:ctrlPr>
            </m:fPr>
            <m:num>
              <m:r>
                <w:rPr>
                  <w:rFonts w:ascii="Cambria Math" w:hAnsi="Cambria Math"/>
                  <w:sz w:val="22"/>
                  <w:lang w:val="en-GB"/>
                </w:rPr>
                <m:t>ΔΦ*λ</m:t>
              </m:r>
            </m:num>
            <m:den>
              <m:r>
                <w:rPr>
                  <w:rFonts w:ascii="Cambria Math" w:hAnsi="Cambria Math"/>
                  <w:sz w:val="22"/>
                  <w:lang w:val="en-GB"/>
                </w:rPr>
                <m:t>4π</m:t>
              </m:r>
            </m:den>
          </m:f>
        </m:oMath>
      </m:oMathPara>
    </w:p>
    <w:p w14:paraId="134C9A9C" w14:textId="3B29BD2B" w:rsidR="0044548C" w:rsidRPr="00297C20" w:rsidRDefault="0044548C" w:rsidP="008C25D5">
      <w:pPr>
        <w:pStyle w:val="MDPI31text"/>
        <w:ind w:left="284" w:firstLine="0"/>
        <w:rPr>
          <w:rFonts w:ascii="Times New Roman" w:hAnsi="Times New Roman"/>
          <w:sz w:val="22"/>
          <w:lang w:val="en-GB"/>
        </w:rPr>
      </w:pPr>
      <w:r w:rsidRPr="00297C20">
        <w:rPr>
          <w:rFonts w:ascii="Times New Roman" w:hAnsi="Times New Roman"/>
          <w:sz w:val="22"/>
          <w:lang w:val="en-GB"/>
        </w:rPr>
        <w:t xml:space="preserve">where d is the ground displacement along the satellite's line of sight (LOS), measured in meters; ΔΦ </w:t>
      </w:r>
      <w:r w:rsidR="002D2276">
        <w:rPr>
          <w:rFonts w:ascii="Times New Roman" w:hAnsi="Times New Roman"/>
          <w:sz w:val="22"/>
          <w:lang w:val="en-GB"/>
        </w:rPr>
        <w:t>i</w:t>
      </w:r>
      <w:r w:rsidRPr="00297C20">
        <w:rPr>
          <w:rFonts w:ascii="Times New Roman" w:hAnsi="Times New Roman"/>
          <w:sz w:val="22"/>
          <w:lang w:val="en-GB"/>
        </w:rPr>
        <w:t>s the interferometric phase difference between two radar acquisitions, expressed in radians; λ is the radar wavelength of the Sentinel-1 C-band sensor, approximat</w:t>
      </w:r>
      <w:r w:rsidR="007B08EA" w:rsidRPr="00297C20">
        <w:rPr>
          <w:rFonts w:ascii="Times New Roman" w:hAnsi="Times New Roman"/>
          <w:sz w:val="22"/>
          <w:lang w:val="en-GB"/>
        </w:rPr>
        <w:t>ely 0.056 meters (5.6 cm) (</w:t>
      </w:r>
      <w:r w:rsidR="00E56E45" w:rsidRPr="00297C20">
        <w:rPr>
          <w:rFonts w:ascii="Times New Roman" w:hAnsi="Times New Roman"/>
          <w:sz w:val="22"/>
          <w:lang w:val="en-GB"/>
        </w:rPr>
        <w:t>Tian et al. 2022, Xie et al. 2019, Bruno et al. 2022</w:t>
      </w:r>
      <w:r w:rsidR="007B08EA" w:rsidRPr="00297C20">
        <w:rPr>
          <w:rFonts w:ascii="Times New Roman" w:hAnsi="Times New Roman"/>
          <w:sz w:val="22"/>
          <w:lang w:val="en-GB"/>
        </w:rPr>
        <w:t>)</w:t>
      </w:r>
      <w:r w:rsidRPr="00297C20">
        <w:rPr>
          <w:rFonts w:ascii="Times New Roman" w:hAnsi="Times New Roman"/>
          <w:sz w:val="22"/>
          <w:lang w:val="en-GB"/>
        </w:rPr>
        <w:t>.</w:t>
      </w:r>
    </w:p>
    <w:p w14:paraId="7CD41ECC" w14:textId="136FDE2E" w:rsidR="0044548C" w:rsidRPr="00297C20" w:rsidRDefault="0044548C" w:rsidP="008C25D5">
      <w:pPr>
        <w:pStyle w:val="MDPI31text"/>
        <w:numPr>
          <w:ilvl w:val="0"/>
          <w:numId w:val="17"/>
        </w:numPr>
        <w:ind w:left="284" w:hanging="284"/>
        <w:rPr>
          <w:rFonts w:ascii="Times New Roman" w:hAnsi="Times New Roman"/>
          <w:sz w:val="22"/>
          <w:lang w:val="en-GB"/>
        </w:rPr>
      </w:pPr>
      <w:r w:rsidRPr="00297C20">
        <w:rPr>
          <w:rFonts w:ascii="Times New Roman" w:hAnsi="Times New Roman"/>
          <w:b/>
          <w:sz w:val="22"/>
          <w:lang w:val="en-GB"/>
        </w:rPr>
        <w:t>NDVI/EVI/NBR/NDMI (Sentinel-2):</w:t>
      </w:r>
      <w:r w:rsidR="00DC33AA" w:rsidRPr="00297C20">
        <w:rPr>
          <w:rFonts w:ascii="Times New Roman" w:hAnsi="Times New Roman"/>
          <w:sz w:val="22"/>
          <w:lang w:val="en-GB"/>
        </w:rPr>
        <w:t xml:space="preserve"> ±0.02-</w:t>
      </w:r>
      <w:r w:rsidRPr="00297C20">
        <w:rPr>
          <w:rFonts w:ascii="Times New Roman" w:hAnsi="Times New Roman"/>
          <w:sz w:val="22"/>
          <w:lang w:val="en-GB"/>
        </w:rPr>
        <w:t>0.05 depending on atmospheric and seasonal variability.</w:t>
      </w:r>
    </w:p>
    <w:p w14:paraId="70AE66ED" w14:textId="043F63A4" w:rsidR="0044548C" w:rsidRPr="00297C20" w:rsidRDefault="0044548C" w:rsidP="008C25D5">
      <w:pPr>
        <w:pStyle w:val="MDPI31text"/>
        <w:numPr>
          <w:ilvl w:val="0"/>
          <w:numId w:val="17"/>
        </w:numPr>
        <w:ind w:left="284" w:hanging="284"/>
        <w:rPr>
          <w:rFonts w:ascii="Times New Roman" w:hAnsi="Times New Roman"/>
          <w:sz w:val="22"/>
          <w:lang w:val="en-GB"/>
        </w:rPr>
      </w:pPr>
      <w:r w:rsidRPr="00297C20">
        <w:rPr>
          <w:rFonts w:ascii="Times New Roman" w:hAnsi="Times New Roman"/>
          <w:b/>
          <w:sz w:val="22"/>
          <w:lang w:val="en-GB"/>
        </w:rPr>
        <w:t>SO₂, NO₂, CO (TROPOMI):</w:t>
      </w:r>
      <w:r w:rsidRPr="00297C20">
        <w:rPr>
          <w:rFonts w:ascii="Times New Roman" w:hAnsi="Times New Roman"/>
          <w:sz w:val="22"/>
          <w:lang w:val="en-GB"/>
        </w:rPr>
        <w:t xml:space="preserve"> SO₂: ±20</w:t>
      </w:r>
      <w:r w:rsidR="00DC33AA" w:rsidRPr="00297C20">
        <w:rPr>
          <w:rFonts w:ascii="Times New Roman" w:hAnsi="Times New Roman"/>
          <w:sz w:val="22"/>
          <w:lang w:val="en-GB"/>
        </w:rPr>
        <w:t>-</w:t>
      </w:r>
      <w:r w:rsidRPr="00297C20">
        <w:rPr>
          <w:rFonts w:ascii="Times New Roman" w:hAnsi="Times New Roman"/>
          <w:sz w:val="22"/>
          <w:lang w:val="en-GB"/>
        </w:rPr>
        <w:t>40% (high concentrations), up to ±60% in cloudy/low-intensity cas</w:t>
      </w:r>
      <w:r w:rsidR="00DC33AA" w:rsidRPr="00297C20">
        <w:rPr>
          <w:rFonts w:ascii="Times New Roman" w:hAnsi="Times New Roman"/>
          <w:sz w:val="22"/>
          <w:lang w:val="en-GB"/>
        </w:rPr>
        <w:t>es; NO₂: ±20-50%; CO: ±10-</w:t>
      </w:r>
      <w:r w:rsidR="007B08EA" w:rsidRPr="00297C20">
        <w:rPr>
          <w:rFonts w:ascii="Times New Roman" w:hAnsi="Times New Roman"/>
          <w:sz w:val="22"/>
          <w:lang w:val="en-GB"/>
        </w:rPr>
        <w:t>25% (</w:t>
      </w:r>
      <w:r w:rsidR="00E56E45" w:rsidRPr="00297C20">
        <w:rPr>
          <w:rFonts w:ascii="Times New Roman" w:hAnsi="Times New Roman"/>
          <w:sz w:val="22"/>
          <w:lang w:val="en-GB"/>
        </w:rPr>
        <w:t>Biggs et al. 2025</w:t>
      </w:r>
      <w:r w:rsidR="007B08EA" w:rsidRPr="00297C20">
        <w:rPr>
          <w:rFonts w:ascii="Times New Roman" w:hAnsi="Times New Roman"/>
          <w:sz w:val="22"/>
          <w:lang w:val="en-GB"/>
        </w:rPr>
        <w:t>)</w:t>
      </w:r>
      <w:r w:rsidRPr="00297C20">
        <w:rPr>
          <w:rFonts w:ascii="Times New Roman" w:hAnsi="Times New Roman"/>
          <w:sz w:val="22"/>
          <w:lang w:val="en-GB"/>
        </w:rPr>
        <w:t>.</w:t>
      </w:r>
    </w:p>
    <w:p w14:paraId="6DAF84CF" w14:textId="28EC26EF" w:rsidR="0044548C" w:rsidRPr="00297C20" w:rsidRDefault="0044548C" w:rsidP="000778EF">
      <w:pPr>
        <w:pStyle w:val="MDPI31text"/>
        <w:numPr>
          <w:ilvl w:val="0"/>
          <w:numId w:val="17"/>
        </w:numPr>
        <w:ind w:left="284"/>
        <w:rPr>
          <w:rFonts w:ascii="Times New Roman" w:hAnsi="Times New Roman"/>
          <w:sz w:val="22"/>
          <w:lang w:val="en-GB"/>
        </w:rPr>
      </w:pPr>
      <w:r w:rsidRPr="00297C20">
        <w:rPr>
          <w:rFonts w:ascii="Times New Roman" w:hAnsi="Times New Roman"/>
          <w:b/>
          <w:sz w:val="22"/>
          <w:lang w:val="en-GB"/>
        </w:rPr>
        <w:t>Land cover classification:</w:t>
      </w:r>
      <w:r w:rsidRPr="00297C20">
        <w:rPr>
          <w:rFonts w:ascii="Times New Roman" w:hAnsi="Times New Roman"/>
          <w:sz w:val="22"/>
          <w:lang w:val="en-GB"/>
        </w:rPr>
        <w:t xml:space="preserve"> Overall accuracy: 0.993, κ = 0.99. Misclassifications mainly between bare ground and vegetation.</w:t>
      </w:r>
      <w:r w:rsidR="000778EF" w:rsidRPr="00297C20">
        <w:rPr>
          <w:rFonts w:ascii="Times New Roman" w:hAnsi="Times New Roman"/>
          <w:sz w:val="22"/>
          <w:lang w:val="en-GB"/>
        </w:rPr>
        <w:t xml:space="preserve"> These values likely reflect well-separated training samples and limited spatial overlap between classes. The classifier performance should therefore be interpreted as indicative of general reliability rather than precise areal accuracy. To minimize potential bias, training and validation polygons were spatially disjoint to avoid leakage effects.</w:t>
      </w:r>
    </w:p>
    <w:p w14:paraId="7C7DBF1D" w14:textId="5B718990" w:rsidR="008461FC" w:rsidRPr="00297C20" w:rsidRDefault="008461FC" w:rsidP="008461FC">
      <w:pPr>
        <w:pStyle w:val="Rn2"/>
        <w:rPr>
          <w:lang w:val="en-GB"/>
        </w:rPr>
      </w:pPr>
      <w:r w:rsidRPr="00297C20">
        <w:rPr>
          <w:lang w:val="en-GB"/>
        </w:rPr>
        <w:t>2.4. Validation using independent ground-based observations</w:t>
      </w:r>
    </w:p>
    <w:p w14:paraId="1BA0B720" w14:textId="06F6FF5A" w:rsidR="00FE11B6" w:rsidRPr="00297C20" w:rsidRDefault="00FE11B6" w:rsidP="00FE11B6">
      <w:pPr>
        <w:rPr>
          <w:lang w:val="en-GB"/>
        </w:rPr>
      </w:pPr>
      <w:r w:rsidRPr="00297C20">
        <w:rPr>
          <w:lang w:val="en-GB"/>
        </w:rPr>
        <w:t>To assess the reliability of satellite-derived estimates, a cross-validation with independent ground-based data sources was attempted where possible:</w:t>
      </w:r>
    </w:p>
    <w:p w14:paraId="2BB48B5D" w14:textId="551D98AB" w:rsidR="00FE11B6" w:rsidRPr="00297C20" w:rsidRDefault="00FE11B6" w:rsidP="008C25D5">
      <w:pPr>
        <w:pStyle w:val="Akapitzlist"/>
        <w:numPr>
          <w:ilvl w:val="0"/>
          <w:numId w:val="19"/>
        </w:numPr>
        <w:ind w:left="284" w:hanging="284"/>
        <w:rPr>
          <w:lang w:val="en-GB"/>
        </w:rPr>
      </w:pPr>
      <w:r w:rsidRPr="00297C20">
        <w:rPr>
          <w:b/>
          <w:lang w:val="en-GB"/>
        </w:rPr>
        <w:t>GNSS/GPS Measurements:</w:t>
      </w:r>
      <w:r w:rsidRPr="00297C20">
        <w:rPr>
          <w:lang w:val="en-GB"/>
        </w:rPr>
        <w:t xml:space="preserve"> Ground displacement results obtained through </w:t>
      </w:r>
      <w:proofErr w:type="spellStart"/>
      <w:r w:rsidRPr="00297C20">
        <w:rPr>
          <w:lang w:val="en-GB"/>
        </w:rPr>
        <w:t>DInSAR</w:t>
      </w:r>
      <w:proofErr w:type="spellEnd"/>
      <w:r w:rsidRPr="00297C20">
        <w:rPr>
          <w:lang w:val="en-GB"/>
        </w:rPr>
        <w:t xml:space="preserve"> were compared qualitatively with published GNSS time series from the INGV-OE (</w:t>
      </w:r>
      <w:proofErr w:type="spellStart"/>
      <w:r w:rsidRPr="00297C20">
        <w:rPr>
          <w:lang w:val="en-GB"/>
        </w:rPr>
        <w:t>Osservatorio</w:t>
      </w:r>
      <w:proofErr w:type="spellEnd"/>
      <w:r w:rsidRPr="00297C20">
        <w:rPr>
          <w:lang w:val="en-GB"/>
        </w:rPr>
        <w:t xml:space="preserve"> </w:t>
      </w:r>
      <w:proofErr w:type="spellStart"/>
      <w:r w:rsidRPr="00297C20">
        <w:rPr>
          <w:lang w:val="en-GB"/>
        </w:rPr>
        <w:t>Etneo</w:t>
      </w:r>
      <w:proofErr w:type="spellEnd"/>
      <w:r w:rsidRPr="00297C20">
        <w:rPr>
          <w:lang w:val="en-GB"/>
        </w:rPr>
        <w:t>) observatory n</w:t>
      </w:r>
      <w:r w:rsidR="00E56E45" w:rsidRPr="00297C20">
        <w:rPr>
          <w:lang w:val="en-GB"/>
        </w:rPr>
        <w:t>etwork</w:t>
      </w:r>
      <w:r w:rsidRPr="00297C20">
        <w:rPr>
          <w:lang w:val="en-GB"/>
        </w:rPr>
        <w:t xml:space="preserve">. The spatial pattern of uplift near the summit and subsidence on the flanks observed in SAR displacement maps from 2016-2021 corresponds to documented GNSS station </w:t>
      </w:r>
      <w:r w:rsidR="00E56E45" w:rsidRPr="00297C20">
        <w:rPr>
          <w:lang w:val="en-GB"/>
        </w:rPr>
        <w:t>trends</w:t>
      </w:r>
      <w:r w:rsidRPr="00297C20">
        <w:rPr>
          <w:lang w:val="en-GB"/>
        </w:rPr>
        <w:t xml:space="preserve">. Although direct time-synchronized GNSS data were not available for all </w:t>
      </w:r>
      <w:proofErr w:type="spellStart"/>
      <w:r w:rsidRPr="00297C20">
        <w:rPr>
          <w:lang w:val="en-GB"/>
        </w:rPr>
        <w:t>analyzed</w:t>
      </w:r>
      <w:proofErr w:type="spellEnd"/>
      <w:r w:rsidRPr="00297C20">
        <w:rPr>
          <w:lang w:val="en-GB"/>
        </w:rPr>
        <w:t xml:space="preserve"> periods, published deformation rates (~5-20 mm/month) matched well with the LOS displacements retrieved from Sentinel-1 interferograms.</w:t>
      </w:r>
    </w:p>
    <w:p w14:paraId="4853433B" w14:textId="3E2C63F0" w:rsidR="00FE11B6" w:rsidRPr="00297C20" w:rsidRDefault="00FE11B6" w:rsidP="008C25D5">
      <w:pPr>
        <w:pStyle w:val="Akapitzlist"/>
        <w:numPr>
          <w:ilvl w:val="0"/>
          <w:numId w:val="19"/>
        </w:numPr>
        <w:ind w:left="284" w:hanging="284"/>
        <w:rPr>
          <w:lang w:val="en-GB"/>
        </w:rPr>
      </w:pPr>
      <w:r w:rsidRPr="00297C20">
        <w:rPr>
          <w:b/>
          <w:lang w:val="en-GB"/>
        </w:rPr>
        <w:t>Gas Sensor Corroboration:</w:t>
      </w:r>
      <w:r w:rsidRPr="00297C20">
        <w:rPr>
          <w:lang w:val="en-GB"/>
        </w:rPr>
        <w:t xml:space="preserve"> The increase in SO₂ detected via TROPOMI in July and August 2024 coincides with reported emissions by INGV's permanent </w:t>
      </w:r>
      <w:proofErr w:type="spellStart"/>
      <w:r w:rsidRPr="00297C20">
        <w:rPr>
          <w:lang w:val="en-GB"/>
        </w:rPr>
        <w:t>MultiGas</w:t>
      </w:r>
      <w:proofErr w:type="spellEnd"/>
      <w:r w:rsidRPr="00297C20">
        <w:rPr>
          <w:lang w:val="en-GB"/>
        </w:rPr>
        <w:t xml:space="preserve"> st</w:t>
      </w:r>
      <w:r w:rsidR="00E56E45" w:rsidRPr="00297C20">
        <w:rPr>
          <w:lang w:val="en-GB"/>
        </w:rPr>
        <w:t>ations on Etna</w:t>
      </w:r>
      <w:r w:rsidR="0042740C">
        <w:rPr>
          <w:lang w:val="en-GB"/>
        </w:rPr>
        <w:t>'</w:t>
      </w:r>
      <w:r w:rsidR="00E56E45" w:rsidRPr="00297C20">
        <w:rPr>
          <w:lang w:val="en-GB"/>
        </w:rPr>
        <w:t>s craters</w:t>
      </w:r>
      <w:r w:rsidR="00DC33AA" w:rsidRPr="00297C20">
        <w:rPr>
          <w:lang w:val="en-GB"/>
        </w:rPr>
        <w:t>. The daily maxima of ~5000-</w:t>
      </w:r>
      <w:r w:rsidRPr="00297C20">
        <w:rPr>
          <w:lang w:val="en-GB"/>
        </w:rPr>
        <w:t>7000 tons of SO₂ reported during eruptions closely reflect the magnitude es</w:t>
      </w:r>
      <w:r w:rsidR="00933B72" w:rsidRPr="00297C20">
        <w:rPr>
          <w:lang w:val="en-GB"/>
        </w:rPr>
        <w:t>timated from Sentinel-5P Level-3</w:t>
      </w:r>
      <w:r w:rsidRPr="00297C20">
        <w:rPr>
          <w:lang w:val="en-GB"/>
        </w:rPr>
        <w:t xml:space="preserve"> data, confirming consistency between r</w:t>
      </w:r>
      <w:r w:rsidR="007B08EA" w:rsidRPr="00297C20">
        <w:rPr>
          <w:lang w:val="en-GB"/>
        </w:rPr>
        <w:t>emote and in-situ observations (</w:t>
      </w:r>
      <w:r w:rsidR="00E56E45" w:rsidRPr="00297C20">
        <w:rPr>
          <w:lang w:val="en-GB"/>
        </w:rPr>
        <w:t>Lange et al. 2023</w:t>
      </w:r>
      <w:r w:rsidR="007B08EA" w:rsidRPr="00297C20">
        <w:rPr>
          <w:lang w:val="en-GB"/>
        </w:rPr>
        <w:t>)</w:t>
      </w:r>
      <w:r w:rsidRPr="00297C20">
        <w:rPr>
          <w:lang w:val="en-GB"/>
        </w:rPr>
        <w:t>.</w:t>
      </w:r>
    </w:p>
    <w:p w14:paraId="3D46FD1C" w14:textId="4169A5D2" w:rsidR="00FE11B6" w:rsidRPr="00297C20" w:rsidRDefault="00FE11B6" w:rsidP="008C25D5">
      <w:pPr>
        <w:pStyle w:val="Akapitzlist"/>
        <w:numPr>
          <w:ilvl w:val="0"/>
          <w:numId w:val="19"/>
        </w:numPr>
        <w:ind w:left="284" w:hanging="284"/>
        <w:rPr>
          <w:lang w:val="en-GB"/>
        </w:rPr>
      </w:pPr>
      <w:r w:rsidRPr="00297C20">
        <w:rPr>
          <w:b/>
          <w:lang w:val="en-GB"/>
        </w:rPr>
        <w:t>Land Cover:</w:t>
      </w:r>
      <w:r w:rsidRPr="00297C20">
        <w:rPr>
          <w:lang w:val="en-GB"/>
        </w:rPr>
        <w:t xml:space="preserve"> Confusion matrix validation of the Random Forest classifier showed very high overall accuracy (99.3%) and κ = 0.99, confirming robust separation between vegetation, bare ground, and urban classes. Misclassifications were limited mainly to ash-covered areas intermittently labelled as bare ground or</w:t>
      </w:r>
      <w:r w:rsidR="004F7BC4">
        <w:rPr>
          <w:lang w:val="en-GB"/>
        </w:rPr>
        <w:t> </w:t>
      </w:r>
      <w:r w:rsidRPr="00297C20">
        <w:rPr>
          <w:lang w:val="en-GB"/>
        </w:rPr>
        <w:t>urban.</w:t>
      </w:r>
    </w:p>
    <w:p w14:paraId="6768EA5E" w14:textId="7D1079C4" w:rsidR="00FE11B6" w:rsidRPr="00297C20" w:rsidRDefault="00FE11B6" w:rsidP="008C25D5">
      <w:pPr>
        <w:pStyle w:val="Akapitzlist"/>
        <w:numPr>
          <w:ilvl w:val="0"/>
          <w:numId w:val="19"/>
        </w:numPr>
        <w:ind w:left="284" w:hanging="284"/>
        <w:rPr>
          <w:lang w:val="en-GB"/>
        </w:rPr>
      </w:pPr>
      <w:r w:rsidRPr="00297C20">
        <w:rPr>
          <w:b/>
          <w:lang w:val="en-GB"/>
        </w:rPr>
        <w:t>Limitations:</w:t>
      </w:r>
      <w:r w:rsidRPr="00297C20">
        <w:rPr>
          <w:lang w:val="en-GB"/>
        </w:rPr>
        <w:t xml:space="preserve"> Due to the lack of direct access to raw in-situ datasets (e.g., tiltmeter), only literature-based and qualitative validation could be performed. Future research will aim to integrate GNSS station-level displacement data and SO₂ flux sensor outputs into a joint inversion framework to better calibrate satellite-derived estimates.</w:t>
      </w:r>
    </w:p>
    <w:p w14:paraId="7C1C5467" w14:textId="01DAF20E" w:rsidR="00BF1D38" w:rsidRPr="00297C20" w:rsidRDefault="00BF1D38" w:rsidP="00BF1D38">
      <w:pPr>
        <w:rPr>
          <w:lang w:val="en-GB"/>
        </w:rPr>
      </w:pPr>
      <w:r w:rsidRPr="00297C20">
        <w:rPr>
          <w:lang w:val="en-GB"/>
        </w:rPr>
        <w:t xml:space="preserve">This validation is qualitative in nature, based primarily on literature and indirect comparison. Future work will incorporate synchronous GNSS and </w:t>
      </w:r>
      <w:proofErr w:type="spellStart"/>
      <w:r w:rsidRPr="00297C20">
        <w:rPr>
          <w:lang w:val="en-GB"/>
        </w:rPr>
        <w:t>MultiGas</w:t>
      </w:r>
      <w:proofErr w:type="spellEnd"/>
      <w:r w:rsidRPr="00297C20">
        <w:rPr>
          <w:lang w:val="en-GB"/>
        </w:rPr>
        <w:t xml:space="preserve"> flux measurements to enable quantitative validation of satellite-derived indicators.</w:t>
      </w:r>
    </w:p>
    <w:p w14:paraId="4C796D0D" w14:textId="77777777" w:rsidR="00C0039F" w:rsidRDefault="00C0039F">
      <w:pPr>
        <w:spacing w:after="160" w:line="259" w:lineRule="auto"/>
        <w:ind w:firstLine="0"/>
        <w:jc w:val="left"/>
        <w:rPr>
          <w:b/>
          <w:lang w:val="en-GB"/>
        </w:rPr>
      </w:pPr>
      <w:r>
        <w:rPr>
          <w:lang w:val="en-GB"/>
        </w:rPr>
        <w:br w:type="page"/>
      </w:r>
    </w:p>
    <w:p w14:paraId="15EDFF9D" w14:textId="1ABC7FA4" w:rsidR="00FE11B6" w:rsidRPr="00297C20" w:rsidRDefault="00FE11B6" w:rsidP="00FE11B6">
      <w:pPr>
        <w:pStyle w:val="Rn2"/>
        <w:rPr>
          <w:lang w:val="en-GB"/>
        </w:rPr>
      </w:pPr>
      <w:r w:rsidRPr="00297C20">
        <w:rPr>
          <w:lang w:val="en-GB"/>
        </w:rPr>
        <w:lastRenderedPageBreak/>
        <w:t>2.5. Ground Deformation (InSAR)</w:t>
      </w:r>
    </w:p>
    <w:p w14:paraId="0D366340" w14:textId="342FE350" w:rsidR="00FE11B6" w:rsidRPr="00297C20" w:rsidRDefault="00FE11B6" w:rsidP="00FE11B6">
      <w:pPr>
        <w:rPr>
          <w:lang w:val="en-GB"/>
        </w:rPr>
      </w:pPr>
      <w:r w:rsidRPr="00297C20">
        <w:rPr>
          <w:lang w:val="en-GB"/>
        </w:rPr>
        <w:t>Deformation was retrieved from Sentinel-1 IW SLC data using a Small Baseline Subset (SBAS) time-series approach in SNAP/</w:t>
      </w:r>
      <w:proofErr w:type="spellStart"/>
      <w:r w:rsidRPr="00297C20">
        <w:rPr>
          <w:lang w:val="en-GB"/>
        </w:rPr>
        <w:t>StaMPS</w:t>
      </w:r>
      <w:proofErr w:type="spellEnd"/>
      <w:r w:rsidRPr="00297C20">
        <w:rPr>
          <w:lang w:val="en-GB"/>
        </w:rPr>
        <w:t>.</w:t>
      </w:r>
    </w:p>
    <w:p w14:paraId="2BF68A13" w14:textId="77777777" w:rsidR="00FE11B6" w:rsidRPr="00297C20" w:rsidRDefault="00FE11B6" w:rsidP="008C25D5">
      <w:pPr>
        <w:pStyle w:val="Akapitzlist"/>
        <w:numPr>
          <w:ilvl w:val="0"/>
          <w:numId w:val="20"/>
        </w:numPr>
        <w:ind w:left="284" w:hanging="284"/>
        <w:rPr>
          <w:lang w:val="en-GB"/>
        </w:rPr>
      </w:pPr>
      <w:r w:rsidRPr="00297C20">
        <w:rPr>
          <w:b/>
          <w:lang w:val="en-GB"/>
        </w:rPr>
        <w:t>Phase unwrapping and coherence:</w:t>
      </w:r>
      <w:r w:rsidRPr="00297C20">
        <w:rPr>
          <w:lang w:val="en-GB"/>
        </w:rPr>
        <w:t xml:space="preserve"> Interferograms were unwrapped using SNAPHU, with coherence masks (&gt;0.4) applied to reduce noise.</w:t>
      </w:r>
    </w:p>
    <w:p w14:paraId="2C1BC469" w14:textId="77777777" w:rsidR="00FE11B6" w:rsidRPr="00297C20" w:rsidRDefault="00FE11B6" w:rsidP="008C25D5">
      <w:pPr>
        <w:pStyle w:val="Akapitzlist"/>
        <w:numPr>
          <w:ilvl w:val="0"/>
          <w:numId w:val="20"/>
        </w:numPr>
        <w:ind w:left="284" w:hanging="284"/>
        <w:rPr>
          <w:lang w:val="en-GB"/>
        </w:rPr>
      </w:pPr>
      <w:r w:rsidRPr="00297C20">
        <w:rPr>
          <w:b/>
          <w:lang w:val="en-GB"/>
        </w:rPr>
        <w:t>Atmospheric correction:</w:t>
      </w:r>
      <w:r w:rsidRPr="00297C20">
        <w:rPr>
          <w:lang w:val="en-GB"/>
        </w:rPr>
        <w:t xml:space="preserve"> ERA5/GACOS products were used to mitigate tropospheric delay.</w:t>
      </w:r>
    </w:p>
    <w:p w14:paraId="404AAAE3" w14:textId="77777777" w:rsidR="00FE11B6" w:rsidRPr="00297C20" w:rsidRDefault="00FE11B6" w:rsidP="008C25D5">
      <w:pPr>
        <w:pStyle w:val="Akapitzlist"/>
        <w:numPr>
          <w:ilvl w:val="0"/>
          <w:numId w:val="20"/>
        </w:numPr>
        <w:ind w:left="284" w:hanging="284"/>
        <w:rPr>
          <w:lang w:val="en-GB"/>
        </w:rPr>
      </w:pPr>
      <w:r w:rsidRPr="00297C20">
        <w:rPr>
          <w:b/>
          <w:lang w:val="en-GB"/>
        </w:rPr>
        <w:t>Motion decomposition:</w:t>
      </w:r>
      <w:r w:rsidRPr="00297C20">
        <w:rPr>
          <w:lang w:val="en-GB"/>
        </w:rPr>
        <w:t xml:space="preserve"> Ascending and descending geometries were combined with GNSS station data to separate vertical and horizontal displacement.</w:t>
      </w:r>
    </w:p>
    <w:p w14:paraId="1CDC5159" w14:textId="276DE97F" w:rsidR="001C79C4" w:rsidRPr="00297C20" w:rsidRDefault="00FE11B6" w:rsidP="008C25D5">
      <w:pPr>
        <w:pStyle w:val="Akapitzlist"/>
        <w:numPr>
          <w:ilvl w:val="0"/>
          <w:numId w:val="20"/>
        </w:numPr>
        <w:ind w:left="284" w:hanging="284"/>
        <w:rPr>
          <w:lang w:val="en-GB"/>
        </w:rPr>
      </w:pPr>
      <w:r w:rsidRPr="00297C20">
        <w:rPr>
          <w:b/>
          <w:lang w:val="en-GB"/>
        </w:rPr>
        <w:t>Uncertainty:</w:t>
      </w:r>
      <w:r w:rsidR="00DC33AA" w:rsidRPr="00297C20">
        <w:rPr>
          <w:lang w:val="en-GB"/>
        </w:rPr>
        <w:t xml:space="preserve"> Confidence intervals (~±2-</w:t>
      </w:r>
      <w:r w:rsidRPr="00297C20">
        <w:rPr>
          <w:lang w:val="en-GB"/>
        </w:rPr>
        <w:t>3 cm) were derived from the covariance of the SBAS time series.</w:t>
      </w:r>
    </w:p>
    <w:p w14:paraId="15680B3D" w14:textId="4CAEDDA9" w:rsidR="001C79C4" w:rsidRPr="00297C20" w:rsidRDefault="00256550" w:rsidP="00256550">
      <w:pPr>
        <w:rPr>
          <w:lang w:val="en-GB"/>
        </w:rPr>
      </w:pPr>
      <w:r w:rsidRPr="00297C20">
        <w:rPr>
          <w:lang w:val="en-GB"/>
        </w:rPr>
        <w:t>Results showed summit-centred uplift of ~2.5 cm in July and ~3 cm in August 2024, consistent with magmatic pressurisation. Panels (d, f) in Figure 6 show unwrapped interferograms used in the displacement retrieval, with residual unwrapping errors noted along steep flanks but not affecting summit signals.</w:t>
      </w:r>
      <w:r w:rsidR="00933B72" w:rsidRPr="00297C20">
        <w:rPr>
          <w:lang w:val="en-GB"/>
        </w:rPr>
        <w:t xml:space="preserve"> Given that the estimated uplift (2.5</w:t>
      </w:r>
      <w:r w:rsidR="008E1993">
        <w:rPr>
          <w:lang w:val="en-GB"/>
        </w:rPr>
        <w:t>-</w:t>
      </w:r>
      <w:r w:rsidR="00933B72" w:rsidRPr="00297C20">
        <w:rPr>
          <w:lang w:val="en-GB"/>
        </w:rPr>
        <w:t>3</w:t>
      </w:r>
      <w:r w:rsidR="008E1993">
        <w:rPr>
          <w:lang w:val="en-GB"/>
        </w:rPr>
        <w:t>.0</w:t>
      </w:r>
      <w:r w:rsidR="00933B72" w:rsidRPr="00297C20">
        <w:rPr>
          <w:lang w:val="en-GB"/>
        </w:rPr>
        <w:t xml:space="preserve"> cm) is comparable to the average uncertainty (±2</w:t>
      </w:r>
      <w:r w:rsidR="008E1993">
        <w:rPr>
          <w:lang w:val="en-GB"/>
        </w:rPr>
        <w:t>-</w:t>
      </w:r>
      <w:r w:rsidR="00933B72" w:rsidRPr="00297C20">
        <w:rPr>
          <w:lang w:val="en-GB"/>
        </w:rPr>
        <w:t>3 cm), interpretations were restricted to displacement magnitudes exceeding twice the standard deviation.</w:t>
      </w:r>
    </w:p>
    <w:p w14:paraId="49AD97A7" w14:textId="07CCF5ED" w:rsidR="005F6E12" w:rsidRPr="00297C20" w:rsidRDefault="005F6E12" w:rsidP="005F6E12">
      <w:pPr>
        <w:pStyle w:val="Rn2"/>
        <w:rPr>
          <w:lang w:val="en-GB"/>
        </w:rPr>
      </w:pPr>
      <w:r w:rsidRPr="00297C20">
        <w:rPr>
          <w:lang w:val="en-GB"/>
        </w:rPr>
        <w:t>2.6. Summary of Pre- and Post-Eruption Indicators</w:t>
      </w:r>
    </w:p>
    <w:p w14:paraId="75EF8A2C" w14:textId="60A6B5A5" w:rsidR="005F6E12" w:rsidRPr="00297C20" w:rsidRDefault="005F6E12" w:rsidP="00317BF6">
      <w:pPr>
        <w:rPr>
          <w:lang w:val="en-GB"/>
        </w:rPr>
      </w:pPr>
      <w:r w:rsidRPr="00297C20">
        <w:rPr>
          <w:lang w:val="en-GB"/>
        </w:rPr>
        <w:t>The integrated multi-sensor design captured consistent anomalies across datasets during the July and August 2024 eruptions of Etna:</w:t>
      </w:r>
    </w:p>
    <w:p w14:paraId="1043DF3C" w14:textId="6B7A7E8C" w:rsidR="005F6E12" w:rsidRPr="00297C20" w:rsidRDefault="005F6E12" w:rsidP="008C25D5">
      <w:pPr>
        <w:pStyle w:val="Tyturysunku"/>
        <w:numPr>
          <w:ilvl w:val="0"/>
          <w:numId w:val="21"/>
        </w:numPr>
        <w:spacing w:after="0"/>
        <w:ind w:left="284" w:hanging="284"/>
        <w:jc w:val="both"/>
        <w:rPr>
          <w:sz w:val="22"/>
          <w:lang w:val="en-GB"/>
        </w:rPr>
      </w:pPr>
      <w:r w:rsidRPr="00297C20">
        <w:rPr>
          <w:b/>
          <w:sz w:val="22"/>
          <w:lang w:val="en-GB"/>
        </w:rPr>
        <w:t>Vegetation:</w:t>
      </w:r>
      <w:r w:rsidRPr="00297C20">
        <w:rPr>
          <w:sz w:val="22"/>
          <w:lang w:val="en-GB"/>
        </w:rPr>
        <w:t xml:space="preserve"> </w:t>
      </w:r>
      <w:r w:rsidR="00DC33AA" w:rsidRPr="00297C20">
        <w:rPr>
          <w:sz w:val="22"/>
          <w:lang w:val="en-GB"/>
        </w:rPr>
        <w:t>NDVI and EVI declined by up to -</w:t>
      </w:r>
      <w:r w:rsidRPr="00297C20">
        <w:rPr>
          <w:sz w:val="22"/>
          <w:lang w:val="en-GB"/>
        </w:rPr>
        <w:t xml:space="preserve">1.5 z-scores before and during </w:t>
      </w:r>
      <w:r w:rsidR="0042740C">
        <w:rPr>
          <w:sz w:val="22"/>
          <w:lang w:val="en-GB"/>
        </w:rPr>
        <w:t xml:space="preserve">the </w:t>
      </w:r>
      <w:r w:rsidRPr="00297C20">
        <w:rPr>
          <w:sz w:val="22"/>
          <w:lang w:val="en-GB"/>
        </w:rPr>
        <w:t>eruption, while NBR and NDMI confirmed persistent stress linked to ash deposition and moisture loss.</w:t>
      </w:r>
    </w:p>
    <w:p w14:paraId="16D7BA1F" w14:textId="77777777" w:rsidR="005F6E12" w:rsidRPr="00297C20" w:rsidRDefault="005F6E12" w:rsidP="008C25D5">
      <w:pPr>
        <w:pStyle w:val="Tyturysunku"/>
        <w:numPr>
          <w:ilvl w:val="0"/>
          <w:numId w:val="21"/>
        </w:numPr>
        <w:spacing w:after="0"/>
        <w:ind w:left="284" w:hanging="284"/>
        <w:jc w:val="both"/>
        <w:rPr>
          <w:sz w:val="22"/>
          <w:lang w:val="en-GB"/>
        </w:rPr>
      </w:pPr>
      <w:r w:rsidRPr="00297C20">
        <w:rPr>
          <w:b/>
          <w:sz w:val="22"/>
          <w:lang w:val="en-GB"/>
        </w:rPr>
        <w:t>Gas emissions:</w:t>
      </w:r>
      <w:r w:rsidRPr="00297C20">
        <w:rPr>
          <w:sz w:val="22"/>
          <w:lang w:val="en-GB"/>
        </w:rPr>
        <w:t xml:space="preserve"> SO₂ increased sharply (ΔSO₂ up to 0.0021 mol m⁻²), with CO showing moderate concurrent increases and NO₂ remaining at baseline after anthropogenic masking.</w:t>
      </w:r>
    </w:p>
    <w:p w14:paraId="6D0BE903" w14:textId="2E5A0DE5" w:rsidR="005F6E12" w:rsidRPr="00297C20" w:rsidRDefault="005F6E12" w:rsidP="008C25D5">
      <w:pPr>
        <w:pStyle w:val="Tyturysunku"/>
        <w:numPr>
          <w:ilvl w:val="0"/>
          <w:numId w:val="21"/>
        </w:numPr>
        <w:spacing w:after="0"/>
        <w:ind w:left="284" w:hanging="284"/>
        <w:jc w:val="both"/>
        <w:rPr>
          <w:sz w:val="22"/>
          <w:lang w:val="en-GB"/>
        </w:rPr>
      </w:pPr>
      <w:r w:rsidRPr="00297C20">
        <w:rPr>
          <w:b/>
          <w:sz w:val="22"/>
          <w:lang w:val="en-GB"/>
        </w:rPr>
        <w:t>Land cover:</w:t>
      </w:r>
      <w:r w:rsidRPr="00297C20">
        <w:rPr>
          <w:sz w:val="22"/>
          <w:lang w:val="en-GB"/>
        </w:rPr>
        <w:t xml:space="preserve"> Classification confirmed vegetation-to-bare ground transitions after both eruptions, with minor misclassifications affecting the </w:t>
      </w:r>
      <w:r w:rsidR="0042740C">
        <w:rPr>
          <w:sz w:val="22"/>
          <w:lang w:val="en-GB"/>
        </w:rPr>
        <w:t>"</w:t>
      </w:r>
      <w:r w:rsidRPr="00297C20">
        <w:rPr>
          <w:sz w:val="22"/>
          <w:lang w:val="en-GB"/>
        </w:rPr>
        <w:t>urban</w:t>
      </w:r>
      <w:r w:rsidR="0042740C">
        <w:rPr>
          <w:sz w:val="22"/>
          <w:lang w:val="en-GB"/>
        </w:rPr>
        <w:t>"</w:t>
      </w:r>
      <w:r w:rsidRPr="00297C20">
        <w:rPr>
          <w:sz w:val="22"/>
          <w:lang w:val="en-GB"/>
        </w:rPr>
        <w:t xml:space="preserve"> class.</w:t>
      </w:r>
    </w:p>
    <w:p w14:paraId="1BD0B0CF" w14:textId="3A5B3047" w:rsidR="0071064A" w:rsidRPr="00297C20" w:rsidRDefault="005F6E12" w:rsidP="008C25D5">
      <w:pPr>
        <w:pStyle w:val="Tyturysunku"/>
        <w:numPr>
          <w:ilvl w:val="0"/>
          <w:numId w:val="21"/>
        </w:numPr>
        <w:spacing w:after="0"/>
        <w:ind w:left="284" w:hanging="284"/>
        <w:jc w:val="both"/>
        <w:rPr>
          <w:lang w:val="en-GB"/>
        </w:rPr>
      </w:pPr>
      <w:r w:rsidRPr="00297C20">
        <w:rPr>
          <w:b/>
          <w:sz w:val="22"/>
          <w:lang w:val="en-GB"/>
        </w:rPr>
        <w:t>Deformation:</w:t>
      </w:r>
      <w:r w:rsidRPr="00297C20">
        <w:rPr>
          <w:sz w:val="22"/>
          <w:lang w:val="en-GB"/>
        </w:rPr>
        <w:t xml:space="preserve"> SBAS InSA</w:t>
      </w:r>
      <w:r w:rsidR="00DC33AA" w:rsidRPr="00297C20">
        <w:rPr>
          <w:sz w:val="22"/>
          <w:lang w:val="en-GB"/>
        </w:rPr>
        <w:t>R revealed summit uplift of 2.5-</w:t>
      </w:r>
      <w:r w:rsidRPr="00297C20">
        <w:rPr>
          <w:sz w:val="22"/>
          <w:lang w:val="en-GB"/>
        </w:rPr>
        <w:t xml:space="preserve">3 cm </w:t>
      </w:r>
      <w:r w:rsidR="0042740C">
        <w:rPr>
          <w:sz w:val="22"/>
          <w:lang w:val="en-GB"/>
        </w:rPr>
        <w:t>before</w:t>
      </w:r>
      <w:r w:rsidRPr="00297C20">
        <w:rPr>
          <w:sz w:val="22"/>
          <w:lang w:val="en-GB"/>
        </w:rPr>
        <w:t xml:space="preserve"> eruption onset, followed by subsidence.</w:t>
      </w:r>
    </w:p>
    <w:p w14:paraId="03704844" w14:textId="5555BF1D" w:rsidR="005F6E12" w:rsidRPr="00297C20" w:rsidRDefault="005F6E12" w:rsidP="00317BF6">
      <w:pPr>
        <w:rPr>
          <w:lang w:val="en-GB"/>
        </w:rPr>
      </w:pPr>
      <w:r w:rsidRPr="00297C20">
        <w:rPr>
          <w:lang w:val="en-GB"/>
        </w:rPr>
        <w:t>Taken together, these indicators reveal a reproducible sequence: SO₂ and deformation anomalies precede vegetation declines, with land cover confirming subsequent surfa</w:t>
      </w:r>
      <w:r w:rsidR="007B08EA" w:rsidRPr="00297C20">
        <w:rPr>
          <w:lang w:val="en-GB"/>
        </w:rPr>
        <w:t>ce transformation (</w:t>
      </w:r>
      <w:r w:rsidR="00216736" w:rsidRPr="00297C20">
        <w:rPr>
          <w:lang w:val="en-GB"/>
        </w:rPr>
        <w:t>Theys et al. 2019</w:t>
      </w:r>
      <w:r w:rsidR="007B08EA" w:rsidRPr="00297C20">
        <w:rPr>
          <w:lang w:val="en-GB"/>
        </w:rPr>
        <w:t>)</w:t>
      </w:r>
      <w:r w:rsidRPr="00297C20">
        <w:rPr>
          <w:lang w:val="en-GB"/>
        </w:rPr>
        <w:t>.</w:t>
      </w:r>
    </w:p>
    <w:p w14:paraId="7800AA59" w14:textId="04679E97" w:rsidR="002E0231" w:rsidRPr="00297C20" w:rsidRDefault="002E0231" w:rsidP="00E4533F">
      <w:pPr>
        <w:pStyle w:val="Rn1"/>
        <w:rPr>
          <w:lang w:val="en-GB"/>
        </w:rPr>
      </w:pPr>
      <w:r w:rsidRPr="00297C20">
        <w:rPr>
          <w:lang w:val="en-GB"/>
        </w:rPr>
        <w:t xml:space="preserve">3. </w:t>
      </w:r>
      <w:r w:rsidR="005F6E12" w:rsidRPr="00297C20">
        <w:rPr>
          <w:lang w:val="en-GB"/>
        </w:rPr>
        <w:t>Result</w:t>
      </w:r>
    </w:p>
    <w:p w14:paraId="163BAB59" w14:textId="559197EC" w:rsidR="005F6E12" w:rsidRPr="00297C20" w:rsidRDefault="005F6E12" w:rsidP="00317BF6">
      <w:pPr>
        <w:rPr>
          <w:lang w:val="en-GB"/>
        </w:rPr>
      </w:pPr>
      <w:r w:rsidRPr="00297C20">
        <w:rPr>
          <w:lang w:val="en-GB"/>
        </w:rPr>
        <w:t xml:space="preserve">This section summarizes the integrated satellite-based observations of the July and August 2024 eruptions of Mount Etna. By focusing on these two well-documented events, we highlight vegetation anomalies, gas emissions, and ground deformation in ±60-day windows </w:t>
      </w:r>
      <w:proofErr w:type="spellStart"/>
      <w:r w:rsidRPr="00297C20">
        <w:rPr>
          <w:lang w:val="en-GB"/>
        </w:rPr>
        <w:t>centered</w:t>
      </w:r>
      <w:proofErr w:type="spellEnd"/>
      <w:r w:rsidRPr="00297C20">
        <w:rPr>
          <w:lang w:val="en-GB"/>
        </w:rPr>
        <w:t xml:space="preserve"> on eruption onset, using climatological baselines and upwind control areas to reduce seasonal and anthropogenic effects.</w:t>
      </w:r>
    </w:p>
    <w:p w14:paraId="4C9421C0" w14:textId="3A1ACD57" w:rsidR="002E0231" w:rsidRPr="00297C20" w:rsidRDefault="002E0231" w:rsidP="00317BF6">
      <w:pPr>
        <w:pStyle w:val="Rn2"/>
        <w:jc w:val="both"/>
        <w:rPr>
          <w:lang w:val="en-GB"/>
        </w:rPr>
      </w:pPr>
      <w:r w:rsidRPr="00297C20">
        <w:rPr>
          <w:lang w:val="en-GB"/>
        </w:rPr>
        <w:t xml:space="preserve">3.1. </w:t>
      </w:r>
      <w:r w:rsidR="005F6E12" w:rsidRPr="00297C20">
        <w:rPr>
          <w:lang w:val="en-GB"/>
        </w:rPr>
        <w:t>Vegetation anomalies July</w:t>
      </w:r>
      <w:r w:rsidR="008E1993">
        <w:rPr>
          <w:lang w:val="en-GB"/>
        </w:rPr>
        <w:t>-</w:t>
      </w:r>
      <w:r w:rsidR="005F6E12" w:rsidRPr="00297C20">
        <w:rPr>
          <w:lang w:val="en-GB"/>
        </w:rPr>
        <w:t>August 2024 (NDVI, EVI, NBR, NDMI)</w:t>
      </w:r>
    </w:p>
    <w:p w14:paraId="6CFBAF2F" w14:textId="2CC8E777" w:rsidR="005F6E12" w:rsidRPr="00297C20" w:rsidRDefault="005F6E12" w:rsidP="00317BF6">
      <w:pPr>
        <w:rPr>
          <w:lang w:val="en-GB"/>
        </w:rPr>
      </w:pPr>
      <w:r w:rsidRPr="00297C20">
        <w:rPr>
          <w:lang w:val="en-GB"/>
        </w:rPr>
        <w:t>Vegetation indices revealed significant anomalies during both events. July 2024 exhibited strong negat</w:t>
      </w:r>
      <w:r w:rsidR="00216736" w:rsidRPr="00297C20">
        <w:rPr>
          <w:lang w:val="en-GB"/>
        </w:rPr>
        <w:t>ive z-score anomalies in NDVI (-1.54) and EVI (-</w:t>
      </w:r>
      <w:r w:rsidRPr="00297C20">
        <w:rPr>
          <w:lang w:val="en-GB"/>
        </w:rPr>
        <w:t xml:space="preserve">1.15), </w:t>
      </w:r>
      <w:r w:rsidRPr="00693FDA">
        <w:rPr>
          <w:spacing w:val="-2"/>
          <w:lang w:val="en-GB"/>
        </w:rPr>
        <w:t>while August 2024 sh</w:t>
      </w:r>
      <w:r w:rsidR="00216736" w:rsidRPr="00693FDA">
        <w:rPr>
          <w:spacing w:val="-2"/>
          <w:lang w:val="en-GB"/>
        </w:rPr>
        <w:t>owed persistent stress in NBR (-</w:t>
      </w:r>
      <w:r w:rsidR="004F7BC4" w:rsidRPr="00693FDA">
        <w:rPr>
          <w:spacing w:val="-2"/>
          <w:lang w:val="en-GB"/>
        </w:rPr>
        <w:t>1</w:t>
      </w:r>
      <w:r w:rsidR="00216736" w:rsidRPr="00693FDA">
        <w:rPr>
          <w:spacing w:val="-2"/>
          <w:lang w:val="en-GB"/>
        </w:rPr>
        <w:t>.19) and NDMI (-</w:t>
      </w:r>
      <w:r w:rsidRPr="00693FDA">
        <w:rPr>
          <w:spacing w:val="-2"/>
          <w:lang w:val="en-GB"/>
        </w:rPr>
        <w:t>1.39).</w:t>
      </w:r>
      <w:r w:rsidRPr="00297C20">
        <w:rPr>
          <w:lang w:val="en-GB"/>
        </w:rPr>
        <w:t xml:space="preserve"> These anomalies (Figure 2-3, Table 2) were </w:t>
      </w:r>
      <w:r w:rsidR="00216736" w:rsidRPr="00297C20">
        <w:rPr>
          <w:lang w:val="en-GB"/>
        </w:rPr>
        <w:t>calculated relative to the 2018-</w:t>
      </w:r>
      <w:r w:rsidRPr="00297C20">
        <w:rPr>
          <w:lang w:val="en-GB"/>
        </w:rPr>
        <w:t>2023 same-month climatology with topographic correction.</w:t>
      </w:r>
    </w:p>
    <w:p w14:paraId="35DFF5C0" w14:textId="4CA57CC5" w:rsidR="00B26811" w:rsidRPr="00297C20" w:rsidRDefault="00B26811" w:rsidP="00B26811">
      <w:pPr>
        <w:rPr>
          <w:lang w:val="en-GB"/>
        </w:rPr>
      </w:pPr>
      <w:r w:rsidRPr="00297C20">
        <w:rPr>
          <w:lang w:val="en-GB"/>
        </w:rPr>
        <w:t>Pre-eruptive NDVI anomalies (Figure 2) show negative departures from the climatological baseline in proximal summit zones of Etna. Z-scores below -1.0 indicate stressed vegetation compared with the 2018-2023 same-month average. These anomalies became more pronounced after the July eruption (see Figure 3), confirming vegetation stress associated with volcanic activity.</w:t>
      </w:r>
    </w:p>
    <w:p w14:paraId="6BE39F9D" w14:textId="77777777" w:rsidR="00B26811" w:rsidRPr="00297C20" w:rsidRDefault="00B26811" w:rsidP="00B26811">
      <w:pPr>
        <w:spacing w:after="240"/>
        <w:rPr>
          <w:lang w:val="en-GB"/>
        </w:rPr>
      </w:pPr>
      <w:r w:rsidRPr="00693FDA">
        <w:rPr>
          <w:spacing w:val="-2"/>
          <w:lang w:val="en-GB"/>
        </w:rPr>
        <w:t>Vegetation anomalies were quantified using four spectral indices (NDVI, EVI, NBR, NDMI).</w:t>
      </w:r>
      <w:r w:rsidRPr="00297C20">
        <w:rPr>
          <w:lang w:val="en-GB"/>
        </w:rPr>
        <w:t xml:space="preserve"> Mean z-scores (Table 2) indicate that July 2024 was characterized by strong negative anomalies in NDVI and EVI, while August showed less pronounced deviations. NBR and NDMI revealed consistent vegetation stress across both periods (Figure 3).</w:t>
      </w:r>
    </w:p>
    <w:p w14:paraId="37F9F8F6" w14:textId="77777777" w:rsidR="00C214C4" w:rsidRPr="00297C20" w:rsidRDefault="00C214C4" w:rsidP="00685A9C">
      <w:pPr>
        <w:rPr>
          <w:lang w:val="en-GB"/>
        </w:rPr>
      </w:pPr>
    </w:p>
    <w:p w14:paraId="69D122CC" w14:textId="410434EA" w:rsidR="00B81D7D" w:rsidRPr="00297C20" w:rsidRDefault="00317BF6" w:rsidP="00297C20">
      <w:pPr>
        <w:pStyle w:val="Rtab"/>
        <w:jc w:val="center"/>
        <w:rPr>
          <w:lang w:val="en-GB"/>
        </w:rPr>
      </w:pPr>
      <w:r w:rsidRPr="00297C20">
        <w:rPr>
          <w:noProof/>
          <w:lang w:val="en-GB" w:eastAsia="en-GB"/>
        </w:rPr>
        <w:lastRenderedPageBreak/>
        <w:drawing>
          <wp:inline distT="0" distB="0" distL="0" distR="0" wp14:anchorId="6143492C" wp14:editId="072DB476">
            <wp:extent cx="3396217" cy="2702388"/>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709" cy="2706758"/>
                    </a:xfrm>
                    <a:prstGeom prst="rect">
                      <a:avLst/>
                    </a:prstGeom>
                    <a:noFill/>
                  </pic:spPr>
                </pic:pic>
              </a:graphicData>
            </a:graphic>
          </wp:inline>
        </w:drawing>
      </w:r>
    </w:p>
    <w:p w14:paraId="44874481" w14:textId="753DD1A7" w:rsidR="00317BF6" w:rsidRPr="00297C20" w:rsidRDefault="00317BF6" w:rsidP="004B72DF">
      <w:pPr>
        <w:pStyle w:val="Rrys"/>
        <w:rPr>
          <w:lang w:val="en-GB"/>
        </w:rPr>
      </w:pPr>
      <w:r w:rsidRPr="00297C20">
        <w:rPr>
          <w:b/>
          <w:lang w:val="en-GB"/>
        </w:rPr>
        <w:t>Fig. 2.</w:t>
      </w:r>
      <w:r w:rsidRPr="00297C20">
        <w:rPr>
          <w:lang w:val="en-GB"/>
        </w:rPr>
        <w:t xml:space="preserve"> NDVI z-score anomalies for the pre-eruptive period of July 2024 at Mount Etna. Anomalies were calculated as </w:t>
      </w:r>
      <w:r w:rsidR="00693FDA">
        <w:rPr>
          <w:lang w:val="en-GB"/>
        </w:rPr>
        <w:br/>
      </w:r>
      <w:r w:rsidRPr="00297C20">
        <w:rPr>
          <w:lang w:val="en-GB"/>
        </w:rPr>
        <w:t>z-scores relative to the 2018</w:t>
      </w:r>
      <w:r w:rsidR="008E1993">
        <w:rPr>
          <w:lang w:val="en-GB"/>
        </w:rPr>
        <w:t>-</w:t>
      </w:r>
      <w:r w:rsidRPr="00297C20">
        <w:rPr>
          <w:lang w:val="en-GB"/>
        </w:rPr>
        <w:t xml:space="preserve">2023 same-month climatology, using Sentinel-2 L2A imagery (10 m resampled to 100 m for display). Topographic illumination was corrected with C-correction, and cloud/snow masking </w:t>
      </w:r>
      <w:r w:rsidR="0042740C">
        <w:rPr>
          <w:lang w:val="en-GB"/>
        </w:rPr>
        <w:t xml:space="preserve">was </w:t>
      </w:r>
      <w:r w:rsidRPr="00297C20">
        <w:rPr>
          <w:lang w:val="en-GB"/>
        </w:rPr>
        <w:t xml:space="preserve">applied using the Scene Classification Layer. Warm </w:t>
      </w:r>
      <w:proofErr w:type="spellStart"/>
      <w:r w:rsidRPr="00297C20">
        <w:rPr>
          <w:lang w:val="en-GB"/>
        </w:rPr>
        <w:t>col</w:t>
      </w:r>
      <w:r w:rsidR="0042740C">
        <w:rPr>
          <w:lang w:val="en-GB"/>
        </w:rPr>
        <w:t>o</w:t>
      </w:r>
      <w:r w:rsidRPr="00297C20">
        <w:rPr>
          <w:lang w:val="en-GB"/>
        </w:rPr>
        <w:t>rs</w:t>
      </w:r>
      <w:proofErr w:type="spellEnd"/>
      <w:r w:rsidRPr="00297C20">
        <w:rPr>
          <w:lang w:val="en-GB"/>
        </w:rPr>
        <w:t xml:space="preserve"> (red/orange) indicate below-average vegetation greenness (stress), while cool colours (green/blue) denote above-average greenness</w:t>
      </w:r>
      <w:r w:rsidR="0042740C">
        <w:rPr>
          <w:lang w:val="en-GB"/>
        </w:rPr>
        <w:t>.</w:t>
      </w:r>
    </w:p>
    <w:p w14:paraId="1CA35518" w14:textId="77777777" w:rsidR="00297C20" w:rsidRPr="00297C20" w:rsidRDefault="00297C20" w:rsidP="00297C20">
      <w:pPr>
        <w:rPr>
          <w:lang w:val="en-GB"/>
        </w:rPr>
      </w:pPr>
    </w:p>
    <w:p w14:paraId="2EF5BF2B" w14:textId="77777777" w:rsidR="00EF326B" w:rsidRPr="00297C20" w:rsidRDefault="00EF326B" w:rsidP="00EF326B">
      <w:pPr>
        <w:spacing w:line="259" w:lineRule="auto"/>
        <w:ind w:firstLine="0"/>
        <w:jc w:val="center"/>
        <w:rPr>
          <w:b/>
          <w:bCs/>
          <w:lang w:val="en-GB"/>
        </w:rPr>
      </w:pPr>
      <w:r w:rsidRPr="00297C20">
        <w:rPr>
          <w:b/>
          <w:bCs/>
          <w:noProof/>
          <w:lang w:val="en-GB" w:eastAsia="en-GB"/>
        </w:rPr>
        <w:drawing>
          <wp:inline distT="0" distB="0" distL="0" distR="0" wp14:anchorId="09EEFD47" wp14:editId="53C8C07A">
            <wp:extent cx="3887415" cy="214269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5777" cy="2163844"/>
                    </a:xfrm>
                    <a:prstGeom prst="rect">
                      <a:avLst/>
                    </a:prstGeom>
                    <a:noFill/>
                  </pic:spPr>
                </pic:pic>
              </a:graphicData>
            </a:graphic>
          </wp:inline>
        </w:drawing>
      </w:r>
    </w:p>
    <w:p w14:paraId="13C0A2D8" w14:textId="6C9AE9A9" w:rsidR="00EF326B" w:rsidRPr="00297C20" w:rsidRDefault="00EF326B" w:rsidP="004B72DF">
      <w:pPr>
        <w:pStyle w:val="Rrys"/>
        <w:rPr>
          <w:lang w:val="en-GB"/>
        </w:rPr>
      </w:pPr>
      <w:r w:rsidRPr="00297C20">
        <w:rPr>
          <w:b/>
          <w:lang w:val="en-GB"/>
        </w:rPr>
        <w:t>Fig. 3.</w:t>
      </w:r>
      <w:r w:rsidRPr="00297C20">
        <w:rPr>
          <w:lang w:val="en-GB"/>
        </w:rPr>
        <w:t xml:space="preserve"> Vegetation index anomalies (z-scores) during July and August 2024 at Mt. Etna. Z-scores were computed relative to </w:t>
      </w:r>
      <w:r w:rsidR="0042740C">
        <w:rPr>
          <w:lang w:val="en-GB"/>
        </w:rPr>
        <w:t xml:space="preserve">the </w:t>
      </w:r>
      <w:r w:rsidRPr="00297C20">
        <w:rPr>
          <w:lang w:val="en-GB"/>
        </w:rPr>
        <w:t>2018</w:t>
      </w:r>
      <w:r w:rsidR="008E1993">
        <w:rPr>
          <w:lang w:val="en-GB"/>
        </w:rPr>
        <w:t>-</w:t>
      </w:r>
      <w:r w:rsidRPr="00297C20">
        <w:rPr>
          <w:lang w:val="en-GB"/>
        </w:rPr>
        <w:t xml:space="preserve">2023 climatology. NDVI and EVI show moderate </w:t>
      </w:r>
      <w:r w:rsidRPr="0042740C">
        <w:rPr>
          <w:lang w:val="en-GB"/>
        </w:rPr>
        <w:t>negative</w:t>
      </w:r>
      <w:r w:rsidRPr="00297C20">
        <w:rPr>
          <w:lang w:val="en-GB"/>
        </w:rPr>
        <w:t xml:space="preserve"> anomalies (</w:t>
      </w:r>
      <w:r w:rsidR="008E1993">
        <w:rPr>
          <w:lang w:val="en-GB"/>
        </w:rPr>
        <w:t>-</w:t>
      </w:r>
      <w:r w:rsidRPr="00297C20">
        <w:rPr>
          <w:lang w:val="en-GB"/>
        </w:rPr>
        <w:t xml:space="preserve">1.08 and </w:t>
      </w:r>
      <w:r w:rsidR="008E1993">
        <w:rPr>
          <w:lang w:val="en-GB"/>
        </w:rPr>
        <w:t>-</w:t>
      </w:r>
      <w:r w:rsidRPr="00297C20">
        <w:rPr>
          <w:lang w:val="en-GB"/>
        </w:rPr>
        <w:t>1.10), while NBR (</w:t>
      </w:r>
      <w:r w:rsidR="008E1993">
        <w:rPr>
          <w:lang w:val="en-GB"/>
        </w:rPr>
        <w:t>-</w:t>
      </w:r>
      <w:r w:rsidRPr="00297C20">
        <w:rPr>
          <w:lang w:val="en-GB"/>
        </w:rPr>
        <w:t>1.19) and NDMI (</w:t>
      </w:r>
      <w:r w:rsidR="008E1993">
        <w:rPr>
          <w:lang w:val="en-GB"/>
        </w:rPr>
        <w:t>-</w:t>
      </w:r>
      <w:r w:rsidRPr="00297C20">
        <w:rPr>
          <w:lang w:val="en-GB"/>
        </w:rPr>
        <w:t>1.39) indicate persistent vegetation stress</w:t>
      </w:r>
    </w:p>
    <w:p w14:paraId="63808BA9" w14:textId="77777777" w:rsidR="00297C20" w:rsidRPr="00297C20" w:rsidRDefault="00297C20" w:rsidP="00297C20">
      <w:pPr>
        <w:pStyle w:val="Rtab"/>
        <w:spacing w:after="0"/>
        <w:ind w:firstLine="284"/>
        <w:rPr>
          <w:sz w:val="22"/>
          <w:szCs w:val="24"/>
          <w:lang w:val="en-GB"/>
        </w:rPr>
      </w:pPr>
    </w:p>
    <w:p w14:paraId="50D1F416" w14:textId="190C42E8" w:rsidR="00EF326B" w:rsidRPr="00297C20" w:rsidRDefault="00EF326B" w:rsidP="00D618EF">
      <w:pPr>
        <w:pStyle w:val="Rtab"/>
        <w:rPr>
          <w:lang w:val="en-GB"/>
        </w:rPr>
      </w:pPr>
      <w:r w:rsidRPr="00297C20">
        <w:rPr>
          <w:b/>
          <w:bCs/>
          <w:lang w:val="en-GB"/>
        </w:rPr>
        <w:t>Table 2.</w:t>
      </w:r>
      <w:r w:rsidRPr="00297C20">
        <w:rPr>
          <w:lang w:val="en-GB"/>
        </w:rPr>
        <w:t xml:space="preserve"> Average z-scores of vegetation indices (NDVI, EVI, NBR, NDMI) in July and August 2024 at Mt. Etna, relative to the 2018</w:t>
      </w:r>
      <w:r w:rsidR="008E1993">
        <w:rPr>
          <w:lang w:val="en-GB"/>
        </w:rPr>
        <w:t>-</w:t>
      </w:r>
      <w:r w:rsidRPr="00297C20">
        <w:rPr>
          <w:lang w:val="en-GB"/>
        </w:rPr>
        <w:t>2023 climatology</w:t>
      </w:r>
    </w:p>
    <w:tbl>
      <w:tblPr>
        <w:tblW w:w="7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9"/>
        <w:gridCol w:w="2339"/>
        <w:gridCol w:w="2339"/>
      </w:tblGrid>
      <w:tr w:rsidR="00EF326B" w:rsidRPr="00297C20" w14:paraId="022F123F" w14:textId="77777777" w:rsidTr="00297C20">
        <w:trPr>
          <w:trHeight w:val="454"/>
        </w:trPr>
        <w:tc>
          <w:tcPr>
            <w:tcW w:w="2339" w:type="dxa"/>
            <w:vAlign w:val="center"/>
          </w:tcPr>
          <w:p w14:paraId="5C3FC488"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Index</w:t>
            </w:r>
          </w:p>
        </w:tc>
        <w:tc>
          <w:tcPr>
            <w:tcW w:w="2339" w:type="dxa"/>
            <w:vAlign w:val="center"/>
          </w:tcPr>
          <w:p w14:paraId="15636B34"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July 2024 (z-scores)</w:t>
            </w:r>
          </w:p>
        </w:tc>
        <w:tc>
          <w:tcPr>
            <w:tcW w:w="2339" w:type="dxa"/>
            <w:vAlign w:val="center"/>
            <w:hideMark/>
          </w:tcPr>
          <w:p w14:paraId="22145C8B"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August 2024 (z-scores)</w:t>
            </w:r>
          </w:p>
        </w:tc>
      </w:tr>
      <w:tr w:rsidR="00EF326B" w:rsidRPr="00297C20" w14:paraId="19B9055B" w14:textId="77777777" w:rsidTr="00297C20">
        <w:trPr>
          <w:trHeight w:val="340"/>
        </w:trPr>
        <w:tc>
          <w:tcPr>
            <w:tcW w:w="2339" w:type="dxa"/>
            <w:vAlign w:val="center"/>
            <w:hideMark/>
          </w:tcPr>
          <w:p w14:paraId="62DBB4E1"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NDVI</w:t>
            </w:r>
          </w:p>
        </w:tc>
        <w:tc>
          <w:tcPr>
            <w:tcW w:w="2339" w:type="dxa"/>
            <w:vAlign w:val="center"/>
            <w:hideMark/>
          </w:tcPr>
          <w:p w14:paraId="21B70C36"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-1.5362</w:t>
            </w:r>
          </w:p>
        </w:tc>
        <w:tc>
          <w:tcPr>
            <w:tcW w:w="2339" w:type="dxa"/>
            <w:vAlign w:val="center"/>
          </w:tcPr>
          <w:p w14:paraId="065C3063"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-1.0799</w:t>
            </w:r>
          </w:p>
        </w:tc>
      </w:tr>
      <w:tr w:rsidR="00EF326B" w:rsidRPr="00297C20" w14:paraId="293A2EA0" w14:textId="77777777" w:rsidTr="00297C20">
        <w:trPr>
          <w:trHeight w:val="340"/>
        </w:trPr>
        <w:tc>
          <w:tcPr>
            <w:tcW w:w="2339" w:type="dxa"/>
            <w:vAlign w:val="center"/>
            <w:hideMark/>
          </w:tcPr>
          <w:p w14:paraId="6A0F4128"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EVI</w:t>
            </w:r>
          </w:p>
        </w:tc>
        <w:tc>
          <w:tcPr>
            <w:tcW w:w="2339" w:type="dxa"/>
            <w:vAlign w:val="center"/>
          </w:tcPr>
          <w:p w14:paraId="66439836"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-1.1455</w:t>
            </w:r>
          </w:p>
        </w:tc>
        <w:tc>
          <w:tcPr>
            <w:tcW w:w="2339" w:type="dxa"/>
            <w:vAlign w:val="center"/>
          </w:tcPr>
          <w:p w14:paraId="4A33330C"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-1.0975</w:t>
            </w:r>
          </w:p>
        </w:tc>
      </w:tr>
      <w:tr w:rsidR="00EF326B" w:rsidRPr="00297C20" w14:paraId="36D2B659" w14:textId="77777777" w:rsidTr="00297C20">
        <w:trPr>
          <w:trHeight w:val="340"/>
        </w:trPr>
        <w:tc>
          <w:tcPr>
            <w:tcW w:w="2339" w:type="dxa"/>
            <w:vAlign w:val="center"/>
          </w:tcPr>
          <w:p w14:paraId="381B6CBE"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NBR</w:t>
            </w:r>
          </w:p>
        </w:tc>
        <w:tc>
          <w:tcPr>
            <w:tcW w:w="2339" w:type="dxa"/>
            <w:vAlign w:val="center"/>
          </w:tcPr>
          <w:p w14:paraId="0F278CD8"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-0.8023</w:t>
            </w:r>
          </w:p>
        </w:tc>
        <w:tc>
          <w:tcPr>
            <w:tcW w:w="2339" w:type="dxa"/>
            <w:vAlign w:val="center"/>
          </w:tcPr>
          <w:p w14:paraId="7B52E972"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-1.1895</w:t>
            </w:r>
          </w:p>
        </w:tc>
      </w:tr>
      <w:tr w:rsidR="00EF326B" w:rsidRPr="00297C20" w14:paraId="2AFCE810" w14:textId="77777777" w:rsidTr="00297C20">
        <w:trPr>
          <w:trHeight w:val="340"/>
        </w:trPr>
        <w:tc>
          <w:tcPr>
            <w:tcW w:w="2339" w:type="dxa"/>
            <w:vAlign w:val="center"/>
            <w:hideMark/>
          </w:tcPr>
          <w:p w14:paraId="4CAA3897"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NDMI</w:t>
            </w:r>
          </w:p>
        </w:tc>
        <w:tc>
          <w:tcPr>
            <w:tcW w:w="2339" w:type="dxa"/>
            <w:vAlign w:val="center"/>
          </w:tcPr>
          <w:p w14:paraId="3949E4E7"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-0.7845</w:t>
            </w:r>
          </w:p>
        </w:tc>
        <w:tc>
          <w:tcPr>
            <w:tcW w:w="2339" w:type="dxa"/>
            <w:vAlign w:val="center"/>
          </w:tcPr>
          <w:p w14:paraId="62DF48E8" w14:textId="77777777" w:rsidR="00EF326B" w:rsidRPr="00192B72" w:rsidRDefault="00EF326B" w:rsidP="00EF326B">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-1.3901</w:t>
            </w:r>
          </w:p>
        </w:tc>
      </w:tr>
    </w:tbl>
    <w:p w14:paraId="7D3389D1" w14:textId="11495EF4" w:rsidR="0015494A" w:rsidRPr="00297C20" w:rsidRDefault="0015494A" w:rsidP="0015494A">
      <w:pPr>
        <w:spacing w:before="240" w:after="240"/>
        <w:rPr>
          <w:lang w:val="en-GB"/>
        </w:rPr>
      </w:pPr>
      <w:r w:rsidRPr="00297C20">
        <w:rPr>
          <w:lang w:val="en-GB"/>
        </w:rPr>
        <w:t>In terms of Land Cover, the confusion matrix (Table 3) indicated very high classification performance (overall accuracy = 0.993, κ = 0.99). Misclassifications were minimal and occurred mainly between bare ground and vegetation classes (Table 4-5).</w:t>
      </w:r>
    </w:p>
    <w:p w14:paraId="3C736152" w14:textId="77777777" w:rsidR="00C22E62" w:rsidRDefault="00C22E62">
      <w:pPr>
        <w:spacing w:after="160" w:line="259" w:lineRule="auto"/>
        <w:ind w:firstLine="0"/>
        <w:jc w:val="left"/>
        <w:rPr>
          <w:b/>
          <w:bCs/>
          <w:sz w:val="20"/>
          <w:lang w:val="en-GB"/>
        </w:rPr>
      </w:pPr>
      <w:r>
        <w:rPr>
          <w:b/>
          <w:bCs/>
          <w:lang w:val="en-GB"/>
        </w:rPr>
        <w:br w:type="page"/>
      </w:r>
    </w:p>
    <w:p w14:paraId="745E91D8" w14:textId="0CEB5D9F" w:rsidR="0015494A" w:rsidRPr="00297C20" w:rsidRDefault="0015494A" w:rsidP="0015494A">
      <w:pPr>
        <w:pStyle w:val="Rtab"/>
        <w:rPr>
          <w:lang w:val="en-GB"/>
        </w:rPr>
      </w:pPr>
      <w:r w:rsidRPr="00297C20">
        <w:rPr>
          <w:b/>
          <w:bCs/>
          <w:lang w:val="en-GB"/>
        </w:rPr>
        <w:lastRenderedPageBreak/>
        <w:t>Table 3.</w:t>
      </w:r>
      <w:r w:rsidRPr="00297C20">
        <w:rPr>
          <w:lang w:val="en-GB"/>
        </w:rPr>
        <w:t xml:space="preserve"> Confusion matrix</w:t>
      </w:r>
    </w:p>
    <w:tbl>
      <w:tblPr>
        <w:tblW w:w="2694" w:type="dxa"/>
        <w:tblInd w:w="70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898"/>
        <w:gridCol w:w="898"/>
        <w:gridCol w:w="898"/>
      </w:tblGrid>
      <w:tr w:rsidR="0015494A" w:rsidRPr="00297C20" w14:paraId="7803E65F" w14:textId="77777777" w:rsidTr="001D5790">
        <w:trPr>
          <w:trHeight w:val="584"/>
        </w:trPr>
        <w:tc>
          <w:tcPr>
            <w:tcW w:w="898" w:type="dxa"/>
            <w:vAlign w:val="center"/>
            <w:hideMark/>
          </w:tcPr>
          <w:p w14:paraId="44D5A100"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[[42,</w:t>
            </w:r>
          </w:p>
        </w:tc>
        <w:tc>
          <w:tcPr>
            <w:tcW w:w="898" w:type="dxa"/>
            <w:vAlign w:val="center"/>
            <w:hideMark/>
          </w:tcPr>
          <w:p w14:paraId="528E5C88"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w:t>
            </w:r>
          </w:p>
        </w:tc>
        <w:tc>
          <w:tcPr>
            <w:tcW w:w="898" w:type="dxa"/>
            <w:vAlign w:val="center"/>
          </w:tcPr>
          <w:p w14:paraId="3A80BDF3"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w:t>
            </w:r>
          </w:p>
        </w:tc>
      </w:tr>
      <w:tr w:rsidR="0015494A" w:rsidRPr="00297C20" w14:paraId="5E243EFB" w14:textId="77777777" w:rsidTr="001D5790">
        <w:trPr>
          <w:trHeight w:val="543"/>
        </w:trPr>
        <w:tc>
          <w:tcPr>
            <w:tcW w:w="898" w:type="dxa"/>
            <w:vAlign w:val="center"/>
            <w:hideMark/>
          </w:tcPr>
          <w:p w14:paraId="48A9B536"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w:t>
            </w:r>
          </w:p>
        </w:tc>
        <w:tc>
          <w:tcPr>
            <w:tcW w:w="898" w:type="dxa"/>
            <w:vAlign w:val="center"/>
          </w:tcPr>
          <w:p w14:paraId="3199A545"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55,</w:t>
            </w:r>
          </w:p>
        </w:tc>
        <w:tc>
          <w:tcPr>
            <w:tcW w:w="898" w:type="dxa"/>
            <w:vAlign w:val="center"/>
          </w:tcPr>
          <w:p w14:paraId="6E661AEF"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w:t>
            </w:r>
          </w:p>
        </w:tc>
      </w:tr>
      <w:tr w:rsidR="0015494A" w:rsidRPr="00297C20" w14:paraId="3CA5BAB1" w14:textId="77777777" w:rsidTr="001D5790">
        <w:trPr>
          <w:trHeight w:val="558"/>
        </w:trPr>
        <w:tc>
          <w:tcPr>
            <w:tcW w:w="898" w:type="dxa"/>
            <w:vAlign w:val="center"/>
          </w:tcPr>
          <w:p w14:paraId="2F90FC46"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w:t>
            </w:r>
          </w:p>
        </w:tc>
        <w:tc>
          <w:tcPr>
            <w:tcW w:w="898" w:type="dxa"/>
            <w:vAlign w:val="center"/>
          </w:tcPr>
          <w:p w14:paraId="682AE225"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w:t>
            </w:r>
          </w:p>
        </w:tc>
        <w:tc>
          <w:tcPr>
            <w:tcW w:w="898" w:type="dxa"/>
            <w:vAlign w:val="center"/>
          </w:tcPr>
          <w:p w14:paraId="503281AD" w14:textId="77777777" w:rsidR="0015494A" w:rsidRPr="00192B72" w:rsidRDefault="0015494A" w:rsidP="0015494A">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47]]</w:t>
            </w:r>
          </w:p>
        </w:tc>
      </w:tr>
    </w:tbl>
    <w:p w14:paraId="45BFA18C" w14:textId="1A97F09A" w:rsidR="00270312" w:rsidRPr="00297C20" w:rsidRDefault="00270312" w:rsidP="00270312">
      <w:pPr>
        <w:pStyle w:val="Rtab"/>
        <w:spacing w:before="240"/>
        <w:rPr>
          <w:lang w:val="en-GB"/>
        </w:rPr>
      </w:pPr>
      <w:r w:rsidRPr="00297C20">
        <w:rPr>
          <w:b/>
          <w:bCs/>
          <w:lang w:val="en-GB"/>
        </w:rPr>
        <w:t>Table 4.</w:t>
      </w:r>
      <w:r w:rsidRPr="00297C20">
        <w:rPr>
          <w:lang w:val="en-GB"/>
        </w:rPr>
        <w:t xml:space="preserve"> Land </w:t>
      </w:r>
      <w:r w:rsidR="0042740C">
        <w:rPr>
          <w:lang w:val="en-GB"/>
        </w:rPr>
        <w:t>c</w:t>
      </w:r>
      <w:r w:rsidRPr="00297C20">
        <w:rPr>
          <w:lang w:val="en-GB"/>
        </w:rPr>
        <w:t>over change in July 2024</w:t>
      </w: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1"/>
        <w:gridCol w:w="2041"/>
        <w:gridCol w:w="2041"/>
        <w:gridCol w:w="2041"/>
      </w:tblGrid>
      <w:tr w:rsidR="00D851DC" w:rsidRPr="00297C20" w14:paraId="5B6B05CF" w14:textId="77777777" w:rsidTr="001D5790">
        <w:trPr>
          <w:trHeight w:val="454"/>
          <w:jc w:val="center"/>
        </w:trPr>
        <w:tc>
          <w:tcPr>
            <w:tcW w:w="2041" w:type="dxa"/>
            <w:vAlign w:val="center"/>
          </w:tcPr>
          <w:p w14:paraId="47FD237D"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Class</w:t>
            </w:r>
          </w:p>
        </w:tc>
        <w:tc>
          <w:tcPr>
            <w:tcW w:w="2041" w:type="dxa"/>
            <w:vAlign w:val="center"/>
          </w:tcPr>
          <w:p w14:paraId="55474B20"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Before eruption (%)</w:t>
            </w:r>
          </w:p>
        </w:tc>
        <w:tc>
          <w:tcPr>
            <w:tcW w:w="2041" w:type="dxa"/>
            <w:vAlign w:val="center"/>
            <w:hideMark/>
          </w:tcPr>
          <w:p w14:paraId="2B19E6DD"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After eruption (%)</w:t>
            </w:r>
          </w:p>
        </w:tc>
        <w:tc>
          <w:tcPr>
            <w:tcW w:w="2041" w:type="dxa"/>
            <w:vAlign w:val="center"/>
          </w:tcPr>
          <w:p w14:paraId="1BBA76C4"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Change</w:t>
            </w:r>
          </w:p>
        </w:tc>
      </w:tr>
      <w:tr w:rsidR="00D851DC" w:rsidRPr="00297C20" w14:paraId="0D0658B7" w14:textId="77777777" w:rsidTr="001D5790">
        <w:trPr>
          <w:trHeight w:val="340"/>
          <w:jc w:val="center"/>
        </w:trPr>
        <w:tc>
          <w:tcPr>
            <w:tcW w:w="2041" w:type="dxa"/>
            <w:vAlign w:val="center"/>
            <w:hideMark/>
          </w:tcPr>
          <w:p w14:paraId="33CAB06A"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Vegetation</w:t>
            </w:r>
          </w:p>
        </w:tc>
        <w:tc>
          <w:tcPr>
            <w:tcW w:w="2041" w:type="dxa"/>
            <w:vAlign w:val="center"/>
            <w:hideMark/>
          </w:tcPr>
          <w:p w14:paraId="01DEA0AA"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28.89</w:t>
            </w:r>
          </w:p>
        </w:tc>
        <w:tc>
          <w:tcPr>
            <w:tcW w:w="2041" w:type="dxa"/>
            <w:vAlign w:val="center"/>
          </w:tcPr>
          <w:p w14:paraId="54C6382E"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11.46</w:t>
            </w:r>
          </w:p>
        </w:tc>
        <w:tc>
          <w:tcPr>
            <w:tcW w:w="2041" w:type="dxa"/>
            <w:vAlign w:val="center"/>
          </w:tcPr>
          <w:p w14:paraId="53660CD0"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17.43</w:t>
            </w:r>
          </w:p>
        </w:tc>
      </w:tr>
      <w:tr w:rsidR="00D851DC" w:rsidRPr="00297C20" w14:paraId="28777437" w14:textId="77777777" w:rsidTr="001D5790">
        <w:trPr>
          <w:trHeight w:val="340"/>
          <w:jc w:val="center"/>
        </w:trPr>
        <w:tc>
          <w:tcPr>
            <w:tcW w:w="2041" w:type="dxa"/>
            <w:vAlign w:val="center"/>
            <w:hideMark/>
          </w:tcPr>
          <w:p w14:paraId="47860D17"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Bare Ground</w:t>
            </w:r>
          </w:p>
        </w:tc>
        <w:tc>
          <w:tcPr>
            <w:tcW w:w="2041" w:type="dxa"/>
            <w:vAlign w:val="center"/>
          </w:tcPr>
          <w:p w14:paraId="7CB1166D"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51.88</w:t>
            </w:r>
          </w:p>
        </w:tc>
        <w:tc>
          <w:tcPr>
            <w:tcW w:w="2041" w:type="dxa"/>
            <w:vAlign w:val="center"/>
          </w:tcPr>
          <w:p w14:paraId="30B64318"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63.84</w:t>
            </w:r>
          </w:p>
        </w:tc>
        <w:tc>
          <w:tcPr>
            <w:tcW w:w="2041" w:type="dxa"/>
            <w:vAlign w:val="center"/>
          </w:tcPr>
          <w:p w14:paraId="5B38ADFC"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11.96</w:t>
            </w:r>
          </w:p>
        </w:tc>
      </w:tr>
      <w:tr w:rsidR="00D851DC" w:rsidRPr="00297C20" w14:paraId="7599AE5E" w14:textId="77777777" w:rsidTr="001D5790">
        <w:trPr>
          <w:trHeight w:val="340"/>
          <w:jc w:val="center"/>
        </w:trPr>
        <w:tc>
          <w:tcPr>
            <w:tcW w:w="2041" w:type="dxa"/>
            <w:vAlign w:val="center"/>
            <w:hideMark/>
          </w:tcPr>
          <w:p w14:paraId="09B22964"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Urban Area</w:t>
            </w:r>
          </w:p>
        </w:tc>
        <w:tc>
          <w:tcPr>
            <w:tcW w:w="2041" w:type="dxa"/>
            <w:vAlign w:val="center"/>
          </w:tcPr>
          <w:p w14:paraId="12EA98C7"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19.23</w:t>
            </w:r>
          </w:p>
        </w:tc>
        <w:tc>
          <w:tcPr>
            <w:tcW w:w="2041" w:type="dxa"/>
            <w:vAlign w:val="center"/>
          </w:tcPr>
          <w:p w14:paraId="4CF3CDA7"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24.70</w:t>
            </w:r>
          </w:p>
        </w:tc>
        <w:tc>
          <w:tcPr>
            <w:tcW w:w="2041" w:type="dxa"/>
            <w:vAlign w:val="center"/>
          </w:tcPr>
          <w:p w14:paraId="402564D2"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5.47</w:t>
            </w:r>
          </w:p>
        </w:tc>
      </w:tr>
    </w:tbl>
    <w:p w14:paraId="03DCB2E5" w14:textId="681B4E1F" w:rsidR="00270312" w:rsidRPr="00297C20" w:rsidRDefault="00270312" w:rsidP="00270312">
      <w:pPr>
        <w:pStyle w:val="Rtab"/>
        <w:spacing w:before="240"/>
        <w:rPr>
          <w:lang w:val="en-GB"/>
        </w:rPr>
      </w:pPr>
      <w:r w:rsidRPr="00297C20">
        <w:rPr>
          <w:b/>
          <w:bCs/>
          <w:lang w:val="en-GB"/>
        </w:rPr>
        <w:t>Table 5.</w:t>
      </w:r>
      <w:r w:rsidRPr="00297C20">
        <w:rPr>
          <w:lang w:val="en-GB"/>
        </w:rPr>
        <w:t xml:space="preserve"> Land </w:t>
      </w:r>
      <w:r w:rsidR="0042740C">
        <w:rPr>
          <w:lang w:val="en-GB"/>
        </w:rPr>
        <w:t>c</w:t>
      </w:r>
      <w:r w:rsidRPr="00297C20">
        <w:rPr>
          <w:lang w:val="en-GB"/>
        </w:rPr>
        <w:t>over change in August 2024</w:t>
      </w: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1"/>
        <w:gridCol w:w="2041"/>
        <w:gridCol w:w="2041"/>
        <w:gridCol w:w="2041"/>
      </w:tblGrid>
      <w:tr w:rsidR="00270312" w:rsidRPr="00297C20" w14:paraId="25F7CDA9" w14:textId="77777777" w:rsidTr="00D851DC">
        <w:trPr>
          <w:trHeight w:val="454"/>
          <w:jc w:val="center"/>
        </w:trPr>
        <w:tc>
          <w:tcPr>
            <w:tcW w:w="2041" w:type="dxa"/>
            <w:vAlign w:val="center"/>
          </w:tcPr>
          <w:p w14:paraId="54E24262"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Class</w:t>
            </w:r>
          </w:p>
        </w:tc>
        <w:tc>
          <w:tcPr>
            <w:tcW w:w="2041" w:type="dxa"/>
            <w:vAlign w:val="center"/>
          </w:tcPr>
          <w:p w14:paraId="0719986D"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Before (%)</w:t>
            </w:r>
          </w:p>
        </w:tc>
        <w:tc>
          <w:tcPr>
            <w:tcW w:w="2041" w:type="dxa"/>
            <w:vAlign w:val="center"/>
            <w:hideMark/>
          </w:tcPr>
          <w:p w14:paraId="7BF93382"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After (%)</w:t>
            </w:r>
          </w:p>
        </w:tc>
        <w:tc>
          <w:tcPr>
            <w:tcW w:w="2041" w:type="dxa"/>
            <w:vAlign w:val="center"/>
          </w:tcPr>
          <w:p w14:paraId="2239FEFC"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Change</w:t>
            </w:r>
          </w:p>
        </w:tc>
      </w:tr>
      <w:tr w:rsidR="00270312" w:rsidRPr="00297C20" w14:paraId="3B4860CA" w14:textId="77777777" w:rsidTr="00D851DC">
        <w:trPr>
          <w:trHeight w:val="340"/>
          <w:jc w:val="center"/>
        </w:trPr>
        <w:tc>
          <w:tcPr>
            <w:tcW w:w="2041" w:type="dxa"/>
            <w:vAlign w:val="center"/>
            <w:hideMark/>
          </w:tcPr>
          <w:p w14:paraId="2E998424"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Vegetation</w:t>
            </w:r>
          </w:p>
        </w:tc>
        <w:tc>
          <w:tcPr>
            <w:tcW w:w="2041" w:type="dxa"/>
            <w:vAlign w:val="center"/>
            <w:hideMark/>
          </w:tcPr>
          <w:p w14:paraId="526F3850"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19.19</w:t>
            </w:r>
          </w:p>
        </w:tc>
        <w:tc>
          <w:tcPr>
            <w:tcW w:w="2041" w:type="dxa"/>
            <w:vAlign w:val="center"/>
          </w:tcPr>
          <w:p w14:paraId="0FD029BC"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10.20</w:t>
            </w:r>
          </w:p>
        </w:tc>
        <w:tc>
          <w:tcPr>
            <w:tcW w:w="2041" w:type="dxa"/>
            <w:vAlign w:val="center"/>
          </w:tcPr>
          <w:p w14:paraId="3FDDCE83"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8.99</w:t>
            </w:r>
          </w:p>
        </w:tc>
      </w:tr>
      <w:tr w:rsidR="00270312" w:rsidRPr="00297C20" w14:paraId="1BC69389" w14:textId="77777777" w:rsidTr="00D851DC">
        <w:trPr>
          <w:trHeight w:val="340"/>
          <w:jc w:val="center"/>
        </w:trPr>
        <w:tc>
          <w:tcPr>
            <w:tcW w:w="2041" w:type="dxa"/>
            <w:vAlign w:val="center"/>
            <w:hideMark/>
          </w:tcPr>
          <w:p w14:paraId="62B6001F"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Bare Ground</w:t>
            </w:r>
          </w:p>
        </w:tc>
        <w:tc>
          <w:tcPr>
            <w:tcW w:w="2041" w:type="dxa"/>
            <w:vAlign w:val="center"/>
          </w:tcPr>
          <w:p w14:paraId="7B2F7DD3"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49.58</w:t>
            </w:r>
          </w:p>
        </w:tc>
        <w:tc>
          <w:tcPr>
            <w:tcW w:w="2041" w:type="dxa"/>
            <w:vAlign w:val="center"/>
          </w:tcPr>
          <w:p w14:paraId="67FAFC50"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64.06</w:t>
            </w:r>
          </w:p>
        </w:tc>
        <w:tc>
          <w:tcPr>
            <w:tcW w:w="2041" w:type="dxa"/>
            <w:vAlign w:val="center"/>
          </w:tcPr>
          <w:p w14:paraId="22AE8239"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14.48</w:t>
            </w:r>
          </w:p>
        </w:tc>
      </w:tr>
      <w:tr w:rsidR="00270312" w:rsidRPr="00297C20" w14:paraId="2D1E013D" w14:textId="77777777" w:rsidTr="00D851DC">
        <w:trPr>
          <w:trHeight w:val="340"/>
          <w:jc w:val="center"/>
        </w:trPr>
        <w:tc>
          <w:tcPr>
            <w:tcW w:w="2041" w:type="dxa"/>
            <w:vAlign w:val="center"/>
            <w:hideMark/>
          </w:tcPr>
          <w:p w14:paraId="2C16A58B"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Urban Area</w:t>
            </w:r>
          </w:p>
        </w:tc>
        <w:tc>
          <w:tcPr>
            <w:tcW w:w="2041" w:type="dxa"/>
            <w:vAlign w:val="center"/>
          </w:tcPr>
          <w:p w14:paraId="7BD996DD"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31.24</w:t>
            </w:r>
          </w:p>
        </w:tc>
        <w:tc>
          <w:tcPr>
            <w:tcW w:w="2041" w:type="dxa"/>
            <w:vAlign w:val="center"/>
          </w:tcPr>
          <w:p w14:paraId="657DA687"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25.74</w:t>
            </w:r>
          </w:p>
        </w:tc>
        <w:tc>
          <w:tcPr>
            <w:tcW w:w="2041" w:type="dxa"/>
            <w:vAlign w:val="center"/>
          </w:tcPr>
          <w:p w14:paraId="206A67D4" w14:textId="77777777" w:rsidR="00270312" w:rsidRPr="00192B72" w:rsidRDefault="00270312" w:rsidP="00270312">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 5.50</w:t>
            </w:r>
          </w:p>
        </w:tc>
      </w:tr>
    </w:tbl>
    <w:p w14:paraId="119C80F3" w14:textId="7E6E79FF" w:rsidR="00FC13A3" w:rsidRPr="00297C20" w:rsidRDefault="00FC13A3" w:rsidP="00FC13A3">
      <w:pPr>
        <w:pStyle w:val="Rn2"/>
        <w:jc w:val="both"/>
        <w:rPr>
          <w:lang w:val="en-GB"/>
        </w:rPr>
      </w:pPr>
      <w:r w:rsidRPr="00297C20">
        <w:rPr>
          <w:lang w:val="en-GB"/>
        </w:rPr>
        <w:t>3.2. Gas emissions (SO₂ plume</w:t>
      </w:r>
      <w:r w:rsidR="008E1993">
        <w:rPr>
          <w:lang w:val="en-GB"/>
        </w:rPr>
        <w:t>-</w:t>
      </w:r>
      <w:r w:rsidRPr="00297C20">
        <w:rPr>
          <w:lang w:val="en-GB"/>
        </w:rPr>
        <w:t>control, CO/NO₂ masked)</w:t>
      </w:r>
    </w:p>
    <w:p w14:paraId="0B43D78E" w14:textId="26D2587E" w:rsidR="00FC13A3" w:rsidRPr="00297C20" w:rsidRDefault="00FC13A3" w:rsidP="00822DC3">
      <w:pPr>
        <w:rPr>
          <w:lang w:val="en-GB"/>
        </w:rPr>
      </w:pPr>
      <w:r w:rsidRPr="00297C20">
        <w:rPr>
          <w:lang w:val="en-GB"/>
        </w:rPr>
        <w:t xml:space="preserve">Gas emissions from Sentinel-5P TROPOMI revealed clear pre-eruptive and co-eruptive anomalies in July and August 2024. </w:t>
      </w:r>
      <w:proofErr w:type="spellStart"/>
      <w:r w:rsidRPr="00297C20">
        <w:rPr>
          <w:lang w:val="en-GB"/>
        </w:rPr>
        <w:t>Sulfur</w:t>
      </w:r>
      <w:proofErr w:type="spellEnd"/>
      <w:r w:rsidRPr="00297C20">
        <w:rPr>
          <w:lang w:val="en-GB"/>
        </w:rPr>
        <w:t xml:space="preserve"> dioxide showed the</w:t>
      </w:r>
      <w:r w:rsidR="00822DC3" w:rsidRPr="00297C20">
        <w:rPr>
          <w:lang w:val="en-GB"/>
        </w:rPr>
        <w:t xml:space="preserve"> strongest signal: ΔSO₂ (plume –</w:t>
      </w:r>
      <w:r w:rsidRPr="00297C20">
        <w:rPr>
          <w:lang w:val="en-GB"/>
        </w:rPr>
        <w:t xml:space="preserve"> upwind) rose from ~0.0003 to 0.0009 mol m⁻² within 10 days before the July eruption, and exceeded 0.0021 mol m⁻² one week before the August eruption, representing the highest degassing values of the study period. These anomalies were consistently concentrated in downwind plume regions, while upwind controls remained close to baseline (&lt;0.0001 mol m⁻²). Figure 5 illustrates the robustness of this signal through histograms, time series align</w:t>
      </w:r>
      <w:r w:rsidR="00822DC3" w:rsidRPr="00297C20">
        <w:rPr>
          <w:lang w:val="en-GB"/>
        </w:rPr>
        <w:t>ed to eruption onset, and plume-</w:t>
      </w:r>
      <w:r w:rsidRPr="00297C20">
        <w:rPr>
          <w:lang w:val="en-GB"/>
        </w:rPr>
        <w:t>upwind comparisons, with wind direction confirming plume transport across the sampling windows.</w:t>
      </w:r>
    </w:p>
    <w:p w14:paraId="2EB311C5" w14:textId="4EC34C31" w:rsidR="00FC13A3" w:rsidRPr="00297C20" w:rsidRDefault="00FC13A3" w:rsidP="00822DC3">
      <w:pPr>
        <w:spacing w:after="240"/>
        <w:rPr>
          <w:lang w:val="en-GB"/>
        </w:rPr>
      </w:pPr>
      <w:r w:rsidRPr="00297C20">
        <w:rPr>
          <w:lang w:val="en-GB"/>
        </w:rPr>
        <w:t xml:space="preserve">Application of the anthropogenic mask substantially altered the apparent distribution of NO₂ and CO (Figure 4). Raw maps showed elevated values along urban corridors such as Catania, which could be misinterpreted as volcanic. After masking, NO₂ remained close to background, indicating minimal volcanic contribution. In contrast, CO increased moderately from 0.028 to 0.037 mol m⁻² during eruptive phases, suggesting </w:t>
      </w:r>
      <w:r w:rsidR="0042740C">
        <w:rPr>
          <w:lang w:val="en-GB"/>
        </w:rPr>
        <w:t xml:space="preserve">a </w:t>
      </w:r>
      <w:r w:rsidRPr="00297C20">
        <w:rPr>
          <w:lang w:val="en-GB"/>
        </w:rPr>
        <w:t>partial volcanic origin. These results confirm that anthropogenic suppression is essential for isolating volcanic signals.</w:t>
      </w:r>
    </w:p>
    <w:tbl>
      <w:tblPr>
        <w:tblW w:w="9502" w:type="dxa"/>
        <w:tblInd w:w="137" w:type="dxa"/>
        <w:tblLayout w:type="fixed"/>
        <w:tblLook w:val="0000" w:firstRow="0" w:lastRow="0" w:firstColumn="0" w:lastColumn="0" w:noHBand="0" w:noVBand="0"/>
      </w:tblPr>
      <w:tblGrid>
        <w:gridCol w:w="9502"/>
      </w:tblGrid>
      <w:tr w:rsidR="00C85C11" w:rsidRPr="00297C20" w14:paraId="6A52C2A4" w14:textId="77777777" w:rsidTr="000B1325">
        <w:tc>
          <w:tcPr>
            <w:tcW w:w="9502" w:type="dxa"/>
            <w:vAlign w:val="center"/>
          </w:tcPr>
          <w:p w14:paraId="1230845E" w14:textId="77777777" w:rsidR="00C85C11" w:rsidRPr="00297C20" w:rsidRDefault="00C85C11" w:rsidP="00C85C11">
            <w:pPr>
              <w:spacing w:before="100" w:beforeAutospacing="1" w:after="100" w:afterAutospacing="1"/>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lastRenderedPageBreak/>
              <w:drawing>
                <wp:inline distT="0" distB="0" distL="0" distR="0" wp14:anchorId="2542038F" wp14:editId="30E4E611">
                  <wp:extent cx="4091940" cy="2925673"/>
                  <wp:effectExtent l="0" t="0" r="3810" b="8255"/>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350" b="758"/>
                          <a:stretch/>
                        </pic:blipFill>
                        <pic:spPr bwMode="auto">
                          <a:xfrm>
                            <a:off x="0" y="0"/>
                            <a:ext cx="4177042" cy="2986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5C11" w:rsidRPr="00297C20" w14:paraId="5D98462C" w14:textId="77777777" w:rsidTr="000B1325">
        <w:tc>
          <w:tcPr>
            <w:tcW w:w="9502" w:type="dxa"/>
            <w:vAlign w:val="center"/>
          </w:tcPr>
          <w:p w14:paraId="04020C23"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a</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C85C11" w:rsidRPr="00297C20" w14:paraId="7844DC0B" w14:textId="77777777" w:rsidTr="000B1325">
        <w:tc>
          <w:tcPr>
            <w:tcW w:w="9502" w:type="dxa"/>
            <w:vAlign w:val="center"/>
          </w:tcPr>
          <w:p w14:paraId="35C8ED50"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eastAsia="Times New Roman" w:cs="Times New Roman"/>
                <w:noProof/>
                <w:snapToGrid w:val="0"/>
                <w:kern w:val="0"/>
                <w:sz w:val="24"/>
                <w:szCs w:val="24"/>
                <w:lang w:val="en-GB" w:eastAsia="en-GB"/>
                <w14:ligatures w14:val="none"/>
              </w:rPr>
              <w:drawing>
                <wp:inline distT="0" distB="0" distL="0" distR="0" wp14:anchorId="41F019B5" wp14:editId="2A7FBAEF">
                  <wp:extent cx="4061460" cy="2872364"/>
                  <wp:effectExtent l="0" t="0" r="0" b="4445"/>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6792" cy="2925641"/>
                          </a:xfrm>
                          <a:prstGeom prst="rect">
                            <a:avLst/>
                          </a:prstGeom>
                          <a:noFill/>
                          <a:ln>
                            <a:noFill/>
                          </a:ln>
                        </pic:spPr>
                      </pic:pic>
                    </a:graphicData>
                  </a:graphic>
                </wp:inline>
              </w:drawing>
            </w:r>
          </w:p>
        </w:tc>
      </w:tr>
      <w:tr w:rsidR="00C85C11" w:rsidRPr="00297C20" w14:paraId="0287D74C" w14:textId="77777777" w:rsidTr="000B1325">
        <w:tc>
          <w:tcPr>
            <w:tcW w:w="9502" w:type="dxa"/>
            <w:vAlign w:val="center"/>
          </w:tcPr>
          <w:p w14:paraId="04BA84DD"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b</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C85C11" w:rsidRPr="00297C20" w14:paraId="37499466" w14:textId="77777777" w:rsidTr="000B1325">
        <w:tc>
          <w:tcPr>
            <w:tcW w:w="9502" w:type="dxa"/>
            <w:vAlign w:val="center"/>
          </w:tcPr>
          <w:p w14:paraId="305B3D40" w14:textId="77777777" w:rsidR="00C85C11" w:rsidRPr="00297C20" w:rsidRDefault="00C85C11" w:rsidP="00C85C11">
            <w:pPr>
              <w:spacing w:before="100" w:beforeAutospacing="1" w:after="100" w:afterAutospacing="1"/>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drawing>
                <wp:inline distT="0" distB="0" distL="0" distR="0" wp14:anchorId="18B9D652" wp14:editId="1E2419A9">
                  <wp:extent cx="4114800" cy="2910218"/>
                  <wp:effectExtent l="0" t="0" r="0" b="444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206"/>
                          <a:stretch/>
                        </pic:blipFill>
                        <pic:spPr bwMode="auto">
                          <a:xfrm>
                            <a:off x="0" y="0"/>
                            <a:ext cx="4224978" cy="29881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5C11" w:rsidRPr="00297C20" w14:paraId="46158C8A" w14:textId="77777777" w:rsidTr="000B1325">
        <w:tc>
          <w:tcPr>
            <w:tcW w:w="9502" w:type="dxa"/>
            <w:vAlign w:val="center"/>
          </w:tcPr>
          <w:p w14:paraId="1CCED6DD"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c</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C85C11" w:rsidRPr="00297C20" w14:paraId="538E9AAE" w14:textId="77777777" w:rsidTr="000B1325">
        <w:tc>
          <w:tcPr>
            <w:tcW w:w="9502" w:type="dxa"/>
            <w:vAlign w:val="center"/>
          </w:tcPr>
          <w:p w14:paraId="43BD6313"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eastAsia="Times New Roman" w:cs="Times New Roman"/>
                <w:noProof/>
                <w:snapToGrid w:val="0"/>
                <w:kern w:val="0"/>
                <w:sz w:val="24"/>
                <w:szCs w:val="24"/>
                <w:lang w:val="en-GB" w:eastAsia="en-GB"/>
                <w14:ligatures w14:val="none"/>
              </w:rPr>
              <w:lastRenderedPageBreak/>
              <w:drawing>
                <wp:inline distT="0" distB="0" distL="0" distR="0" wp14:anchorId="72F2CB17" wp14:editId="06D7F100">
                  <wp:extent cx="4152900" cy="293703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5933" cy="2974537"/>
                          </a:xfrm>
                          <a:prstGeom prst="rect">
                            <a:avLst/>
                          </a:prstGeom>
                          <a:noFill/>
                          <a:ln>
                            <a:noFill/>
                          </a:ln>
                        </pic:spPr>
                      </pic:pic>
                    </a:graphicData>
                  </a:graphic>
                </wp:inline>
              </w:drawing>
            </w:r>
          </w:p>
        </w:tc>
      </w:tr>
      <w:tr w:rsidR="00C85C11" w:rsidRPr="00297C20" w14:paraId="09A1F509" w14:textId="77777777" w:rsidTr="000B1325">
        <w:tc>
          <w:tcPr>
            <w:tcW w:w="9502" w:type="dxa"/>
            <w:vAlign w:val="center"/>
          </w:tcPr>
          <w:p w14:paraId="20D0E9B1" w14:textId="77777777" w:rsidR="00C85C11" w:rsidRPr="00297C20" w:rsidRDefault="00C85C11" w:rsidP="00C85C11">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d</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bl>
    <w:p w14:paraId="7D4C59D3" w14:textId="354EC64C" w:rsidR="00D3615D" w:rsidRPr="00297C20" w:rsidRDefault="00D3615D" w:rsidP="004B72DF">
      <w:pPr>
        <w:pStyle w:val="Rrys"/>
        <w:rPr>
          <w:lang w:val="en-GB"/>
        </w:rPr>
      </w:pPr>
      <w:r w:rsidRPr="00297C20">
        <w:rPr>
          <w:b/>
          <w:lang w:val="en-GB"/>
        </w:rPr>
        <w:t>Fig. 4.</w:t>
      </w:r>
      <w:r w:rsidRPr="00297C20">
        <w:rPr>
          <w:lang w:val="en-GB"/>
        </w:rPr>
        <w:t xml:space="preserve"> NO₂ and CO concentrations over Mt. Etna during July</w:t>
      </w:r>
      <w:r w:rsidR="008E1993">
        <w:rPr>
          <w:lang w:val="en-GB"/>
        </w:rPr>
        <w:t>-</w:t>
      </w:r>
      <w:r w:rsidRPr="00297C20">
        <w:rPr>
          <w:lang w:val="en-GB"/>
        </w:rPr>
        <w:t>August 2024, shown before (raw) and after application of the anthropogenic mask. Sentinel-5P TROPOMI OFFL L3 products (QA &gt; 0.75) were used, with urban and industrial emitters masked using EDGAR/CAMS inventories and VIIRS nightlights. Units: mol m⁻². The masking procedure effectively reduces contributions from traffic and industrial sources, isolating volcanic signals. Colour scales are fixed within each gas for pre/post comparison, but not directly comparable between gases</w:t>
      </w:r>
    </w:p>
    <w:tbl>
      <w:tblPr>
        <w:tblW w:w="9502" w:type="dxa"/>
        <w:tblInd w:w="137" w:type="dxa"/>
        <w:tblLayout w:type="fixed"/>
        <w:tblLook w:val="0000" w:firstRow="0" w:lastRow="0" w:firstColumn="0" w:lastColumn="0" w:noHBand="0" w:noVBand="0"/>
      </w:tblPr>
      <w:tblGrid>
        <w:gridCol w:w="9502"/>
      </w:tblGrid>
      <w:tr w:rsidR="00D3615D" w:rsidRPr="00297C20" w14:paraId="3EB5DD8F" w14:textId="77777777" w:rsidTr="000B1325">
        <w:tc>
          <w:tcPr>
            <w:tcW w:w="9502" w:type="dxa"/>
            <w:vAlign w:val="center"/>
          </w:tcPr>
          <w:p w14:paraId="3BBC37CF" w14:textId="77777777" w:rsidR="00D3615D" w:rsidRPr="00297C20" w:rsidRDefault="00D3615D" w:rsidP="00D3615D">
            <w:pPr>
              <w:spacing w:before="240"/>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drawing>
                <wp:inline distT="0" distB="0" distL="0" distR="0" wp14:anchorId="3DACB801" wp14:editId="12F25AA0">
                  <wp:extent cx="4022057" cy="2499360"/>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8549" cy="2540679"/>
                          </a:xfrm>
                          <a:prstGeom prst="rect">
                            <a:avLst/>
                          </a:prstGeom>
                          <a:noFill/>
                          <a:ln>
                            <a:noFill/>
                          </a:ln>
                        </pic:spPr>
                      </pic:pic>
                    </a:graphicData>
                  </a:graphic>
                </wp:inline>
              </w:drawing>
            </w:r>
          </w:p>
        </w:tc>
      </w:tr>
      <w:tr w:rsidR="00D3615D" w:rsidRPr="00297C20" w14:paraId="72F99195" w14:textId="77777777" w:rsidTr="000B1325">
        <w:tc>
          <w:tcPr>
            <w:tcW w:w="9502" w:type="dxa"/>
            <w:vAlign w:val="center"/>
          </w:tcPr>
          <w:p w14:paraId="62019D39" w14:textId="77777777" w:rsidR="00D3615D" w:rsidRPr="00297C20" w:rsidRDefault="00D3615D" w:rsidP="00D3615D">
            <w:pPr>
              <w:adjustRightInd w:val="0"/>
              <w:snapToGrid w:val="0"/>
              <w:spacing w:line="360" w:lineRule="auto"/>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a</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D3615D" w:rsidRPr="00297C20" w14:paraId="6B4CE147" w14:textId="77777777" w:rsidTr="000B1325">
        <w:tc>
          <w:tcPr>
            <w:tcW w:w="9502" w:type="dxa"/>
            <w:vAlign w:val="center"/>
          </w:tcPr>
          <w:p w14:paraId="6B530753" w14:textId="77777777" w:rsidR="00D3615D" w:rsidRPr="00297C20" w:rsidRDefault="00D3615D" w:rsidP="00D3615D">
            <w:pPr>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drawing>
                <wp:inline distT="0" distB="0" distL="0" distR="0" wp14:anchorId="154D940C" wp14:editId="14CC43F3">
                  <wp:extent cx="4627659" cy="2292089"/>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8201" cy="2356747"/>
                          </a:xfrm>
                          <a:prstGeom prst="rect">
                            <a:avLst/>
                          </a:prstGeom>
                          <a:noFill/>
                          <a:ln>
                            <a:noFill/>
                          </a:ln>
                        </pic:spPr>
                      </pic:pic>
                    </a:graphicData>
                  </a:graphic>
                </wp:inline>
              </w:drawing>
            </w:r>
          </w:p>
        </w:tc>
      </w:tr>
      <w:tr w:rsidR="00D3615D" w:rsidRPr="00297C20" w14:paraId="53080451" w14:textId="77777777" w:rsidTr="000B1325">
        <w:tc>
          <w:tcPr>
            <w:tcW w:w="9502" w:type="dxa"/>
            <w:vAlign w:val="center"/>
          </w:tcPr>
          <w:p w14:paraId="7F6B50CF" w14:textId="77777777" w:rsidR="00D3615D" w:rsidRPr="00297C20" w:rsidRDefault="00D3615D" w:rsidP="00D3615D">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b</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D3615D" w:rsidRPr="00297C20" w14:paraId="3C421A6C" w14:textId="77777777" w:rsidTr="000B1325">
        <w:tc>
          <w:tcPr>
            <w:tcW w:w="9502" w:type="dxa"/>
            <w:vAlign w:val="center"/>
          </w:tcPr>
          <w:p w14:paraId="759A7FA6" w14:textId="77777777" w:rsidR="00D3615D" w:rsidRPr="00297C20" w:rsidRDefault="00D3615D" w:rsidP="00D3615D">
            <w:pPr>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lastRenderedPageBreak/>
              <w:drawing>
                <wp:inline distT="0" distB="0" distL="0" distR="0" wp14:anchorId="05AE556E" wp14:editId="301DB25A">
                  <wp:extent cx="3185160" cy="225646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6370" cy="2299828"/>
                          </a:xfrm>
                          <a:prstGeom prst="rect">
                            <a:avLst/>
                          </a:prstGeom>
                          <a:noFill/>
                          <a:ln>
                            <a:noFill/>
                          </a:ln>
                        </pic:spPr>
                      </pic:pic>
                    </a:graphicData>
                  </a:graphic>
                </wp:inline>
              </w:drawing>
            </w:r>
          </w:p>
          <w:p w14:paraId="431FF68B" w14:textId="77777777" w:rsidR="00D3615D" w:rsidRPr="00297C20" w:rsidRDefault="00D3615D" w:rsidP="00D3615D">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bCs/>
                <w:snapToGrid w:val="0"/>
                <w:color w:val="000000"/>
                <w:kern w:val="0"/>
                <w:sz w:val="18"/>
                <w:szCs w:val="20"/>
                <w:lang w:val="en-GB" w:eastAsia="de-DE" w:bidi="en-US"/>
                <w14:ligatures w14:val="none"/>
              </w:rPr>
              <w:t>c</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D3615D" w:rsidRPr="00297C20" w14:paraId="46AB7DD8" w14:textId="77777777" w:rsidTr="000B1325">
        <w:tc>
          <w:tcPr>
            <w:tcW w:w="9502" w:type="dxa"/>
            <w:vAlign w:val="center"/>
          </w:tcPr>
          <w:p w14:paraId="4EFC789A" w14:textId="77777777" w:rsidR="00D3615D" w:rsidRPr="00297C20" w:rsidRDefault="00D3615D" w:rsidP="00D3615D">
            <w:pPr>
              <w:ind w:firstLine="0"/>
              <w:jc w:val="center"/>
              <w:rPr>
                <w:rFonts w:eastAsia="Times New Roman" w:cs="Times New Roman"/>
                <w:kern w:val="0"/>
                <w:sz w:val="24"/>
                <w:szCs w:val="24"/>
                <w:lang w:val="en-GB" w:eastAsia="pl-PL"/>
                <w14:ligatures w14:val="none"/>
              </w:rPr>
            </w:pPr>
            <w:r w:rsidRPr="00297C20">
              <w:rPr>
                <w:rFonts w:eastAsia="Times New Roman" w:cs="Times New Roman"/>
                <w:noProof/>
                <w:kern w:val="0"/>
                <w:sz w:val="24"/>
                <w:szCs w:val="24"/>
                <w:lang w:val="en-GB" w:eastAsia="en-GB"/>
                <w14:ligatures w14:val="none"/>
              </w:rPr>
              <w:drawing>
                <wp:inline distT="0" distB="0" distL="0" distR="0" wp14:anchorId="60DA58C5" wp14:editId="338C65F1">
                  <wp:extent cx="4572000" cy="2264520"/>
                  <wp:effectExtent l="0" t="0" r="0" b="254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6840" cy="2291682"/>
                          </a:xfrm>
                          <a:prstGeom prst="rect">
                            <a:avLst/>
                          </a:prstGeom>
                          <a:noFill/>
                          <a:ln>
                            <a:noFill/>
                          </a:ln>
                        </pic:spPr>
                      </pic:pic>
                    </a:graphicData>
                  </a:graphic>
                </wp:inline>
              </w:drawing>
            </w:r>
          </w:p>
        </w:tc>
      </w:tr>
      <w:tr w:rsidR="00D3615D" w:rsidRPr="00297C20" w14:paraId="09152449" w14:textId="77777777" w:rsidTr="000B1325">
        <w:tc>
          <w:tcPr>
            <w:tcW w:w="9502" w:type="dxa"/>
            <w:vAlign w:val="center"/>
          </w:tcPr>
          <w:p w14:paraId="3C078F67" w14:textId="77777777" w:rsidR="00D3615D" w:rsidRPr="00297C20" w:rsidRDefault="00D3615D" w:rsidP="00D3615D">
            <w:pPr>
              <w:ind w:firstLine="0"/>
              <w:jc w:val="center"/>
              <w:rPr>
                <w:rFonts w:eastAsia="Times New Roman" w:cs="Times New Roman"/>
                <w:noProof/>
                <w:kern w:val="0"/>
                <w:sz w:val="24"/>
                <w:szCs w:val="24"/>
                <w:lang w:val="en-GB" w:eastAsia="pl-PL"/>
                <w14:ligatures w14:val="none"/>
              </w:rPr>
            </w:pPr>
            <w:r w:rsidRPr="00297C20">
              <w:rPr>
                <w:rFonts w:eastAsia="Times New Roman" w:cs="Times New Roman"/>
                <w:noProof/>
                <w:kern w:val="0"/>
                <w:sz w:val="18"/>
                <w:szCs w:val="18"/>
                <w:lang w:val="en-GB" w:eastAsia="pl-PL"/>
                <w14:ligatures w14:val="none"/>
              </w:rPr>
              <w:t>(</w:t>
            </w:r>
            <w:r w:rsidRPr="00297C20">
              <w:rPr>
                <w:rFonts w:eastAsia="Times New Roman" w:cs="Times New Roman"/>
                <w:b/>
                <w:bCs/>
                <w:noProof/>
                <w:kern w:val="0"/>
                <w:sz w:val="18"/>
                <w:szCs w:val="18"/>
                <w:lang w:val="en-GB" w:eastAsia="pl-PL"/>
                <w14:ligatures w14:val="none"/>
              </w:rPr>
              <w:t>d</w:t>
            </w:r>
            <w:r w:rsidRPr="00297C20">
              <w:rPr>
                <w:rFonts w:eastAsia="Times New Roman" w:cs="Times New Roman"/>
                <w:noProof/>
                <w:kern w:val="0"/>
                <w:sz w:val="18"/>
                <w:szCs w:val="18"/>
                <w:lang w:val="en-GB" w:eastAsia="pl-PL"/>
                <w14:ligatures w14:val="none"/>
              </w:rPr>
              <w:t>)</w:t>
            </w:r>
          </w:p>
        </w:tc>
      </w:tr>
    </w:tbl>
    <w:p w14:paraId="2C9D9611" w14:textId="6DC183E7" w:rsidR="00D3615D" w:rsidRPr="00297C20" w:rsidRDefault="00D3615D" w:rsidP="004B72DF">
      <w:pPr>
        <w:pStyle w:val="Rrys"/>
        <w:rPr>
          <w:lang w:val="en-GB"/>
        </w:rPr>
      </w:pPr>
      <w:r w:rsidRPr="00297C20">
        <w:rPr>
          <w:b/>
          <w:lang w:val="en-GB"/>
        </w:rPr>
        <w:t>Fig. 5.</w:t>
      </w:r>
      <w:r w:rsidRPr="00297C20">
        <w:rPr>
          <w:lang w:val="en-GB"/>
        </w:rPr>
        <w:t xml:space="preserve"> SO₂ anomaly diagnostics (Jul</w:t>
      </w:r>
      <w:r w:rsidR="008E1993">
        <w:rPr>
          <w:lang w:val="en-GB"/>
        </w:rPr>
        <w:t>-</w:t>
      </w:r>
      <w:r w:rsidRPr="00297C20">
        <w:rPr>
          <w:lang w:val="en-GB"/>
        </w:rPr>
        <w:t>Aug 2024). SO₂ anomaly diagnostics for July</w:t>
      </w:r>
      <w:r w:rsidR="008E1993">
        <w:rPr>
          <w:lang w:val="en-GB"/>
        </w:rPr>
        <w:t>-</w:t>
      </w:r>
      <w:r w:rsidRPr="00297C20">
        <w:rPr>
          <w:lang w:val="en-GB"/>
        </w:rPr>
        <w:t>August 2024. (a) Histogram of ΔSO₂ (plume – upwind, mol m⁻²); (b) Time series aligned to eruption onset dates (INGV/VONA); (c) Relationship between ΔSO₂ and wind direction at plume altitude; (d) Comparison of plume vs. upwind mean concentrations. SO₂ retrievals from Sentinel-5P TROPOMI OFFL L3 (QA &gt; 0.75), with plume polygons delineated using a 5 DU threshold and verified with HYSPLIT trajectories</w:t>
      </w:r>
    </w:p>
    <w:p w14:paraId="6855DD6E" w14:textId="77777777" w:rsidR="00297C20" w:rsidRPr="00297C20" w:rsidRDefault="00297C20" w:rsidP="00822DC3">
      <w:pPr>
        <w:rPr>
          <w:lang w:val="en-GB"/>
        </w:rPr>
      </w:pPr>
    </w:p>
    <w:p w14:paraId="4178C5E4" w14:textId="2A1A2AED" w:rsidR="00822DC3" w:rsidRPr="00297C20" w:rsidRDefault="00822DC3" w:rsidP="00822DC3">
      <w:pPr>
        <w:rPr>
          <w:lang w:val="en-GB"/>
        </w:rPr>
      </w:pPr>
      <w:r w:rsidRPr="00297C20">
        <w:rPr>
          <w:lang w:val="en-GB"/>
        </w:rPr>
        <w:t xml:space="preserve">To support the analysis of spatial indices before and after each eruption, a comprehensive dataset of NDVI values and corresponding gas concentrations (SO₂, NO₂, and CO) was compiled. The data cover all four eruptive events (2018, 2021, 2024) and were extracted over selected periods using Google </w:t>
      </w:r>
      <w:r w:rsidR="00933B72" w:rsidRPr="00297C20">
        <w:rPr>
          <w:lang w:val="en-GB"/>
        </w:rPr>
        <w:t>Earth Engine and TROPOMI Level-3</w:t>
      </w:r>
      <w:r w:rsidRPr="00297C20">
        <w:rPr>
          <w:lang w:val="en-GB"/>
        </w:rPr>
        <w:t xml:space="preserve"> products.</w:t>
      </w:r>
    </w:p>
    <w:p w14:paraId="00CCFE48" w14:textId="5B8F4B31" w:rsidR="00822DC3" w:rsidRPr="00297C20" w:rsidRDefault="00822DC3" w:rsidP="00822DC3">
      <w:pPr>
        <w:rPr>
          <w:lang w:val="en-GB"/>
        </w:rPr>
      </w:pPr>
      <w:r w:rsidRPr="00297C20">
        <w:rPr>
          <w:lang w:val="en-GB"/>
        </w:rPr>
        <w:t>Representative daily values of NDVI, SO₂, NO₂, and CO for selected pre- and post-eruption days are shown in Table 6. These data highlight the temporal co-variation of gas and vegetation indicators and serve as the basis for the lead</w:t>
      </w:r>
      <w:r w:rsidR="00DC33AA" w:rsidRPr="00297C20">
        <w:rPr>
          <w:lang w:val="en-GB"/>
        </w:rPr>
        <w:t>-</w:t>
      </w:r>
      <w:r w:rsidRPr="00297C20">
        <w:rPr>
          <w:lang w:val="en-GB"/>
        </w:rPr>
        <w:t>lag analysis presented in Section 3.4.</w:t>
      </w:r>
    </w:p>
    <w:p w14:paraId="53F9DCD0" w14:textId="77777777" w:rsidR="00297C20" w:rsidRPr="00297C20" w:rsidRDefault="00297C20" w:rsidP="00822DC3">
      <w:pPr>
        <w:rPr>
          <w:lang w:val="en-GB"/>
        </w:rPr>
      </w:pPr>
    </w:p>
    <w:p w14:paraId="705266A2" w14:textId="5BA54128" w:rsidR="00822DC3" w:rsidRPr="00297C20" w:rsidRDefault="00822DC3" w:rsidP="00297C20">
      <w:pPr>
        <w:pStyle w:val="Rtab"/>
        <w:rPr>
          <w:lang w:val="en-GB"/>
        </w:rPr>
      </w:pPr>
      <w:r w:rsidRPr="00297C20">
        <w:rPr>
          <w:b/>
          <w:bCs/>
          <w:lang w:val="en-GB"/>
        </w:rPr>
        <w:t>Table 6.</w:t>
      </w:r>
      <w:r w:rsidRPr="00297C20">
        <w:rPr>
          <w:lang w:val="en-GB"/>
        </w:rPr>
        <w:t xml:space="preserve"> Selected NDVI and gas concentration values before and after eruptions of Mount Etna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1939"/>
        <w:gridCol w:w="1939"/>
        <w:gridCol w:w="1939"/>
        <w:gridCol w:w="2299"/>
      </w:tblGrid>
      <w:tr w:rsidR="00822DC3" w:rsidRPr="00297C20" w14:paraId="572D0FDC" w14:textId="77777777" w:rsidTr="000B1325">
        <w:trPr>
          <w:trHeight w:val="454"/>
          <w:jc w:val="center"/>
        </w:trPr>
        <w:tc>
          <w:tcPr>
            <w:tcW w:w="1660" w:type="dxa"/>
            <w:vAlign w:val="center"/>
          </w:tcPr>
          <w:p w14:paraId="69A98818"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Date</w:t>
            </w:r>
          </w:p>
        </w:tc>
        <w:tc>
          <w:tcPr>
            <w:tcW w:w="1939" w:type="dxa"/>
            <w:vAlign w:val="center"/>
          </w:tcPr>
          <w:p w14:paraId="27D6FF6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NDVI</w:t>
            </w:r>
          </w:p>
        </w:tc>
        <w:tc>
          <w:tcPr>
            <w:tcW w:w="1939" w:type="dxa"/>
            <w:vAlign w:val="center"/>
            <w:hideMark/>
          </w:tcPr>
          <w:p w14:paraId="7E11B1F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CO (mol/m²)</w:t>
            </w:r>
          </w:p>
        </w:tc>
        <w:tc>
          <w:tcPr>
            <w:tcW w:w="1939" w:type="dxa"/>
            <w:vAlign w:val="center"/>
          </w:tcPr>
          <w:p w14:paraId="07E63C5C"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NO₂ (mol/m²)</w:t>
            </w:r>
          </w:p>
        </w:tc>
        <w:tc>
          <w:tcPr>
            <w:tcW w:w="2299" w:type="dxa"/>
            <w:vAlign w:val="center"/>
          </w:tcPr>
          <w:p w14:paraId="26A65C3B" w14:textId="77777777" w:rsidR="00822DC3" w:rsidRPr="00192B72" w:rsidRDefault="00822DC3" w:rsidP="00D851DC">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SO₂ (mol/m²)</w:t>
            </w:r>
          </w:p>
        </w:tc>
      </w:tr>
      <w:tr w:rsidR="00822DC3" w:rsidRPr="00297C20" w14:paraId="20D11BBD" w14:textId="77777777" w:rsidTr="000B1325">
        <w:trPr>
          <w:trHeight w:val="505"/>
          <w:jc w:val="center"/>
        </w:trPr>
        <w:tc>
          <w:tcPr>
            <w:tcW w:w="1660" w:type="dxa"/>
            <w:vAlign w:val="center"/>
            <w:hideMark/>
          </w:tcPr>
          <w:p w14:paraId="76C64F3F"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2018-12-06</w:t>
            </w:r>
          </w:p>
          <w:p w14:paraId="30DB2C68"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2018-12-11</w:t>
            </w:r>
          </w:p>
        </w:tc>
        <w:tc>
          <w:tcPr>
            <w:tcW w:w="1939" w:type="dxa"/>
            <w:vAlign w:val="center"/>
            <w:hideMark/>
          </w:tcPr>
          <w:p w14:paraId="634369D2"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0,404521</w:t>
            </w:r>
          </w:p>
          <w:p w14:paraId="2C3F878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0,332433</w:t>
            </w:r>
          </w:p>
        </w:tc>
        <w:tc>
          <w:tcPr>
            <w:tcW w:w="1939" w:type="dxa"/>
            <w:vAlign w:val="center"/>
          </w:tcPr>
          <w:p w14:paraId="1C3F8257"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0,029419</w:t>
            </w:r>
          </w:p>
          <w:p w14:paraId="4B7808D7"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0,028434</w:t>
            </w:r>
          </w:p>
        </w:tc>
        <w:tc>
          <w:tcPr>
            <w:tcW w:w="1939" w:type="dxa"/>
            <w:vAlign w:val="center"/>
          </w:tcPr>
          <w:p w14:paraId="56F7F3A6"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0,000065</w:t>
            </w:r>
          </w:p>
          <w:p w14:paraId="014B157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0,000071</w:t>
            </w:r>
          </w:p>
        </w:tc>
        <w:tc>
          <w:tcPr>
            <w:tcW w:w="2299" w:type="dxa"/>
            <w:vAlign w:val="center"/>
          </w:tcPr>
          <w:p w14:paraId="3882B711"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0,000551</w:t>
            </w:r>
          </w:p>
          <w:p w14:paraId="09B5DC4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w:t>
            </w:r>
          </w:p>
        </w:tc>
      </w:tr>
      <w:tr w:rsidR="00822DC3" w:rsidRPr="00297C20" w14:paraId="3E77F415" w14:textId="77777777" w:rsidTr="000B1325">
        <w:trPr>
          <w:trHeight w:val="470"/>
          <w:jc w:val="center"/>
        </w:trPr>
        <w:tc>
          <w:tcPr>
            <w:tcW w:w="1660" w:type="dxa"/>
            <w:shd w:val="clear" w:color="auto" w:fill="D9D9D9"/>
            <w:vAlign w:val="center"/>
            <w:hideMark/>
          </w:tcPr>
          <w:p w14:paraId="1121EA1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2019-01-08</w:t>
            </w:r>
          </w:p>
          <w:p w14:paraId="5D1F4D2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2019-01-15</w:t>
            </w:r>
          </w:p>
        </w:tc>
        <w:tc>
          <w:tcPr>
            <w:tcW w:w="1939" w:type="dxa"/>
            <w:shd w:val="clear" w:color="auto" w:fill="D9D9D9"/>
            <w:vAlign w:val="center"/>
          </w:tcPr>
          <w:p w14:paraId="14E08DB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0,301325</w:t>
            </w:r>
          </w:p>
          <w:p w14:paraId="05AA761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0,316073</w:t>
            </w:r>
          </w:p>
        </w:tc>
        <w:tc>
          <w:tcPr>
            <w:tcW w:w="1939" w:type="dxa"/>
            <w:shd w:val="clear" w:color="auto" w:fill="D9D9D9"/>
            <w:vAlign w:val="center"/>
          </w:tcPr>
          <w:p w14:paraId="777FF496"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0,031140</w:t>
            </w:r>
          </w:p>
          <w:p w14:paraId="02D72837"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0,031867</w:t>
            </w:r>
          </w:p>
        </w:tc>
        <w:tc>
          <w:tcPr>
            <w:tcW w:w="1939" w:type="dxa"/>
            <w:shd w:val="clear" w:color="auto" w:fill="D9D9D9"/>
            <w:vAlign w:val="center"/>
          </w:tcPr>
          <w:p w14:paraId="132E741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0,000057</w:t>
            </w:r>
          </w:p>
          <w:p w14:paraId="7827587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0,000065</w:t>
            </w:r>
          </w:p>
        </w:tc>
        <w:tc>
          <w:tcPr>
            <w:tcW w:w="2299" w:type="dxa"/>
            <w:shd w:val="clear" w:color="auto" w:fill="D9D9D9"/>
          </w:tcPr>
          <w:p w14:paraId="187A999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0,003158</w:t>
            </w:r>
          </w:p>
          <w:p w14:paraId="3263EC96"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0,001824</w:t>
            </w:r>
          </w:p>
        </w:tc>
      </w:tr>
      <w:tr w:rsidR="00822DC3" w:rsidRPr="00297C20" w14:paraId="393B49D8" w14:textId="77777777" w:rsidTr="000B1325">
        <w:trPr>
          <w:trHeight w:val="483"/>
          <w:jc w:val="center"/>
        </w:trPr>
        <w:tc>
          <w:tcPr>
            <w:tcW w:w="1660" w:type="dxa"/>
            <w:vAlign w:val="center"/>
            <w:hideMark/>
          </w:tcPr>
          <w:p w14:paraId="1ADBAF4F"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2021-07-03</w:t>
            </w:r>
          </w:p>
          <w:p w14:paraId="78E12FD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2021-07-08</w:t>
            </w:r>
          </w:p>
        </w:tc>
        <w:tc>
          <w:tcPr>
            <w:tcW w:w="1939" w:type="dxa"/>
            <w:vAlign w:val="center"/>
          </w:tcPr>
          <w:p w14:paraId="71F4D8D1"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0,267632</w:t>
            </w:r>
          </w:p>
          <w:p w14:paraId="592EAD0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0,300702</w:t>
            </w:r>
          </w:p>
        </w:tc>
        <w:tc>
          <w:tcPr>
            <w:tcW w:w="1939" w:type="dxa"/>
            <w:vAlign w:val="center"/>
          </w:tcPr>
          <w:p w14:paraId="6EB1D7E9"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0,029043</w:t>
            </w:r>
          </w:p>
          <w:p w14:paraId="37B5001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0,029919</w:t>
            </w:r>
          </w:p>
        </w:tc>
        <w:tc>
          <w:tcPr>
            <w:tcW w:w="1939" w:type="dxa"/>
            <w:vAlign w:val="center"/>
          </w:tcPr>
          <w:p w14:paraId="35D0D19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0,000095</w:t>
            </w:r>
          </w:p>
          <w:p w14:paraId="27063F6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0,000086</w:t>
            </w:r>
          </w:p>
        </w:tc>
        <w:tc>
          <w:tcPr>
            <w:tcW w:w="2299" w:type="dxa"/>
          </w:tcPr>
          <w:p w14:paraId="35BB9502"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0,000331</w:t>
            </w:r>
          </w:p>
          <w:p w14:paraId="78503CD9"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0,002213</w:t>
            </w:r>
          </w:p>
        </w:tc>
      </w:tr>
      <w:tr w:rsidR="00822DC3" w:rsidRPr="00297C20" w14:paraId="395F7F33" w14:textId="77777777" w:rsidTr="000B1325">
        <w:trPr>
          <w:trHeight w:val="483"/>
          <w:jc w:val="center"/>
        </w:trPr>
        <w:tc>
          <w:tcPr>
            <w:tcW w:w="1660" w:type="dxa"/>
            <w:shd w:val="clear" w:color="auto" w:fill="D0CECE"/>
            <w:vAlign w:val="center"/>
          </w:tcPr>
          <w:p w14:paraId="328CA46F"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2021-07-21</w:t>
            </w:r>
          </w:p>
          <w:p w14:paraId="588CFC4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2021-07-26</w:t>
            </w:r>
          </w:p>
        </w:tc>
        <w:tc>
          <w:tcPr>
            <w:tcW w:w="1939" w:type="dxa"/>
            <w:shd w:val="clear" w:color="auto" w:fill="D0CECE"/>
            <w:vAlign w:val="center"/>
          </w:tcPr>
          <w:p w14:paraId="33B82F3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0,214657</w:t>
            </w:r>
          </w:p>
          <w:p w14:paraId="3BF7A2D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0,280560</w:t>
            </w:r>
          </w:p>
        </w:tc>
        <w:tc>
          <w:tcPr>
            <w:tcW w:w="1939" w:type="dxa"/>
            <w:shd w:val="clear" w:color="auto" w:fill="D0CECE"/>
            <w:vAlign w:val="center"/>
          </w:tcPr>
          <w:p w14:paraId="262E56B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0,032692</w:t>
            </w:r>
          </w:p>
          <w:p w14:paraId="5AC0763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0,028752</w:t>
            </w:r>
          </w:p>
        </w:tc>
        <w:tc>
          <w:tcPr>
            <w:tcW w:w="1939" w:type="dxa"/>
            <w:shd w:val="clear" w:color="auto" w:fill="D0CECE"/>
            <w:vAlign w:val="center"/>
          </w:tcPr>
          <w:p w14:paraId="248381AF"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0,000086</w:t>
            </w:r>
          </w:p>
          <w:p w14:paraId="6412D36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0,000084</w:t>
            </w:r>
          </w:p>
        </w:tc>
        <w:tc>
          <w:tcPr>
            <w:tcW w:w="2299" w:type="dxa"/>
            <w:shd w:val="clear" w:color="auto" w:fill="D0CECE"/>
          </w:tcPr>
          <w:p w14:paraId="4145763B"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0,000531</w:t>
            </w:r>
          </w:p>
          <w:p w14:paraId="20D57E6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0,001783</w:t>
            </w:r>
          </w:p>
        </w:tc>
      </w:tr>
    </w:tbl>
    <w:p w14:paraId="25708ED0" w14:textId="77777777" w:rsidR="000B1325" w:rsidRPr="002A6BA8" w:rsidRDefault="000B1325" w:rsidP="00C22E62">
      <w:pPr>
        <w:pStyle w:val="Rtab"/>
        <w:rPr>
          <w:lang w:val="en-GB"/>
        </w:rPr>
      </w:pPr>
    </w:p>
    <w:p w14:paraId="50A12ED7" w14:textId="121E09F4" w:rsidR="00C22E62" w:rsidRPr="00297C20" w:rsidRDefault="00C22E62" w:rsidP="00C22E62">
      <w:pPr>
        <w:pStyle w:val="Rtab"/>
        <w:rPr>
          <w:lang w:val="en-GB"/>
        </w:rPr>
      </w:pPr>
      <w:r w:rsidRPr="00297C20">
        <w:rPr>
          <w:b/>
          <w:bCs/>
          <w:lang w:val="en-GB"/>
        </w:rPr>
        <w:lastRenderedPageBreak/>
        <w:t>Table 6.</w:t>
      </w:r>
      <w:r w:rsidRPr="00297C20">
        <w:rPr>
          <w:lang w:val="en-GB"/>
        </w:rPr>
        <w:t xml:space="preserve"> </w:t>
      </w:r>
      <w:r>
        <w:rPr>
          <w:lang w:val="en-GB"/>
        </w:rPr>
        <w:t>cont.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843"/>
        <w:gridCol w:w="1939"/>
        <w:gridCol w:w="1888"/>
        <w:gridCol w:w="2268"/>
      </w:tblGrid>
      <w:tr w:rsidR="00C22E62" w:rsidRPr="00297C20" w14:paraId="65C02E4B" w14:textId="77777777" w:rsidTr="000B1325">
        <w:trPr>
          <w:trHeight w:val="454"/>
          <w:jc w:val="center"/>
        </w:trPr>
        <w:tc>
          <w:tcPr>
            <w:tcW w:w="1696" w:type="dxa"/>
            <w:vAlign w:val="center"/>
          </w:tcPr>
          <w:p w14:paraId="528EBBBB" w14:textId="77777777" w:rsidR="00C22E62" w:rsidRPr="00192B72" w:rsidRDefault="00C22E62" w:rsidP="002B7009">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Date</w:t>
            </w:r>
          </w:p>
        </w:tc>
        <w:tc>
          <w:tcPr>
            <w:tcW w:w="1843" w:type="dxa"/>
            <w:vAlign w:val="center"/>
          </w:tcPr>
          <w:p w14:paraId="48C4D5AA" w14:textId="77777777" w:rsidR="00C22E62" w:rsidRPr="00192B72" w:rsidRDefault="00C22E62" w:rsidP="002B7009">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NDVI</w:t>
            </w:r>
          </w:p>
        </w:tc>
        <w:tc>
          <w:tcPr>
            <w:tcW w:w="1939" w:type="dxa"/>
            <w:vAlign w:val="center"/>
            <w:hideMark/>
          </w:tcPr>
          <w:p w14:paraId="4245C7B4" w14:textId="77777777" w:rsidR="00C22E62" w:rsidRPr="00192B72" w:rsidRDefault="00C22E62" w:rsidP="002B7009">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CO (mol/m²)</w:t>
            </w:r>
          </w:p>
        </w:tc>
        <w:tc>
          <w:tcPr>
            <w:tcW w:w="1888" w:type="dxa"/>
            <w:vAlign w:val="center"/>
          </w:tcPr>
          <w:p w14:paraId="0A0B2248" w14:textId="77777777" w:rsidR="00C22E62" w:rsidRPr="00192B72" w:rsidRDefault="00C22E62" w:rsidP="002B7009">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NO₂ (mol/m²)</w:t>
            </w:r>
          </w:p>
        </w:tc>
        <w:tc>
          <w:tcPr>
            <w:tcW w:w="2268" w:type="dxa"/>
            <w:vAlign w:val="center"/>
          </w:tcPr>
          <w:p w14:paraId="682EC81F" w14:textId="77777777" w:rsidR="00C22E62" w:rsidRPr="00192B72" w:rsidRDefault="00C22E62" w:rsidP="002B7009">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SO₂ (mol/m²)</w:t>
            </w:r>
          </w:p>
        </w:tc>
      </w:tr>
      <w:tr w:rsidR="00822DC3" w:rsidRPr="00297C20" w14:paraId="4AF8B542" w14:textId="77777777" w:rsidTr="000B1325">
        <w:trPr>
          <w:trHeight w:val="483"/>
          <w:jc w:val="center"/>
        </w:trPr>
        <w:tc>
          <w:tcPr>
            <w:tcW w:w="1696" w:type="dxa"/>
            <w:vAlign w:val="center"/>
          </w:tcPr>
          <w:p w14:paraId="1F9FA77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2024-06-20</w:t>
            </w:r>
          </w:p>
          <w:p w14:paraId="4AE73A58"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2024-06-25</w:t>
            </w:r>
          </w:p>
        </w:tc>
        <w:tc>
          <w:tcPr>
            <w:tcW w:w="1843" w:type="dxa"/>
            <w:vAlign w:val="center"/>
          </w:tcPr>
          <w:p w14:paraId="23B626D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0,210506</w:t>
            </w:r>
          </w:p>
          <w:p w14:paraId="1DFC32D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0,209532</w:t>
            </w:r>
          </w:p>
        </w:tc>
        <w:tc>
          <w:tcPr>
            <w:tcW w:w="1939" w:type="dxa"/>
            <w:vAlign w:val="center"/>
          </w:tcPr>
          <w:p w14:paraId="6F38035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0,029506</w:t>
            </w:r>
          </w:p>
          <w:p w14:paraId="52E48C7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0,029368</w:t>
            </w:r>
          </w:p>
        </w:tc>
        <w:tc>
          <w:tcPr>
            <w:tcW w:w="1888" w:type="dxa"/>
            <w:vAlign w:val="center"/>
          </w:tcPr>
          <w:p w14:paraId="24ECF70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0,000078</w:t>
            </w:r>
          </w:p>
          <w:p w14:paraId="31CD02C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0,000074</w:t>
            </w:r>
          </w:p>
        </w:tc>
        <w:tc>
          <w:tcPr>
            <w:tcW w:w="2268" w:type="dxa"/>
          </w:tcPr>
          <w:p w14:paraId="20EFB00F"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0,000138</w:t>
            </w:r>
          </w:p>
          <w:p w14:paraId="2641F24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0,000715</w:t>
            </w:r>
          </w:p>
        </w:tc>
      </w:tr>
      <w:tr w:rsidR="00822DC3" w:rsidRPr="00297C20" w14:paraId="29E4C875" w14:textId="77777777" w:rsidTr="000B1325">
        <w:trPr>
          <w:trHeight w:val="483"/>
          <w:jc w:val="center"/>
        </w:trPr>
        <w:tc>
          <w:tcPr>
            <w:tcW w:w="1696" w:type="dxa"/>
            <w:shd w:val="clear" w:color="auto" w:fill="D0CECE"/>
            <w:vAlign w:val="center"/>
          </w:tcPr>
          <w:p w14:paraId="424E7D8B"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2024-07-07</w:t>
            </w:r>
          </w:p>
          <w:p w14:paraId="58330BCC"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2024-07-10</w:t>
            </w:r>
          </w:p>
        </w:tc>
        <w:tc>
          <w:tcPr>
            <w:tcW w:w="1843" w:type="dxa"/>
            <w:shd w:val="clear" w:color="auto" w:fill="D0CECE"/>
            <w:vAlign w:val="center"/>
          </w:tcPr>
          <w:p w14:paraId="395863D5"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0,263680</w:t>
            </w:r>
          </w:p>
          <w:p w14:paraId="0EFAAA3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0,290355</w:t>
            </w:r>
          </w:p>
        </w:tc>
        <w:tc>
          <w:tcPr>
            <w:tcW w:w="1939" w:type="dxa"/>
            <w:shd w:val="clear" w:color="auto" w:fill="D0CECE"/>
            <w:vAlign w:val="center"/>
          </w:tcPr>
          <w:p w14:paraId="4161A10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0,028126</w:t>
            </w:r>
          </w:p>
          <w:p w14:paraId="596C6715"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0,035370</w:t>
            </w:r>
          </w:p>
        </w:tc>
        <w:tc>
          <w:tcPr>
            <w:tcW w:w="1888" w:type="dxa"/>
            <w:shd w:val="clear" w:color="auto" w:fill="D0CECE"/>
            <w:vAlign w:val="center"/>
          </w:tcPr>
          <w:p w14:paraId="2EBB7808"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0,000075</w:t>
            </w:r>
          </w:p>
          <w:p w14:paraId="68F897DB"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0,000077</w:t>
            </w:r>
          </w:p>
        </w:tc>
        <w:tc>
          <w:tcPr>
            <w:tcW w:w="2268" w:type="dxa"/>
            <w:shd w:val="clear" w:color="auto" w:fill="D0CECE"/>
          </w:tcPr>
          <w:p w14:paraId="23E69B4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0,000316</w:t>
            </w:r>
          </w:p>
          <w:p w14:paraId="60E0C4A5"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0,000749</w:t>
            </w:r>
          </w:p>
        </w:tc>
      </w:tr>
      <w:tr w:rsidR="00822DC3" w:rsidRPr="00297C20" w14:paraId="52133DED" w14:textId="77777777" w:rsidTr="000B1325">
        <w:trPr>
          <w:trHeight w:val="483"/>
          <w:jc w:val="center"/>
        </w:trPr>
        <w:tc>
          <w:tcPr>
            <w:tcW w:w="1696" w:type="dxa"/>
            <w:vAlign w:val="center"/>
          </w:tcPr>
          <w:p w14:paraId="48EAF42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2024-07-20</w:t>
            </w:r>
          </w:p>
          <w:p w14:paraId="78A5C9EB"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2024-07-30</w:t>
            </w:r>
          </w:p>
        </w:tc>
        <w:tc>
          <w:tcPr>
            <w:tcW w:w="1843" w:type="dxa"/>
            <w:vAlign w:val="center"/>
          </w:tcPr>
          <w:p w14:paraId="0B403456"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0,265941</w:t>
            </w:r>
          </w:p>
          <w:p w14:paraId="3924736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0,183333</w:t>
            </w:r>
          </w:p>
        </w:tc>
        <w:tc>
          <w:tcPr>
            <w:tcW w:w="1939" w:type="dxa"/>
            <w:vAlign w:val="center"/>
          </w:tcPr>
          <w:p w14:paraId="466B0331"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0,031266</w:t>
            </w:r>
          </w:p>
          <w:p w14:paraId="12663610"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0,036060</w:t>
            </w:r>
          </w:p>
        </w:tc>
        <w:tc>
          <w:tcPr>
            <w:tcW w:w="1888" w:type="dxa"/>
            <w:vAlign w:val="center"/>
          </w:tcPr>
          <w:p w14:paraId="7634AD52"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0,000074</w:t>
            </w:r>
          </w:p>
          <w:p w14:paraId="5DEA14C1"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0,000082</w:t>
            </w:r>
          </w:p>
        </w:tc>
        <w:tc>
          <w:tcPr>
            <w:tcW w:w="2268" w:type="dxa"/>
          </w:tcPr>
          <w:p w14:paraId="782B1497"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0,000904</w:t>
            </w:r>
          </w:p>
          <w:p w14:paraId="27C1D4F3"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0,001022</w:t>
            </w:r>
          </w:p>
        </w:tc>
      </w:tr>
      <w:tr w:rsidR="00822DC3" w:rsidRPr="00297C20" w14:paraId="59436689" w14:textId="77777777" w:rsidTr="000B1325">
        <w:trPr>
          <w:trHeight w:val="483"/>
          <w:jc w:val="center"/>
        </w:trPr>
        <w:tc>
          <w:tcPr>
            <w:tcW w:w="1696" w:type="dxa"/>
            <w:shd w:val="clear" w:color="auto" w:fill="D0CECE"/>
            <w:vAlign w:val="center"/>
          </w:tcPr>
          <w:p w14:paraId="473B8A29"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2024-08-11</w:t>
            </w:r>
          </w:p>
          <w:p w14:paraId="5230114C"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2024-08-24</w:t>
            </w:r>
          </w:p>
        </w:tc>
        <w:tc>
          <w:tcPr>
            <w:tcW w:w="1843" w:type="dxa"/>
            <w:shd w:val="clear" w:color="auto" w:fill="D0CECE"/>
            <w:vAlign w:val="center"/>
          </w:tcPr>
          <w:p w14:paraId="1914789D"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0,190733</w:t>
            </w:r>
          </w:p>
          <w:p w14:paraId="4163D702"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0,233333</w:t>
            </w:r>
          </w:p>
        </w:tc>
        <w:tc>
          <w:tcPr>
            <w:tcW w:w="1939" w:type="dxa"/>
            <w:shd w:val="clear" w:color="auto" w:fill="D0CECE"/>
            <w:vAlign w:val="center"/>
          </w:tcPr>
          <w:p w14:paraId="2E3C3581"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0,040039</w:t>
            </w:r>
          </w:p>
          <w:p w14:paraId="56DD5E2B"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0,034414</w:t>
            </w:r>
          </w:p>
        </w:tc>
        <w:tc>
          <w:tcPr>
            <w:tcW w:w="1888" w:type="dxa"/>
            <w:shd w:val="clear" w:color="auto" w:fill="D0CECE"/>
            <w:vAlign w:val="center"/>
          </w:tcPr>
          <w:p w14:paraId="05727C54"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0,000074</w:t>
            </w:r>
          </w:p>
          <w:p w14:paraId="14185ACA"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0,000071</w:t>
            </w:r>
          </w:p>
        </w:tc>
        <w:tc>
          <w:tcPr>
            <w:tcW w:w="2268" w:type="dxa"/>
            <w:shd w:val="clear" w:color="auto" w:fill="D0CECE"/>
          </w:tcPr>
          <w:p w14:paraId="055FBAAC"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0,000428</w:t>
            </w:r>
          </w:p>
          <w:p w14:paraId="4489104E" w14:textId="77777777" w:rsidR="00822DC3" w:rsidRPr="00192B72" w:rsidRDefault="00822DC3" w:rsidP="00822DC3">
            <w:pPr>
              <w:adjustRightInd w:val="0"/>
              <w:snapToGrid w:val="0"/>
              <w:spacing w:line="260" w:lineRule="atLeast"/>
              <w:ind w:firstLine="0"/>
              <w:jc w:val="center"/>
              <w:rPr>
                <w:rFonts w:eastAsia="Times New Roman" w:cs="Times New Roman"/>
                <w:snapToGrid w:val="0"/>
                <w:color w:val="000000"/>
                <w:kern w:val="0"/>
                <w:sz w:val="20"/>
                <w:szCs w:val="20"/>
                <w:lang w:val="en-GB" w:eastAsia="de-DE" w:bidi="en-US"/>
                <w14:ligatures w14:val="none"/>
              </w:rPr>
            </w:pPr>
            <w:r w:rsidRPr="00192B72">
              <w:rPr>
                <w:rFonts w:eastAsia="Times New Roman" w:cs="Times New Roman"/>
                <w:snapToGrid w:val="0"/>
                <w:color w:val="000000"/>
                <w:kern w:val="0"/>
                <w:sz w:val="20"/>
                <w:szCs w:val="20"/>
                <w:lang w:val="en-GB" w:eastAsia="de-DE" w:bidi="en-US"/>
                <w14:ligatures w14:val="none"/>
              </w:rPr>
              <w:t>0,000174</w:t>
            </w:r>
          </w:p>
        </w:tc>
      </w:tr>
    </w:tbl>
    <w:p w14:paraId="09FF6328" w14:textId="516C6BD2" w:rsidR="002147D4" w:rsidRPr="00297C20" w:rsidRDefault="002147D4" w:rsidP="002147D4">
      <w:pPr>
        <w:spacing w:before="240"/>
        <w:rPr>
          <w:lang w:val="en-GB"/>
        </w:rPr>
      </w:pPr>
      <w:r w:rsidRPr="00297C20">
        <w:rPr>
          <w:lang w:val="en-GB"/>
        </w:rPr>
        <w:t>This dataset serves as a foundation for further statistical analysis. Future studies may explore temporal lags between gas peaks and vegetation responses, or integrate this information into early-warning models for volcanic unrest.</w:t>
      </w:r>
    </w:p>
    <w:p w14:paraId="0B59E920" w14:textId="77777777" w:rsidR="002147D4" w:rsidRPr="00297C20" w:rsidRDefault="002147D4" w:rsidP="002147D4">
      <w:pPr>
        <w:pStyle w:val="Rn2"/>
        <w:jc w:val="both"/>
        <w:rPr>
          <w:lang w:val="en-GB"/>
        </w:rPr>
      </w:pPr>
      <w:r w:rsidRPr="00297C20">
        <w:rPr>
          <w:lang w:val="en-GB"/>
        </w:rPr>
        <w:t>3.3. Ground deformation (InSAR)</w:t>
      </w:r>
    </w:p>
    <w:p w14:paraId="1F2F57FC" w14:textId="0EB31891" w:rsidR="002147D4" w:rsidRPr="00297C20" w:rsidRDefault="002147D4" w:rsidP="002147D4">
      <w:pPr>
        <w:spacing w:before="240"/>
        <w:rPr>
          <w:lang w:val="en-GB"/>
        </w:rPr>
      </w:pPr>
      <w:r w:rsidRPr="00297C20">
        <w:rPr>
          <w:lang w:val="en-GB"/>
        </w:rPr>
        <w:t>Multi-temporal SBAS InSAR analysis revealed pre-eruptive uplift of ~2.5 cm in July and up to 3 cm in August 2024. These signals were concentrated in summit zones and diminished rapidly after the eruptive phases. Vertical and horizontal motion components were decomposed using combined ascending and descending Sentinel-1 tracks with GNSS colocation.</w:t>
      </w:r>
    </w:p>
    <w:p w14:paraId="7D02F034" w14:textId="48ED8D5B" w:rsidR="002147D4" w:rsidRPr="00297C20" w:rsidRDefault="002147D4" w:rsidP="002147D4">
      <w:pPr>
        <w:spacing w:after="240"/>
        <w:rPr>
          <w:lang w:val="en-GB"/>
        </w:rPr>
      </w:pPr>
      <w:r w:rsidRPr="00297C20">
        <w:rPr>
          <w:lang w:val="en-GB"/>
        </w:rPr>
        <w:t xml:space="preserve">Panels (d, f) in Figure </w:t>
      </w:r>
      <w:r w:rsidR="007E6A41">
        <w:rPr>
          <w:lang w:val="en-GB"/>
        </w:rPr>
        <w:t>6</w:t>
      </w:r>
      <w:r w:rsidRPr="00297C20">
        <w:rPr>
          <w:lang w:val="en-GB"/>
        </w:rPr>
        <w:t xml:space="preserve"> illustrate unwrapped interferograms used as the basis for displacement retrieval. Coherence masks (&gt;0.4) were applied to reduce noise, and ERA5/GACOS corrections mitigated atmospheric delays. Although residual unwrapping errors are visible along steep flanks, the overall fringe patterns are consistent with summit uplift, validating the robustness of the SBAS-derived displacement maps.</w:t>
      </w:r>
    </w:p>
    <w:tbl>
      <w:tblPr>
        <w:tblW w:w="9639" w:type="dxa"/>
        <w:tblLayout w:type="fixed"/>
        <w:tblLook w:val="0000" w:firstRow="0" w:lastRow="0" w:firstColumn="0" w:lastColumn="0" w:noHBand="0" w:noVBand="0"/>
      </w:tblPr>
      <w:tblGrid>
        <w:gridCol w:w="4394"/>
        <w:gridCol w:w="5245"/>
      </w:tblGrid>
      <w:tr w:rsidR="002147D4" w:rsidRPr="00297C20" w14:paraId="6A89E46A" w14:textId="77777777" w:rsidTr="00E86C10">
        <w:trPr>
          <w:trHeight w:val="2912"/>
        </w:trPr>
        <w:tc>
          <w:tcPr>
            <w:tcW w:w="9639" w:type="dxa"/>
            <w:gridSpan w:val="2"/>
            <w:vAlign w:val="center"/>
          </w:tcPr>
          <w:p w14:paraId="63A921FD"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Palatino Linotype" w:eastAsia="Times New Roma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4016" behindDoc="0" locked="0" layoutInCell="1" allowOverlap="1" wp14:anchorId="1AA47C8A" wp14:editId="334A6BF6">
                      <wp:simplePos x="0" y="0"/>
                      <wp:positionH relativeFrom="column">
                        <wp:posOffset>4796155</wp:posOffset>
                      </wp:positionH>
                      <wp:positionV relativeFrom="paragraph">
                        <wp:posOffset>1874520</wp:posOffset>
                      </wp:positionV>
                      <wp:extent cx="210820" cy="168910"/>
                      <wp:effectExtent l="0" t="0" r="17780" b="21590"/>
                      <wp:wrapNone/>
                      <wp:docPr id="15" name="Owal 15"/>
                      <wp:cNvGraphicFramePr/>
                      <a:graphic xmlns:a="http://schemas.openxmlformats.org/drawingml/2006/main">
                        <a:graphicData uri="http://schemas.microsoft.com/office/word/2010/wordprocessingShape">
                          <wps:wsp>
                            <wps:cNvSpPr/>
                            <wps:spPr>
                              <a:xfrm>
                                <a:off x="0" y="0"/>
                                <a:ext cx="210820" cy="1689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1AA6A" id="Owal 15" o:spid="_x0000_s1026" style="position:absolute;margin-left:377.65pt;margin-top:147.6pt;width:16.6pt;height:1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" filled="f" strokecolor="red" strokeweight="1pt">
                      <v:stroke joinstyle="miter"/>
                    </v:oval>
                  </w:pict>
                </mc:Fallback>
              </mc:AlternateContent>
            </w:r>
            <w:r w:rsidRPr="00297C20">
              <w:rPr>
                <w:rFonts w:ascii="Palatino Linotype" w:eastAsia="Times New Roma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2992" behindDoc="0" locked="0" layoutInCell="1" allowOverlap="1" wp14:anchorId="491C8E30" wp14:editId="6787AEC3">
                      <wp:simplePos x="0" y="0"/>
                      <wp:positionH relativeFrom="column">
                        <wp:posOffset>1846580</wp:posOffset>
                      </wp:positionH>
                      <wp:positionV relativeFrom="paragraph">
                        <wp:posOffset>1881505</wp:posOffset>
                      </wp:positionV>
                      <wp:extent cx="210820" cy="168910"/>
                      <wp:effectExtent l="0" t="0" r="17780" b="21590"/>
                      <wp:wrapNone/>
                      <wp:docPr id="14" name="Owal 14"/>
                      <wp:cNvGraphicFramePr/>
                      <a:graphic xmlns:a="http://schemas.openxmlformats.org/drawingml/2006/main">
                        <a:graphicData uri="http://schemas.microsoft.com/office/word/2010/wordprocessingShape">
                          <wps:wsp>
                            <wps:cNvSpPr/>
                            <wps:spPr>
                              <a:xfrm>
                                <a:off x="0" y="0"/>
                                <a:ext cx="210820" cy="1689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72046" id="Owal 14" o:spid="_x0000_s1026" style="position:absolute;margin-left:145.4pt;margin-top:148.15pt;width:16.6pt;height:1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" filled="f" strokecolor="red" strokeweight="1pt">
                      <v:stroke joinstyle="miter"/>
                    </v:oval>
                  </w:pict>
                </mc:Fallback>
              </mc:AlternateContent>
            </w:r>
            <w:r w:rsidRPr="00297C20">
              <w:rPr>
                <w:rFonts w:ascii="Palatino Linotype" w:eastAsia="Times New Roma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7088" behindDoc="0" locked="0" layoutInCell="1" allowOverlap="1" wp14:anchorId="5B485B2F" wp14:editId="01DF0CF2">
                      <wp:simplePos x="0" y="0"/>
                      <wp:positionH relativeFrom="column">
                        <wp:posOffset>1480820</wp:posOffset>
                      </wp:positionH>
                      <wp:positionV relativeFrom="paragraph">
                        <wp:posOffset>248285</wp:posOffset>
                      </wp:positionV>
                      <wp:extent cx="440055" cy="127000"/>
                      <wp:effectExtent l="0" t="0" r="17145" b="25400"/>
                      <wp:wrapNone/>
                      <wp:docPr id="23" name="Owal 23"/>
                      <wp:cNvGraphicFramePr/>
                      <a:graphic xmlns:a="http://schemas.openxmlformats.org/drawingml/2006/main">
                        <a:graphicData uri="http://schemas.microsoft.com/office/word/2010/wordprocessingShape">
                          <wps:wsp>
                            <wps:cNvSpPr/>
                            <wps:spPr>
                              <a:xfrm>
                                <a:off x="0" y="0"/>
                                <a:ext cx="440055" cy="127000"/>
                              </a:xfrm>
                              <a:prstGeom prst="ellipse">
                                <a:avLst/>
                              </a:prstGeom>
                              <a:noFill/>
                              <a:ln w="1270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0B6CF" id="Owal 23" o:spid="_x0000_s1026" style="position:absolute;margin-left:116.6pt;margin-top:19.55pt;width:34.65pt;height: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" filled="f" strokecolor="#7f6000" strokeweight="1pt">
                      <v:stroke joinstyle="miter"/>
                    </v:oval>
                  </w:pict>
                </mc:Fallback>
              </mc:AlternateContent>
            </w:r>
            <w:r w:rsidRPr="00297C20">
              <w:rPr>
                <w:rFonts w:ascii="Palatino Linotype" w:eastAsia="Times New Roma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6064" behindDoc="0" locked="0" layoutInCell="1" allowOverlap="1" wp14:anchorId="65003E7C" wp14:editId="5569F915">
                      <wp:simplePos x="0" y="0"/>
                      <wp:positionH relativeFrom="column">
                        <wp:posOffset>2513965</wp:posOffset>
                      </wp:positionH>
                      <wp:positionV relativeFrom="paragraph">
                        <wp:posOffset>224790</wp:posOffset>
                      </wp:positionV>
                      <wp:extent cx="186055" cy="1788160"/>
                      <wp:effectExtent l="0" t="0" r="23495" b="21590"/>
                      <wp:wrapNone/>
                      <wp:docPr id="22" name="Prostokąt 22"/>
                      <wp:cNvGraphicFramePr/>
                      <a:graphic xmlns:a="http://schemas.openxmlformats.org/drawingml/2006/main">
                        <a:graphicData uri="http://schemas.microsoft.com/office/word/2010/wordprocessingShape">
                          <wps:wsp>
                            <wps:cNvSpPr/>
                            <wps:spPr>
                              <a:xfrm>
                                <a:off x="0" y="0"/>
                                <a:ext cx="186055" cy="1788160"/>
                              </a:xfrm>
                              <a:prstGeom prst="rect">
                                <a:avLst/>
                              </a:prstGeom>
                              <a:noFill/>
                              <a:ln w="19050" cap="flat" cmpd="sng" algn="ctr">
                                <a:solidFill>
                                  <a:srgbClr val="FF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E3B9" id="Prostokąt 22" o:spid="_x0000_s1026" style="position:absolute;margin-left:197.95pt;margin-top:17.7pt;width:14.65pt;height:14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" filled="f" strokecolor="#f6f" strokeweight="1.5pt"/>
                  </w:pict>
                </mc:Fallback>
              </mc:AlternateContent>
            </w:r>
            <w:r w:rsidRPr="00297C20">
              <w:rPr>
                <w:rFonts w:ascii="Palatino Linotype" w:eastAsia="Times New Roma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5040" behindDoc="0" locked="0" layoutInCell="1" allowOverlap="1" wp14:anchorId="5D8589E5" wp14:editId="67080C47">
                      <wp:simplePos x="0" y="0"/>
                      <wp:positionH relativeFrom="column">
                        <wp:posOffset>3745865</wp:posOffset>
                      </wp:positionH>
                      <wp:positionV relativeFrom="paragraph">
                        <wp:posOffset>256540</wp:posOffset>
                      </wp:positionV>
                      <wp:extent cx="330200" cy="922655"/>
                      <wp:effectExtent l="0" t="0" r="12700" b="10795"/>
                      <wp:wrapNone/>
                      <wp:docPr id="16" name="Owal 16"/>
                      <wp:cNvGraphicFramePr/>
                      <a:graphic xmlns:a="http://schemas.openxmlformats.org/drawingml/2006/main">
                        <a:graphicData uri="http://schemas.microsoft.com/office/word/2010/wordprocessingShape">
                          <wps:wsp>
                            <wps:cNvSpPr/>
                            <wps:spPr>
                              <a:xfrm>
                                <a:off x="0" y="0"/>
                                <a:ext cx="330200" cy="922655"/>
                              </a:xfrm>
                              <a:prstGeom prst="ellipse">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6310B" id="Owal 16" o:spid="_x0000_s1026" style="position:absolute;margin-left:294.95pt;margin-top:20.2pt;width:26pt;height:7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" filled="f" strokecolor="#00b050" strokeweight="1.5pt">
                      <v:stroke joinstyle="miter"/>
                    </v:oval>
                  </w:pict>
                </mc:Fallback>
              </mc:AlternateContent>
            </w:r>
            <w:r w:rsidRPr="00297C20">
              <w:rPr>
                <w:rFonts w:ascii="Palatino Linotype" w:eastAsia="Times New Roman" w:hAnsi="Palatino Linotype" w:cs="Times New Roman"/>
                <w:noProof/>
                <w:snapToGrid w:val="0"/>
                <w:color w:val="000000"/>
                <w:kern w:val="0"/>
                <w:sz w:val="20"/>
                <w:szCs w:val="20"/>
                <w:lang w:val="en-GB" w:eastAsia="en-GB"/>
                <w14:ligatures w14:val="none"/>
              </w:rPr>
              <w:drawing>
                <wp:inline distT="0" distB="0" distL="0" distR="0" wp14:anchorId="3ACBE3D3" wp14:editId="3AEFDBF0">
                  <wp:extent cx="3646749" cy="2125133"/>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8011" cy="2155006"/>
                          </a:xfrm>
                          <a:prstGeom prst="rect">
                            <a:avLst/>
                          </a:prstGeom>
                          <a:noFill/>
                        </pic:spPr>
                      </pic:pic>
                    </a:graphicData>
                  </a:graphic>
                </wp:inline>
              </w:drawing>
            </w:r>
          </w:p>
        </w:tc>
      </w:tr>
      <w:tr w:rsidR="002147D4" w:rsidRPr="00297C20" w14:paraId="49778794" w14:textId="77777777" w:rsidTr="00E86C10">
        <w:tc>
          <w:tcPr>
            <w:tcW w:w="9639" w:type="dxa"/>
            <w:gridSpan w:val="2"/>
            <w:vAlign w:val="center"/>
          </w:tcPr>
          <w:p w14:paraId="470C99DD"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 xml:space="preserve">   (</w:t>
            </w:r>
            <w:r w:rsidRPr="00297C20">
              <w:rPr>
                <w:rFonts w:ascii="Palatino Linotype" w:eastAsia="Times New Roman" w:hAnsi="Palatino Linotype" w:cs="Times New Roman"/>
                <w:b/>
                <w:snapToGrid w:val="0"/>
                <w:color w:val="000000"/>
                <w:kern w:val="0"/>
                <w:sz w:val="18"/>
                <w:szCs w:val="20"/>
                <w:lang w:val="en-GB" w:eastAsia="de-DE" w:bidi="en-US"/>
                <w14:ligatures w14:val="none"/>
              </w:rPr>
              <w:t>a</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noProof/>
                <w:color w:val="000000"/>
                <w:kern w:val="0"/>
                <w:sz w:val="20"/>
                <w:szCs w:val="20"/>
                <w:lang w:val="en-GB" w:eastAsia="en-GB"/>
                <w14:ligatures w14:val="none"/>
              </w:rPr>
              <w:t xml:space="preserve"> </w:t>
            </w:r>
          </w:p>
        </w:tc>
      </w:tr>
      <w:tr w:rsidR="002147D4" w:rsidRPr="00297C20" w14:paraId="52685F17" w14:textId="77777777" w:rsidTr="00E86C10">
        <w:tc>
          <w:tcPr>
            <w:tcW w:w="9639" w:type="dxa"/>
            <w:gridSpan w:val="2"/>
            <w:vAlign w:val="center"/>
          </w:tcPr>
          <w:p w14:paraId="09991FDF"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SimSu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42208" behindDoc="0" locked="0" layoutInCell="1" allowOverlap="1" wp14:anchorId="1ED54834" wp14:editId="773FA756">
                      <wp:simplePos x="0" y="0"/>
                      <wp:positionH relativeFrom="column">
                        <wp:posOffset>4656455</wp:posOffset>
                      </wp:positionH>
                      <wp:positionV relativeFrom="paragraph">
                        <wp:posOffset>1887855</wp:posOffset>
                      </wp:positionV>
                      <wp:extent cx="219710" cy="160020"/>
                      <wp:effectExtent l="0" t="0" r="27940" b="11430"/>
                      <wp:wrapNone/>
                      <wp:docPr id="31" name="Owal 31"/>
                      <wp:cNvGraphicFramePr/>
                      <a:graphic xmlns:a="http://schemas.openxmlformats.org/drawingml/2006/main">
                        <a:graphicData uri="http://schemas.microsoft.com/office/word/2010/wordprocessingShape">
                          <wps:wsp>
                            <wps:cNvSpPr/>
                            <wps:spPr>
                              <a:xfrm>
                                <a:off x="0" y="0"/>
                                <a:ext cx="219710" cy="1600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C7BC3" id="Owal 31" o:spid="_x0000_s1026" style="position:absolute;margin-left:366.65pt;margin-top:148.65pt;width:17.3pt;height:1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" filled="f" strokecolor="red" strokeweight="1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41184" behindDoc="0" locked="0" layoutInCell="1" allowOverlap="1" wp14:anchorId="60039423" wp14:editId="0456F356">
                      <wp:simplePos x="0" y="0"/>
                      <wp:positionH relativeFrom="column">
                        <wp:posOffset>1921510</wp:posOffset>
                      </wp:positionH>
                      <wp:positionV relativeFrom="paragraph">
                        <wp:posOffset>1896110</wp:posOffset>
                      </wp:positionV>
                      <wp:extent cx="219710" cy="160020"/>
                      <wp:effectExtent l="0" t="0" r="27940" b="11430"/>
                      <wp:wrapNone/>
                      <wp:docPr id="30" name="Owal 30"/>
                      <wp:cNvGraphicFramePr/>
                      <a:graphic xmlns:a="http://schemas.openxmlformats.org/drawingml/2006/main">
                        <a:graphicData uri="http://schemas.microsoft.com/office/word/2010/wordprocessingShape">
                          <wps:wsp>
                            <wps:cNvSpPr/>
                            <wps:spPr>
                              <a:xfrm>
                                <a:off x="0" y="0"/>
                                <a:ext cx="219710" cy="1600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6C0D6" id="Owal 30" o:spid="_x0000_s1026" style="position:absolute;margin-left:151.3pt;margin-top:149.3pt;width:17.3pt;height:1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" filled="f" strokecolor="red" strokeweight="1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40160" behindDoc="0" locked="0" layoutInCell="1" allowOverlap="1" wp14:anchorId="16C1DDF2" wp14:editId="266C4D21">
                      <wp:simplePos x="0" y="0"/>
                      <wp:positionH relativeFrom="column">
                        <wp:posOffset>1405255</wp:posOffset>
                      </wp:positionH>
                      <wp:positionV relativeFrom="paragraph">
                        <wp:posOffset>168910</wp:posOffset>
                      </wp:positionV>
                      <wp:extent cx="440055" cy="127000"/>
                      <wp:effectExtent l="0" t="0" r="17145" b="25400"/>
                      <wp:wrapNone/>
                      <wp:docPr id="29" name="Owal 29"/>
                      <wp:cNvGraphicFramePr/>
                      <a:graphic xmlns:a="http://schemas.openxmlformats.org/drawingml/2006/main">
                        <a:graphicData uri="http://schemas.microsoft.com/office/word/2010/wordprocessingShape">
                          <wps:wsp>
                            <wps:cNvSpPr/>
                            <wps:spPr>
                              <a:xfrm>
                                <a:off x="0" y="0"/>
                                <a:ext cx="440055" cy="127000"/>
                              </a:xfrm>
                              <a:prstGeom prst="ellipse">
                                <a:avLst/>
                              </a:prstGeom>
                              <a:noFill/>
                              <a:ln w="1270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D6228" id="Owal 29" o:spid="_x0000_s1026" style="position:absolute;margin-left:110.65pt;margin-top:13.3pt;width:34.65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" filled="f" strokecolor="#7f6000" strokeweight="1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9136" behindDoc="0" locked="0" layoutInCell="1" allowOverlap="1" wp14:anchorId="23D7B804" wp14:editId="25BB40CE">
                      <wp:simplePos x="0" y="0"/>
                      <wp:positionH relativeFrom="column">
                        <wp:posOffset>2615565</wp:posOffset>
                      </wp:positionH>
                      <wp:positionV relativeFrom="paragraph">
                        <wp:posOffset>224790</wp:posOffset>
                      </wp:positionV>
                      <wp:extent cx="186055" cy="1788160"/>
                      <wp:effectExtent l="0" t="0" r="23495" b="21590"/>
                      <wp:wrapNone/>
                      <wp:docPr id="28" name="Prostokąt 28"/>
                      <wp:cNvGraphicFramePr/>
                      <a:graphic xmlns:a="http://schemas.openxmlformats.org/drawingml/2006/main">
                        <a:graphicData uri="http://schemas.microsoft.com/office/word/2010/wordprocessingShape">
                          <wps:wsp>
                            <wps:cNvSpPr/>
                            <wps:spPr>
                              <a:xfrm>
                                <a:off x="0" y="0"/>
                                <a:ext cx="186055" cy="1788160"/>
                              </a:xfrm>
                              <a:prstGeom prst="rect">
                                <a:avLst/>
                              </a:prstGeom>
                              <a:noFill/>
                              <a:ln w="19050" cap="flat" cmpd="sng" algn="ctr">
                                <a:solidFill>
                                  <a:srgbClr val="FF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4AA79" id="Prostokąt 28" o:spid="_x0000_s1026" style="position:absolute;margin-left:205.95pt;margin-top:17.7pt;width:14.65pt;height:14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" filled="f" strokecolor="#f6f" strokeweight="1.5pt"/>
                  </w:pict>
                </mc:Fallback>
              </mc:AlternateContent>
            </w:r>
            <w:r w:rsidRPr="00297C20">
              <w:rPr>
                <w:rFonts w:ascii="Palatino Linotype" w:eastAsia="SimSun" w:hAnsi="Palatino Linotype" w:cs="Times New Roman"/>
                <w:noProof/>
                <w:color w:val="000000"/>
                <w:kern w:val="0"/>
                <w:sz w:val="20"/>
                <w:szCs w:val="20"/>
                <w:lang w:val="en-GB" w:eastAsia="en-GB"/>
                <w14:ligatures w14:val="none"/>
              </w:rPr>
              <mc:AlternateContent>
                <mc:Choice Requires="wps">
                  <w:drawing>
                    <wp:anchor distT="0" distB="0" distL="114300" distR="114300" simplePos="0" relativeHeight="251738112" behindDoc="0" locked="0" layoutInCell="1" allowOverlap="1" wp14:anchorId="1BB1E007" wp14:editId="11EC2112">
                      <wp:simplePos x="0" y="0"/>
                      <wp:positionH relativeFrom="column">
                        <wp:posOffset>3345815</wp:posOffset>
                      </wp:positionH>
                      <wp:positionV relativeFrom="paragraph">
                        <wp:posOffset>233680</wp:posOffset>
                      </wp:positionV>
                      <wp:extent cx="533400" cy="922655"/>
                      <wp:effectExtent l="0" t="0" r="19050" b="10795"/>
                      <wp:wrapNone/>
                      <wp:docPr id="27" name="Owal 27"/>
                      <wp:cNvGraphicFramePr/>
                      <a:graphic xmlns:a="http://schemas.openxmlformats.org/drawingml/2006/main">
                        <a:graphicData uri="http://schemas.microsoft.com/office/word/2010/wordprocessingShape">
                          <wps:wsp>
                            <wps:cNvSpPr/>
                            <wps:spPr>
                              <a:xfrm>
                                <a:off x="0" y="0"/>
                                <a:ext cx="533400" cy="922655"/>
                              </a:xfrm>
                              <a:prstGeom prst="ellipse">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81A18" id="Owal 27" o:spid="_x0000_s1026" style="position:absolute;margin-left:263.45pt;margin-top:18.4pt;width:42pt;height:7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" filled="f" strokecolor="#00b050" strokeweight="1.5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w:drawing>
                <wp:inline distT="0" distB="0" distL="0" distR="0" wp14:anchorId="2ABD6FAE" wp14:editId="40722C45">
                  <wp:extent cx="3674534" cy="2145238"/>
                  <wp:effectExtent l="0" t="0" r="254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2140" cy="2178869"/>
                          </a:xfrm>
                          <a:prstGeom prst="rect">
                            <a:avLst/>
                          </a:prstGeom>
                          <a:noFill/>
                        </pic:spPr>
                      </pic:pic>
                    </a:graphicData>
                  </a:graphic>
                </wp:inline>
              </w:drawing>
            </w:r>
          </w:p>
        </w:tc>
      </w:tr>
      <w:tr w:rsidR="002147D4" w:rsidRPr="00297C20" w14:paraId="7E382483" w14:textId="77777777" w:rsidTr="00E86C10">
        <w:tc>
          <w:tcPr>
            <w:tcW w:w="9639" w:type="dxa"/>
            <w:gridSpan w:val="2"/>
            <w:vAlign w:val="center"/>
          </w:tcPr>
          <w:p w14:paraId="0914CE39"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 xml:space="preserve">   (</w:t>
            </w:r>
            <w:r w:rsidRPr="00297C20">
              <w:rPr>
                <w:rFonts w:ascii="Palatino Linotype" w:eastAsia="Times New Roman" w:hAnsi="Palatino Linotype" w:cs="Times New Roman"/>
                <w:b/>
                <w:snapToGrid w:val="0"/>
                <w:color w:val="000000"/>
                <w:kern w:val="0"/>
                <w:sz w:val="18"/>
                <w:szCs w:val="20"/>
                <w:lang w:val="en-GB" w:eastAsia="de-DE" w:bidi="en-US"/>
                <w14:ligatures w14:val="none"/>
              </w:rPr>
              <w:t>b</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noProof/>
                <w:color w:val="000000"/>
                <w:kern w:val="0"/>
                <w:sz w:val="20"/>
                <w:szCs w:val="20"/>
                <w:lang w:val="en-GB" w:eastAsia="en-GB"/>
                <w14:ligatures w14:val="none"/>
              </w:rPr>
              <w:t xml:space="preserve"> </w:t>
            </w:r>
          </w:p>
        </w:tc>
      </w:tr>
      <w:tr w:rsidR="002147D4" w:rsidRPr="00297C20" w14:paraId="66931882" w14:textId="77777777" w:rsidTr="00E86C10">
        <w:tc>
          <w:tcPr>
            <w:tcW w:w="4394" w:type="dxa"/>
            <w:vAlign w:val="center"/>
          </w:tcPr>
          <w:p w14:paraId="4ADDC48D"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Calibri" w:eastAsia="Calibri" w:hAnsi="Calibri" w:cs="Calibri"/>
                <w:noProof/>
                <w:kern w:val="0"/>
                <w:lang w:val="en-GB" w:eastAsia="en-GB"/>
                <w14:ligatures w14:val="none"/>
              </w:rPr>
              <w:lastRenderedPageBreak/>
              <mc:AlternateContent>
                <mc:Choice Requires="wps">
                  <w:drawing>
                    <wp:anchor distT="0" distB="0" distL="114300" distR="114300" simplePos="0" relativeHeight="251743232" behindDoc="0" locked="0" layoutInCell="1" allowOverlap="1" wp14:anchorId="77192689" wp14:editId="4974CA74">
                      <wp:simplePos x="0" y="0"/>
                      <wp:positionH relativeFrom="column">
                        <wp:posOffset>1226185</wp:posOffset>
                      </wp:positionH>
                      <wp:positionV relativeFrom="paragraph">
                        <wp:posOffset>612140</wp:posOffset>
                      </wp:positionV>
                      <wp:extent cx="617855" cy="635000"/>
                      <wp:effectExtent l="19050" t="19050" r="10795" b="12700"/>
                      <wp:wrapNone/>
                      <wp:docPr id="32" name="Owal 32"/>
                      <wp:cNvGraphicFramePr/>
                      <a:graphic xmlns:a="http://schemas.openxmlformats.org/drawingml/2006/main">
                        <a:graphicData uri="http://schemas.microsoft.com/office/word/2010/wordprocessingShape">
                          <wps:wsp>
                            <wps:cNvSpPr/>
                            <wps:spPr>
                              <a:xfrm>
                                <a:off x="0" y="0"/>
                                <a:ext cx="617855" cy="635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FBE96" id="Owal 32" o:spid="_x0000_s1026" style="position:absolute;margin-left:96.55pt;margin-top:48.2pt;width:48.65pt;height:5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" filled="f" strokecolor="red" strokeweight="2.25pt">
                      <v:stroke joinstyle="miter"/>
                    </v:oval>
                  </w:pict>
                </mc:Fallback>
              </mc:AlternateContent>
            </w:r>
            <w:r w:rsidRPr="00297C20">
              <w:rPr>
                <w:rFonts w:ascii="Palatino Linotype" w:eastAsia="Times New Roman" w:hAnsi="Palatino Linotype" w:cs="Times New Roman"/>
                <w:noProof/>
                <w:snapToGrid w:val="0"/>
                <w:color w:val="000000"/>
                <w:kern w:val="0"/>
                <w:sz w:val="20"/>
                <w:szCs w:val="20"/>
                <w:lang w:val="en-GB" w:eastAsia="en-GB"/>
                <w14:ligatures w14:val="none"/>
              </w:rPr>
              <w:drawing>
                <wp:inline distT="0" distB="0" distL="0" distR="0" wp14:anchorId="5A76EE66" wp14:editId="1FA49AC5">
                  <wp:extent cx="1856529" cy="2088373"/>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0975" cy="2127120"/>
                          </a:xfrm>
                          <a:prstGeom prst="rect">
                            <a:avLst/>
                          </a:prstGeom>
                          <a:noFill/>
                        </pic:spPr>
                      </pic:pic>
                    </a:graphicData>
                  </a:graphic>
                </wp:inline>
              </w:drawing>
            </w:r>
            <w:r w:rsidRPr="00297C20">
              <w:rPr>
                <w:rFonts w:ascii="Palatino Linotype" w:eastAsia="Times New Roman" w:hAnsi="Palatino Linotype" w:cs="Times New Roman"/>
                <w:noProof/>
                <w:snapToGrid w:val="0"/>
                <w:color w:val="000000"/>
                <w:kern w:val="0"/>
                <w:sz w:val="20"/>
                <w:szCs w:val="20"/>
                <w:lang w:val="en-GB" w:eastAsia="en-GB"/>
                <w14:ligatures w14:val="none"/>
              </w:rPr>
              <w:drawing>
                <wp:inline distT="0" distB="0" distL="0" distR="0" wp14:anchorId="08D237A2" wp14:editId="03AD00F2">
                  <wp:extent cx="2096009" cy="465146"/>
                  <wp:effectExtent l="0" t="381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03206" cy="511127"/>
                          </a:xfrm>
                          <a:prstGeom prst="rect">
                            <a:avLst/>
                          </a:prstGeom>
                          <a:noFill/>
                        </pic:spPr>
                      </pic:pic>
                    </a:graphicData>
                  </a:graphic>
                </wp:inline>
              </w:drawing>
            </w:r>
          </w:p>
        </w:tc>
        <w:tc>
          <w:tcPr>
            <w:tcW w:w="5245" w:type="dxa"/>
          </w:tcPr>
          <w:p w14:paraId="38CA44F1"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Calibri" w:eastAsia="Calibri" w:hAnsi="Calibri" w:cs="Calibri"/>
                <w:noProof/>
                <w:kern w:val="0"/>
                <w:lang w:val="en-GB" w:eastAsia="en-GB"/>
                <w14:ligatures w14:val="none"/>
              </w:rPr>
              <mc:AlternateContent>
                <mc:Choice Requires="wps">
                  <w:drawing>
                    <wp:anchor distT="0" distB="0" distL="114300" distR="114300" simplePos="0" relativeHeight="251744256" behindDoc="0" locked="0" layoutInCell="1" allowOverlap="1" wp14:anchorId="1F09F525" wp14:editId="011EA69B">
                      <wp:simplePos x="0" y="0"/>
                      <wp:positionH relativeFrom="column">
                        <wp:posOffset>491490</wp:posOffset>
                      </wp:positionH>
                      <wp:positionV relativeFrom="paragraph">
                        <wp:posOffset>360680</wp:posOffset>
                      </wp:positionV>
                      <wp:extent cx="618067" cy="635000"/>
                      <wp:effectExtent l="19050" t="19050" r="10795" b="12700"/>
                      <wp:wrapNone/>
                      <wp:docPr id="33" name="Owal 33"/>
                      <wp:cNvGraphicFramePr/>
                      <a:graphic xmlns:a="http://schemas.openxmlformats.org/drawingml/2006/main">
                        <a:graphicData uri="http://schemas.microsoft.com/office/word/2010/wordprocessingShape">
                          <wps:wsp>
                            <wps:cNvSpPr/>
                            <wps:spPr>
                              <a:xfrm>
                                <a:off x="0" y="0"/>
                                <a:ext cx="618067" cy="635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1B7BB" id="Owal 33" o:spid="_x0000_s1026" style="position:absolute;margin-left:38.7pt;margin-top:28.4pt;width:48.65pt;height:5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" filled="f" strokecolor="red" strokeweight="2.25pt">
                      <v:stroke joinstyle="miter"/>
                    </v:oval>
                  </w:pict>
                </mc:Fallback>
              </mc:AlternateContent>
            </w:r>
            <w:r w:rsidRPr="00297C20">
              <w:rPr>
                <w:rFonts w:ascii="Palatino Linotype" w:eastAsia="Times New Roman" w:hAnsi="Palatino Linotype" w:cs="Times New Roman"/>
                <w:noProof/>
                <w:snapToGrid w:val="0"/>
                <w:color w:val="000000"/>
                <w:kern w:val="0"/>
                <w:sz w:val="20"/>
                <w:szCs w:val="20"/>
                <w:lang w:val="en-GB" w:eastAsia="en-GB"/>
                <w14:ligatures w14:val="none"/>
              </w:rPr>
              <w:drawing>
                <wp:inline distT="0" distB="0" distL="0" distR="0" wp14:anchorId="2BA835AC" wp14:editId="0BD469C5">
                  <wp:extent cx="3224801" cy="147066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684" cy="1507546"/>
                          </a:xfrm>
                          <a:prstGeom prst="rect">
                            <a:avLst/>
                          </a:prstGeom>
                          <a:noFill/>
                        </pic:spPr>
                      </pic:pic>
                    </a:graphicData>
                  </a:graphic>
                </wp:inline>
              </w:drawing>
            </w:r>
          </w:p>
          <w:p w14:paraId="42C3A4B9"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20"/>
                <w:szCs w:val="20"/>
                <w:lang w:val="en-GB" w:eastAsia="de-DE" w:bidi="en-US"/>
                <w14:ligatures w14:val="none"/>
              </w:rPr>
            </w:pPr>
            <w:r w:rsidRPr="00297C20">
              <w:rPr>
                <w:rFonts w:ascii="Palatino Linotype" w:eastAsia="Times New Roman" w:hAnsi="Palatino Linotype" w:cs="Times New Roman"/>
                <w:noProof/>
                <w:snapToGrid w:val="0"/>
                <w:color w:val="000000"/>
                <w:kern w:val="0"/>
                <w:sz w:val="20"/>
                <w:szCs w:val="20"/>
                <w:lang w:val="en-GB" w:eastAsia="en-GB"/>
                <w14:ligatures w14:val="none"/>
              </w:rPr>
              <w:drawing>
                <wp:inline distT="0" distB="0" distL="0" distR="0" wp14:anchorId="31A74645" wp14:editId="7B962EDB">
                  <wp:extent cx="2084336" cy="61722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134" cy="633151"/>
                          </a:xfrm>
                          <a:prstGeom prst="rect">
                            <a:avLst/>
                          </a:prstGeom>
                          <a:noFill/>
                        </pic:spPr>
                      </pic:pic>
                    </a:graphicData>
                  </a:graphic>
                </wp:inline>
              </w:drawing>
            </w:r>
          </w:p>
        </w:tc>
      </w:tr>
      <w:tr w:rsidR="002147D4" w:rsidRPr="00297C20" w14:paraId="0C9D9780" w14:textId="77777777" w:rsidTr="00E86C10">
        <w:tc>
          <w:tcPr>
            <w:tcW w:w="4394" w:type="dxa"/>
            <w:vAlign w:val="center"/>
          </w:tcPr>
          <w:p w14:paraId="3420221F"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c</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Calibri" w:eastAsia="Calibri" w:hAnsi="Calibri" w:cs="Calibri"/>
                <w:noProof/>
                <w:kern w:val="0"/>
                <w:lang w:val="en-GB" w:eastAsia="en-GB"/>
                <w14:ligatures w14:val="none"/>
              </w:rPr>
              <w:t xml:space="preserve"> </w:t>
            </w:r>
          </w:p>
        </w:tc>
        <w:tc>
          <w:tcPr>
            <w:tcW w:w="5245" w:type="dxa"/>
          </w:tcPr>
          <w:p w14:paraId="4FC9D282"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d</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r w:rsidR="002147D4" w:rsidRPr="00297C20" w14:paraId="3D2E0A4F" w14:textId="77777777" w:rsidTr="00E86C10">
        <w:tc>
          <w:tcPr>
            <w:tcW w:w="4394" w:type="dxa"/>
            <w:vAlign w:val="center"/>
          </w:tcPr>
          <w:p w14:paraId="14C9CDEA"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Calibri" w:eastAsia="Calibri" w:hAnsi="Calibri" w:cs="Calibri"/>
                <w:noProof/>
                <w:kern w:val="0"/>
                <w:lang w:val="en-GB" w:eastAsia="en-GB"/>
                <w14:ligatures w14:val="none"/>
              </w:rPr>
              <mc:AlternateContent>
                <mc:Choice Requires="wps">
                  <w:drawing>
                    <wp:anchor distT="0" distB="0" distL="114300" distR="114300" simplePos="0" relativeHeight="251745280" behindDoc="0" locked="0" layoutInCell="1" allowOverlap="1" wp14:anchorId="1755CC40" wp14:editId="51897ACE">
                      <wp:simplePos x="0" y="0"/>
                      <wp:positionH relativeFrom="column">
                        <wp:posOffset>1229995</wp:posOffset>
                      </wp:positionH>
                      <wp:positionV relativeFrom="paragraph">
                        <wp:posOffset>628650</wp:posOffset>
                      </wp:positionV>
                      <wp:extent cx="617855" cy="635000"/>
                      <wp:effectExtent l="19050" t="19050" r="10795" b="12700"/>
                      <wp:wrapNone/>
                      <wp:docPr id="36" name="Owal 36"/>
                      <wp:cNvGraphicFramePr/>
                      <a:graphic xmlns:a="http://schemas.openxmlformats.org/drawingml/2006/main">
                        <a:graphicData uri="http://schemas.microsoft.com/office/word/2010/wordprocessingShape">
                          <wps:wsp>
                            <wps:cNvSpPr/>
                            <wps:spPr>
                              <a:xfrm>
                                <a:off x="0" y="0"/>
                                <a:ext cx="617855" cy="635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5DB09" id="Owal 36" o:spid="_x0000_s1026" style="position:absolute;margin-left:96.85pt;margin-top:49.5pt;width:48.65pt;height:5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" filled="f" strokecolor="red" strokeweight="2.25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w:drawing>
                <wp:inline distT="0" distB="0" distL="0" distR="0" wp14:anchorId="22391C96" wp14:editId="040A619D">
                  <wp:extent cx="1941387" cy="2015067"/>
                  <wp:effectExtent l="0" t="0" r="1905"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3963" cy="2028120"/>
                          </a:xfrm>
                          <a:prstGeom prst="rect">
                            <a:avLst/>
                          </a:prstGeom>
                          <a:noFill/>
                        </pic:spPr>
                      </pic:pic>
                    </a:graphicData>
                  </a:graphic>
                </wp:inline>
              </w:drawing>
            </w:r>
            <w:r w:rsidRPr="00297C20">
              <w:rPr>
                <w:rFonts w:ascii="Palatino Linotype" w:eastAsia="SimSun" w:hAnsi="Palatino Linotype" w:cs="Times New Roman"/>
                <w:noProof/>
                <w:color w:val="000000"/>
                <w:kern w:val="0"/>
                <w:sz w:val="20"/>
                <w:szCs w:val="20"/>
                <w:lang w:val="en-GB" w:eastAsia="en-GB"/>
                <w14:ligatures w14:val="none"/>
              </w:rPr>
              <w:drawing>
                <wp:inline distT="0" distB="0" distL="0" distR="0" wp14:anchorId="1D4F8394" wp14:editId="0E777972">
                  <wp:extent cx="2025010" cy="481376"/>
                  <wp:effectExtent l="0" t="9525" r="4445"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044115" cy="485918"/>
                          </a:xfrm>
                          <a:prstGeom prst="rect">
                            <a:avLst/>
                          </a:prstGeom>
                          <a:noFill/>
                        </pic:spPr>
                      </pic:pic>
                    </a:graphicData>
                  </a:graphic>
                </wp:inline>
              </w:drawing>
            </w:r>
          </w:p>
        </w:tc>
        <w:tc>
          <w:tcPr>
            <w:tcW w:w="5245" w:type="dxa"/>
          </w:tcPr>
          <w:p w14:paraId="1CED3744" w14:textId="77777777" w:rsidR="002147D4" w:rsidRPr="00297C20" w:rsidRDefault="002147D4" w:rsidP="002147D4">
            <w:pPr>
              <w:adjustRightInd w:val="0"/>
              <w:snapToGrid w:val="0"/>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Calibri" w:eastAsia="Calibri" w:hAnsi="Calibri" w:cs="Calibri"/>
                <w:noProof/>
                <w:kern w:val="0"/>
                <w:lang w:val="en-GB" w:eastAsia="en-GB"/>
                <w14:ligatures w14:val="none"/>
              </w:rPr>
              <mc:AlternateContent>
                <mc:Choice Requires="wps">
                  <w:drawing>
                    <wp:anchor distT="0" distB="0" distL="114300" distR="114300" simplePos="0" relativeHeight="251746304" behindDoc="0" locked="0" layoutInCell="1" allowOverlap="1" wp14:anchorId="187AB221" wp14:editId="09F5F71F">
                      <wp:simplePos x="0" y="0"/>
                      <wp:positionH relativeFrom="column">
                        <wp:posOffset>400050</wp:posOffset>
                      </wp:positionH>
                      <wp:positionV relativeFrom="paragraph">
                        <wp:posOffset>303530</wp:posOffset>
                      </wp:positionV>
                      <wp:extent cx="618067" cy="635000"/>
                      <wp:effectExtent l="19050" t="19050" r="10795" b="12700"/>
                      <wp:wrapNone/>
                      <wp:docPr id="39" name="Owal 39"/>
                      <wp:cNvGraphicFramePr/>
                      <a:graphic xmlns:a="http://schemas.openxmlformats.org/drawingml/2006/main">
                        <a:graphicData uri="http://schemas.microsoft.com/office/word/2010/wordprocessingShape">
                          <wps:wsp>
                            <wps:cNvSpPr/>
                            <wps:spPr>
                              <a:xfrm>
                                <a:off x="0" y="0"/>
                                <a:ext cx="618067" cy="635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44CB6" id="Owal 39" o:spid="_x0000_s1026" style="position:absolute;margin-left:31.5pt;margin-top:23.9pt;width:48.65pt;height:5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" filled="f" strokecolor="red" strokeweight="2.25pt">
                      <v:stroke joinstyle="miter"/>
                    </v:oval>
                  </w:pict>
                </mc:Fallback>
              </mc:AlternateContent>
            </w:r>
            <w:r w:rsidRPr="00297C20">
              <w:rPr>
                <w:rFonts w:ascii="Palatino Linotype" w:eastAsia="SimSun" w:hAnsi="Palatino Linotype" w:cs="Times New Roman"/>
                <w:noProof/>
                <w:color w:val="000000"/>
                <w:kern w:val="0"/>
                <w:sz w:val="20"/>
                <w:szCs w:val="20"/>
                <w:lang w:val="en-GB" w:eastAsia="en-GB"/>
                <w14:ligatures w14:val="none"/>
              </w:rPr>
              <w:drawing>
                <wp:inline distT="0" distB="0" distL="0" distR="0" wp14:anchorId="2C52080F" wp14:editId="1DB112B0">
                  <wp:extent cx="3347835" cy="1424940"/>
                  <wp:effectExtent l="0" t="0" r="508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1524" cy="1452048"/>
                          </a:xfrm>
                          <a:prstGeom prst="rect">
                            <a:avLst/>
                          </a:prstGeom>
                          <a:noFill/>
                        </pic:spPr>
                      </pic:pic>
                    </a:graphicData>
                  </a:graphic>
                </wp:inline>
              </w:drawing>
            </w:r>
          </w:p>
          <w:p w14:paraId="536DFA74" w14:textId="77777777" w:rsidR="002147D4" w:rsidRPr="00297C20" w:rsidRDefault="002147D4" w:rsidP="002147D4">
            <w:pPr>
              <w:adjustRightInd w:val="0"/>
              <w:snapToGrid w:val="0"/>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SimSun" w:hAnsi="Palatino Linotype" w:cs="Times New Roman"/>
                <w:noProof/>
                <w:color w:val="000000"/>
                <w:kern w:val="0"/>
                <w:sz w:val="20"/>
                <w:szCs w:val="20"/>
                <w:lang w:val="en-GB" w:eastAsia="en-GB"/>
                <w14:ligatures w14:val="none"/>
              </w:rPr>
              <w:drawing>
                <wp:inline distT="0" distB="0" distL="0" distR="0" wp14:anchorId="7CCBFCE7" wp14:editId="1116A20D">
                  <wp:extent cx="2156460" cy="604186"/>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971" cy="626463"/>
                          </a:xfrm>
                          <a:prstGeom prst="rect">
                            <a:avLst/>
                          </a:prstGeom>
                          <a:noFill/>
                        </pic:spPr>
                      </pic:pic>
                    </a:graphicData>
                  </a:graphic>
                </wp:inline>
              </w:drawing>
            </w:r>
          </w:p>
        </w:tc>
      </w:tr>
      <w:tr w:rsidR="002147D4" w:rsidRPr="00297C20" w14:paraId="2B453F92" w14:textId="77777777" w:rsidTr="00E86C10">
        <w:tc>
          <w:tcPr>
            <w:tcW w:w="4394" w:type="dxa"/>
            <w:vAlign w:val="center"/>
          </w:tcPr>
          <w:p w14:paraId="2A4E4E32"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e</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c>
          <w:tcPr>
            <w:tcW w:w="5245" w:type="dxa"/>
          </w:tcPr>
          <w:p w14:paraId="191A914F" w14:textId="77777777" w:rsidR="002147D4" w:rsidRPr="00297C20" w:rsidRDefault="002147D4" w:rsidP="002147D4">
            <w:pPr>
              <w:adjustRightInd w:val="0"/>
              <w:snapToGrid w:val="0"/>
              <w:spacing w:line="260" w:lineRule="atLeast"/>
              <w:ind w:firstLine="0"/>
              <w:jc w:val="center"/>
              <w:rPr>
                <w:rFonts w:ascii="Palatino Linotype" w:eastAsia="Times New Roman" w:hAnsi="Palatino Linotype" w:cs="Times New Roman"/>
                <w:snapToGrid w:val="0"/>
                <w:color w:val="000000"/>
                <w:kern w:val="0"/>
                <w:sz w:val="18"/>
                <w:szCs w:val="20"/>
                <w:lang w:val="en-GB" w:eastAsia="de-DE" w:bidi="en-US"/>
                <w14:ligatures w14:val="none"/>
              </w:rPr>
            </w:pPr>
            <w:r w:rsidRPr="00297C20">
              <w:rPr>
                <w:rFonts w:ascii="Palatino Linotype" w:eastAsia="Times New Roman" w:hAnsi="Palatino Linotype" w:cs="Times New Roman"/>
                <w:snapToGrid w:val="0"/>
                <w:color w:val="000000"/>
                <w:kern w:val="0"/>
                <w:sz w:val="18"/>
                <w:szCs w:val="20"/>
                <w:lang w:val="en-GB" w:eastAsia="de-DE" w:bidi="en-US"/>
                <w14:ligatures w14:val="none"/>
              </w:rPr>
              <w:t>(</w:t>
            </w:r>
            <w:r w:rsidRPr="00297C20">
              <w:rPr>
                <w:rFonts w:ascii="Palatino Linotype" w:eastAsia="Times New Roman" w:hAnsi="Palatino Linotype" w:cs="Times New Roman"/>
                <w:b/>
                <w:snapToGrid w:val="0"/>
                <w:color w:val="000000"/>
                <w:kern w:val="0"/>
                <w:sz w:val="18"/>
                <w:szCs w:val="20"/>
                <w:lang w:val="en-GB" w:eastAsia="de-DE" w:bidi="en-US"/>
                <w14:ligatures w14:val="none"/>
              </w:rPr>
              <w:t>f</w:t>
            </w:r>
            <w:r w:rsidRPr="00297C20">
              <w:rPr>
                <w:rFonts w:ascii="Palatino Linotype" w:eastAsia="Times New Roman" w:hAnsi="Palatino Linotype" w:cs="Times New Roman"/>
                <w:snapToGrid w:val="0"/>
                <w:color w:val="000000"/>
                <w:kern w:val="0"/>
                <w:sz w:val="18"/>
                <w:szCs w:val="20"/>
                <w:lang w:val="en-GB" w:eastAsia="de-DE" w:bidi="en-US"/>
                <w14:ligatures w14:val="none"/>
              </w:rPr>
              <w:t>)</w:t>
            </w:r>
          </w:p>
        </w:tc>
      </w:tr>
    </w:tbl>
    <w:p w14:paraId="0C91D1A4" w14:textId="4FDCCE20" w:rsidR="00BE10D4" w:rsidRPr="00297C20" w:rsidRDefault="00BE10D4" w:rsidP="004B72DF">
      <w:pPr>
        <w:pStyle w:val="Rrys"/>
        <w:rPr>
          <w:lang w:val="en-GB"/>
        </w:rPr>
      </w:pPr>
      <w:r w:rsidRPr="00297C20">
        <w:rPr>
          <w:b/>
          <w:lang w:val="en-GB"/>
        </w:rPr>
        <w:t>Fig. 6.</w:t>
      </w:r>
      <w:r w:rsidRPr="00297C20">
        <w:rPr>
          <w:lang w:val="en-GB"/>
        </w:rPr>
        <w:t xml:space="preserve"> InSAR-derived deformation at Mt. Etna (July</w:t>
      </w:r>
      <w:r w:rsidR="008E1993">
        <w:rPr>
          <w:lang w:val="en-GB"/>
        </w:rPr>
        <w:t>-</w:t>
      </w:r>
      <w:r w:rsidRPr="00297C20">
        <w:rPr>
          <w:lang w:val="en-GB"/>
        </w:rPr>
        <w:t>August 2024). Multi-temporal SBAS processing of Sentinel-1 IW SLC data with ERA5/GACOS atmospheric delay correction. (a</w:t>
      </w:r>
      <w:r w:rsidR="008E1993">
        <w:rPr>
          <w:lang w:val="en-GB"/>
        </w:rPr>
        <w:t>-</w:t>
      </w:r>
      <w:r w:rsidRPr="00297C20">
        <w:rPr>
          <w:lang w:val="en-GB"/>
        </w:rPr>
        <w:t>c, e) Vertical displacement maps derived from unwrapped interferograms, showing pre-eruptive uplift up to +3 cm in summit zones. (d, f) Corresponding unwrapped interferograms with coherence masks applied (threshold &gt;0.4). Interferometric fringes illustrate phase cycles; phase-to-displacement conversion used λ = 5.6 cm. Residual unwrapping errors are highlighted along steep flanks, but overall signal is consistent with uplift patterns in (a</w:t>
      </w:r>
      <w:r w:rsidR="008E1993">
        <w:rPr>
          <w:lang w:val="en-GB"/>
        </w:rPr>
        <w:t>-</w:t>
      </w:r>
      <w:r w:rsidRPr="00297C20">
        <w:rPr>
          <w:lang w:val="en-GB"/>
        </w:rPr>
        <w:t>c, e).</w:t>
      </w:r>
    </w:p>
    <w:p w14:paraId="420EEAEC" w14:textId="5DE6B723" w:rsidR="00BE10D4" w:rsidRPr="00297C20" w:rsidRDefault="00BE10D4" w:rsidP="00BE10D4">
      <w:pPr>
        <w:pStyle w:val="Rn2"/>
        <w:jc w:val="both"/>
        <w:rPr>
          <w:lang w:val="en-GB"/>
        </w:rPr>
      </w:pPr>
      <w:r w:rsidRPr="00297C20">
        <w:rPr>
          <w:lang w:val="en-GB"/>
        </w:rPr>
        <w:t xml:space="preserve">3.4. </w:t>
      </w:r>
      <w:r w:rsidR="00984CA4" w:rsidRPr="00297C20">
        <w:rPr>
          <w:lang w:val="en-GB"/>
        </w:rPr>
        <w:t>Integrated lead-</w:t>
      </w:r>
      <w:r w:rsidRPr="00297C20">
        <w:rPr>
          <w:lang w:val="en-GB"/>
        </w:rPr>
        <w:t>lag behaviour</w:t>
      </w:r>
    </w:p>
    <w:p w14:paraId="3770C4FB" w14:textId="78908060" w:rsidR="00BE10D4" w:rsidRPr="00297C20" w:rsidRDefault="00BE10D4" w:rsidP="00BE10D4">
      <w:pPr>
        <w:rPr>
          <w:lang w:val="en-GB"/>
        </w:rPr>
      </w:pPr>
      <w:r w:rsidRPr="00297C20">
        <w:rPr>
          <w:lang w:val="en-GB"/>
        </w:rPr>
        <w:t xml:space="preserve">During the August 2024 eruption, SO₂ anomalies exceeded 0.0021 mol m⁻² approximately one week before </w:t>
      </w:r>
      <w:r w:rsidR="0042740C">
        <w:rPr>
          <w:lang w:val="en-GB"/>
        </w:rPr>
        <w:t xml:space="preserve">the </w:t>
      </w:r>
      <w:r w:rsidRPr="00297C20">
        <w:rPr>
          <w:lang w:val="en-GB"/>
        </w:rPr>
        <w:t>eruption onset, accompanied by vertical uplift of up to 3 cm. NDVI and ND</w:t>
      </w:r>
      <w:r w:rsidR="003403B0" w:rsidRPr="00297C20">
        <w:rPr>
          <w:lang w:val="en-GB"/>
        </w:rPr>
        <w:t>MI anomalies reached minima of -1.08 and -</w:t>
      </w:r>
      <w:r w:rsidRPr="00297C20">
        <w:rPr>
          <w:lang w:val="en-GB"/>
        </w:rPr>
        <w:t>1.39, respectively, around the time of peak degassing. Cross-correlation analysis confirmed that SO₂ and deformatio</w:t>
      </w:r>
      <w:r w:rsidR="003403B0" w:rsidRPr="00297C20">
        <w:rPr>
          <w:lang w:val="en-GB"/>
        </w:rPr>
        <w:t>n led vegetation anomalies by 5-</w:t>
      </w:r>
      <w:r w:rsidRPr="00297C20">
        <w:rPr>
          <w:lang w:val="en-GB"/>
        </w:rPr>
        <w:t xml:space="preserve">15 days, with </w:t>
      </w:r>
      <w:r w:rsidR="003403B0" w:rsidRPr="00297C20">
        <w:rPr>
          <w:lang w:val="en-GB"/>
        </w:rPr>
        <w:t>maximum correlation at lags of -7 to -</w:t>
      </w:r>
      <w:r w:rsidRPr="00297C20">
        <w:rPr>
          <w:lang w:val="en-GB"/>
        </w:rPr>
        <w:t>10 days (negative lag = precursor signal). These results suggest a reproducible lead</w:t>
      </w:r>
      <w:r w:rsidR="008E1993">
        <w:rPr>
          <w:lang w:val="en-GB"/>
        </w:rPr>
        <w:t>-</w:t>
      </w:r>
      <w:r w:rsidRPr="00297C20">
        <w:rPr>
          <w:lang w:val="en-GB"/>
        </w:rPr>
        <w:t>lag structure:</w:t>
      </w:r>
    </w:p>
    <w:p w14:paraId="73984F8F" w14:textId="387FB463" w:rsidR="00BE10D4" w:rsidRPr="00297C20" w:rsidRDefault="00693FDA" w:rsidP="008C25D5">
      <w:pPr>
        <w:pStyle w:val="Rn2"/>
        <w:numPr>
          <w:ilvl w:val="0"/>
          <w:numId w:val="22"/>
        </w:numPr>
        <w:spacing w:before="0" w:after="0"/>
        <w:ind w:left="284" w:hanging="284"/>
        <w:rPr>
          <w:b w:val="0"/>
          <w:bCs/>
          <w:lang w:val="en-GB"/>
        </w:rPr>
      </w:pPr>
      <w:r>
        <w:rPr>
          <w:b w:val="0"/>
          <w:bCs/>
          <w:lang w:val="en-GB"/>
        </w:rPr>
        <w:t>g</w:t>
      </w:r>
      <w:r w:rsidR="00BE10D4" w:rsidRPr="00297C20">
        <w:rPr>
          <w:b w:val="0"/>
          <w:bCs/>
          <w:lang w:val="en-GB"/>
        </w:rPr>
        <w:t>as and uplift anomalies indicate magmatic pressurization and volatile release,</w:t>
      </w:r>
    </w:p>
    <w:p w14:paraId="3531225A" w14:textId="7DD5D49A" w:rsidR="00BE10D4" w:rsidRPr="00297C20" w:rsidRDefault="00693FDA" w:rsidP="008C25D5">
      <w:pPr>
        <w:pStyle w:val="Rn2"/>
        <w:numPr>
          <w:ilvl w:val="0"/>
          <w:numId w:val="22"/>
        </w:numPr>
        <w:spacing w:before="0" w:after="0"/>
        <w:ind w:left="284" w:hanging="284"/>
        <w:rPr>
          <w:b w:val="0"/>
          <w:bCs/>
          <w:lang w:val="en-GB"/>
        </w:rPr>
      </w:pPr>
      <w:r>
        <w:rPr>
          <w:b w:val="0"/>
          <w:bCs/>
          <w:lang w:val="en-GB"/>
        </w:rPr>
        <w:t>v</w:t>
      </w:r>
      <w:r w:rsidR="00BE10D4" w:rsidRPr="00297C20">
        <w:rPr>
          <w:b w:val="0"/>
          <w:bCs/>
          <w:lang w:val="en-GB"/>
        </w:rPr>
        <w:t>egetation indices show delayed negative departures from climatology, likely driven by thermal stress, gas toxicity, and ash deposition,</w:t>
      </w:r>
    </w:p>
    <w:p w14:paraId="38FFA4D9" w14:textId="29761101" w:rsidR="00BE10D4" w:rsidRPr="00297C20" w:rsidRDefault="00693FDA" w:rsidP="00512625">
      <w:pPr>
        <w:pStyle w:val="Rn2"/>
        <w:numPr>
          <w:ilvl w:val="0"/>
          <w:numId w:val="22"/>
        </w:numPr>
        <w:spacing w:before="0" w:after="0"/>
        <w:ind w:left="284" w:hanging="284"/>
        <w:rPr>
          <w:b w:val="0"/>
          <w:bCs/>
          <w:lang w:val="en-GB"/>
        </w:rPr>
      </w:pPr>
      <w:r>
        <w:rPr>
          <w:b w:val="0"/>
          <w:bCs/>
          <w:lang w:val="en-GB"/>
        </w:rPr>
        <w:t>s</w:t>
      </w:r>
      <w:r w:rsidR="00BE10D4" w:rsidRPr="00297C20">
        <w:rPr>
          <w:b w:val="0"/>
          <w:bCs/>
          <w:lang w:val="en-GB"/>
        </w:rPr>
        <w:t>tabilization occurs post-eruption across all datasets.</w:t>
      </w:r>
    </w:p>
    <w:p w14:paraId="7007B24D" w14:textId="77777777" w:rsidR="00512625" w:rsidRDefault="00512625" w:rsidP="00512625">
      <w:pPr>
        <w:pStyle w:val="Rn2"/>
        <w:spacing w:before="0" w:after="0"/>
        <w:ind w:firstLine="284"/>
        <w:jc w:val="both"/>
        <w:rPr>
          <w:b w:val="0"/>
          <w:bCs/>
          <w:lang w:val="en-GB"/>
        </w:rPr>
      </w:pPr>
    </w:p>
    <w:p w14:paraId="527EB4AE" w14:textId="696C04F9" w:rsidR="00BE10D4" w:rsidRPr="00297C20" w:rsidRDefault="00BE10D4" w:rsidP="00BE10D4">
      <w:pPr>
        <w:pStyle w:val="Rn2"/>
        <w:spacing w:before="0"/>
        <w:jc w:val="center"/>
        <w:rPr>
          <w:b w:val="0"/>
          <w:bCs/>
          <w:lang w:val="en-GB"/>
        </w:rPr>
      </w:pPr>
      <w:r w:rsidRPr="00297C20">
        <w:rPr>
          <w:b w:val="0"/>
          <w:bCs/>
          <w:noProof/>
          <w:lang w:val="en-GB" w:eastAsia="en-GB"/>
        </w:rPr>
        <w:lastRenderedPageBreak/>
        <w:drawing>
          <wp:inline distT="0" distB="0" distL="0" distR="0" wp14:anchorId="69857727" wp14:editId="01AD273C">
            <wp:extent cx="4665437" cy="2796540"/>
            <wp:effectExtent l="0" t="0" r="1905"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2176" cy="2800580"/>
                    </a:xfrm>
                    <a:prstGeom prst="rect">
                      <a:avLst/>
                    </a:prstGeom>
                    <a:noFill/>
                  </pic:spPr>
                </pic:pic>
              </a:graphicData>
            </a:graphic>
          </wp:inline>
        </w:drawing>
      </w:r>
    </w:p>
    <w:p w14:paraId="6C6FB2AC" w14:textId="5A99D72A" w:rsidR="00BE10D4" w:rsidRPr="00297C20" w:rsidRDefault="00BE10D4" w:rsidP="004B72DF">
      <w:pPr>
        <w:pStyle w:val="Rrys"/>
        <w:rPr>
          <w:lang w:val="en-GB"/>
        </w:rPr>
      </w:pPr>
      <w:r w:rsidRPr="00297C20">
        <w:rPr>
          <w:b/>
          <w:lang w:val="en-GB"/>
        </w:rPr>
        <w:t>Fig. 7.</w:t>
      </w:r>
      <w:r w:rsidRPr="00297C20">
        <w:rPr>
          <w:lang w:val="en-GB"/>
        </w:rPr>
        <w:t xml:space="preserve"> NDVI (green, left axis) and SO₂ anomalies (red, right axis) during July</w:t>
      </w:r>
      <w:r w:rsidR="008E1993">
        <w:rPr>
          <w:lang w:val="en-GB"/>
        </w:rPr>
        <w:t>-</w:t>
      </w:r>
      <w:r w:rsidRPr="00297C20">
        <w:rPr>
          <w:lang w:val="en-GB"/>
        </w:rPr>
        <w:t>August 2024. Vertical dashed lines mark eruption onset dates (3 July, 2 August). SO₂ anomalies peak earlier than vegetation declines</w:t>
      </w:r>
    </w:p>
    <w:p w14:paraId="066F68EB" w14:textId="77777777" w:rsidR="00C64C55" w:rsidRDefault="00C64C55" w:rsidP="00C64C55">
      <w:pPr>
        <w:pStyle w:val="Rn2"/>
        <w:spacing w:before="0" w:after="0"/>
        <w:ind w:firstLine="284"/>
        <w:jc w:val="both"/>
        <w:rPr>
          <w:b w:val="0"/>
          <w:bCs/>
          <w:lang w:val="en-GB"/>
        </w:rPr>
      </w:pPr>
    </w:p>
    <w:p w14:paraId="35E2EA6F" w14:textId="22E6AC5E" w:rsidR="00BE10D4" w:rsidRPr="00297C20" w:rsidRDefault="00BE10D4" w:rsidP="00BE10D4">
      <w:pPr>
        <w:pStyle w:val="Rn2"/>
        <w:jc w:val="center"/>
        <w:rPr>
          <w:b w:val="0"/>
          <w:bCs/>
          <w:lang w:val="en-GB"/>
        </w:rPr>
      </w:pPr>
      <w:r w:rsidRPr="00297C20">
        <w:rPr>
          <w:b w:val="0"/>
          <w:bCs/>
          <w:noProof/>
          <w:lang w:val="en-GB" w:eastAsia="en-GB"/>
        </w:rPr>
        <w:drawing>
          <wp:inline distT="0" distB="0" distL="0" distR="0" wp14:anchorId="76971C63" wp14:editId="29335F6C">
            <wp:extent cx="4512381" cy="2819400"/>
            <wp:effectExtent l="0" t="0" r="254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7029" cy="2822304"/>
                    </a:xfrm>
                    <a:prstGeom prst="rect">
                      <a:avLst/>
                    </a:prstGeom>
                    <a:noFill/>
                  </pic:spPr>
                </pic:pic>
              </a:graphicData>
            </a:graphic>
          </wp:inline>
        </w:drawing>
      </w:r>
    </w:p>
    <w:p w14:paraId="193827B0" w14:textId="330005AE" w:rsidR="00BE10D4" w:rsidRPr="00297C20" w:rsidRDefault="00BE10D4" w:rsidP="004B72DF">
      <w:pPr>
        <w:pStyle w:val="Rrys"/>
        <w:rPr>
          <w:lang w:val="en-GB"/>
        </w:rPr>
      </w:pPr>
      <w:r w:rsidRPr="00297C20">
        <w:rPr>
          <w:b/>
          <w:lang w:val="en-GB"/>
        </w:rPr>
        <w:t>Fig. 8.</w:t>
      </w:r>
      <w:r w:rsidRPr="00297C20">
        <w:rPr>
          <w:lang w:val="en-GB"/>
        </w:rPr>
        <w:t xml:space="preserve"> Cross-correlation between SO₂ anomalies and NDVI in 2024. Maximum correlation occurs at lags of </w:t>
      </w:r>
      <w:r w:rsidR="008E1993">
        <w:rPr>
          <w:lang w:val="en-GB"/>
        </w:rPr>
        <w:t>-</w:t>
      </w:r>
      <w:r w:rsidRPr="00297C20">
        <w:rPr>
          <w:lang w:val="en-GB"/>
        </w:rPr>
        <w:t xml:space="preserve">7 to </w:t>
      </w:r>
      <w:r w:rsidR="008E1993">
        <w:rPr>
          <w:lang w:val="en-GB"/>
        </w:rPr>
        <w:t>-</w:t>
      </w:r>
      <w:r w:rsidRPr="00297C20">
        <w:rPr>
          <w:lang w:val="en-GB"/>
        </w:rPr>
        <w:t>10 days, indicating that SO₂ anomalies precede NDVI declines by approximately one week</w:t>
      </w:r>
    </w:p>
    <w:p w14:paraId="1C81E51C" w14:textId="77777777" w:rsidR="00512625" w:rsidRDefault="00512625" w:rsidP="00512625">
      <w:pPr>
        <w:rPr>
          <w:lang w:val="en-GB"/>
        </w:rPr>
      </w:pPr>
    </w:p>
    <w:p w14:paraId="22AF93A4" w14:textId="5AE03C80" w:rsidR="00573BF7" w:rsidRPr="00297C20" w:rsidRDefault="00573BF7" w:rsidP="00512625">
      <w:pPr>
        <w:rPr>
          <w:lang w:val="en-GB"/>
        </w:rPr>
      </w:pPr>
      <w:r w:rsidRPr="00297C20">
        <w:rPr>
          <w:lang w:val="en-GB"/>
        </w:rPr>
        <w:t>Uncertainty estimates place the timing offset wit</w:t>
      </w:r>
      <w:r w:rsidR="00A77E07" w:rsidRPr="00297C20">
        <w:rPr>
          <w:lang w:val="en-GB"/>
        </w:rPr>
        <w:t>hin ±5 days, constrained by Sen</w:t>
      </w:r>
      <w:r w:rsidRPr="00297C20">
        <w:rPr>
          <w:lang w:val="en-GB"/>
        </w:rPr>
        <w:t>tinel-2 revisit cycles and meteorological effects on TROPOMI retrievals. Nonetheless, the repeated sequence across independent events strengthen</w:t>
      </w:r>
      <w:r w:rsidR="003403B0" w:rsidRPr="00297C20">
        <w:rPr>
          <w:lang w:val="en-GB"/>
        </w:rPr>
        <w:t>s confidence that combined SO₂-</w:t>
      </w:r>
      <w:r w:rsidRPr="00297C20">
        <w:rPr>
          <w:lang w:val="en-GB"/>
        </w:rPr>
        <w:t>InSAR anomalies can serve as early-warning indicators preceding v</w:t>
      </w:r>
      <w:r w:rsidR="00A77E07" w:rsidRPr="00297C20">
        <w:rPr>
          <w:lang w:val="en-GB"/>
        </w:rPr>
        <w:t>egeta</w:t>
      </w:r>
      <w:r w:rsidR="007F759D" w:rsidRPr="00297C20">
        <w:rPr>
          <w:lang w:val="en-GB"/>
        </w:rPr>
        <w:t>tion stress. Similar lead-</w:t>
      </w:r>
      <w:r w:rsidRPr="00297C20">
        <w:rPr>
          <w:lang w:val="en-GB"/>
        </w:rPr>
        <w:t>lag dynamics have been reported i</w:t>
      </w:r>
      <w:r w:rsidR="003403B0" w:rsidRPr="00297C20">
        <w:rPr>
          <w:lang w:val="en-GB"/>
        </w:rPr>
        <w:t>n previous studies</w:t>
      </w:r>
      <w:r w:rsidRPr="00297C20">
        <w:rPr>
          <w:lang w:val="en-GB"/>
        </w:rPr>
        <w:t>, supporting the general applicability of this multi-sensor framework for pre-eruptive detection.</w:t>
      </w:r>
    </w:p>
    <w:p w14:paraId="1B30B205" w14:textId="656D8B3C" w:rsidR="00A77E07" w:rsidRPr="00297C20" w:rsidRDefault="00D56614" w:rsidP="00A77E07">
      <w:pPr>
        <w:rPr>
          <w:lang w:val="en-GB"/>
        </w:rPr>
      </w:pPr>
      <w:r w:rsidRPr="00297C20">
        <w:rPr>
          <w:lang w:val="en-GB"/>
        </w:rPr>
        <w:t>The observed lead of SO₂ and deformation over vegetation anomalies was assessed qualitatively using cross-correlation plots (Figure 8). Although no formal statistical tests were performed, the repeated sequence across independent events supports the interpretation of a consistent lead</w:t>
      </w:r>
      <w:r w:rsidR="008E1993">
        <w:rPr>
          <w:lang w:val="en-GB"/>
        </w:rPr>
        <w:t>-</w:t>
      </w:r>
      <w:r w:rsidRPr="00297C20">
        <w:rPr>
          <w:lang w:val="en-GB"/>
        </w:rPr>
        <w:t xml:space="preserve">lag relationship. Future research will include quantitative verification using correlation and significance analyses to </w:t>
      </w:r>
      <w:r w:rsidR="0042740C">
        <w:rPr>
          <w:lang w:val="en-GB"/>
        </w:rPr>
        <w:t>constrain the timing uncertainty better</w:t>
      </w:r>
      <w:r w:rsidR="00A77E07" w:rsidRPr="00297C20">
        <w:rPr>
          <w:lang w:val="en-GB"/>
        </w:rPr>
        <w:t>.</w:t>
      </w:r>
    </w:p>
    <w:p w14:paraId="5FF8FACC" w14:textId="77777777" w:rsidR="00C64C55" w:rsidRDefault="00C64C55">
      <w:pPr>
        <w:spacing w:after="160" w:line="259" w:lineRule="auto"/>
        <w:ind w:firstLine="0"/>
        <w:jc w:val="left"/>
        <w:rPr>
          <w:b/>
          <w:sz w:val="24"/>
          <w:lang w:val="en-GB"/>
        </w:rPr>
      </w:pPr>
      <w:r>
        <w:rPr>
          <w:lang w:val="en-GB"/>
        </w:rPr>
        <w:br w:type="page"/>
      </w:r>
    </w:p>
    <w:p w14:paraId="564C141A" w14:textId="15650838" w:rsidR="00391085" w:rsidRPr="00297C20" w:rsidRDefault="00391085" w:rsidP="00512625">
      <w:pPr>
        <w:pStyle w:val="Rn1"/>
        <w:rPr>
          <w:lang w:val="en-GB"/>
        </w:rPr>
      </w:pPr>
      <w:r w:rsidRPr="00297C20">
        <w:rPr>
          <w:lang w:val="en-GB"/>
        </w:rPr>
        <w:lastRenderedPageBreak/>
        <w:t xml:space="preserve">4. </w:t>
      </w:r>
      <w:r w:rsidR="00984CA4" w:rsidRPr="00297C20">
        <w:rPr>
          <w:lang w:val="en-GB"/>
        </w:rPr>
        <w:t>Discussion</w:t>
      </w:r>
    </w:p>
    <w:p w14:paraId="021BBF59" w14:textId="2177EB2A" w:rsidR="004316EB" w:rsidRPr="00297C20" w:rsidRDefault="004316EB" w:rsidP="00655A99">
      <w:pPr>
        <w:pStyle w:val="Rn2"/>
        <w:rPr>
          <w:lang w:val="en-GB"/>
        </w:rPr>
      </w:pPr>
      <w:r w:rsidRPr="00297C20">
        <w:rPr>
          <w:lang w:val="en-GB"/>
        </w:rPr>
        <w:t>4.1. Interpretation of results in the context of the hypothesis</w:t>
      </w:r>
    </w:p>
    <w:p w14:paraId="13D9BD14" w14:textId="77777777" w:rsidR="007D0A28" w:rsidRPr="00297C20" w:rsidRDefault="007D0A28" w:rsidP="00655A99">
      <w:pPr>
        <w:rPr>
          <w:lang w:val="en-GB"/>
        </w:rPr>
      </w:pPr>
      <w:r w:rsidRPr="00297C20">
        <w:rPr>
          <w:lang w:val="en-GB"/>
        </w:rPr>
        <w:t>The results confirm that integrated satellite indicators provide consistent and reproducible signals preceding eruptive activity. Both the July and August 2024 eruptions exhibited coordinated anomalies across vegetation indices, gas emissions, and ground deformation, supporting the hypothesis that these combined indicators can serve as reliable precursors of volcanic unrest.</w:t>
      </w:r>
    </w:p>
    <w:p w14:paraId="1085769D" w14:textId="7259F6B6" w:rsidR="004316EB" w:rsidRPr="00297C20" w:rsidRDefault="007D0A28" w:rsidP="007D0A28">
      <w:pPr>
        <w:rPr>
          <w:lang w:val="en-GB"/>
        </w:rPr>
      </w:pPr>
      <w:r w:rsidRPr="00297C20">
        <w:rPr>
          <w:lang w:val="en-GB"/>
        </w:rPr>
        <w:t>T</w:t>
      </w:r>
      <w:r w:rsidR="00B36839" w:rsidRPr="00297C20">
        <w:rPr>
          <w:lang w:val="en-GB"/>
        </w:rPr>
        <w:t>he observed lead-</w:t>
      </w:r>
      <w:r w:rsidRPr="00297C20">
        <w:rPr>
          <w:lang w:val="en-GB"/>
        </w:rPr>
        <w:t>lag pattern, in which SO₂ and uplift anomalies preceded vegetation stress by approximately one week, demonstrates the added value of multi-sensor analysis compared with single-dataset approaches. This integrated perspective enhances early interpretation of pre-eruptive processes and supports the design of cost-effective monitoring frameworks for other active volcanoes.</w:t>
      </w:r>
    </w:p>
    <w:p w14:paraId="1335B995" w14:textId="132C21AA" w:rsidR="004316EB" w:rsidRPr="00297C20" w:rsidRDefault="004316EB" w:rsidP="00655A99">
      <w:pPr>
        <w:pStyle w:val="Rn2"/>
        <w:rPr>
          <w:lang w:val="en-GB"/>
        </w:rPr>
      </w:pPr>
      <w:r w:rsidRPr="00297C20">
        <w:rPr>
          <w:lang w:val="en-GB"/>
        </w:rPr>
        <w:t xml:space="preserve">4.2. </w:t>
      </w:r>
      <w:r w:rsidR="003524DA" w:rsidRPr="00297C20">
        <w:rPr>
          <w:lang w:val="en-GB"/>
        </w:rPr>
        <w:t xml:space="preserve">Vegetation indices as indicators </w:t>
      </w:r>
      <w:r w:rsidR="003524DA" w:rsidRPr="0042740C">
        <w:rPr>
          <w:lang w:val="en-GB"/>
        </w:rPr>
        <w:t>of</w:t>
      </w:r>
      <w:r w:rsidR="003524DA" w:rsidRPr="00297C20">
        <w:rPr>
          <w:lang w:val="en-GB"/>
        </w:rPr>
        <w:t xml:space="preserve"> volcanic stress</w:t>
      </w:r>
    </w:p>
    <w:p w14:paraId="7BFD0239" w14:textId="61AC7AC0" w:rsidR="00B179AC" w:rsidRPr="00297C20" w:rsidRDefault="00B179AC" w:rsidP="00655A99">
      <w:pPr>
        <w:rPr>
          <w:lang w:val="en-GB"/>
        </w:rPr>
      </w:pPr>
      <w:r w:rsidRPr="00297C20">
        <w:rPr>
          <w:lang w:val="en-GB"/>
        </w:rPr>
        <w:t>NDVI, EVI, NBR, and NDMI anomalies highlighted vegetation stress both before and during eruptive phases. Negative departures fr</w:t>
      </w:r>
      <w:r w:rsidR="00B069DC" w:rsidRPr="00297C20">
        <w:rPr>
          <w:lang w:val="en-GB"/>
        </w:rPr>
        <w:t>om climatology (z-scores below -</w:t>
      </w:r>
      <w:r w:rsidRPr="00297C20">
        <w:rPr>
          <w:lang w:val="en-GB"/>
        </w:rPr>
        <w:t xml:space="preserve">1.0) indicate significant degradation driven by thermal stress, toxic gas exposure, and ash deposition. </w:t>
      </w:r>
      <w:r w:rsidRPr="00693FDA">
        <w:rPr>
          <w:spacing w:val="-2"/>
          <w:lang w:val="en-GB"/>
        </w:rPr>
        <w:t>Although vegetation indices provide only indirect evidence, their sensitivity to stress processes offers valuable complementary information to geophysical indicators.</w:t>
      </w:r>
    </w:p>
    <w:p w14:paraId="7EEA2490" w14:textId="7158F006" w:rsidR="004316EB" w:rsidRPr="00297C20" w:rsidRDefault="00B179AC" w:rsidP="00B179AC">
      <w:pPr>
        <w:rPr>
          <w:lang w:val="en-GB"/>
        </w:rPr>
      </w:pPr>
      <w:r w:rsidRPr="00297C20">
        <w:rPr>
          <w:lang w:val="en-GB"/>
        </w:rPr>
        <w:t>Seasonal detrending proved essential to avoid false positives, as raw vegetation signals may fluctuate due to phenology or illumination effects rather than volcanic impact. Thus, multi-year climatological normalization is a key step for reliable detection of vegetation anomalies associated with volcanic activity</w:t>
      </w:r>
      <w:r w:rsidR="004316EB" w:rsidRPr="00297C20">
        <w:rPr>
          <w:lang w:val="en-GB"/>
        </w:rPr>
        <w:t>.</w:t>
      </w:r>
    </w:p>
    <w:p w14:paraId="0DB33402" w14:textId="361B6536" w:rsidR="004316EB" w:rsidRPr="00297C20" w:rsidRDefault="004316EB" w:rsidP="00655A99">
      <w:pPr>
        <w:pStyle w:val="Rn2"/>
        <w:rPr>
          <w:lang w:val="en-GB"/>
        </w:rPr>
      </w:pPr>
      <w:r w:rsidRPr="00297C20">
        <w:rPr>
          <w:lang w:val="en-GB"/>
        </w:rPr>
        <w:t xml:space="preserve">4.3. </w:t>
      </w:r>
      <w:r w:rsidR="003524DA" w:rsidRPr="00297C20">
        <w:rPr>
          <w:lang w:val="en-GB"/>
        </w:rPr>
        <w:t>Volcanic gas emissions and precursor signals</w:t>
      </w:r>
    </w:p>
    <w:p w14:paraId="7317E388" w14:textId="3A361E47" w:rsidR="00B069DC" w:rsidRPr="00297C20" w:rsidRDefault="00B069DC" w:rsidP="00655A99">
      <w:pPr>
        <w:rPr>
          <w:lang w:val="en-GB"/>
        </w:rPr>
      </w:pPr>
      <w:r w:rsidRPr="00297C20">
        <w:rPr>
          <w:lang w:val="en-GB"/>
        </w:rPr>
        <w:t>Gas anomalies represented the clearest and most consistent precursors of eruptive activity. SO₂ concentrations increased from baseline (~0.0001 mol m⁻²) to peaks exceeding 0.002 mol m⁻², with maxima 7-10 days before eruption onset. CO showed smaller but steady increases, while NO₂ remained near background levels after anthropogenic masking.</w:t>
      </w:r>
    </w:p>
    <w:p w14:paraId="532376E0" w14:textId="432958AF" w:rsidR="004316EB" w:rsidRPr="00297C20" w:rsidRDefault="00B069DC" w:rsidP="00B069DC">
      <w:pPr>
        <w:rPr>
          <w:lang w:val="en-GB"/>
        </w:rPr>
      </w:pPr>
      <w:r w:rsidRPr="00297C20">
        <w:rPr>
          <w:lang w:val="en-GB"/>
        </w:rPr>
        <w:t>These findings confirm the importance of plume-control differencing and anthropogenic suppression for distinguishing volcanic degassing from regional pollution. The strong temporal association between SO₂ increases and vegetation stress supports the interpretation that volcanic gases directly contribute to pre-eruptive environmental degradation</w:t>
      </w:r>
      <w:r w:rsidR="004316EB" w:rsidRPr="00297C20">
        <w:rPr>
          <w:lang w:val="en-GB"/>
        </w:rPr>
        <w:t>.</w:t>
      </w:r>
    </w:p>
    <w:p w14:paraId="5618BA36" w14:textId="3CD21D10" w:rsidR="004316EB" w:rsidRPr="00297C20" w:rsidRDefault="004316EB" w:rsidP="00655A99">
      <w:pPr>
        <w:pStyle w:val="Rn2"/>
        <w:rPr>
          <w:lang w:val="en-GB"/>
        </w:rPr>
      </w:pPr>
      <w:r w:rsidRPr="00297C20">
        <w:rPr>
          <w:lang w:val="en-GB"/>
        </w:rPr>
        <w:t xml:space="preserve">4.4. </w:t>
      </w:r>
      <w:r w:rsidR="003524DA" w:rsidRPr="00297C20">
        <w:rPr>
          <w:lang w:val="en-GB"/>
        </w:rPr>
        <w:t xml:space="preserve">Land cover </w:t>
      </w:r>
      <w:r w:rsidR="003524DA" w:rsidRPr="0042740C">
        <w:rPr>
          <w:lang w:val="en-GB"/>
        </w:rPr>
        <w:t>transformation</w:t>
      </w:r>
      <w:r w:rsidR="003524DA" w:rsidRPr="00297C20">
        <w:rPr>
          <w:lang w:val="en-GB"/>
        </w:rPr>
        <w:t xml:space="preserve"> following eruptions</w:t>
      </w:r>
    </w:p>
    <w:p w14:paraId="608A10F4" w14:textId="560409A3" w:rsidR="00B069DC" w:rsidRPr="00297C20" w:rsidRDefault="004316EB" w:rsidP="00655A99">
      <w:pPr>
        <w:rPr>
          <w:lang w:val="en-GB"/>
        </w:rPr>
      </w:pPr>
      <w:r w:rsidRPr="00297C20">
        <w:rPr>
          <w:lang w:val="en-GB"/>
        </w:rPr>
        <w:t xml:space="preserve">Land cover classification results confirmed vegetation-to-bare ground transitions in both July and August 2024. Although the overall accuracy of the Random Forest model was very high (&gt;99%), some ash-covered zones were temporarily misclassified as </w:t>
      </w:r>
      <w:r w:rsidR="0042740C">
        <w:rPr>
          <w:lang w:val="en-GB"/>
        </w:rPr>
        <w:t>"</w:t>
      </w:r>
      <w:r w:rsidRPr="00297C20">
        <w:rPr>
          <w:lang w:val="en-GB"/>
        </w:rPr>
        <w:t>urban.</w:t>
      </w:r>
      <w:r w:rsidR="0042740C">
        <w:rPr>
          <w:lang w:val="en-GB"/>
        </w:rPr>
        <w:t>"</w:t>
      </w:r>
      <w:r w:rsidRPr="00297C20">
        <w:rPr>
          <w:lang w:val="en-GB"/>
        </w:rPr>
        <w:t xml:space="preserve"> These results should therefore be interpreted as indicative of surface transformation rather than exact areal estimates. Nonetheless, the </w:t>
      </w:r>
      <w:r w:rsidR="0042740C">
        <w:rPr>
          <w:lang w:val="en-GB"/>
        </w:rPr>
        <w:t>evident</w:t>
      </w:r>
      <w:r w:rsidRPr="00297C20">
        <w:rPr>
          <w:lang w:val="en-GB"/>
        </w:rPr>
        <w:t xml:space="preserve"> decrease in vegetation cover and parallel increase in bare ground support the vegetation index findings.</w:t>
      </w:r>
      <w:r w:rsidR="00A4659E" w:rsidRPr="00297C20">
        <w:rPr>
          <w:lang w:val="en-GB"/>
        </w:rPr>
        <w:t xml:space="preserve"> </w:t>
      </w:r>
    </w:p>
    <w:p w14:paraId="639127DB" w14:textId="66AEF216" w:rsidR="004316EB" w:rsidRPr="00297C20" w:rsidRDefault="00A4659E" w:rsidP="00B069DC">
      <w:pPr>
        <w:rPr>
          <w:lang w:val="en-GB"/>
        </w:rPr>
      </w:pPr>
      <w:r w:rsidRPr="00297C20">
        <w:rPr>
          <w:lang w:val="en-GB"/>
        </w:rPr>
        <w:t>Although the Random Forest classification achieved very high accuracy (OA = 0.993, κ = 0.99), this reflects well-separated training samples and limited spatial complexity. The resulting land cover maps are used primarily for interpretation and contextual support rather than for quantitative areal estimation.</w:t>
      </w:r>
    </w:p>
    <w:p w14:paraId="7EF88ECA" w14:textId="6F02B4E0" w:rsidR="004316EB" w:rsidRPr="00297C20" w:rsidRDefault="004316EB" w:rsidP="002A6BA8">
      <w:pPr>
        <w:pStyle w:val="Rn2"/>
        <w:rPr>
          <w:lang w:val="en-GB"/>
        </w:rPr>
      </w:pPr>
      <w:r w:rsidRPr="00297C20">
        <w:rPr>
          <w:lang w:val="en-GB"/>
        </w:rPr>
        <w:t xml:space="preserve">4.5. </w:t>
      </w:r>
      <w:r w:rsidR="003524DA" w:rsidRPr="00297C20">
        <w:rPr>
          <w:lang w:val="en-GB"/>
        </w:rPr>
        <w:t xml:space="preserve">Ground deformation and magmatic </w:t>
      </w:r>
      <w:proofErr w:type="spellStart"/>
      <w:r w:rsidR="003524DA" w:rsidRPr="002A6BA8">
        <w:t>pressurization</w:t>
      </w:r>
      <w:proofErr w:type="spellEnd"/>
    </w:p>
    <w:p w14:paraId="2C573D19" w14:textId="0F690853" w:rsidR="00B069DC" w:rsidRPr="00297C20" w:rsidRDefault="00B069DC" w:rsidP="002A6BA8">
      <w:pPr>
        <w:rPr>
          <w:lang w:val="en-GB"/>
        </w:rPr>
      </w:pPr>
      <w:r w:rsidRPr="00297C20">
        <w:rPr>
          <w:lang w:val="en-GB"/>
        </w:rPr>
        <w:t>InSAR-derived deformation patterns were consistent with magmatic pressurization preceding both eruptions. SBAS analysis revealed summit-centred uplift of 2.5-3 cm in the weeks before eruption onset, followed by rapid post-eruptive deflation. The agreement between InSAR-derived displacements and GNSS trends increases confidence in the robustness of the deformation results.</w:t>
      </w:r>
    </w:p>
    <w:p w14:paraId="5FD413AC" w14:textId="29CFB2F0" w:rsidR="004316EB" w:rsidRPr="00297C20" w:rsidRDefault="00B069DC" w:rsidP="00B069DC">
      <w:pPr>
        <w:rPr>
          <w:lang w:val="en-GB"/>
        </w:rPr>
      </w:pPr>
      <w:r w:rsidRPr="00297C20">
        <w:rPr>
          <w:lang w:val="en-GB"/>
        </w:rPr>
        <w:t>The temporal relationship between uplift and vegetation stress suggests that both arise from pressurization within the shallow magmatic plumbing system, with subsequent effects on surface thermal and ecological conditions</w:t>
      </w:r>
      <w:r w:rsidR="004316EB" w:rsidRPr="00297C20">
        <w:rPr>
          <w:lang w:val="en-GB"/>
        </w:rPr>
        <w:t>.</w:t>
      </w:r>
    </w:p>
    <w:p w14:paraId="2C35EEE4" w14:textId="1E560944" w:rsidR="004316EB" w:rsidRPr="002A6BA8" w:rsidRDefault="004316EB" w:rsidP="002A6BA8">
      <w:pPr>
        <w:pStyle w:val="Rn2"/>
      </w:pPr>
      <w:r w:rsidRPr="00297C20">
        <w:rPr>
          <w:lang w:val="en-GB"/>
        </w:rPr>
        <w:t xml:space="preserve">4.6. </w:t>
      </w:r>
      <w:r w:rsidR="003524DA" w:rsidRPr="00297C20">
        <w:rPr>
          <w:lang w:val="en-GB"/>
        </w:rPr>
        <w:t>Limitations and data-related uncertainties</w:t>
      </w:r>
    </w:p>
    <w:p w14:paraId="35B9A844" w14:textId="77777777" w:rsidR="00B069DC" w:rsidRPr="00297C20" w:rsidRDefault="00B069DC" w:rsidP="002A6BA8">
      <w:pPr>
        <w:rPr>
          <w:lang w:val="en-GB"/>
        </w:rPr>
      </w:pPr>
      <w:r w:rsidRPr="00297C20">
        <w:rPr>
          <w:lang w:val="en-GB"/>
        </w:rPr>
        <w:t>Despite the internal consistency of results, several limitations remain. Vegetation indices are sensitive to cloud cover, illumination geometry, and terrain shadow, which can introduce noise or data gaps. Gas retrievals depend heavily on meteorological conditions; plume displacement and cloud contamination may obscure true anomalies.</w:t>
      </w:r>
    </w:p>
    <w:p w14:paraId="2E7912C5" w14:textId="77777777" w:rsidR="00B069DC" w:rsidRPr="00297C20" w:rsidRDefault="00B069DC" w:rsidP="00B069DC">
      <w:pPr>
        <w:rPr>
          <w:lang w:val="en-GB"/>
        </w:rPr>
      </w:pPr>
      <w:r w:rsidRPr="00297C20">
        <w:rPr>
          <w:lang w:val="en-GB"/>
        </w:rPr>
        <w:lastRenderedPageBreak/>
        <w:t>Similarly, InSAR coherence decreases in ash-affected or vegetated areas, while phase unwrapping errors can distort localized signals. Temporal resolution constraints of Sentinel-1 and Sentinel-2 may also prevent detection of short-lived pre-eruptive transients.</w:t>
      </w:r>
    </w:p>
    <w:p w14:paraId="0275195A" w14:textId="75D1CFC7" w:rsidR="004316EB" w:rsidRPr="00297C20" w:rsidRDefault="00B069DC" w:rsidP="00B36839">
      <w:pPr>
        <w:rPr>
          <w:lang w:val="en-GB"/>
        </w:rPr>
      </w:pPr>
      <w:r w:rsidRPr="00297C20">
        <w:rPr>
          <w:lang w:val="en-GB"/>
        </w:rPr>
        <w:t>Acknowledging these uncertainties is critical to avoid overinterpretation and to define confidence thresholds for operational applications</w:t>
      </w:r>
      <w:r w:rsidR="004316EB" w:rsidRPr="00297C20">
        <w:rPr>
          <w:lang w:val="en-GB"/>
        </w:rPr>
        <w:t>.</w:t>
      </w:r>
    </w:p>
    <w:p w14:paraId="11ACE210" w14:textId="77F9E27A" w:rsidR="004316EB" w:rsidRPr="00297C20" w:rsidRDefault="004316EB" w:rsidP="002A6BA8">
      <w:pPr>
        <w:pStyle w:val="Rn2"/>
        <w:rPr>
          <w:lang w:val="en-GB"/>
        </w:rPr>
      </w:pPr>
      <w:r w:rsidRPr="00297C20">
        <w:rPr>
          <w:lang w:val="en-GB"/>
        </w:rPr>
        <w:t xml:space="preserve">4.7. </w:t>
      </w:r>
      <w:r w:rsidR="003524DA" w:rsidRPr="00297C20">
        <w:rPr>
          <w:lang w:val="en-GB"/>
        </w:rPr>
        <w:t xml:space="preserve">Implications for early warning and </w:t>
      </w:r>
      <w:r w:rsidR="003524DA" w:rsidRPr="002A6BA8">
        <w:t>monitoring</w:t>
      </w:r>
      <w:r w:rsidR="003524DA" w:rsidRPr="00297C20">
        <w:rPr>
          <w:lang w:val="en-GB"/>
        </w:rPr>
        <w:t xml:space="preserve"> frameworks</w:t>
      </w:r>
    </w:p>
    <w:p w14:paraId="678F49B5" w14:textId="30EDFA5B" w:rsidR="004316EB" w:rsidRPr="00297C20" w:rsidRDefault="004316EB" w:rsidP="002A6BA8">
      <w:pPr>
        <w:rPr>
          <w:lang w:val="en-GB"/>
        </w:rPr>
      </w:pPr>
      <w:r w:rsidRPr="00297C20">
        <w:rPr>
          <w:lang w:val="en-GB"/>
        </w:rPr>
        <w:t>The July and August 2024 eruptions demonstrate the operational potential of combining vegetation, gas, and deformation indicators in a unified monitoring framework. SO₂ and deformation anomalies consistentl</w:t>
      </w:r>
      <w:r w:rsidR="00B36839" w:rsidRPr="00297C20">
        <w:rPr>
          <w:lang w:val="en-GB"/>
        </w:rPr>
        <w:t xml:space="preserve">y led </w:t>
      </w:r>
      <w:r w:rsidR="0042740C">
        <w:rPr>
          <w:lang w:val="en-GB"/>
        </w:rPr>
        <w:t xml:space="preserve">to </w:t>
      </w:r>
      <w:r w:rsidR="00B36839" w:rsidRPr="00297C20">
        <w:rPr>
          <w:lang w:val="en-GB"/>
        </w:rPr>
        <w:t>vegetation stress, provid</w:t>
      </w:r>
      <w:r w:rsidRPr="00297C20">
        <w:rPr>
          <w:lang w:val="en-GB"/>
        </w:rPr>
        <w:t xml:space="preserve">ing a window of several days that could support early-warning systems. Importantly, the approach relies entirely on freely available Copernicus datasets and cloud-based platforms such as Google Earth Engine and SNAP, making </w:t>
      </w:r>
      <w:r w:rsidR="003403B0" w:rsidRPr="00297C20">
        <w:rPr>
          <w:lang w:val="en-GB"/>
        </w:rPr>
        <w:t>it reproducible and scalable (Corradino et al. 2024)</w:t>
      </w:r>
      <w:r w:rsidRPr="00297C20">
        <w:rPr>
          <w:lang w:val="en-GB"/>
        </w:rPr>
        <w:t>.</w:t>
      </w:r>
    </w:p>
    <w:p w14:paraId="13DE50DD" w14:textId="34AA5066" w:rsidR="004316EB" w:rsidRPr="00297C20" w:rsidRDefault="004316EB" w:rsidP="004316EB">
      <w:pPr>
        <w:rPr>
          <w:lang w:val="en-GB"/>
        </w:rPr>
      </w:pPr>
      <w:r w:rsidRPr="00297C20">
        <w:rPr>
          <w:lang w:val="en-GB"/>
        </w:rPr>
        <w:t>This framework could be readily extended to other European volcanoes, such as Stromboli or Vesuvius, where civil protection authorit</w:t>
      </w:r>
      <w:r w:rsidR="00B36839" w:rsidRPr="00297C20">
        <w:rPr>
          <w:lang w:val="en-GB"/>
        </w:rPr>
        <w:t>ies require cost-effective moni</w:t>
      </w:r>
      <w:r w:rsidRPr="00297C20">
        <w:rPr>
          <w:lang w:val="en-GB"/>
        </w:rPr>
        <w:t xml:space="preserve">toring solutions. Embedding automated anomaly </w:t>
      </w:r>
      <w:r w:rsidR="003403B0" w:rsidRPr="00297C20">
        <w:rPr>
          <w:lang w:val="en-GB"/>
        </w:rPr>
        <w:t>detection based on combined SO₂-InSAR-</w:t>
      </w:r>
      <w:r w:rsidRPr="00297C20">
        <w:rPr>
          <w:lang w:val="en-GB"/>
        </w:rPr>
        <w:t>NDVI signals into national volcanic alert systems (e.g., INGV/VONA) would enhance preparedness and response capabilities, particularly in densely populated areas near active volcanoes.</w:t>
      </w:r>
    </w:p>
    <w:p w14:paraId="3C57EA87" w14:textId="541FB947" w:rsidR="004316EB" w:rsidRPr="00297C20" w:rsidRDefault="004316EB" w:rsidP="002A6BA8">
      <w:pPr>
        <w:pStyle w:val="Rn2"/>
        <w:rPr>
          <w:lang w:val="en-GB"/>
        </w:rPr>
      </w:pPr>
      <w:r w:rsidRPr="00297C20">
        <w:rPr>
          <w:lang w:val="en-GB"/>
        </w:rPr>
        <w:t xml:space="preserve">4.8. </w:t>
      </w:r>
      <w:r w:rsidR="003524DA" w:rsidRPr="00297C20">
        <w:rPr>
          <w:lang w:val="en-GB"/>
        </w:rPr>
        <w:t xml:space="preserve">Cautionary interpretation and </w:t>
      </w:r>
      <w:proofErr w:type="spellStart"/>
      <w:r w:rsidR="003524DA" w:rsidRPr="002A6BA8">
        <w:t>directions</w:t>
      </w:r>
      <w:proofErr w:type="spellEnd"/>
      <w:r w:rsidR="003524DA" w:rsidRPr="00297C20">
        <w:rPr>
          <w:lang w:val="en-GB"/>
        </w:rPr>
        <w:t xml:space="preserve"> for future research</w:t>
      </w:r>
    </w:p>
    <w:p w14:paraId="15425708" w14:textId="14121F11" w:rsidR="004316EB" w:rsidRPr="00297C20" w:rsidRDefault="004316EB" w:rsidP="002A6BA8">
      <w:pPr>
        <w:rPr>
          <w:lang w:val="en-GB"/>
        </w:rPr>
      </w:pPr>
      <w:r w:rsidRPr="00297C20">
        <w:rPr>
          <w:lang w:val="en-GB"/>
        </w:rPr>
        <w:t>Although SO₂ and deformation anomalies consistently preceded NDVI declines in both 2024 eruptions, these signals must be interpre</w:t>
      </w:r>
      <w:r w:rsidR="00B36839" w:rsidRPr="00297C20">
        <w:rPr>
          <w:lang w:val="en-GB"/>
        </w:rPr>
        <w:t>ted with caution. Vegetation in</w:t>
      </w:r>
      <w:r w:rsidRPr="00297C20">
        <w:rPr>
          <w:lang w:val="en-GB"/>
        </w:rPr>
        <w:t>dices can be affected by seasonal droughts, agricultural practices, or wildfires, which may mimic volcanic stress. Similarly, SO₂ peaks may result from passive degassing or meteorological trapping of the plume rather than imminent eruptive activity.</w:t>
      </w:r>
    </w:p>
    <w:p w14:paraId="2D118308" w14:textId="3FF4C4C4" w:rsidR="004316EB" w:rsidRPr="00297C20" w:rsidRDefault="004316EB" w:rsidP="001043ED">
      <w:pPr>
        <w:rPr>
          <w:lang w:val="en-GB"/>
        </w:rPr>
      </w:pPr>
      <w:r w:rsidRPr="00297C20">
        <w:rPr>
          <w:lang w:val="en-GB"/>
        </w:rPr>
        <w:t>The July 2024 eruption demonstrated that although gas and uplift anomalies were strong precursors, the</w:t>
      </w:r>
      <w:r w:rsidR="00693FDA">
        <w:rPr>
          <w:lang w:val="en-GB"/>
        </w:rPr>
        <w:t> </w:t>
      </w:r>
      <w:r w:rsidRPr="00297C20">
        <w:rPr>
          <w:lang w:val="en-GB"/>
        </w:rPr>
        <w:t>vegetation response lagged and partly overlapped with seasonal variability, making it difficult to distinguish early stress from background fluctuations without climatological baselines. Conversely, in August 2024, gas anomalies were unambiguous, but dense cloud cover on several days reduced the reliability of NDVI observations.</w:t>
      </w:r>
    </w:p>
    <w:p w14:paraId="16EA8241" w14:textId="15A0A1D5" w:rsidR="004316EB" w:rsidRPr="00297C20" w:rsidRDefault="004316EB" w:rsidP="004316EB">
      <w:pPr>
        <w:rPr>
          <w:lang w:val="en-GB"/>
        </w:rPr>
      </w:pPr>
      <w:r w:rsidRPr="00297C20">
        <w:rPr>
          <w:lang w:val="en-GB"/>
        </w:rPr>
        <w:t>These examples highlight that relying on a single indicator may generate false positives or missed detections. By integrating SO₂, deformation, and vegetation indices, the likelihood of false alarms is reduced, as consisten</w:t>
      </w:r>
      <w:r w:rsidR="00762EEA" w:rsidRPr="00297C20">
        <w:rPr>
          <w:lang w:val="en-GB"/>
        </w:rPr>
        <w:t>t signals across independent da</w:t>
      </w:r>
      <w:r w:rsidRPr="00297C20">
        <w:rPr>
          <w:lang w:val="en-GB"/>
        </w:rPr>
        <w:t xml:space="preserve">tasets strengthen confidence. For operational use, </w:t>
      </w:r>
      <w:r w:rsidR="00762EEA" w:rsidRPr="00297C20">
        <w:rPr>
          <w:lang w:val="en-GB"/>
        </w:rPr>
        <w:t>automated anomaly detection sys</w:t>
      </w:r>
      <w:r w:rsidRPr="00297C20">
        <w:rPr>
          <w:lang w:val="en-GB"/>
        </w:rPr>
        <w:t>tems should therefore implement multi-indicator thr</w:t>
      </w:r>
      <w:r w:rsidR="00B36839" w:rsidRPr="00297C20">
        <w:rPr>
          <w:lang w:val="en-GB"/>
        </w:rPr>
        <w:t>esholds and include meteorologi</w:t>
      </w:r>
      <w:r w:rsidRPr="00297C20">
        <w:rPr>
          <w:lang w:val="en-GB"/>
        </w:rPr>
        <w:t>cal filters. Embedding such a framework in early warning protocols would allow for more robust identification of true pre-eruptive activity while minimizing unnecessary alerts.</w:t>
      </w:r>
    </w:p>
    <w:p w14:paraId="304E40DB" w14:textId="3A52CE00" w:rsidR="008B1A81" w:rsidRPr="00297C20" w:rsidRDefault="008B1A81" w:rsidP="004316EB">
      <w:pPr>
        <w:rPr>
          <w:lang w:val="en-GB"/>
        </w:rPr>
      </w:pPr>
      <w:r w:rsidRPr="00297C20">
        <w:rPr>
          <w:lang w:val="en-GB"/>
        </w:rPr>
        <w:t>Further monitoring over multiple eruptive cycles is required to assess long-term repeatability. Expanding the analysis to other volcanoes (e.g., Stromboli, Vesuvius) will allow evaluation of the method</w:t>
      </w:r>
      <w:r w:rsidR="0042740C">
        <w:rPr>
          <w:lang w:val="en-GB"/>
        </w:rPr>
        <w:t>'</w:t>
      </w:r>
      <w:r w:rsidRPr="00297C20">
        <w:rPr>
          <w:lang w:val="en-GB"/>
        </w:rPr>
        <w:t>s generality and robustness.</w:t>
      </w:r>
    </w:p>
    <w:p w14:paraId="4FAA9ABE" w14:textId="72A423B1" w:rsidR="004316EB" w:rsidRPr="00297C20" w:rsidRDefault="004316EB" w:rsidP="004316EB">
      <w:pPr>
        <w:pStyle w:val="Rozdzia"/>
        <w:rPr>
          <w:lang w:val="en-GB"/>
        </w:rPr>
      </w:pPr>
      <w:r w:rsidRPr="00297C20">
        <w:rPr>
          <w:lang w:val="en-GB"/>
        </w:rPr>
        <w:t>5. Conclusions</w:t>
      </w:r>
    </w:p>
    <w:p w14:paraId="6C019E47" w14:textId="64E69345" w:rsidR="004316EB" w:rsidRPr="00297C20" w:rsidRDefault="004316EB" w:rsidP="004316EB">
      <w:pPr>
        <w:rPr>
          <w:lang w:val="en-GB"/>
        </w:rPr>
      </w:pPr>
      <w:r w:rsidRPr="00297C20">
        <w:rPr>
          <w:lang w:val="en-GB"/>
        </w:rPr>
        <w:t>This study demonstrates the value of integrating satellite-derived vegetation indices, gas emissions, and ground deformation for volcanic monitoring at Mount Etna. By focusing on the July and August 2024 eruptions, consistent patterns were observed across all indicators:</w:t>
      </w:r>
    </w:p>
    <w:p w14:paraId="44094D89" w14:textId="1AEFC7F1" w:rsidR="00225B6D" w:rsidRPr="00297C20" w:rsidRDefault="00225B6D" w:rsidP="00C25DFC">
      <w:pPr>
        <w:pStyle w:val="Rozdzia"/>
        <w:numPr>
          <w:ilvl w:val="0"/>
          <w:numId w:val="23"/>
        </w:numPr>
        <w:spacing w:before="0" w:after="0"/>
        <w:ind w:left="284"/>
        <w:jc w:val="both"/>
        <w:rPr>
          <w:b w:val="0"/>
          <w:sz w:val="22"/>
          <w:lang w:val="en-GB"/>
        </w:rPr>
      </w:pPr>
      <w:r w:rsidRPr="00297C20">
        <w:rPr>
          <w:sz w:val="22"/>
          <w:lang w:val="en-GB"/>
        </w:rPr>
        <w:t>Vegetation indices (NDVI, EVI, NBR, NDMI)</w:t>
      </w:r>
      <w:r w:rsidRPr="00297C20">
        <w:rPr>
          <w:b w:val="0"/>
          <w:sz w:val="22"/>
          <w:lang w:val="en-GB"/>
        </w:rPr>
        <w:t xml:space="preserve"> showed significant negative</w:t>
      </w:r>
      <w:r w:rsidR="003403B0" w:rsidRPr="00297C20">
        <w:rPr>
          <w:b w:val="0"/>
          <w:sz w:val="22"/>
          <w:lang w:val="en-GB"/>
        </w:rPr>
        <w:t xml:space="preserve"> anomalies relative to the 2018-</w:t>
      </w:r>
      <w:r w:rsidRPr="00297C20">
        <w:rPr>
          <w:b w:val="0"/>
          <w:sz w:val="22"/>
          <w:lang w:val="en-GB"/>
        </w:rPr>
        <w:t xml:space="preserve">2023 climatology, with z-scores below </w:t>
      </w:r>
      <w:r w:rsidR="008E1993">
        <w:rPr>
          <w:b w:val="0"/>
          <w:sz w:val="22"/>
          <w:lang w:val="en-GB"/>
        </w:rPr>
        <w:t>-</w:t>
      </w:r>
      <w:r w:rsidRPr="00297C20">
        <w:rPr>
          <w:b w:val="0"/>
          <w:sz w:val="22"/>
          <w:lang w:val="en-GB"/>
        </w:rPr>
        <w:t>1.0 indicating vegetation stress linked to eruptive activity.</w:t>
      </w:r>
    </w:p>
    <w:p w14:paraId="33F04D59" w14:textId="77777777" w:rsidR="00225B6D" w:rsidRPr="00297C20" w:rsidRDefault="00225B6D" w:rsidP="00C25DFC">
      <w:pPr>
        <w:pStyle w:val="Rozdzia"/>
        <w:numPr>
          <w:ilvl w:val="0"/>
          <w:numId w:val="23"/>
        </w:numPr>
        <w:spacing w:before="0" w:after="0"/>
        <w:ind w:left="284"/>
        <w:jc w:val="both"/>
        <w:rPr>
          <w:b w:val="0"/>
          <w:sz w:val="22"/>
          <w:lang w:val="en-GB"/>
        </w:rPr>
      </w:pPr>
      <w:r w:rsidRPr="00297C20">
        <w:rPr>
          <w:sz w:val="22"/>
          <w:lang w:val="en-GB"/>
        </w:rPr>
        <w:t>SO₂ emissions</w:t>
      </w:r>
      <w:r w:rsidRPr="00297C20">
        <w:rPr>
          <w:b w:val="0"/>
          <w:sz w:val="22"/>
          <w:lang w:val="en-GB"/>
        </w:rPr>
        <w:t xml:space="preserve"> exhibited sharp increases (ΔSO₂ up to 0.0021 mol m⁻²), consistently preceding vegetation anomalies by several days. CO rose moderately, while NO₂ remained near baseline after anthropogenic masking.</w:t>
      </w:r>
    </w:p>
    <w:p w14:paraId="24D41B3D" w14:textId="77777777" w:rsidR="00225B6D" w:rsidRPr="00297C20" w:rsidRDefault="00225B6D" w:rsidP="00C25DFC">
      <w:pPr>
        <w:pStyle w:val="Rozdzia"/>
        <w:numPr>
          <w:ilvl w:val="0"/>
          <w:numId w:val="23"/>
        </w:numPr>
        <w:spacing w:before="0" w:after="0"/>
        <w:ind w:left="284"/>
        <w:jc w:val="both"/>
        <w:rPr>
          <w:b w:val="0"/>
          <w:sz w:val="22"/>
          <w:lang w:val="en-GB"/>
        </w:rPr>
      </w:pPr>
      <w:r w:rsidRPr="00297C20">
        <w:rPr>
          <w:sz w:val="22"/>
          <w:lang w:val="en-GB"/>
        </w:rPr>
        <w:t>Land cover classification</w:t>
      </w:r>
      <w:r w:rsidRPr="00297C20">
        <w:rPr>
          <w:b w:val="0"/>
          <w:sz w:val="22"/>
          <w:lang w:val="en-GB"/>
        </w:rPr>
        <w:t xml:space="preserve"> confirmed transitions from vegetation to bare ground after both eruptions, with high classification accuracy (&gt;99%).</w:t>
      </w:r>
    </w:p>
    <w:p w14:paraId="6861C824" w14:textId="723CB73B" w:rsidR="004316EB" w:rsidRPr="00297C20" w:rsidRDefault="00225B6D" w:rsidP="00C25DFC">
      <w:pPr>
        <w:pStyle w:val="Rozdzia"/>
        <w:numPr>
          <w:ilvl w:val="0"/>
          <w:numId w:val="23"/>
        </w:numPr>
        <w:spacing w:before="0" w:after="0"/>
        <w:ind w:left="284"/>
        <w:jc w:val="both"/>
        <w:rPr>
          <w:b w:val="0"/>
          <w:sz w:val="22"/>
          <w:lang w:val="en-GB"/>
        </w:rPr>
      </w:pPr>
      <w:r w:rsidRPr="00297C20">
        <w:rPr>
          <w:sz w:val="22"/>
          <w:lang w:val="en-GB"/>
        </w:rPr>
        <w:t>Ground deformation</w:t>
      </w:r>
      <w:r w:rsidRPr="00297C20">
        <w:rPr>
          <w:b w:val="0"/>
          <w:sz w:val="22"/>
          <w:lang w:val="en-GB"/>
        </w:rPr>
        <w:t xml:space="preserve"> retrieved from SBAS InSAR reveale</w:t>
      </w:r>
      <w:r w:rsidR="003403B0" w:rsidRPr="00297C20">
        <w:rPr>
          <w:b w:val="0"/>
          <w:sz w:val="22"/>
          <w:lang w:val="en-GB"/>
        </w:rPr>
        <w:t>d summit-centred uplift of ~2.5-</w:t>
      </w:r>
      <w:r w:rsidRPr="00297C20">
        <w:rPr>
          <w:b w:val="0"/>
          <w:sz w:val="22"/>
          <w:lang w:val="en-GB"/>
        </w:rPr>
        <w:t>3</w:t>
      </w:r>
      <w:r w:rsidR="00C64C55">
        <w:rPr>
          <w:b w:val="0"/>
          <w:sz w:val="22"/>
          <w:lang w:val="en-GB"/>
        </w:rPr>
        <w:t>.0</w:t>
      </w:r>
      <w:r w:rsidRPr="00297C20">
        <w:rPr>
          <w:b w:val="0"/>
          <w:sz w:val="22"/>
          <w:lang w:val="en-GB"/>
        </w:rPr>
        <w:t xml:space="preserve"> cm </w:t>
      </w:r>
      <w:r w:rsidR="0042740C">
        <w:rPr>
          <w:b w:val="0"/>
          <w:sz w:val="22"/>
          <w:lang w:val="en-GB"/>
        </w:rPr>
        <w:t>before</w:t>
      </w:r>
      <w:r w:rsidRPr="00297C20">
        <w:rPr>
          <w:b w:val="0"/>
          <w:sz w:val="22"/>
          <w:lang w:val="en-GB"/>
        </w:rPr>
        <w:t xml:space="preserve"> eruption onset, followed by post-eruptive deflation.</w:t>
      </w:r>
    </w:p>
    <w:p w14:paraId="53F9FA34" w14:textId="77777777" w:rsidR="00512625" w:rsidRDefault="00512625" w:rsidP="00C053C5">
      <w:pPr>
        <w:rPr>
          <w:lang w:val="en-GB"/>
        </w:rPr>
      </w:pPr>
    </w:p>
    <w:p w14:paraId="2336FB27" w14:textId="13AF7FAB" w:rsidR="00C053C5" w:rsidRPr="00297C20" w:rsidRDefault="00C053C5" w:rsidP="00C053C5">
      <w:pPr>
        <w:rPr>
          <w:lang w:val="en-GB"/>
        </w:rPr>
      </w:pPr>
      <w:r w:rsidRPr="00297C20">
        <w:rPr>
          <w:lang w:val="en-GB"/>
        </w:rPr>
        <w:t>The integrated analysis revealed a reproducible</w:t>
      </w:r>
      <w:r w:rsidR="004E3666" w:rsidRPr="00297C20">
        <w:rPr>
          <w:lang w:val="en-GB"/>
        </w:rPr>
        <w:t xml:space="preserve"> lead-</w:t>
      </w:r>
      <w:r w:rsidR="00762EEA" w:rsidRPr="00297C20">
        <w:rPr>
          <w:lang w:val="en-GB"/>
        </w:rPr>
        <w:t>lag sequence: SO₂ and de</w:t>
      </w:r>
      <w:r w:rsidRPr="00297C20">
        <w:rPr>
          <w:lang w:val="en-GB"/>
        </w:rPr>
        <w:t xml:space="preserve">formation anomalies </w:t>
      </w:r>
      <w:r w:rsidR="003403B0" w:rsidRPr="00297C20">
        <w:rPr>
          <w:lang w:val="en-GB"/>
        </w:rPr>
        <w:t>preceded vegetation stress by 5-</w:t>
      </w:r>
      <w:r w:rsidRPr="00297C20">
        <w:rPr>
          <w:lang w:val="en-GB"/>
        </w:rPr>
        <w:t xml:space="preserve">15 days. This highlights the potential of combining gas and deformation indicators as early-warning signals, with vegetation indices </w:t>
      </w:r>
      <w:r w:rsidR="0042740C">
        <w:rPr>
          <w:lang w:val="en-GB"/>
        </w:rPr>
        <w:t>confirming</w:t>
      </w:r>
      <w:r w:rsidRPr="00297C20">
        <w:rPr>
          <w:lang w:val="en-GB"/>
        </w:rPr>
        <w:t xml:space="preserve"> surface impact.</w:t>
      </w:r>
    </w:p>
    <w:p w14:paraId="0F4DC8E2" w14:textId="001F80C5" w:rsidR="00C053C5" w:rsidRPr="00297C20" w:rsidRDefault="00C053C5" w:rsidP="00C053C5">
      <w:pPr>
        <w:rPr>
          <w:lang w:val="en-GB"/>
        </w:rPr>
      </w:pPr>
      <w:r w:rsidRPr="00297C20">
        <w:rPr>
          <w:lang w:val="en-GB"/>
        </w:rPr>
        <w:lastRenderedPageBreak/>
        <w:t>Methodologically, the framework demonstrates the advantages of using freely available satellite data (Sentinel-1, Sentinel-2, Sentinel-5P) and cloud-based platforms (Google Earth Engine, SNAP) for reproducible and cost-effective volcanic monitoring. The use of cl</w:t>
      </w:r>
      <w:r w:rsidR="003403B0" w:rsidRPr="00297C20">
        <w:rPr>
          <w:lang w:val="en-GB"/>
        </w:rPr>
        <w:t>imatology-based z-scores, plume-</w:t>
      </w:r>
      <w:r w:rsidRPr="00297C20">
        <w:rPr>
          <w:lang w:val="en-GB"/>
        </w:rPr>
        <w:t>control differencing, and anthropogenic masking reduces false positives and strengthens interpretation.</w:t>
      </w:r>
    </w:p>
    <w:p w14:paraId="406EAF88" w14:textId="096E15DB" w:rsidR="00C053C5" w:rsidRPr="00297C20" w:rsidRDefault="00C053C5" w:rsidP="00C053C5">
      <w:pPr>
        <w:rPr>
          <w:lang w:val="en-GB"/>
        </w:rPr>
      </w:pPr>
      <w:r w:rsidRPr="00297C20">
        <w:rPr>
          <w:lang w:val="en-GB"/>
        </w:rPr>
        <w:t>While limitations remain – including cloud contamination, atmospheric noise, and temporal resolution gaps – the approach offers operational potential. Future research should expand automated anomaly detection, test multi-indicator thresholds, and apply this framework to other active volcanoes in Europe.</w:t>
      </w:r>
    </w:p>
    <w:p w14:paraId="75696D2C" w14:textId="225B2143" w:rsidR="008B1A81" w:rsidRPr="00297C20" w:rsidRDefault="008B1A81" w:rsidP="00C053C5">
      <w:pPr>
        <w:rPr>
          <w:lang w:val="en-GB"/>
        </w:rPr>
      </w:pPr>
      <w:r w:rsidRPr="00297C20">
        <w:rPr>
          <w:lang w:val="en-GB"/>
        </w:rPr>
        <w:t>All analytical workflows were implemented in open-source environments (Google Earth Engine and SNAP), ensuring full reproducibility. Future research will integrate automated anomaly detection pipelines to strengthen operational use in real-time volcanic monitoring.</w:t>
      </w:r>
    </w:p>
    <w:p w14:paraId="6F04A263" w14:textId="0E320FC4" w:rsidR="004316EB" w:rsidRPr="00297C20" w:rsidRDefault="00CB2276" w:rsidP="00E21C33">
      <w:pPr>
        <w:pStyle w:val="Rozdzia"/>
        <w:rPr>
          <w:lang w:val="en-GB"/>
        </w:rPr>
      </w:pPr>
      <w:r w:rsidRPr="00297C20">
        <w:rPr>
          <w:sz w:val="22"/>
          <w:lang w:val="en-GB"/>
        </w:rPr>
        <w:t>Abbreviations</w:t>
      </w:r>
    </w:p>
    <w:p w14:paraId="3F5D01F4" w14:textId="4A0A4A69" w:rsidR="004316EB" w:rsidRPr="00297C20" w:rsidRDefault="00CB2276" w:rsidP="00CB2276">
      <w:pPr>
        <w:pStyle w:val="Rozdzia"/>
        <w:spacing w:before="0"/>
        <w:rPr>
          <w:b w:val="0"/>
          <w:sz w:val="22"/>
          <w:lang w:val="en-GB"/>
        </w:rPr>
      </w:pPr>
      <w:r w:rsidRPr="00297C20">
        <w:rPr>
          <w:b w:val="0"/>
          <w:sz w:val="22"/>
          <w:lang w:val="en-GB"/>
        </w:rPr>
        <w:t>The following abbreviations are used in this manuscript:</w:t>
      </w:r>
    </w:p>
    <w:tbl>
      <w:tblPr>
        <w:tblStyle w:val="Tabela-Siatka1"/>
        <w:tblW w:w="78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6"/>
        <w:gridCol w:w="6501"/>
      </w:tblGrid>
      <w:tr w:rsidR="00CB2276" w:rsidRPr="00297C20" w14:paraId="36A17E85" w14:textId="77777777" w:rsidTr="00CB2276">
        <w:tc>
          <w:tcPr>
            <w:tcW w:w="1356" w:type="dxa"/>
            <w:vAlign w:val="center"/>
          </w:tcPr>
          <w:p w14:paraId="510169C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NDVI</w:t>
            </w:r>
          </w:p>
        </w:tc>
        <w:tc>
          <w:tcPr>
            <w:tcW w:w="6501" w:type="dxa"/>
            <w:vAlign w:val="center"/>
          </w:tcPr>
          <w:p w14:paraId="3E434B0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Normalized Difference Vegetation Index</w:t>
            </w:r>
          </w:p>
        </w:tc>
      </w:tr>
      <w:tr w:rsidR="00CB2276" w:rsidRPr="00297C20" w14:paraId="4B74D31A" w14:textId="77777777" w:rsidTr="00CB2276">
        <w:tc>
          <w:tcPr>
            <w:tcW w:w="1356" w:type="dxa"/>
            <w:vAlign w:val="center"/>
          </w:tcPr>
          <w:p w14:paraId="6C7F7248"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EVI</w:t>
            </w:r>
          </w:p>
        </w:tc>
        <w:tc>
          <w:tcPr>
            <w:tcW w:w="6501" w:type="dxa"/>
            <w:vAlign w:val="center"/>
          </w:tcPr>
          <w:p w14:paraId="7050164F"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Enhanced Vegetation Index</w:t>
            </w:r>
          </w:p>
        </w:tc>
      </w:tr>
      <w:tr w:rsidR="00CB2276" w:rsidRPr="00297C20" w14:paraId="034DC124" w14:textId="77777777" w:rsidTr="00CB2276">
        <w:tc>
          <w:tcPr>
            <w:tcW w:w="1356" w:type="dxa"/>
            <w:vAlign w:val="center"/>
          </w:tcPr>
          <w:p w14:paraId="5BD376C4"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NBR</w:t>
            </w:r>
          </w:p>
        </w:tc>
        <w:tc>
          <w:tcPr>
            <w:tcW w:w="6501" w:type="dxa"/>
            <w:vAlign w:val="center"/>
          </w:tcPr>
          <w:p w14:paraId="5A8033BD"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Normalized Burn Ratio</w:t>
            </w:r>
          </w:p>
        </w:tc>
      </w:tr>
      <w:tr w:rsidR="00CB2276" w:rsidRPr="00297C20" w14:paraId="65AED901" w14:textId="77777777" w:rsidTr="00CB2276">
        <w:tc>
          <w:tcPr>
            <w:tcW w:w="1356" w:type="dxa"/>
            <w:vAlign w:val="center"/>
          </w:tcPr>
          <w:p w14:paraId="58F72FA2"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NDMI</w:t>
            </w:r>
          </w:p>
        </w:tc>
        <w:tc>
          <w:tcPr>
            <w:tcW w:w="6501" w:type="dxa"/>
            <w:vAlign w:val="center"/>
          </w:tcPr>
          <w:p w14:paraId="1DEB447B"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Normalized Difference Moisture Index</w:t>
            </w:r>
          </w:p>
        </w:tc>
      </w:tr>
      <w:tr w:rsidR="00CB2276" w:rsidRPr="00297C20" w14:paraId="57065A2E" w14:textId="77777777" w:rsidTr="00CB2276">
        <w:tc>
          <w:tcPr>
            <w:tcW w:w="1356" w:type="dxa"/>
            <w:vAlign w:val="center"/>
          </w:tcPr>
          <w:p w14:paraId="7FC7EFA6"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InSAR</w:t>
            </w:r>
          </w:p>
        </w:tc>
        <w:tc>
          <w:tcPr>
            <w:tcW w:w="6501" w:type="dxa"/>
            <w:vAlign w:val="center"/>
          </w:tcPr>
          <w:p w14:paraId="3441AFE9"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Interferometric Synthetic Aperture Radar</w:t>
            </w:r>
          </w:p>
        </w:tc>
      </w:tr>
      <w:tr w:rsidR="00CB2276" w:rsidRPr="0042740C" w14:paraId="5F951852" w14:textId="77777777" w:rsidTr="00CB2276">
        <w:tc>
          <w:tcPr>
            <w:tcW w:w="1356" w:type="dxa"/>
            <w:vAlign w:val="center"/>
          </w:tcPr>
          <w:p w14:paraId="29BE7D11"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proofErr w:type="spellStart"/>
            <w:r w:rsidRPr="00297C20">
              <w:rPr>
                <w:rFonts w:eastAsia="Times New Roman"/>
                <w:snapToGrid w:val="0"/>
                <w:sz w:val="18"/>
                <w:szCs w:val="18"/>
                <w:lang w:val="en-GB" w:eastAsia="de-DE" w:bidi="en-US"/>
              </w:rPr>
              <w:t>DInSAR</w:t>
            </w:r>
            <w:proofErr w:type="spellEnd"/>
          </w:p>
        </w:tc>
        <w:tc>
          <w:tcPr>
            <w:tcW w:w="6501" w:type="dxa"/>
            <w:vAlign w:val="center"/>
          </w:tcPr>
          <w:p w14:paraId="0BD0AD4D"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Differential Interferometric Synthetic Aperture Radar</w:t>
            </w:r>
          </w:p>
        </w:tc>
      </w:tr>
      <w:tr w:rsidR="00CB2276" w:rsidRPr="00297C20" w14:paraId="64DD5910" w14:textId="77777777" w:rsidTr="00CB2276">
        <w:tc>
          <w:tcPr>
            <w:tcW w:w="1356" w:type="dxa"/>
            <w:vAlign w:val="center"/>
          </w:tcPr>
          <w:p w14:paraId="75D2E837"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SBAS</w:t>
            </w:r>
          </w:p>
        </w:tc>
        <w:tc>
          <w:tcPr>
            <w:tcW w:w="6501" w:type="dxa"/>
            <w:vAlign w:val="center"/>
          </w:tcPr>
          <w:p w14:paraId="37236B6F"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Small Baseline Subset</w:t>
            </w:r>
          </w:p>
        </w:tc>
      </w:tr>
      <w:tr w:rsidR="00CB2276" w:rsidRPr="00297C20" w14:paraId="7CFE0DBD" w14:textId="77777777" w:rsidTr="00CB2276">
        <w:tc>
          <w:tcPr>
            <w:tcW w:w="1356" w:type="dxa"/>
            <w:vAlign w:val="center"/>
          </w:tcPr>
          <w:p w14:paraId="1AAEAF8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SNAP</w:t>
            </w:r>
          </w:p>
        </w:tc>
        <w:tc>
          <w:tcPr>
            <w:tcW w:w="6501" w:type="dxa"/>
            <w:vAlign w:val="center"/>
          </w:tcPr>
          <w:p w14:paraId="3A918DEA"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Sentinel Application Platform</w:t>
            </w:r>
          </w:p>
        </w:tc>
      </w:tr>
      <w:tr w:rsidR="00CB2276" w:rsidRPr="00297C20" w14:paraId="3E12EAE5" w14:textId="77777777" w:rsidTr="00CB2276">
        <w:tc>
          <w:tcPr>
            <w:tcW w:w="1356" w:type="dxa"/>
            <w:vAlign w:val="center"/>
          </w:tcPr>
          <w:p w14:paraId="396213A8"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GEE</w:t>
            </w:r>
          </w:p>
        </w:tc>
        <w:tc>
          <w:tcPr>
            <w:tcW w:w="6501" w:type="dxa"/>
            <w:vAlign w:val="center"/>
          </w:tcPr>
          <w:p w14:paraId="0298E196"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Google Earth Engine</w:t>
            </w:r>
          </w:p>
        </w:tc>
      </w:tr>
      <w:tr w:rsidR="00CB2276" w:rsidRPr="00297C20" w14:paraId="1EABBA9E" w14:textId="77777777" w:rsidTr="00CB2276">
        <w:tc>
          <w:tcPr>
            <w:tcW w:w="1356" w:type="dxa"/>
            <w:vAlign w:val="center"/>
          </w:tcPr>
          <w:p w14:paraId="76CA1DE5"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SCL</w:t>
            </w:r>
          </w:p>
        </w:tc>
        <w:tc>
          <w:tcPr>
            <w:tcW w:w="6501" w:type="dxa"/>
            <w:vAlign w:val="center"/>
          </w:tcPr>
          <w:p w14:paraId="42E9CEB4"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Scene Classification Layer</w:t>
            </w:r>
          </w:p>
        </w:tc>
      </w:tr>
      <w:tr w:rsidR="00CB2276" w:rsidRPr="00297C20" w14:paraId="488750CB" w14:textId="77777777" w:rsidTr="00CB2276">
        <w:tc>
          <w:tcPr>
            <w:tcW w:w="1356" w:type="dxa"/>
            <w:vAlign w:val="center"/>
          </w:tcPr>
          <w:p w14:paraId="3D22F01A"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TIR</w:t>
            </w:r>
          </w:p>
        </w:tc>
        <w:tc>
          <w:tcPr>
            <w:tcW w:w="6501" w:type="dxa"/>
            <w:vAlign w:val="center"/>
          </w:tcPr>
          <w:p w14:paraId="0061F1D6"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Thermal Infrared</w:t>
            </w:r>
          </w:p>
        </w:tc>
      </w:tr>
      <w:tr w:rsidR="00CB2276" w:rsidRPr="00297C20" w14:paraId="20B38A03" w14:textId="77777777" w:rsidTr="00CB2276">
        <w:tc>
          <w:tcPr>
            <w:tcW w:w="1356" w:type="dxa"/>
            <w:vAlign w:val="center"/>
          </w:tcPr>
          <w:p w14:paraId="0A33627A" w14:textId="77777777" w:rsidR="00CB2276" w:rsidRPr="00297C20" w:rsidRDefault="00CB2276" w:rsidP="00CB2276">
            <w:pPr>
              <w:adjustRightInd w:val="0"/>
              <w:snapToGrid w:val="0"/>
              <w:ind w:firstLine="0"/>
              <w:jc w:val="left"/>
              <w:rPr>
                <w:rFonts w:eastAsia="Times New Roman"/>
                <w:snapToGrid w:val="0"/>
                <w:sz w:val="18"/>
                <w:szCs w:val="18"/>
                <w:vertAlign w:val="subscript"/>
                <w:lang w:val="en-GB" w:eastAsia="de-DE" w:bidi="en-US"/>
              </w:rPr>
            </w:pPr>
            <w:r w:rsidRPr="00297C20">
              <w:rPr>
                <w:rFonts w:eastAsia="Times New Roman"/>
                <w:snapToGrid w:val="0"/>
                <w:sz w:val="18"/>
                <w:szCs w:val="18"/>
                <w:lang w:val="en-GB" w:eastAsia="de-DE" w:bidi="en-US"/>
              </w:rPr>
              <w:t>SO</w:t>
            </w:r>
            <w:r w:rsidRPr="00297C20">
              <w:rPr>
                <w:rFonts w:eastAsia="Times New Roman"/>
                <w:snapToGrid w:val="0"/>
                <w:sz w:val="18"/>
                <w:szCs w:val="18"/>
                <w:vertAlign w:val="subscript"/>
                <w:lang w:val="en-GB" w:eastAsia="de-DE" w:bidi="en-US"/>
              </w:rPr>
              <w:t>2</w:t>
            </w:r>
          </w:p>
        </w:tc>
        <w:tc>
          <w:tcPr>
            <w:tcW w:w="6501" w:type="dxa"/>
            <w:vAlign w:val="center"/>
          </w:tcPr>
          <w:p w14:paraId="7055A54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proofErr w:type="spellStart"/>
            <w:r w:rsidRPr="00297C20">
              <w:rPr>
                <w:rFonts w:eastAsia="Times New Roman"/>
                <w:snapToGrid w:val="0"/>
                <w:sz w:val="18"/>
                <w:szCs w:val="18"/>
                <w:lang w:val="en-GB" w:eastAsia="de-DE" w:bidi="en-US"/>
              </w:rPr>
              <w:t>Sulfur</w:t>
            </w:r>
            <w:proofErr w:type="spellEnd"/>
            <w:r w:rsidRPr="00297C20">
              <w:rPr>
                <w:rFonts w:eastAsia="Times New Roman"/>
                <w:snapToGrid w:val="0"/>
                <w:sz w:val="18"/>
                <w:szCs w:val="18"/>
                <w:lang w:val="en-GB" w:eastAsia="de-DE" w:bidi="en-US"/>
              </w:rPr>
              <w:t xml:space="preserve"> Dioxide</w:t>
            </w:r>
          </w:p>
        </w:tc>
      </w:tr>
      <w:tr w:rsidR="00CB2276" w:rsidRPr="00297C20" w14:paraId="4F4D3D84" w14:textId="77777777" w:rsidTr="00CB2276">
        <w:tc>
          <w:tcPr>
            <w:tcW w:w="1356" w:type="dxa"/>
            <w:vAlign w:val="center"/>
          </w:tcPr>
          <w:p w14:paraId="22C2657D"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NO₂</w:t>
            </w:r>
          </w:p>
        </w:tc>
        <w:tc>
          <w:tcPr>
            <w:tcW w:w="6501" w:type="dxa"/>
            <w:vAlign w:val="center"/>
          </w:tcPr>
          <w:p w14:paraId="16BC426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Nitrogen Dioxide</w:t>
            </w:r>
          </w:p>
        </w:tc>
      </w:tr>
      <w:tr w:rsidR="00CB2276" w:rsidRPr="00297C20" w14:paraId="06428122" w14:textId="77777777" w:rsidTr="00CB2276">
        <w:tc>
          <w:tcPr>
            <w:tcW w:w="1356" w:type="dxa"/>
            <w:vAlign w:val="center"/>
          </w:tcPr>
          <w:p w14:paraId="613DDCB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CO</w:t>
            </w:r>
          </w:p>
        </w:tc>
        <w:tc>
          <w:tcPr>
            <w:tcW w:w="6501" w:type="dxa"/>
            <w:vAlign w:val="center"/>
          </w:tcPr>
          <w:p w14:paraId="1D48A08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Carbon Monoxide</w:t>
            </w:r>
          </w:p>
        </w:tc>
      </w:tr>
      <w:tr w:rsidR="00CB2276" w:rsidRPr="00297C20" w14:paraId="3CF03D94" w14:textId="77777777" w:rsidTr="00CB2276">
        <w:tc>
          <w:tcPr>
            <w:tcW w:w="1356" w:type="dxa"/>
            <w:vAlign w:val="center"/>
          </w:tcPr>
          <w:p w14:paraId="4060AA07"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ROI</w:t>
            </w:r>
          </w:p>
        </w:tc>
        <w:tc>
          <w:tcPr>
            <w:tcW w:w="6501" w:type="dxa"/>
            <w:vAlign w:val="center"/>
          </w:tcPr>
          <w:p w14:paraId="57679C9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Region of Interest</w:t>
            </w:r>
          </w:p>
        </w:tc>
      </w:tr>
      <w:tr w:rsidR="00CB2276" w:rsidRPr="00297C20" w14:paraId="0D501FC7" w14:textId="77777777" w:rsidTr="00CB2276">
        <w:tc>
          <w:tcPr>
            <w:tcW w:w="1356" w:type="dxa"/>
            <w:vAlign w:val="center"/>
          </w:tcPr>
          <w:p w14:paraId="67772AFC"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LOS</w:t>
            </w:r>
          </w:p>
        </w:tc>
        <w:tc>
          <w:tcPr>
            <w:tcW w:w="6501" w:type="dxa"/>
            <w:vAlign w:val="center"/>
          </w:tcPr>
          <w:p w14:paraId="61B8E5A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Line of Sight</w:t>
            </w:r>
          </w:p>
        </w:tc>
      </w:tr>
      <w:tr w:rsidR="00CB2276" w:rsidRPr="00297C20" w14:paraId="5CCA2E84" w14:textId="77777777" w:rsidTr="00CB2276">
        <w:tc>
          <w:tcPr>
            <w:tcW w:w="1356" w:type="dxa"/>
            <w:vAlign w:val="center"/>
          </w:tcPr>
          <w:p w14:paraId="55DFC76B"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SRTM</w:t>
            </w:r>
          </w:p>
        </w:tc>
        <w:tc>
          <w:tcPr>
            <w:tcW w:w="6501" w:type="dxa"/>
            <w:vAlign w:val="center"/>
          </w:tcPr>
          <w:p w14:paraId="04F24192"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Shuttle Radar Topography Mission</w:t>
            </w:r>
          </w:p>
        </w:tc>
      </w:tr>
      <w:tr w:rsidR="00CB2276" w:rsidRPr="00297C20" w14:paraId="18AECB12" w14:textId="77777777" w:rsidTr="00CB2276">
        <w:tc>
          <w:tcPr>
            <w:tcW w:w="1356" w:type="dxa"/>
            <w:vAlign w:val="center"/>
          </w:tcPr>
          <w:p w14:paraId="53676BCC"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GNSS</w:t>
            </w:r>
          </w:p>
        </w:tc>
        <w:tc>
          <w:tcPr>
            <w:tcW w:w="6501" w:type="dxa"/>
            <w:vAlign w:val="center"/>
          </w:tcPr>
          <w:p w14:paraId="419F55E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Global Navigation Satellite System</w:t>
            </w:r>
          </w:p>
        </w:tc>
      </w:tr>
      <w:tr w:rsidR="00CB2276" w:rsidRPr="0042740C" w14:paraId="322317F6" w14:textId="77777777" w:rsidTr="00CB2276">
        <w:tc>
          <w:tcPr>
            <w:tcW w:w="1356" w:type="dxa"/>
            <w:vAlign w:val="center"/>
          </w:tcPr>
          <w:p w14:paraId="04B130B5"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ERA5</w:t>
            </w:r>
          </w:p>
        </w:tc>
        <w:tc>
          <w:tcPr>
            <w:tcW w:w="6501" w:type="dxa"/>
            <w:vAlign w:val="center"/>
          </w:tcPr>
          <w:p w14:paraId="1CA647F4"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ECMWF Reanalysis v5 (meteorological data)</w:t>
            </w:r>
          </w:p>
        </w:tc>
      </w:tr>
      <w:tr w:rsidR="00CB2276" w:rsidRPr="0042740C" w14:paraId="1792EF1E" w14:textId="77777777" w:rsidTr="00CB2276">
        <w:tc>
          <w:tcPr>
            <w:tcW w:w="1356" w:type="dxa"/>
            <w:vAlign w:val="center"/>
          </w:tcPr>
          <w:p w14:paraId="075AF450"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GACOS</w:t>
            </w:r>
          </w:p>
        </w:tc>
        <w:tc>
          <w:tcPr>
            <w:tcW w:w="6501" w:type="dxa"/>
            <w:vAlign w:val="center"/>
          </w:tcPr>
          <w:p w14:paraId="475B6087"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Generic Atmospheric Correction Online Service</w:t>
            </w:r>
          </w:p>
        </w:tc>
      </w:tr>
      <w:tr w:rsidR="00CB2276" w:rsidRPr="0042740C" w14:paraId="0BAE7468" w14:textId="77777777" w:rsidTr="00CB2276">
        <w:tc>
          <w:tcPr>
            <w:tcW w:w="1356" w:type="dxa"/>
            <w:vAlign w:val="center"/>
          </w:tcPr>
          <w:p w14:paraId="7AEBFDBA"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QA</w:t>
            </w:r>
          </w:p>
        </w:tc>
        <w:tc>
          <w:tcPr>
            <w:tcW w:w="6501" w:type="dxa"/>
            <w:vAlign w:val="center"/>
          </w:tcPr>
          <w:p w14:paraId="4A71D2BD"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Quality Assurance (TROPOMI data flag)</w:t>
            </w:r>
          </w:p>
        </w:tc>
      </w:tr>
      <w:tr w:rsidR="00CB2276" w:rsidRPr="00297C20" w14:paraId="2C50C66D" w14:textId="77777777" w:rsidTr="00CB2276">
        <w:tc>
          <w:tcPr>
            <w:tcW w:w="1356" w:type="dxa"/>
            <w:vAlign w:val="center"/>
          </w:tcPr>
          <w:p w14:paraId="3EB461CB"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DU</w:t>
            </w:r>
          </w:p>
        </w:tc>
        <w:tc>
          <w:tcPr>
            <w:tcW w:w="6501" w:type="dxa"/>
            <w:vAlign w:val="center"/>
          </w:tcPr>
          <w:p w14:paraId="29188270"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Dobson Unit (SO₂ thresholding)</w:t>
            </w:r>
          </w:p>
        </w:tc>
      </w:tr>
      <w:tr w:rsidR="00CB2276" w:rsidRPr="0042740C" w14:paraId="2A5F966C" w14:textId="77777777" w:rsidTr="00CB2276">
        <w:tc>
          <w:tcPr>
            <w:tcW w:w="1356" w:type="dxa"/>
            <w:vAlign w:val="center"/>
          </w:tcPr>
          <w:p w14:paraId="31D8FED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VONA</w:t>
            </w:r>
          </w:p>
        </w:tc>
        <w:tc>
          <w:tcPr>
            <w:tcW w:w="6501" w:type="dxa"/>
            <w:vAlign w:val="center"/>
          </w:tcPr>
          <w:p w14:paraId="6CB6581F"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Volcano Observatory Notice for Aviation</w:t>
            </w:r>
          </w:p>
        </w:tc>
      </w:tr>
      <w:tr w:rsidR="00CB2276" w:rsidRPr="00297C20" w14:paraId="72663DC1" w14:textId="77777777" w:rsidTr="00CB2276">
        <w:tc>
          <w:tcPr>
            <w:tcW w:w="1356" w:type="dxa"/>
            <w:vAlign w:val="center"/>
          </w:tcPr>
          <w:p w14:paraId="301A7C23"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EO Browser</w:t>
            </w:r>
          </w:p>
        </w:tc>
        <w:tc>
          <w:tcPr>
            <w:tcW w:w="6501" w:type="dxa"/>
            <w:vAlign w:val="center"/>
          </w:tcPr>
          <w:p w14:paraId="03190876"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Earth Observation Browser (Copernicus)</w:t>
            </w:r>
          </w:p>
        </w:tc>
      </w:tr>
      <w:tr w:rsidR="00CB2276" w:rsidRPr="0042740C" w14:paraId="3C2A256C" w14:textId="77777777" w:rsidTr="00CB2276">
        <w:tc>
          <w:tcPr>
            <w:tcW w:w="1356" w:type="dxa"/>
            <w:vAlign w:val="center"/>
          </w:tcPr>
          <w:p w14:paraId="575BF95E"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S5P/TROPOMI</w:t>
            </w:r>
          </w:p>
        </w:tc>
        <w:tc>
          <w:tcPr>
            <w:tcW w:w="6501" w:type="dxa"/>
            <w:vAlign w:val="center"/>
          </w:tcPr>
          <w:p w14:paraId="7E7A7D69" w14:textId="77777777" w:rsidR="00CB2276" w:rsidRPr="00297C20" w:rsidRDefault="00CB2276" w:rsidP="00CB2276">
            <w:pPr>
              <w:adjustRightInd w:val="0"/>
              <w:snapToGrid w:val="0"/>
              <w:ind w:firstLine="0"/>
              <w:jc w:val="left"/>
              <w:rPr>
                <w:rFonts w:eastAsia="Times New Roman"/>
                <w:snapToGrid w:val="0"/>
                <w:sz w:val="18"/>
                <w:szCs w:val="18"/>
                <w:lang w:val="en-GB" w:eastAsia="de-DE" w:bidi="en-US"/>
              </w:rPr>
            </w:pPr>
            <w:r w:rsidRPr="00297C20">
              <w:rPr>
                <w:rFonts w:eastAsia="Times New Roman"/>
                <w:snapToGrid w:val="0"/>
                <w:sz w:val="18"/>
                <w:szCs w:val="18"/>
                <w:lang w:val="en-GB" w:eastAsia="de-DE" w:bidi="en-US"/>
              </w:rPr>
              <w:t xml:space="preserve">Sentinel-5 Precursor / </w:t>
            </w:r>
            <w:proofErr w:type="spellStart"/>
            <w:r w:rsidRPr="00297C20">
              <w:rPr>
                <w:rFonts w:eastAsia="Times New Roman"/>
                <w:snapToGrid w:val="0"/>
                <w:sz w:val="18"/>
                <w:szCs w:val="18"/>
                <w:lang w:val="en-GB" w:eastAsia="de-DE" w:bidi="en-US"/>
              </w:rPr>
              <w:t>TROPOspheric</w:t>
            </w:r>
            <w:proofErr w:type="spellEnd"/>
            <w:r w:rsidRPr="00297C20">
              <w:rPr>
                <w:rFonts w:eastAsia="Times New Roman"/>
                <w:snapToGrid w:val="0"/>
                <w:sz w:val="18"/>
                <w:szCs w:val="18"/>
                <w:lang w:val="en-GB" w:eastAsia="de-DE" w:bidi="en-US"/>
              </w:rPr>
              <w:t xml:space="preserve"> Monitoring Instrument</w:t>
            </w:r>
          </w:p>
        </w:tc>
      </w:tr>
    </w:tbl>
    <w:p w14:paraId="49A1AE1D" w14:textId="770767CD" w:rsidR="00DF3442" w:rsidRPr="00297C20" w:rsidRDefault="001515E4" w:rsidP="001515E4">
      <w:pPr>
        <w:pStyle w:val="Rn2"/>
        <w:rPr>
          <w:lang w:val="en-GB"/>
        </w:rPr>
      </w:pPr>
      <w:r w:rsidRPr="00297C20">
        <w:rPr>
          <w:lang w:val="en-GB"/>
        </w:rPr>
        <w:t>References</w:t>
      </w:r>
    </w:p>
    <w:p w14:paraId="6A740BEF" w14:textId="22A7995C" w:rsidR="00A55DAA" w:rsidRPr="00547AB6" w:rsidRDefault="00A55DAA" w:rsidP="00512625">
      <w:pPr>
        <w:pStyle w:val="Rlit"/>
        <w:rPr>
          <w:lang w:bidi="en-US"/>
        </w:rPr>
      </w:pPr>
      <w:r w:rsidRPr="00547AB6">
        <w:rPr>
          <w:lang w:bidi="en-US"/>
        </w:rPr>
        <w:t>Albino, F., Biggs, J., Yu, C., &amp; Li, Z. (2020)</w:t>
      </w:r>
      <w:r w:rsidR="00D157E8">
        <w:rPr>
          <w:lang w:bidi="en-US"/>
        </w:rPr>
        <w:t>.</w:t>
      </w:r>
      <w:r w:rsidRPr="00547AB6">
        <w:rPr>
          <w:lang w:bidi="en-US"/>
        </w:rPr>
        <w:t xml:space="preserve"> Automated Methods for Detecting Volcanic Deformation Using Sentinel-1 InSAR Time Series Illustrated by the 2017-2018 Unrest at Agung, Indonesia. </w:t>
      </w:r>
      <w:r w:rsidR="00547AB6" w:rsidRPr="00547AB6">
        <w:rPr>
          <w:i/>
          <w:iCs/>
          <w:lang w:bidi="en-US"/>
        </w:rPr>
        <w:t>Journal of Geophysical Research: Solid Earth</w:t>
      </w:r>
      <w:r w:rsidR="00547AB6" w:rsidRPr="00547AB6">
        <w:rPr>
          <w:lang w:bidi="en-US"/>
        </w:rPr>
        <w:t xml:space="preserve">, </w:t>
      </w:r>
      <w:r w:rsidRPr="00547AB6">
        <w:rPr>
          <w:i/>
          <w:iCs/>
          <w:lang w:bidi="en-US"/>
        </w:rPr>
        <w:t>125</w:t>
      </w:r>
      <w:r w:rsidR="00547AB6">
        <w:rPr>
          <w:lang w:bidi="en-US"/>
        </w:rPr>
        <w:t>(</w:t>
      </w:r>
      <w:r w:rsidRPr="00547AB6">
        <w:rPr>
          <w:lang w:bidi="en-US"/>
        </w:rPr>
        <w:t>2</w:t>
      </w:r>
      <w:r w:rsidR="00547AB6">
        <w:rPr>
          <w:lang w:bidi="en-US"/>
        </w:rPr>
        <w:t>)</w:t>
      </w:r>
      <w:r w:rsidRPr="00547AB6">
        <w:rPr>
          <w:lang w:bidi="en-US"/>
        </w:rPr>
        <w:t>. https://doi.org/10.1029/2019JB017908</w:t>
      </w:r>
    </w:p>
    <w:p w14:paraId="00FAC4CB" w14:textId="627D9F16" w:rsidR="00A55DAA" w:rsidRPr="00547AB6" w:rsidRDefault="00A55DAA" w:rsidP="00512625">
      <w:pPr>
        <w:pStyle w:val="Rlit"/>
        <w:rPr>
          <w:lang w:bidi="en-US"/>
        </w:rPr>
      </w:pPr>
      <w:r w:rsidRPr="00547AB6">
        <w:rPr>
          <w:lang w:bidi="en-US"/>
        </w:rPr>
        <w:t xml:space="preserve">Biggs, J., </w:t>
      </w:r>
      <w:proofErr w:type="spellStart"/>
      <w:r w:rsidRPr="00547AB6">
        <w:rPr>
          <w:lang w:bidi="en-US"/>
        </w:rPr>
        <w:t>Anantrasirichai</w:t>
      </w:r>
      <w:proofErr w:type="spellEnd"/>
      <w:r w:rsidRPr="00547AB6">
        <w:rPr>
          <w:lang w:bidi="en-US"/>
        </w:rPr>
        <w:t xml:space="preserve">, N., Anderson, K., </w:t>
      </w:r>
      <w:proofErr w:type="spellStart"/>
      <w:r w:rsidRPr="00547AB6">
        <w:rPr>
          <w:lang w:bidi="en-US"/>
        </w:rPr>
        <w:t>Cayol</w:t>
      </w:r>
      <w:proofErr w:type="spellEnd"/>
      <w:r w:rsidRPr="00547AB6">
        <w:rPr>
          <w:lang w:bidi="en-US"/>
        </w:rPr>
        <w:t xml:space="preserve">, V., Dualeh, E., Dumont, Q., Ebmeier, S., Froger, J. L., Gaddes, M., Galetto, F., Gonzalez, P., Hamling, I., Hooper, A., </w:t>
      </w:r>
      <w:proofErr w:type="spellStart"/>
      <w:r w:rsidRPr="00547AB6">
        <w:rPr>
          <w:lang w:bidi="en-US"/>
        </w:rPr>
        <w:t>Lazecky</w:t>
      </w:r>
      <w:proofErr w:type="spellEnd"/>
      <w:r w:rsidRPr="00547AB6">
        <w:rPr>
          <w:lang w:bidi="en-US"/>
        </w:rPr>
        <w:t>, M., &amp; Pritchard, M. (2025)</w:t>
      </w:r>
      <w:r w:rsidR="00547AB6">
        <w:rPr>
          <w:lang w:bidi="en-US"/>
        </w:rPr>
        <w:t>.</w:t>
      </w:r>
      <w:r w:rsidRPr="00547AB6">
        <w:rPr>
          <w:lang w:bidi="en-US"/>
        </w:rPr>
        <w:t xml:space="preserve"> </w:t>
      </w:r>
      <w:r w:rsidRPr="00547AB6">
        <w:rPr>
          <w:i/>
          <w:iCs/>
          <w:lang w:bidi="en-US"/>
        </w:rPr>
        <w:t>Rapid Advances in Volcano Monitoring Driven by the First Decade of Sentinel-1 Observations</w:t>
      </w:r>
      <w:r w:rsidRPr="00547AB6">
        <w:rPr>
          <w:lang w:bidi="en-US"/>
        </w:rPr>
        <w:t>.</w:t>
      </w:r>
    </w:p>
    <w:p w14:paraId="2F5C419D" w14:textId="587F1721" w:rsidR="00A55DAA" w:rsidRPr="00547AB6" w:rsidRDefault="00A55DAA" w:rsidP="00512625">
      <w:pPr>
        <w:pStyle w:val="Rlit"/>
        <w:rPr>
          <w:lang w:bidi="en-US"/>
        </w:rPr>
      </w:pPr>
      <w:r w:rsidRPr="00547AB6">
        <w:rPr>
          <w:lang w:bidi="en-US"/>
        </w:rPr>
        <w:t xml:space="preserve">Braun, A., &amp; </w:t>
      </w:r>
      <w:proofErr w:type="spellStart"/>
      <w:r w:rsidRPr="00547AB6">
        <w:rPr>
          <w:lang w:bidi="en-US"/>
        </w:rPr>
        <w:t>Veci</w:t>
      </w:r>
      <w:proofErr w:type="spellEnd"/>
      <w:r w:rsidRPr="00547AB6">
        <w:rPr>
          <w:lang w:bidi="en-US"/>
        </w:rPr>
        <w:t>, L. (2021)</w:t>
      </w:r>
      <w:r w:rsidR="00547AB6">
        <w:rPr>
          <w:lang w:bidi="en-US"/>
        </w:rPr>
        <w:t>.</w:t>
      </w:r>
      <w:r w:rsidRPr="00547AB6">
        <w:rPr>
          <w:lang w:bidi="en-US"/>
        </w:rPr>
        <w:t xml:space="preserve"> </w:t>
      </w:r>
      <w:r w:rsidRPr="00D157E8">
        <w:rPr>
          <w:i/>
          <w:iCs/>
          <w:lang w:bidi="en-US"/>
        </w:rPr>
        <w:t>Sentinel-1 Toolbox TOPS Interferometry Tutorial</w:t>
      </w:r>
      <w:r w:rsidRPr="00547AB6">
        <w:rPr>
          <w:lang w:bidi="en-US"/>
        </w:rPr>
        <w:t>.</w:t>
      </w:r>
    </w:p>
    <w:p w14:paraId="014E01C7" w14:textId="78BDC125" w:rsidR="00A55DAA" w:rsidRPr="00547AB6" w:rsidRDefault="00A55DAA" w:rsidP="00512625">
      <w:pPr>
        <w:pStyle w:val="Rlit"/>
        <w:rPr>
          <w:lang w:bidi="en-US"/>
        </w:rPr>
      </w:pPr>
      <w:r w:rsidRPr="00547AB6">
        <w:rPr>
          <w:lang w:bidi="en-US"/>
        </w:rPr>
        <w:t>Bruno, V., Aloisi, M., Gambino, S., Mattia, M., Ferlito, C., &amp; Rossi, M. (2022)</w:t>
      </w:r>
      <w:r w:rsidR="00D157E8">
        <w:rPr>
          <w:lang w:bidi="en-US"/>
        </w:rPr>
        <w:t>.</w:t>
      </w:r>
      <w:r w:rsidRPr="00547AB6">
        <w:rPr>
          <w:lang w:bidi="en-US"/>
        </w:rPr>
        <w:t xml:space="preserve"> The Most Intense Deflation of the Last Two Decades at Mt. Etna: The 2019-2021 Evolution of Ground Deformation and Modeled Pressure Sources. </w:t>
      </w:r>
      <w:r w:rsidR="00D157E8" w:rsidRPr="00D157E8">
        <w:rPr>
          <w:i/>
          <w:iCs/>
          <w:lang w:bidi="en-US"/>
        </w:rPr>
        <w:t>Geophysical Research Letters</w:t>
      </w:r>
      <w:r w:rsidR="00D157E8">
        <w:rPr>
          <w:lang w:bidi="en-US"/>
        </w:rPr>
        <w:t>,</w:t>
      </w:r>
      <w:r w:rsidR="00D157E8" w:rsidRPr="00D157E8">
        <w:rPr>
          <w:lang w:bidi="en-US"/>
        </w:rPr>
        <w:t xml:space="preserve"> </w:t>
      </w:r>
      <w:r w:rsidR="00D157E8" w:rsidRPr="00D157E8">
        <w:rPr>
          <w:i/>
          <w:iCs/>
          <w:lang w:bidi="en-US"/>
        </w:rPr>
        <w:t>49</w:t>
      </w:r>
      <w:r w:rsidR="00D157E8">
        <w:rPr>
          <w:lang w:bidi="en-US"/>
        </w:rPr>
        <w:t>(</w:t>
      </w:r>
      <w:r w:rsidR="00D157E8" w:rsidRPr="00D157E8">
        <w:rPr>
          <w:lang w:bidi="en-US"/>
        </w:rPr>
        <w:t>6</w:t>
      </w:r>
      <w:r w:rsidR="00D157E8">
        <w:rPr>
          <w:lang w:bidi="en-US"/>
        </w:rPr>
        <w:t xml:space="preserve">). </w:t>
      </w:r>
      <w:r w:rsidR="000223BA" w:rsidRPr="00547AB6">
        <w:rPr>
          <w:lang w:bidi="en-US"/>
        </w:rPr>
        <w:t>https://doi.org/</w:t>
      </w:r>
      <w:r w:rsidRPr="00547AB6">
        <w:rPr>
          <w:lang w:bidi="en-US"/>
        </w:rPr>
        <w:t>10.1029/2021GL095195</w:t>
      </w:r>
    </w:p>
    <w:p w14:paraId="28A6D0D3" w14:textId="538456B0" w:rsidR="00A55DAA" w:rsidRPr="00547AB6" w:rsidRDefault="00A55DAA" w:rsidP="00512625">
      <w:pPr>
        <w:pStyle w:val="Rlit"/>
        <w:rPr>
          <w:lang w:bidi="en-US"/>
        </w:rPr>
      </w:pPr>
      <w:proofErr w:type="spellStart"/>
      <w:r w:rsidRPr="00547AB6">
        <w:rPr>
          <w:lang w:bidi="en-US"/>
        </w:rPr>
        <w:t>Cofano</w:t>
      </w:r>
      <w:proofErr w:type="spellEnd"/>
      <w:r w:rsidRPr="00547AB6">
        <w:rPr>
          <w:lang w:bidi="en-US"/>
        </w:rPr>
        <w:t xml:space="preserve">, A., Cigna, F., Amato, L. S., </w:t>
      </w:r>
      <w:proofErr w:type="spellStart"/>
      <w:r w:rsidRPr="00547AB6">
        <w:rPr>
          <w:lang w:bidi="en-US"/>
        </w:rPr>
        <w:t>Sicilini</w:t>
      </w:r>
      <w:proofErr w:type="spellEnd"/>
      <w:r w:rsidRPr="00547AB6">
        <w:rPr>
          <w:lang w:bidi="en-US"/>
        </w:rPr>
        <w:t xml:space="preserve"> de Cumis, M., &amp; Tapete, D. (2021)</w:t>
      </w:r>
      <w:r w:rsidR="00D157E8">
        <w:rPr>
          <w:lang w:bidi="en-US"/>
        </w:rPr>
        <w:t>.</w:t>
      </w:r>
      <w:r w:rsidRPr="00547AB6">
        <w:rPr>
          <w:lang w:bidi="en-US"/>
        </w:rPr>
        <w:t xml:space="preserve"> Exploiting Sentinel-5P TROPOMI and Ground Sensor Data for the Detection of Volcanic SO</w:t>
      </w:r>
      <w:r w:rsidRPr="00547AB6">
        <w:rPr>
          <w:vertAlign w:val="subscript"/>
          <w:lang w:bidi="en-US"/>
        </w:rPr>
        <w:t>2</w:t>
      </w:r>
      <w:r w:rsidRPr="00547AB6">
        <w:rPr>
          <w:lang w:bidi="en-US"/>
        </w:rPr>
        <w:t xml:space="preserve"> Plumes and Activity in 2018-2021 at Stromboli, Italy. </w:t>
      </w:r>
      <w:r w:rsidR="00D157E8" w:rsidRPr="00D157E8">
        <w:rPr>
          <w:i/>
          <w:iCs/>
          <w:lang w:bidi="en-US"/>
        </w:rPr>
        <w:t>Sensors</w:t>
      </w:r>
      <w:r w:rsidR="00D157E8">
        <w:rPr>
          <w:lang w:bidi="en-US"/>
        </w:rPr>
        <w:t xml:space="preserve">, </w:t>
      </w:r>
      <w:r w:rsidR="00D157E8" w:rsidRPr="00D157E8">
        <w:rPr>
          <w:i/>
          <w:iCs/>
          <w:lang w:bidi="en-US"/>
        </w:rPr>
        <w:t>21</w:t>
      </w:r>
      <w:r w:rsidR="00D157E8" w:rsidRPr="00D157E8">
        <w:rPr>
          <w:lang w:bidi="en-US"/>
        </w:rPr>
        <w:t>(21), 6991</w:t>
      </w:r>
      <w:r w:rsidR="00D157E8">
        <w:rPr>
          <w:lang w:bidi="en-US"/>
        </w:rPr>
        <w:t>.</w:t>
      </w:r>
      <w:r w:rsidRPr="00547AB6">
        <w:t xml:space="preserve"> </w:t>
      </w:r>
      <w:r w:rsidRPr="00547AB6">
        <w:rPr>
          <w:lang w:bidi="en-US"/>
        </w:rPr>
        <w:t>https://doi.org/10.3390/s21216991</w:t>
      </w:r>
    </w:p>
    <w:p w14:paraId="22A60037" w14:textId="3F6EF2D0" w:rsidR="00A55DAA" w:rsidRPr="00547AB6" w:rsidRDefault="00A55DAA" w:rsidP="00512625">
      <w:pPr>
        <w:pStyle w:val="Rlit"/>
        <w:rPr>
          <w:lang w:bidi="en-US"/>
        </w:rPr>
      </w:pPr>
      <w:r w:rsidRPr="00547AB6">
        <w:rPr>
          <w:lang w:bidi="en-US"/>
        </w:rPr>
        <w:t>Corradino, C., Jouve, P., La Spina, A., &amp; Del Negro, C. (2024)</w:t>
      </w:r>
      <w:r w:rsidR="00D157E8">
        <w:rPr>
          <w:lang w:bidi="en-US"/>
        </w:rPr>
        <w:t>.</w:t>
      </w:r>
      <w:r w:rsidRPr="00547AB6">
        <w:rPr>
          <w:lang w:bidi="en-US"/>
        </w:rPr>
        <w:t xml:space="preserve"> Monitoring Earth's atmosphere with Sentinel-5 TROPOMI and Artificial Intelligence: Quantifying volcanic SO</w:t>
      </w:r>
      <w:r w:rsidRPr="00D157E8">
        <w:rPr>
          <w:vertAlign w:val="subscript"/>
          <w:lang w:bidi="en-US"/>
        </w:rPr>
        <w:t>2</w:t>
      </w:r>
      <w:r w:rsidRPr="00547AB6">
        <w:rPr>
          <w:lang w:bidi="en-US"/>
        </w:rPr>
        <w:t xml:space="preserve"> emissions. </w:t>
      </w:r>
      <w:r w:rsidRPr="00D157E8">
        <w:rPr>
          <w:i/>
          <w:iCs/>
          <w:lang w:bidi="en-US"/>
        </w:rPr>
        <w:t>Remote Sensing of Environment</w:t>
      </w:r>
      <w:r w:rsidRPr="00547AB6">
        <w:rPr>
          <w:lang w:bidi="en-US"/>
        </w:rPr>
        <w:t xml:space="preserve">, </w:t>
      </w:r>
      <w:r w:rsidRPr="00D157E8">
        <w:rPr>
          <w:i/>
          <w:iCs/>
          <w:lang w:bidi="en-US"/>
        </w:rPr>
        <w:t>315</w:t>
      </w:r>
      <w:r w:rsidRPr="00547AB6">
        <w:rPr>
          <w:lang w:bidi="en-US"/>
        </w:rPr>
        <w:t>. https://doi.org/10.1016/j.rse.2024.114463</w:t>
      </w:r>
    </w:p>
    <w:p w14:paraId="5563053C" w14:textId="11EA1916" w:rsidR="00A55DAA" w:rsidRPr="00547AB6" w:rsidRDefault="00A55DAA" w:rsidP="00512625">
      <w:pPr>
        <w:pStyle w:val="Rlit"/>
        <w:rPr>
          <w:lang w:bidi="en-US"/>
        </w:rPr>
      </w:pPr>
      <w:proofErr w:type="spellStart"/>
      <w:r w:rsidRPr="00547AB6">
        <w:rPr>
          <w:lang w:bidi="en-US"/>
        </w:rPr>
        <w:t>Dozzo</w:t>
      </w:r>
      <w:proofErr w:type="spellEnd"/>
      <w:r w:rsidRPr="00547AB6">
        <w:rPr>
          <w:lang w:bidi="en-US"/>
        </w:rPr>
        <w:t xml:space="preserve">, M., </w:t>
      </w:r>
      <w:proofErr w:type="spellStart"/>
      <w:r w:rsidRPr="00547AB6">
        <w:rPr>
          <w:lang w:bidi="en-US"/>
        </w:rPr>
        <w:t>Aiuppa</w:t>
      </w:r>
      <w:proofErr w:type="spellEnd"/>
      <w:r w:rsidRPr="00547AB6">
        <w:rPr>
          <w:lang w:bidi="en-US"/>
        </w:rPr>
        <w:t>, A., Bilotta, G., Cappello, A., &amp; Ganci, G. (2025)</w:t>
      </w:r>
      <w:r w:rsidR="00D157E8">
        <w:rPr>
          <w:lang w:bidi="en-US"/>
        </w:rPr>
        <w:t>.</w:t>
      </w:r>
      <w:r w:rsidRPr="00547AB6">
        <w:rPr>
          <w:lang w:bidi="en-US"/>
        </w:rPr>
        <w:t xml:space="preserve"> A New Algorithm for the Global-Scale Quantification of Volcanic SO</w:t>
      </w:r>
      <w:r w:rsidRPr="00606ED2">
        <w:rPr>
          <w:vertAlign w:val="subscript"/>
          <w:lang w:bidi="en-US"/>
        </w:rPr>
        <w:t>2</w:t>
      </w:r>
      <w:r w:rsidRPr="00547AB6">
        <w:rPr>
          <w:lang w:bidi="en-US"/>
        </w:rPr>
        <w:t xml:space="preserve"> Exploiting the Sentinel-5P TROPOMI and Google Earth Engine. </w:t>
      </w:r>
      <w:r w:rsidRPr="00D157E8">
        <w:rPr>
          <w:i/>
          <w:iCs/>
          <w:lang w:bidi="en-US"/>
        </w:rPr>
        <w:t>Remote Sens.</w:t>
      </w:r>
      <w:r w:rsidRPr="00547AB6">
        <w:rPr>
          <w:lang w:bidi="en-US"/>
        </w:rPr>
        <w:t xml:space="preserve">, </w:t>
      </w:r>
      <w:r w:rsidRPr="00D157E8">
        <w:rPr>
          <w:i/>
          <w:iCs/>
          <w:lang w:bidi="en-US"/>
        </w:rPr>
        <w:t>17</w:t>
      </w:r>
      <w:r w:rsidR="00D157E8">
        <w:rPr>
          <w:lang w:bidi="en-US"/>
        </w:rPr>
        <w:t>(3)</w:t>
      </w:r>
      <w:r w:rsidRPr="00547AB6">
        <w:rPr>
          <w:lang w:bidi="en-US"/>
        </w:rPr>
        <w:t>.</w:t>
      </w:r>
      <w:r w:rsidRPr="00547AB6">
        <w:t xml:space="preserve"> </w:t>
      </w:r>
      <w:r w:rsidRPr="00547AB6">
        <w:rPr>
          <w:lang w:bidi="en-US"/>
        </w:rPr>
        <w:t>https://doi.org/10.3390/rs17030534</w:t>
      </w:r>
    </w:p>
    <w:p w14:paraId="52CCC508" w14:textId="5A110170" w:rsidR="00A55DAA" w:rsidRPr="00547AB6" w:rsidRDefault="00A55DAA" w:rsidP="00512625">
      <w:pPr>
        <w:pStyle w:val="Rlit"/>
        <w:rPr>
          <w:lang w:bidi="en-US"/>
        </w:rPr>
      </w:pPr>
      <w:r w:rsidRPr="00547AB6">
        <w:rPr>
          <w:lang w:bidi="en-US"/>
        </w:rPr>
        <w:t xml:space="preserve">Ferretti, A., Monti-Guarnieri, A., Prati, C., Rocca, F., &amp; </w:t>
      </w:r>
      <w:proofErr w:type="spellStart"/>
      <w:r w:rsidRPr="00547AB6">
        <w:rPr>
          <w:lang w:bidi="en-US"/>
        </w:rPr>
        <w:t>Massonet</w:t>
      </w:r>
      <w:proofErr w:type="spellEnd"/>
      <w:r w:rsidRPr="00547AB6">
        <w:rPr>
          <w:lang w:bidi="en-US"/>
        </w:rPr>
        <w:t>, D. (2007)</w:t>
      </w:r>
      <w:r w:rsidR="00D157E8">
        <w:rPr>
          <w:lang w:bidi="en-US"/>
        </w:rPr>
        <w:t>.</w:t>
      </w:r>
      <w:r w:rsidRPr="00547AB6">
        <w:rPr>
          <w:lang w:bidi="en-US"/>
        </w:rPr>
        <w:t xml:space="preserve"> </w:t>
      </w:r>
      <w:r w:rsidRPr="007E133D">
        <w:rPr>
          <w:i/>
          <w:iCs/>
          <w:lang w:bidi="en-US"/>
        </w:rPr>
        <w:t>InSAR Principles</w:t>
      </w:r>
      <w:r w:rsidR="00D157E8" w:rsidRPr="007E133D">
        <w:rPr>
          <w:i/>
          <w:iCs/>
          <w:lang w:bidi="en-US"/>
        </w:rPr>
        <w:t>:</w:t>
      </w:r>
      <w:r w:rsidRPr="007E133D">
        <w:rPr>
          <w:i/>
          <w:iCs/>
          <w:lang w:bidi="en-US"/>
        </w:rPr>
        <w:t xml:space="preserve"> Guidelines for SAR Interferometry Processing and Interpretation</w:t>
      </w:r>
      <w:r w:rsidRPr="00547AB6">
        <w:rPr>
          <w:lang w:bidi="en-US"/>
        </w:rPr>
        <w:t>. ESA TM-19.</w:t>
      </w:r>
      <w:r w:rsidR="007E133D">
        <w:rPr>
          <w:lang w:bidi="en-US"/>
        </w:rPr>
        <w:t xml:space="preserve"> ISBN: </w:t>
      </w:r>
      <w:r w:rsidR="007E133D" w:rsidRPr="007E133D">
        <w:rPr>
          <w:lang w:bidi="en-US"/>
        </w:rPr>
        <w:t>92-9092-233-8</w:t>
      </w:r>
      <w:r w:rsidR="007E133D">
        <w:rPr>
          <w:lang w:bidi="en-US"/>
        </w:rPr>
        <w:t>.</w:t>
      </w:r>
    </w:p>
    <w:p w14:paraId="14AFB5E0" w14:textId="5970F9AE" w:rsidR="00A55DAA" w:rsidRPr="00547AB6" w:rsidRDefault="00A55DAA" w:rsidP="00512625">
      <w:pPr>
        <w:pStyle w:val="Rlit"/>
        <w:rPr>
          <w:lang w:bidi="en-US"/>
        </w:rPr>
      </w:pPr>
      <w:r w:rsidRPr="00547AB6">
        <w:rPr>
          <w:lang w:bidi="en-US"/>
        </w:rPr>
        <w:lastRenderedPageBreak/>
        <w:t>Furtney, M. A., Pritchard, M. E., Biggs, J., Carn, S. A., Ebmeier, S. K., Jay, J. A., McCormick Kilbridge, B. T., &amp; Reath, K. A. (2018)</w:t>
      </w:r>
      <w:r w:rsidR="00D157E8">
        <w:rPr>
          <w:lang w:bidi="en-US"/>
        </w:rPr>
        <w:t>.</w:t>
      </w:r>
      <w:r w:rsidRPr="00547AB6">
        <w:rPr>
          <w:lang w:bidi="en-US"/>
        </w:rPr>
        <w:t xml:space="preserve"> Synthesizing multi-sensor, multi-satellite, multi-decadal datasets for global volcano monitoring. </w:t>
      </w:r>
      <w:r w:rsidRPr="007E133D">
        <w:rPr>
          <w:i/>
          <w:iCs/>
          <w:lang w:bidi="en-US"/>
        </w:rPr>
        <w:t>Journal of Volcanology and Geothermal Research</w:t>
      </w:r>
      <w:r w:rsidRPr="00547AB6">
        <w:rPr>
          <w:lang w:bidi="en-US"/>
        </w:rPr>
        <w:t xml:space="preserve">, </w:t>
      </w:r>
      <w:r w:rsidRPr="007E133D">
        <w:rPr>
          <w:i/>
          <w:iCs/>
          <w:lang w:bidi="en-US"/>
        </w:rPr>
        <w:t>365</w:t>
      </w:r>
      <w:r w:rsidRPr="00547AB6">
        <w:rPr>
          <w:lang w:bidi="en-US"/>
        </w:rPr>
        <w:t>.</w:t>
      </w:r>
      <w:r w:rsidRPr="00547AB6">
        <w:t xml:space="preserve"> </w:t>
      </w:r>
      <w:r w:rsidRPr="00547AB6">
        <w:rPr>
          <w:lang w:bidi="en-US"/>
        </w:rPr>
        <w:t>https://doi.org/10.1016/j.jvolgeores.2018.10.002</w:t>
      </w:r>
    </w:p>
    <w:p w14:paraId="33E1106B" w14:textId="608F2795" w:rsidR="00A55DAA" w:rsidRPr="00547AB6" w:rsidRDefault="00A55DAA" w:rsidP="007E133D">
      <w:pPr>
        <w:pStyle w:val="Rlit"/>
        <w:jc w:val="left"/>
        <w:rPr>
          <w:lang w:bidi="en-US"/>
        </w:rPr>
      </w:pPr>
      <w:r w:rsidRPr="00547AB6">
        <w:rPr>
          <w:lang w:bidi="en-US"/>
        </w:rPr>
        <w:t xml:space="preserve">Geudtner, D., Torres, R., </w:t>
      </w:r>
      <w:proofErr w:type="spellStart"/>
      <w:r w:rsidRPr="00547AB6">
        <w:rPr>
          <w:lang w:bidi="en-US"/>
        </w:rPr>
        <w:t>Snoeij</w:t>
      </w:r>
      <w:proofErr w:type="spellEnd"/>
      <w:r w:rsidRPr="00547AB6">
        <w:rPr>
          <w:lang w:bidi="en-US"/>
        </w:rPr>
        <w:t xml:space="preserve">, P., Davidson, M., &amp; </w:t>
      </w:r>
      <w:proofErr w:type="spellStart"/>
      <w:r w:rsidRPr="00547AB6">
        <w:rPr>
          <w:lang w:bidi="en-US"/>
        </w:rPr>
        <w:t>Rommen</w:t>
      </w:r>
      <w:proofErr w:type="spellEnd"/>
      <w:r w:rsidRPr="00547AB6">
        <w:rPr>
          <w:lang w:bidi="en-US"/>
        </w:rPr>
        <w:t>, B. (2014)</w:t>
      </w:r>
      <w:r w:rsidR="007E133D">
        <w:rPr>
          <w:lang w:bidi="en-US"/>
        </w:rPr>
        <w:t>.</w:t>
      </w:r>
      <w:r w:rsidRPr="00547AB6">
        <w:rPr>
          <w:lang w:bidi="en-US"/>
        </w:rPr>
        <w:t xml:space="preserve"> </w:t>
      </w:r>
      <w:r w:rsidRPr="007E133D">
        <w:rPr>
          <w:i/>
          <w:iCs/>
          <w:lang w:bidi="en-US"/>
        </w:rPr>
        <w:t>Sentinel-1 System capabilities and applications</w:t>
      </w:r>
      <w:r w:rsidRPr="00547AB6">
        <w:rPr>
          <w:lang w:bidi="en-US"/>
        </w:rPr>
        <w:t xml:space="preserve">. </w:t>
      </w:r>
      <w:r w:rsidR="007E133D" w:rsidRPr="007E133D">
        <w:rPr>
          <w:lang w:bidi="en-US"/>
        </w:rPr>
        <w:t>IEEE Geoscience and Remote Sensing Symposium, Quebec City, QC, Canada, pp. 1457-1460</w:t>
      </w:r>
      <w:r w:rsidR="007E133D">
        <w:rPr>
          <w:lang w:bidi="en-US"/>
        </w:rPr>
        <w:t xml:space="preserve">. </w:t>
      </w:r>
      <w:r w:rsidR="000223BA" w:rsidRPr="00547AB6">
        <w:rPr>
          <w:lang w:bidi="en-US"/>
        </w:rPr>
        <w:t>https://doi.org/</w:t>
      </w:r>
      <w:r w:rsidRPr="00547AB6">
        <w:rPr>
          <w:lang w:bidi="en-US"/>
        </w:rPr>
        <w:t>10.1109/IGARSS.2014.6946711</w:t>
      </w:r>
    </w:p>
    <w:p w14:paraId="5C3F9BA1" w14:textId="6CADCDF2" w:rsidR="00A55DAA" w:rsidRPr="00547AB6" w:rsidRDefault="00A55DAA" w:rsidP="00512625">
      <w:pPr>
        <w:pStyle w:val="Rlit"/>
        <w:rPr>
          <w:lang w:bidi="en-US"/>
        </w:rPr>
      </w:pPr>
      <w:r w:rsidRPr="00547AB6">
        <w:rPr>
          <w:lang w:bidi="en-US"/>
        </w:rPr>
        <w:t xml:space="preserve">Iacono, F., Bisson, M., Spinetti, C., &amp; </w:t>
      </w:r>
      <w:proofErr w:type="spellStart"/>
      <w:r w:rsidRPr="00547AB6">
        <w:rPr>
          <w:lang w:bidi="en-US"/>
        </w:rPr>
        <w:t>Kwasnitschka</w:t>
      </w:r>
      <w:proofErr w:type="spellEnd"/>
      <w:r w:rsidRPr="00547AB6">
        <w:rPr>
          <w:lang w:bidi="en-US"/>
        </w:rPr>
        <w:t>, T. (2025)</w:t>
      </w:r>
      <w:r w:rsidR="00D157E8">
        <w:rPr>
          <w:lang w:bidi="en-US"/>
        </w:rPr>
        <w:t>.</w:t>
      </w:r>
      <w:r w:rsidRPr="00547AB6">
        <w:rPr>
          <w:lang w:bidi="en-US"/>
        </w:rPr>
        <w:t xml:space="preserve"> Wildfires Induced by Volcanic Activity at Stromboli Island during the 2019 Summer through Satellite and Drone Data. </w:t>
      </w:r>
      <w:r w:rsidR="007E133D" w:rsidRPr="007E133D">
        <w:rPr>
          <w:i/>
          <w:iCs/>
          <w:lang w:bidi="en-US"/>
        </w:rPr>
        <w:t>Remote Sens Earth Syst Sci</w:t>
      </w:r>
      <w:r w:rsidR="007E133D">
        <w:rPr>
          <w:lang w:bidi="en-US"/>
        </w:rPr>
        <w:t>,</w:t>
      </w:r>
      <w:r w:rsidR="007E133D" w:rsidRPr="007E133D">
        <w:rPr>
          <w:lang w:bidi="en-US"/>
        </w:rPr>
        <w:t xml:space="preserve"> </w:t>
      </w:r>
      <w:r w:rsidR="007E133D" w:rsidRPr="007E133D">
        <w:rPr>
          <w:i/>
          <w:iCs/>
          <w:lang w:bidi="en-US"/>
        </w:rPr>
        <w:t>8</w:t>
      </w:r>
      <w:r w:rsidR="007E133D" w:rsidRPr="007E133D">
        <w:rPr>
          <w:lang w:bidi="en-US"/>
        </w:rPr>
        <w:t>, 733</w:t>
      </w:r>
      <w:r w:rsidR="007E133D">
        <w:rPr>
          <w:lang w:bidi="en-US"/>
        </w:rPr>
        <w:t>-</w:t>
      </w:r>
      <w:r w:rsidR="007E133D" w:rsidRPr="007E133D">
        <w:rPr>
          <w:lang w:bidi="en-US"/>
        </w:rPr>
        <w:t>752</w:t>
      </w:r>
      <w:r w:rsidR="007E133D">
        <w:rPr>
          <w:lang w:bidi="en-US"/>
        </w:rPr>
        <w:t>.</w:t>
      </w:r>
      <w:r w:rsidR="007E133D" w:rsidRPr="007E133D">
        <w:rPr>
          <w:lang w:bidi="en-US"/>
        </w:rPr>
        <w:t xml:space="preserve"> </w:t>
      </w:r>
      <w:r w:rsidR="000223BA" w:rsidRPr="00547AB6">
        <w:rPr>
          <w:lang w:bidi="en-US"/>
        </w:rPr>
        <w:t>https://doi.org/</w:t>
      </w:r>
      <w:r w:rsidRPr="00547AB6">
        <w:rPr>
          <w:lang w:bidi="en-US"/>
        </w:rPr>
        <w:t>10.1007/s41976-025-00215-6</w:t>
      </w:r>
    </w:p>
    <w:p w14:paraId="0F4269A0" w14:textId="09267D21" w:rsidR="00A55DAA" w:rsidRPr="00547AB6" w:rsidRDefault="00A55DAA" w:rsidP="00512625">
      <w:pPr>
        <w:pStyle w:val="Rlit"/>
        <w:rPr>
          <w:lang w:bidi="en-US"/>
        </w:rPr>
      </w:pPr>
      <w:proofErr w:type="spellStart"/>
      <w:r w:rsidRPr="00547AB6">
        <w:rPr>
          <w:lang w:bidi="en-US"/>
        </w:rPr>
        <w:t>Kancheva</w:t>
      </w:r>
      <w:proofErr w:type="spellEnd"/>
      <w:r w:rsidRPr="00547AB6">
        <w:rPr>
          <w:lang w:bidi="en-US"/>
        </w:rPr>
        <w:t>, R., &amp; Borisova, D. (2006)</w:t>
      </w:r>
      <w:r w:rsidR="00215A3C">
        <w:rPr>
          <w:lang w:bidi="en-US"/>
        </w:rPr>
        <w:t>.</w:t>
      </w:r>
      <w:r w:rsidRPr="00547AB6">
        <w:rPr>
          <w:lang w:bidi="en-US"/>
        </w:rPr>
        <w:t xml:space="preserve"> </w:t>
      </w:r>
      <w:r w:rsidRPr="00215A3C">
        <w:rPr>
          <w:i/>
          <w:iCs/>
          <w:lang w:bidi="en-US"/>
        </w:rPr>
        <w:t>Vegetation stress indicators derived from multispectral and multitemporal data</w:t>
      </w:r>
      <w:r w:rsidRPr="00547AB6">
        <w:rPr>
          <w:lang w:bidi="en-US"/>
        </w:rPr>
        <w:t xml:space="preserve">. </w:t>
      </w:r>
      <w:r w:rsidR="00215A3C" w:rsidRPr="00215A3C">
        <w:rPr>
          <w:lang w:bidi="en-US"/>
        </w:rPr>
        <w:t>AIAA 2006-B1.P.1.02. 57th International Astronautical Congress</w:t>
      </w:r>
      <w:r w:rsidRPr="00547AB6">
        <w:rPr>
          <w:lang w:bidi="en-US"/>
        </w:rPr>
        <w:t>.</w:t>
      </w:r>
      <w:r w:rsidR="00DC0737">
        <w:rPr>
          <w:lang w:bidi="en-US"/>
        </w:rPr>
        <w:t xml:space="preserve"> </w:t>
      </w:r>
      <w:r w:rsidR="00DC0737" w:rsidRPr="00DC0737">
        <w:rPr>
          <w:lang w:bidi="en-US"/>
        </w:rPr>
        <w:t>https://doi.org/10.2514/6.IAC-06-B1.P.1.02</w:t>
      </w:r>
    </w:p>
    <w:p w14:paraId="01DAD574" w14:textId="12C8AB30" w:rsidR="00A55DAA" w:rsidRPr="00547AB6" w:rsidRDefault="00A55DAA" w:rsidP="00512625">
      <w:pPr>
        <w:pStyle w:val="Rlit"/>
        <w:rPr>
          <w:lang w:bidi="en-US"/>
        </w:rPr>
      </w:pPr>
      <w:r w:rsidRPr="00547AB6">
        <w:rPr>
          <w:lang w:bidi="en-US"/>
        </w:rPr>
        <w:t xml:space="preserve">Lange, K., Richter, A., Schönhardt, A., Meier, A. C., Bösch, T., Seyler, A., Krause, K., Behrens, L. K., Wittrock, F., Merlaud, A., Tack, F., Fayt, C., Friedrich, M. M., Dimitropoulou, E., Van Roozendael, M., Kumar, V., Donner, S., Ziegler, S., Lauster, B., Razi, M., Borger, C., </w:t>
      </w:r>
      <w:proofErr w:type="spellStart"/>
      <w:r w:rsidRPr="00547AB6">
        <w:rPr>
          <w:lang w:bidi="en-US"/>
        </w:rPr>
        <w:t>Uhlmannsiek</w:t>
      </w:r>
      <w:proofErr w:type="spellEnd"/>
      <w:r w:rsidRPr="00547AB6">
        <w:rPr>
          <w:lang w:bidi="en-US"/>
        </w:rPr>
        <w:t xml:space="preserve">, K., Wagner, T., </w:t>
      </w:r>
      <w:proofErr w:type="spellStart"/>
      <w:r w:rsidRPr="00547AB6">
        <w:rPr>
          <w:lang w:bidi="en-US"/>
        </w:rPr>
        <w:t>Ruhtz</w:t>
      </w:r>
      <w:proofErr w:type="spellEnd"/>
      <w:r w:rsidRPr="00547AB6">
        <w:rPr>
          <w:lang w:bidi="en-US"/>
        </w:rPr>
        <w:t xml:space="preserve">, T., </w:t>
      </w:r>
      <w:proofErr w:type="spellStart"/>
      <w:r w:rsidRPr="00547AB6">
        <w:rPr>
          <w:lang w:bidi="en-US"/>
        </w:rPr>
        <w:t>Eskes</w:t>
      </w:r>
      <w:proofErr w:type="spellEnd"/>
      <w:r w:rsidRPr="00547AB6">
        <w:rPr>
          <w:lang w:bidi="en-US"/>
        </w:rPr>
        <w:t xml:space="preserve">, H., Bohn, B., Diaz, D. S., </w:t>
      </w:r>
      <w:proofErr w:type="spellStart"/>
      <w:r w:rsidRPr="00547AB6">
        <w:rPr>
          <w:lang w:bidi="en-US"/>
        </w:rPr>
        <w:t>Abuhassan</w:t>
      </w:r>
      <w:proofErr w:type="spellEnd"/>
      <w:r w:rsidRPr="00547AB6">
        <w:rPr>
          <w:lang w:bidi="en-US"/>
        </w:rPr>
        <w:t xml:space="preserve">, N., </w:t>
      </w:r>
      <w:proofErr w:type="spellStart"/>
      <w:r w:rsidRPr="00547AB6">
        <w:rPr>
          <w:lang w:bidi="en-US"/>
        </w:rPr>
        <w:t>Schuettemeyer</w:t>
      </w:r>
      <w:proofErr w:type="spellEnd"/>
      <w:r w:rsidRPr="00547AB6">
        <w:rPr>
          <w:lang w:bidi="en-US"/>
        </w:rPr>
        <w:t>, D., &amp; Burrows, J. P. (2023)</w:t>
      </w:r>
      <w:r w:rsidR="00D157E8">
        <w:rPr>
          <w:lang w:bidi="en-US"/>
        </w:rPr>
        <w:t>.</w:t>
      </w:r>
      <w:r w:rsidRPr="00547AB6">
        <w:rPr>
          <w:lang w:bidi="en-US"/>
        </w:rPr>
        <w:t xml:space="preserve"> Validation of Sentinel-5P TROPOMI tropospheric NO</w:t>
      </w:r>
      <w:r w:rsidRPr="00F260B6">
        <w:rPr>
          <w:vertAlign w:val="subscript"/>
          <w:lang w:bidi="en-US"/>
        </w:rPr>
        <w:t>2</w:t>
      </w:r>
      <w:r w:rsidRPr="00547AB6">
        <w:rPr>
          <w:lang w:bidi="en-US"/>
        </w:rPr>
        <w:t xml:space="preserve"> products by comparison with NO</w:t>
      </w:r>
      <w:r w:rsidRPr="00F260B6">
        <w:rPr>
          <w:vertAlign w:val="subscript"/>
          <w:lang w:bidi="en-US"/>
        </w:rPr>
        <w:t>2</w:t>
      </w:r>
      <w:r w:rsidRPr="00547AB6">
        <w:rPr>
          <w:lang w:bidi="en-US"/>
        </w:rPr>
        <w:t xml:space="preserve"> measurements from airborne imaging DOAS, ground-based stationary DOAS, and mobile car DOAS measurements during the S5P-VAL-DE-Ruhr campaign. </w:t>
      </w:r>
      <w:r w:rsidR="00D30A4A" w:rsidRPr="00D30A4A">
        <w:rPr>
          <w:i/>
          <w:iCs/>
          <w:lang w:bidi="en-US"/>
        </w:rPr>
        <w:t>Atmospheric Measurement Techniques</w:t>
      </w:r>
      <w:r w:rsidR="00D30A4A">
        <w:rPr>
          <w:lang w:bidi="en-US"/>
        </w:rPr>
        <w:t xml:space="preserve">, </w:t>
      </w:r>
      <w:r w:rsidRPr="00D30A4A">
        <w:rPr>
          <w:i/>
          <w:iCs/>
          <w:lang w:bidi="en-US"/>
        </w:rPr>
        <w:t>16</w:t>
      </w:r>
      <w:r w:rsidR="00D30A4A">
        <w:rPr>
          <w:lang w:bidi="en-US"/>
        </w:rPr>
        <w:t>(</w:t>
      </w:r>
      <w:r w:rsidRPr="00547AB6">
        <w:rPr>
          <w:lang w:bidi="en-US"/>
        </w:rPr>
        <w:t>5</w:t>
      </w:r>
      <w:r w:rsidR="00D30A4A">
        <w:rPr>
          <w:lang w:bidi="en-US"/>
        </w:rPr>
        <w:t>)</w:t>
      </w:r>
      <w:r w:rsidRPr="00547AB6">
        <w:rPr>
          <w:lang w:bidi="en-US"/>
        </w:rPr>
        <w:t>.</w:t>
      </w:r>
      <w:r w:rsidRPr="00547AB6">
        <w:t xml:space="preserve"> </w:t>
      </w:r>
      <w:r w:rsidRPr="00547AB6">
        <w:rPr>
          <w:lang w:bidi="en-US"/>
        </w:rPr>
        <w:t>https://doi.org/10.5194/amt-16-1357-2023</w:t>
      </w:r>
    </w:p>
    <w:p w14:paraId="433B6AB4" w14:textId="6108B00E" w:rsidR="00A55DAA" w:rsidRPr="00547AB6" w:rsidRDefault="00A55DAA" w:rsidP="00D30A4A">
      <w:pPr>
        <w:pStyle w:val="Rlit"/>
        <w:jc w:val="left"/>
        <w:rPr>
          <w:lang w:bidi="en-US"/>
        </w:rPr>
      </w:pPr>
      <w:r w:rsidRPr="00547AB6">
        <w:rPr>
          <w:lang w:bidi="en-US"/>
        </w:rPr>
        <w:t>Paez, P. A., Cogliati, M.</w:t>
      </w:r>
      <w:r w:rsidR="00F260B6">
        <w:rPr>
          <w:lang w:bidi="en-US"/>
        </w:rPr>
        <w:t xml:space="preserve"> </w:t>
      </w:r>
      <w:r w:rsidRPr="00547AB6">
        <w:rPr>
          <w:lang w:bidi="en-US"/>
        </w:rPr>
        <w:t>G., Caselli, A. T., &amp; Monasterio, A. M. (2021)</w:t>
      </w:r>
      <w:r w:rsidR="00D157E8">
        <w:rPr>
          <w:lang w:bidi="en-US"/>
        </w:rPr>
        <w:t>.</w:t>
      </w:r>
      <w:r w:rsidRPr="00547AB6">
        <w:rPr>
          <w:lang w:bidi="en-US"/>
        </w:rPr>
        <w:t xml:space="preserve"> An analysis of volcanic SO</w:t>
      </w:r>
      <w:r w:rsidRPr="00547AB6">
        <w:rPr>
          <w:vertAlign w:val="subscript"/>
          <w:lang w:bidi="en-US"/>
        </w:rPr>
        <w:t>2</w:t>
      </w:r>
      <w:r w:rsidRPr="00547AB6">
        <w:rPr>
          <w:lang w:bidi="en-US"/>
        </w:rPr>
        <w:t xml:space="preserve"> and ash emissions from </w:t>
      </w:r>
      <w:proofErr w:type="spellStart"/>
      <w:r w:rsidRPr="00547AB6">
        <w:rPr>
          <w:lang w:bidi="en-US"/>
        </w:rPr>
        <w:t>Copahue</w:t>
      </w:r>
      <w:proofErr w:type="spellEnd"/>
      <w:r w:rsidRPr="00547AB6">
        <w:rPr>
          <w:lang w:bidi="en-US"/>
        </w:rPr>
        <w:t xml:space="preserve"> volcano. </w:t>
      </w:r>
      <w:r w:rsidRPr="00D30A4A">
        <w:rPr>
          <w:i/>
          <w:iCs/>
          <w:lang w:bidi="en-US"/>
        </w:rPr>
        <w:t>Journal of South American Earth Sciences</w:t>
      </w:r>
      <w:r w:rsidRPr="00547AB6">
        <w:rPr>
          <w:lang w:bidi="en-US"/>
        </w:rPr>
        <w:t xml:space="preserve">, </w:t>
      </w:r>
      <w:r w:rsidRPr="00D30A4A">
        <w:rPr>
          <w:i/>
          <w:iCs/>
          <w:lang w:bidi="en-US"/>
        </w:rPr>
        <w:t>110</w:t>
      </w:r>
      <w:r w:rsidRPr="00547AB6">
        <w:rPr>
          <w:lang w:bidi="en-US"/>
        </w:rPr>
        <w:t>.</w:t>
      </w:r>
      <w:r w:rsidRPr="00547AB6">
        <w:t xml:space="preserve"> </w:t>
      </w:r>
      <w:r w:rsidRPr="00547AB6">
        <w:rPr>
          <w:lang w:bidi="en-US"/>
        </w:rPr>
        <w:t>https://doi.org/10.1016/j.jsames.2021.103365</w:t>
      </w:r>
    </w:p>
    <w:p w14:paraId="597951A2" w14:textId="76331C42" w:rsidR="00A55DAA" w:rsidRPr="00547AB6" w:rsidRDefault="00A55DAA" w:rsidP="00512625">
      <w:pPr>
        <w:pStyle w:val="Rlit"/>
        <w:rPr>
          <w:lang w:bidi="en-US"/>
        </w:rPr>
      </w:pPr>
      <w:r w:rsidRPr="00547AB6">
        <w:rPr>
          <w:lang w:bidi="en-US"/>
        </w:rPr>
        <w:t xml:space="preserve">Plank, S., Shevchenko, A. V., </w:t>
      </w:r>
      <w:proofErr w:type="spellStart"/>
      <w:r w:rsidRPr="00547AB6">
        <w:rPr>
          <w:lang w:bidi="en-US"/>
        </w:rPr>
        <w:t>d</w:t>
      </w:r>
      <w:r w:rsidR="0042740C">
        <w:rPr>
          <w:lang w:bidi="en-US"/>
        </w:rPr>
        <w:t>'</w:t>
      </w:r>
      <w:r w:rsidRPr="00547AB6">
        <w:rPr>
          <w:lang w:bidi="en-US"/>
        </w:rPr>
        <w:t>Angelo</w:t>
      </w:r>
      <w:proofErr w:type="spellEnd"/>
      <w:r w:rsidRPr="00547AB6">
        <w:rPr>
          <w:lang w:bidi="en-US"/>
        </w:rPr>
        <w:t xml:space="preserve">, P., </w:t>
      </w:r>
      <w:proofErr w:type="spellStart"/>
      <w:r w:rsidRPr="00547AB6">
        <w:rPr>
          <w:lang w:bidi="en-US"/>
        </w:rPr>
        <w:t>Gstaiger</w:t>
      </w:r>
      <w:proofErr w:type="spellEnd"/>
      <w:r w:rsidRPr="00547AB6">
        <w:rPr>
          <w:lang w:bidi="en-US"/>
        </w:rPr>
        <w:t>, V., González, P.</w:t>
      </w:r>
      <w:r w:rsidR="00D157E8">
        <w:rPr>
          <w:lang w:bidi="en-US"/>
        </w:rPr>
        <w:t xml:space="preserve"> </w:t>
      </w:r>
      <w:r w:rsidRPr="00547AB6">
        <w:rPr>
          <w:lang w:bidi="en-US"/>
        </w:rPr>
        <w:t>J., Cesca, S., Martinis, S., &amp; Walter, T. R. (2023)</w:t>
      </w:r>
      <w:r w:rsidR="00D157E8">
        <w:rPr>
          <w:lang w:bidi="en-US"/>
        </w:rPr>
        <w:t>.</w:t>
      </w:r>
      <w:r w:rsidRPr="00547AB6">
        <w:rPr>
          <w:lang w:bidi="en-US"/>
        </w:rPr>
        <w:t xml:space="preserve"> Combining thermal, tri-stereo optical and bi-static InSAR satellite imagery for lava volume estimates: the 2021 Cumbre Vieja eruption, La Palma. </w:t>
      </w:r>
      <w:r w:rsidRPr="00D30A4A">
        <w:rPr>
          <w:i/>
          <w:iCs/>
          <w:lang w:bidi="en-US"/>
        </w:rPr>
        <w:t>Scientific Reports</w:t>
      </w:r>
      <w:r w:rsidRPr="00547AB6">
        <w:rPr>
          <w:lang w:bidi="en-US"/>
        </w:rPr>
        <w:t xml:space="preserve">, </w:t>
      </w:r>
      <w:r w:rsidRPr="00D30A4A">
        <w:rPr>
          <w:i/>
          <w:iCs/>
          <w:lang w:bidi="en-US"/>
        </w:rPr>
        <w:t>13</w:t>
      </w:r>
      <w:r w:rsidR="00D30A4A">
        <w:rPr>
          <w:lang w:bidi="en-US"/>
        </w:rPr>
        <w:t xml:space="preserve">, </w:t>
      </w:r>
      <w:r w:rsidR="00D30A4A" w:rsidRPr="00D30A4A">
        <w:rPr>
          <w:lang w:bidi="en-US"/>
        </w:rPr>
        <w:t>2057</w:t>
      </w:r>
      <w:r w:rsidR="00D30A4A">
        <w:rPr>
          <w:lang w:bidi="en-US"/>
        </w:rPr>
        <w:t>.</w:t>
      </w:r>
      <w:r w:rsidRPr="00547AB6">
        <w:rPr>
          <w:lang w:bidi="en-US"/>
        </w:rPr>
        <w:t xml:space="preserve"> </w:t>
      </w:r>
      <w:r w:rsidR="000223BA" w:rsidRPr="00547AB6">
        <w:rPr>
          <w:lang w:bidi="en-US"/>
        </w:rPr>
        <w:t>https://doi.org/</w:t>
      </w:r>
      <w:r w:rsidRPr="00547AB6">
        <w:rPr>
          <w:lang w:bidi="en-US"/>
        </w:rPr>
        <w:t>10.1038/s41598-023-29061-6</w:t>
      </w:r>
    </w:p>
    <w:p w14:paraId="1E3DA752" w14:textId="302F2F35" w:rsidR="00A55DAA" w:rsidRPr="00547AB6" w:rsidRDefault="00A55DAA" w:rsidP="00D30A4A">
      <w:pPr>
        <w:pStyle w:val="Rlit"/>
        <w:jc w:val="left"/>
        <w:rPr>
          <w:lang w:bidi="en-US"/>
        </w:rPr>
      </w:pPr>
      <w:r w:rsidRPr="00547AB6">
        <w:rPr>
          <w:lang w:bidi="en-US"/>
        </w:rPr>
        <w:t xml:space="preserve">Pritchard, M. E., Poland, M., Reath, K., Andrews, B., </w:t>
      </w:r>
      <w:proofErr w:type="spellStart"/>
      <w:r w:rsidRPr="00547AB6">
        <w:rPr>
          <w:lang w:bidi="en-US"/>
        </w:rPr>
        <w:t>Bagnardi</w:t>
      </w:r>
      <w:proofErr w:type="spellEnd"/>
      <w:r w:rsidRPr="00547AB6">
        <w:rPr>
          <w:lang w:bidi="en-US"/>
        </w:rPr>
        <w:t xml:space="preserve">, M., Biggs, J., Carn, S., Coppola, D., Ebmeier, S. K., Furtney, M. A., Girona, T., Griswold, J., Lopez, T., Lundgren, P., Ogburn, S., </w:t>
      </w:r>
      <w:proofErr w:type="spellStart"/>
      <w:r w:rsidRPr="00547AB6">
        <w:rPr>
          <w:lang w:bidi="en-US"/>
        </w:rPr>
        <w:t>Pavolonis</w:t>
      </w:r>
      <w:proofErr w:type="spellEnd"/>
      <w:r w:rsidRPr="00547AB6">
        <w:rPr>
          <w:lang w:bidi="en-US"/>
        </w:rPr>
        <w:t>, M., Rumpf, E., Vaughan, C., Wauthier, C., Wessels, R., Wright, R., Anderson, K. R., Bato, M. G., &amp; Roman, A. (2022)</w:t>
      </w:r>
      <w:r w:rsidR="00D157E8">
        <w:rPr>
          <w:lang w:bidi="en-US"/>
        </w:rPr>
        <w:t>.</w:t>
      </w:r>
      <w:r w:rsidRPr="00547AB6">
        <w:rPr>
          <w:lang w:bidi="en-US"/>
        </w:rPr>
        <w:t xml:space="preserve"> </w:t>
      </w:r>
      <w:r w:rsidRPr="00D30A4A">
        <w:rPr>
          <w:i/>
          <w:iCs/>
          <w:lang w:bidi="en-US"/>
        </w:rPr>
        <w:t>Optimizing Satellite Resources for the Global Assessment and Mitigation of Volcanic Hazards—Suggestions from the USGS Powell Center Volcano Remote Sensing Working Group</w:t>
      </w:r>
      <w:r w:rsidRPr="00547AB6">
        <w:rPr>
          <w:lang w:bidi="en-US"/>
        </w:rPr>
        <w:t>. Scientific Investigations Report 2022-5116.</w:t>
      </w:r>
      <w:r w:rsidRPr="00547AB6">
        <w:t xml:space="preserve"> </w:t>
      </w:r>
      <w:r w:rsidRPr="00547AB6">
        <w:rPr>
          <w:lang w:bidi="en-US"/>
        </w:rPr>
        <w:t>https://doi.org/10.3133/sir20225116</w:t>
      </w:r>
    </w:p>
    <w:p w14:paraId="3E48A4BE" w14:textId="2BDCCC27" w:rsidR="00A55DAA" w:rsidRPr="00547AB6" w:rsidRDefault="00A55DAA" w:rsidP="00512625">
      <w:pPr>
        <w:pStyle w:val="Rlit"/>
        <w:rPr>
          <w:lang w:bidi="en-US"/>
        </w:rPr>
      </w:pPr>
      <w:proofErr w:type="spellStart"/>
      <w:r w:rsidRPr="00547AB6">
        <w:rPr>
          <w:lang w:bidi="en-US"/>
        </w:rPr>
        <w:t>Strashok</w:t>
      </w:r>
      <w:proofErr w:type="spellEnd"/>
      <w:r w:rsidRPr="00547AB6">
        <w:rPr>
          <w:lang w:bidi="en-US"/>
        </w:rPr>
        <w:t xml:space="preserve">, O., </w:t>
      </w:r>
      <w:proofErr w:type="spellStart"/>
      <w:r w:rsidRPr="00547AB6">
        <w:rPr>
          <w:lang w:bidi="en-US"/>
        </w:rPr>
        <w:t>Ziemiańska</w:t>
      </w:r>
      <w:proofErr w:type="spellEnd"/>
      <w:r w:rsidRPr="00547AB6">
        <w:rPr>
          <w:lang w:bidi="en-US"/>
        </w:rPr>
        <w:t xml:space="preserve">, M., &amp; </w:t>
      </w:r>
      <w:proofErr w:type="spellStart"/>
      <w:r w:rsidRPr="00547AB6">
        <w:rPr>
          <w:lang w:bidi="en-US"/>
        </w:rPr>
        <w:t>Strashok</w:t>
      </w:r>
      <w:proofErr w:type="spellEnd"/>
      <w:r w:rsidRPr="00547AB6">
        <w:rPr>
          <w:lang w:bidi="en-US"/>
        </w:rPr>
        <w:t>, V. (2020)</w:t>
      </w:r>
      <w:r w:rsidR="00D157E8">
        <w:rPr>
          <w:lang w:bidi="en-US"/>
        </w:rPr>
        <w:t>.</w:t>
      </w:r>
      <w:r w:rsidRPr="00547AB6">
        <w:rPr>
          <w:lang w:bidi="en-US"/>
        </w:rPr>
        <w:t xml:space="preserve"> Evaluation and Correlation of Sentinel-2 NDVI and NDMI in Kyiv (2017-2021). </w:t>
      </w:r>
      <w:r w:rsidR="00D30A4A" w:rsidRPr="00D30A4A">
        <w:rPr>
          <w:i/>
          <w:iCs/>
          <w:lang w:bidi="en-US"/>
        </w:rPr>
        <w:t>Journal of Ecological Engineering</w:t>
      </w:r>
      <w:r w:rsidR="00D30A4A">
        <w:rPr>
          <w:lang w:bidi="en-US"/>
        </w:rPr>
        <w:t xml:space="preserve">, </w:t>
      </w:r>
      <w:r w:rsidRPr="00D30A4A">
        <w:rPr>
          <w:i/>
          <w:iCs/>
          <w:lang w:bidi="en-US"/>
        </w:rPr>
        <w:t>23</w:t>
      </w:r>
      <w:r w:rsidR="00D30A4A">
        <w:rPr>
          <w:lang w:bidi="en-US"/>
        </w:rPr>
        <w:t>(</w:t>
      </w:r>
      <w:r w:rsidRPr="00547AB6">
        <w:rPr>
          <w:lang w:bidi="en-US"/>
        </w:rPr>
        <w:t>9</w:t>
      </w:r>
      <w:r w:rsidR="00D30A4A">
        <w:rPr>
          <w:lang w:bidi="en-US"/>
        </w:rPr>
        <w:t xml:space="preserve">), </w:t>
      </w:r>
      <w:r w:rsidR="00D30A4A" w:rsidRPr="00D30A4A">
        <w:rPr>
          <w:lang w:bidi="en-US"/>
        </w:rPr>
        <w:t>212-218</w:t>
      </w:r>
      <w:r w:rsidR="00D30A4A">
        <w:rPr>
          <w:lang w:bidi="en-US"/>
        </w:rPr>
        <w:t xml:space="preserve">. </w:t>
      </w:r>
      <w:r w:rsidR="0038620F" w:rsidRPr="0038620F">
        <w:rPr>
          <w:lang w:bidi="en-US"/>
        </w:rPr>
        <w:t>http://dx.doi.org/10.12911/22998993/151884</w:t>
      </w:r>
    </w:p>
    <w:p w14:paraId="03E4F075" w14:textId="47931017" w:rsidR="00A55DAA" w:rsidRPr="00547AB6" w:rsidRDefault="00A55DAA" w:rsidP="00512625">
      <w:pPr>
        <w:pStyle w:val="Rlit"/>
        <w:rPr>
          <w:lang w:bidi="en-US"/>
        </w:rPr>
      </w:pPr>
      <w:r w:rsidRPr="00547AB6">
        <w:rPr>
          <w:lang w:bidi="en-US"/>
        </w:rPr>
        <w:t xml:space="preserve">Theys, N., Brenot, H., De Smedt, I., Lerot, C., </w:t>
      </w:r>
      <w:proofErr w:type="spellStart"/>
      <w:r w:rsidRPr="00547AB6">
        <w:rPr>
          <w:lang w:bidi="en-US"/>
        </w:rPr>
        <w:t>Hedelt</w:t>
      </w:r>
      <w:proofErr w:type="spellEnd"/>
      <w:r w:rsidRPr="00547AB6">
        <w:rPr>
          <w:lang w:bidi="en-US"/>
        </w:rPr>
        <w:t xml:space="preserve">, P., Loyola, D., </w:t>
      </w:r>
      <w:proofErr w:type="spellStart"/>
      <w:r w:rsidRPr="00547AB6">
        <w:rPr>
          <w:lang w:bidi="en-US"/>
        </w:rPr>
        <w:t>Vlietnick</w:t>
      </w:r>
      <w:proofErr w:type="spellEnd"/>
      <w:r w:rsidRPr="00547AB6">
        <w:rPr>
          <w:lang w:bidi="en-US"/>
        </w:rPr>
        <w:t xml:space="preserve">, J., Yu, H., Smets, B., Kervyn, F., Barrière, J., Oth, A., </w:t>
      </w:r>
      <w:proofErr w:type="spellStart"/>
      <w:r w:rsidRPr="00547AB6">
        <w:rPr>
          <w:lang w:bidi="en-US"/>
        </w:rPr>
        <w:t>d’Oreye</w:t>
      </w:r>
      <w:proofErr w:type="spellEnd"/>
      <w:r w:rsidRPr="00547AB6">
        <w:rPr>
          <w:lang w:bidi="en-US"/>
        </w:rPr>
        <w:t xml:space="preserve">, N., &amp; Van </w:t>
      </w:r>
      <w:proofErr w:type="spellStart"/>
      <w:r w:rsidRPr="00547AB6">
        <w:rPr>
          <w:lang w:bidi="en-US"/>
        </w:rPr>
        <w:t>Roozendael</w:t>
      </w:r>
      <w:proofErr w:type="spellEnd"/>
      <w:r w:rsidRPr="00547AB6">
        <w:rPr>
          <w:lang w:bidi="en-US"/>
        </w:rPr>
        <w:t>, M. (2019)</w:t>
      </w:r>
      <w:r w:rsidR="00D157E8">
        <w:rPr>
          <w:lang w:bidi="en-US"/>
        </w:rPr>
        <w:t>.</w:t>
      </w:r>
      <w:r w:rsidRPr="00547AB6">
        <w:rPr>
          <w:lang w:bidi="en-US"/>
        </w:rPr>
        <w:t xml:space="preserve"> Global Monitoring </w:t>
      </w:r>
      <w:r w:rsidR="00606ED2">
        <w:rPr>
          <w:lang w:bidi="en-US"/>
        </w:rPr>
        <w:t>o</w:t>
      </w:r>
      <w:r w:rsidRPr="00547AB6">
        <w:rPr>
          <w:lang w:bidi="en-US"/>
        </w:rPr>
        <w:t>f Volcanic SO</w:t>
      </w:r>
      <w:r w:rsidRPr="00547AB6">
        <w:rPr>
          <w:vertAlign w:val="subscript"/>
          <w:lang w:bidi="en-US"/>
        </w:rPr>
        <w:t>2</w:t>
      </w:r>
      <w:r w:rsidRPr="00547AB6">
        <w:rPr>
          <w:lang w:bidi="en-US"/>
        </w:rPr>
        <w:t xml:space="preserve"> Degassing Using Sentinel-5P Precursor </w:t>
      </w:r>
      <w:proofErr w:type="spellStart"/>
      <w:r w:rsidRPr="00547AB6">
        <w:rPr>
          <w:lang w:bidi="en-US"/>
        </w:rPr>
        <w:t>Tropomi</w:t>
      </w:r>
      <w:proofErr w:type="spellEnd"/>
      <w:r w:rsidRPr="00547AB6">
        <w:rPr>
          <w:lang w:bidi="en-US"/>
        </w:rPr>
        <w:t xml:space="preserve">. </w:t>
      </w:r>
      <w:r w:rsidRPr="000938E0">
        <w:rPr>
          <w:i/>
          <w:iCs/>
          <w:lang w:bidi="en-US"/>
        </w:rPr>
        <w:t>Scientific Reports</w:t>
      </w:r>
      <w:r w:rsidRPr="00547AB6">
        <w:rPr>
          <w:lang w:bidi="en-US"/>
        </w:rPr>
        <w:t>,</w:t>
      </w:r>
      <w:r w:rsidR="000938E0">
        <w:rPr>
          <w:lang w:bidi="en-US"/>
        </w:rPr>
        <w:t xml:space="preserve"> </w:t>
      </w:r>
      <w:r w:rsidR="000938E0" w:rsidRPr="000938E0">
        <w:rPr>
          <w:i/>
          <w:iCs/>
          <w:lang w:bidi="en-US"/>
        </w:rPr>
        <w:t>9</w:t>
      </w:r>
      <w:r w:rsidR="000938E0">
        <w:rPr>
          <w:lang w:bidi="en-US"/>
        </w:rPr>
        <w:t>, 2643.</w:t>
      </w:r>
      <w:r w:rsidRPr="00547AB6">
        <w:rPr>
          <w:lang w:bidi="en-US"/>
        </w:rPr>
        <w:t xml:space="preserve"> </w:t>
      </w:r>
      <w:r w:rsidR="000223BA" w:rsidRPr="00547AB6">
        <w:rPr>
          <w:lang w:bidi="en-US"/>
        </w:rPr>
        <w:t>https://doi.org/</w:t>
      </w:r>
      <w:r w:rsidRPr="00547AB6">
        <w:rPr>
          <w:lang w:bidi="en-US"/>
        </w:rPr>
        <w:t>10.1038/s41598-019-39279-y</w:t>
      </w:r>
    </w:p>
    <w:p w14:paraId="00E96D68" w14:textId="6B9F02E3" w:rsidR="00A55DAA" w:rsidRPr="00547AB6" w:rsidRDefault="00A55DAA" w:rsidP="00512625">
      <w:pPr>
        <w:pStyle w:val="Rlit"/>
        <w:rPr>
          <w:lang w:bidi="en-US"/>
        </w:rPr>
      </w:pPr>
      <w:r w:rsidRPr="000938E0">
        <w:rPr>
          <w:spacing w:val="-2"/>
          <w:lang w:bidi="en-US"/>
        </w:rPr>
        <w:t>Tian, Y., Hong, X., Shan, C., Sun, Y., Wang, W., Zhou, M., Wang, P., Lin, &amp; P., Liu, C. (2022)</w:t>
      </w:r>
      <w:r w:rsidR="00D157E8" w:rsidRPr="000938E0">
        <w:rPr>
          <w:spacing w:val="-2"/>
          <w:lang w:bidi="en-US"/>
        </w:rPr>
        <w:t>.</w:t>
      </w:r>
      <w:r w:rsidRPr="000938E0">
        <w:rPr>
          <w:spacing w:val="-2"/>
          <w:lang w:bidi="en-US"/>
        </w:rPr>
        <w:t xml:space="preserve"> Investigating the Performance of Carbon Monoxide and Methane Observations from Sentinel-5 Precursor in China. </w:t>
      </w:r>
      <w:r w:rsidR="000938E0" w:rsidRPr="000938E0">
        <w:rPr>
          <w:i/>
          <w:iCs/>
          <w:spacing w:val="-2"/>
          <w:lang w:bidi="en-US"/>
        </w:rPr>
        <w:t>Remote Sens.</w:t>
      </w:r>
      <w:r w:rsidR="000938E0" w:rsidRPr="000938E0">
        <w:rPr>
          <w:spacing w:val="-2"/>
          <w:lang w:bidi="en-US"/>
        </w:rPr>
        <w:t xml:space="preserve">, </w:t>
      </w:r>
      <w:r w:rsidR="000938E0" w:rsidRPr="000938E0">
        <w:rPr>
          <w:i/>
          <w:iCs/>
          <w:spacing w:val="-2"/>
          <w:lang w:bidi="en-US"/>
        </w:rPr>
        <w:t>14</w:t>
      </w:r>
      <w:r w:rsidR="000938E0" w:rsidRPr="000938E0">
        <w:rPr>
          <w:spacing w:val="-2"/>
          <w:lang w:bidi="en-US"/>
        </w:rPr>
        <w:t>(23), 6045</w:t>
      </w:r>
      <w:r w:rsidRPr="00547AB6">
        <w:rPr>
          <w:lang w:bidi="en-US"/>
        </w:rPr>
        <w:t>.</w:t>
      </w:r>
      <w:r w:rsidRPr="00547AB6">
        <w:t xml:space="preserve"> </w:t>
      </w:r>
      <w:r w:rsidRPr="00547AB6">
        <w:rPr>
          <w:lang w:bidi="en-US"/>
        </w:rPr>
        <w:t>https://doi.org/10.3390/rs14236045</w:t>
      </w:r>
    </w:p>
    <w:p w14:paraId="1616EB67" w14:textId="2252AEF8" w:rsidR="00A55DAA" w:rsidRPr="00547AB6" w:rsidRDefault="00A55DAA" w:rsidP="00512625">
      <w:pPr>
        <w:pStyle w:val="Rlit"/>
        <w:rPr>
          <w:lang w:bidi="en-US"/>
        </w:rPr>
      </w:pPr>
      <w:r w:rsidRPr="00547AB6">
        <w:rPr>
          <w:lang w:bidi="en-US"/>
        </w:rPr>
        <w:t>Xie, D., Zhang, X., Han, Q., He, Q., Meng, X., Li, F., &amp; Zhou, K. (2019)</w:t>
      </w:r>
      <w:r w:rsidR="00D157E8">
        <w:rPr>
          <w:lang w:bidi="en-US"/>
        </w:rPr>
        <w:t>.</w:t>
      </w:r>
      <w:r w:rsidRPr="00547AB6">
        <w:rPr>
          <w:lang w:bidi="en-US"/>
        </w:rPr>
        <w:t xml:space="preserve"> Uncertainty Analysis on Process Organized Emission Inventory in Petrochemical Enterprises of Hainan Province. </w:t>
      </w:r>
      <w:r w:rsidR="00D10C57" w:rsidRPr="00D10C57">
        <w:rPr>
          <w:i/>
          <w:iCs/>
          <w:lang w:bidi="en-US"/>
        </w:rPr>
        <w:t>IOP Conf. Ser.: Earth Environ. Sci.</w:t>
      </w:r>
      <w:r w:rsidR="00D10C57">
        <w:rPr>
          <w:lang w:bidi="en-US"/>
        </w:rPr>
        <w:t>,</w:t>
      </w:r>
      <w:r w:rsidR="00D10C57" w:rsidRPr="00D10C57">
        <w:rPr>
          <w:lang w:bidi="en-US"/>
        </w:rPr>
        <w:t xml:space="preserve"> </w:t>
      </w:r>
      <w:r w:rsidR="00D10C57" w:rsidRPr="00D10C57">
        <w:rPr>
          <w:i/>
          <w:iCs/>
          <w:lang w:bidi="en-US"/>
        </w:rPr>
        <w:t>295</w:t>
      </w:r>
      <w:r w:rsidR="00D10C57">
        <w:rPr>
          <w:lang w:bidi="en-US"/>
        </w:rPr>
        <w:t>(5),</w:t>
      </w:r>
      <w:r w:rsidR="00D10C57" w:rsidRPr="00D10C57">
        <w:rPr>
          <w:lang w:bidi="en-US"/>
        </w:rPr>
        <w:t xml:space="preserve"> 052052</w:t>
      </w:r>
      <w:r w:rsidR="00D10C57">
        <w:rPr>
          <w:lang w:bidi="en-US"/>
        </w:rPr>
        <w:t xml:space="preserve">. </w:t>
      </w:r>
      <w:r w:rsidR="000223BA" w:rsidRPr="00547AB6">
        <w:rPr>
          <w:lang w:bidi="en-US"/>
        </w:rPr>
        <w:t>https://doi.org/</w:t>
      </w:r>
      <w:r w:rsidRPr="00547AB6">
        <w:rPr>
          <w:lang w:bidi="en-US"/>
        </w:rPr>
        <w:t>10.1088/1755-1315/295/5/052052</w:t>
      </w:r>
    </w:p>
    <w:sectPr w:rsidR="00A55DAA" w:rsidRPr="00547AB6" w:rsidSect="002A6BA8">
      <w:headerReference w:type="even" r:id="rId31"/>
      <w:headerReference w:type="default" r:id="rId32"/>
      <w:footerReference w:type="first" r:id="rId33"/>
      <w:pgSz w:w="11906" w:h="16838" w:code="9"/>
      <w:pgMar w:top="1134" w:right="1134" w:bottom="1134" w:left="1134" w:header="567" w:footer="567" w:gutter="0"/>
      <w:pgNumType w:start="63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9F54A" w14:textId="77777777" w:rsidR="004A5E15" w:rsidRDefault="004A5E15" w:rsidP="00634A16">
      <w:r>
        <w:separator/>
      </w:r>
    </w:p>
  </w:endnote>
  <w:endnote w:type="continuationSeparator" w:id="0">
    <w:p w14:paraId="1A00D14D" w14:textId="77777777" w:rsidR="004A5E15" w:rsidRDefault="004A5E15" w:rsidP="00634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70A13" w:rsidRPr="0042740C" w14:paraId="10C17F07" w14:textId="77777777" w:rsidTr="009C077C">
      <w:trPr>
        <w:trHeight w:val="198"/>
      </w:trPr>
      <w:tc>
        <w:tcPr>
          <w:tcW w:w="1384" w:type="dxa"/>
          <w:vAlign w:val="center"/>
        </w:tcPr>
        <w:p w14:paraId="18780562" w14:textId="77777777" w:rsidR="00570A13" w:rsidRPr="00033682" w:rsidRDefault="00570A13" w:rsidP="00255798">
          <w:pPr>
            <w:ind w:left="-112" w:firstLine="0"/>
          </w:pPr>
          <w:bookmarkStart w:id="5" w:name="_Hlk104286226"/>
          <w:bookmarkStart w:id="6" w:name="_Hlk104286227"/>
          <w:bookmarkStart w:id="7" w:name="_Hlk154270864"/>
          <w:bookmarkStart w:id="8" w:name="_Hlk154270865"/>
          <w:r w:rsidRPr="00033682">
            <w:rPr>
              <w:noProof/>
              <w:lang w:val="en-GB" w:eastAsia="en-GB"/>
            </w:rPr>
            <w:drawing>
              <wp:inline distT="0" distB="0" distL="0" distR="0" wp14:anchorId="3F58702D" wp14:editId="3ED4403F">
                <wp:extent cx="688975" cy="237490"/>
                <wp:effectExtent l="0" t="0" r="0" b="0"/>
                <wp:docPr id="448258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F732E3B" w14:textId="0E408588" w:rsidR="00570A13" w:rsidRPr="00033682" w:rsidRDefault="00570A13" w:rsidP="00255798">
          <w:pPr>
            <w:suppressAutoHyphens/>
            <w:ind w:left="-78" w:firstLine="0"/>
            <w:jc w:val="left"/>
            <w:rPr>
              <w:sz w:val="18"/>
              <w:szCs w:val="18"/>
              <w:lang w:val="en-GB"/>
            </w:rPr>
          </w:pPr>
          <w:r w:rsidRPr="00033682">
            <w:rPr>
              <w:sz w:val="18"/>
              <w:szCs w:val="18"/>
              <w:lang w:val="en-GB"/>
            </w:rPr>
            <w:t>© 202</w:t>
          </w:r>
          <w:r>
            <w:rPr>
              <w:sz w:val="18"/>
              <w:szCs w:val="18"/>
              <w:lang w:val="en-GB"/>
            </w:rPr>
            <w:t>5</w:t>
          </w:r>
          <w:r w:rsidRPr="00033682">
            <w:rPr>
              <w:sz w:val="18"/>
              <w:szCs w:val="18"/>
              <w:lang w:val="en-GB"/>
            </w:rPr>
            <w:t>. Author(s). This work is licensed under a Creative Commons Attribution 4.0 International License (CC BY-SA)</w:t>
          </w:r>
        </w:p>
      </w:tc>
    </w:tr>
    <w:bookmarkEnd w:id="5"/>
    <w:bookmarkEnd w:id="6"/>
    <w:bookmarkEnd w:id="7"/>
    <w:bookmarkEnd w:id="8"/>
  </w:tbl>
  <w:p w14:paraId="6A32F11A" w14:textId="77777777" w:rsidR="00570A13" w:rsidRPr="00033682" w:rsidRDefault="00570A13" w:rsidP="00255798">
    <w:pPr>
      <w:pStyle w:val="Stopka"/>
      <w:ind w:firstLine="0"/>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C7C55" w14:textId="77777777" w:rsidR="004A5E15" w:rsidRDefault="004A5E15" w:rsidP="00634A16">
      <w:r>
        <w:separator/>
      </w:r>
    </w:p>
  </w:footnote>
  <w:footnote w:type="continuationSeparator" w:id="0">
    <w:p w14:paraId="40B15FA0" w14:textId="77777777" w:rsidR="004A5E15" w:rsidRDefault="004A5E15" w:rsidP="00634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A50FF" w:rsidRPr="00855C77" w14:paraId="03A1432F" w14:textId="77777777" w:rsidTr="004363EB">
      <w:trPr>
        <w:trHeight w:hRule="exact" w:val="284"/>
      </w:trPr>
      <w:tc>
        <w:tcPr>
          <w:tcW w:w="397" w:type="dxa"/>
          <w:vAlign w:val="center"/>
        </w:tcPr>
        <w:p w14:paraId="2DCC864E" w14:textId="77777777" w:rsidR="00FA50FF" w:rsidRPr="00074276" w:rsidRDefault="00FA50FF" w:rsidP="00FA50FF">
          <w:pPr>
            <w:pStyle w:val="Nagwek"/>
            <w:ind w:firstLine="0"/>
            <w:rPr>
              <w:rFonts w:ascii="Arial" w:hAnsi="Arial" w:cs="Arial"/>
              <w:i/>
              <w:sz w:val="20"/>
              <w:lang w:val="en-GB"/>
            </w:rPr>
          </w:pPr>
          <w:r w:rsidRPr="00074276">
            <w:rPr>
              <w:rFonts w:ascii="Arial" w:hAnsi="Arial" w:cs="Arial"/>
              <w:sz w:val="20"/>
              <w:lang w:val="en-GB"/>
            </w:rPr>
            <w:fldChar w:fldCharType="begin"/>
          </w:r>
          <w:r w:rsidRPr="00074276">
            <w:rPr>
              <w:rFonts w:ascii="Arial" w:hAnsi="Arial" w:cs="Arial"/>
              <w:sz w:val="20"/>
              <w:lang w:val="en-GB"/>
            </w:rPr>
            <w:instrText xml:space="preserve"> PAGE   \* MERGEFORMAT </w:instrText>
          </w:r>
          <w:r w:rsidRPr="00074276">
            <w:rPr>
              <w:rFonts w:ascii="Arial" w:hAnsi="Arial" w:cs="Arial"/>
              <w:sz w:val="20"/>
              <w:lang w:val="en-GB"/>
            </w:rPr>
            <w:fldChar w:fldCharType="separate"/>
          </w:r>
          <w:r>
            <w:rPr>
              <w:rFonts w:ascii="Arial" w:hAnsi="Arial" w:cs="Arial"/>
              <w:sz w:val="20"/>
              <w:lang w:val="en-GB"/>
            </w:rPr>
            <w:t>2</w:t>
          </w:r>
          <w:r w:rsidRPr="00074276">
            <w:rPr>
              <w:rFonts w:ascii="Arial" w:hAnsi="Arial" w:cs="Arial"/>
              <w:sz w:val="20"/>
              <w:lang w:val="en-GB"/>
            </w:rPr>
            <w:fldChar w:fldCharType="end"/>
          </w:r>
        </w:p>
      </w:tc>
      <w:tc>
        <w:tcPr>
          <w:tcW w:w="9242" w:type="dxa"/>
          <w:vAlign w:val="center"/>
        </w:tcPr>
        <w:p w14:paraId="1A492871" w14:textId="250E02FE" w:rsidR="00FA50FF" w:rsidRPr="00074276" w:rsidRDefault="00FA50FF" w:rsidP="00FA50FF">
          <w:pPr>
            <w:pStyle w:val="Nagwek"/>
            <w:ind w:firstLine="0"/>
            <w:jc w:val="center"/>
            <w:rPr>
              <w:rFonts w:ascii="Arial" w:hAnsi="Arial" w:cs="Arial"/>
              <w:i/>
              <w:sz w:val="20"/>
            </w:rPr>
          </w:pPr>
          <w:r w:rsidRPr="00FA50FF">
            <w:rPr>
              <w:rFonts w:ascii="Arial" w:hAnsi="Arial" w:cs="Arial"/>
              <w:i/>
              <w:sz w:val="20"/>
            </w:rPr>
            <w:t>Natalia Węgrzyn</w:t>
          </w:r>
        </w:p>
      </w:tc>
    </w:tr>
  </w:tbl>
  <w:p w14:paraId="5C9B042A" w14:textId="77777777" w:rsidR="00FA50FF" w:rsidRPr="00E90ABA" w:rsidRDefault="00FA50FF" w:rsidP="00FA50FF">
    <w:pPr>
      <w:pStyle w:val="Nagwek"/>
      <w:ind w:firstLine="0"/>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A50FF" w:rsidRPr="00855C77" w14:paraId="27C96E6D" w14:textId="77777777" w:rsidTr="004363EB">
      <w:trPr>
        <w:trHeight w:hRule="exact" w:val="284"/>
        <w:jc w:val="right"/>
      </w:trPr>
      <w:tc>
        <w:tcPr>
          <w:tcW w:w="9243" w:type="dxa"/>
          <w:vAlign w:val="center"/>
        </w:tcPr>
        <w:p w14:paraId="72A3362D" w14:textId="5B8E5F6B" w:rsidR="00FA50FF" w:rsidRPr="00855C77" w:rsidRDefault="00FF1226" w:rsidP="00FA50FF">
          <w:pPr>
            <w:pStyle w:val="Nagwek"/>
            <w:ind w:firstLine="0"/>
            <w:jc w:val="center"/>
            <w:rPr>
              <w:rFonts w:ascii="Arial" w:hAnsi="Arial" w:cs="Arial"/>
              <w:i/>
              <w:sz w:val="20"/>
              <w:szCs w:val="12"/>
              <w:lang w:val="en-GB"/>
            </w:rPr>
          </w:pPr>
          <w:r w:rsidRPr="00FF1226">
            <w:rPr>
              <w:rFonts w:ascii="Arial" w:hAnsi="Arial" w:cs="Arial"/>
              <w:i/>
              <w:sz w:val="20"/>
              <w:szCs w:val="12"/>
              <w:lang w:val="en-GB"/>
            </w:rPr>
            <w:t>Multi-sensor Satellite Monitoring of Volcanic Activity</w:t>
          </w:r>
          <w:r w:rsidR="00FA50FF">
            <w:rPr>
              <w:rFonts w:ascii="Arial" w:hAnsi="Arial" w:cs="Arial"/>
              <w:i/>
              <w:sz w:val="20"/>
              <w:szCs w:val="12"/>
              <w:lang w:val="en-GB"/>
            </w:rPr>
            <w:t>…</w:t>
          </w:r>
        </w:p>
      </w:tc>
      <w:tc>
        <w:tcPr>
          <w:tcW w:w="397" w:type="dxa"/>
          <w:vAlign w:val="center"/>
        </w:tcPr>
        <w:p w14:paraId="7A624A4D" w14:textId="77777777" w:rsidR="00FA50FF" w:rsidRPr="00855C77" w:rsidRDefault="00FA50FF" w:rsidP="00FA50FF">
          <w:pPr>
            <w:pStyle w:val="Nagwek"/>
            <w:ind w:firstLine="0"/>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759E0836" w14:textId="77777777" w:rsidR="00FA50FF" w:rsidRPr="00007E12" w:rsidRDefault="00FA50FF" w:rsidP="00FA50FF">
    <w:pPr>
      <w:pStyle w:val="Nagwek"/>
      <w:ind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63D"/>
    <w:multiLevelType w:val="hybridMultilevel"/>
    <w:tmpl w:val="B8A05366"/>
    <w:lvl w:ilvl="0" w:tplc="0415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3DE02F0"/>
    <w:multiLevelType w:val="hybridMultilevel"/>
    <w:tmpl w:val="A0C06934"/>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234E7"/>
    <w:multiLevelType w:val="hybridMultilevel"/>
    <w:tmpl w:val="5F7EDB16"/>
    <w:lvl w:ilvl="0" w:tplc="DC1261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D9C5EE8"/>
    <w:multiLevelType w:val="hybridMultilevel"/>
    <w:tmpl w:val="A63A90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51591B"/>
    <w:multiLevelType w:val="hybridMultilevel"/>
    <w:tmpl w:val="3C46B9B8"/>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D16A2"/>
    <w:multiLevelType w:val="hybridMultilevel"/>
    <w:tmpl w:val="D7D8FDA6"/>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9B904F1"/>
    <w:multiLevelType w:val="hybridMultilevel"/>
    <w:tmpl w:val="7E90E824"/>
    <w:lvl w:ilvl="0" w:tplc="0415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0A245F"/>
    <w:multiLevelType w:val="hybridMultilevel"/>
    <w:tmpl w:val="6B60BE46"/>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A6672"/>
    <w:multiLevelType w:val="hybridMultilevel"/>
    <w:tmpl w:val="F9863A88"/>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E326FD5"/>
    <w:multiLevelType w:val="hybridMultilevel"/>
    <w:tmpl w:val="900485DA"/>
    <w:lvl w:ilvl="0" w:tplc="10BE9E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2F5C0803"/>
    <w:multiLevelType w:val="hybridMultilevel"/>
    <w:tmpl w:val="263C2408"/>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30A97445"/>
    <w:multiLevelType w:val="hybridMultilevel"/>
    <w:tmpl w:val="156AD0AA"/>
    <w:lvl w:ilvl="0" w:tplc="927E81D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9B62F8A"/>
    <w:multiLevelType w:val="hybridMultilevel"/>
    <w:tmpl w:val="05E4774E"/>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8637C"/>
    <w:multiLevelType w:val="hybridMultilevel"/>
    <w:tmpl w:val="BB1EDF5C"/>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C46A09"/>
    <w:multiLevelType w:val="hybridMultilevel"/>
    <w:tmpl w:val="2E8E816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44B231C2"/>
    <w:multiLevelType w:val="hybridMultilevel"/>
    <w:tmpl w:val="4CFCEB26"/>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BE3E35"/>
    <w:multiLevelType w:val="hybridMultilevel"/>
    <w:tmpl w:val="6B1EDEA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E00A2"/>
    <w:multiLevelType w:val="hybridMultilevel"/>
    <w:tmpl w:val="51080E9C"/>
    <w:lvl w:ilvl="0" w:tplc="53ECDD0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AF603A"/>
    <w:multiLevelType w:val="hybridMultilevel"/>
    <w:tmpl w:val="C594327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56A42"/>
    <w:multiLevelType w:val="hybridMultilevel"/>
    <w:tmpl w:val="47E69D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087E75"/>
    <w:multiLevelType w:val="hybridMultilevel"/>
    <w:tmpl w:val="5AB8AF4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C37FD1"/>
    <w:multiLevelType w:val="hybridMultilevel"/>
    <w:tmpl w:val="A46A0DE2"/>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E82635"/>
    <w:multiLevelType w:val="hybridMultilevel"/>
    <w:tmpl w:val="6A92E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9297F38"/>
    <w:multiLevelType w:val="hybridMultilevel"/>
    <w:tmpl w:val="19EA6730"/>
    <w:lvl w:ilvl="0" w:tplc="0415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num w:numId="1" w16cid:durableId="1737704746">
    <w:abstractNumId w:val="13"/>
  </w:num>
  <w:num w:numId="2" w16cid:durableId="776212781">
    <w:abstractNumId w:val="17"/>
  </w:num>
  <w:num w:numId="3" w16cid:durableId="1417047139">
    <w:abstractNumId w:val="15"/>
  </w:num>
  <w:num w:numId="4" w16cid:durableId="925964876">
    <w:abstractNumId w:val="11"/>
  </w:num>
  <w:num w:numId="5" w16cid:durableId="664014455">
    <w:abstractNumId w:val="21"/>
  </w:num>
  <w:num w:numId="6" w16cid:durableId="868221491">
    <w:abstractNumId w:val="8"/>
  </w:num>
  <w:num w:numId="7" w16cid:durableId="687751225">
    <w:abstractNumId w:val="5"/>
  </w:num>
  <w:num w:numId="8" w16cid:durableId="1773624413">
    <w:abstractNumId w:val="3"/>
  </w:num>
  <w:num w:numId="9" w16cid:durableId="865868692">
    <w:abstractNumId w:val="10"/>
  </w:num>
  <w:num w:numId="10" w16cid:durableId="2085033138">
    <w:abstractNumId w:val="2"/>
  </w:num>
  <w:num w:numId="11" w16cid:durableId="1077089111">
    <w:abstractNumId w:val="14"/>
  </w:num>
  <w:num w:numId="12" w16cid:durableId="458107769">
    <w:abstractNumId w:val="9"/>
  </w:num>
  <w:num w:numId="13" w16cid:durableId="244070358">
    <w:abstractNumId w:val="19"/>
  </w:num>
  <w:num w:numId="14" w16cid:durableId="1461340280">
    <w:abstractNumId w:val="22"/>
  </w:num>
  <w:num w:numId="15" w16cid:durableId="67195865">
    <w:abstractNumId w:val="0"/>
  </w:num>
  <w:num w:numId="16" w16cid:durableId="1940791083">
    <w:abstractNumId w:val="12"/>
  </w:num>
  <w:num w:numId="17" w16cid:durableId="1926300212">
    <w:abstractNumId w:val="4"/>
  </w:num>
  <w:num w:numId="18" w16cid:durableId="1697727971">
    <w:abstractNumId w:val="23"/>
  </w:num>
  <w:num w:numId="19" w16cid:durableId="255872304">
    <w:abstractNumId w:val="18"/>
  </w:num>
  <w:num w:numId="20" w16cid:durableId="60370954">
    <w:abstractNumId w:val="6"/>
  </w:num>
  <w:num w:numId="21" w16cid:durableId="973171873">
    <w:abstractNumId w:val="1"/>
  </w:num>
  <w:num w:numId="22" w16cid:durableId="324356694">
    <w:abstractNumId w:val="16"/>
  </w:num>
  <w:num w:numId="23" w16cid:durableId="160121968">
    <w:abstractNumId w:val="20"/>
  </w:num>
  <w:num w:numId="24" w16cid:durableId="1636449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hideSpellingErrors/>
  <w:hideGrammaticalErrors/>
  <w:proofState w:spelling="clean"/>
  <w:defaultTabStop w:val="709"/>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zI3Mza2tDA2NDFS0lEKTi0uzszPAykwrgUA5ru3xSwAAAA="/>
  </w:docVars>
  <w:rsids>
    <w:rsidRoot w:val="003E44B1"/>
    <w:rsid w:val="00002991"/>
    <w:rsid w:val="000064ED"/>
    <w:rsid w:val="00017B29"/>
    <w:rsid w:val="00022123"/>
    <w:rsid w:val="000223BA"/>
    <w:rsid w:val="00025EDC"/>
    <w:rsid w:val="00030FE5"/>
    <w:rsid w:val="00031EC1"/>
    <w:rsid w:val="00036400"/>
    <w:rsid w:val="0003672E"/>
    <w:rsid w:val="00040E5B"/>
    <w:rsid w:val="0004361B"/>
    <w:rsid w:val="000460D4"/>
    <w:rsid w:val="000465F8"/>
    <w:rsid w:val="00046CBC"/>
    <w:rsid w:val="000519D1"/>
    <w:rsid w:val="00057B14"/>
    <w:rsid w:val="000609CC"/>
    <w:rsid w:val="000675E1"/>
    <w:rsid w:val="00070030"/>
    <w:rsid w:val="00071860"/>
    <w:rsid w:val="00073E3E"/>
    <w:rsid w:val="000762A3"/>
    <w:rsid w:val="000778EF"/>
    <w:rsid w:val="00077C6E"/>
    <w:rsid w:val="00085F73"/>
    <w:rsid w:val="0009240F"/>
    <w:rsid w:val="0009270C"/>
    <w:rsid w:val="000938E0"/>
    <w:rsid w:val="0009503F"/>
    <w:rsid w:val="000A3B83"/>
    <w:rsid w:val="000B1325"/>
    <w:rsid w:val="000B1CF2"/>
    <w:rsid w:val="000D242C"/>
    <w:rsid w:val="000E2DE1"/>
    <w:rsid w:val="000E5E8D"/>
    <w:rsid w:val="000F5FB6"/>
    <w:rsid w:val="001000E3"/>
    <w:rsid w:val="001017EE"/>
    <w:rsid w:val="00103CD3"/>
    <w:rsid w:val="001043ED"/>
    <w:rsid w:val="00123804"/>
    <w:rsid w:val="0014664B"/>
    <w:rsid w:val="00150B3D"/>
    <w:rsid w:val="001515E4"/>
    <w:rsid w:val="001534DD"/>
    <w:rsid w:val="0015494A"/>
    <w:rsid w:val="001617DE"/>
    <w:rsid w:val="00164B80"/>
    <w:rsid w:val="00167005"/>
    <w:rsid w:val="00174F11"/>
    <w:rsid w:val="001770B6"/>
    <w:rsid w:val="001806B2"/>
    <w:rsid w:val="00185B47"/>
    <w:rsid w:val="00187C8E"/>
    <w:rsid w:val="0019162E"/>
    <w:rsid w:val="00192B72"/>
    <w:rsid w:val="00192EA0"/>
    <w:rsid w:val="001A1CCB"/>
    <w:rsid w:val="001A6D60"/>
    <w:rsid w:val="001A7C17"/>
    <w:rsid w:val="001C1CC6"/>
    <w:rsid w:val="001C27CC"/>
    <w:rsid w:val="001C374D"/>
    <w:rsid w:val="001C79C4"/>
    <w:rsid w:val="001D28B4"/>
    <w:rsid w:val="001D4011"/>
    <w:rsid w:val="001D5790"/>
    <w:rsid w:val="001D7E00"/>
    <w:rsid w:val="001E67C2"/>
    <w:rsid w:val="001E6FAF"/>
    <w:rsid w:val="001F40E1"/>
    <w:rsid w:val="001F50A1"/>
    <w:rsid w:val="00205DEC"/>
    <w:rsid w:val="00207905"/>
    <w:rsid w:val="00212B23"/>
    <w:rsid w:val="002147D4"/>
    <w:rsid w:val="00215064"/>
    <w:rsid w:val="00215119"/>
    <w:rsid w:val="00215A3C"/>
    <w:rsid w:val="00216736"/>
    <w:rsid w:val="00224CB4"/>
    <w:rsid w:val="00225B6D"/>
    <w:rsid w:val="00225F28"/>
    <w:rsid w:val="00231706"/>
    <w:rsid w:val="00232C81"/>
    <w:rsid w:val="002415FB"/>
    <w:rsid w:val="00242CA5"/>
    <w:rsid w:val="00252CD4"/>
    <w:rsid w:val="00255798"/>
    <w:rsid w:val="00256550"/>
    <w:rsid w:val="002601AC"/>
    <w:rsid w:val="00260439"/>
    <w:rsid w:val="0026204F"/>
    <w:rsid w:val="00270312"/>
    <w:rsid w:val="0028002A"/>
    <w:rsid w:val="002807B4"/>
    <w:rsid w:val="00283F4D"/>
    <w:rsid w:val="00285C49"/>
    <w:rsid w:val="00290AE3"/>
    <w:rsid w:val="00292A95"/>
    <w:rsid w:val="00294FA7"/>
    <w:rsid w:val="00297C20"/>
    <w:rsid w:val="002A28C2"/>
    <w:rsid w:val="002A5D3E"/>
    <w:rsid w:val="002A5D53"/>
    <w:rsid w:val="002A6BA8"/>
    <w:rsid w:val="002A762E"/>
    <w:rsid w:val="002B1D64"/>
    <w:rsid w:val="002C0F47"/>
    <w:rsid w:val="002C4DE1"/>
    <w:rsid w:val="002C5228"/>
    <w:rsid w:val="002D2276"/>
    <w:rsid w:val="002D5984"/>
    <w:rsid w:val="002E0231"/>
    <w:rsid w:val="002E17F2"/>
    <w:rsid w:val="002E5B05"/>
    <w:rsid w:val="002F4CED"/>
    <w:rsid w:val="002F5D02"/>
    <w:rsid w:val="002F6169"/>
    <w:rsid w:val="002F7681"/>
    <w:rsid w:val="00306048"/>
    <w:rsid w:val="00310D5E"/>
    <w:rsid w:val="00310F68"/>
    <w:rsid w:val="0031180D"/>
    <w:rsid w:val="00312357"/>
    <w:rsid w:val="00314136"/>
    <w:rsid w:val="00317BF6"/>
    <w:rsid w:val="00324B1A"/>
    <w:rsid w:val="00326C66"/>
    <w:rsid w:val="00327D57"/>
    <w:rsid w:val="003305B6"/>
    <w:rsid w:val="003335CB"/>
    <w:rsid w:val="00333701"/>
    <w:rsid w:val="00337FB0"/>
    <w:rsid w:val="003400A4"/>
    <w:rsid w:val="003403B0"/>
    <w:rsid w:val="0034652A"/>
    <w:rsid w:val="00347C83"/>
    <w:rsid w:val="00350585"/>
    <w:rsid w:val="00350940"/>
    <w:rsid w:val="003524DA"/>
    <w:rsid w:val="00356589"/>
    <w:rsid w:val="00357B5B"/>
    <w:rsid w:val="00364CDA"/>
    <w:rsid w:val="003701C1"/>
    <w:rsid w:val="00375F3E"/>
    <w:rsid w:val="0037660A"/>
    <w:rsid w:val="00377377"/>
    <w:rsid w:val="003856E0"/>
    <w:rsid w:val="0038620F"/>
    <w:rsid w:val="0039088C"/>
    <w:rsid w:val="00391085"/>
    <w:rsid w:val="003950EE"/>
    <w:rsid w:val="00396F40"/>
    <w:rsid w:val="003A1616"/>
    <w:rsid w:val="003A45F6"/>
    <w:rsid w:val="003A5A8D"/>
    <w:rsid w:val="003B1823"/>
    <w:rsid w:val="003B521A"/>
    <w:rsid w:val="003B7893"/>
    <w:rsid w:val="003C018E"/>
    <w:rsid w:val="003C0CDD"/>
    <w:rsid w:val="003C317B"/>
    <w:rsid w:val="003C3FD1"/>
    <w:rsid w:val="003C41F3"/>
    <w:rsid w:val="003C4D9A"/>
    <w:rsid w:val="003C5FA4"/>
    <w:rsid w:val="003C6CFA"/>
    <w:rsid w:val="003D24D7"/>
    <w:rsid w:val="003D30D4"/>
    <w:rsid w:val="003E0028"/>
    <w:rsid w:val="003E0A91"/>
    <w:rsid w:val="003E4452"/>
    <w:rsid w:val="003E44B1"/>
    <w:rsid w:val="003E4B16"/>
    <w:rsid w:val="003E50C9"/>
    <w:rsid w:val="003F0FDB"/>
    <w:rsid w:val="004033A9"/>
    <w:rsid w:val="00404F35"/>
    <w:rsid w:val="00406BA2"/>
    <w:rsid w:val="00411F76"/>
    <w:rsid w:val="004150DA"/>
    <w:rsid w:val="00417699"/>
    <w:rsid w:val="0042252F"/>
    <w:rsid w:val="004226A7"/>
    <w:rsid w:val="00422E14"/>
    <w:rsid w:val="00424C56"/>
    <w:rsid w:val="00425493"/>
    <w:rsid w:val="004255B1"/>
    <w:rsid w:val="0042740C"/>
    <w:rsid w:val="004316EB"/>
    <w:rsid w:val="00435374"/>
    <w:rsid w:val="00435BD7"/>
    <w:rsid w:val="0044360F"/>
    <w:rsid w:val="0044548C"/>
    <w:rsid w:val="00451065"/>
    <w:rsid w:val="0045135B"/>
    <w:rsid w:val="00452047"/>
    <w:rsid w:val="004557E9"/>
    <w:rsid w:val="00470947"/>
    <w:rsid w:val="00472E34"/>
    <w:rsid w:val="00474BA6"/>
    <w:rsid w:val="00480127"/>
    <w:rsid w:val="004852D1"/>
    <w:rsid w:val="00486132"/>
    <w:rsid w:val="004956D6"/>
    <w:rsid w:val="004A5E15"/>
    <w:rsid w:val="004A71BD"/>
    <w:rsid w:val="004B0815"/>
    <w:rsid w:val="004B5B93"/>
    <w:rsid w:val="004B72DF"/>
    <w:rsid w:val="004D486F"/>
    <w:rsid w:val="004D5D79"/>
    <w:rsid w:val="004D6EF1"/>
    <w:rsid w:val="004E3666"/>
    <w:rsid w:val="004E6378"/>
    <w:rsid w:val="004E63B8"/>
    <w:rsid w:val="004E7D00"/>
    <w:rsid w:val="004F176D"/>
    <w:rsid w:val="004F2516"/>
    <w:rsid w:val="004F7BC4"/>
    <w:rsid w:val="005062F3"/>
    <w:rsid w:val="0051013A"/>
    <w:rsid w:val="00512625"/>
    <w:rsid w:val="00513A9C"/>
    <w:rsid w:val="00515615"/>
    <w:rsid w:val="00522535"/>
    <w:rsid w:val="00527283"/>
    <w:rsid w:val="00532D7A"/>
    <w:rsid w:val="00535087"/>
    <w:rsid w:val="0053605E"/>
    <w:rsid w:val="0054123F"/>
    <w:rsid w:val="005412C1"/>
    <w:rsid w:val="00541DDA"/>
    <w:rsid w:val="00542F70"/>
    <w:rsid w:val="00547AB6"/>
    <w:rsid w:val="00555A90"/>
    <w:rsid w:val="00557788"/>
    <w:rsid w:val="0057053D"/>
    <w:rsid w:val="00570A13"/>
    <w:rsid w:val="00572AE7"/>
    <w:rsid w:val="00573BF7"/>
    <w:rsid w:val="005745F4"/>
    <w:rsid w:val="00580E33"/>
    <w:rsid w:val="00581E85"/>
    <w:rsid w:val="005849C2"/>
    <w:rsid w:val="005901E9"/>
    <w:rsid w:val="00591EB9"/>
    <w:rsid w:val="005A328C"/>
    <w:rsid w:val="005A6D76"/>
    <w:rsid w:val="005A74D2"/>
    <w:rsid w:val="005B238D"/>
    <w:rsid w:val="005B33D8"/>
    <w:rsid w:val="005B5E3F"/>
    <w:rsid w:val="005D1334"/>
    <w:rsid w:val="005E0EF7"/>
    <w:rsid w:val="005E1F73"/>
    <w:rsid w:val="005E4FF4"/>
    <w:rsid w:val="005F21BA"/>
    <w:rsid w:val="005F6E12"/>
    <w:rsid w:val="00601075"/>
    <w:rsid w:val="00601180"/>
    <w:rsid w:val="00604416"/>
    <w:rsid w:val="00606ED2"/>
    <w:rsid w:val="00612924"/>
    <w:rsid w:val="006172EA"/>
    <w:rsid w:val="00623CF3"/>
    <w:rsid w:val="00625495"/>
    <w:rsid w:val="006326BB"/>
    <w:rsid w:val="006332AA"/>
    <w:rsid w:val="00634A16"/>
    <w:rsid w:val="00637A81"/>
    <w:rsid w:val="00641DC8"/>
    <w:rsid w:val="00643D5C"/>
    <w:rsid w:val="0064429A"/>
    <w:rsid w:val="006523A5"/>
    <w:rsid w:val="00655A99"/>
    <w:rsid w:val="006560F4"/>
    <w:rsid w:val="00661663"/>
    <w:rsid w:val="00661E9C"/>
    <w:rsid w:val="00666F87"/>
    <w:rsid w:val="006671E2"/>
    <w:rsid w:val="0068239A"/>
    <w:rsid w:val="00685A9C"/>
    <w:rsid w:val="00691AFF"/>
    <w:rsid w:val="00693FDA"/>
    <w:rsid w:val="006A11EF"/>
    <w:rsid w:val="006A3974"/>
    <w:rsid w:val="006B038E"/>
    <w:rsid w:val="006C1828"/>
    <w:rsid w:val="006C37F0"/>
    <w:rsid w:val="006C4DE0"/>
    <w:rsid w:val="006C53E6"/>
    <w:rsid w:val="006D258E"/>
    <w:rsid w:val="006D5FC6"/>
    <w:rsid w:val="006E27C0"/>
    <w:rsid w:val="006F10F3"/>
    <w:rsid w:val="006F4504"/>
    <w:rsid w:val="007010AB"/>
    <w:rsid w:val="0070176F"/>
    <w:rsid w:val="007041AC"/>
    <w:rsid w:val="0071064A"/>
    <w:rsid w:val="0071175E"/>
    <w:rsid w:val="00714F4E"/>
    <w:rsid w:val="00720BBF"/>
    <w:rsid w:val="00721C91"/>
    <w:rsid w:val="00732A78"/>
    <w:rsid w:val="00734BF8"/>
    <w:rsid w:val="0073542F"/>
    <w:rsid w:val="007366A5"/>
    <w:rsid w:val="00744212"/>
    <w:rsid w:val="00750973"/>
    <w:rsid w:val="00762EEA"/>
    <w:rsid w:val="00772673"/>
    <w:rsid w:val="007761BE"/>
    <w:rsid w:val="007766A2"/>
    <w:rsid w:val="0078360F"/>
    <w:rsid w:val="00790441"/>
    <w:rsid w:val="00795C5F"/>
    <w:rsid w:val="00797E03"/>
    <w:rsid w:val="007A09E6"/>
    <w:rsid w:val="007A6F4A"/>
    <w:rsid w:val="007A7B8C"/>
    <w:rsid w:val="007B08EA"/>
    <w:rsid w:val="007B0FEA"/>
    <w:rsid w:val="007B1416"/>
    <w:rsid w:val="007C26CC"/>
    <w:rsid w:val="007C7300"/>
    <w:rsid w:val="007C735A"/>
    <w:rsid w:val="007C7D32"/>
    <w:rsid w:val="007D0A28"/>
    <w:rsid w:val="007D30AE"/>
    <w:rsid w:val="007D3DE1"/>
    <w:rsid w:val="007D58CA"/>
    <w:rsid w:val="007E06A3"/>
    <w:rsid w:val="007E133D"/>
    <w:rsid w:val="007E1757"/>
    <w:rsid w:val="007E2B94"/>
    <w:rsid w:val="007E3194"/>
    <w:rsid w:val="007E6A41"/>
    <w:rsid w:val="007F259F"/>
    <w:rsid w:val="007F759D"/>
    <w:rsid w:val="008009C2"/>
    <w:rsid w:val="00805300"/>
    <w:rsid w:val="00812C41"/>
    <w:rsid w:val="00821631"/>
    <w:rsid w:val="0082238E"/>
    <w:rsid w:val="00822DC3"/>
    <w:rsid w:val="0082634B"/>
    <w:rsid w:val="008307BE"/>
    <w:rsid w:val="00831D3C"/>
    <w:rsid w:val="00834115"/>
    <w:rsid w:val="00837148"/>
    <w:rsid w:val="00840145"/>
    <w:rsid w:val="00840325"/>
    <w:rsid w:val="00840980"/>
    <w:rsid w:val="00842027"/>
    <w:rsid w:val="00843221"/>
    <w:rsid w:val="0084597A"/>
    <w:rsid w:val="008461FC"/>
    <w:rsid w:val="008507E5"/>
    <w:rsid w:val="0085385A"/>
    <w:rsid w:val="00854632"/>
    <w:rsid w:val="008625AD"/>
    <w:rsid w:val="008663DE"/>
    <w:rsid w:val="008733E8"/>
    <w:rsid w:val="00877646"/>
    <w:rsid w:val="00880258"/>
    <w:rsid w:val="00880771"/>
    <w:rsid w:val="00881A7A"/>
    <w:rsid w:val="00893593"/>
    <w:rsid w:val="00894FA5"/>
    <w:rsid w:val="008978D8"/>
    <w:rsid w:val="008A06F1"/>
    <w:rsid w:val="008A1CE9"/>
    <w:rsid w:val="008A75FD"/>
    <w:rsid w:val="008B1A81"/>
    <w:rsid w:val="008B29A3"/>
    <w:rsid w:val="008B2E9D"/>
    <w:rsid w:val="008B316E"/>
    <w:rsid w:val="008C15F1"/>
    <w:rsid w:val="008C2539"/>
    <w:rsid w:val="008C25D5"/>
    <w:rsid w:val="008C2A33"/>
    <w:rsid w:val="008C2BD2"/>
    <w:rsid w:val="008C48B3"/>
    <w:rsid w:val="008D2AEF"/>
    <w:rsid w:val="008D4797"/>
    <w:rsid w:val="008D51F6"/>
    <w:rsid w:val="008E0D29"/>
    <w:rsid w:val="008E11E0"/>
    <w:rsid w:val="008E1993"/>
    <w:rsid w:val="008E5BAE"/>
    <w:rsid w:val="008F16C7"/>
    <w:rsid w:val="008F3508"/>
    <w:rsid w:val="008F640F"/>
    <w:rsid w:val="008F69F6"/>
    <w:rsid w:val="008F7303"/>
    <w:rsid w:val="008F7FC2"/>
    <w:rsid w:val="009047D1"/>
    <w:rsid w:val="00907FA8"/>
    <w:rsid w:val="0091117B"/>
    <w:rsid w:val="00915311"/>
    <w:rsid w:val="009200EB"/>
    <w:rsid w:val="00920D7A"/>
    <w:rsid w:val="00924DA0"/>
    <w:rsid w:val="009334A5"/>
    <w:rsid w:val="00933B72"/>
    <w:rsid w:val="00935CDB"/>
    <w:rsid w:val="00936D19"/>
    <w:rsid w:val="00940B29"/>
    <w:rsid w:val="00941888"/>
    <w:rsid w:val="0094273F"/>
    <w:rsid w:val="00943178"/>
    <w:rsid w:val="009463F2"/>
    <w:rsid w:val="00952272"/>
    <w:rsid w:val="0095701E"/>
    <w:rsid w:val="0095704E"/>
    <w:rsid w:val="00962175"/>
    <w:rsid w:val="00962A3C"/>
    <w:rsid w:val="00963C38"/>
    <w:rsid w:val="00981E3C"/>
    <w:rsid w:val="00984CA4"/>
    <w:rsid w:val="00992226"/>
    <w:rsid w:val="00995492"/>
    <w:rsid w:val="009A229F"/>
    <w:rsid w:val="009B28BA"/>
    <w:rsid w:val="009B4D03"/>
    <w:rsid w:val="009B7511"/>
    <w:rsid w:val="009C077C"/>
    <w:rsid w:val="009C3057"/>
    <w:rsid w:val="009D26BF"/>
    <w:rsid w:val="009D3E3A"/>
    <w:rsid w:val="009E44D5"/>
    <w:rsid w:val="009F1B18"/>
    <w:rsid w:val="009F41DD"/>
    <w:rsid w:val="009F553E"/>
    <w:rsid w:val="00A044D5"/>
    <w:rsid w:val="00A04C1B"/>
    <w:rsid w:val="00A112E9"/>
    <w:rsid w:val="00A13A3C"/>
    <w:rsid w:val="00A20F8C"/>
    <w:rsid w:val="00A259DA"/>
    <w:rsid w:val="00A27D56"/>
    <w:rsid w:val="00A4659E"/>
    <w:rsid w:val="00A55CE6"/>
    <w:rsid w:val="00A55DAA"/>
    <w:rsid w:val="00A61E7F"/>
    <w:rsid w:val="00A6342E"/>
    <w:rsid w:val="00A647C8"/>
    <w:rsid w:val="00A6668C"/>
    <w:rsid w:val="00A7004D"/>
    <w:rsid w:val="00A72C10"/>
    <w:rsid w:val="00A755C8"/>
    <w:rsid w:val="00A77E07"/>
    <w:rsid w:val="00A81686"/>
    <w:rsid w:val="00A82237"/>
    <w:rsid w:val="00A842A3"/>
    <w:rsid w:val="00A84E4F"/>
    <w:rsid w:val="00A86BC1"/>
    <w:rsid w:val="00A87E7C"/>
    <w:rsid w:val="00A908D6"/>
    <w:rsid w:val="00A94A90"/>
    <w:rsid w:val="00A94E0D"/>
    <w:rsid w:val="00A97D56"/>
    <w:rsid w:val="00AA31AD"/>
    <w:rsid w:val="00AB3CCC"/>
    <w:rsid w:val="00AB439A"/>
    <w:rsid w:val="00AC0144"/>
    <w:rsid w:val="00AC294D"/>
    <w:rsid w:val="00AC765A"/>
    <w:rsid w:val="00AC7833"/>
    <w:rsid w:val="00AE0D1B"/>
    <w:rsid w:val="00AE1A40"/>
    <w:rsid w:val="00AE1C90"/>
    <w:rsid w:val="00AE567E"/>
    <w:rsid w:val="00AF00E9"/>
    <w:rsid w:val="00B047FB"/>
    <w:rsid w:val="00B069DC"/>
    <w:rsid w:val="00B12EC8"/>
    <w:rsid w:val="00B179AC"/>
    <w:rsid w:val="00B20440"/>
    <w:rsid w:val="00B2490B"/>
    <w:rsid w:val="00B25F61"/>
    <w:rsid w:val="00B26811"/>
    <w:rsid w:val="00B308A4"/>
    <w:rsid w:val="00B32AF1"/>
    <w:rsid w:val="00B34286"/>
    <w:rsid w:val="00B36839"/>
    <w:rsid w:val="00B40078"/>
    <w:rsid w:val="00B4368C"/>
    <w:rsid w:val="00B5122B"/>
    <w:rsid w:val="00B52325"/>
    <w:rsid w:val="00B52A9D"/>
    <w:rsid w:val="00B55454"/>
    <w:rsid w:val="00B61952"/>
    <w:rsid w:val="00B739F3"/>
    <w:rsid w:val="00B76EE7"/>
    <w:rsid w:val="00B81D7D"/>
    <w:rsid w:val="00B86DFE"/>
    <w:rsid w:val="00B90648"/>
    <w:rsid w:val="00B914DF"/>
    <w:rsid w:val="00B93230"/>
    <w:rsid w:val="00B95879"/>
    <w:rsid w:val="00BA2AA7"/>
    <w:rsid w:val="00BA4039"/>
    <w:rsid w:val="00BA5F5F"/>
    <w:rsid w:val="00BA604B"/>
    <w:rsid w:val="00BB1D0D"/>
    <w:rsid w:val="00BC2071"/>
    <w:rsid w:val="00BC6CB0"/>
    <w:rsid w:val="00BC706A"/>
    <w:rsid w:val="00BC7D98"/>
    <w:rsid w:val="00BD0AE0"/>
    <w:rsid w:val="00BD0EDE"/>
    <w:rsid w:val="00BE10D4"/>
    <w:rsid w:val="00BE2FD0"/>
    <w:rsid w:val="00BF1D38"/>
    <w:rsid w:val="00BF4397"/>
    <w:rsid w:val="00C0039F"/>
    <w:rsid w:val="00C0067C"/>
    <w:rsid w:val="00C023AA"/>
    <w:rsid w:val="00C033F3"/>
    <w:rsid w:val="00C053C5"/>
    <w:rsid w:val="00C0697E"/>
    <w:rsid w:val="00C12464"/>
    <w:rsid w:val="00C12763"/>
    <w:rsid w:val="00C214C4"/>
    <w:rsid w:val="00C219BB"/>
    <w:rsid w:val="00C21E4D"/>
    <w:rsid w:val="00C22E62"/>
    <w:rsid w:val="00C25DFC"/>
    <w:rsid w:val="00C274FA"/>
    <w:rsid w:val="00C3018E"/>
    <w:rsid w:val="00C3245A"/>
    <w:rsid w:val="00C341C2"/>
    <w:rsid w:val="00C359D4"/>
    <w:rsid w:val="00C36338"/>
    <w:rsid w:val="00C3757C"/>
    <w:rsid w:val="00C47F2D"/>
    <w:rsid w:val="00C54ADC"/>
    <w:rsid w:val="00C57E42"/>
    <w:rsid w:val="00C57F2E"/>
    <w:rsid w:val="00C64521"/>
    <w:rsid w:val="00C64C55"/>
    <w:rsid w:val="00C708B9"/>
    <w:rsid w:val="00C7272C"/>
    <w:rsid w:val="00C743AA"/>
    <w:rsid w:val="00C746DB"/>
    <w:rsid w:val="00C76A10"/>
    <w:rsid w:val="00C8270B"/>
    <w:rsid w:val="00C8582B"/>
    <w:rsid w:val="00C85C11"/>
    <w:rsid w:val="00C90899"/>
    <w:rsid w:val="00C9154E"/>
    <w:rsid w:val="00C91756"/>
    <w:rsid w:val="00CA1202"/>
    <w:rsid w:val="00CA1C23"/>
    <w:rsid w:val="00CA5906"/>
    <w:rsid w:val="00CB2276"/>
    <w:rsid w:val="00CB3596"/>
    <w:rsid w:val="00CB6E6A"/>
    <w:rsid w:val="00CB794B"/>
    <w:rsid w:val="00CD4384"/>
    <w:rsid w:val="00CE2BAD"/>
    <w:rsid w:val="00CF13F2"/>
    <w:rsid w:val="00CF253F"/>
    <w:rsid w:val="00CF3777"/>
    <w:rsid w:val="00CF549C"/>
    <w:rsid w:val="00D00F16"/>
    <w:rsid w:val="00D055AD"/>
    <w:rsid w:val="00D06D1C"/>
    <w:rsid w:val="00D10C57"/>
    <w:rsid w:val="00D11ED9"/>
    <w:rsid w:val="00D14965"/>
    <w:rsid w:val="00D157E8"/>
    <w:rsid w:val="00D17762"/>
    <w:rsid w:val="00D26373"/>
    <w:rsid w:val="00D27B44"/>
    <w:rsid w:val="00D30A4A"/>
    <w:rsid w:val="00D3615D"/>
    <w:rsid w:val="00D4003B"/>
    <w:rsid w:val="00D40D62"/>
    <w:rsid w:val="00D45EFC"/>
    <w:rsid w:val="00D534A2"/>
    <w:rsid w:val="00D551A0"/>
    <w:rsid w:val="00D56175"/>
    <w:rsid w:val="00D56614"/>
    <w:rsid w:val="00D6052A"/>
    <w:rsid w:val="00D618EF"/>
    <w:rsid w:val="00D62B80"/>
    <w:rsid w:val="00D63FD5"/>
    <w:rsid w:val="00D6676A"/>
    <w:rsid w:val="00D67CF9"/>
    <w:rsid w:val="00D71621"/>
    <w:rsid w:val="00D77B4C"/>
    <w:rsid w:val="00D81C6C"/>
    <w:rsid w:val="00D851DC"/>
    <w:rsid w:val="00D8671F"/>
    <w:rsid w:val="00D8761C"/>
    <w:rsid w:val="00D940A7"/>
    <w:rsid w:val="00D944B6"/>
    <w:rsid w:val="00DA6DC7"/>
    <w:rsid w:val="00DA750A"/>
    <w:rsid w:val="00DB2751"/>
    <w:rsid w:val="00DB62C5"/>
    <w:rsid w:val="00DB6A4E"/>
    <w:rsid w:val="00DB75C9"/>
    <w:rsid w:val="00DC0737"/>
    <w:rsid w:val="00DC306F"/>
    <w:rsid w:val="00DC33AA"/>
    <w:rsid w:val="00DC5989"/>
    <w:rsid w:val="00DC689C"/>
    <w:rsid w:val="00DD4183"/>
    <w:rsid w:val="00DD4D92"/>
    <w:rsid w:val="00DD5D0A"/>
    <w:rsid w:val="00DD6B20"/>
    <w:rsid w:val="00DE137A"/>
    <w:rsid w:val="00DE1742"/>
    <w:rsid w:val="00DE25D8"/>
    <w:rsid w:val="00DE3DFD"/>
    <w:rsid w:val="00DE58A6"/>
    <w:rsid w:val="00DF3442"/>
    <w:rsid w:val="00DF6687"/>
    <w:rsid w:val="00DF6A65"/>
    <w:rsid w:val="00E01940"/>
    <w:rsid w:val="00E02E04"/>
    <w:rsid w:val="00E05978"/>
    <w:rsid w:val="00E1136F"/>
    <w:rsid w:val="00E1386B"/>
    <w:rsid w:val="00E169E3"/>
    <w:rsid w:val="00E209D0"/>
    <w:rsid w:val="00E21C33"/>
    <w:rsid w:val="00E21C9E"/>
    <w:rsid w:val="00E24509"/>
    <w:rsid w:val="00E27E7A"/>
    <w:rsid w:val="00E36F81"/>
    <w:rsid w:val="00E452CF"/>
    <w:rsid w:val="00E4533F"/>
    <w:rsid w:val="00E46523"/>
    <w:rsid w:val="00E46C0A"/>
    <w:rsid w:val="00E501B3"/>
    <w:rsid w:val="00E54F4B"/>
    <w:rsid w:val="00E56E45"/>
    <w:rsid w:val="00E6275B"/>
    <w:rsid w:val="00E628AF"/>
    <w:rsid w:val="00E80AB5"/>
    <w:rsid w:val="00E80B28"/>
    <w:rsid w:val="00E82ED5"/>
    <w:rsid w:val="00E85BDD"/>
    <w:rsid w:val="00E860E3"/>
    <w:rsid w:val="00E86C10"/>
    <w:rsid w:val="00E9200F"/>
    <w:rsid w:val="00E946A8"/>
    <w:rsid w:val="00EA0170"/>
    <w:rsid w:val="00EA2222"/>
    <w:rsid w:val="00EA304C"/>
    <w:rsid w:val="00EA3B5B"/>
    <w:rsid w:val="00EA40B0"/>
    <w:rsid w:val="00EA6F94"/>
    <w:rsid w:val="00EB5548"/>
    <w:rsid w:val="00EB7C0D"/>
    <w:rsid w:val="00EC2741"/>
    <w:rsid w:val="00EC62D0"/>
    <w:rsid w:val="00ED00AE"/>
    <w:rsid w:val="00ED484F"/>
    <w:rsid w:val="00EE04D9"/>
    <w:rsid w:val="00EE3DC8"/>
    <w:rsid w:val="00EE4926"/>
    <w:rsid w:val="00EF273C"/>
    <w:rsid w:val="00EF326B"/>
    <w:rsid w:val="00EF3C4C"/>
    <w:rsid w:val="00EF57DF"/>
    <w:rsid w:val="00F00530"/>
    <w:rsid w:val="00F024E5"/>
    <w:rsid w:val="00F1310F"/>
    <w:rsid w:val="00F169B0"/>
    <w:rsid w:val="00F22899"/>
    <w:rsid w:val="00F229C5"/>
    <w:rsid w:val="00F2390F"/>
    <w:rsid w:val="00F24994"/>
    <w:rsid w:val="00F260B6"/>
    <w:rsid w:val="00F339FC"/>
    <w:rsid w:val="00F35196"/>
    <w:rsid w:val="00F35BD8"/>
    <w:rsid w:val="00F4264B"/>
    <w:rsid w:val="00F45A8A"/>
    <w:rsid w:val="00F622A4"/>
    <w:rsid w:val="00F63B08"/>
    <w:rsid w:val="00F71CDE"/>
    <w:rsid w:val="00F72C28"/>
    <w:rsid w:val="00F72DE4"/>
    <w:rsid w:val="00F73577"/>
    <w:rsid w:val="00F73A28"/>
    <w:rsid w:val="00F744CC"/>
    <w:rsid w:val="00F83CE9"/>
    <w:rsid w:val="00F8563E"/>
    <w:rsid w:val="00F85BDC"/>
    <w:rsid w:val="00F926A0"/>
    <w:rsid w:val="00F943A5"/>
    <w:rsid w:val="00F95117"/>
    <w:rsid w:val="00FA1D12"/>
    <w:rsid w:val="00FA42C4"/>
    <w:rsid w:val="00FA506D"/>
    <w:rsid w:val="00FA50FF"/>
    <w:rsid w:val="00FB0780"/>
    <w:rsid w:val="00FB304E"/>
    <w:rsid w:val="00FC13A3"/>
    <w:rsid w:val="00FC27F8"/>
    <w:rsid w:val="00FC4790"/>
    <w:rsid w:val="00FD1495"/>
    <w:rsid w:val="00FD3E75"/>
    <w:rsid w:val="00FD5A26"/>
    <w:rsid w:val="00FE11B6"/>
    <w:rsid w:val="00FE169A"/>
    <w:rsid w:val="00FF1226"/>
    <w:rsid w:val="00FF1B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44C60"/>
  <w15:docId w15:val="{0966AE66-1068-4DE8-A1C1-5421ADCF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63DE"/>
    <w:pPr>
      <w:spacing w:after="0" w:line="240" w:lineRule="auto"/>
      <w:ind w:firstLine="284"/>
      <w:jc w:val="both"/>
    </w:pPr>
    <w:rPr>
      <w:rFonts w:ascii="Times New Roman" w:hAnsi="Times New Roman"/>
    </w:rPr>
  </w:style>
  <w:style w:type="paragraph" w:styleId="Nagwek1">
    <w:name w:val="heading 1"/>
    <w:basedOn w:val="Normalny"/>
    <w:next w:val="Normalny"/>
    <w:link w:val="Nagwek1Znak"/>
    <w:uiPriority w:val="9"/>
    <w:qFormat/>
    <w:rsid w:val="003A45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D1334"/>
    <w:rPr>
      <w:color w:val="0563C1" w:themeColor="hyperlink"/>
      <w:u w:val="single"/>
    </w:rPr>
  </w:style>
  <w:style w:type="character" w:customStyle="1" w:styleId="Nierozpoznanawzmianka1">
    <w:name w:val="Nierozpoznana wzmianka1"/>
    <w:basedOn w:val="Domylnaczcionkaakapitu"/>
    <w:uiPriority w:val="99"/>
    <w:semiHidden/>
    <w:unhideWhenUsed/>
    <w:rsid w:val="005D1334"/>
    <w:rPr>
      <w:color w:val="605E5C"/>
      <w:shd w:val="clear" w:color="auto" w:fill="E1DFDD"/>
    </w:rPr>
  </w:style>
  <w:style w:type="paragraph" w:customStyle="1" w:styleId="Bezwcicia">
    <w:name w:val="Bez wcięcia"/>
    <w:basedOn w:val="Normalny"/>
    <w:rsid w:val="003C018E"/>
    <w:pPr>
      <w:ind w:firstLine="0"/>
    </w:pPr>
  </w:style>
  <w:style w:type="character" w:styleId="Odwoaniedokomentarza">
    <w:name w:val="annotation reference"/>
    <w:basedOn w:val="Domylnaczcionkaakapitu"/>
    <w:uiPriority w:val="99"/>
    <w:semiHidden/>
    <w:unhideWhenUsed/>
    <w:rsid w:val="001617DE"/>
    <w:rPr>
      <w:sz w:val="16"/>
      <w:szCs w:val="16"/>
    </w:rPr>
  </w:style>
  <w:style w:type="paragraph" w:styleId="Tekstkomentarza">
    <w:name w:val="annotation text"/>
    <w:basedOn w:val="Normalny"/>
    <w:link w:val="TekstkomentarzaZnak"/>
    <w:uiPriority w:val="99"/>
    <w:semiHidden/>
    <w:unhideWhenUsed/>
    <w:rsid w:val="001617DE"/>
    <w:rPr>
      <w:sz w:val="20"/>
      <w:szCs w:val="20"/>
    </w:rPr>
  </w:style>
  <w:style w:type="character" w:customStyle="1" w:styleId="TekstkomentarzaZnak">
    <w:name w:val="Tekst komentarza Znak"/>
    <w:basedOn w:val="Domylnaczcionkaakapitu"/>
    <w:link w:val="Tekstkomentarza"/>
    <w:uiPriority w:val="99"/>
    <w:semiHidden/>
    <w:rsid w:val="001617DE"/>
    <w:rPr>
      <w:sz w:val="20"/>
      <w:szCs w:val="20"/>
    </w:rPr>
  </w:style>
  <w:style w:type="paragraph" w:styleId="Tematkomentarza">
    <w:name w:val="annotation subject"/>
    <w:basedOn w:val="Tekstkomentarza"/>
    <w:next w:val="Tekstkomentarza"/>
    <w:link w:val="TematkomentarzaZnak"/>
    <w:uiPriority w:val="99"/>
    <w:semiHidden/>
    <w:unhideWhenUsed/>
    <w:rsid w:val="001617DE"/>
    <w:rPr>
      <w:b/>
      <w:bCs/>
    </w:rPr>
  </w:style>
  <w:style w:type="character" w:customStyle="1" w:styleId="TematkomentarzaZnak">
    <w:name w:val="Temat komentarza Znak"/>
    <w:basedOn w:val="TekstkomentarzaZnak"/>
    <w:link w:val="Tematkomentarza"/>
    <w:uiPriority w:val="99"/>
    <w:semiHidden/>
    <w:rsid w:val="001617DE"/>
    <w:rPr>
      <w:b/>
      <w:bCs/>
      <w:sz w:val="20"/>
      <w:szCs w:val="20"/>
    </w:rPr>
  </w:style>
  <w:style w:type="paragraph" w:styleId="Akapitzlist">
    <w:name w:val="List Paragraph"/>
    <w:basedOn w:val="Normalny"/>
    <w:uiPriority w:val="34"/>
    <w:qFormat/>
    <w:rsid w:val="00C0067C"/>
    <w:pPr>
      <w:ind w:left="720"/>
      <w:contextualSpacing/>
    </w:pPr>
  </w:style>
  <w:style w:type="character" w:styleId="Tekstzastpczy">
    <w:name w:val="Placeholder Text"/>
    <w:basedOn w:val="Domylnaczcionkaakapitu"/>
    <w:uiPriority w:val="99"/>
    <w:semiHidden/>
    <w:rsid w:val="0004361B"/>
    <w:rPr>
      <w:color w:val="666666"/>
    </w:rPr>
  </w:style>
  <w:style w:type="paragraph" w:styleId="Tekstprzypisukocowego">
    <w:name w:val="endnote text"/>
    <w:basedOn w:val="Normalny"/>
    <w:link w:val="TekstprzypisukocowegoZnak"/>
    <w:uiPriority w:val="99"/>
    <w:semiHidden/>
    <w:unhideWhenUsed/>
    <w:rsid w:val="00634A16"/>
    <w:rPr>
      <w:sz w:val="20"/>
      <w:szCs w:val="20"/>
    </w:rPr>
  </w:style>
  <w:style w:type="character" w:customStyle="1" w:styleId="TekstprzypisukocowegoZnak">
    <w:name w:val="Tekst przypisu końcowego Znak"/>
    <w:basedOn w:val="Domylnaczcionkaakapitu"/>
    <w:link w:val="Tekstprzypisukocowego"/>
    <w:uiPriority w:val="99"/>
    <w:semiHidden/>
    <w:rsid w:val="00634A16"/>
    <w:rPr>
      <w:sz w:val="20"/>
      <w:szCs w:val="20"/>
    </w:rPr>
  </w:style>
  <w:style w:type="character" w:styleId="Odwoanieprzypisukocowego">
    <w:name w:val="endnote reference"/>
    <w:basedOn w:val="Domylnaczcionkaakapitu"/>
    <w:uiPriority w:val="99"/>
    <w:semiHidden/>
    <w:unhideWhenUsed/>
    <w:rsid w:val="00634A16"/>
    <w:rPr>
      <w:vertAlign w:val="superscript"/>
    </w:rPr>
  </w:style>
  <w:style w:type="paragraph" w:styleId="Tytu">
    <w:name w:val="Title"/>
    <w:basedOn w:val="Normalny"/>
    <w:next w:val="Normalny"/>
    <w:link w:val="TytuZnak"/>
    <w:uiPriority w:val="10"/>
    <w:qFormat/>
    <w:rsid w:val="00D17762"/>
    <w:pPr>
      <w:suppressAutoHyphens/>
      <w:spacing w:before="240"/>
      <w:ind w:firstLine="0"/>
      <w:contextualSpacing/>
      <w:jc w:val="center"/>
    </w:pPr>
    <w:rPr>
      <w:rFonts w:eastAsiaTheme="majorEastAsia" w:cstheme="majorBidi"/>
      <w:b/>
      <w:spacing w:val="-10"/>
      <w:kern w:val="28"/>
      <w:sz w:val="24"/>
      <w:szCs w:val="56"/>
    </w:rPr>
  </w:style>
  <w:style w:type="character" w:customStyle="1" w:styleId="TytuZnak">
    <w:name w:val="Tytuł Znak"/>
    <w:basedOn w:val="Domylnaczcionkaakapitu"/>
    <w:link w:val="Tytu"/>
    <w:uiPriority w:val="10"/>
    <w:rsid w:val="00D17762"/>
    <w:rPr>
      <w:rFonts w:ascii="Times New Roman" w:eastAsiaTheme="majorEastAsia" w:hAnsi="Times New Roman" w:cstheme="majorBidi"/>
      <w:b/>
      <w:spacing w:val="-10"/>
      <w:kern w:val="28"/>
      <w:sz w:val="24"/>
      <w:szCs w:val="56"/>
    </w:rPr>
  </w:style>
  <w:style w:type="paragraph" w:customStyle="1" w:styleId="Autorzy">
    <w:name w:val="Autorzy"/>
    <w:basedOn w:val="Normalny"/>
    <w:rsid w:val="003B521A"/>
    <w:pPr>
      <w:suppressLineNumbers/>
      <w:spacing w:before="120" w:after="120"/>
      <w:ind w:firstLine="0"/>
      <w:jc w:val="center"/>
    </w:pPr>
    <w:rPr>
      <w:i/>
      <w:sz w:val="24"/>
      <w:lang w:val="en-US"/>
    </w:rPr>
  </w:style>
  <w:style w:type="paragraph" w:customStyle="1" w:styleId="Afiliacje">
    <w:name w:val="Afiliacje"/>
    <w:basedOn w:val="Normalny"/>
    <w:rsid w:val="003A45F6"/>
    <w:pPr>
      <w:suppressAutoHyphens/>
      <w:ind w:firstLine="0"/>
      <w:jc w:val="center"/>
    </w:pPr>
    <w:rPr>
      <w:i/>
      <w:sz w:val="20"/>
      <w:lang w:val="en-US"/>
    </w:rPr>
  </w:style>
  <w:style w:type="paragraph" w:customStyle="1" w:styleId="Streszczenie">
    <w:name w:val="Streszczenie"/>
    <w:basedOn w:val="Normalny"/>
    <w:qFormat/>
    <w:rsid w:val="003B521A"/>
    <w:pPr>
      <w:spacing w:before="120"/>
      <w:ind w:left="567" w:right="567" w:firstLine="0"/>
    </w:pPr>
    <w:rPr>
      <w:sz w:val="18"/>
      <w:lang w:val="en-US"/>
    </w:rPr>
  </w:style>
  <w:style w:type="paragraph" w:customStyle="1" w:styleId="Rozdzia">
    <w:name w:val="Rozdział"/>
    <w:basedOn w:val="Normalny"/>
    <w:qFormat/>
    <w:rsid w:val="00685A9C"/>
    <w:pPr>
      <w:spacing w:before="240" w:after="120"/>
      <w:ind w:firstLine="0"/>
      <w:jc w:val="left"/>
    </w:pPr>
    <w:rPr>
      <w:b/>
      <w:sz w:val="24"/>
      <w:lang w:val="en-US"/>
    </w:rPr>
  </w:style>
  <w:style w:type="paragraph" w:customStyle="1" w:styleId="Podrozdzia1">
    <w:name w:val="Podrozdział 1"/>
    <w:basedOn w:val="Normalny"/>
    <w:rsid w:val="003A45F6"/>
    <w:pPr>
      <w:suppressAutoHyphens/>
      <w:spacing w:before="120" w:after="120"/>
      <w:ind w:firstLine="0"/>
      <w:jc w:val="left"/>
    </w:pPr>
    <w:rPr>
      <w:b/>
      <w:lang w:val="en-US"/>
    </w:rPr>
  </w:style>
  <w:style w:type="paragraph" w:customStyle="1" w:styleId="Podrozdzia2">
    <w:name w:val="Podrozdział 2"/>
    <w:basedOn w:val="Podrozdzia1"/>
    <w:rsid w:val="003A45F6"/>
    <w:rPr>
      <w:b w:val="0"/>
      <w:i/>
    </w:rPr>
  </w:style>
  <w:style w:type="paragraph" w:customStyle="1" w:styleId="Tytutabeli">
    <w:name w:val="Tytuł tabeli"/>
    <w:basedOn w:val="Normalny"/>
    <w:qFormat/>
    <w:rsid w:val="003A45F6"/>
    <w:pPr>
      <w:suppressAutoHyphens/>
      <w:spacing w:before="120"/>
      <w:ind w:firstLine="0"/>
      <w:jc w:val="left"/>
    </w:pPr>
    <w:rPr>
      <w:sz w:val="20"/>
    </w:rPr>
  </w:style>
  <w:style w:type="character" w:customStyle="1" w:styleId="Nagwek1Znak">
    <w:name w:val="Nagłówek 1 Znak"/>
    <w:basedOn w:val="Domylnaczcionkaakapitu"/>
    <w:link w:val="Nagwek1"/>
    <w:uiPriority w:val="9"/>
    <w:rsid w:val="003A45F6"/>
    <w:rPr>
      <w:rFonts w:asciiTheme="majorHAnsi" w:eastAsiaTheme="majorEastAsia" w:hAnsiTheme="majorHAnsi" w:cstheme="majorBidi"/>
      <w:color w:val="2F5496" w:themeColor="accent1" w:themeShade="BF"/>
      <w:sz w:val="32"/>
      <w:szCs w:val="32"/>
    </w:rPr>
  </w:style>
  <w:style w:type="paragraph" w:customStyle="1" w:styleId="Tyturysunku">
    <w:name w:val="Tytuł rysunku"/>
    <w:basedOn w:val="Tytutabeli"/>
    <w:qFormat/>
    <w:rsid w:val="003A45F6"/>
    <w:pPr>
      <w:spacing w:before="0" w:after="120"/>
    </w:pPr>
  </w:style>
  <w:style w:type="paragraph" w:customStyle="1" w:styleId="Przypisy">
    <w:name w:val="Przypisy"/>
    <w:basedOn w:val="Tyturysunku"/>
    <w:rsid w:val="003A45F6"/>
    <w:pPr>
      <w:spacing w:after="0"/>
    </w:pPr>
  </w:style>
  <w:style w:type="paragraph" w:customStyle="1" w:styleId="SpisLiteratury">
    <w:name w:val="Spis Literatury"/>
    <w:basedOn w:val="Przypisy"/>
    <w:qFormat/>
    <w:rsid w:val="003A45F6"/>
    <w:pPr>
      <w:suppressAutoHyphens w:val="0"/>
      <w:ind w:left="425" w:hanging="425"/>
      <w:jc w:val="both"/>
    </w:pPr>
  </w:style>
  <w:style w:type="paragraph" w:customStyle="1" w:styleId="Wzory">
    <w:name w:val="Wzory"/>
    <w:basedOn w:val="Bezwcicia"/>
    <w:qFormat/>
    <w:rsid w:val="00C708B9"/>
    <w:pPr>
      <w:tabs>
        <w:tab w:val="center" w:pos="4820"/>
        <w:tab w:val="right" w:pos="9639"/>
      </w:tabs>
      <w:jc w:val="left"/>
    </w:pPr>
    <w:rPr>
      <w:b/>
      <w:bCs/>
      <w:lang w:val="en-US"/>
    </w:rPr>
  </w:style>
  <w:style w:type="paragraph" w:customStyle="1" w:styleId="Rab1">
    <w:name w:val="R_ab1"/>
    <w:next w:val="Normalny"/>
    <w:autoRedefine/>
    <w:qFormat/>
    <w:rsid w:val="00FA50FF"/>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FA50FF"/>
    <w:pPr>
      <w:spacing w:before="60"/>
    </w:pPr>
  </w:style>
  <w:style w:type="paragraph" w:customStyle="1" w:styleId="Rafiliacja">
    <w:name w:val="R_afiliacja"/>
    <w:basedOn w:val="Normalny"/>
    <w:link w:val="RafiliacjaZnak"/>
    <w:qFormat/>
    <w:rsid w:val="00D618EF"/>
    <w:pPr>
      <w:suppressAutoHyphens/>
      <w:ind w:firstLine="0"/>
      <w:jc w:val="center"/>
    </w:pPr>
    <w:rPr>
      <w:rFonts w:cs="Times New Roman"/>
      <w:i/>
      <w:sz w:val="20"/>
      <w:szCs w:val="28"/>
    </w:rPr>
  </w:style>
  <w:style w:type="character" w:customStyle="1" w:styleId="RafiliacjaZnak">
    <w:name w:val="R_afiliacja Znak"/>
    <w:basedOn w:val="Domylnaczcionkaakapitu"/>
    <w:link w:val="Rafiliacja"/>
    <w:rsid w:val="00D618EF"/>
    <w:rPr>
      <w:rFonts w:ascii="Times New Roman" w:hAnsi="Times New Roman" w:cs="Times New Roman"/>
      <w:i/>
      <w:sz w:val="20"/>
      <w:szCs w:val="28"/>
    </w:rPr>
  </w:style>
  <w:style w:type="paragraph" w:customStyle="1" w:styleId="Rauco">
    <w:name w:val="R_au_co"/>
    <w:basedOn w:val="Rafiliacja"/>
    <w:autoRedefine/>
    <w:qFormat/>
    <w:rsid w:val="00D618EF"/>
    <w:pPr>
      <w:spacing w:before="120"/>
    </w:pPr>
    <w:rPr>
      <w:lang w:val="en-GB"/>
    </w:rPr>
  </w:style>
  <w:style w:type="paragraph" w:customStyle="1" w:styleId="Rn1">
    <w:name w:val="R_n1"/>
    <w:basedOn w:val="Normalny"/>
    <w:link w:val="Rn1Znak"/>
    <w:qFormat/>
    <w:rsid w:val="00D618EF"/>
    <w:pPr>
      <w:suppressAutoHyphens/>
      <w:spacing w:before="240" w:after="120"/>
      <w:ind w:firstLine="0"/>
    </w:pPr>
    <w:rPr>
      <w:b/>
      <w:sz w:val="24"/>
    </w:rPr>
  </w:style>
  <w:style w:type="character" w:customStyle="1" w:styleId="Rn1Znak">
    <w:name w:val="R_n1 Znak"/>
    <w:basedOn w:val="Domylnaczcionkaakapitu"/>
    <w:link w:val="Rn1"/>
    <w:rsid w:val="00D618EF"/>
    <w:rPr>
      <w:rFonts w:ascii="Times New Roman" w:hAnsi="Times New Roman"/>
      <w:b/>
      <w:sz w:val="24"/>
    </w:rPr>
  </w:style>
  <w:style w:type="paragraph" w:customStyle="1" w:styleId="Rn2">
    <w:name w:val="R_n2"/>
    <w:basedOn w:val="Rn1"/>
    <w:link w:val="Rn2Znak"/>
    <w:qFormat/>
    <w:rsid w:val="00D618EF"/>
    <w:pPr>
      <w:spacing w:before="120"/>
      <w:jc w:val="left"/>
    </w:pPr>
    <w:rPr>
      <w:sz w:val="22"/>
    </w:rPr>
  </w:style>
  <w:style w:type="character" w:customStyle="1" w:styleId="Rn2Znak">
    <w:name w:val="R_n2 Znak"/>
    <w:link w:val="Rn2"/>
    <w:rsid w:val="00D618EF"/>
    <w:rPr>
      <w:rFonts w:ascii="Times New Roman" w:hAnsi="Times New Roman"/>
      <w:b/>
    </w:rPr>
  </w:style>
  <w:style w:type="paragraph" w:customStyle="1" w:styleId="Rtytu">
    <w:name w:val="R_tytuł"/>
    <w:basedOn w:val="Rn2"/>
    <w:link w:val="RtytuZnak"/>
    <w:autoRedefine/>
    <w:qFormat/>
    <w:rsid w:val="00D618EF"/>
    <w:pPr>
      <w:spacing w:before="240" w:after="0"/>
      <w:jc w:val="center"/>
    </w:pPr>
    <w:rPr>
      <w:sz w:val="24"/>
      <w:szCs w:val="28"/>
    </w:rPr>
  </w:style>
  <w:style w:type="character" w:customStyle="1" w:styleId="RtytuZnak">
    <w:name w:val="R_tytuł Znak"/>
    <w:basedOn w:val="Rn2Znak"/>
    <w:link w:val="Rtytu"/>
    <w:rsid w:val="00D618EF"/>
    <w:rPr>
      <w:rFonts w:ascii="Times New Roman" w:hAnsi="Times New Roman"/>
      <w:b/>
      <w:sz w:val="24"/>
      <w:szCs w:val="28"/>
    </w:rPr>
  </w:style>
  <w:style w:type="paragraph" w:customStyle="1" w:styleId="Rautor">
    <w:name w:val="R_autor"/>
    <w:basedOn w:val="Rtytu"/>
    <w:link w:val="RautorZnak"/>
    <w:autoRedefine/>
    <w:qFormat/>
    <w:rsid w:val="00D618EF"/>
    <w:pPr>
      <w:spacing w:before="120"/>
    </w:pPr>
    <w:rPr>
      <w:rFonts w:eastAsia="Calibri" w:cs="Times New Roman"/>
      <w:b w:val="0"/>
      <w:i/>
    </w:rPr>
  </w:style>
  <w:style w:type="character" w:customStyle="1" w:styleId="RautorZnak">
    <w:name w:val="R_autor Znak"/>
    <w:link w:val="Rautor"/>
    <w:rsid w:val="00D618EF"/>
    <w:rPr>
      <w:rFonts w:ascii="Times New Roman" w:eastAsia="Calibri" w:hAnsi="Times New Roman" w:cs="Times New Roman"/>
      <w:i/>
      <w:sz w:val="24"/>
      <w:szCs w:val="28"/>
    </w:rPr>
  </w:style>
  <w:style w:type="paragraph" w:customStyle="1" w:styleId="Rlit">
    <w:name w:val="R_lit"/>
    <w:basedOn w:val="Normalny"/>
    <w:link w:val="RlitZnak"/>
    <w:qFormat/>
    <w:rsid w:val="00D618EF"/>
    <w:pPr>
      <w:ind w:left="425" w:hanging="425"/>
    </w:pPr>
    <w:rPr>
      <w:rFonts w:eastAsia="Times New Roman" w:cs="Times New Roman"/>
      <w:sz w:val="20"/>
      <w:szCs w:val="20"/>
      <w:lang w:val="en-US" w:eastAsia="pl-PL"/>
    </w:rPr>
  </w:style>
  <w:style w:type="character" w:customStyle="1" w:styleId="RlitZnak">
    <w:name w:val="R_lit Znak"/>
    <w:basedOn w:val="Domylnaczcionkaakapitu"/>
    <w:link w:val="Rlit"/>
    <w:rsid w:val="00D618EF"/>
    <w:rPr>
      <w:rFonts w:ascii="Times New Roman" w:eastAsia="Times New Roman" w:hAnsi="Times New Roman" w:cs="Times New Roman"/>
      <w:sz w:val="20"/>
      <w:szCs w:val="20"/>
      <w:lang w:val="en-US" w:eastAsia="pl-PL"/>
    </w:rPr>
  </w:style>
  <w:style w:type="paragraph" w:customStyle="1" w:styleId="Rtab">
    <w:name w:val="R_tab"/>
    <w:basedOn w:val="Normalny"/>
    <w:link w:val="RtabZnak"/>
    <w:autoRedefine/>
    <w:qFormat/>
    <w:rsid w:val="00D618EF"/>
    <w:pPr>
      <w:suppressAutoHyphens/>
      <w:spacing w:after="120"/>
      <w:ind w:firstLine="0"/>
    </w:pPr>
    <w:rPr>
      <w:sz w:val="20"/>
    </w:rPr>
  </w:style>
  <w:style w:type="character" w:customStyle="1" w:styleId="RtabZnak">
    <w:name w:val="R_tab Znak"/>
    <w:basedOn w:val="Domylnaczcionkaakapitu"/>
    <w:link w:val="Rtab"/>
    <w:rsid w:val="00D618EF"/>
    <w:rPr>
      <w:rFonts w:ascii="Times New Roman" w:hAnsi="Times New Roman"/>
      <w:sz w:val="20"/>
    </w:rPr>
  </w:style>
  <w:style w:type="paragraph" w:customStyle="1" w:styleId="Rn3">
    <w:name w:val="R_n3"/>
    <w:basedOn w:val="Rtab"/>
    <w:link w:val="Rn3Znak"/>
    <w:autoRedefine/>
    <w:qFormat/>
    <w:rsid w:val="00D618EF"/>
    <w:pPr>
      <w:spacing w:before="120"/>
    </w:pPr>
    <w:rPr>
      <w:i/>
    </w:rPr>
  </w:style>
  <w:style w:type="character" w:customStyle="1" w:styleId="Rn3Znak">
    <w:name w:val="R_n3 Znak"/>
    <w:basedOn w:val="RtabZnak"/>
    <w:link w:val="Rn3"/>
    <w:rsid w:val="00D618EF"/>
    <w:rPr>
      <w:rFonts w:ascii="Times New Roman" w:hAnsi="Times New Roman"/>
      <w:i/>
      <w:sz w:val="20"/>
    </w:rPr>
  </w:style>
  <w:style w:type="paragraph" w:customStyle="1" w:styleId="Rrys">
    <w:name w:val="R_rys"/>
    <w:basedOn w:val="Rafiliacja"/>
    <w:link w:val="RrysZnak"/>
    <w:autoRedefine/>
    <w:qFormat/>
    <w:rsid w:val="004B72DF"/>
    <w:pPr>
      <w:spacing w:before="120"/>
      <w:jc w:val="both"/>
    </w:pPr>
    <w:rPr>
      <w:i w:val="0"/>
    </w:rPr>
  </w:style>
  <w:style w:type="character" w:customStyle="1" w:styleId="RrysZnak">
    <w:name w:val="R_rys Znak"/>
    <w:basedOn w:val="RafiliacjaZnak"/>
    <w:link w:val="Rrys"/>
    <w:rsid w:val="004B72DF"/>
    <w:rPr>
      <w:rFonts w:ascii="Times New Roman" w:hAnsi="Times New Roman" w:cs="Times New Roman"/>
      <w:i w:val="0"/>
      <w:sz w:val="20"/>
      <w:szCs w:val="28"/>
    </w:rPr>
  </w:style>
  <w:style w:type="paragraph" w:styleId="Nagwek">
    <w:name w:val="header"/>
    <w:basedOn w:val="Normalny"/>
    <w:link w:val="NagwekZnak"/>
    <w:uiPriority w:val="99"/>
    <w:unhideWhenUsed/>
    <w:rsid w:val="00D11ED9"/>
    <w:pPr>
      <w:tabs>
        <w:tab w:val="center" w:pos="4536"/>
        <w:tab w:val="right" w:pos="9072"/>
      </w:tabs>
    </w:pPr>
  </w:style>
  <w:style w:type="character" w:customStyle="1" w:styleId="NagwekZnak">
    <w:name w:val="Nagłówek Znak"/>
    <w:basedOn w:val="Domylnaczcionkaakapitu"/>
    <w:link w:val="Nagwek"/>
    <w:uiPriority w:val="99"/>
    <w:rsid w:val="00D11ED9"/>
    <w:rPr>
      <w:rFonts w:ascii="Times New Roman" w:hAnsi="Times New Roman"/>
    </w:rPr>
  </w:style>
  <w:style w:type="paragraph" w:styleId="Stopka">
    <w:name w:val="footer"/>
    <w:basedOn w:val="Normalny"/>
    <w:link w:val="StopkaZnak"/>
    <w:uiPriority w:val="99"/>
    <w:unhideWhenUsed/>
    <w:rsid w:val="00D11ED9"/>
    <w:pPr>
      <w:tabs>
        <w:tab w:val="center" w:pos="4536"/>
        <w:tab w:val="right" w:pos="9072"/>
      </w:tabs>
    </w:pPr>
  </w:style>
  <w:style w:type="character" w:customStyle="1" w:styleId="StopkaZnak">
    <w:name w:val="Stopka Znak"/>
    <w:basedOn w:val="Domylnaczcionkaakapitu"/>
    <w:link w:val="Stopka"/>
    <w:uiPriority w:val="99"/>
    <w:rsid w:val="00D11ED9"/>
    <w:rPr>
      <w:rFonts w:ascii="Times New Roman" w:hAnsi="Times New Roman"/>
    </w:rPr>
  </w:style>
  <w:style w:type="paragraph" w:styleId="Tekstpodstawowy">
    <w:name w:val="Body Text"/>
    <w:basedOn w:val="Normalny"/>
    <w:link w:val="TekstpodstawowyZnak"/>
    <w:uiPriority w:val="99"/>
    <w:semiHidden/>
    <w:unhideWhenUsed/>
    <w:rsid w:val="00C214C4"/>
    <w:pPr>
      <w:spacing w:after="120"/>
    </w:pPr>
  </w:style>
  <w:style w:type="character" w:customStyle="1" w:styleId="TekstpodstawowyZnak">
    <w:name w:val="Tekst podstawowy Znak"/>
    <w:basedOn w:val="Domylnaczcionkaakapitu"/>
    <w:link w:val="Tekstpodstawowy"/>
    <w:uiPriority w:val="99"/>
    <w:semiHidden/>
    <w:rsid w:val="00C214C4"/>
    <w:rPr>
      <w:rFonts w:ascii="Times New Roman" w:hAnsi="Times New Roman"/>
    </w:rPr>
  </w:style>
  <w:style w:type="paragraph" w:customStyle="1" w:styleId="TableParagraph">
    <w:name w:val="Table Paragraph"/>
    <w:basedOn w:val="Normalny"/>
    <w:uiPriority w:val="1"/>
    <w:qFormat/>
    <w:rsid w:val="00C214C4"/>
    <w:pPr>
      <w:widowControl w:val="0"/>
      <w:autoSpaceDE w:val="0"/>
      <w:autoSpaceDN w:val="0"/>
      <w:ind w:firstLine="0"/>
      <w:jc w:val="left"/>
    </w:pPr>
    <w:rPr>
      <w:rFonts w:eastAsia="Times New Roman" w:cs="Times New Roman"/>
      <w:kern w:val="0"/>
      <w:lang w:val="en-US"/>
      <w14:ligatures w14:val="none"/>
    </w:rPr>
  </w:style>
  <w:style w:type="table" w:styleId="Tabela-Siatka">
    <w:name w:val="Table Grid"/>
    <w:basedOn w:val="Standardowy"/>
    <w:uiPriority w:val="39"/>
    <w:rsid w:val="0086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rsid w:val="0044548C"/>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table" w:customStyle="1" w:styleId="Tabela-Siatka1">
    <w:name w:val="Tabela - Siatka1"/>
    <w:basedOn w:val="Standardowy"/>
    <w:next w:val="Tabela-Siatka"/>
    <w:uiPriority w:val="59"/>
    <w:rsid w:val="00CB2276"/>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01005">
      <w:bodyDiv w:val="1"/>
      <w:marLeft w:val="0"/>
      <w:marRight w:val="0"/>
      <w:marTop w:val="0"/>
      <w:marBottom w:val="0"/>
      <w:divBdr>
        <w:top w:val="none" w:sz="0" w:space="0" w:color="auto"/>
        <w:left w:val="none" w:sz="0" w:space="0" w:color="auto"/>
        <w:bottom w:val="none" w:sz="0" w:space="0" w:color="auto"/>
        <w:right w:val="none" w:sz="0" w:space="0" w:color="auto"/>
      </w:divBdr>
      <w:divsChild>
        <w:div w:id="2021196844">
          <w:marLeft w:val="0"/>
          <w:marRight w:val="0"/>
          <w:marTop w:val="0"/>
          <w:marBottom w:val="120"/>
          <w:divBdr>
            <w:top w:val="none" w:sz="0" w:space="0" w:color="auto"/>
            <w:left w:val="none" w:sz="0" w:space="0" w:color="auto"/>
            <w:bottom w:val="none" w:sz="0" w:space="0" w:color="auto"/>
            <w:right w:val="none" w:sz="0" w:space="0" w:color="auto"/>
          </w:divBdr>
          <w:divsChild>
            <w:div w:id="400058465">
              <w:marLeft w:val="0"/>
              <w:marRight w:val="0"/>
              <w:marTop w:val="0"/>
              <w:marBottom w:val="0"/>
              <w:divBdr>
                <w:top w:val="none" w:sz="0" w:space="0" w:color="auto"/>
                <w:left w:val="none" w:sz="0" w:space="0" w:color="auto"/>
                <w:bottom w:val="none" w:sz="0" w:space="0" w:color="auto"/>
                <w:right w:val="none" w:sz="0" w:space="0" w:color="auto"/>
              </w:divBdr>
              <w:divsChild>
                <w:div w:id="1914774077">
                  <w:marLeft w:val="0"/>
                  <w:marRight w:val="0"/>
                  <w:marTop w:val="0"/>
                  <w:marBottom w:val="0"/>
                  <w:divBdr>
                    <w:top w:val="none" w:sz="0" w:space="0" w:color="auto"/>
                    <w:left w:val="none" w:sz="0" w:space="0" w:color="auto"/>
                    <w:bottom w:val="none" w:sz="0" w:space="0" w:color="auto"/>
                    <w:right w:val="none" w:sz="0" w:space="0" w:color="auto"/>
                  </w:divBdr>
                  <w:divsChild>
                    <w:div w:id="18997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5248">
      <w:bodyDiv w:val="1"/>
      <w:marLeft w:val="0"/>
      <w:marRight w:val="0"/>
      <w:marTop w:val="0"/>
      <w:marBottom w:val="0"/>
      <w:divBdr>
        <w:top w:val="none" w:sz="0" w:space="0" w:color="auto"/>
        <w:left w:val="none" w:sz="0" w:space="0" w:color="auto"/>
        <w:bottom w:val="none" w:sz="0" w:space="0" w:color="auto"/>
        <w:right w:val="none" w:sz="0" w:space="0" w:color="auto"/>
      </w:divBdr>
    </w:div>
    <w:div w:id="1574656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17</Pages>
  <Words>6534</Words>
  <Characters>39210</Characters>
  <Application>Microsoft Office Word</Application>
  <DocSecurity>0</DocSecurity>
  <Lines>326</Lines>
  <Paragraphs>91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Ireneusz Wyczałek</dc:creator>
  <cp:keywords/>
  <dc:description/>
  <cp:lastModifiedBy>Janusz Dabrowski NA</cp:lastModifiedBy>
  <cp:revision>33</cp:revision>
  <cp:lastPrinted>2025-10-10T09:48:00Z</cp:lastPrinted>
  <dcterms:created xsi:type="dcterms:W3CDTF">2025-10-08T11:51:00Z</dcterms:created>
  <dcterms:modified xsi:type="dcterms:W3CDTF">2025-10-23T08:29:00Z</dcterms:modified>
</cp:coreProperties>
</file>