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532706" w:rsidRPr="007E3A51" w14:paraId="0DA40BA1" w14:textId="77777777" w:rsidTr="008E046E">
        <w:trPr>
          <w:trHeight w:hRule="exact" w:val="142"/>
        </w:trPr>
        <w:tc>
          <w:tcPr>
            <w:tcW w:w="709" w:type="dxa"/>
            <w:vMerge w:val="restart"/>
            <w:vAlign w:val="center"/>
          </w:tcPr>
          <w:p w14:paraId="49EBB8D9" w14:textId="77777777" w:rsidR="00532706" w:rsidRPr="007E3A51" w:rsidRDefault="00532706" w:rsidP="008E046E">
            <w:pPr>
              <w:spacing w:after="0" w:line="240" w:lineRule="auto"/>
              <w:rPr>
                <w:rFonts w:ascii="Times New Roman" w:hAnsi="Times New Roman" w:cs="Times New Roman"/>
                <w:lang w:val="en-GB"/>
              </w:rPr>
            </w:pPr>
            <w:bookmarkStart w:id="0" w:name="_Hlk191369917"/>
            <w:bookmarkStart w:id="1" w:name="_Hlk145412337"/>
            <w:bookmarkStart w:id="2" w:name="_Hlk103340665"/>
            <w:bookmarkStart w:id="3" w:name="_Hlk24804592"/>
            <w:bookmarkEnd w:id="0"/>
            <w:bookmarkEnd w:id="1"/>
            <w:bookmarkEnd w:id="2"/>
            <w:r w:rsidRPr="007E3A51">
              <w:rPr>
                <w:rFonts w:ascii="Times New Roman" w:hAnsi="Times New Roman" w:cs="Times New Roman"/>
                <w:noProof/>
                <w:lang w:val="en-GB"/>
              </w:rPr>
              <w:drawing>
                <wp:anchor distT="0" distB="0" distL="114300" distR="114300" simplePos="0" relativeHeight="251659264" behindDoc="0" locked="0" layoutInCell="1" allowOverlap="1" wp14:anchorId="5C26BEB9" wp14:editId="556FA855">
                  <wp:simplePos x="0" y="0"/>
                  <wp:positionH relativeFrom="column">
                    <wp:posOffset>-635</wp:posOffset>
                  </wp:positionH>
                  <wp:positionV relativeFrom="paragraph">
                    <wp:posOffset>351155</wp:posOffset>
                  </wp:positionV>
                  <wp:extent cx="438084" cy="432000"/>
                  <wp:effectExtent l="0" t="0" r="635" b="6350"/>
                  <wp:wrapNone/>
                  <wp:docPr id="1408409996" name="Obraz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084" cy="432000"/>
                          </a:xfrm>
                          <a:prstGeom prst="rect">
                            <a:avLst/>
                          </a:prstGeom>
                          <a:noFill/>
                        </pic:spPr>
                      </pic:pic>
                    </a:graphicData>
                  </a:graphic>
                  <wp14:sizeRelH relativeFrom="page">
                    <wp14:pctWidth>0</wp14:pctWidth>
                  </wp14:sizeRelH>
                  <wp14:sizeRelV relativeFrom="page">
                    <wp14:pctHeight>0</wp14:pctHeight>
                  </wp14:sizeRelV>
                </wp:anchor>
              </w:drawing>
            </w:r>
          </w:p>
        </w:tc>
        <w:tc>
          <w:tcPr>
            <w:tcW w:w="8930" w:type="dxa"/>
            <w:gridSpan w:val="3"/>
            <w:vAlign w:val="center"/>
          </w:tcPr>
          <w:p w14:paraId="731F2A3B" w14:textId="77777777" w:rsidR="00532706" w:rsidRPr="007E3A51" w:rsidRDefault="00532706" w:rsidP="008E046E">
            <w:pPr>
              <w:spacing w:after="0" w:line="240" w:lineRule="auto"/>
              <w:jc w:val="center"/>
              <w:rPr>
                <w:rFonts w:ascii="Times New Roman" w:hAnsi="Times New Roman" w:cs="Times New Roman"/>
                <w:lang w:val="en-GB"/>
              </w:rPr>
            </w:pPr>
          </w:p>
        </w:tc>
      </w:tr>
      <w:tr w:rsidR="00532706" w:rsidRPr="007E3A51" w14:paraId="2B037DDE" w14:textId="77777777" w:rsidTr="008E046E">
        <w:trPr>
          <w:trHeight w:hRule="exact" w:val="283"/>
        </w:trPr>
        <w:tc>
          <w:tcPr>
            <w:tcW w:w="709" w:type="dxa"/>
            <w:vMerge/>
          </w:tcPr>
          <w:p w14:paraId="695ECC12" w14:textId="77777777" w:rsidR="00532706" w:rsidRPr="007E3A51" w:rsidRDefault="00532706" w:rsidP="008E046E">
            <w:pPr>
              <w:spacing w:after="0" w:line="240" w:lineRule="auto"/>
              <w:jc w:val="center"/>
              <w:rPr>
                <w:rFonts w:ascii="Times New Roman" w:hAnsi="Times New Roman" w:cs="Times New Roman"/>
                <w:lang w:val="en-GB"/>
              </w:rPr>
            </w:pPr>
          </w:p>
        </w:tc>
        <w:tc>
          <w:tcPr>
            <w:tcW w:w="8930" w:type="dxa"/>
            <w:gridSpan w:val="3"/>
            <w:tcBorders>
              <w:bottom w:val="single" w:sz="2" w:space="0" w:color="auto"/>
            </w:tcBorders>
            <w:vAlign w:val="center"/>
          </w:tcPr>
          <w:p w14:paraId="74C7AB4C" w14:textId="77777777" w:rsidR="00532706" w:rsidRPr="007E3A51" w:rsidRDefault="00532706" w:rsidP="008E046E">
            <w:pPr>
              <w:spacing w:after="0" w:line="240" w:lineRule="auto"/>
              <w:jc w:val="center"/>
              <w:rPr>
                <w:rFonts w:ascii="Times New Roman" w:hAnsi="Times New Roman" w:cs="Times New Roman"/>
                <w:lang w:val="en-GB"/>
              </w:rPr>
            </w:pPr>
            <w:proofErr w:type="spellStart"/>
            <w:r w:rsidRPr="007E3A51">
              <w:rPr>
                <w:rFonts w:ascii="Times New Roman" w:hAnsi="Times New Roman" w:cs="Times New Roman"/>
                <w:b/>
                <w:sz w:val="20"/>
                <w:lang w:val="en-GB"/>
              </w:rPr>
              <w:t>Rocznik</w:t>
            </w:r>
            <w:proofErr w:type="spellEnd"/>
            <w:r w:rsidRPr="007E3A51">
              <w:rPr>
                <w:rFonts w:ascii="Times New Roman" w:hAnsi="Times New Roman" w:cs="Times New Roman"/>
                <w:b/>
                <w:sz w:val="20"/>
                <w:lang w:val="en-GB"/>
              </w:rPr>
              <w:t xml:space="preserve"> </w:t>
            </w:r>
            <w:proofErr w:type="spellStart"/>
            <w:r w:rsidRPr="007E3A51">
              <w:rPr>
                <w:rFonts w:ascii="Times New Roman" w:hAnsi="Times New Roman" w:cs="Times New Roman"/>
                <w:b/>
                <w:sz w:val="20"/>
                <w:lang w:val="en-GB"/>
              </w:rPr>
              <w:t>Ochrona</w:t>
            </w:r>
            <w:proofErr w:type="spellEnd"/>
            <w:r w:rsidRPr="007E3A51">
              <w:rPr>
                <w:rFonts w:ascii="Times New Roman" w:hAnsi="Times New Roman" w:cs="Times New Roman"/>
                <w:b/>
                <w:sz w:val="20"/>
                <w:lang w:val="en-GB"/>
              </w:rPr>
              <w:t xml:space="preserve"> </w:t>
            </w:r>
            <w:proofErr w:type="spellStart"/>
            <w:r w:rsidRPr="007E3A51">
              <w:rPr>
                <w:rFonts w:ascii="Times New Roman" w:hAnsi="Times New Roman" w:cs="Times New Roman"/>
                <w:b/>
                <w:sz w:val="20"/>
                <w:lang w:val="en-GB"/>
              </w:rPr>
              <w:t>Środowiska</w:t>
            </w:r>
            <w:proofErr w:type="spellEnd"/>
          </w:p>
        </w:tc>
      </w:tr>
      <w:tr w:rsidR="00532706" w:rsidRPr="007E3A51" w14:paraId="595346FB" w14:textId="77777777" w:rsidTr="008E046E">
        <w:trPr>
          <w:trHeight w:hRule="exact" w:val="283"/>
        </w:trPr>
        <w:tc>
          <w:tcPr>
            <w:tcW w:w="709" w:type="dxa"/>
            <w:vMerge/>
          </w:tcPr>
          <w:p w14:paraId="40007FD8" w14:textId="77777777" w:rsidR="00532706" w:rsidRPr="007E3A51" w:rsidRDefault="00532706" w:rsidP="008E046E">
            <w:pPr>
              <w:spacing w:after="0" w:line="240" w:lineRule="auto"/>
              <w:jc w:val="center"/>
              <w:rPr>
                <w:rFonts w:ascii="Times New Roman" w:hAnsi="Times New Roman" w:cs="Times New Roman"/>
                <w:lang w:val="en-GB"/>
              </w:rPr>
            </w:pPr>
          </w:p>
        </w:tc>
        <w:tc>
          <w:tcPr>
            <w:tcW w:w="992" w:type="dxa"/>
            <w:tcBorders>
              <w:top w:val="single" w:sz="2" w:space="0" w:color="auto"/>
              <w:bottom w:val="single" w:sz="2" w:space="0" w:color="auto"/>
            </w:tcBorders>
            <w:vAlign w:val="center"/>
          </w:tcPr>
          <w:p w14:paraId="6E356545" w14:textId="77777777" w:rsidR="00532706" w:rsidRPr="007E3A51" w:rsidRDefault="00532706" w:rsidP="008E046E">
            <w:pPr>
              <w:spacing w:after="0" w:line="240" w:lineRule="auto"/>
              <w:rPr>
                <w:rFonts w:ascii="Times New Roman" w:hAnsi="Times New Roman" w:cs="Times New Roman"/>
                <w:sz w:val="18"/>
                <w:szCs w:val="18"/>
                <w:lang w:val="en-GB"/>
              </w:rPr>
            </w:pPr>
            <w:r w:rsidRPr="007E3A51">
              <w:rPr>
                <w:rFonts w:ascii="Times New Roman" w:hAnsi="Times New Roman" w:cs="Times New Roman"/>
                <w:sz w:val="18"/>
                <w:szCs w:val="18"/>
                <w:lang w:val="en-GB"/>
              </w:rPr>
              <w:t>Volume 27</w:t>
            </w:r>
          </w:p>
        </w:tc>
        <w:tc>
          <w:tcPr>
            <w:tcW w:w="6304" w:type="dxa"/>
            <w:tcBorders>
              <w:top w:val="single" w:sz="2" w:space="0" w:color="auto"/>
              <w:bottom w:val="single" w:sz="2" w:space="0" w:color="auto"/>
            </w:tcBorders>
            <w:vAlign w:val="center"/>
          </w:tcPr>
          <w:p w14:paraId="117B062D" w14:textId="77777777" w:rsidR="00532706" w:rsidRPr="007E3A51" w:rsidRDefault="00532706" w:rsidP="008E046E">
            <w:pPr>
              <w:tabs>
                <w:tab w:val="left" w:pos="3057"/>
              </w:tabs>
              <w:spacing w:after="0" w:line="240" w:lineRule="auto"/>
              <w:ind w:left="142"/>
              <w:rPr>
                <w:rFonts w:ascii="Times New Roman" w:hAnsi="Times New Roman" w:cs="Times New Roman"/>
                <w:sz w:val="18"/>
                <w:szCs w:val="18"/>
                <w:lang w:val="en-GB"/>
              </w:rPr>
            </w:pPr>
            <w:r w:rsidRPr="007E3A51">
              <w:rPr>
                <w:rFonts w:ascii="Times New Roman" w:hAnsi="Times New Roman" w:cs="Times New Roman"/>
                <w:sz w:val="18"/>
                <w:szCs w:val="18"/>
                <w:lang w:val="en-GB"/>
              </w:rPr>
              <w:t>Year 2025</w:t>
            </w:r>
            <w:r w:rsidRPr="007E3A51">
              <w:rPr>
                <w:rFonts w:ascii="Times New Roman" w:hAnsi="Times New Roman" w:cs="Times New Roman"/>
                <w:sz w:val="18"/>
                <w:szCs w:val="18"/>
                <w:lang w:val="en-GB"/>
              </w:rPr>
              <w:tab/>
              <w:t>ISSN 2720-7501</w:t>
            </w:r>
          </w:p>
        </w:tc>
        <w:tc>
          <w:tcPr>
            <w:tcW w:w="1634" w:type="dxa"/>
            <w:tcBorders>
              <w:top w:val="single" w:sz="2" w:space="0" w:color="auto"/>
              <w:bottom w:val="single" w:sz="2" w:space="0" w:color="auto"/>
            </w:tcBorders>
            <w:vAlign w:val="center"/>
          </w:tcPr>
          <w:p w14:paraId="37A8946F" w14:textId="4E9E7910" w:rsidR="00532706" w:rsidRPr="007E3A51" w:rsidRDefault="00532706" w:rsidP="008E046E">
            <w:pPr>
              <w:spacing w:after="0" w:line="240" w:lineRule="auto"/>
              <w:jc w:val="right"/>
              <w:rPr>
                <w:rFonts w:ascii="Times New Roman" w:hAnsi="Times New Roman" w:cs="Times New Roman"/>
                <w:sz w:val="18"/>
                <w:szCs w:val="18"/>
                <w:lang w:val="en-GB"/>
              </w:rPr>
            </w:pPr>
            <w:r w:rsidRPr="007E3A51">
              <w:rPr>
                <w:rFonts w:ascii="Times New Roman" w:hAnsi="Times New Roman" w:cs="Times New Roman"/>
                <w:sz w:val="18"/>
                <w:szCs w:val="18"/>
                <w:lang w:val="en-GB"/>
              </w:rPr>
              <w:t xml:space="preserve">pp. </w:t>
            </w:r>
            <w:r w:rsidR="00B360FA" w:rsidRPr="007E3A51">
              <w:rPr>
                <w:rFonts w:ascii="Times New Roman" w:hAnsi="Times New Roman" w:cs="Times New Roman"/>
                <w:sz w:val="18"/>
                <w:szCs w:val="18"/>
                <w:lang w:val="en-GB"/>
              </w:rPr>
              <w:t>553</w:t>
            </w:r>
            <w:r w:rsidRPr="007E3A51">
              <w:rPr>
                <w:rFonts w:ascii="Times New Roman" w:hAnsi="Times New Roman" w:cs="Times New Roman"/>
                <w:sz w:val="18"/>
                <w:szCs w:val="18"/>
                <w:lang w:val="en-GB"/>
              </w:rPr>
              <w:t>-</w:t>
            </w:r>
            <w:r w:rsidR="00B360FA" w:rsidRPr="007E3A51">
              <w:rPr>
                <w:rFonts w:ascii="Times New Roman" w:hAnsi="Times New Roman" w:cs="Times New Roman"/>
                <w:sz w:val="18"/>
                <w:szCs w:val="18"/>
                <w:lang w:val="en-GB"/>
              </w:rPr>
              <w:t>570</w:t>
            </w:r>
          </w:p>
        </w:tc>
      </w:tr>
      <w:tr w:rsidR="00532706" w:rsidRPr="007E3A51" w14:paraId="25ACCEE0" w14:textId="77777777" w:rsidTr="008E046E">
        <w:trPr>
          <w:trHeight w:hRule="exact" w:val="283"/>
        </w:trPr>
        <w:tc>
          <w:tcPr>
            <w:tcW w:w="709" w:type="dxa"/>
          </w:tcPr>
          <w:p w14:paraId="6AD6F129" w14:textId="77777777" w:rsidR="00532706" w:rsidRPr="007E3A51" w:rsidRDefault="00532706" w:rsidP="008E046E">
            <w:pPr>
              <w:spacing w:after="0" w:line="240" w:lineRule="auto"/>
              <w:jc w:val="center"/>
              <w:rPr>
                <w:rFonts w:ascii="Times New Roman" w:hAnsi="Times New Roman" w:cs="Times New Roman"/>
                <w:lang w:val="en-GB"/>
              </w:rPr>
            </w:pPr>
          </w:p>
        </w:tc>
        <w:tc>
          <w:tcPr>
            <w:tcW w:w="8930" w:type="dxa"/>
            <w:gridSpan w:val="3"/>
            <w:tcBorders>
              <w:top w:val="single" w:sz="2" w:space="0" w:color="auto"/>
              <w:bottom w:val="single" w:sz="2" w:space="0" w:color="auto"/>
            </w:tcBorders>
            <w:vAlign w:val="center"/>
          </w:tcPr>
          <w:p w14:paraId="52EE93E6" w14:textId="4C11E7F5" w:rsidR="00532706" w:rsidRPr="007E3A51" w:rsidRDefault="00532706" w:rsidP="008E046E">
            <w:pPr>
              <w:tabs>
                <w:tab w:val="right" w:pos="8928"/>
              </w:tabs>
              <w:spacing w:after="0" w:line="240" w:lineRule="auto"/>
              <w:rPr>
                <w:rFonts w:ascii="Times New Roman" w:hAnsi="Times New Roman" w:cs="Times New Roman"/>
                <w:sz w:val="18"/>
                <w:szCs w:val="18"/>
                <w:lang w:val="en-GB"/>
              </w:rPr>
            </w:pPr>
            <w:r w:rsidRPr="007E3A51">
              <w:rPr>
                <w:rFonts w:ascii="Times New Roman" w:hAnsi="Times New Roman" w:cs="Times New Roman"/>
                <w:sz w:val="18"/>
                <w:szCs w:val="18"/>
                <w:lang w:val="en-GB"/>
              </w:rPr>
              <w:t>https://doi.org/10.54740/ros.2025.0</w:t>
            </w:r>
            <w:r w:rsidR="00B360FA" w:rsidRPr="007E3A51">
              <w:rPr>
                <w:rFonts w:ascii="Times New Roman" w:hAnsi="Times New Roman" w:cs="Times New Roman"/>
                <w:sz w:val="18"/>
                <w:szCs w:val="18"/>
                <w:lang w:val="en-GB"/>
              </w:rPr>
              <w:t>45</w:t>
            </w:r>
            <w:r w:rsidRPr="007E3A51">
              <w:rPr>
                <w:rFonts w:ascii="Times New Roman" w:hAnsi="Times New Roman" w:cs="Times New Roman"/>
                <w:sz w:val="18"/>
                <w:szCs w:val="18"/>
                <w:lang w:val="en-GB"/>
              </w:rPr>
              <w:tab/>
              <w:t>open access</w:t>
            </w:r>
          </w:p>
        </w:tc>
      </w:tr>
      <w:tr w:rsidR="00532706" w:rsidRPr="007E3A51" w14:paraId="1748BA7B" w14:textId="77777777" w:rsidTr="008E046E">
        <w:trPr>
          <w:trHeight w:hRule="exact" w:val="283"/>
        </w:trPr>
        <w:tc>
          <w:tcPr>
            <w:tcW w:w="709" w:type="dxa"/>
          </w:tcPr>
          <w:p w14:paraId="71892590" w14:textId="77777777" w:rsidR="00532706" w:rsidRPr="007E3A51" w:rsidRDefault="00532706" w:rsidP="008E046E">
            <w:pPr>
              <w:spacing w:after="0" w:line="240" w:lineRule="auto"/>
              <w:jc w:val="center"/>
              <w:rPr>
                <w:rFonts w:ascii="Times New Roman" w:hAnsi="Times New Roman" w:cs="Times New Roman"/>
                <w:lang w:val="en-GB"/>
              </w:rPr>
            </w:pPr>
          </w:p>
        </w:tc>
        <w:tc>
          <w:tcPr>
            <w:tcW w:w="8930" w:type="dxa"/>
            <w:gridSpan w:val="3"/>
            <w:tcBorders>
              <w:top w:val="single" w:sz="2" w:space="0" w:color="auto"/>
            </w:tcBorders>
            <w:vAlign w:val="center"/>
          </w:tcPr>
          <w:p w14:paraId="3572FC60" w14:textId="53881F72" w:rsidR="00532706" w:rsidRPr="007E3A51" w:rsidRDefault="00532706" w:rsidP="008E046E">
            <w:pPr>
              <w:tabs>
                <w:tab w:val="left" w:pos="3895"/>
                <w:tab w:val="right" w:pos="8928"/>
              </w:tabs>
              <w:spacing w:after="0" w:line="240" w:lineRule="auto"/>
              <w:rPr>
                <w:rFonts w:ascii="Times New Roman" w:hAnsi="Times New Roman" w:cs="Times New Roman"/>
                <w:sz w:val="18"/>
                <w:szCs w:val="18"/>
                <w:lang w:val="en-GB"/>
              </w:rPr>
            </w:pPr>
            <w:r w:rsidRPr="007E3A51">
              <w:rPr>
                <w:rFonts w:ascii="Times New Roman" w:hAnsi="Times New Roman" w:cs="Times New Roman"/>
                <w:sz w:val="18"/>
                <w:szCs w:val="18"/>
                <w:lang w:val="en-GB"/>
              </w:rPr>
              <w:t xml:space="preserve">Received: </w:t>
            </w:r>
            <w:r w:rsidR="007509FD" w:rsidRPr="007E3A51">
              <w:rPr>
                <w:rFonts w:ascii="Times New Roman" w:hAnsi="Times New Roman" w:cs="Times New Roman"/>
                <w:sz w:val="18"/>
                <w:szCs w:val="18"/>
                <w:lang w:val="en-GB"/>
              </w:rPr>
              <w:t>August</w:t>
            </w:r>
            <w:r w:rsidRPr="007E3A51">
              <w:rPr>
                <w:rFonts w:ascii="Times New Roman" w:hAnsi="Times New Roman" w:cs="Times New Roman"/>
                <w:sz w:val="18"/>
                <w:szCs w:val="18"/>
                <w:lang w:val="en-GB"/>
              </w:rPr>
              <w:t xml:space="preserve"> 2025</w:t>
            </w:r>
            <w:r w:rsidRPr="007E3A51">
              <w:rPr>
                <w:rFonts w:ascii="Times New Roman" w:hAnsi="Times New Roman" w:cs="Times New Roman"/>
                <w:sz w:val="18"/>
                <w:szCs w:val="18"/>
                <w:lang w:val="en-GB"/>
              </w:rPr>
              <w:tab/>
              <w:t xml:space="preserve">Accepted: </w:t>
            </w:r>
            <w:r w:rsidR="007509FD" w:rsidRPr="007E3A51">
              <w:rPr>
                <w:rFonts w:ascii="Times New Roman" w:hAnsi="Times New Roman" w:cs="Times New Roman"/>
                <w:sz w:val="18"/>
                <w:szCs w:val="18"/>
                <w:lang w:val="en-GB"/>
              </w:rPr>
              <w:t>October</w:t>
            </w:r>
            <w:r w:rsidRPr="007E3A51">
              <w:rPr>
                <w:rFonts w:ascii="Times New Roman" w:hAnsi="Times New Roman" w:cs="Times New Roman"/>
                <w:sz w:val="18"/>
                <w:szCs w:val="18"/>
                <w:lang w:val="en-GB"/>
              </w:rPr>
              <w:t xml:space="preserve"> 2025</w:t>
            </w:r>
            <w:r w:rsidRPr="007E3A51">
              <w:rPr>
                <w:rFonts w:ascii="Times New Roman" w:hAnsi="Times New Roman" w:cs="Times New Roman"/>
                <w:sz w:val="18"/>
                <w:szCs w:val="18"/>
                <w:lang w:val="en-GB"/>
              </w:rPr>
              <w:tab/>
              <w:t xml:space="preserve">Published: </w:t>
            </w:r>
            <w:r w:rsidR="007509FD" w:rsidRPr="007E3A51">
              <w:rPr>
                <w:rFonts w:ascii="Times New Roman" w:hAnsi="Times New Roman" w:cs="Times New Roman"/>
                <w:sz w:val="18"/>
                <w:szCs w:val="18"/>
                <w:lang w:val="en-GB"/>
              </w:rPr>
              <w:t xml:space="preserve">October </w:t>
            </w:r>
            <w:r w:rsidRPr="007E3A51">
              <w:rPr>
                <w:rFonts w:ascii="Times New Roman" w:hAnsi="Times New Roman" w:cs="Times New Roman"/>
                <w:sz w:val="18"/>
                <w:szCs w:val="18"/>
                <w:lang w:val="en-GB"/>
              </w:rPr>
              <w:t>2025</w:t>
            </w:r>
          </w:p>
        </w:tc>
      </w:tr>
    </w:tbl>
    <w:bookmarkEnd w:id="3"/>
    <w:p w14:paraId="5277FAB9" w14:textId="761A827B" w:rsidR="0096308E" w:rsidRPr="007E3A51" w:rsidRDefault="002C1330" w:rsidP="00315868">
      <w:pPr>
        <w:pStyle w:val="Rtytu"/>
        <w:rPr>
          <w:i/>
          <w:iCs/>
          <w:szCs w:val="24"/>
          <w:lang w:val="en-GB"/>
        </w:rPr>
      </w:pPr>
      <w:r w:rsidRPr="007E3A51">
        <w:rPr>
          <w:lang w:val="en-GB"/>
        </w:rPr>
        <w:t>Food Security and the Agri-Food Sector of Ukraine: an Inclusive Approach</w:t>
      </w:r>
    </w:p>
    <w:p w14:paraId="08481051" w14:textId="29D8E524" w:rsidR="00190C14" w:rsidRPr="007E3A51" w:rsidRDefault="00190C14" w:rsidP="00315868">
      <w:pPr>
        <w:pStyle w:val="Rautor"/>
        <w:rPr>
          <w:lang w:val="en-GB"/>
        </w:rPr>
      </w:pPr>
      <w:proofErr w:type="spellStart"/>
      <w:r w:rsidRPr="007E3A51">
        <w:rPr>
          <w:lang w:val="en-GB"/>
        </w:rPr>
        <w:t>Lidiia</w:t>
      </w:r>
      <w:proofErr w:type="spellEnd"/>
      <w:r w:rsidRPr="007E3A51">
        <w:rPr>
          <w:lang w:val="en-GB"/>
        </w:rPr>
        <w:t xml:space="preserve"> Shynkaruk</w:t>
      </w:r>
      <w:r w:rsidR="0020617A" w:rsidRPr="007E3A51">
        <w:rPr>
          <w:vertAlign w:val="superscript"/>
          <w:lang w:val="en-GB"/>
        </w:rPr>
        <w:t>1</w:t>
      </w:r>
      <w:r w:rsidRPr="007E3A51">
        <w:rPr>
          <w:lang w:val="en-GB"/>
        </w:rPr>
        <w:t>, Maryna Dielin</w:t>
      </w:r>
      <w:r w:rsidR="0020617A" w:rsidRPr="007E3A51">
        <w:rPr>
          <w:lang w:val="en-GB"/>
        </w:rPr>
        <w:t>i</w:t>
      </w:r>
      <w:r w:rsidR="0020617A" w:rsidRPr="007E3A51">
        <w:rPr>
          <w:vertAlign w:val="superscript"/>
          <w:lang w:val="en-GB"/>
        </w:rPr>
        <w:t>2</w:t>
      </w:r>
      <w:r w:rsidRPr="007E3A51">
        <w:rPr>
          <w:lang w:val="en-GB"/>
        </w:rPr>
        <w:t>, Tetiana Vlasenko</w:t>
      </w:r>
      <w:r w:rsidR="0020617A" w:rsidRPr="007E3A51">
        <w:rPr>
          <w:vertAlign w:val="superscript"/>
          <w:lang w:val="en-GB"/>
        </w:rPr>
        <w:t>3</w:t>
      </w:r>
      <w:r w:rsidRPr="007E3A51">
        <w:rPr>
          <w:lang w:val="en-GB"/>
        </w:rPr>
        <w:t xml:space="preserve">, </w:t>
      </w:r>
      <w:r w:rsidR="009C4866" w:rsidRPr="007E3A51">
        <w:rPr>
          <w:lang w:val="en-GB"/>
        </w:rPr>
        <w:br/>
      </w:r>
      <w:r w:rsidR="00BF01D6" w:rsidRPr="007E3A51">
        <w:rPr>
          <w:lang w:val="en-GB"/>
        </w:rPr>
        <w:t>Denys Svyrydenko</w:t>
      </w:r>
      <w:r w:rsidR="00BF01D6" w:rsidRPr="007E3A51">
        <w:rPr>
          <w:vertAlign w:val="superscript"/>
          <w:lang w:val="en-GB"/>
        </w:rPr>
        <w:t>4</w:t>
      </w:r>
      <w:r w:rsidR="00BF01D6" w:rsidRPr="007E3A51">
        <w:rPr>
          <w:lang w:val="en-GB"/>
        </w:rPr>
        <w:t>,</w:t>
      </w:r>
      <w:r w:rsidR="003E5B83" w:rsidRPr="007E3A51">
        <w:rPr>
          <w:lang w:val="en-GB"/>
        </w:rPr>
        <w:t xml:space="preserve"> </w:t>
      </w:r>
      <w:r w:rsidR="00F070DD" w:rsidRPr="007E3A51">
        <w:rPr>
          <w:lang w:val="en-GB"/>
        </w:rPr>
        <w:t>Vitalii Nitsenko</w:t>
      </w:r>
      <w:r w:rsidR="00F070DD" w:rsidRPr="007E3A51">
        <w:rPr>
          <w:vertAlign w:val="superscript"/>
          <w:lang w:val="en-GB"/>
        </w:rPr>
        <w:t>5</w:t>
      </w:r>
      <w:r w:rsidR="003E5B83" w:rsidRPr="007E3A51">
        <w:rPr>
          <w:lang w:val="en-GB"/>
        </w:rPr>
        <w:t xml:space="preserve">, </w:t>
      </w:r>
      <w:r w:rsidRPr="007E3A51">
        <w:rPr>
          <w:lang w:val="en-GB"/>
        </w:rPr>
        <w:t>Yurii Kondratyev</w:t>
      </w:r>
      <w:r w:rsidR="009C4866" w:rsidRPr="007E3A51">
        <w:rPr>
          <w:vertAlign w:val="superscript"/>
          <w:lang w:val="en-GB"/>
        </w:rPr>
        <w:t>6</w:t>
      </w:r>
      <w:r w:rsidRPr="007E3A51">
        <w:rPr>
          <w:lang w:val="en-GB"/>
        </w:rPr>
        <w:t>, Ivan Sali</w:t>
      </w:r>
      <w:r w:rsidR="0020617A" w:rsidRPr="007E3A51">
        <w:rPr>
          <w:lang w:val="en-GB"/>
        </w:rPr>
        <w:t>i</w:t>
      </w:r>
      <w:r w:rsidR="009C4866" w:rsidRPr="007E3A51">
        <w:rPr>
          <w:vertAlign w:val="superscript"/>
          <w:lang w:val="en-GB"/>
        </w:rPr>
        <w:t>7</w:t>
      </w:r>
    </w:p>
    <w:p w14:paraId="7D7204C3" w14:textId="1B65B272" w:rsidR="00164066" w:rsidRPr="00881CA8" w:rsidRDefault="003B4A51" w:rsidP="00315868">
      <w:pPr>
        <w:pStyle w:val="Rafiliacja"/>
        <w:rPr>
          <w:szCs w:val="20"/>
          <w:lang w:val="en-GB"/>
        </w:rPr>
      </w:pPr>
      <w:r w:rsidRPr="00881CA8">
        <w:rPr>
          <w:szCs w:val="20"/>
          <w:vertAlign w:val="superscript"/>
          <w:lang w:val="en-GB"/>
        </w:rPr>
        <w:t>1</w:t>
      </w:r>
      <w:r w:rsidRPr="00881CA8">
        <w:rPr>
          <w:szCs w:val="20"/>
          <w:lang w:val="en-GB"/>
        </w:rPr>
        <w:t xml:space="preserve">Department of </w:t>
      </w:r>
      <w:r w:rsidR="002E0FF8" w:rsidRPr="00881CA8">
        <w:rPr>
          <w:szCs w:val="20"/>
          <w:lang w:val="en-GB"/>
        </w:rPr>
        <w:t>Production and Investment Management</w:t>
      </w:r>
      <w:r w:rsidR="002C1330" w:rsidRPr="00881CA8">
        <w:rPr>
          <w:szCs w:val="20"/>
          <w:lang w:val="en-GB"/>
        </w:rPr>
        <w:t xml:space="preserve">, </w:t>
      </w:r>
      <w:r w:rsidR="009C4866" w:rsidRPr="00881CA8">
        <w:rPr>
          <w:szCs w:val="20"/>
          <w:lang w:val="en-GB"/>
        </w:rPr>
        <w:br/>
      </w:r>
      <w:r w:rsidR="002E0FF8" w:rsidRPr="00881CA8">
        <w:rPr>
          <w:szCs w:val="20"/>
          <w:lang w:val="en-GB"/>
        </w:rPr>
        <w:t>National University of Life and Environmental Sciences of Ukraine</w:t>
      </w:r>
      <w:r w:rsidRPr="00881CA8">
        <w:rPr>
          <w:szCs w:val="20"/>
          <w:lang w:val="en-GB"/>
        </w:rPr>
        <w:t xml:space="preserve">, </w:t>
      </w:r>
      <w:r w:rsidR="002E0FF8" w:rsidRPr="00881CA8">
        <w:rPr>
          <w:szCs w:val="20"/>
          <w:lang w:val="en-GB"/>
        </w:rPr>
        <w:t>Kyiv</w:t>
      </w:r>
      <w:r w:rsidRPr="00881CA8">
        <w:rPr>
          <w:szCs w:val="20"/>
          <w:lang w:val="en-GB"/>
        </w:rPr>
        <w:t>, Ukraine</w:t>
      </w:r>
      <w:r w:rsidR="002C1330" w:rsidRPr="00881CA8">
        <w:rPr>
          <w:szCs w:val="20"/>
          <w:lang w:val="en-GB"/>
        </w:rPr>
        <w:t xml:space="preserve"> </w:t>
      </w:r>
      <w:r w:rsidR="009C4866" w:rsidRPr="00881CA8">
        <w:rPr>
          <w:szCs w:val="20"/>
          <w:lang w:val="en-GB"/>
        </w:rPr>
        <w:br/>
      </w:r>
      <w:hyperlink r:id="rId8" w:history="1">
        <w:r w:rsidR="006A3F1C" w:rsidRPr="00881CA8">
          <w:rPr>
            <w:szCs w:val="20"/>
            <w:lang w:val="en-GB"/>
          </w:rPr>
          <w:t>https://orcid.org/0000-0002-7434-1495</w:t>
        </w:r>
      </w:hyperlink>
      <w:r w:rsidR="006A3F1C" w:rsidRPr="00881CA8">
        <w:rPr>
          <w:szCs w:val="20"/>
          <w:lang w:val="en-GB"/>
        </w:rPr>
        <w:t xml:space="preserve"> </w:t>
      </w:r>
    </w:p>
    <w:p w14:paraId="52E019E1" w14:textId="46638175" w:rsidR="006A3F1C" w:rsidRPr="00881CA8" w:rsidRDefault="006A3F1C" w:rsidP="00315868">
      <w:pPr>
        <w:pStyle w:val="Rafiliacja"/>
        <w:rPr>
          <w:szCs w:val="20"/>
          <w:lang w:val="en-GB"/>
        </w:rPr>
      </w:pPr>
      <w:r w:rsidRPr="00881CA8">
        <w:rPr>
          <w:szCs w:val="20"/>
          <w:vertAlign w:val="superscript"/>
          <w:lang w:val="en-GB"/>
        </w:rPr>
        <w:t>2</w:t>
      </w:r>
      <w:r w:rsidRPr="00881CA8">
        <w:rPr>
          <w:szCs w:val="20"/>
          <w:lang w:val="en-GB"/>
        </w:rPr>
        <w:t>Department of Production and Investment Management</w:t>
      </w:r>
      <w:r w:rsidR="002C1330" w:rsidRPr="00881CA8">
        <w:rPr>
          <w:szCs w:val="20"/>
          <w:lang w:val="en-GB"/>
        </w:rPr>
        <w:t xml:space="preserve">, </w:t>
      </w:r>
      <w:r w:rsidR="009C4866" w:rsidRPr="00881CA8">
        <w:rPr>
          <w:szCs w:val="20"/>
          <w:lang w:val="en-GB"/>
        </w:rPr>
        <w:br/>
      </w:r>
      <w:r w:rsidRPr="00881CA8">
        <w:rPr>
          <w:szCs w:val="20"/>
          <w:lang w:val="en-GB"/>
        </w:rPr>
        <w:t>National University of Life and Environmental Sciences of Ukraine, Kyiv, Ukraine</w:t>
      </w:r>
      <w:r w:rsidR="002C1330" w:rsidRPr="00881CA8">
        <w:rPr>
          <w:szCs w:val="20"/>
          <w:lang w:val="en-GB"/>
        </w:rPr>
        <w:t xml:space="preserve"> </w:t>
      </w:r>
      <w:r w:rsidR="009C4866" w:rsidRPr="00881CA8">
        <w:rPr>
          <w:szCs w:val="20"/>
          <w:lang w:val="en-GB"/>
        </w:rPr>
        <w:br/>
      </w:r>
      <w:hyperlink r:id="rId9" w:history="1">
        <w:r w:rsidRPr="00881CA8">
          <w:rPr>
            <w:rStyle w:val="Hipercze"/>
            <w:iCs/>
            <w:color w:val="auto"/>
            <w:szCs w:val="20"/>
            <w:u w:val="none"/>
            <w:lang w:val="en-GB"/>
          </w:rPr>
          <w:t>https://orcid.org/0000-0003-1016-2305</w:t>
        </w:r>
      </w:hyperlink>
    </w:p>
    <w:p w14:paraId="1251F9E4" w14:textId="6CDC9148" w:rsidR="006A3F1C" w:rsidRPr="00881CA8" w:rsidRDefault="006A3F1C" w:rsidP="00315868">
      <w:pPr>
        <w:pStyle w:val="Rafiliacja"/>
        <w:rPr>
          <w:rStyle w:val="Hipercze"/>
          <w:i w:val="0"/>
          <w:iCs/>
          <w:color w:val="auto"/>
          <w:szCs w:val="20"/>
          <w:u w:val="none"/>
          <w:lang w:val="en-GB"/>
        </w:rPr>
      </w:pPr>
      <w:r w:rsidRPr="00881CA8">
        <w:rPr>
          <w:szCs w:val="20"/>
          <w:vertAlign w:val="superscript"/>
          <w:lang w:val="en-GB"/>
        </w:rPr>
        <w:t>3</w:t>
      </w:r>
      <w:r w:rsidRPr="00881CA8">
        <w:rPr>
          <w:szCs w:val="20"/>
          <w:lang w:val="en-GB"/>
        </w:rPr>
        <w:t>Department of Production and Investment Management</w:t>
      </w:r>
      <w:r w:rsidR="002C1330" w:rsidRPr="00881CA8">
        <w:rPr>
          <w:szCs w:val="20"/>
          <w:lang w:val="en-GB"/>
        </w:rPr>
        <w:t xml:space="preserve">, </w:t>
      </w:r>
      <w:r w:rsidR="009C4866" w:rsidRPr="00881CA8">
        <w:rPr>
          <w:szCs w:val="20"/>
          <w:lang w:val="en-GB"/>
        </w:rPr>
        <w:br/>
      </w:r>
      <w:r w:rsidRPr="00881CA8">
        <w:rPr>
          <w:szCs w:val="20"/>
          <w:lang w:val="en-GB"/>
        </w:rPr>
        <w:t>National University of Life and Environmental Sciences of Ukraine, Kyiv, Ukraine</w:t>
      </w:r>
      <w:r w:rsidR="002C1330" w:rsidRPr="00881CA8">
        <w:rPr>
          <w:szCs w:val="20"/>
          <w:lang w:val="en-GB"/>
        </w:rPr>
        <w:t xml:space="preserve"> </w:t>
      </w:r>
      <w:r w:rsidR="009C4866" w:rsidRPr="00881CA8">
        <w:rPr>
          <w:szCs w:val="20"/>
          <w:lang w:val="en-GB"/>
        </w:rPr>
        <w:br/>
      </w:r>
      <w:hyperlink r:id="rId10" w:history="1">
        <w:r w:rsidR="00A57EA6" w:rsidRPr="00881CA8">
          <w:rPr>
            <w:rStyle w:val="Hipercze"/>
            <w:iCs/>
            <w:color w:val="auto"/>
            <w:szCs w:val="20"/>
            <w:u w:val="none"/>
            <w:lang w:val="en-GB"/>
          </w:rPr>
          <w:t>https://orcid.org/0000-0003-2999-7441</w:t>
        </w:r>
      </w:hyperlink>
    </w:p>
    <w:p w14:paraId="63F57B82" w14:textId="126E1AC8" w:rsidR="00E16331" w:rsidRPr="00881CA8" w:rsidRDefault="00E16331" w:rsidP="00315868">
      <w:pPr>
        <w:pStyle w:val="Rafiliacja"/>
        <w:rPr>
          <w:rStyle w:val="Hipercze"/>
          <w:i w:val="0"/>
          <w:iCs/>
          <w:color w:val="auto"/>
          <w:szCs w:val="20"/>
          <w:u w:val="none"/>
          <w:lang w:val="en-GB"/>
        </w:rPr>
      </w:pPr>
      <w:r w:rsidRPr="00881CA8">
        <w:rPr>
          <w:szCs w:val="20"/>
          <w:vertAlign w:val="superscript"/>
          <w:lang w:val="en-GB"/>
        </w:rPr>
        <w:t>4</w:t>
      </w:r>
      <w:r w:rsidRPr="00881CA8">
        <w:rPr>
          <w:szCs w:val="20"/>
          <w:lang w:val="en-GB"/>
        </w:rPr>
        <w:t>UNESCO Chair on Science Education</w:t>
      </w:r>
      <w:r w:rsidR="002C1330" w:rsidRPr="00881CA8">
        <w:rPr>
          <w:szCs w:val="20"/>
          <w:lang w:val="en-GB"/>
        </w:rPr>
        <w:t xml:space="preserve">, </w:t>
      </w:r>
      <w:proofErr w:type="spellStart"/>
      <w:r w:rsidR="00F43A73" w:rsidRPr="00881CA8">
        <w:rPr>
          <w:szCs w:val="20"/>
          <w:lang w:val="en-GB"/>
        </w:rPr>
        <w:t>Dragomanov</w:t>
      </w:r>
      <w:proofErr w:type="spellEnd"/>
      <w:r w:rsidR="00F43A73" w:rsidRPr="00881CA8">
        <w:rPr>
          <w:szCs w:val="20"/>
          <w:lang w:val="en-GB"/>
        </w:rPr>
        <w:t xml:space="preserve"> Ukrainian State University</w:t>
      </w:r>
      <w:r w:rsidRPr="00881CA8">
        <w:rPr>
          <w:szCs w:val="20"/>
          <w:lang w:val="en-GB"/>
        </w:rPr>
        <w:t>, Kyiv, Ukraine</w:t>
      </w:r>
      <w:r w:rsidR="002C1330" w:rsidRPr="00881CA8">
        <w:rPr>
          <w:szCs w:val="20"/>
          <w:lang w:val="en-GB"/>
        </w:rPr>
        <w:t xml:space="preserve"> </w:t>
      </w:r>
      <w:r w:rsidR="009C4866" w:rsidRPr="00881CA8">
        <w:rPr>
          <w:szCs w:val="20"/>
          <w:lang w:val="en-GB"/>
        </w:rPr>
        <w:br/>
      </w:r>
      <w:hyperlink r:id="rId11" w:history="1">
        <w:r w:rsidR="0086557E" w:rsidRPr="00881CA8">
          <w:rPr>
            <w:rStyle w:val="Hipercze"/>
            <w:iCs/>
            <w:color w:val="auto"/>
            <w:szCs w:val="20"/>
            <w:u w:val="none"/>
            <w:lang w:val="en-GB"/>
          </w:rPr>
          <w:t>https://orcid.org/0000-0001-6126-1747</w:t>
        </w:r>
      </w:hyperlink>
    </w:p>
    <w:p w14:paraId="38D26C4A" w14:textId="727F0E4F" w:rsidR="002C1330" w:rsidRPr="00881CA8" w:rsidRDefault="00F070DD" w:rsidP="00315868">
      <w:pPr>
        <w:pStyle w:val="Rafiliacja"/>
        <w:rPr>
          <w:szCs w:val="20"/>
          <w:lang w:val="en-GB"/>
        </w:rPr>
      </w:pPr>
      <w:r w:rsidRPr="00881CA8">
        <w:rPr>
          <w:szCs w:val="20"/>
          <w:vertAlign w:val="superscript"/>
          <w:lang w:val="en-GB"/>
        </w:rPr>
        <w:t>5</w:t>
      </w:r>
      <w:r w:rsidRPr="00881CA8">
        <w:rPr>
          <w:szCs w:val="20"/>
          <w:lang w:val="en-GB"/>
        </w:rPr>
        <w:t>INTI International University</w:t>
      </w:r>
      <w:r w:rsidR="002C1330" w:rsidRPr="00881CA8">
        <w:rPr>
          <w:szCs w:val="20"/>
          <w:lang w:val="en-GB"/>
        </w:rPr>
        <w:t xml:space="preserve">, </w:t>
      </w:r>
      <w:r w:rsidRPr="00881CA8">
        <w:rPr>
          <w:szCs w:val="20"/>
          <w:lang w:val="en-GB"/>
        </w:rPr>
        <w:t>Putra Nilai, Nilai, N. Sembilan, Malaysia</w:t>
      </w:r>
      <w:r w:rsidR="009C4866" w:rsidRPr="00881CA8">
        <w:rPr>
          <w:szCs w:val="20"/>
          <w:lang w:val="en-GB"/>
        </w:rPr>
        <w:br/>
      </w:r>
      <w:r w:rsidRPr="00881CA8">
        <w:rPr>
          <w:szCs w:val="20"/>
          <w:lang w:val="en-GB"/>
        </w:rPr>
        <w:t>Department of Entrepreneurship and Marketing</w:t>
      </w:r>
      <w:r w:rsidR="002C1330" w:rsidRPr="00881CA8">
        <w:rPr>
          <w:szCs w:val="20"/>
          <w:lang w:val="en-GB"/>
        </w:rPr>
        <w:t xml:space="preserve">, </w:t>
      </w:r>
      <w:r w:rsidRPr="00881CA8">
        <w:rPr>
          <w:szCs w:val="20"/>
          <w:lang w:val="en-GB"/>
        </w:rPr>
        <w:t>Institute of Economics and Management</w:t>
      </w:r>
      <w:r w:rsidR="002C1330" w:rsidRPr="00881CA8">
        <w:rPr>
          <w:szCs w:val="20"/>
          <w:lang w:val="en-GB"/>
        </w:rPr>
        <w:t xml:space="preserve">, </w:t>
      </w:r>
      <w:r w:rsidR="009C4866" w:rsidRPr="00881CA8">
        <w:rPr>
          <w:szCs w:val="20"/>
          <w:lang w:val="en-GB"/>
        </w:rPr>
        <w:br/>
      </w:r>
      <w:r w:rsidRPr="00881CA8">
        <w:rPr>
          <w:szCs w:val="20"/>
          <w:lang w:val="en-GB"/>
        </w:rPr>
        <w:t>Ivano-Frankivsk National Technical Oil and Gas University, Ivano-Frankivsk, Ukraine</w:t>
      </w:r>
    </w:p>
    <w:p w14:paraId="01EA0217" w14:textId="0F54D155" w:rsidR="001F4DE1" w:rsidRPr="00881CA8" w:rsidRDefault="00F070DD" w:rsidP="00315868">
      <w:pPr>
        <w:pStyle w:val="Rafiliacja"/>
        <w:rPr>
          <w:szCs w:val="20"/>
          <w:lang w:val="en-GB"/>
        </w:rPr>
      </w:pPr>
      <w:r w:rsidRPr="00881CA8">
        <w:rPr>
          <w:szCs w:val="20"/>
          <w:lang w:val="en-GB"/>
        </w:rPr>
        <w:t>SCIRE Foundation, Warsaw, Poland</w:t>
      </w:r>
      <w:r w:rsidR="002C1330" w:rsidRPr="00881CA8">
        <w:rPr>
          <w:szCs w:val="20"/>
          <w:lang w:val="en-GB"/>
        </w:rPr>
        <w:t xml:space="preserve"> </w:t>
      </w:r>
      <w:r w:rsidR="009C4866" w:rsidRPr="00881CA8">
        <w:rPr>
          <w:szCs w:val="20"/>
          <w:lang w:val="en-GB"/>
        </w:rPr>
        <w:br/>
      </w:r>
      <w:r w:rsidRPr="00881CA8">
        <w:rPr>
          <w:szCs w:val="20"/>
          <w:lang w:val="en-GB"/>
        </w:rPr>
        <w:t>https://orcid.org/0000-0002-2185-0341</w:t>
      </w:r>
    </w:p>
    <w:p w14:paraId="0725509D" w14:textId="508CC15A" w:rsidR="001F4DE1" w:rsidRPr="00881CA8" w:rsidRDefault="009C4866" w:rsidP="00315868">
      <w:pPr>
        <w:pStyle w:val="Rafiliacja"/>
        <w:rPr>
          <w:szCs w:val="20"/>
          <w:lang w:val="en-GB"/>
        </w:rPr>
      </w:pPr>
      <w:r w:rsidRPr="00881CA8">
        <w:rPr>
          <w:szCs w:val="20"/>
          <w:vertAlign w:val="superscript"/>
          <w:lang w:val="en-GB"/>
        </w:rPr>
        <w:t>6</w:t>
      </w:r>
      <w:r w:rsidR="001F4DE1" w:rsidRPr="00881CA8">
        <w:rPr>
          <w:szCs w:val="20"/>
          <w:lang w:val="en-GB"/>
        </w:rPr>
        <w:t>Department of Production and Investment Management</w:t>
      </w:r>
      <w:r w:rsidR="002C1330" w:rsidRPr="00881CA8">
        <w:rPr>
          <w:szCs w:val="20"/>
          <w:lang w:val="en-GB"/>
        </w:rPr>
        <w:t xml:space="preserve">, </w:t>
      </w:r>
      <w:r w:rsidRPr="00881CA8">
        <w:rPr>
          <w:szCs w:val="20"/>
          <w:lang w:val="en-GB"/>
        </w:rPr>
        <w:br/>
      </w:r>
      <w:r w:rsidR="001F4DE1" w:rsidRPr="00881CA8">
        <w:rPr>
          <w:szCs w:val="20"/>
          <w:lang w:val="en-GB"/>
        </w:rPr>
        <w:t>National University of Life and Environmental Sciences of Ukraine, Kyiv, Ukraine</w:t>
      </w:r>
      <w:r w:rsidR="002C1330" w:rsidRPr="00881CA8">
        <w:rPr>
          <w:szCs w:val="20"/>
          <w:lang w:val="en-GB"/>
        </w:rPr>
        <w:t xml:space="preserve"> </w:t>
      </w:r>
      <w:r w:rsidRPr="00881CA8">
        <w:rPr>
          <w:szCs w:val="20"/>
          <w:lang w:val="en-GB"/>
        </w:rPr>
        <w:br/>
      </w:r>
      <w:hyperlink r:id="rId12" w:history="1">
        <w:r w:rsidR="003B01DF" w:rsidRPr="00881CA8">
          <w:rPr>
            <w:szCs w:val="20"/>
            <w:lang w:val="en-GB"/>
          </w:rPr>
          <w:t>https://orcid.org/0009-0002-2209-2703</w:t>
        </w:r>
      </w:hyperlink>
    </w:p>
    <w:p w14:paraId="4430E242" w14:textId="02D4EA59" w:rsidR="001F4DE1" w:rsidRPr="00881CA8" w:rsidRDefault="009C4866" w:rsidP="00315868">
      <w:pPr>
        <w:pStyle w:val="Rafiliacja"/>
        <w:rPr>
          <w:rStyle w:val="Hipercze"/>
          <w:color w:val="auto"/>
          <w:szCs w:val="20"/>
          <w:u w:val="none"/>
          <w:lang w:val="en-GB"/>
        </w:rPr>
      </w:pPr>
      <w:r w:rsidRPr="00881CA8">
        <w:rPr>
          <w:szCs w:val="20"/>
          <w:vertAlign w:val="superscript"/>
          <w:lang w:val="en-GB"/>
        </w:rPr>
        <w:t>7</w:t>
      </w:r>
      <w:r w:rsidR="001F4DE1" w:rsidRPr="00881CA8">
        <w:rPr>
          <w:szCs w:val="20"/>
          <w:lang w:val="en-GB"/>
        </w:rPr>
        <w:t>Department of Production and Investment Management</w:t>
      </w:r>
      <w:r w:rsidR="002C1330" w:rsidRPr="00881CA8">
        <w:rPr>
          <w:szCs w:val="20"/>
          <w:lang w:val="en-GB"/>
        </w:rPr>
        <w:t xml:space="preserve">, </w:t>
      </w:r>
      <w:r w:rsidRPr="00881CA8">
        <w:rPr>
          <w:szCs w:val="20"/>
          <w:lang w:val="en-GB"/>
        </w:rPr>
        <w:br/>
      </w:r>
      <w:r w:rsidR="001F4DE1" w:rsidRPr="00881CA8">
        <w:rPr>
          <w:szCs w:val="20"/>
          <w:lang w:val="en-GB"/>
        </w:rPr>
        <w:t>National University of Life and Environmental Sciences of Ukraine, Kyiv, Ukraine</w:t>
      </w:r>
      <w:r w:rsidR="002C1330" w:rsidRPr="00881CA8">
        <w:rPr>
          <w:szCs w:val="20"/>
          <w:lang w:val="en-GB"/>
        </w:rPr>
        <w:t xml:space="preserve"> </w:t>
      </w:r>
      <w:r w:rsidRPr="00881CA8">
        <w:rPr>
          <w:szCs w:val="20"/>
          <w:lang w:val="en-GB"/>
        </w:rPr>
        <w:br/>
      </w:r>
      <w:hyperlink r:id="rId13" w:history="1">
        <w:r w:rsidR="003B01DF" w:rsidRPr="00881CA8">
          <w:rPr>
            <w:rStyle w:val="Hipercze"/>
            <w:iCs/>
            <w:color w:val="auto"/>
            <w:szCs w:val="20"/>
            <w:u w:val="none"/>
            <w:lang w:val="en-GB"/>
          </w:rPr>
          <w:t>https://orcid.org/0009-0003-7401-1060</w:t>
        </w:r>
      </w:hyperlink>
      <w:r w:rsidR="003B01DF" w:rsidRPr="00881CA8">
        <w:rPr>
          <w:rStyle w:val="Hipercze"/>
          <w:color w:val="auto"/>
          <w:szCs w:val="20"/>
          <w:u w:val="none"/>
          <w:lang w:val="en-GB"/>
        </w:rPr>
        <w:t xml:space="preserve"> </w:t>
      </w:r>
    </w:p>
    <w:p w14:paraId="5C61241B" w14:textId="77777777" w:rsidR="009C4866" w:rsidRPr="007E3A51" w:rsidRDefault="009C4866" w:rsidP="009C4866">
      <w:pPr>
        <w:pStyle w:val="Rauco"/>
      </w:pPr>
      <w:r w:rsidRPr="007E3A51">
        <w:t>*corresponding author's e-mail: vitalii.nitsenko@nung.edu.ua</w:t>
      </w:r>
    </w:p>
    <w:p w14:paraId="7B1F6203" w14:textId="324AFD83" w:rsidR="001D679F" w:rsidRPr="007E3A51" w:rsidRDefault="00F927F2" w:rsidP="00315868">
      <w:pPr>
        <w:pStyle w:val="Rab2"/>
      </w:pPr>
      <w:r w:rsidRPr="007E3A51">
        <w:rPr>
          <w:b/>
          <w:bCs/>
        </w:rPr>
        <w:t xml:space="preserve">Abstract: </w:t>
      </w:r>
      <w:r w:rsidR="001D679F" w:rsidRPr="007E3A51">
        <w:t>Th</w:t>
      </w:r>
      <w:r w:rsidR="005369B2" w:rsidRPr="007E3A51">
        <w:t>is article examines the issue of food security in Ukraine, focusing on</w:t>
      </w:r>
      <w:r w:rsidR="001D679F" w:rsidRPr="007E3A51">
        <w:t xml:space="preserve"> the impact of war and other factors on this problem. </w:t>
      </w:r>
      <w:r w:rsidR="00BA743C" w:rsidRPr="007E3A51">
        <w:t>It highlights t</w:t>
      </w:r>
      <w:r w:rsidR="001D679F" w:rsidRPr="007E3A51">
        <w:t xml:space="preserve">he connection with the development of the agri-food sector, as well as the importance of taking into account an inclusive approach in managing the agrarian sector and </w:t>
      </w:r>
      <w:r w:rsidR="00E0774A" w:rsidRPr="007E3A51">
        <w:t xml:space="preserve">addressing </w:t>
      </w:r>
      <w:r w:rsidR="001D679F" w:rsidRPr="007E3A51">
        <w:t xml:space="preserve">the problem of food insecurity in Ukraine </w:t>
      </w:r>
      <w:r w:rsidR="00EE16B0" w:rsidRPr="007E3A51">
        <w:t>under</w:t>
      </w:r>
      <w:r w:rsidR="001D679F" w:rsidRPr="007E3A51">
        <w:t xml:space="preserve"> modern conditions. An inclusive approach </w:t>
      </w:r>
      <w:r w:rsidR="005369B2" w:rsidRPr="007E3A51">
        <w:t>enables the balanced development of the agri-food sector, ensuring food security in Ukraine, while also aligning with modern principles,</w:t>
      </w:r>
      <w:r w:rsidR="001D679F" w:rsidRPr="007E3A51">
        <w:t xml:space="preserve"> </w:t>
      </w:r>
      <w:r w:rsidR="00880524" w:rsidRPr="007E3A51">
        <w:t>such as</w:t>
      </w:r>
      <w:r w:rsidR="001D679F" w:rsidRPr="007E3A51">
        <w:t xml:space="preserve"> the European Green Deal. </w:t>
      </w:r>
      <w:r w:rsidR="006339A0" w:rsidRPr="007E3A51">
        <w:t>The a</w:t>
      </w:r>
      <w:r w:rsidR="001D679F" w:rsidRPr="007E3A51">
        <w:t xml:space="preserve">nalysis of food security indicators in Ukraine </w:t>
      </w:r>
      <w:proofErr w:type="spellStart"/>
      <w:r w:rsidR="001D679F" w:rsidRPr="007E3A51">
        <w:t>showe</w:t>
      </w:r>
      <w:r w:rsidR="002E0E99" w:rsidRPr="007E3A51">
        <w:t>s</w:t>
      </w:r>
      <w:proofErr w:type="spellEnd"/>
      <w:r w:rsidR="001D679F" w:rsidRPr="007E3A51">
        <w:t xml:space="preserve"> uneven dynamics: indicators that characterize the state of undernourishment among the population and the </w:t>
      </w:r>
      <w:r w:rsidR="00AC0E80" w:rsidRPr="007E3A51">
        <w:t>Gl</w:t>
      </w:r>
      <w:r w:rsidR="001D679F" w:rsidRPr="007E3A51">
        <w:t xml:space="preserve">obal </w:t>
      </w:r>
      <w:r w:rsidR="00AC0E80" w:rsidRPr="007E3A51">
        <w:t>H</w:t>
      </w:r>
      <w:r w:rsidR="001D679F" w:rsidRPr="007E3A51">
        <w:t xml:space="preserve">unger </w:t>
      </w:r>
      <w:r w:rsidR="00AC0E80" w:rsidRPr="007E3A51">
        <w:t>I</w:t>
      </w:r>
      <w:r w:rsidR="001D679F" w:rsidRPr="007E3A51">
        <w:t xml:space="preserve">ndex, although </w:t>
      </w:r>
      <w:r w:rsidR="00424135" w:rsidRPr="007E3A51">
        <w:t>showing</w:t>
      </w:r>
      <w:r w:rsidR="001D679F" w:rsidRPr="007E3A51">
        <w:t xml:space="preserve"> a tendency to grow, have </w:t>
      </w:r>
      <w:r w:rsidR="00424135" w:rsidRPr="007E3A51">
        <w:t xml:space="preserve">not reached </w:t>
      </w:r>
      <w:r w:rsidR="001D679F" w:rsidRPr="007E3A51">
        <w:t>critically high figures; both food production indices are decreasing, which negatively characterizes the state of food security; the growth in the index of food production in 2023 and the dec</w:t>
      </w:r>
      <w:r w:rsidR="005F6469" w:rsidRPr="007E3A51">
        <w:t>line</w:t>
      </w:r>
      <w:r w:rsidR="001D679F" w:rsidRPr="007E3A51">
        <w:t xml:space="preserve"> in the volatility of consumer </w:t>
      </w:r>
      <w:r w:rsidR="000F50E8" w:rsidRPr="007E3A51">
        <w:t xml:space="preserve">food </w:t>
      </w:r>
      <w:r w:rsidR="001D679F" w:rsidRPr="007E3A51">
        <w:t xml:space="preserve">prices for stand out as positive dynamics. The analysis of </w:t>
      </w:r>
      <w:r w:rsidR="001F6518" w:rsidRPr="007E3A51">
        <w:t xml:space="preserve">agri-food sector </w:t>
      </w:r>
      <w:r w:rsidR="001D679F" w:rsidRPr="007E3A51">
        <w:t xml:space="preserve">dynamics reflects the impact of </w:t>
      </w:r>
      <w:r w:rsidR="005369B2" w:rsidRPr="007E3A51">
        <w:t>pandemic and war factors on it, with the subsequent restoration of positive dynamics, indicating</w:t>
      </w:r>
      <w:r w:rsidR="001D679F" w:rsidRPr="007E3A51">
        <w:t xml:space="preserve"> the significant agricultural potential of Ukraine. It is proposed t</w:t>
      </w:r>
      <w:r w:rsidR="004B7F42" w:rsidRPr="007E3A51">
        <w:t>o</w:t>
      </w:r>
      <w:r w:rsidR="001D679F" w:rsidRPr="007E3A51">
        <w:t xml:space="preserve"> develo</w:t>
      </w:r>
      <w:r w:rsidR="004B7F42" w:rsidRPr="007E3A51">
        <w:t>p</w:t>
      </w:r>
      <w:r w:rsidR="001D679F" w:rsidRPr="007E3A51">
        <w:t xml:space="preserve"> </w:t>
      </w:r>
      <w:r w:rsidR="00BE1740" w:rsidRPr="007E3A51">
        <w:t xml:space="preserve">the </w:t>
      </w:r>
      <w:r w:rsidR="001D679F" w:rsidRPr="007E3A51">
        <w:t xml:space="preserve">agri-food sector of Ukraine as </w:t>
      </w:r>
      <w:r w:rsidR="00E46537" w:rsidRPr="007E3A51">
        <w:t>the foundation</w:t>
      </w:r>
      <w:r w:rsidR="001D679F" w:rsidRPr="007E3A51">
        <w:t xml:space="preserve"> for food security based on an inclusive approach. Also important is the orientation towards the Sustainable Development Goals and the European Green Deal, which will allow Ukraine to achieve energy independence.</w:t>
      </w:r>
    </w:p>
    <w:p w14:paraId="51C13205" w14:textId="0C565C68" w:rsidR="00F927F2" w:rsidRPr="007E3A51" w:rsidRDefault="00F927F2" w:rsidP="00315868">
      <w:pPr>
        <w:pStyle w:val="Rab2"/>
      </w:pPr>
      <w:r w:rsidRPr="007E3A51">
        <w:rPr>
          <w:rFonts w:eastAsia="Calibri"/>
          <w:b/>
        </w:rPr>
        <w:t>Keywords:</w:t>
      </w:r>
      <w:r w:rsidRPr="007E3A51">
        <w:rPr>
          <w:rFonts w:eastAsia="Calibri"/>
        </w:rPr>
        <w:t xml:space="preserve"> </w:t>
      </w:r>
      <w:r w:rsidR="000A0162" w:rsidRPr="007E3A51">
        <w:t>food security, agri-food sector, inclusivity, sustainable development, European Green Deal, bioeconomy, full-scale war</w:t>
      </w:r>
    </w:p>
    <w:p w14:paraId="6B4A22C5" w14:textId="77777777" w:rsidR="00662DBD" w:rsidRPr="007E3A51" w:rsidRDefault="00662DBD" w:rsidP="00315868">
      <w:pPr>
        <w:pStyle w:val="Rn1"/>
        <w:rPr>
          <w:lang w:val="en-GB"/>
        </w:rPr>
      </w:pPr>
      <w:r w:rsidRPr="007E3A51">
        <w:rPr>
          <w:lang w:val="en-GB"/>
        </w:rPr>
        <w:t>1. Introduction</w:t>
      </w:r>
    </w:p>
    <w:p w14:paraId="788DB299" w14:textId="715667B9" w:rsidR="00AE11D0" w:rsidRPr="007E3A51" w:rsidRDefault="00AE11D0" w:rsidP="002C1330">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The investigation of the development of </w:t>
      </w:r>
      <w:r w:rsidR="00EE06D7" w:rsidRPr="007E3A51">
        <w:rPr>
          <w:rFonts w:ascii="Times New Roman" w:hAnsi="Times New Roman" w:cs="Times New Roman"/>
          <w:lang w:val="en-GB"/>
        </w:rPr>
        <w:t xml:space="preserve">the </w:t>
      </w:r>
      <w:r w:rsidRPr="007E3A51">
        <w:rPr>
          <w:rFonts w:ascii="Times New Roman" w:hAnsi="Times New Roman" w:cs="Times New Roman"/>
          <w:lang w:val="en-GB"/>
        </w:rPr>
        <w:t xml:space="preserve">Ukrainian agri-food sector at this stage </w:t>
      </w:r>
      <w:r w:rsidR="0008423F" w:rsidRPr="007E3A51">
        <w:rPr>
          <w:rFonts w:ascii="Times New Roman" w:hAnsi="Times New Roman" w:cs="Times New Roman"/>
          <w:lang w:val="en-GB"/>
        </w:rPr>
        <w:t>has to</w:t>
      </w:r>
      <w:r w:rsidRPr="007E3A51">
        <w:rPr>
          <w:rFonts w:ascii="Times New Roman" w:hAnsi="Times New Roman" w:cs="Times New Roman"/>
          <w:lang w:val="en-GB"/>
        </w:rPr>
        <w:t xml:space="preserve"> tak</w:t>
      </w:r>
      <w:r w:rsidR="0008423F" w:rsidRPr="007E3A51">
        <w:rPr>
          <w:rFonts w:ascii="Times New Roman" w:hAnsi="Times New Roman" w:cs="Times New Roman"/>
          <w:lang w:val="en-GB"/>
        </w:rPr>
        <w:t>e</w:t>
      </w:r>
      <w:r w:rsidRPr="007E3A51">
        <w:rPr>
          <w:rFonts w:ascii="Times New Roman" w:hAnsi="Times New Roman" w:cs="Times New Roman"/>
          <w:lang w:val="en-GB"/>
        </w:rPr>
        <w:t xml:space="preserve"> into account the Russian-Ukrainian war taking place in Ukraine. Under the conditions of a full-scale </w:t>
      </w:r>
      <w:r w:rsidR="0052514A" w:rsidRPr="007E3A51">
        <w:rPr>
          <w:rFonts w:ascii="Times New Roman" w:hAnsi="Times New Roman" w:cs="Times New Roman"/>
          <w:lang w:val="en-GB"/>
        </w:rPr>
        <w:t>war</w:t>
      </w:r>
      <w:r w:rsidRPr="007E3A51">
        <w:rPr>
          <w:rFonts w:ascii="Times New Roman" w:hAnsi="Times New Roman" w:cs="Times New Roman"/>
          <w:lang w:val="en-GB"/>
        </w:rPr>
        <w:t>, it is necessary to preserve not only the physical security of the population of Ukraine, but also food security. This is due to the fact that in conditions of hostilities</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there is also a threat of famine, due to the impossibility of carrying out agri-food work and obtaining food products. Such obstacles </w:t>
      </w:r>
      <w:r w:rsidR="00800BEA" w:rsidRPr="007E3A51">
        <w:rPr>
          <w:rFonts w:ascii="Times New Roman" w:hAnsi="Times New Roman" w:cs="Times New Roman"/>
          <w:lang w:val="en-GB"/>
        </w:rPr>
        <w:t>include</w:t>
      </w:r>
      <w:r w:rsidRPr="007E3A51">
        <w:rPr>
          <w:rFonts w:ascii="Times New Roman" w:hAnsi="Times New Roman" w:cs="Times New Roman"/>
          <w:lang w:val="en-GB"/>
        </w:rPr>
        <w:t xml:space="preserve"> the occupation of </w:t>
      </w:r>
      <w:r w:rsidR="00B10860" w:rsidRPr="007E3A51">
        <w:rPr>
          <w:rFonts w:ascii="Times New Roman" w:hAnsi="Times New Roman" w:cs="Times New Roman"/>
          <w:lang w:val="en-GB"/>
        </w:rPr>
        <w:t xml:space="preserve">the Ukrainian </w:t>
      </w:r>
      <w:r w:rsidRPr="007E3A51">
        <w:rPr>
          <w:rFonts w:ascii="Times New Roman" w:hAnsi="Times New Roman" w:cs="Times New Roman"/>
          <w:lang w:val="en-GB"/>
        </w:rPr>
        <w:t>territor</w:t>
      </w:r>
      <w:r w:rsidR="00B10860" w:rsidRPr="007E3A51">
        <w:rPr>
          <w:rFonts w:ascii="Times New Roman" w:hAnsi="Times New Roman" w:cs="Times New Roman"/>
          <w:lang w:val="en-GB"/>
        </w:rPr>
        <w:t>ies</w:t>
      </w:r>
      <w:r w:rsidRPr="007E3A51">
        <w:rPr>
          <w:rFonts w:ascii="Times New Roman" w:hAnsi="Times New Roman" w:cs="Times New Roman"/>
          <w:lang w:val="en-GB"/>
        </w:rPr>
        <w:t xml:space="preserve">, which makes it impossible to collect or </w:t>
      </w:r>
      <w:r w:rsidR="00FE263B" w:rsidRPr="007E3A51">
        <w:rPr>
          <w:rFonts w:ascii="Times New Roman" w:hAnsi="Times New Roman" w:cs="Times New Roman"/>
          <w:lang w:val="en-GB"/>
        </w:rPr>
        <w:t>deliver</w:t>
      </w:r>
      <w:r w:rsidRPr="007E3A51">
        <w:rPr>
          <w:rFonts w:ascii="Times New Roman" w:hAnsi="Times New Roman" w:cs="Times New Roman"/>
          <w:lang w:val="en-GB"/>
        </w:rPr>
        <w:t xml:space="preserve"> the collected products, shelling of territories, active hostilities on them, </w:t>
      </w:r>
      <w:r w:rsidR="005369B2" w:rsidRPr="007E3A51">
        <w:rPr>
          <w:rFonts w:ascii="Times New Roman" w:hAnsi="Times New Roman" w:cs="Times New Roman"/>
          <w:lang w:val="en-GB"/>
        </w:rPr>
        <w:t xml:space="preserve">and </w:t>
      </w:r>
      <w:r w:rsidRPr="007E3A51">
        <w:rPr>
          <w:rFonts w:ascii="Times New Roman" w:hAnsi="Times New Roman" w:cs="Times New Roman"/>
          <w:lang w:val="en-GB"/>
        </w:rPr>
        <w:t>land mining</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also mak</w:t>
      </w:r>
      <w:r w:rsidR="005369B2" w:rsidRPr="007E3A51">
        <w:rPr>
          <w:rFonts w:ascii="Times New Roman" w:hAnsi="Times New Roman" w:cs="Times New Roman"/>
          <w:lang w:val="en-GB"/>
        </w:rPr>
        <w:t>ing</w:t>
      </w:r>
      <w:r w:rsidRPr="007E3A51">
        <w:rPr>
          <w:rFonts w:ascii="Times New Roman" w:hAnsi="Times New Roman" w:cs="Times New Roman"/>
          <w:lang w:val="en-GB"/>
        </w:rPr>
        <w:t xml:space="preserve"> sowing and harvesting work impossible. These factors </w:t>
      </w:r>
      <w:r w:rsidR="003A0C46" w:rsidRPr="007E3A51">
        <w:rPr>
          <w:rFonts w:ascii="Times New Roman" w:hAnsi="Times New Roman" w:cs="Times New Roman"/>
          <w:lang w:val="en-GB"/>
        </w:rPr>
        <w:t>result in</w:t>
      </w:r>
      <w:r w:rsidRPr="007E3A51">
        <w:rPr>
          <w:rFonts w:ascii="Times New Roman" w:hAnsi="Times New Roman" w:cs="Times New Roman"/>
          <w:lang w:val="en-GB"/>
        </w:rPr>
        <w:t xml:space="preserve"> shortage</w:t>
      </w:r>
      <w:r w:rsidR="003A0C46" w:rsidRPr="007E3A51">
        <w:rPr>
          <w:rFonts w:ascii="Times New Roman" w:hAnsi="Times New Roman" w:cs="Times New Roman"/>
          <w:lang w:val="en-GB"/>
        </w:rPr>
        <w:t>s</w:t>
      </w:r>
      <w:r w:rsidRPr="007E3A51">
        <w:rPr>
          <w:rFonts w:ascii="Times New Roman" w:hAnsi="Times New Roman" w:cs="Times New Roman"/>
          <w:lang w:val="en-GB"/>
        </w:rPr>
        <w:t xml:space="preserve"> of agri-food products on the market, </w:t>
      </w:r>
      <w:r w:rsidR="00B65EE2" w:rsidRPr="007E3A51">
        <w:rPr>
          <w:rFonts w:ascii="Times New Roman" w:hAnsi="Times New Roman" w:cs="Times New Roman"/>
          <w:lang w:val="en-GB"/>
        </w:rPr>
        <w:t>causing</w:t>
      </w:r>
      <w:r w:rsidRPr="007E3A51">
        <w:rPr>
          <w:rFonts w:ascii="Times New Roman" w:hAnsi="Times New Roman" w:cs="Times New Roman"/>
          <w:lang w:val="en-GB"/>
        </w:rPr>
        <w:t xml:space="preserve"> price</w:t>
      </w:r>
      <w:r w:rsidR="00B65EE2" w:rsidRPr="007E3A51">
        <w:rPr>
          <w:rFonts w:ascii="Times New Roman" w:hAnsi="Times New Roman" w:cs="Times New Roman"/>
          <w:lang w:val="en-GB"/>
        </w:rPr>
        <w:t xml:space="preserve"> increases and growing depend</w:t>
      </w:r>
      <w:r w:rsidR="008D2C8A" w:rsidRPr="007E3A51">
        <w:rPr>
          <w:rFonts w:ascii="Times New Roman" w:hAnsi="Times New Roman" w:cs="Times New Roman"/>
          <w:lang w:val="en-GB"/>
        </w:rPr>
        <w:t>e</w:t>
      </w:r>
      <w:r w:rsidR="00B65EE2" w:rsidRPr="007E3A51">
        <w:rPr>
          <w:rFonts w:ascii="Times New Roman" w:hAnsi="Times New Roman" w:cs="Times New Roman"/>
          <w:lang w:val="en-GB"/>
        </w:rPr>
        <w:t xml:space="preserve">nce on imports. </w:t>
      </w:r>
      <w:r w:rsidR="00691CDC" w:rsidRPr="007E3A51">
        <w:rPr>
          <w:rFonts w:ascii="Times New Roman" w:hAnsi="Times New Roman" w:cs="Times New Roman"/>
          <w:lang w:val="en-GB"/>
        </w:rPr>
        <w:t>While imports</w:t>
      </w:r>
      <w:r w:rsidRPr="007E3A51">
        <w:rPr>
          <w:rFonts w:ascii="Times New Roman" w:hAnsi="Times New Roman" w:cs="Times New Roman"/>
          <w:lang w:val="en-GB"/>
        </w:rPr>
        <w:t xml:space="preserve"> partially solve the problem of food security, </w:t>
      </w:r>
      <w:r w:rsidR="005369B2" w:rsidRPr="007E3A51">
        <w:rPr>
          <w:rFonts w:ascii="Times New Roman" w:hAnsi="Times New Roman" w:cs="Times New Roman"/>
          <w:lang w:val="en-GB"/>
        </w:rPr>
        <w:t>they</w:t>
      </w:r>
      <w:r w:rsidRPr="007E3A51">
        <w:rPr>
          <w:rFonts w:ascii="Times New Roman" w:hAnsi="Times New Roman" w:cs="Times New Roman"/>
          <w:lang w:val="en-GB"/>
        </w:rPr>
        <w:t xml:space="preserve"> also ha</w:t>
      </w:r>
      <w:r w:rsidR="00F76383" w:rsidRPr="007E3A51">
        <w:rPr>
          <w:rFonts w:ascii="Times New Roman" w:hAnsi="Times New Roman" w:cs="Times New Roman"/>
          <w:lang w:val="en-GB"/>
        </w:rPr>
        <w:t>ve</w:t>
      </w:r>
      <w:r w:rsidRPr="007E3A51">
        <w:rPr>
          <w:rFonts w:ascii="Times New Roman" w:hAnsi="Times New Roman" w:cs="Times New Roman"/>
          <w:lang w:val="en-GB"/>
        </w:rPr>
        <w:t xml:space="preserve"> a negative socio-economic impact, </w:t>
      </w:r>
      <w:r w:rsidR="00004F2B" w:rsidRPr="007E3A51">
        <w:rPr>
          <w:rFonts w:ascii="Times New Roman" w:hAnsi="Times New Roman" w:cs="Times New Roman"/>
          <w:lang w:val="en-GB"/>
        </w:rPr>
        <w:t>as</w:t>
      </w:r>
      <w:r w:rsidRPr="007E3A51">
        <w:rPr>
          <w:rFonts w:ascii="Times New Roman" w:hAnsi="Times New Roman" w:cs="Times New Roman"/>
          <w:lang w:val="en-GB"/>
        </w:rPr>
        <w:t xml:space="preserve"> domestic producer</w:t>
      </w:r>
      <w:r w:rsidR="00004F2B" w:rsidRPr="007E3A51">
        <w:rPr>
          <w:rFonts w:ascii="Times New Roman" w:hAnsi="Times New Roman" w:cs="Times New Roman"/>
          <w:lang w:val="en-GB"/>
        </w:rPr>
        <w:t>s</w:t>
      </w:r>
      <w:r w:rsidRPr="007E3A51">
        <w:rPr>
          <w:rFonts w:ascii="Times New Roman" w:hAnsi="Times New Roman" w:cs="Times New Roman"/>
          <w:lang w:val="en-GB"/>
        </w:rPr>
        <w:t xml:space="preserve"> </w:t>
      </w:r>
      <w:r w:rsidR="00004F2B" w:rsidRPr="007E3A51">
        <w:rPr>
          <w:rFonts w:ascii="Times New Roman" w:hAnsi="Times New Roman" w:cs="Times New Roman"/>
          <w:lang w:val="en-GB"/>
        </w:rPr>
        <w:t>are</w:t>
      </w:r>
      <w:r w:rsidRPr="007E3A51">
        <w:rPr>
          <w:rFonts w:ascii="Times New Roman" w:hAnsi="Times New Roman" w:cs="Times New Roman"/>
          <w:lang w:val="en-GB"/>
        </w:rPr>
        <w:t xml:space="preserve"> less protected and prices for imported products </w:t>
      </w:r>
      <w:r w:rsidR="005369B2" w:rsidRPr="007E3A51">
        <w:rPr>
          <w:rFonts w:ascii="Times New Roman" w:hAnsi="Times New Roman" w:cs="Times New Roman"/>
          <w:lang w:val="en-GB"/>
        </w:rPr>
        <w:t>are usually</w:t>
      </w:r>
      <w:r w:rsidRPr="007E3A51">
        <w:rPr>
          <w:rFonts w:ascii="Times New Roman" w:hAnsi="Times New Roman" w:cs="Times New Roman"/>
          <w:lang w:val="en-GB"/>
        </w:rPr>
        <w:t xml:space="preserve"> higher than </w:t>
      </w:r>
      <w:r w:rsidR="006A68AA" w:rsidRPr="007E3A51">
        <w:rPr>
          <w:rFonts w:ascii="Times New Roman" w:hAnsi="Times New Roman" w:cs="Times New Roman"/>
          <w:lang w:val="en-GB"/>
        </w:rPr>
        <w:t xml:space="preserve">for </w:t>
      </w:r>
      <w:r w:rsidRPr="007E3A51">
        <w:rPr>
          <w:rFonts w:ascii="Times New Roman" w:hAnsi="Times New Roman" w:cs="Times New Roman"/>
          <w:lang w:val="en-GB"/>
        </w:rPr>
        <w:t xml:space="preserve">domestic </w:t>
      </w:r>
      <w:r w:rsidR="006A68AA" w:rsidRPr="007E3A51">
        <w:rPr>
          <w:rFonts w:ascii="Times New Roman" w:hAnsi="Times New Roman" w:cs="Times New Roman"/>
          <w:lang w:val="en-GB"/>
        </w:rPr>
        <w:lastRenderedPageBreak/>
        <w:t>ones</w:t>
      </w:r>
      <w:r w:rsidRPr="007E3A51">
        <w:rPr>
          <w:rFonts w:ascii="Times New Roman" w:hAnsi="Times New Roman" w:cs="Times New Roman"/>
          <w:lang w:val="en-GB"/>
        </w:rPr>
        <w:t xml:space="preserve">. But, under the conditions already described, Ukraine is </w:t>
      </w:r>
      <w:r w:rsidR="00267064" w:rsidRPr="007E3A51">
        <w:rPr>
          <w:rFonts w:ascii="Times New Roman" w:hAnsi="Times New Roman" w:cs="Times New Roman"/>
          <w:lang w:val="en-GB"/>
        </w:rPr>
        <w:t>now truly</w:t>
      </w:r>
      <w:r w:rsidRPr="007E3A51">
        <w:rPr>
          <w:rFonts w:ascii="Times New Roman" w:hAnsi="Times New Roman" w:cs="Times New Roman"/>
          <w:lang w:val="en-GB"/>
        </w:rPr>
        <w:t xml:space="preserve"> facing a threat to food security and hunger of the population, which must be </w:t>
      </w:r>
      <w:r w:rsidR="004042BF" w:rsidRPr="007E3A51">
        <w:rPr>
          <w:rFonts w:ascii="Times New Roman" w:hAnsi="Times New Roman" w:cs="Times New Roman"/>
          <w:lang w:val="en-GB"/>
        </w:rPr>
        <w:t>addressed</w:t>
      </w:r>
      <w:r w:rsidRPr="007E3A51">
        <w:rPr>
          <w:rFonts w:ascii="Times New Roman" w:hAnsi="Times New Roman" w:cs="Times New Roman"/>
          <w:lang w:val="en-GB"/>
        </w:rPr>
        <w:t xml:space="preserve"> </w:t>
      </w:r>
      <w:r w:rsidR="007A4490" w:rsidRPr="007E3A51">
        <w:rPr>
          <w:rFonts w:ascii="Times New Roman" w:hAnsi="Times New Roman" w:cs="Times New Roman"/>
          <w:lang w:val="en-GB"/>
        </w:rPr>
        <w:t xml:space="preserve">through </w:t>
      </w:r>
      <w:r w:rsidRPr="007E3A51">
        <w:rPr>
          <w:rFonts w:ascii="Times New Roman" w:hAnsi="Times New Roman" w:cs="Times New Roman"/>
          <w:lang w:val="en-GB"/>
        </w:rPr>
        <w:t xml:space="preserve">various instruments. It is worth noting that due to the war in Ukraine, the problem of food security has arisen not only for our state but also for the whole world. Since a large part of agricultural products could not be delivered </w:t>
      </w:r>
      <w:r w:rsidR="00EE0BB3" w:rsidRPr="007E3A51">
        <w:rPr>
          <w:rFonts w:ascii="Times New Roman" w:hAnsi="Times New Roman" w:cs="Times New Roman"/>
          <w:lang w:val="en-GB"/>
        </w:rPr>
        <w:t>under</w:t>
      </w:r>
      <w:r w:rsidRPr="007E3A51">
        <w:rPr>
          <w:rFonts w:ascii="Times New Roman" w:hAnsi="Times New Roman" w:cs="Times New Roman"/>
          <w:lang w:val="en-GB"/>
        </w:rPr>
        <w:t xml:space="preserve"> </w:t>
      </w:r>
      <w:r w:rsidR="005369B2" w:rsidRPr="007E3A51">
        <w:rPr>
          <w:rFonts w:ascii="Times New Roman" w:hAnsi="Times New Roman" w:cs="Times New Roman"/>
          <w:lang w:val="en-GB"/>
        </w:rPr>
        <w:t xml:space="preserve">the </w:t>
      </w:r>
      <w:r w:rsidRPr="007E3A51">
        <w:rPr>
          <w:rFonts w:ascii="Times New Roman" w:hAnsi="Times New Roman" w:cs="Times New Roman"/>
          <w:lang w:val="en-GB"/>
        </w:rPr>
        <w:t>concluded agreements</w:t>
      </w:r>
      <w:r w:rsidR="005369B2" w:rsidRPr="007E3A51">
        <w:rPr>
          <w:rFonts w:ascii="Times New Roman" w:hAnsi="Times New Roman" w:cs="Times New Roman"/>
          <w:lang w:val="en-GB"/>
        </w:rPr>
        <w:t>, h</w:t>
      </w:r>
      <w:r w:rsidRPr="007E3A51">
        <w:rPr>
          <w:rFonts w:ascii="Times New Roman" w:hAnsi="Times New Roman" w:cs="Times New Roman"/>
          <w:lang w:val="en-GB"/>
        </w:rPr>
        <w:t xml:space="preserve">owever, it is </w:t>
      </w:r>
      <w:r w:rsidR="00C6534F" w:rsidRPr="007E3A51">
        <w:rPr>
          <w:rFonts w:ascii="Times New Roman" w:hAnsi="Times New Roman" w:cs="Times New Roman"/>
          <w:lang w:val="en-GB"/>
        </w:rPr>
        <w:t>essential</w:t>
      </w:r>
      <w:r w:rsidRPr="007E3A51">
        <w:rPr>
          <w:rFonts w:ascii="Times New Roman" w:hAnsi="Times New Roman" w:cs="Times New Roman"/>
          <w:lang w:val="en-GB"/>
        </w:rPr>
        <w:t xml:space="preserve"> to solve the problem of providing, first of all, </w:t>
      </w:r>
      <w:r w:rsidR="005369B2" w:rsidRPr="007E3A51">
        <w:rPr>
          <w:rFonts w:ascii="Times New Roman" w:hAnsi="Times New Roman" w:cs="Times New Roman"/>
          <w:lang w:val="en-GB"/>
        </w:rPr>
        <w:t xml:space="preserve">the </w:t>
      </w:r>
      <w:r w:rsidR="00373107" w:rsidRPr="007E3A51">
        <w:rPr>
          <w:rFonts w:ascii="Times New Roman" w:hAnsi="Times New Roman" w:cs="Times New Roman"/>
          <w:lang w:val="en-GB"/>
        </w:rPr>
        <w:t>domestic</w:t>
      </w:r>
      <w:r w:rsidRPr="007E3A51">
        <w:rPr>
          <w:rFonts w:ascii="Times New Roman" w:hAnsi="Times New Roman" w:cs="Times New Roman"/>
          <w:lang w:val="en-GB"/>
        </w:rPr>
        <w:t xml:space="preserve"> population with food, and then </w:t>
      </w:r>
      <w:r w:rsidR="00F05BEB" w:rsidRPr="007E3A51">
        <w:rPr>
          <w:rFonts w:ascii="Times New Roman" w:hAnsi="Times New Roman" w:cs="Times New Roman"/>
          <w:lang w:val="en-GB"/>
        </w:rPr>
        <w:t xml:space="preserve">exporting </w:t>
      </w:r>
      <w:r w:rsidRPr="007E3A51">
        <w:rPr>
          <w:rFonts w:ascii="Times New Roman" w:hAnsi="Times New Roman" w:cs="Times New Roman"/>
          <w:lang w:val="en-GB"/>
        </w:rPr>
        <w:t>abroad. Although</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from an economic point of view, of course, exports of products </w:t>
      </w:r>
      <w:r w:rsidR="004E7C6F" w:rsidRPr="007E3A51">
        <w:rPr>
          <w:rFonts w:ascii="Times New Roman" w:hAnsi="Times New Roman" w:cs="Times New Roman"/>
          <w:lang w:val="en-GB"/>
        </w:rPr>
        <w:t>are</w:t>
      </w:r>
      <w:r w:rsidRPr="007E3A51">
        <w:rPr>
          <w:rFonts w:ascii="Times New Roman" w:hAnsi="Times New Roman" w:cs="Times New Roman"/>
          <w:lang w:val="en-GB"/>
        </w:rPr>
        <w:t xml:space="preserve"> also important, even vital for economic development.</w:t>
      </w:r>
    </w:p>
    <w:p w14:paraId="6F097DEE" w14:textId="42B49EB5" w:rsidR="00AE11D0" w:rsidRPr="007E3A51" w:rsidRDefault="00AE11D0" w:rsidP="002C1330">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To </w:t>
      </w:r>
      <w:r w:rsidR="00D229DD" w:rsidRPr="007E3A51">
        <w:rPr>
          <w:rFonts w:ascii="Times New Roman" w:hAnsi="Times New Roman" w:cs="Times New Roman"/>
          <w:lang w:val="en-GB"/>
        </w:rPr>
        <w:t>address</w:t>
      </w:r>
      <w:r w:rsidRPr="007E3A51">
        <w:rPr>
          <w:rFonts w:ascii="Times New Roman" w:hAnsi="Times New Roman" w:cs="Times New Roman"/>
          <w:lang w:val="en-GB"/>
        </w:rPr>
        <w:t xml:space="preserve"> the problem of food security in Ukraine, the agri-food sector and managing its development based on an inclusive approach play </w:t>
      </w:r>
      <w:r w:rsidR="003943C3" w:rsidRPr="007E3A51">
        <w:rPr>
          <w:rFonts w:ascii="Times New Roman" w:hAnsi="Times New Roman" w:cs="Times New Roman"/>
          <w:lang w:val="en-GB"/>
        </w:rPr>
        <w:t>a crucial</w:t>
      </w:r>
      <w:r w:rsidRPr="007E3A51">
        <w:rPr>
          <w:rFonts w:ascii="Times New Roman" w:hAnsi="Times New Roman" w:cs="Times New Roman"/>
          <w:lang w:val="en-GB"/>
        </w:rPr>
        <w:t xml:space="preserve"> role. In this case, inclusivity implies a balanced approach to the development of the agri-food sector, taking into account the interests of different groups of the population, including vulnerable ones, when determining the </w:t>
      </w:r>
      <w:r w:rsidR="008D4D4C" w:rsidRPr="007E3A51">
        <w:rPr>
          <w:rFonts w:ascii="Times New Roman" w:hAnsi="Times New Roman" w:cs="Times New Roman"/>
          <w:lang w:val="en-GB"/>
        </w:rPr>
        <w:t>priorities</w:t>
      </w:r>
      <w:r w:rsidRPr="007E3A51">
        <w:rPr>
          <w:rFonts w:ascii="Times New Roman" w:hAnsi="Times New Roman" w:cs="Times New Roman"/>
          <w:lang w:val="en-GB"/>
        </w:rPr>
        <w:t xml:space="preserve"> of its management and stimulating growth. The relevance and feasibility of an inclusive approach in the agri-food sector and ensuring food security is justified by the fact that inclusivity provides a balance of various aspects that are important for the sustainable functioning of </w:t>
      </w:r>
      <w:r w:rsidR="0035643C" w:rsidRPr="007E3A51">
        <w:rPr>
          <w:rFonts w:ascii="Times New Roman" w:hAnsi="Times New Roman" w:cs="Times New Roman"/>
          <w:lang w:val="en-GB"/>
        </w:rPr>
        <w:t>the</w:t>
      </w:r>
      <w:r w:rsidRPr="007E3A51">
        <w:rPr>
          <w:rFonts w:ascii="Times New Roman" w:hAnsi="Times New Roman" w:cs="Times New Roman"/>
          <w:lang w:val="en-GB"/>
        </w:rPr>
        <w:t xml:space="preserve"> state, namely: social, economic</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and food. Modern world development involves achieving </w:t>
      </w:r>
      <w:r w:rsidR="00B360FA" w:rsidRPr="007E3A51">
        <w:rPr>
          <w:rFonts w:ascii="Times New Roman" w:hAnsi="Times New Roman" w:cs="Times New Roman"/>
          <w:lang w:val="en-GB"/>
        </w:rPr>
        <w:br/>
      </w:r>
      <w:r w:rsidRPr="007E3A51">
        <w:rPr>
          <w:rFonts w:ascii="Times New Roman" w:hAnsi="Times New Roman" w:cs="Times New Roman"/>
          <w:lang w:val="en-GB"/>
        </w:rPr>
        <w:t xml:space="preserve">sustainability through the full involvement of all members of society in </w:t>
      </w:r>
      <w:r w:rsidR="005369B2" w:rsidRPr="007E3A51">
        <w:rPr>
          <w:rFonts w:ascii="Times New Roman" w:hAnsi="Times New Roman" w:cs="Times New Roman"/>
          <w:lang w:val="en-GB"/>
        </w:rPr>
        <w:t xml:space="preserve">the </w:t>
      </w:r>
      <w:r w:rsidRPr="007E3A51">
        <w:rPr>
          <w:rFonts w:ascii="Times New Roman" w:hAnsi="Times New Roman" w:cs="Times New Roman"/>
          <w:lang w:val="en-GB"/>
        </w:rPr>
        <w:t>life of the country. This has a</w:t>
      </w:r>
      <w:r w:rsidR="00B360FA" w:rsidRPr="007E3A51">
        <w:rPr>
          <w:rFonts w:ascii="Times New Roman" w:hAnsi="Times New Roman" w:cs="Times New Roman"/>
          <w:lang w:val="en-GB"/>
        </w:rPr>
        <w:t> </w:t>
      </w:r>
      <w:r w:rsidR="00EE0D09" w:rsidRPr="007E3A51">
        <w:rPr>
          <w:rFonts w:ascii="Times New Roman" w:hAnsi="Times New Roman" w:cs="Times New Roman"/>
          <w:lang w:val="en-GB"/>
        </w:rPr>
        <w:t>signific</w:t>
      </w:r>
      <w:r w:rsidRPr="007E3A51">
        <w:rPr>
          <w:rFonts w:ascii="Times New Roman" w:hAnsi="Times New Roman" w:cs="Times New Roman"/>
          <w:lang w:val="en-GB"/>
        </w:rPr>
        <w:t xml:space="preserve">ant social </w:t>
      </w:r>
      <w:r w:rsidR="007F598B" w:rsidRPr="007E3A51">
        <w:rPr>
          <w:rFonts w:ascii="Times New Roman" w:hAnsi="Times New Roman" w:cs="Times New Roman"/>
          <w:lang w:val="en-GB"/>
        </w:rPr>
        <w:t>effect</w:t>
      </w:r>
      <w:r w:rsidRPr="007E3A51">
        <w:rPr>
          <w:rFonts w:ascii="Times New Roman" w:hAnsi="Times New Roman" w:cs="Times New Roman"/>
          <w:lang w:val="en-GB"/>
        </w:rPr>
        <w:t>: the inclusion of different groups in the economic, social</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and cultural life of society. Inclusion </w:t>
      </w:r>
      <w:r w:rsidR="006B622A" w:rsidRPr="007E3A51">
        <w:rPr>
          <w:rFonts w:ascii="Times New Roman" w:hAnsi="Times New Roman" w:cs="Times New Roman"/>
          <w:lang w:val="en-GB"/>
        </w:rPr>
        <w:t>means</w:t>
      </w:r>
      <w:r w:rsidRPr="007E3A51">
        <w:rPr>
          <w:rFonts w:ascii="Times New Roman" w:hAnsi="Times New Roman" w:cs="Times New Roman"/>
          <w:lang w:val="en-GB"/>
        </w:rPr>
        <w:t xml:space="preserve"> not only consider</w:t>
      </w:r>
      <w:r w:rsidR="00A8096D" w:rsidRPr="007E3A51">
        <w:rPr>
          <w:rFonts w:ascii="Times New Roman" w:hAnsi="Times New Roman" w:cs="Times New Roman"/>
          <w:lang w:val="en-GB"/>
        </w:rPr>
        <w:t>ing</w:t>
      </w:r>
      <w:r w:rsidRPr="007E3A51">
        <w:rPr>
          <w:rFonts w:ascii="Times New Roman" w:hAnsi="Times New Roman" w:cs="Times New Roman"/>
          <w:lang w:val="en-GB"/>
        </w:rPr>
        <w:t xml:space="preserve"> the needs of people with disabilities but also achieving gender equality, actively </w:t>
      </w:r>
      <w:r w:rsidR="004F5FF2" w:rsidRPr="007E3A51">
        <w:rPr>
          <w:rFonts w:ascii="Times New Roman" w:hAnsi="Times New Roman" w:cs="Times New Roman"/>
          <w:lang w:val="en-GB"/>
        </w:rPr>
        <w:t>engaging</w:t>
      </w:r>
      <w:r w:rsidRPr="007E3A51">
        <w:rPr>
          <w:rFonts w:ascii="Times New Roman" w:hAnsi="Times New Roman" w:cs="Times New Roman"/>
          <w:lang w:val="en-GB"/>
        </w:rPr>
        <w:t xml:space="preserve"> young people, involving </w:t>
      </w:r>
      <w:r w:rsidR="00EE0D09" w:rsidRPr="007E3A51">
        <w:rPr>
          <w:rFonts w:ascii="Times New Roman" w:hAnsi="Times New Roman" w:cs="Times New Roman"/>
          <w:lang w:val="en-GB"/>
        </w:rPr>
        <w:t>older people</w:t>
      </w:r>
      <w:r w:rsidRPr="007E3A51">
        <w:rPr>
          <w:rFonts w:ascii="Times New Roman" w:hAnsi="Times New Roman" w:cs="Times New Roman"/>
          <w:lang w:val="en-GB"/>
        </w:rPr>
        <w:t xml:space="preserve"> as much as possible, in</w:t>
      </w:r>
      <w:r w:rsidR="00D8775D" w:rsidRPr="007E3A51">
        <w:rPr>
          <w:rFonts w:ascii="Times New Roman" w:hAnsi="Times New Roman" w:cs="Times New Roman"/>
          <w:lang w:val="en-GB"/>
        </w:rPr>
        <w:t>tegr</w:t>
      </w:r>
      <w:r w:rsidR="00F34875" w:rsidRPr="007E3A51">
        <w:rPr>
          <w:rFonts w:ascii="Times New Roman" w:hAnsi="Times New Roman" w:cs="Times New Roman"/>
          <w:lang w:val="en-GB"/>
        </w:rPr>
        <w:t>a</w:t>
      </w:r>
      <w:r w:rsidR="00D8775D" w:rsidRPr="007E3A51">
        <w:rPr>
          <w:rFonts w:ascii="Times New Roman" w:hAnsi="Times New Roman" w:cs="Times New Roman"/>
          <w:lang w:val="en-GB"/>
        </w:rPr>
        <w:t>ting</w:t>
      </w:r>
      <w:r w:rsidR="00F34875" w:rsidRPr="007E3A51">
        <w:rPr>
          <w:rFonts w:ascii="Times New Roman" w:hAnsi="Times New Roman" w:cs="Times New Roman"/>
          <w:lang w:val="en-GB"/>
        </w:rPr>
        <w:t xml:space="preserve"> </w:t>
      </w:r>
      <w:r w:rsidRPr="007E3A51">
        <w:rPr>
          <w:rFonts w:ascii="Times New Roman" w:hAnsi="Times New Roman" w:cs="Times New Roman"/>
          <w:lang w:val="en-GB"/>
        </w:rPr>
        <w:t xml:space="preserve">migrants, people who are below the poverty line, etc. That is, an attempt to involve all members of society. Achieving this has significant socio-economic benefits, manifested in positive economic, social, and psychological </w:t>
      </w:r>
      <w:r w:rsidR="00827587" w:rsidRPr="007E3A51">
        <w:rPr>
          <w:rFonts w:ascii="Times New Roman" w:hAnsi="Times New Roman" w:cs="Times New Roman"/>
          <w:lang w:val="en-GB"/>
        </w:rPr>
        <w:t>outcome</w:t>
      </w:r>
      <w:r w:rsidRPr="007E3A51">
        <w:rPr>
          <w:rFonts w:ascii="Times New Roman" w:hAnsi="Times New Roman" w:cs="Times New Roman"/>
          <w:lang w:val="en-GB"/>
        </w:rPr>
        <w:t>s. In</w:t>
      </w:r>
      <w:r w:rsidR="00B360FA" w:rsidRPr="007E3A51">
        <w:rPr>
          <w:rFonts w:ascii="Times New Roman" w:hAnsi="Times New Roman" w:cs="Times New Roman"/>
          <w:lang w:val="en-GB"/>
        </w:rPr>
        <w:t> </w:t>
      </w:r>
      <w:r w:rsidRPr="007E3A51">
        <w:rPr>
          <w:rFonts w:ascii="Times New Roman" w:hAnsi="Times New Roman" w:cs="Times New Roman"/>
          <w:lang w:val="en-GB"/>
        </w:rPr>
        <w:t>Ukraine, all th</w:t>
      </w:r>
      <w:r w:rsidR="009756FA" w:rsidRPr="007E3A51">
        <w:rPr>
          <w:rFonts w:ascii="Times New Roman" w:hAnsi="Times New Roman" w:cs="Times New Roman"/>
          <w:lang w:val="en-GB"/>
        </w:rPr>
        <w:t>ese issues are</w:t>
      </w:r>
      <w:r w:rsidRPr="007E3A51">
        <w:rPr>
          <w:rFonts w:ascii="Times New Roman" w:hAnsi="Times New Roman" w:cs="Times New Roman"/>
          <w:lang w:val="en-GB"/>
        </w:rPr>
        <w:t xml:space="preserve"> currently being actualized to a large extent due to the war, which caused a mad wave of migration, the evacuation of the population to safer regions, and also had a significant negative impact on the economic </w:t>
      </w:r>
      <w:r w:rsidR="00E65B64" w:rsidRPr="007E3A51">
        <w:rPr>
          <w:rFonts w:ascii="Times New Roman" w:hAnsi="Times New Roman" w:cs="Times New Roman"/>
          <w:lang w:val="en-GB"/>
        </w:rPr>
        <w:t>well-being of the</w:t>
      </w:r>
      <w:r w:rsidRPr="007E3A51">
        <w:rPr>
          <w:rFonts w:ascii="Times New Roman" w:hAnsi="Times New Roman" w:cs="Times New Roman"/>
          <w:lang w:val="en-GB"/>
        </w:rPr>
        <w:t xml:space="preserve"> population</w:t>
      </w:r>
      <w:r w:rsidR="00613F6C" w:rsidRPr="007E3A51">
        <w:rPr>
          <w:rFonts w:ascii="Times New Roman" w:hAnsi="Times New Roman" w:cs="Times New Roman"/>
          <w:lang w:val="en-GB"/>
        </w:rPr>
        <w:t xml:space="preserve"> (</w:t>
      </w:r>
      <w:proofErr w:type="spellStart"/>
      <w:r w:rsidR="00613F6C" w:rsidRPr="007E3A51">
        <w:rPr>
          <w:rFonts w:ascii="Times New Roman" w:hAnsi="Times New Roman" w:cs="Times New Roman"/>
          <w:bCs/>
          <w:lang w:val="en-GB"/>
        </w:rPr>
        <w:t>Dankevych</w:t>
      </w:r>
      <w:proofErr w:type="spellEnd"/>
      <w:r w:rsidR="00613F6C" w:rsidRPr="007E3A51">
        <w:rPr>
          <w:rFonts w:ascii="Times New Roman" w:hAnsi="Times New Roman" w:cs="Times New Roman"/>
          <w:bCs/>
          <w:lang w:val="en-GB"/>
        </w:rPr>
        <w:t xml:space="preserve"> et al. 2024</w:t>
      </w:r>
      <w:r w:rsidR="00EA6B77" w:rsidRPr="007E3A51">
        <w:rPr>
          <w:rFonts w:ascii="Times New Roman" w:hAnsi="Times New Roman" w:cs="Times New Roman"/>
          <w:bCs/>
          <w:lang w:val="en-GB"/>
        </w:rPr>
        <w:t>,</w:t>
      </w:r>
      <w:r w:rsidR="00613F6C" w:rsidRPr="007E3A51">
        <w:rPr>
          <w:rFonts w:ascii="Times New Roman" w:hAnsi="Times New Roman" w:cs="Times New Roman"/>
          <w:bCs/>
          <w:lang w:val="en-GB"/>
        </w:rPr>
        <w:t xml:space="preserve"> </w:t>
      </w:r>
      <w:proofErr w:type="spellStart"/>
      <w:r w:rsidR="00613F6C" w:rsidRPr="007E3A51">
        <w:rPr>
          <w:rFonts w:ascii="Times New Roman" w:hAnsi="Times New Roman" w:cs="Times New Roman"/>
          <w:bCs/>
          <w:lang w:val="en-GB"/>
        </w:rPr>
        <w:t>Petrychenko</w:t>
      </w:r>
      <w:proofErr w:type="spellEnd"/>
      <w:r w:rsidR="00613F6C" w:rsidRPr="007E3A51">
        <w:rPr>
          <w:rFonts w:ascii="Times New Roman" w:hAnsi="Times New Roman" w:cs="Times New Roman"/>
          <w:bCs/>
          <w:lang w:val="en-GB"/>
        </w:rPr>
        <w:t xml:space="preserve"> et al. 2022)</w:t>
      </w:r>
      <w:r w:rsidRPr="007E3A51">
        <w:rPr>
          <w:rFonts w:ascii="Times New Roman" w:hAnsi="Times New Roman" w:cs="Times New Roman"/>
          <w:lang w:val="en-GB"/>
        </w:rPr>
        <w:t>.</w:t>
      </w:r>
    </w:p>
    <w:p w14:paraId="5A31184F" w14:textId="7E5A4D18" w:rsidR="00AE11D0" w:rsidRPr="007E3A51" w:rsidRDefault="00AE11D0" w:rsidP="002C1330">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From the economic aspect</w:t>
      </w:r>
      <w:r w:rsidR="00203BE7" w:rsidRPr="007E3A51">
        <w:rPr>
          <w:rFonts w:ascii="Times New Roman" w:hAnsi="Times New Roman" w:cs="Times New Roman"/>
          <w:lang w:val="en-GB"/>
        </w:rPr>
        <w:t>,</w:t>
      </w:r>
      <w:r w:rsidRPr="007E3A51">
        <w:rPr>
          <w:rFonts w:ascii="Times New Roman" w:hAnsi="Times New Roman" w:cs="Times New Roman"/>
          <w:lang w:val="en-GB"/>
        </w:rPr>
        <w:t xml:space="preserve"> the inclusive approach provides, in addition to involving people, a balanced development of various sectors of the economy</w:t>
      </w:r>
      <w:r w:rsidR="0011462A" w:rsidRPr="007E3A51">
        <w:rPr>
          <w:rFonts w:ascii="Times New Roman" w:hAnsi="Times New Roman" w:cs="Times New Roman"/>
          <w:lang w:val="en-GB"/>
        </w:rPr>
        <w:t>.</w:t>
      </w:r>
      <w:r w:rsidR="00966D1B" w:rsidRPr="007E3A51">
        <w:rPr>
          <w:rFonts w:ascii="Times New Roman" w:hAnsi="Times New Roman" w:cs="Times New Roman"/>
          <w:lang w:val="en-GB"/>
        </w:rPr>
        <w:t xml:space="preserve"> It directs</w:t>
      </w:r>
      <w:r w:rsidRPr="007E3A51">
        <w:rPr>
          <w:rFonts w:ascii="Times New Roman" w:hAnsi="Times New Roman" w:cs="Times New Roman"/>
          <w:lang w:val="en-GB"/>
        </w:rPr>
        <w:t xml:space="preserve"> attention to those sectors that have potential for development in a particular country, but for a number of reasons are not developing sufficiently</w:t>
      </w:r>
      <w:r w:rsidR="00C82305" w:rsidRPr="007E3A51">
        <w:rPr>
          <w:rFonts w:ascii="Times New Roman" w:hAnsi="Times New Roman" w:cs="Times New Roman"/>
          <w:lang w:val="en-GB"/>
        </w:rPr>
        <w:t xml:space="preserve">. </w:t>
      </w:r>
      <w:r w:rsidR="006D393C" w:rsidRPr="007E3A51">
        <w:rPr>
          <w:rFonts w:ascii="Times New Roman" w:hAnsi="Times New Roman" w:cs="Times New Roman"/>
          <w:lang w:val="en-GB"/>
        </w:rPr>
        <w:t>The</w:t>
      </w:r>
      <w:r w:rsidRPr="007E3A51">
        <w:rPr>
          <w:rFonts w:ascii="Times New Roman" w:hAnsi="Times New Roman" w:cs="Times New Roman"/>
          <w:lang w:val="en-GB"/>
        </w:rPr>
        <w:t xml:space="preserve"> orientation </w:t>
      </w:r>
      <w:r w:rsidR="006D393C" w:rsidRPr="007E3A51">
        <w:rPr>
          <w:rFonts w:ascii="Times New Roman" w:hAnsi="Times New Roman" w:cs="Times New Roman"/>
          <w:lang w:val="en-GB"/>
        </w:rPr>
        <w:t xml:space="preserve">should </w:t>
      </w:r>
      <w:r w:rsidR="005369B2" w:rsidRPr="007E3A51">
        <w:rPr>
          <w:rFonts w:ascii="Times New Roman" w:hAnsi="Times New Roman" w:cs="Times New Roman"/>
          <w:lang w:val="en-GB"/>
        </w:rPr>
        <w:t>not be</w:t>
      </w:r>
      <w:r w:rsidRPr="007E3A51">
        <w:rPr>
          <w:rFonts w:ascii="Times New Roman" w:hAnsi="Times New Roman" w:cs="Times New Roman"/>
          <w:lang w:val="en-GB"/>
        </w:rPr>
        <w:t xml:space="preserve"> on </w:t>
      </w:r>
      <w:r w:rsidR="005369B2" w:rsidRPr="007E3A51">
        <w:rPr>
          <w:rFonts w:ascii="Times New Roman" w:hAnsi="Times New Roman" w:cs="Times New Roman"/>
          <w:lang w:val="en-GB"/>
        </w:rPr>
        <w:t xml:space="preserve">a </w:t>
      </w:r>
      <w:r w:rsidRPr="007E3A51">
        <w:rPr>
          <w:rFonts w:ascii="Times New Roman" w:hAnsi="Times New Roman" w:cs="Times New Roman"/>
          <w:lang w:val="en-GB"/>
        </w:rPr>
        <w:t xml:space="preserve">mono-industry, but on </w:t>
      </w:r>
      <w:r w:rsidR="005369B2" w:rsidRPr="007E3A51">
        <w:rPr>
          <w:rFonts w:ascii="Times New Roman" w:hAnsi="Times New Roman" w:cs="Times New Roman"/>
          <w:lang w:val="en-GB"/>
        </w:rPr>
        <w:t xml:space="preserve">a </w:t>
      </w:r>
      <w:r w:rsidRPr="007E3A51">
        <w:rPr>
          <w:rFonts w:ascii="Times New Roman" w:hAnsi="Times New Roman" w:cs="Times New Roman"/>
          <w:lang w:val="en-GB"/>
        </w:rPr>
        <w:t xml:space="preserve">multi-industry of the economy as a whole and the agri-food sector in particular. This will ensure food security in Ukraine </w:t>
      </w:r>
      <w:r w:rsidR="0015598A" w:rsidRPr="007E3A51">
        <w:rPr>
          <w:rFonts w:ascii="Times New Roman" w:hAnsi="Times New Roman" w:cs="Times New Roman"/>
          <w:lang w:val="en-GB"/>
        </w:rPr>
        <w:t>during wartime</w:t>
      </w:r>
      <w:r w:rsidRPr="007E3A51">
        <w:rPr>
          <w:rFonts w:ascii="Times New Roman" w:hAnsi="Times New Roman" w:cs="Times New Roman"/>
          <w:lang w:val="en-GB"/>
        </w:rPr>
        <w:t xml:space="preserve">. </w:t>
      </w:r>
      <w:r w:rsidR="00FB2153" w:rsidRPr="007E3A51">
        <w:rPr>
          <w:rFonts w:ascii="Times New Roman" w:hAnsi="Times New Roman" w:cs="Times New Roman"/>
          <w:lang w:val="en-GB"/>
        </w:rPr>
        <w:t>Moreover</w:t>
      </w:r>
      <w:r w:rsidRPr="007E3A51">
        <w:rPr>
          <w:rFonts w:ascii="Times New Roman" w:hAnsi="Times New Roman" w:cs="Times New Roman"/>
          <w:lang w:val="en-GB"/>
        </w:rPr>
        <w:t xml:space="preserve">, inclusivity involves functioning due to the paradigm of sustainable development, orientation on its Goals, and Ukraine's European integration path is impossible without taking into consideration the European Green Deal, which leads Europe to a climate-neutral continent. The importance of developing environmentally responsible agricultural practices is also justified by the need for Ukraine to transition to alternative energy sources, which will allow </w:t>
      </w:r>
      <w:r w:rsidR="005369B2" w:rsidRPr="007E3A51">
        <w:rPr>
          <w:rFonts w:ascii="Times New Roman" w:hAnsi="Times New Roman" w:cs="Times New Roman"/>
          <w:lang w:val="en-GB"/>
        </w:rPr>
        <w:t xml:space="preserve">it </w:t>
      </w:r>
      <w:r w:rsidRPr="007E3A51">
        <w:rPr>
          <w:rFonts w:ascii="Times New Roman" w:hAnsi="Times New Roman" w:cs="Times New Roman"/>
          <w:lang w:val="en-GB"/>
        </w:rPr>
        <w:t xml:space="preserve">to </w:t>
      </w:r>
      <w:r w:rsidR="00D628C3" w:rsidRPr="007E3A51">
        <w:rPr>
          <w:rFonts w:ascii="Times New Roman" w:hAnsi="Times New Roman" w:cs="Times New Roman"/>
          <w:lang w:val="en-GB"/>
        </w:rPr>
        <w:t>achieve</w:t>
      </w:r>
      <w:r w:rsidRPr="007E3A51">
        <w:rPr>
          <w:rFonts w:ascii="Times New Roman" w:hAnsi="Times New Roman" w:cs="Times New Roman"/>
          <w:lang w:val="en-GB"/>
        </w:rPr>
        <w:t xml:space="preserve"> energy independence and </w:t>
      </w:r>
      <w:r w:rsidR="002A63AD" w:rsidRPr="007E3A51">
        <w:rPr>
          <w:rFonts w:ascii="Times New Roman" w:hAnsi="Times New Roman" w:cs="Times New Roman"/>
          <w:lang w:val="en-GB"/>
        </w:rPr>
        <w:t xml:space="preserve">build </w:t>
      </w:r>
      <w:r w:rsidRPr="007E3A51">
        <w:rPr>
          <w:rFonts w:ascii="Times New Roman" w:hAnsi="Times New Roman" w:cs="Times New Roman"/>
          <w:lang w:val="en-GB"/>
        </w:rPr>
        <w:t>an economy on new</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innovative principles. It is the agri-food sector that becomes a link that </w:t>
      </w:r>
      <w:r w:rsidR="003B0D93" w:rsidRPr="007E3A51">
        <w:rPr>
          <w:rFonts w:ascii="Times New Roman" w:hAnsi="Times New Roman" w:cs="Times New Roman"/>
          <w:lang w:val="en-GB"/>
        </w:rPr>
        <w:t xml:space="preserve">can </w:t>
      </w:r>
      <w:r w:rsidR="00AE731C" w:rsidRPr="007E3A51">
        <w:rPr>
          <w:rFonts w:ascii="Times New Roman" w:hAnsi="Times New Roman" w:cs="Times New Roman"/>
          <w:lang w:val="en-GB"/>
        </w:rPr>
        <w:t>ensure</w:t>
      </w:r>
      <w:r w:rsidRPr="007E3A51">
        <w:rPr>
          <w:rFonts w:ascii="Times New Roman" w:hAnsi="Times New Roman" w:cs="Times New Roman"/>
          <w:lang w:val="en-GB"/>
        </w:rPr>
        <w:t xml:space="preserve"> energy independence and increas</w:t>
      </w:r>
      <w:r w:rsidR="005369B2" w:rsidRPr="007E3A51">
        <w:rPr>
          <w:rFonts w:ascii="Times New Roman" w:hAnsi="Times New Roman" w:cs="Times New Roman"/>
          <w:lang w:val="en-GB"/>
        </w:rPr>
        <w:t>e</w:t>
      </w:r>
      <w:r w:rsidRPr="007E3A51">
        <w:rPr>
          <w:rFonts w:ascii="Times New Roman" w:hAnsi="Times New Roman" w:cs="Times New Roman"/>
          <w:lang w:val="en-GB"/>
        </w:rPr>
        <w:t xml:space="preserve"> the level of food security. </w:t>
      </w:r>
    </w:p>
    <w:p w14:paraId="0635ACB2" w14:textId="47FB362B" w:rsidR="00913AA3" w:rsidRPr="007E3A51" w:rsidRDefault="00AE11D0" w:rsidP="002C1330">
      <w:pPr>
        <w:widowControl w:val="0"/>
        <w:spacing w:after="0" w:line="240" w:lineRule="auto"/>
        <w:ind w:firstLine="284"/>
        <w:contextualSpacing/>
        <w:jc w:val="both"/>
        <w:rPr>
          <w:rFonts w:ascii="Times New Roman" w:hAnsi="Times New Roman" w:cs="Times New Roman"/>
          <w:lang w:val="en-GB"/>
        </w:rPr>
      </w:pPr>
      <w:r w:rsidRPr="007E3A51">
        <w:rPr>
          <w:rFonts w:ascii="Times New Roman" w:hAnsi="Times New Roman" w:cs="Times New Roman"/>
          <w:lang w:val="en-GB"/>
        </w:rPr>
        <w:t xml:space="preserve">When studying food security and the agri-food sector in Ukraine </w:t>
      </w:r>
      <w:r w:rsidR="00B51557" w:rsidRPr="007E3A51">
        <w:rPr>
          <w:rFonts w:ascii="Times New Roman" w:hAnsi="Times New Roman" w:cs="Times New Roman"/>
          <w:lang w:val="en-GB"/>
        </w:rPr>
        <w:t>under</w:t>
      </w:r>
      <w:r w:rsidRPr="007E3A51">
        <w:rPr>
          <w:rFonts w:ascii="Times New Roman" w:hAnsi="Times New Roman" w:cs="Times New Roman"/>
          <w:lang w:val="en-GB"/>
        </w:rPr>
        <w:t xml:space="preserve"> modern conditions on the basis of inclusiveness, it is </w:t>
      </w:r>
      <w:r w:rsidR="00EE0D09" w:rsidRPr="007E3A51">
        <w:rPr>
          <w:rFonts w:ascii="Times New Roman" w:hAnsi="Times New Roman" w:cs="Times New Roman"/>
          <w:lang w:val="en-GB"/>
        </w:rPr>
        <w:t>essential</w:t>
      </w:r>
      <w:r w:rsidRPr="007E3A51">
        <w:rPr>
          <w:rFonts w:ascii="Times New Roman" w:hAnsi="Times New Roman" w:cs="Times New Roman"/>
          <w:lang w:val="en-GB"/>
        </w:rPr>
        <w:t xml:space="preserve"> to compare the pre-war period and the war period</w:t>
      </w:r>
      <w:r w:rsidR="00FA0ECE" w:rsidRPr="007E3A51">
        <w:rPr>
          <w:rFonts w:ascii="Times New Roman" w:hAnsi="Times New Roman" w:cs="Times New Roman"/>
          <w:lang w:val="en-GB"/>
        </w:rPr>
        <w:t>.</w:t>
      </w:r>
      <w:r w:rsidRPr="007E3A51">
        <w:rPr>
          <w:rFonts w:ascii="Times New Roman" w:hAnsi="Times New Roman" w:cs="Times New Roman"/>
          <w:lang w:val="en-GB"/>
        </w:rPr>
        <w:t xml:space="preserve"> </w:t>
      </w:r>
      <w:r w:rsidR="00FA0ECE" w:rsidRPr="007E3A51">
        <w:rPr>
          <w:rFonts w:ascii="Times New Roman" w:hAnsi="Times New Roman" w:cs="Times New Roman"/>
          <w:lang w:val="en-GB"/>
        </w:rPr>
        <w:t>This</w:t>
      </w:r>
      <w:r w:rsidRPr="007E3A51">
        <w:rPr>
          <w:rFonts w:ascii="Times New Roman" w:hAnsi="Times New Roman" w:cs="Times New Roman"/>
          <w:lang w:val="en-GB"/>
        </w:rPr>
        <w:t xml:space="preserve"> allow</w:t>
      </w:r>
      <w:r w:rsidR="00FA0ECE" w:rsidRPr="007E3A51">
        <w:rPr>
          <w:rFonts w:ascii="Times New Roman" w:hAnsi="Times New Roman" w:cs="Times New Roman"/>
          <w:lang w:val="en-GB"/>
        </w:rPr>
        <w:t>s</w:t>
      </w:r>
      <w:r w:rsidRPr="007E3A51">
        <w:rPr>
          <w:rFonts w:ascii="Times New Roman" w:hAnsi="Times New Roman" w:cs="Times New Roman"/>
          <w:lang w:val="en-GB"/>
        </w:rPr>
        <w:t xml:space="preserve"> us to see the impact of the war factor on the development of the agri-food sector and food security, as well as to suggest effective</w:t>
      </w:r>
      <w:r w:rsidR="00D55282" w:rsidRPr="007E3A51">
        <w:rPr>
          <w:rFonts w:ascii="Times New Roman" w:hAnsi="Times New Roman" w:cs="Times New Roman"/>
          <w:lang w:val="en-GB"/>
        </w:rPr>
        <w:t xml:space="preserve"> </w:t>
      </w:r>
      <w:r w:rsidRPr="007E3A51">
        <w:rPr>
          <w:rFonts w:ascii="Times New Roman" w:hAnsi="Times New Roman" w:cs="Times New Roman"/>
          <w:lang w:val="en-GB"/>
        </w:rPr>
        <w:t>manage</w:t>
      </w:r>
      <w:r w:rsidR="00D55282" w:rsidRPr="007E3A51">
        <w:rPr>
          <w:rFonts w:ascii="Times New Roman" w:hAnsi="Times New Roman" w:cs="Times New Roman"/>
          <w:lang w:val="en-GB"/>
        </w:rPr>
        <w:t>ment solutions</w:t>
      </w:r>
      <w:r w:rsidRPr="007E3A51">
        <w:rPr>
          <w:rFonts w:ascii="Times New Roman" w:hAnsi="Times New Roman" w:cs="Times New Roman"/>
          <w:lang w:val="en-GB"/>
        </w:rPr>
        <w:t>, taking into account the modern directions of development of countries.</w:t>
      </w:r>
    </w:p>
    <w:p w14:paraId="35D68B59" w14:textId="77777777" w:rsidR="0070140A" w:rsidRPr="007E3A51" w:rsidRDefault="0070140A" w:rsidP="0070140A">
      <w:pPr>
        <w:shd w:val="clear" w:color="auto" w:fill="FFFFFF"/>
        <w:spacing w:before="240" w:after="120" w:line="240" w:lineRule="auto"/>
        <w:jc w:val="both"/>
        <w:rPr>
          <w:rFonts w:ascii="Times New Roman" w:eastAsia="Times New Roman" w:hAnsi="Times New Roman" w:cs="Times New Roman"/>
          <w:b/>
          <w:sz w:val="24"/>
          <w:szCs w:val="24"/>
          <w:lang w:val="en-GB"/>
        </w:rPr>
      </w:pPr>
      <w:r w:rsidRPr="007E3A51">
        <w:rPr>
          <w:rFonts w:ascii="Times New Roman" w:eastAsia="Times New Roman" w:hAnsi="Times New Roman" w:cs="Times New Roman"/>
          <w:b/>
          <w:sz w:val="24"/>
          <w:szCs w:val="24"/>
          <w:lang w:val="en-GB"/>
        </w:rPr>
        <w:t>2. Methods</w:t>
      </w:r>
    </w:p>
    <w:p w14:paraId="19F7D919" w14:textId="7827DCD6" w:rsidR="008477C2" w:rsidRPr="007E3A51" w:rsidRDefault="002F3975" w:rsidP="002C1330">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The methodological basis of the conducted scientific research is an interdisciplinary approach that combines indicative, comparative, structural</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and systemic analyses. </w:t>
      </w:r>
      <w:r w:rsidR="005A4570" w:rsidRPr="007E3A51">
        <w:rPr>
          <w:rFonts w:ascii="Times New Roman" w:hAnsi="Times New Roman" w:cs="Times New Roman"/>
          <w:lang w:val="en-GB"/>
        </w:rPr>
        <w:t>This</w:t>
      </w:r>
      <w:r w:rsidRPr="007E3A51">
        <w:rPr>
          <w:rFonts w:ascii="Times New Roman" w:hAnsi="Times New Roman" w:cs="Times New Roman"/>
          <w:lang w:val="en-GB"/>
        </w:rPr>
        <w:t xml:space="preserve"> allowed us to assess the impact of the war and other factors on food security and the state of the agri-food sector </w:t>
      </w:r>
      <w:r w:rsidR="00345305" w:rsidRPr="007E3A51">
        <w:rPr>
          <w:rFonts w:ascii="Times New Roman" w:hAnsi="Times New Roman" w:cs="Times New Roman"/>
          <w:lang w:val="en-GB"/>
        </w:rPr>
        <w:t>using</w:t>
      </w:r>
      <w:r w:rsidR="0092196E" w:rsidRPr="007E3A51">
        <w:rPr>
          <w:rFonts w:ascii="Times New Roman" w:hAnsi="Times New Roman" w:cs="Times New Roman"/>
          <w:lang w:val="en-GB"/>
        </w:rPr>
        <w:t xml:space="preserve"> </w:t>
      </w:r>
      <w:r w:rsidRPr="007E3A51">
        <w:rPr>
          <w:rFonts w:ascii="Times New Roman" w:hAnsi="Times New Roman" w:cs="Times New Roman"/>
          <w:lang w:val="en-GB"/>
        </w:rPr>
        <w:t xml:space="preserve">an inclusive approach. To achieve the </w:t>
      </w:r>
      <w:r w:rsidR="00553CA9" w:rsidRPr="007E3A51">
        <w:rPr>
          <w:rFonts w:ascii="Times New Roman" w:hAnsi="Times New Roman" w:cs="Times New Roman"/>
          <w:lang w:val="en-GB"/>
        </w:rPr>
        <w:t xml:space="preserve">research </w:t>
      </w:r>
      <w:r w:rsidRPr="007E3A51">
        <w:rPr>
          <w:rFonts w:ascii="Times New Roman" w:hAnsi="Times New Roman" w:cs="Times New Roman"/>
          <w:lang w:val="en-GB"/>
        </w:rPr>
        <w:t xml:space="preserve">goal, we </w:t>
      </w:r>
      <w:r w:rsidR="00A57956" w:rsidRPr="007E3A51">
        <w:rPr>
          <w:rFonts w:ascii="Times New Roman" w:hAnsi="Times New Roman" w:cs="Times New Roman"/>
          <w:lang w:val="en-GB"/>
        </w:rPr>
        <w:t xml:space="preserve">applied </w:t>
      </w:r>
      <w:r w:rsidRPr="007E3A51">
        <w:rPr>
          <w:rFonts w:ascii="Times New Roman" w:hAnsi="Times New Roman" w:cs="Times New Roman"/>
          <w:lang w:val="en-GB"/>
        </w:rPr>
        <w:t>statistical analysis (analysis of indicators of the development of the agri-food sector of Ukraine in the period 2019-2023)</w:t>
      </w:r>
      <w:r w:rsidR="0088387E" w:rsidRPr="007E3A51">
        <w:rPr>
          <w:rFonts w:ascii="Times New Roman" w:hAnsi="Times New Roman" w:cs="Times New Roman"/>
          <w:lang w:val="en-GB"/>
        </w:rPr>
        <w:t>,</w:t>
      </w:r>
      <w:r w:rsidRPr="007E3A51">
        <w:rPr>
          <w:rFonts w:ascii="Times New Roman" w:hAnsi="Times New Roman" w:cs="Times New Roman"/>
          <w:lang w:val="en-GB"/>
        </w:rPr>
        <w:t xml:space="preserve"> comparative analysis (to compare the pre-war period and during the war in Ukraine), </w:t>
      </w:r>
      <w:r w:rsidR="000E670C" w:rsidRPr="007E3A51">
        <w:rPr>
          <w:rFonts w:ascii="Times New Roman" w:hAnsi="Times New Roman" w:cs="Times New Roman"/>
          <w:lang w:val="en-GB"/>
        </w:rPr>
        <w:t xml:space="preserve">and </w:t>
      </w:r>
      <w:r w:rsidRPr="007E3A51">
        <w:rPr>
          <w:rFonts w:ascii="Times New Roman" w:hAnsi="Times New Roman" w:cs="Times New Roman"/>
          <w:lang w:val="en-GB"/>
        </w:rPr>
        <w:t>analysis of food security indicators. We also used dynamic</w:t>
      </w:r>
      <w:r w:rsidR="00495019" w:rsidRPr="007E3A51">
        <w:rPr>
          <w:rFonts w:ascii="Times New Roman" w:hAnsi="Times New Roman" w:cs="Times New Roman"/>
          <w:lang w:val="en-GB"/>
        </w:rPr>
        <w:t xml:space="preserve"> series</w:t>
      </w:r>
      <w:r w:rsidRPr="007E3A51">
        <w:rPr>
          <w:rFonts w:ascii="Times New Roman" w:hAnsi="Times New Roman" w:cs="Times New Roman"/>
          <w:lang w:val="en-GB"/>
        </w:rPr>
        <w:t xml:space="preserve"> </w:t>
      </w:r>
      <w:r w:rsidR="009C11B5" w:rsidRPr="007E3A51">
        <w:rPr>
          <w:rFonts w:ascii="Times New Roman" w:hAnsi="Times New Roman" w:cs="Times New Roman"/>
          <w:lang w:val="en-GB"/>
        </w:rPr>
        <w:t xml:space="preserve">methods </w:t>
      </w:r>
      <w:r w:rsidRPr="007E3A51">
        <w:rPr>
          <w:rFonts w:ascii="Times New Roman" w:hAnsi="Times New Roman" w:cs="Times New Roman"/>
          <w:lang w:val="en-GB"/>
        </w:rPr>
        <w:t>(calculation of absolute changes in food security indicators and absolute and relative changes in agri-food sector indicators</w:t>
      </w:r>
      <w:r w:rsidR="008477C2" w:rsidRPr="007E3A51">
        <w:rPr>
          <w:rFonts w:ascii="Times New Roman" w:hAnsi="Times New Roman" w:cs="Times New Roman"/>
          <w:lang w:val="en-GB"/>
        </w:rPr>
        <w:t>, based</w:t>
      </w:r>
      <w:r w:rsidR="005369B2" w:rsidRPr="007E3A51">
        <w:rPr>
          <w:rFonts w:ascii="Times New Roman" w:hAnsi="Times New Roman" w:cs="Times New Roman"/>
          <w:lang w:val="en-GB"/>
        </w:rPr>
        <w:t xml:space="preserve"> on a </w:t>
      </w:r>
      <w:r w:rsidR="008477C2" w:rsidRPr="007E3A51">
        <w:rPr>
          <w:rFonts w:ascii="Times New Roman" w:hAnsi="Times New Roman" w:cs="Times New Roman"/>
          <w:lang w:val="en-GB"/>
        </w:rPr>
        <w:t>year index, CAGR</w:t>
      </w:r>
      <w:r w:rsidR="005369B2" w:rsidRPr="007E3A51">
        <w:rPr>
          <w:rFonts w:ascii="Times New Roman" w:hAnsi="Times New Roman" w:cs="Times New Roman"/>
          <w:lang w:val="en-GB"/>
        </w:rPr>
        <w:t>,</w:t>
      </w:r>
      <w:r w:rsidR="008477C2" w:rsidRPr="007E3A51">
        <w:rPr>
          <w:rFonts w:ascii="Times New Roman" w:hAnsi="Times New Roman" w:cs="Times New Roman"/>
          <w:lang w:val="en-GB"/>
        </w:rPr>
        <w:t xml:space="preserve"> and acceleration</w:t>
      </w:r>
      <w:r w:rsidRPr="007E3A51">
        <w:rPr>
          <w:rFonts w:ascii="Times New Roman" w:hAnsi="Times New Roman" w:cs="Times New Roman"/>
          <w:lang w:val="en-GB"/>
        </w:rPr>
        <w:t>), as well as the tabular and data visualization method</w:t>
      </w:r>
      <w:r w:rsidR="005369B2" w:rsidRPr="007E3A51">
        <w:rPr>
          <w:rFonts w:ascii="Times New Roman" w:hAnsi="Times New Roman" w:cs="Times New Roman"/>
          <w:lang w:val="en-GB"/>
        </w:rPr>
        <w:t>s</w:t>
      </w:r>
      <w:r w:rsidRPr="007E3A51">
        <w:rPr>
          <w:rFonts w:ascii="Times New Roman" w:hAnsi="Times New Roman" w:cs="Times New Roman"/>
          <w:lang w:val="en-GB"/>
        </w:rPr>
        <w:t xml:space="preserve">. The </w:t>
      </w:r>
      <w:r w:rsidR="001F79FC" w:rsidRPr="007E3A51">
        <w:rPr>
          <w:rFonts w:ascii="Times New Roman" w:hAnsi="Times New Roman" w:cs="Times New Roman"/>
          <w:lang w:val="en-GB"/>
        </w:rPr>
        <w:t>study</w:t>
      </w:r>
      <w:r w:rsidRPr="007E3A51">
        <w:rPr>
          <w:rFonts w:ascii="Times New Roman" w:hAnsi="Times New Roman" w:cs="Times New Roman"/>
          <w:lang w:val="en-GB"/>
        </w:rPr>
        <w:t xml:space="preserve"> was based on statistical data from the Food and Agriculture Organization of the United Nations (FAO), the World Bank, the State Statistics Service of Ukraine, etc. In accordance with the martial law in </w:t>
      </w:r>
      <w:r w:rsidR="00E3175C" w:rsidRPr="007E3A51">
        <w:rPr>
          <w:rFonts w:ascii="Times New Roman" w:hAnsi="Times New Roman" w:cs="Times New Roman"/>
          <w:lang w:val="en-GB"/>
        </w:rPr>
        <w:t>Ukraine</w:t>
      </w:r>
      <w:r w:rsidRPr="007E3A51">
        <w:rPr>
          <w:rFonts w:ascii="Times New Roman" w:hAnsi="Times New Roman" w:cs="Times New Roman"/>
          <w:lang w:val="en-GB"/>
        </w:rPr>
        <w:t xml:space="preserve">, the collection of statistical data in </w:t>
      </w:r>
      <w:r w:rsidR="00C31560" w:rsidRPr="007E3A51">
        <w:rPr>
          <w:rFonts w:ascii="Times New Roman" w:hAnsi="Times New Roman" w:cs="Times New Roman"/>
          <w:lang w:val="en-GB"/>
        </w:rPr>
        <w:t>the country</w:t>
      </w:r>
      <w:r w:rsidRPr="007E3A51">
        <w:rPr>
          <w:rFonts w:ascii="Times New Roman" w:hAnsi="Times New Roman" w:cs="Times New Roman"/>
          <w:lang w:val="en-GB"/>
        </w:rPr>
        <w:t xml:space="preserve"> since 2022 is limited</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therefore</w:t>
      </w:r>
      <w:r w:rsidR="005E00DE" w:rsidRPr="007E3A51">
        <w:rPr>
          <w:rFonts w:ascii="Times New Roman" w:hAnsi="Times New Roman" w:cs="Times New Roman"/>
          <w:lang w:val="en-GB"/>
        </w:rPr>
        <w:t>,</w:t>
      </w:r>
      <w:r w:rsidRPr="007E3A51">
        <w:rPr>
          <w:rFonts w:ascii="Times New Roman" w:hAnsi="Times New Roman" w:cs="Times New Roman"/>
          <w:lang w:val="en-GB"/>
        </w:rPr>
        <w:t xml:space="preserve"> the above analysis was based on the data that is available in official global and national databases.</w:t>
      </w:r>
      <w:r w:rsidR="008477C2" w:rsidRPr="007E3A51">
        <w:rPr>
          <w:rFonts w:ascii="Times New Roman" w:hAnsi="Times New Roman" w:cs="Times New Roman"/>
          <w:lang w:val="en-GB"/>
        </w:rPr>
        <w:t xml:space="preserve"> We acknowledge that the </w:t>
      </w:r>
      <w:proofErr w:type="spellStart"/>
      <w:r w:rsidR="008477C2" w:rsidRPr="007E3A51">
        <w:rPr>
          <w:rFonts w:ascii="Times New Roman" w:hAnsi="Times New Roman" w:cs="Times New Roman"/>
          <w:lang w:val="en-GB"/>
        </w:rPr>
        <w:t>analyzed</w:t>
      </w:r>
      <w:proofErr w:type="spellEnd"/>
      <w:r w:rsidR="008477C2" w:rsidRPr="007E3A51">
        <w:rPr>
          <w:rFonts w:ascii="Times New Roman" w:hAnsi="Times New Roman" w:cs="Times New Roman"/>
          <w:lang w:val="en-GB"/>
        </w:rPr>
        <w:t xml:space="preserve"> indicators in the article should demonstrate the same period</w:t>
      </w:r>
      <w:r w:rsidR="005369B2" w:rsidRPr="007E3A51">
        <w:rPr>
          <w:rFonts w:ascii="Times New Roman" w:hAnsi="Times New Roman" w:cs="Times New Roman"/>
          <w:lang w:val="en-GB"/>
        </w:rPr>
        <w:t>;</w:t>
      </w:r>
      <w:r w:rsidR="008477C2" w:rsidRPr="007E3A51">
        <w:rPr>
          <w:rFonts w:ascii="Times New Roman" w:hAnsi="Times New Roman" w:cs="Times New Roman"/>
          <w:lang w:val="en-GB"/>
        </w:rPr>
        <w:t xml:space="preserve"> however, </w:t>
      </w:r>
      <w:r w:rsidR="00FE72CE" w:rsidRPr="007E3A51">
        <w:rPr>
          <w:rFonts w:ascii="Times New Roman" w:hAnsi="Times New Roman" w:cs="Times New Roman"/>
          <w:lang w:val="en-GB"/>
        </w:rPr>
        <w:t>some</w:t>
      </w:r>
      <w:r w:rsidR="008477C2" w:rsidRPr="007E3A51">
        <w:rPr>
          <w:rFonts w:ascii="Times New Roman" w:hAnsi="Times New Roman" w:cs="Times New Roman"/>
          <w:lang w:val="en-GB"/>
        </w:rPr>
        <w:t xml:space="preserve"> indicators are limited in the available official data for recent years and are of a demonstrative nature for understanding the overall trend. However, for a more in-depth analysis of important indicators of the development of the agricultural sector of Ukraine, applying the method of dynamic series and comparing the pre-war period with the period after the </w:t>
      </w:r>
      <w:r w:rsidR="008477C2" w:rsidRPr="007E3A51">
        <w:rPr>
          <w:rFonts w:ascii="Times New Roman" w:hAnsi="Times New Roman" w:cs="Times New Roman"/>
          <w:lang w:val="en-GB"/>
        </w:rPr>
        <w:lastRenderedPageBreak/>
        <w:t>start of the war, we choose the period 2019-2023. This will allow us to see more deeply the latest trends in the development of the agricultural sector and identify the main changes after the start of the full-scale invasion.</w:t>
      </w:r>
    </w:p>
    <w:p w14:paraId="4E27C49E" w14:textId="6D2FD99B" w:rsidR="005B78E9" w:rsidRPr="007E3A51" w:rsidRDefault="005B78E9" w:rsidP="00B47417">
      <w:pPr>
        <w:shd w:val="clear" w:color="auto" w:fill="FFFFFF"/>
        <w:spacing w:before="240" w:after="120" w:line="240" w:lineRule="auto"/>
        <w:jc w:val="both"/>
        <w:rPr>
          <w:rFonts w:ascii="Times New Roman" w:eastAsia="Times New Roman" w:hAnsi="Times New Roman" w:cs="Times New Roman"/>
          <w:b/>
          <w:sz w:val="24"/>
          <w:szCs w:val="24"/>
          <w:lang w:val="en-GB"/>
        </w:rPr>
      </w:pPr>
      <w:r w:rsidRPr="007E3A51">
        <w:rPr>
          <w:rFonts w:ascii="Times New Roman" w:eastAsia="Times New Roman" w:hAnsi="Times New Roman" w:cs="Times New Roman"/>
          <w:b/>
          <w:sz w:val="24"/>
          <w:szCs w:val="24"/>
          <w:lang w:val="en-GB"/>
        </w:rPr>
        <w:t>3. Results</w:t>
      </w:r>
    </w:p>
    <w:p w14:paraId="478F42A8" w14:textId="77777777" w:rsidR="0044738D" w:rsidRPr="007E3A51" w:rsidRDefault="0044738D" w:rsidP="00D7631B">
      <w:pPr>
        <w:spacing w:after="120" w:line="240" w:lineRule="auto"/>
        <w:jc w:val="both"/>
        <w:rPr>
          <w:rFonts w:ascii="Times New Roman" w:hAnsi="Times New Roman" w:cs="Times New Roman"/>
          <w:i/>
          <w:iCs/>
          <w:lang w:val="en-GB"/>
        </w:rPr>
      </w:pPr>
      <w:r w:rsidRPr="007E3A51">
        <w:rPr>
          <w:rFonts w:ascii="Times New Roman" w:hAnsi="Times New Roman" w:cs="Times New Roman"/>
          <w:i/>
          <w:iCs/>
          <w:lang w:val="en-GB"/>
        </w:rPr>
        <w:t>The impact of war on food security</w:t>
      </w:r>
    </w:p>
    <w:p w14:paraId="5DFD00F2" w14:textId="13B461AA" w:rsidR="0044738D" w:rsidRPr="007E3A51" w:rsidRDefault="002773C1" w:rsidP="002C1330">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Rudolfsen et al. (2024) </w:t>
      </w:r>
      <w:r w:rsidR="0044738D" w:rsidRPr="007E3A51">
        <w:rPr>
          <w:rFonts w:ascii="Times New Roman" w:hAnsi="Times New Roman" w:cs="Times New Roman"/>
          <w:lang w:val="en-GB"/>
        </w:rPr>
        <w:t xml:space="preserve">investigated how war affects food insecurity in Ukraine. Based on other studies, they note that military conflicts are the </w:t>
      </w:r>
      <w:r w:rsidR="00EE0D09" w:rsidRPr="007E3A51">
        <w:rPr>
          <w:rFonts w:ascii="Times New Roman" w:hAnsi="Times New Roman" w:cs="Times New Roman"/>
          <w:lang w:val="en-GB"/>
        </w:rPr>
        <w:t>primary</w:t>
      </w:r>
      <w:r w:rsidR="0044738D" w:rsidRPr="007E3A51">
        <w:rPr>
          <w:rFonts w:ascii="Times New Roman" w:hAnsi="Times New Roman" w:cs="Times New Roman"/>
          <w:lang w:val="en-GB"/>
        </w:rPr>
        <w:t xml:space="preserve"> driver of food insecurity.</w:t>
      </w:r>
    </w:p>
    <w:p w14:paraId="4E1A1C8E" w14:textId="62D49807" w:rsidR="0044738D" w:rsidRPr="007E3A51" w:rsidRDefault="0044738D" w:rsidP="002C1330">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Vesco</w:t>
      </w:r>
      <w:r w:rsidR="000045C9" w:rsidRPr="007E3A51">
        <w:rPr>
          <w:rFonts w:ascii="Times New Roman" w:hAnsi="Times New Roman" w:cs="Times New Roman"/>
          <w:lang w:val="en-GB"/>
        </w:rPr>
        <w:t xml:space="preserve"> et al. (2025)</w:t>
      </w:r>
      <w:r w:rsidRPr="007E3A51">
        <w:rPr>
          <w:rFonts w:ascii="Times New Roman" w:hAnsi="Times New Roman" w:cs="Times New Roman"/>
          <w:lang w:val="en-GB"/>
        </w:rPr>
        <w:t xml:space="preserve"> with co-authors conducted an in-depth study of the impact of military conflicts on human capital, considering it in different aspects</w:t>
      </w:r>
      <w:r w:rsidR="006C5B57" w:rsidRPr="007E3A51">
        <w:rPr>
          <w:rFonts w:ascii="Times New Roman" w:hAnsi="Times New Roman" w:cs="Times New Roman"/>
          <w:lang w:val="en-GB"/>
        </w:rPr>
        <w:t xml:space="preserve"> such as</w:t>
      </w:r>
      <w:r w:rsidRPr="007E3A51">
        <w:rPr>
          <w:rFonts w:ascii="Times New Roman" w:hAnsi="Times New Roman" w:cs="Times New Roman"/>
          <w:lang w:val="en-GB"/>
        </w:rPr>
        <w:t xml:space="preserve"> health, education, income and livelihoods, economic growth and investment, political institutions, the agri-food sector</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and food security etc. The researchers note that military conflicts affect human development both directly and indirectly. Previous studies </w:t>
      </w:r>
      <w:r w:rsidR="00E81C49" w:rsidRPr="007E3A51">
        <w:rPr>
          <w:rFonts w:ascii="Times New Roman" w:hAnsi="Times New Roman" w:cs="Times New Roman"/>
          <w:lang w:val="en-GB"/>
        </w:rPr>
        <w:t>confirm</w:t>
      </w:r>
      <w:r w:rsidRPr="007E3A51">
        <w:rPr>
          <w:rFonts w:ascii="Times New Roman" w:hAnsi="Times New Roman" w:cs="Times New Roman"/>
          <w:lang w:val="en-GB"/>
        </w:rPr>
        <w:t xml:space="preserve"> the negative impact of war on access to and availability of food. They </w:t>
      </w:r>
      <w:r w:rsidR="00FA2C1B" w:rsidRPr="007E3A51">
        <w:rPr>
          <w:rFonts w:ascii="Times New Roman" w:hAnsi="Times New Roman" w:cs="Times New Roman"/>
          <w:lang w:val="en-GB"/>
        </w:rPr>
        <w:t>emphasize</w:t>
      </w:r>
      <w:r w:rsidRPr="007E3A51">
        <w:rPr>
          <w:rFonts w:ascii="Times New Roman" w:hAnsi="Times New Roman" w:cs="Times New Roman"/>
          <w:lang w:val="en-GB"/>
        </w:rPr>
        <w:t xml:space="preserve"> that violence reduce</w:t>
      </w:r>
      <w:r w:rsidR="008D5F7D" w:rsidRPr="007E3A51">
        <w:rPr>
          <w:rFonts w:ascii="Times New Roman" w:hAnsi="Times New Roman" w:cs="Times New Roman"/>
          <w:lang w:val="en-GB"/>
        </w:rPr>
        <w:t>s</w:t>
      </w:r>
      <w:r w:rsidRPr="007E3A51">
        <w:rPr>
          <w:rFonts w:ascii="Times New Roman" w:hAnsi="Times New Roman" w:cs="Times New Roman"/>
          <w:lang w:val="en-GB"/>
        </w:rPr>
        <w:t xml:space="preserve"> food production, which is fully correlated with what we are facing in Ukraine today.</w:t>
      </w:r>
    </w:p>
    <w:p w14:paraId="5AC648DA" w14:textId="10D93829" w:rsidR="0044738D" w:rsidRPr="007E3A51" w:rsidRDefault="0044738D" w:rsidP="002C1330">
      <w:pPr>
        <w:spacing w:after="0" w:line="240" w:lineRule="auto"/>
        <w:ind w:firstLine="284"/>
        <w:jc w:val="both"/>
        <w:rPr>
          <w:rFonts w:ascii="Times New Roman" w:hAnsi="Times New Roman" w:cs="Times New Roman"/>
          <w:shd w:val="clear" w:color="auto" w:fill="FFFFFF"/>
          <w:lang w:val="en-GB"/>
        </w:rPr>
      </w:pPr>
      <w:r w:rsidRPr="007E3A51">
        <w:rPr>
          <w:rFonts w:ascii="Times New Roman" w:hAnsi="Times New Roman" w:cs="Times New Roman"/>
          <w:shd w:val="clear" w:color="auto" w:fill="FFFFFF"/>
          <w:lang w:val="en-GB"/>
        </w:rPr>
        <w:t>Leal Filho W. and co-authors note that until 2014, the issues of overcoming the problem of food security were successfully resolved, but after that</w:t>
      </w:r>
      <w:r w:rsidR="005369B2" w:rsidRPr="007E3A51">
        <w:rPr>
          <w:rFonts w:ascii="Times New Roman" w:hAnsi="Times New Roman" w:cs="Times New Roman"/>
          <w:shd w:val="clear" w:color="auto" w:fill="FFFFFF"/>
          <w:lang w:val="en-GB"/>
        </w:rPr>
        <w:t>,</w:t>
      </w:r>
      <w:r w:rsidRPr="007E3A51">
        <w:rPr>
          <w:rFonts w:ascii="Times New Roman" w:hAnsi="Times New Roman" w:cs="Times New Roman"/>
          <w:shd w:val="clear" w:color="auto" w:fill="FFFFFF"/>
          <w:lang w:val="en-GB"/>
        </w:rPr>
        <w:t xml:space="preserve"> the deterioration of this trend started. The </w:t>
      </w:r>
      <w:r w:rsidR="00F15E10" w:rsidRPr="007E3A51">
        <w:rPr>
          <w:rFonts w:ascii="Times New Roman" w:hAnsi="Times New Roman" w:cs="Times New Roman"/>
          <w:shd w:val="clear" w:color="auto" w:fill="FFFFFF"/>
          <w:lang w:val="en-GB"/>
        </w:rPr>
        <w:t>global</w:t>
      </w:r>
      <w:r w:rsidRPr="007E3A51">
        <w:rPr>
          <w:rFonts w:ascii="Times New Roman" w:hAnsi="Times New Roman" w:cs="Times New Roman"/>
          <w:shd w:val="clear" w:color="auto" w:fill="FFFFFF"/>
          <w:lang w:val="en-GB"/>
        </w:rPr>
        <w:t xml:space="preserve"> community </w:t>
      </w:r>
      <w:r w:rsidR="005C3874" w:rsidRPr="007E3A51">
        <w:rPr>
          <w:rFonts w:ascii="Times New Roman" w:hAnsi="Times New Roman" w:cs="Times New Roman"/>
          <w:shd w:val="clear" w:color="auto" w:fill="FFFFFF"/>
          <w:lang w:val="en-GB"/>
        </w:rPr>
        <w:t>had not yet recovered</w:t>
      </w:r>
      <w:r w:rsidRPr="007E3A51">
        <w:rPr>
          <w:rFonts w:ascii="Times New Roman" w:hAnsi="Times New Roman" w:cs="Times New Roman"/>
          <w:shd w:val="clear" w:color="auto" w:fill="FFFFFF"/>
          <w:lang w:val="en-GB"/>
        </w:rPr>
        <w:t xml:space="preserve"> from the COVID-19 pandemic when the war in Ukraine, unleashed by Russia, began. This could not </w:t>
      </w:r>
      <w:r w:rsidR="005369B2" w:rsidRPr="007E3A51">
        <w:rPr>
          <w:rFonts w:ascii="Times New Roman" w:hAnsi="Times New Roman" w:cs="Times New Roman"/>
          <w:shd w:val="clear" w:color="auto" w:fill="FFFFFF"/>
          <w:lang w:val="en-GB"/>
        </w:rPr>
        <w:t xml:space="preserve">help </w:t>
      </w:r>
      <w:r w:rsidRPr="007E3A51">
        <w:rPr>
          <w:rFonts w:ascii="Times New Roman" w:hAnsi="Times New Roman" w:cs="Times New Roman"/>
          <w:shd w:val="clear" w:color="auto" w:fill="FFFFFF"/>
          <w:lang w:val="en-GB"/>
        </w:rPr>
        <w:t>but affect food markets and food security (Leal Filho et al</w:t>
      </w:r>
      <w:r w:rsidR="00D35C7F" w:rsidRPr="007E3A51">
        <w:rPr>
          <w:rFonts w:ascii="Times New Roman" w:hAnsi="Times New Roman" w:cs="Times New Roman"/>
          <w:shd w:val="clear" w:color="auto" w:fill="FFFFFF"/>
          <w:lang w:val="en-GB"/>
        </w:rPr>
        <w:t xml:space="preserve">. </w:t>
      </w:r>
      <w:r w:rsidRPr="007E3A51">
        <w:rPr>
          <w:rFonts w:ascii="Times New Roman" w:hAnsi="Times New Roman" w:cs="Times New Roman"/>
          <w:shd w:val="clear" w:color="auto" w:fill="FFFFFF"/>
          <w:lang w:val="en-GB"/>
        </w:rPr>
        <w:t>2023</w:t>
      </w:r>
      <w:r w:rsidR="00EA6B77" w:rsidRPr="007E3A51">
        <w:rPr>
          <w:rFonts w:ascii="Times New Roman" w:hAnsi="Times New Roman" w:cs="Times New Roman"/>
          <w:shd w:val="clear" w:color="auto" w:fill="FFFFFF"/>
          <w:lang w:val="en-GB"/>
        </w:rPr>
        <w:t>,</w:t>
      </w:r>
      <w:r w:rsidR="009E3F0D" w:rsidRPr="007E3A51">
        <w:rPr>
          <w:rFonts w:ascii="Times New Roman" w:hAnsi="Times New Roman" w:cs="Times New Roman"/>
          <w:shd w:val="clear" w:color="auto" w:fill="FFFFFF"/>
          <w:lang w:val="en-GB"/>
        </w:rPr>
        <w:t xml:space="preserve"> </w:t>
      </w:r>
      <w:proofErr w:type="spellStart"/>
      <w:r w:rsidR="009E3F0D" w:rsidRPr="007E3A51">
        <w:rPr>
          <w:rFonts w:ascii="Times New Roman" w:hAnsi="Times New Roman" w:cs="Times New Roman"/>
          <w:shd w:val="clear" w:color="auto" w:fill="FFFFFF"/>
          <w:lang w:val="en-GB"/>
        </w:rPr>
        <w:t>Shovkun-Zablotska</w:t>
      </w:r>
      <w:proofErr w:type="spellEnd"/>
      <w:r w:rsidR="009E3F0D" w:rsidRPr="007E3A51">
        <w:rPr>
          <w:rFonts w:ascii="Times New Roman" w:hAnsi="Times New Roman" w:cs="Times New Roman"/>
          <w:shd w:val="clear" w:color="auto" w:fill="FFFFFF"/>
          <w:lang w:val="en-GB"/>
        </w:rPr>
        <w:t xml:space="preserve"> et al. 2024</w:t>
      </w:r>
      <w:r w:rsidRPr="007E3A51">
        <w:rPr>
          <w:rFonts w:ascii="Times New Roman" w:hAnsi="Times New Roman" w:cs="Times New Roman"/>
          <w:shd w:val="clear" w:color="auto" w:fill="FFFFFF"/>
          <w:lang w:val="en-GB"/>
        </w:rPr>
        <w:t xml:space="preserve">). Thus, the war in Ukraine </w:t>
      </w:r>
      <w:r w:rsidR="00D872A5" w:rsidRPr="007E3A51">
        <w:rPr>
          <w:rFonts w:ascii="Times New Roman" w:hAnsi="Times New Roman" w:cs="Times New Roman"/>
          <w:shd w:val="clear" w:color="auto" w:fill="FFFFFF"/>
          <w:lang w:val="en-GB"/>
        </w:rPr>
        <w:t>influenced</w:t>
      </w:r>
      <w:r w:rsidRPr="007E3A51">
        <w:rPr>
          <w:rFonts w:ascii="Times New Roman" w:hAnsi="Times New Roman" w:cs="Times New Roman"/>
          <w:shd w:val="clear" w:color="auto" w:fill="FFFFFF"/>
          <w:lang w:val="en-GB"/>
        </w:rPr>
        <w:t xml:space="preserve"> the entire world community precisely in terms of food security, </w:t>
      </w:r>
      <w:r w:rsidR="00FD4E25" w:rsidRPr="007E3A51">
        <w:rPr>
          <w:rFonts w:ascii="Times New Roman" w:hAnsi="Times New Roman" w:cs="Times New Roman"/>
          <w:shd w:val="clear" w:color="auto" w:fill="FFFFFF"/>
          <w:lang w:val="en-GB"/>
        </w:rPr>
        <w:t>since</w:t>
      </w:r>
      <w:r w:rsidRPr="007E3A51">
        <w:rPr>
          <w:rFonts w:ascii="Times New Roman" w:hAnsi="Times New Roman" w:cs="Times New Roman"/>
          <w:shd w:val="clear" w:color="auto" w:fill="FFFFFF"/>
          <w:lang w:val="en-GB"/>
        </w:rPr>
        <w:t xml:space="preserve"> Ukraine is a global producer and exporter of grain products in the world (</w:t>
      </w:r>
      <w:proofErr w:type="spellStart"/>
      <w:r w:rsidR="00254F1A" w:rsidRPr="007E3A51">
        <w:rPr>
          <w:rFonts w:ascii="Times New Roman" w:hAnsi="Times New Roman" w:cs="Times New Roman"/>
          <w:bCs/>
          <w:lang w:val="en-GB"/>
        </w:rPr>
        <w:t>Petrychenko</w:t>
      </w:r>
      <w:proofErr w:type="spellEnd"/>
      <w:r w:rsidR="00254F1A" w:rsidRPr="007E3A51">
        <w:rPr>
          <w:rFonts w:ascii="Times New Roman" w:hAnsi="Times New Roman" w:cs="Times New Roman"/>
          <w:shd w:val="clear" w:color="auto" w:fill="FFFFFF"/>
          <w:lang w:val="en-GB"/>
        </w:rPr>
        <w:t xml:space="preserve"> et al. 2022</w:t>
      </w:r>
      <w:r w:rsidR="00EA6B77" w:rsidRPr="007E3A51">
        <w:rPr>
          <w:rFonts w:ascii="Times New Roman" w:hAnsi="Times New Roman" w:cs="Times New Roman"/>
          <w:shd w:val="clear" w:color="auto" w:fill="FFFFFF"/>
          <w:lang w:val="en-GB"/>
        </w:rPr>
        <w:t>,</w:t>
      </w:r>
      <w:r w:rsidR="00254F1A" w:rsidRPr="007E3A51">
        <w:rPr>
          <w:rFonts w:ascii="Times New Roman" w:hAnsi="Times New Roman" w:cs="Times New Roman"/>
          <w:shd w:val="clear" w:color="auto" w:fill="FFFFFF"/>
          <w:lang w:val="en-GB"/>
        </w:rPr>
        <w:t xml:space="preserve"> </w:t>
      </w:r>
      <w:r w:rsidRPr="007E3A51">
        <w:rPr>
          <w:rFonts w:ascii="Times New Roman" w:hAnsi="Times New Roman" w:cs="Times New Roman"/>
          <w:shd w:val="clear" w:color="auto" w:fill="FFFFFF"/>
          <w:lang w:val="en-GB"/>
        </w:rPr>
        <w:t>Lin et al</w:t>
      </w:r>
      <w:r w:rsidR="00D35C7F" w:rsidRPr="007E3A51">
        <w:rPr>
          <w:rFonts w:ascii="Times New Roman" w:hAnsi="Times New Roman" w:cs="Times New Roman"/>
          <w:shd w:val="clear" w:color="auto" w:fill="FFFFFF"/>
          <w:lang w:val="en-GB"/>
        </w:rPr>
        <w:t xml:space="preserve">. </w:t>
      </w:r>
      <w:r w:rsidRPr="007E3A51">
        <w:rPr>
          <w:rFonts w:ascii="Times New Roman" w:hAnsi="Times New Roman" w:cs="Times New Roman"/>
          <w:shd w:val="clear" w:color="auto" w:fill="FFFFFF"/>
          <w:lang w:val="en-GB"/>
        </w:rPr>
        <w:t>2023).</w:t>
      </w:r>
    </w:p>
    <w:p w14:paraId="6AE47D28" w14:textId="073B9672" w:rsidR="006C4E70" w:rsidRPr="007E3A51" w:rsidRDefault="0044738D" w:rsidP="002C1330">
      <w:pPr>
        <w:spacing w:after="0" w:line="240" w:lineRule="auto"/>
        <w:ind w:firstLine="284"/>
        <w:jc w:val="both"/>
        <w:rPr>
          <w:rFonts w:ascii="Times New Roman" w:hAnsi="Times New Roman" w:cs="Times New Roman"/>
          <w:shd w:val="clear" w:color="auto" w:fill="FFFFFF"/>
          <w:lang w:val="en-GB"/>
        </w:rPr>
      </w:pPr>
      <w:r w:rsidRPr="007E3A51">
        <w:rPr>
          <w:rFonts w:ascii="Times New Roman" w:hAnsi="Times New Roman" w:cs="Times New Roman"/>
          <w:shd w:val="clear" w:color="auto" w:fill="FFFFFF"/>
          <w:lang w:val="en-GB"/>
        </w:rPr>
        <w:t>In develop</w:t>
      </w:r>
      <w:r w:rsidR="00BF308A" w:rsidRPr="007E3A51">
        <w:rPr>
          <w:rFonts w:ascii="Times New Roman" w:hAnsi="Times New Roman" w:cs="Times New Roman"/>
          <w:shd w:val="clear" w:color="auto" w:fill="FFFFFF"/>
          <w:lang w:val="en-GB"/>
        </w:rPr>
        <w:t>ing</w:t>
      </w:r>
      <w:r w:rsidRPr="007E3A51">
        <w:rPr>
          <w:rFonts w:ascii="Times New Roman" w:hAnsi="Times New Roman" w:cs="Times New Roman"/>
          <w:shd w:val="clear" w:color="auto" w:fill="FFFFFF"/>
          <w:lang w:val="en-GB"/>
        </w:rPr>
        <w:t xml:space="preserve"> our further research, we turn to the interpretation of the concepts of food security and food insecurity (Table 1).</w:t>
      </w:r>
      <w:r w:rsidR="007E08D9" w:rsidRPr="007E3A51">
        <w:rPr>
          <w:rFonts w:ascii="Times New Roman" w:hAnsi="Times New Roman" w:cs="Times New Roman"/>
          <w:shd w:val="clear" w:color="auto" w:fill="FFFFFF"/>
          <w:lang w:val="en-GB"/>
        </w:rPr>
        <w:t xml:space="preserve"> </w:t>
      </w:r>
      <w:r w:rsidRPr="007E3A51">
        <w:rPr>
          <w:rFonts w:ascii="Times New Roman" w:hAnsi="Times New Roman" w:cs="Times New Roman"/>
          <w:lang w:val="en-GB"/>
        </w:rPr>
        <w:t xml:space="preserve">Table 1 illustrates the main interpretations of the concepts we have mentioned. It was </w:t>
      </w:r>
      <w:r w:rsidR="00EE0D09" w:rsidRPr="007E3A51">
        <w:rPr>
          <w:rFonts w:ascii="Times New Roman" w:hAnsi="Times New Roman" w:cs="Times New Roman"/>
          <w:lang w:val="en-GB"/>
        </w:rPr>
        <w:t>essential</w:t>
      </w:r>
      <w:r w:rsidRPr="007E3A51">
        <w:rPr>
          <w:rFonts w:ascii="Times New Roman" w:hAnsi="Times New Roman" w:cs="Times New Roman"/>
          <w:lang w:val="en-GB"/>
        </w:rPr>
        <w:t xml:space="preserve"> to </w:t>
      </w:r>
      <w:r w:rsidR="005E4A79" w:rsidRPr="007E3A51">
        <w:rPr>
          <w:rFonts w:ascii="Times New Roman" w:hAnsi="Times New Roman" w:cs="Times New Roman"/>
          <w:lang w:val="en-GB"/>
        </w:rPr>
        <w:t xml:space="preserve">highlight </w:t>
      </w:r>
      <w:r w:rsidRPr="007E3A51">
        <w:rPr>
          <w:rFonts w:ascii="Times New Roman" w:hAnsi="Times New Roman" w:cs="Times New Roman"/>
          <w:lang w:val="en-GB"/>
        </w:rPr>
        <w:t xml:space="preserve">them because they </w:t>
      </w:r>
      <w:r w:rsidR="00316F09" w:rsidRPr="007E3A51">
        <w:rPr>
          <w:rFonts w:ascii="Times New Roman" w:hAnsi="Times New Roman" w:cs="Times New Roman"/>
          <w:lang w:val="en-GB"/>
        </w:rPr>
        <w:t>show</w:t>
      </w:r>
      <w:r w:rsidRPr="007E3A51">
        <w:rPr>
          <w:rFonts w:ascii="Times New Roman" w:hAnsi="Times New Roman" w:cs="Times New Roman"/>
          <w:lang w:val="en-GB"/>
        </w:rPr>
        <w:t xml:space="preserve"> that the basis of food security is not only the provision of food, but also safe and nutritious food that </w:t>
      </w:r>
      <w:r w:rsidR="00AF1849" w:rsidRPr="007E3A51">
        <w:rPr>
          <w:rFonts w:ascii="Times New Roman" w:hAnsi="Times New Roman" w:cs="Times New Roman"/>
          <w:lang w:val="en-GB"/>
        </w:rPr>
        <w:t xml:space="preserve">enables </w:t>
      </w:r>
      <w:r w:rsidRPr="007E3A51">
        <w:rPr>
          <w:rFonts w:ascii="Times New Roman" w:hAnsi="Times New Roman" w:cs="Times New Roman"/>
          <w:lang w:val="en-GB"/>
        </w:rPr>
        <w:t>a</w:t>
      </w:r>
      <w:r w:rsidR="00D813B2" w:rsidRPr="007E3A51">
        <w:rPr>
          <w:rFonts w:ascii="Times New Roman" w:hAnsi="Times New Roman" w:cs="Times New Roman"/>
          <w:lang w:val="en-GB"/>
        </w:rPr>
        <w:t xml:space="preserve">n active, </w:t>
      </w:r>
      <w:r w:rsidR="00EE0D09" w:rsidRPr="007E3A51">
        <w:rPr>
          <w:rFonts w:ascii="Times New Roman" w:hAnsi="Times New Roman" w:cs="Times New Roman"/>
          <w:lang w:val="en-GB"/>
        </w:rPr>
        <w:t>complete</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and healthy life.</w:t>
      </w:r>
    </w:p>
    <w:p w14:paraId="24987F7B" w14:textId="77777777" w:rsidR="009E3F0D" w:rsidRPr="007E3A51" w:rsidRDefault="009E3F0D" w:rsidP="002C1330">
      <w:pPr>
        <w:spacing w:after="0" w:line="240" w:lineRule="auto"/>
        <w:ind w:firstLine="284"/>
        <w:jc w:val="both"/>
        <w:rPr>
          <w:rFonts w:ascii="Times New Roman" w:hAnsi="Times New Roman" w:cs="Times New Roman"/>
          <w:lang w:val="en-GB"/>
        </w:rPr>
      </w:pPr>
    </w:p>
    <w:p w14:paraId="2C31CA5D" w14:textId="7E000E71" w:rsidR="0044738D" w:rsidRPr="007E3A51" w:rsidRDefault="0044738D" w:rsidP="00315868">
      <w:pPr>
        <w:pStyle w:val="Rtab"/>
        <w:rPr>
          <w:lang w:val="en-GB"/>
        </w:rPr>
      </w:pPr>
      <w:r w:rsidRPr="007E3A51">
        <w:rPr>
          <w:b/>
          <w:bCs/>
          <w:lang w:val="en-GB"/>
        </w:rPr>
        <w:t>Table 1.</w:t>
      </w:r>
      <w:r w:rsidRPr="007E3A51">
        <w:rPr>
          <w:lang w:val="en-GB"/>
        </w:rPr>
        <w:t xml:space="preserve"> Main approaches to the interpretation of the concepts of </w:t>
      </w:r>
      <w:r w:rsidR="005369B2" w:rsidRPr="007E3A51">
        <w:rPr>
          <w:lang w:val="en-GB"/>
        </w:rPr>
        <w:t>"</w:t>
      </w:r>
      <w:r w:rsidRPr="007E3A51">
        <w:rPr>
          <w:lang w:val="en-GB"/>
        </w:rPr>
        <w:t>food security</w:t>
      </w:r>
      <w:r w:rsidR="005369B2" w:rsidRPr="007E3A51">
        <w:rPr>
          <w:lang w:val="en-GB"/>
        </w:rPr>
        <w:t>"</w:t>
      </w:r>
      <w:r w:rsidRPr="007E3A51">
        <w:rPr>
          <w:lang w:val="en-GB"/>
        </w:rPr>
        <w:t xml:space="preserve"> and </w:t>
      </w:r>
      <w:r w:rsidR="005369B2" w:rsidRPr="007E3A51">
        <w:rPr>
          <w:lang w:val="en-GB"/>
        </w:rPr>
        <w:t>"</w:t>
      </w:r>
      <w:r w:rsidRPr="007E3A51">
        <w:rPr>
          <w:lang w:val="en-GB"/>
        </w:rPr>
        <w:t>food safety</w:t>
      </w:r>
      <w:r w:rsidR="005369B2" w:rsidRPr="007E3A51">
        <w:rPr>
          <w:lang w:val="en-GB"/>
        </w:rPr>
        <w:t>"</w:t>
      </w:r>
    </w:p>
    <w:tbl>
      <w:tblPr>
        <w:tblStyle w:val="Tabela-Siatka"/>
        <w:tblW w:w="9634" w:type="dxa"/>
        <w:tblLook w:val="04A0" w:firstRow="1" w:lastRow="0" w:firstColumn="1" w:lastColumn="0" w:noHBand="0" w:noVBand="1"/>
      </w:tblPr>
      <w:tblGrid>
        <w:gridCol w:w="2122"/>
        <w:gridCol w:w="2268"/>
        <w:gridCol w:w="5244"/>
      </w:tblGrid>
      <w:tr w:rsidR="00417DD6" w:rsidRPr="007E3A51" w14:paraId="46DCF60A" w14:textId="77777777" w:rsidTr="00D023BF">
        <w:trPr>
          <w:trHeight w:val="283"/>
        </w:trPr>
        <w:tc>
          <w:tcPr>
            <w:tcW w:w="2122" w:type="dxa"/>
          </w:tcPr>
          <w:p w14:paraId="0D2D0E2E" w14:textId="77777777" w:rsidR="0044738D" w:rsidRPr="007E3A51" w:rsidRDefault="0044738D" w:rsidP="00D173EE">
            <w:pPr>
              <w:jc w:val="both"/>
              <w:rPr>
                <w:rFonts w:ascii="Times New Roman" w:hAnsi="Times New Roman" w:cs="Times New Roman"/>
                <w:sz w:val="20"/>
                <w:szCs w:val="20"/>
                <w:lang w:val="en-GB"/>
              </w:rPr>
            </w:pPr>
          </w:p>
        </w:tc>
        <w:tc>
          <w:tcPr>
            <w:tcW w:w="2268" w:type="dxa"/>
            <w:vAlign w:val="center"/>
          </w:tcPr>
          <w:p w14:paraId="1485BDA0" w14:textId="77777777" w:rsidR="0044738D" w:rsidRPr="007E3A51" w:rsidRDefault="0044738D" w:rsidP="00D023BF">
            <w:pPr>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Category</w:t>
            </w:r>
          </w:p>
        </w:tc>
        <w:tc>
          <w:tcPr>
            <w:tcW w:w="5244" w:type="dxa"/>
            <w:vAlign w:val="center"/>
          </w:tcPr>
          <w:p w14:paraId="69C85E77" w14:textId="77777777" w:rsidR="0044738D" w:rsidRPr="007E3A51" w:rsidRDefault="0044738D" w:rsidP="00D023BF">
            <w:pPr>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Characteristics</w:t>
            </w:r>
          </w:p>
        </w:tc>
      </w:tr>
      <w:tr w:rsidR="00417DD6" w:rsidRPr="007E3A51" w14:paraId="140AAAC1" w14:textId="77777777" w:rsidTr="00D023BF">
        <w:trPr>
          <w:trHeight w:val="907"/>
        </w:trPr>
        <w:tc>
          <w:tcPr>
            <w:tcW w:w="2122" w:type="dxa"/>
            <w:vAlign w:val="center"/>
          </w:tcPr>
          <w:p w14:paraId="25D7AC4F" w14:textId="67589A10" w:rsidR="0044738D" w:rsidRPr="007E3A51" w:rsidRDefault="0044738D" w:rsidP="00D173EE">
            <w:pPr>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1996 World Food </w:t>
            </w:r>
            <w:r w:rsidR="0070469E" w:rsidRPr="007E3A51">
              <w:rPr>
                <w:rFonts w:ascii="Times New Roman" w:hAnsi="Times New Roman" w:cs="Times New Roman"/>
                <w:sz w:val="20"/>
                <w:szCs w:val="20"/>
                <w:lang w:val="en-GB"/>
              </w:rPr>
              <w:br/>
            </w:r>
            <w:r w:rsidRPr="007E3A51">
              <w:rPr>
                <w:rFonts w:ascii="Times New Roman" w:hAnsi="Times New Roman" w:cs="Times New Roman"/>
                <w:sz w:val="20"/>
                <w:szCs w:val="20"/>
                <w:lang w:val="en-GB"/>
              </w:rPr>
              <w:t>Summit</w:t>
            </w:r>
          </w:p>
        </w:tc>
        <w:tc>
          <w:tcPr>
            <w:tcW w:w="2268" w:type="dxa"/>
            <w:vMerge w:val="restart"/>
            <w:vAlign w:val="center"/>
          </w:tcPr>
          <w:p w14:paraId="5DFA21E6" w14:textId="77777777" w:rsidR="0044738D" w:rsidRPr="007E3A51" w:rsidRDefault="0044738D" w:rsidP="00D173EE">
            <w:pPr>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Food security</w:t>
            </w:r>
          </w:p>
        </w:tc>
        <w:tc>
          <w:tcPr>
            <w:tcW w:w="5244" w:type="dxa"/>
            <w:vAlign w:val="center"/>
          </w:tcPr>
          <w:p w14:paraId="5FF34E2B" w14:textId="77777777" w:rsidR="0044738D" w:rsidRPr="007E3A51" w:rsidRDefault="0044738D" w:rsidP="0070469E">
            <w:pPr>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When all people, at all times, have physical and economic access to sufficient safe and nutritious food that meets their dietary needs and food preferences for an active and healthy life. </w:t>
            </w:r>
          </w:p>
        </w:tc>
      </w:tr>
      <w:tr w:rsidR="00417DD6" w:rsidRPr="007E3A51" w14:paraId="73A3CBA8" w14:textId="77777777" w:rsidTr="00D023BF">
        <w:trPr>
          <w:trHeight w:val="737"/>
        </w:trPr>
        <w:tc>
          <w:tcPr>
            <w:tcW w:w="2122" w:type="dxa"/>
            <w:vAlign w:val="center"/>
          </w:tcPr>
          <w:p w14:paraId="78456D80" w14:textId="263957CD" w:rsidR="0044738D" w:rsidRPr="007E3A51" w:rsidRDefault="0044738D" w:rsidP="00D173EE">
            <w:pPr>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World </w:t>
            </w:r>
            <w:r w:rsidR="005369B2" w:rsidRPr="007E3A51">
              <w:rPr>
                <w:rFonts w:ascii="Times New Roman" w:hAnsi="Times New Roman" w:cs="Times New Roman"/>
                <w:sz w:val="20"/>
                <w:szCs w:val="20"/>
                <w:lang w:val="en-GB"/>
              </w:rPr>
              <w:t xml:space="preserve">Food </w:t>
            </w:r>
            <w:r w:rsidR="00B360FA" w:rsidRPr="007E3A51">
              <w:rPr>
                <w:rFonts w:ascii="Times New Roman" w:hAnsi="Times New Roman" w:cs="Times New Roman"/>
                <w:sz w:val="20"/>
                <w:szCs w:val="20"/>
                <w:lang w:val="en-GB"/>
              </w:rPr>
              <w:br/>
            </w:r>
            <w:r w:rsidR="005369B2" w:rsidRPr="007E3A51">
              <w:rPr>
                <w:rFonts w:ascii="Times New Roman" w:hAnsi="Times New Roman" w:cs="Times New Roman"/>
                <w:sz w:val="20"/>
                <w:szCs w:val="20"/>
                <w:lang w:val="en-GB"/>
              </w:rPr>
              <w:t>P</w:t>
            </w:r>
            <w:r w:rsidRPr="007E3A51">
              <w:rPr>
                <w:rFonts w:ascii="Times New Roman" w:hAnsi="Times New Roman" w:cs="Times New Roman"/>
                <w:sz w:val="20"/>
                <w:szCs w:val="20"/>
                <w:lang w:val="en-GB"/>
              </w:rPr>
              <w:t>rogramme</w:t>
            </w:r>
          </w:p>
        </w:tc>
        <w:tc>
          <w:tcPr>
            <w:tcW w:w="2268" w:type="dxa"/>
            <w:vMerge/>
            <w:vAlign w:val="center"/>
          </w:tcPr>
          <w:p w14:paraId="1A86BAF8" w14:textId="77777777" w:rsidR="0044738D" w:rsidRPr="007E3A51" w:rsidRDefault="0044738D" w:rsidP="00D173EE">
            <w:pPr>
              <w:jc w:val="center"/>
              <w:rPr>
                <w:rFonts w:ascii="Times New Roman" w:hAnsi="Times New Roman" w:cs="Times New Roman"/>
                <w:sz w:val="20"/>
                <w:szCs w:val="20"/>
                <w:lang w:val="en-GB"/>
              </w:rPr>
            </w:pPr>
          </w:p>
        </w:tc>
        <w:tc>
          <w:tcPr>
            <w:tcW w:w="5244" w:type="dxa"/>
            <w:vAlign w:val="center"/>
          </w:tcPr>
          <w:p w14:paraId="3DBF6C20" w14:textId="77777777" w:rsidR="0044738D" w:rsidRPr="007E3A51" w:rsidRDefault="0044738D" w:rsidP="0070469E">
            <w:pPr>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When people have access to enough safe and nutritious food for normal growth and development, and an active and healthy life. </w:t>
            </w:r>
          </w:p>
        </w:tc>
      </w:tr>
      <w:tr w:rsidR="00417DD6" w:rsidRPr="007E3A51" w14:paraId="70AABB3B" w14:textId="77777777" w:rsidTr="00D023BF">
        <w:trPr>
          <w:trHeight w:val="510"/>
        </w:trPr>
        <w:tc>
          <w:tcPr>
            <w:tcW w:w="2122" w:type="dxa"/>
            <w:vAlign w:val="center"/>
          </w:tcPr>
          <w:p w14:paraId="6DC8E989" w14:textId="00EA2958" w:rsidR="0044738D" w:rsidRPr="007E3A51" w:rsidRDefault="0044738D" w:rsidP="00D173EE">
            <w:pPr>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World </w:t>
            </w:r>
            <w:r w:rsidR="005369B2" w:rsidRPr="007E3A51">
              <w:rPr>
                <w:rFonts w:ascii="Times New Roman" w:hAnsi="Times New Roman" w:cs="Times New Roman"/>
                <w:sz w:val="20"/>
                <w:szCs w:val="20"/>
                <w:lang w:val="en-GB"/>
              </w:rPr>
              <w:t xml:space="preserve">Food </w:t>
            </w:r>
            <w:r w:rsidR="00B360FA" w:rsidRPr="007E3A51">
              <w:rPr>
                <w:rFonts w:ascii="Times New Roman" w:hAnsi="Times New Roman" w:cs="Times New Roman"/>
                <w:sz w:val="20"/>
                <w:szCs w:val="20"/>
                <w:lang w:val="en-GB"/>
              </w:rPr>
              <w:br/>
            </w:r>
            <w:r w:rsidR="005369B2" w:rsidRPr="007E3A51">
              <w:rPr>
                <w:rFonts w:ascii="Times New Roman" w:hAnsi="Times New Roman" w:cs="Times New Roman"/>
                <w:sz w:val="20"/>
                <w:szCs w:val="20"/>
                <w:lang w:val="en-GB"/>
              </w:rPr>
              <w:t>P</w:t>
            </w:r>
            <w:r w:rsidRPr="007E3A51">
              <w:rPr>
                <w:rFonts w:ascii="Times New Roman" w:hAnsi="Times New Roman" w:cs="Times New Roman"/>
                <w:sz w:val="20"/>
                <w:szCs w:val="20"/>
                <w:lang w:val="en-GB"/>
              </w:rPr>
              <w:t>rogramme</w:t>
            </w:r>
          </w:p>
        </w:tc>
        <w:tc>
          <w:tcPr>
            <w:tcW w:w="2268" w:type="dxa"/>
            <w:vAlign w:val="center"/>
          </w:tcPr>
          <w:p w14:paraId="4FB41033" w14:textId="77777777" w:rsidR="0044738D" w:rsidRPr="007E3A51" w:rsidRDefault="0044738D" w:rsidP="00D173EE">
            <w:pPr>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Food insecurity</w:t>
            </w:r>
          </w:p>
        </w:tc>
        <w:tc>
          <w:tcPr>
            <w:tcW w:w="5244" w:type="dxa"/>
            <w:vAlign w:val="center"/>
          </w:tcPr>
          <w:p w14:paraId="49DE4FDD" w14:textId="6651F538" w:rsidR="0044738D" w:rsidRPr="007E3A51" w:rsidRDefault="0044738D" w:rsidP="0070469E">
            <w:pPr>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Refers to when the aforementioned (see </w:t>
            </w:r>
            <w:r w:rsidR="005369B2"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Food security</w:t>
            </w:r>
            <w:r w:rsidR="005369B2"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 do</w:t>
            </w:r>
            <w:r w:rsidR="005369B2" w:rsidRPr="007E3A51">
              <w:rPr>
                <w:rFonts w:ascii="Times New Roman" w:hAnsi="Times New Roman" w:cs="Times New Roman"/>
                <w:sz w:val="20"/>
                <w:szCs w:val="20"/>
                <w:lang w:val="en-GB"/>
              </w:rPr>
              <w:t>es</w:t>
            </w:r>
            <w:r w:rsidRPr="007E3A51">
              <w:rPr>
                <w:rFonts w:ascii="Times New Roman" w:hAnsi="Times New Roman" w:cs="Times New Roman"/>
                <w:sz w:val="20"/>
                <w:szCs w:val="20"/>
                <w:lang w:val="en-GB"/>
              </w:rPr>
              <w:t>n</w:t>
            </w:r>
            <w:r w:rsidR="005369B2"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t exist.</w:t>
            </w:r>
          </w:p>
        </w:tc>
      </w:tr>
      <w:tr w:rsidR="00417DD6" w:rsidRPr="007E3A51" w14:paraId="39DF2E0C" w14:textId="77777777" w:rsidTr="00D023BF">
        <w:trPr>
          <w:trHeight w:val="529"/>
        </w:trPr>
        <w:tc>
          <w:tcPr>
            <w:tcW w:w="2122" w:type="dxa"/>
            <w:vAlign w:val="center"/>
          </w:tcPr>
          <w:p w14:paraId="60DDC07D" w14:textId="3240CE97" w:rsidR="0044738D" w:rsidRPr="007E3A51" w:rsidRDefault="0044738D" w:rsidP="00D173EE">
            <w:pPr>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World </w:t>
            </w:r>
            <w:r w:rsidR="005369B2" w:rsidRPr="007E3A51">
              <w:rPr>
                <w:rFonts w:ascii="Times New Roman" w:hAnsi="Times New Roman" w:cs="Times New Roman"/>
                <w:sz w:val="20"/>
                <w:szCs w:val="20"/>
                <w:lang w:val="en-GB"/>
              </w:rPr>
              <w:t xml:space="preserve">Food </w:t>
            </w:r>
            <w:r w:rsidR="00B360FA" w:rsidRPr="007E3A51">
              <w:rPr>
                <w:rFonts w:ascii="Times New Roman" w:hAnsi="Times New Roman" w:cs="Times New Roman"/>
                <w:sz w:val="20"/>
                <w:szCs w:val="20"/>
                <w:lang w:val="en-GB"/>
              </w:rPr>
              <w:br/>
            </w:r>
            <w:r w:rsidR="005369B2" w:rsidRPr="007E3A51">
              <w:rPr>
                <w:rFonts w:ascii="Times New Roman" w:hAnsi="Times New Roman" w:cs="Times New Roman"/>
                <w:sz w:val="20"/>
                <w:szCs w:val="20"/>
                <w:lang w:val="en-GB"/>
              </w:rPr>
              <w:t>P</w:t>
            </w:r>
            <w:r w:rsidRPr="007E3A51">
              <w:rPr>
                <w:rFonts w:ascii="Times New Roman" w:hAnsi="Times New Roman" w:cs="Times New Roman"/>
                <w:sz w:val="20"/>
                <w:szCs w:val="20"/>
                <w:lang w:val="en-GB"/>
              </w:rPr>
              <w:t>rogramme</w:t>
            </w:r>
          </w:p>
        </w:tc>
        <w:tc>
          <w:tcPr>
            <w:tcW w:w="2268" w:type="dxa"/>
            <w:vAlign w:val="center"/>
          </w:tcPr>
          <w:p w14:paraId="362E7791" w14:textId="77777777" w:rsidR="0044738D" w:rsidRPr="007E3A51" w:rsidRDefault="0044738D" w:rsidP="00D173EE">
            <w:pPr>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Chronic food insecurity</w:t>
            </w:r>
          </w:p>
        </w:tc>
        <w:tc>
          <w:tcPr>
            <w:tcW w:w="5244" w:type="dxa"/>
            <w:vAlign w:val="center"/>
          </w:tcPr>
          <w:p w14:paraId="2FADCEB1" w14:textId="743201C7" w:rsidR="0044738D" w:rsidRPr="007E3A51" w:rsidRDefault="0044738D" w:rsidP="0070469E">
            <w:pPr>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When a person is unable to consume enough food over an extended period to maintain a </w:t>
            </w:r>
            <w:r w:rsidR="00EE0D09" w:rsidRPr="007E3A51">
              <w:rPr>
                <w:rFonts w:ascii="Times New Roman" w:hAnsi="Times New Roman" w:cs="Times New Roman"/>
                <w:sz w:val="20"/>
                <w:szCs w:val="20"/>
                <w:lang w:val="en-GB"/>
              </w:rPr>
              <w:t>regular</w:t>
            </w:r>
            <w:r w:rsidRPr="007E3A51">
              <w:rPr>
                <w:rFonts w:ascii="Times New Roman" w:hAnsi="Times New Roman" w:cs="Times New Roman"/>
                <w:sz w:val="20"/>
                <w:szCs w:val="20"/>
                <w:lang w:val="en-GB"/>
              </w:rPr>
              <w:t>, active</w:t>
            </w:r>
            <w:r w:rsidR="005369B2"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 xml:space="preserve"> and healthy life.</w:t>
            </w:r>
          </w:p>
        </w:tc>
      </w:tr>
      <w:tr w:rsidR="00417DD6" w:rsidRPr="007E3A51" w14:paraId="18FD223D" w14:textId="77777777" w:rsidTr="00D023BF">
        <w:trPr>
          <w:trHeight w:val="813"/>
        </w:trPr>
        <w:tc>
          <w:tcPr>
            <w:tcW w:w="2122" w:type="dxa"/>
            <w:vAlign w:val="center"/>
          </w:tcPr>
          <w:p w14:paraId="41F662B8" w14:textId="77777777" w:rsidR="0044738D" w:rsidRPr="007E3A51" w:rsidRDefault="0044738D" w:rsidP="00D173EE">
            <w:pPr>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Food and Agriculture Organization of the United Nations (FAO)</w:t>
            </w:r>
          </w:p>
        </w:tc>
        <w:tc>
          <w:tcPr>
            <w:tcW w:w="2268" w:type="dxa"/>
            <w:vAlign w:val="center"/>
          </w:tcPr>
          <w:p w14:paraId="2435F6F3" w14:textId="77777777" w:rsidR="0044738D" w:rsidRPr="007E3A51" w:rsidRDefault="0044738D" w:rsidP="00D173EE">
            <w:pPr>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Food insecurity</w:t>
            </w:r>
          </w:p>
        </w:tc>
        <w:tc>
          <w:tcPr>
            <w:tcW w:w="5244" w:type="dxa"/>
            <w:vAlign w:val="center"/>
          </w:tcPr>
          <w:p w14:paraId="454F9468" w14:textId="4AE8D730" w:rsidR="0044738D" w:rsidRPr="007E3A51" w:rsidRDefault="0044738D" w:rsidP="0070469E">
            <w:pPr>
              <w:rPr>
                <w:rFonts w:ascii="Times New Roman" w:hAnsi="Times New Roman" w:cs="Times New Roman"/>
                <w:sz w:val="20"/>
                <w:szCs w:val="20"/>
                <w:lang w:val="en-GB"/>
              </w:rPr>
            </w:pPr>
            <w:r w:rsidRPr="007E3A51">
              <w:rPr>
                <w:rFonts w:ascii="Times New Roman" w:hAnsi="Times New Roman" w:cs="Times New Roman"/>
                <w:sz w:val="20"/>
                <w:szCs w:val="20"/>
                <w:lang w:val="en-GB"/>
              </w:rPr>
              <w:t>When people lack regular access to enough safe and nutritious food for normal growth and development, and an active and healthy life.</w:t>
            </w:r>
          </w:p>
        </w:tc>
      </w:tr>
    </w:tbl>
    <w:p w14:paraId="42174A70" w14:textId="6D4980B4" w:rsidR="0044738D" w:rsidRPr="007E3A51" w:rsidRDefault="0044738D" w:rsidP="00315868">
      <w:pPr>
        <w:spacing w:before="60" w:after="0" w:line="240" w:lineRule="auto"/>
        <w:jc w:val="both"/>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Source: </w:t>
      </w:r>
      <w:r w:rsidR="004E6500" w:rsidRPr="007E3A51">
        <w:rPr>
          <w:rFonts w:ascii="Times New Roman" w:hAnsi="Times New Roman" w:cs="Times New Roman"/>
          <w:sz w:val="20"/>
          <w:szCs w:val="20"/>
          <w:lang w:val="en-GB"/>
        </w:rPr>
        <w:t xml:space="preserve">compiled by the authors based on </w:t>
      </w:r>
      <w:r w:rsidR="009E3F0D" w:rsidRPr="007E3A51">
        <w:rPr>
          <w:rFonts w:ascii="Times New Roman" w:hAnsi="Times New Roman" w:cs="Times New Roman"/>
          <w:sz w:val="20"/>
          <w:szCs w:val="20"/>
          <w:lang w:val="en-GB"/>
        </w:rPr>
        <w:t>World Bank Group (</w:t>
      </w:r>
      <w:proofErr w:type="spellStart"/>
      <w:r w:rsidR="009E3F0D" w:rsidRPr="007E3A51">
        <w:rPr>
          <w:rFonts w:ascii="Times New Roman" w:hAnsi="Times New Roman" w:cs="Times New Roman"/>
          <w:sz w:val="20"/>
          <w:szCs w:val="20"/>
          <w:lang w:val="en-GB"/>
        </w:rPr>
        <w:t>n.a.</w:t>
      </w:r>
      <w:proofErr w:type="spellEnd"/>
      <w:r w:rsidR="009E3F0D"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 xml:space="preserve">; </w:t>
      </w:r>
      <w:r w:rsidR="009E3F0D" w:rsidRPr="007E3A51">
        <w:rPr>
          <w:rFonts w:ascii="Times New Roman" w:hAnsi="Times New Roman" w:cs="Times New Roman"/>
          <w:sz w:val="20"/>
          <w:szCs w:val="20"/>
          <w:lang w:val="en-GB"/>
        </w:rPr>
        <w:t>World Food Programme (2025</w:t>
      </w:r>
      <w:r w:rsidR="005A4864" w:rsidRPr="007E3A51">
        <w:rPr>
          <w:rFonts w:ascii="Times New Roman" w:hAnsi="Times New Roman" w:cs="Times New Roman"/>
          <w:sz w:val="20"/>
          <w:szCs w:val="20"/>
          <w:lang w:val="en-GB"/>
        </w:rPr>
        <w:t>a</w:t>
      </w:r>
      <w:r w:rsidR="009E3F0D"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 xml:space="preserve">; </w:t>
      </w:r>
      <w:r w:rsidR="009E3F0D" w:rsidRPr="007E3A51">
        <w:rPr>
          <w:rFonts w:ascii="Times New Roman" w:hAnsi="Times New Roman" w:cs="Times New Roman"/>
          <w:sz w:val="20"/>
          <w:szCs w:val="20"/>
          <w:lang w:val="en-GB"/>
        </w:rPr>
        <w:t>FAO (2024)</w:t>
      </w:r>
    </w:p>
    <w:p w14:paraId="27B9A501" w14:textId="77777777" w:rsidR="00315868" w:rsidRPr="007E3A51" w:rsidRDefault="00315868" w:rsidP="00315868">
      <w:pPr>
        <w:spacing w:after="0" w:line="240" w:lineRule="auto"/>
        <w:ind w:firstLine="284"/>
        <w:jc w:val="both"/>
        <w:rPr>
          <w:rFonts w:ascii="Times New Roman" w:hAnsi="Times New Roman" w:cs="Times New Roman"/>
          <w:lang w:val="en-GB"/>
        </w:rPr>
      </w:pPr>
    </w:p>
    <w:p w14:paraId="2657C6AA" w14:textId="20242F4B" w:rsidR="0044738D" w:rsidRPr="007E3A51" w:rsidRDefault="0044738D" w:rsidP="00315868">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In addition, food security includes not only the possibility of obtaining food but also the physical and economic component</w:t>
      </w:r>
      <w:r w:rsidR="005369B2" w:rsidRPr="007E3A51">
        <w:rPr>
          <w:rFonts w:ascii="Times New Roman" w:hAnsi="Times New Roman" w:cs="Times New Roman"/>
          <w:lang w:val="en-GB"/>
        </w:rPr>
        <w:t>s</w:t>
      </w:r>
      <w:r w:rsidRPr="007E3A51">
        <w:rPr>
          <w:rFonts w:ascii="Times New Roman" w:hAnsi="Times New Roman" w:cs="Times New Roman"/>
          <w:lang w:val="en-GB"/>
        </w:rPr>
        <w:t xml:space="preserve"> of this process. </w:t>
      </w:r>
      <w:r w:rsidR="00490AF5" w:rsidRPr="007E3A51">
        <w:rPr>
          <w:rFonts w:ascii="Times New Roman" w:hAnsi="Times New Roman" w:cs="Times New Roman"/>
          <w:lang w:val="en-GB"/>
        </w:rPr>
        <w:t>In other words</w:t>
      </w:r>
      <w:r w:rsidRPr="007E3A51">
        <w:rPr>
          <w:rFonts w:ascii="Times New Roman" w:hAnsi="Times New Roman" w:cs="Times New Roman"/>
          <w:lang w:val="en-GB"/>
        </w:rPr>
        <w:t>, a person must have access to purchase this food or physically obtain it. Food insecurity</w:t>
      </w:r>
      <w:r w:rsidR="00C23B56" w:rsidRPr="007E3A51">
        <w:rPr>
          <w:rFonts w:ascii="Times New Roman" w:hAnsi="Times New Roman" w:cs="Times New Roman"/>
          <w:lang w:val="en-GB"/>
        </w:rPr>
        <w:t>, on the contrary,</w:t>
      </w:r>
      <w:r w:rsidRPr="007E3A51">
        <w:rPr>
          <w:rFonts w:ascii="Times New Roman" w:hAnsi="Times New Roman" w:cs="Times New Roman"/>
          <w:lang w:val="en-GB"/>
        </w:rPr>
        <w:t xml:space="preserve"> is the reverse process of food security</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that is, when a person does not have access to nutritious food, there are no resources to obtain it</w:t>
      </w:r>
      <w:r w:rsidR="00B918CC" w:rsidRPr="007E3A51">
        <w:rPr>
          <w:rFonts w:ascii="Times New Roman" w:hAnsi="Times New Roman" w:cs="Times New Roman"/>
          <w:lang w:val="en-GB"/>
        </w:rPr>
        <w:t xml:space="preserve"> directly</w:t>
      </w:r>
      <w:r w:rsidRPr="007E3A51">
        <w:rPr>
          <w:rFonts w:ascii="Times New Roman" w:hAnsi="Times New Roman" w:cs="Times New Roman"/>
          <w:lang w:val="en-GB"/>
        </w:rPr>
        <w:t xml:space="preserve">, which does not allow him/her to lead an active and healthy life. Thus, it can be distinguished that these interpretations are aimed at ensuring a </w:t>
      </w:r>
      <w:r w:rsidR="00EE0D09" w:rsidRPr="007E3A51">
        <w:rPr>
          <w:rFonts w:ascii="Times New Roman" w:hAnsi="Times New Roman" w:cs="Times New Roman"/>
          <w:lang w:val="en-GB"/>
        </w:rPr>
        <w:t>regular</w:t>
      </w:r>
      <w:r w:rsidRPr="007E3A51">
        <w:rPr>
          <w:rFonts w:ascii="Times New Roman" w:hAnsi="Times New Roman" w:cs="Times New Roman"/>
          <w:lang w:val="en-GB"/>
        </w:rPr>
        <w:t xml:space="preserve"> and healthy life, human development</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and growth</w:t>
      </w:r>
      <w:r w:rsidR="009E3F0D" w:rsidRPr="007E3A51">
        <w:rPr>
          <w:rFonts w:ascii="Times New Roman" w:hAnsi="Times New Roman" w:cs="Times New Roman"/>
          <w:lang w:val="en-GB"/>
        </w:rPr>
        <w:t xml:space="preserve"> (</w:t>
      </w:r>
      <w:proofErr w:type="spellStart"/>
      <w:r w:rsidR="00CD17A5" w:rsidRPr="007E3A51">
        <w:rPr>
          <w:rFonts w:ascii="Times New Roman" w:hAnsi="Times New Roman" w:cs="Times New Roman"/>
          <w:lang w:val="en-GB"/>
        </w:rPr>
        <w:t>Fatkhutdinov</w:t>
      </w:r>
      <w:proofErr w:type="spellEnd"/>
      <w:r w:rsidR="00CD17A5" w:rsidRPr="007E3A51">
        <w:rPr>
          <w:rFonts w:ascii="Times New Roman" w:hAnsi="Times New Roman" w:cs="Times New Roman"/>
          <w:lang w:val="en-GB"/>
        </w:rPr>
        <w:t xml:space="preserve"> et al. 2021</w:t>
      </w:r>
      <w:r w:rsidR="00EA6B77" w:rsidRPr="007E3A51">
        <w:rPr>
          <w:rFonts w:ascii="Times New Roman" w:hAnsi="Times New Roman" w:cs="Times New Roman"/>
          <w:lang w:val="en-GB"/>
        </w:rPr>
        <w:t>,</w:t>
      </w:r>
      <w:r w:rsidR="00CD17A5" w:rsidRPr="007E3A51">
        <w:rPr>
          <w:rFonts w:ascii="Times New Roman" w:hAnsi="Times New Roman" w:cs="Times New Roman"/>
          <w:lang w:val="en-GB"/>
        </w:rPr>
        <w:t xml:space="preserve"> </w:t>
      </w:r>
      <w:proofErr w:type="spellStart"/>
      <w:r w:rsidR="00CD17A5" w:rsidRPr="007E3A51">
        <w:rPr>
          <w:rFonts w:ascii="Times New Roman" w:hAnsi="Times New Roman" w:cs="Times New Roman"/>
          <w:lang w:val="en-GB"/>
        </w:rPr>
        <w:t>Yarmol</w:t>
      </w:r>
      <w:proofErr w:type="spellEnd"/>
      <w:r w:rsidR="00CD17A5" w:rsidRPr="007E3A51">
        <w:rPr>
          <w:rFonts w:ascii="Times New Roman" w:hAnsi="Times New Roman" w:cs="Times New Roman"/>
          <w:lang w:val="en-GB"/>
        </w:rPr>
        <w:t xml:space="preserve"> et al. 2022</w:t>
      </w:r>
      <w:r w:rsidR="00EA6B77" w:rsidRPr="007E3A51">
        <w:rPr>
          <w:rFonts w:ascii="Times New Roman" w:hAnsi="Times New Roman" w:cs="Times New Roman"/>
          <w:lang w:val="en-GB"/>
        </w:rPr>
        <w:t>,</w:t>
      </w:r>
      <w:r w:rsidR="00CD17A5" w:rsidRPr="007E3A51">
        <w:rPr>
          <w:rFonts w:ascii="Times New Roman" w:hAnsi="Times New Roman" w:cs="Times New Roman"/>
          <w:lang w:val="en-GB"/>
        </w:rPr>
        <w:t xml:space="preserve"> </w:t>
      </w:r>
      <w:r w:rsidR="009E3F0D" w:rsidRPr="007E3A51">
        <w:rPr>
          <w:rFonts w:ascii="Times New Roman" w:hAnsi="Times New Roman" w:cs="Times New Roman"/>
          <w:lang w:val="en-GB"/>
        </w:rPr>
        <w:t>Misiuk et al. 2023</w:t>
      </w:r>
      <w:r w:rsidR="00EA6B77" w:rsidRPr="007E3A51">
        <w:rPr>
          <w:rFonts w:ascii="Times New Roman" w:hAnsi="Times New Roman" w:cs="Times New Roman"/>
          <w:lang w:val="en-GB"/>
        </w:rPr>
        <w:t>,</w:t>
      </w:r>
      <w:r w:rsidR="009E3F0D" w:rsidRPr="007E3A51">
        <w:rPr>
          <w:rFonts w:ascii="Times New Roman" w:hAnsi="Times New Roman" w:cs="Times New Roman"/>
          <w:lang w:val="en-GB"/>
        </w:rPr>
        <w:t xml:space="preserve"> Sánchez-Almeyda et al. 2025)</w:t>
      </w:r>
      <w:r w:rsidRPr="007E3A51">
        <w:rPr>
          <w:rFonts w:ascii="Times New Roman" w:hAnsi="Times New Roman" w:cs="Times New Roman"/>
          <w:lang w:val="en-GB"/>
        </w:rPr>
        <w:t>.</w:t>
      </w:r>
    </w:p>
    <w:p w14:paraId="106D3EE7" w14:textId="70AA707D" w:rsidR="0044738D" w:rsidRPr="007E3A51" w:rsidRDefault="00EE0D09" w:rsidP="00E3149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Essential</w:t>
      </w:r>
      <w:r w:rsidR="0044738D" w:rsidRPr="007E3A51">
        <w:rPr>
          <w:rFonts w:ascii="Times New Roman" w:hAnsi="Times New Roman" w:cs="Times New Roman"/>
          <w:lang w:val="en-GB"/>
        </w:rPr>
        <w:t xml:space="preserve"> aspects of food security are its following dimensions: physical availability of food, economic and physical access to food, food consumption, stability of previous dimensions over time (</w:t>
      </w:r>
      <w:r w:rsidR="009E3F0D" w:rsidRPr="007E3A51">
        <w:rPr>
          <w:rFonts w:ascii="Times New Roman" w:hAnsi="Times New Roman" w:cs="Times New Roman"/>
          <w:lang w:val="en-GB"/>
        </w:rPr>
        <w:t xml:space="preserve">World Bank Group, </w:t>
      </w:r>
      <w:proofErr w:type="spellStart"/>
      <w:r w:rsidR="009E3F0D" w:rsidRPr="007E3A51">
        <w:rPr>
          <w:rFonts w:ascii="Times New Roman" w:hAnsi="Times New Roman" w:cs="Times New Roman"/>
          <w:lang w:val="en-GB"/>
        </w:rPr>
        <w:t>n.a.</w:t>
      </w:r>
      <w:proofErr w:type="spellEnd"/>
      <w:r w:rsidR="0044738D" w:rsidRPr="007E3A51">
        <w:rPr>
          <w:rFonts w:ascii="Times New Roman" w:hAnsi="Times New Roman" w:cs="Times New Roman"/>
          <w:lang w:val="en-GB"/>
        </w:rPr>
        <w:t xml:space="preserve">; </w:t>
      </w:r>
      <w:r w:rsidR="009E3F0D" w:rsidRPr="007E3A51">
        <w:rPr>
          <w:rFonts w:ascii="Times New Roman" w:hAnsi="Times New Roman" w:cs="Times New Roman"/>
          <w:lang w:val="en-GB"/>
        </w:rPr>
        <w:t>FAO</w:t>
      </w:r>
      <w:r w:rsidR="0044738D" w:rsidRPr="007E3A51">
        <w:rPr>
          <w:rFonts w:ascii="Times New Roman" w:hAnsi="Times New Roman" w:cs="Times New Roman"/>
          <w:lang w:val="en-GB"/>
        </w:rPr>
        <w:t xml:space="preserve"> 2008) It is necessary to consider these dimensions in more detail in order to identify current factors influencing food security in Ukraine and to</w:t>
      </w:r>
      <w:r w:rsidR="005B2714" w:rsidRPr="007E3A51">
        <w:rPr>
          <w:rFonts w:ascii="Times New Roman" w:hAnsi="Times New Roman" w:cs="Times New Roman"/>
          <w:lang w:val="en-GB"/>
        </w:rPr>
        <w:t xml:space="preserve"> propose</w:t>
      </w:r>
      <w:r w:rsidR="0044738D" w:rsidRPr="007E3A51">
        <w:rPr>
          <w:rFonts w:ascii="Times New Roman" w:hAnsi="Times New Roman" w:cs="Times New Roman"/>
          <w:lang w:val="en-GB"/>
        </w:rPr>
        <w:t xml:space="preserve"> more effectively ways to manage the agri-food sector as a </w:t>
      </w:r>
      <w:r w:rsidR="00B55226" w:rsidRPr="007E3A51">
        <w:rPr>
          <w:rFonts w:ascii="Times New Roman" w:hAnsi="Times New Roman" w:cs="Times New Roman"/>
          <w:lang w:val="en-GB"/>
        </w:rPr>
        <w:t xml:space="preserve">key </w:t>
      </w:r>
      <w:r w:rsidR="0044738D" w:rsidRPr="007E3A51">
        <w:rPr>
          <w:rFonts w:ascii="Times New Roman" w:hAnsi="Times New Roman" w:cs="Times New Roman"/>
          <w:lang w:val="en-GB"/>
        </w:rPr>
        <w:t xml:space="preserve">sector </w:t>
      </w:r>
      <w:r w:rsidR="00137475" w:rsidRPr="007E3A51">
        <w:rPr>
          <w:rFonts w:ascii="Times New Roman" w:hAnsi="Times New Roman" w:cs="Times New Roman"/>
          <w:lang w:val="en-GB"/>
        </w:rPr>
        <w:t>addressing</w:t>
      </w:r>
      <w:r w:rsidR="0044738D" w:rsidRPr="007E3A51">
        <w:rPr>
          <w:rFonts w:ascii="Times New Roman" w:hAnsi="Times New Roman" w:cs="Times New Roman"/>
          <w:lang w:val="en-GB"/>
        </w:rPr>
        <w:t xml:space="preserve"> food security problems. Thus, physical availability implies the availability of products </w:t>
      </w:r>
      <w:r w:rsidR="0044738D" w:rsidRPr="007E3A51">
        <w:rPr>
          <w:rFonts w:ascii="Times New Roman" w:hAnsi="Times New Roman" w:cs="Times New Roman"/>
          <w:lang w:val="en-GB"/>
        </w:rPr>
        <w:lastRenderedPageBreak/>
        <w:t xml:space="preserve">on the market, their stocks to ensure the need for food on a permanent basis. Economic and physical access to food means the ability of the population to have access to quality products on the market, as well as their timely </w:t>
      </w:r>
      <w:r w:rsidR="00C71D96" w:rsidRPr="007E3A51">
        <w:rPr>
          <w:rFonts w:ascii="Times New Roman" w:hAnsi="Times New Roman" w:cs="Times New Roman"/>
          <w:lang w:val="en-GB"/>
        </w:rPr>
        <w:t>delivery</w:t>
      </w:r>
      <w:r w:rsidR="0044738D" w:rsidRPr="007E3A51">
        <w:rPr>
          <w:rFonts w:ascii="Times New Roman" w:hAnsi="Times New Roman" w:cs="Times New Roman"/>
          <w:lang w:val="en-GB"/>
        </w:rPr>
        <w:t xml:space="preserve">. Such a dimension as food consumption (utilization) implies its diversity, a maximally saturated diet that satisfies the needs for vitamins and nutrients. The stability of all these dimensions over time </w:t>
      </w:r>
      <w:r w:rsidR="0012484F" w:rsidRPr="007E3A51">
        <w:rPr>
          <w:rFonts w:ascii="Times New Roman" w:hAnsi="Times New Roman" w:cs="Times New Roman"/>
          <w:lang w:val="en-GB"/>
        </w:rPr>
        <w:t>means</w:t>
      </w:r>
      <w:r w:rsidR="0044738D" w:rsidRPr="007E3A51">
        <w:rPr>
          <w:rFonts w:ascii="Times New Roman" w:hAnsi="Times New Roman" w:cs="Times New Roman"/>
          <w:lang w:val="en-GB"/>
        </w:rPr>
        <w:t xml:space="preserve"> that a</w:t>
      </w:r>
      <w:r w:rsidR="00625A8A" w:rsidRPr="007E3A51">
        <w:rPr>
          <w:rFonts w:ascii="Times New Roman" w:hAnsi="Times New Roman" w:cs="Times New Roman"/>
          <w:lang w:val="en-GB"/>
        </w:rPr>
        <w:t> </w:t>
      </w:r>
      <w:r w:rsidR="0044738D" w:rsidRPr="007E3A51">
        <w:rPr>
          <w:rFonts w:ascii="Times New Roman" w:hAnsi="Times New Roman" w:cs="Times New Roman"/>
          <w:lang w:val="en-GB"/>
        </w:rPr>
        <w:t>secure situation is considered to be one in which people have constant access to food, without interruptions in supply, diverse, rich in vitamins and nutrients. If this cycle is disrupted, a person can be considered unprotected</w:t>
      </w:r>
      <w:r w:rsidR="005369B2" w:rsidRPr="007E3A51">
        <w:rPr>
          <w:rFonts w:ascii="Times New Roman" w:hAnsi="Times New Roman" w:cs="Times New Roman"/>
          <w:lang w:val="en-GB"/>
        </w:rPr>
        <w:t xml:space="preserve"> and</w:t>
      </w:r>
      <w:r w:rsidR="009912D9" w:rsidRPr="007E3A51">
        <w:rPr>
          <w:rFonts w:ascii="Times New Roman" w:hAnsi="Times New Roman" w:cs="Times New Roman"/>
          <w:lang w:val="en-GB"/>
        </w:rPr>
        <w:t xml:space="preserve"> food insecure</w:t>
      </w:r>
      <w:r w:rsidR="0044738D" w:rsidRPr="007E3A51">
        <w:rPr>
          <w:rFonts w:ascii="Times New Roman" w:hAnsi="Times New Roman" w:cs="Times New Roman"/>
          <w:lang w:val="en-GB"/>
        </w:rPr>
        <w:t xml:space="preserve">. </w:t>
      </w:r>
      <w:proofErr w:type="spellStart"/>
      <w:r w:rsidR="0044738D" w:rsidRPr="007E3A51">
        <w:rPr>
          <w:rFonts w:ascii="Times New Roman" w:hAnsi="Times New Roman" w:cs="Times New Roman"/>
          <w:lang w:val="en-GB"/>
        </w:rPr>
        <w:t>Analyzing</w:t>
      </w:r>
      <w:proofErr w:type="spellEnd"/>
      <w:r w:rsidR="0044738D" w:rsidRPr="007E3A51">
        <w:rPr>
          <w:rFonts w:ascii="Times New Roman" w:hAnsi="Times New Roman" w:cs="Times New Roman"/>
          <w:lang w:val="en-GB"/>
        </w:rPr>
        <w:t xml:space="preserve"> the above and extrapolating to the situation in Ukraine, we understand that all these dimensions are mostly disrupted due to military actions. Farmers </w:t>
      </w:r>
      <w:r w:rsidR="00E02E57" w:rsidRPr="007E3A51">
        <w:rPr>
          <w:rFonts w:ascii="Times New Roman" w:hAnsi="Times New Roman" w:cs="Times New Roman"/>
          <w:lang w:val="en-GB"/>
        </w:rPr>
        <w:t>are unable</w:t>
      </w:r>
      <w:r w:rsidR="003C05F3" w:rsidRPr="007E3A51">
        <w:rPr>
          <w:rFonts w:ascii="Times New Roman" w:hAnsi="Times New Roman" w:cs="Times New Roman"/>
          <w:lang w:val="en-GB"/>
        </w:rPr>
        <w:t xml:space="preserve"> to</w:t>
      </w:r>
      <w:r w:rsidR="0044738D" w:rsidRPr="007E3A51">
        <w:rPr>
          <w:rFonts w:ascii="Times New Roman" w:hAnsi="Times New Roman" w:cs="Times New Roman"/>
          <w:lang w:val="en-GB"/>
        </w:rPr>
        <w:t xml:space="preserve"> ensure </w:t>
      </w:r>
      <w:r w:rsidR="005369B2" w:rsidRPr="007E3A51">
        <w:rPr>
          <w:rFonts w:ascii="Times New Roman" w:hAnsi="Times New Roman" w:cs="Times New Roman"/>
          <w:lang w:val="en-GB"/>
        </w:rPr>
        <w:t xml:space="preserve">a </w:t>
      </w:r>
      <w:r w:rsidR="0044738D" w:rsidRPr="007E3A51">
        <w:rPr>
          <w:rFonts w:ascii="Times New Roman" w:hAnsi="Times New Roman" w:cs="Times New Roman"/>
          <w:lang w:val="en-GB"/>
        </w:rPr>
        <w:t xml:space="preserve">timely supply of products to the market due to difficulties or </w:t>
      </w:r>
      <w:r w:rsidR="005369B2" w:rsidRPr="007E3A51">
        <w:rPr>
          <w:rFonts w:ascii="Times New Roman" w:hAnsi="Times New Roman" w:cs="Times New Roman"/>
          <w:lang w:val="en-GB"/>
        </w:rPr>
        <w:t xml:space="preserve">the </w:t>
      </w:r>
      <w:r w:rsidR="0044738D" w:rsidRPr="007E3A51">
        <w:rPr>
          <w:rFonts w:ascii="Times New Roman" w:hAnsi="Times New Roman" w:cs="Times New Roman"/>
          <w:lang w:val="en-GB"/>
        </w:rPr>
        <w:t xml:space="preserve">impossibility </w:t>
      </w:r>
      <w:r w:rsidR="005369B2" w:rsidRPr="007E3A51">
        <w:rPr>
          <w:rFonts w:ascii="Times New Roman" w:hAnsi="Times New Roman" w:cs="Times New Roman"/>
          <w:lang w:val="en-GB"/>
        </w:rPr>
        <w:t>of</w:t>
      </w:r>
      <w:r w:rsidR="0044738D" w:rsidRPr="007E3A51">
        <w:rPr>
          <w:rFonts w:ascii="Times New Roman" w:hAnsi="Times New Roman" w:cs="Times New Roman"/>
          <w:lang w:val="en-GB"/>
        </w:rPr>
        <w:t xml:space="preserve"> sowing or harvesting. Economic problems among the population are also exacerbated, which </w:t>
      </w:r>
      <w:r w:rsidR="00F15631" w:rsidRPr="007E3A51">
        <w:rPr>
          <w:rFonts w:ascii="Times New Roman" w:hAnsi="Times New Roman" w:cs="Times New Roman"/>
          <w:lang w:val="en-GB"/>
        </w:rPr>
        <w:t xml:space="preserve">negatively </w:t>
      </w:r>
      <w:r w:rsidR="0044738D" w:rsidRPr="007E3A51">
        <w:rPr>
          <w:rFonts w:ascii="Times New Roman" w:hAnsi="Times New Roman" w:cs="Times New Roman"/>
          <w:lang w:val="en-GB"/>
        </w:rPr>
        <w:t>affects the quality of nutrition and food consumed. Thus, stability over time is disrupted, leading to food insecurity. In confirmation of our words, the World Food Programme notes that the key drivers that cause food insecurity are conflicts, extreme weather conditions</w:t>
      </w:r>
      <w:r w:rsidR="005369B2" w:rsidRPr="007E3A51">
        <w:rPr>
          <w:rFonts w:ascii="Times New Roman" w:hAnsi="Times New Roman" w:cs="Times New Roman"/>
          <w:lang w:val="en-GB"/>
        </w:rPr>
        <w:t>,</w:t>
      </w:r>
      <w:r w:rsidR="0044738D" w:rsidRPr="007E3A51">
        <w:rPr>
          <w:rFonts w:ascii="Times New Roman" w:hAnsi="Times New Roman" w:cs="Times New Roman"/>
          <w:lang w:val="en-GB"/>
        </w:rPr>
        <w:t xml:space="preserve"> and economic shocks, which often intersect and </w:t>
      </w:r>
      <w:r w:rsidR="00143528" w:rsidRPr="007E3A51">
        <w:rPr>
          <w:rFonts w:ascii="Times New Roman" w:hAnsi="Times New Roman" w:cs="Times New Roman"/>
          <w:lang w:val="en-GB"/>
        </w:rPr>
        <w:t xml:space="preserve">can </w:t>
      </w:r>
      <w:r w:rsidR="0044738D" w:rsidRPr="007E3A51">
        <w:rPr>
          <w:rFonts w:ascii="Times New Roman" w:hAnsi="Times New Roman" w:cs="Times New Roman"/>
          <w:lang w:val="en-GB"/>
        </w:rPr>
        <w:t>be interconnected (</w:t>
      </w:r>
      <w:r w:rsidR="009E3F0D" w:rsidRPr="007E3A51">
        <w:rPr>
          <w:rFonts w:ascii="Times New Roman" w:hAnsi="Times New Roman" w:cs="Times New Roman"/>
          <w:lang w:val="en-GB"/>
        </w:rPr>
        <w:t>World Food Programme</w:t>
      </w:r>
      <w:r w:rsidR="0044738D" w:rsidRPr="007E3A51">
        <w:rPr>
          <w:rFonts w:ascii="Times New Roman" w:hAnsi="Times New Roman" w:cs="Times New Roman"/>
          <w:lang w:val="en-GB"/>
        </w:rPr>
        <w:t xml:space="preserve"> 2025</w:t>
      </w:r>
      <w:r w:rsidR="005A4864" w:rsidRPr="007E3A51">
        <w:rPr>
          <w:rFonts w:ascii="Times New Roman" w:hAnsi="Times New Roman" w:cs="Times New Roman"/>
          <w:lang w:val="en-GB"/>
        </w:rPr>
        <w:t>a</w:t>
      </w:r>
      <w:r w:rsidR="0044738D" w:rsidRPr="007E3A51">
        <w:rPr>
          <w:rFonts w:ascii="Times New Roman" w:hAnsi="Times New Roman" w:cs="Times New Roman"/>
          <w:lang w:val="en-GB"/>
        </w:rPr>
        <w:t>). In Ukraine, th</w:t>
      </w:r>
      <w:r w:rsidR="00374757" w:rsidRPr="007E3A51">
        <w:rPr>
          <w:rFonts w:ascii="Times New Roman" w:hAnsi="Times New Roman" w:cs="Times New Roman"/>
          <w:lang w:val="en-GB"/>
        </w:rPr>
        <w:t>e</w:t>
      </w:r>
      <w:r w:rsidR="0044738D" w:rsidRPr="007E3A51">
        <w:rPr>
          <w:rFonts w:ascii="Times New Roman" w:hAnsi="Times New Roman" w:cs="Times New Roman"/>
          <w:lang w:val="en-GB"/>
        </w:rPr>
        <w:t>s</w:t>
      </w:r>
      <w:r w:rsidR="00374757" w:rsidRPr="007E3A51">
        <w:rPr>
          <w:rFonts w:ascii="Times New Roman" w:hAnsi="Times New Roman" w:cs="Times New Roman"/>
          <w:lang w:val="en-GB"/>
        </w:rPr>
        <w:t>e</w:t>
      </w:r>
      <w:r w:rsidR="0044738D" w:rsidRPr="007E3A51">
        <w:rPr>
          <w:rFonts w:ascii="Times New Roman" w:hAnsi="Times New Roman" w:cs="Times New Roman"/>
          <w:lang w:val="en-GB"/>
        </w:rPr>
        <w:t xml:space="preserve"> </w:t>
      </w:r>
      <w:r w:rsidR="00374757" w:rsidRPr="007E3A51">
        <w:rPr>
          <w:rFonts w:ascii="Times New Roman" w:hAnsi="Times New Roman" w:cs="Times New Roman"/>
          <w:lang w:val="en-GB"/>
        </w:rPr>
        <w:t>factors are</w:t>
      </w:r>
      <w:r w:rsidR="0044738D" w:rsidRPr="007E3A51">
        <w:rPr>
          <w:rFonts w:ascii="Times New Roman" w:hAnsi="Times New Roman" w:cs="Times New Roman"/>
          <w:lang w:val="en-GB"/>
        </w:rPr>
        <w:t xml:space="preserve"> also interconnected, as an example of which is the weather conditions in 2022, when there was very hot and dry weather, which further aggravated the situation with the cultivation of various crops. Thus, in addition to military factors, weather factors were also added, which further worsened the economic situation in the country. Negative economic consequences are justified by various reasons: the inability of enterprises to </w:t>
      </w:r>
      <w:r w:rsidR="00A72E82" w:rsidRPr="007E3A51">
        <w:rPr>
          <w:rFonts w:ascii="Times New Roman" w:hAnsi="Times New Roman" w:cs="Times New Roman"/>
          <w:lang w:val="en-GB"/>
        </w:rPr>
        <w:t>harvest</w:t>
      </w:r>
      <w:r w:rsidR="0044738D" w:rsidRPr="007E3A51">
        <w:rPr>
          <w:rFonts w:ascii="Times New Roman" w:hAnsi="Times New Roman" w:cs="Times New Roman"/>
          <w:lang w:val="en-GB"/>
        </w:rPr>
        <w:t xml:space="preserve"> or sell their products results in a decrease in income or, in general, their absence, which reduces the profitability of entrepreneurship. A</w:t>
      </w:r>
      <w:r w:rsidR="0040503A" w:rsidRPr="007E3A51">
        <w:rPr>
          <w:rFonts w:ascii="Times New Roman" w:hAnsi="Times New Roman" w:cs="Times New Roman"/>
          <w:lang w:val="en-GB"/>
        </w:rPr>
        <w:t>t the same time</w:t>
      </w:r>
      <w:r w:rsidR="0044738D" w:rsidRPr="007E3A51">
        <w:rPr>
          <w:rFonts w:ascii="Times New Roman" w:hAnsi="Times New Roman" w:cs="Times New Roman"/>
          <w:lang w:val="en-GB"/>
        </w:rPr>
        <w:t>, shortage</w:t>
      </w:r>
      <w:r w:rsidR="00EA2EFD" w:rsidRPr="007E3A51">
        <w:rPr>
          <w:rFonts w:ascii="Times New Roman" w:hAnsi="Times New Roman" w:cs="Times New Roman"/>
          <w:lang w:val="en-GB"/>
        </w:rPr>
        <w:t>s</w:t>
      </w:r>
      <w:r w:rsidR="0044738D" w:rsidRPr="007E3A51">
        <w:rPr>
          <w:rFonts w:ascii="Times New Roman" w:hAnsi="Times New Roman" w:cs="Times New Roman"/>
          <w:lang w:val="en-GB"/>
        </w:rPr>
        <w:t xml:space="preserve"> of products on the market cause an increase in product prices, which negatively affects the economic situation of consumers. Population migration also exacerbates economic </w:t>
      </w:r>
      <w:r w:rsidR="002148A2" w:rsidRPr="007E3A51">
        <w:rPr>
          <w:rFonts w:ascii="Times New Roman" w:hAnsi="Times New Roman" w:cs="Times New Roman"/>
          <w:lang w:val="en-GB"/>
        </w:rPr>
        <w:t>difficulties</w:t>
      </w:r>
      <w:r w:rsidR="0044738D" w:rsidRPr="007E3A51">
        <w:rPr>
          <w:rFonts w:ascii="Times New Roman" w:hAnsi="Times New Roman" w:cs="Times New Roman"/>
          <w:lang w:val="en-GB"/>
        </w:rPr>
        <w:t>. This has significant socio-economic consequences that negatively affect society. In this case, there is a need to develop a full-fledged balanced state policy for regulating the agri-food sector on an inclusive basis, that is, taking into account the interests of different population groups.</w:t>
      </w:r>
    </w:p>
    <w:p w14:paraId="4A12E0E9" w14:textId="03021852" w:rsidR="0044738D" w:rsidRPr="007E3A51" w:rsidRDefault="0044738D" w:rsidP="00E3149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According to the State of Food Security and Nutrition in the World report, approximately 757 million people faced chronic hunger in 2023. World Food Programme estimates indicate that as of November 2024, 343 million people were experiencing acute food insecurity in 74 countries (data for countries where the World Food Programme operates) (World Food Programme 2025</w:t>
      </w:r>
      <w:r w:rsidR="005A4864" w:rsidRPr="007E3A51">
        <w:rPr>
          <w:rFonts w:ascii="Times New Roman" w:hAnsi="Times New Roman" w:cs="Times New Roman"/>
          <w:lang w:val="en-GB"/>
        </w:rPr>
        <w:t>a</w:t>
      </w:r>
      <w:r w:rsidRPr="007E3A51">
        <w:rPr>
          <w:rFonts w:ascii="Times New Roman" w:hAnsi="Times New Roman" w:cs="Times New Roman"/>
          <w:lang w:val="en-GB"/>
        </w:rPr>
        <w:t>). According to the same World Food Programme estimates, a total of 5 million Ukrainians are in need of food assistance and livelihoods (World Food Programme</w:t>
      </w:r>
      <w:r w:rsidR="005A4864" w:rsidRPr="007E3A51">
        <w:rPr>
          <w:rFonts w:ascii="Times New Roman" w:hAnsi="Times New Roman" w:cs="Times New Roman"/>
          <w:lang w:val="en-GB"/>
        </w:rPr>
        <w:t xml:space="preserve"> 2025b</w:t>
      </w:r>
      <w:r w:rsidRPr="007E3A51">
        <w:rPr>
          <w:rFonts w:ascii="Times New Roman" w:hAnsi="Times New Roman" w:cs="Times New Roman"/>
          <w:lang w:val="en-GB"/>
        </w:rPr>
        <w:t>).</w:t>
      </w:r>
    </w:p>
    <w:p w14:paraId="514B1EF0" w14:textId="77777777" w:rsidR="0044738D" w:rsidRPr="007E3A51" w:rsidRDefault="0044738D" w:rsidP="00D7631B">
      <w:pPr>
        <w:spacing w:before="120" w:after="120" w:line="240" w:lineRule="auto"/>
        <w:jc w:val="both"/>
        <w:rPr>
          <w:rFonts w:ascii="Times New Roman" w:hAnsi="Times New Roman" w:cs="Times New Roman"/>
          <w:i/>
          <w:iCs/>
          <w:lang w:val="en-GB"/>
        </w:rPr>
      </w:pPr>
      <w:r w:rsidRPr="007E3A51">
        <w:rPr>
          <w:rFonts w:ascii="Times New Roman" w:hAnsi="Times New Roman" w:cs="Times New Roman"/>
          <w:i/>
          <w:iCs/>
          <w:lang w:val="en-GB"/>
        </w:rPr>
        <w:t>Inclusive approach in food security policy</w:t>
      </w:r>
    </w:p>
    <w:p w14:paraId="49EEC44A" w14:textId="1EAF7323" w:rsidR="0044738D" w:rsidRPr="007E3A51" w:rsidRDefault="0044738D" w:rsidP="00E3149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To address the </w:t>
      </w:r>
      <w:r w:rsidR="000F7CB7" w:rsidRPr="007E3A51">
        <w:rPr>
          <w:rFonts w:ascii="Times New Roman" w:hAnsi="Times New Roman" w:cs="Times New Roman"/>
          <w:lang w:val="en-GB"/>
        </w:rPr>
        <w:t>challenge</w:t>
      </w:r>
      <w:r w:rsidRPr="007E3A51">
        <w:rPr>
          <w:rFonts w:ascii="Times New Roman" w:hAnsi="Times New Roman" w:cs="Times New Roman"/>
          <w:lang w:val="en-GB"/>
        </w:rPr>
        <w:t xml:space="preserve">s of providing the population with food and developing the agri-food sector as </w:t>
      </w:r>
      <w:r w:rsidR="000F099F" w:rsidRPr="007E3A51">
        <w:rPr>
          <w:rFonts w:ascii="Times New Roman" w:hAnsi="Times New Roman" w:cs="Times New Roman"/>
          <w:lang w:val="en-GB"/>
        </w:rPr>
        <w:t>the foundation</w:t>
      </w:r>
      <w:r w:rsidRPr="007E3A51">
        <w:rPr>
          <w:rFonts w:ascii="Times New Roman" w:hAnsi="Times New Roman" w:cs="Times New Roman"/>
          <w:lang w:val="en-GB"/>
        </w:rPr>
        <w:t xml:space="preserve"> for sustainable food security in society, it is necessary to build </w:t>
      </w:r>
      <w:r w:rsidR="005369B2" w:rsidRPr="007E3A51">
        <w:rPr>
          <w:rFonts w:ascii="Times New Roman" w:hAnsi="Times New Roman" w:cs="Times New Roman"/>
          <w:lang w:val="en-GB"/>
        </w:rPr>
        <w:t xml:space="preserve">an </w:t>
      </w:r>
      <w:r w:rsidRPr="007E3A51">
        <w:rPr>
          <w:rFonts w:ascii="Times New Roman" w:hAnsi="Times New Roman" w:cs="Times New Roman"/>
          <w:lang w:val="en-GB"/>
        </w:rPr>
        <w:t>agri-food policy on the principles of inclusivity, that is, using an inclusive approach.</w:t>
      </w:r>
    </w:p>
    <w:p w14:paraId="67ED2252" w14:textId="4BE0CC4C" w:rsidR="0044738D" w:rsidRPr="007E3A51" w:rsidRDefault="0044738D" w:rsidP="00E3149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The FAO itself defines inclusivity as an approach that ensures the full and active participation of a person in public life and equal access to all benefits regardless of social, economic</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or political status and identity (</w:t>
      </w:r>
      <w:r w:rsidR="003C294B" w:rsidRPr="007E3A51">
        <w:rPr>
          <w:rFonts w:ascii="Times New Roman" w:hAnsi="Times New Roman" w:cs="Times New Roman"/>
          <w:lang w:val="en-GB"/>
        </w:rPr>
        <w:t xml:space="preserve">FAO </w:t>
      </w:r>
      <w:proofErr w:type="spellStart"/>
      <w:r w:rsidR="003C294B" w:rsidRPr="007E3A51">
        <w:rPr>
          <w:rFonts w:ascii="Times New Roman" w:hAnsi="Times New Roman" w:cs="Times New Roman"/>
          <w:lang w:val="en-GB"/>
        </w:rPr>
        <w:t>n.a.b</w:t>
      </w:r>
      <w:proofErr w:type="spellEnd"/>
      <w:r w:rsidRPr="007E3A51">
        <w:rPr>
          <w:rFonts w:ascii="Times New Roman" w:hAnsi="Times New Roman" w:cs="Times New Roman"/>
          <w:lang w:val="en-GB"/>
        </w:rPr>
        <w:t>). The FAO envisages the implementation of inclusivity in the following areas: orientation on multi-sectoral policies and territorial approaches to reduce inequality and isolation; investments in sustainable and inclusive livelihoods, income diversification, creation of inclusive jobs, which will allow attracting people from various vulnerable groups; providing access for vulnerable groups to natural and production resources to maximize their involvement in the agri</w:t>
      </w:r>
      <w:r w:rsidR="00D80651" w:rsidRPr="007E3A51">
        <w:rPr>
          <w:rFonts w:ascii="Times New Roman" w:hAnsi="Times New Roman" w:cs="Times New Roman"/>
          <w:lang w:val="en-GB"/>
        </w:rPr>
        <w:t>-</w:t>
      </w:r>
      <w:r w:rsidRPr="007E3A51">
        <w:rPr>
          <w:rFonts w:ascii="Times New Roman" w:hAnsi="Times New Roman" w:cs="Times New Roman"/>
          <w:lang w:val="en-GB"/>
        </w:rPr>
        <w:t>food sector, etc (</w:t>
      </w:r>
      <w:r w:rsidR="003C294B" w:rsidRPr="007E3A51">
        <w:rPr>
          <w:rFonts w:ascii="Times New Roman" w:hAnsi="Times New Roman" w:cs="Times New Roman"/>
          <w:lang w:val="en-GB"/>
        </w:rPr>
        <w:t xml:space="preserve">FAO </w:t>
      </w:r>
      <w:proofErr w:type="spellStart"/>
      <w:r w:rsidR="003C294B" w:rsidRPr="007E3A51">
        <w:rPr>
          <w:rFonts w:ascii="Times New Roman" w:hAnsi="Times New Roman" w:cs="Times New Roman"/>
          <w:lang w:val="en-GB"/>
        </w:rPr>
        <w:t>n.a.b</w:t>
      </w:r>
      <w:proofErr w:type="spellEnd"/>
      <w:r w:rsidRPr="007E3A51">
        <w:rPr>
          <w:rFonts w:ascii="Times New Roman" w:hAnsi="Times New Roman" w:cs="Times New Roman"/>
          <w:lang w:val="en-GB"/>
        </w:rPr>
        <w:t>).</w:t>
      </w:r>
    </w:p>
    <w:p w14:paraId="0F4AA305" w14:textId="20904531" w:rsidR="0044738D" w:rsidRPr="007E3A51" w:rsidRDefault="0044738D" w:rsidP="00E3149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The </w:t>
      </w:r>
      <w:r w:rsidR="001B1BCB" w:rsidRPr="007E3A51">
        <w:rPr>
          <w:rFonts w:ascii="Times New Roman" w:hAnsi="Times New Roman" w:cs="Times New Roman"/>
          <w:lang w:val="en-GB"/>
        </w:rPr>
        <w:t>issue</w:t>
      </w:r>
      <w:r w:rsidRPr="007E3A51">
        <w:rPr>
          <w:rFonts w:ascii="Times New Roman" w:hAnsi="Times New Roman" w:cs="Times New Roman"/>
          <w:lang w:val="en-GB"/>
        </w:rPr>
        <w:t xml:space="preserve"> of social isolation or exclusion is </w:t>
      </w:r>
      <w:r w:rsidR="00EE0D09" w:rsidRPr="007E3A51">
        <w:rPr>
          <w:rFonts w:ascii="Times New Roman" w:hAnsi="Times New Roman" w:cs="Times New Roman"/>
          <w:lang w:val="en-GB"/>
        </w:rPr>
        <w:t>fundamental</w:t>
      </w:r>
      <w:r w:rsidRPr="007E3A51">
        <w:rPr>
          <w:rFonts w:ascii="Times New Roman" w:hAnsi="Times New Roman" w:cs="Times New Roman"/>
          <w:lang w:val="en-GB"/>
        </w:rPr>
        <w:t xml:space="preserve"> and relevant in the formation of an inclusive approach, since isolation itself has significant </w:t>
      </w:r>
      <w:r w:rsidR="00EE0D09" w:rsidRPr="007E3A51">
        <w:rPr>
          <w:rFonts w:ascii="Times New Roman" w:hAnsi="Times New Roman" w:cs="Times New Roman"/>
          <w:lang w:val="en-GB"/>
        </w:rPr>
        <w:t>advers</w:t>
      </w:r>
      <w:r w:rsidR="00EC6BBB" w:rsidRPr="007E3A51">
        <w:rPr>
          <w:rFonts w:ascii="Times New Roman" w:hAnsi="Times New Roman" w:cs="Times New Roman"/>
          <w:lang w:val="en-GB"/>
        </w:rPr>
        <w:t xml:space="preserve">e </w:t>
      </w:r>
      <w:r w:rsidRPr="007E3A51">
        <w:rPr>
          <w:rFonts w:ascii="Times New Roman" w:hAnsi="Times New Roman" w:cs="Times New Roman"/>
          <w:lang w:val="en-GB"/>
        </w:rPr>
        <w:t>social, economic</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and psychological consequences for </w:t>
      </w:r>
      <w:r w:rsidR="00F57766" w:rsidRPr="007E3A51">
        <w:rPr>
          <w:rFonts w:ascii="Times New Roman" w:hAnsi="Times New Roman" w:cs="Times New Roman"/>
          <w:lang w:val="en-GB"/>
        </w:rPr>
        <w:t>both</w:t>
      </w:r>
      <w:r w:rsidRPr="007E3A51">
        <w:rPr>
          <w:rFonts w:ascii="Times New Roman" w:hAnsi="Times New Roman" w:cs="Times New Roman"/>
          <w:lang w:val="en-GB"/>
        </w:rPr>
        <w:t xml:space="preserve"> individual</w:t>
      </w:r>
      <w:r w:rsidR="00F57766" w:rsidRPr="007E3A51">
        <w:rPr>
          <w:rFonts w:ascii="Times New Roman" w:hAnsi="Times New Roman" w:cs="Times New Roman"/>
          <w:lang w:val="en-GB"/>
        </w:rPr>
        <w:t>s</w:t>
      </w:r>
      <w:r w:rsidRPr="007E3A51">
        <w:rPr>
          <w:rFonts w:ascii="Times New Roman" w:hAnsi="Times New Roman" w:cs="Times New Roman"/>
          <w:lang w:val="en-GB"/>
        </w:rPr>
        <w:t xml:space="preserve"> and society. A person, being socially isolated, </w:t>
      </w:r>
      <w:r w:rsidR="005369B2" w:rsidRPr="007E3A51">
        <w:rPr>
          <w:rFonts w:ascii="Times New Roman" w:hAnsi="Times New Roman" w:cs="Times New Roman"/>
          <w:lang w:val="en-GB"/>
        </w:rPr>
        <w:t>lacks</w:t>
      </w:r>
      <w:r w:rsidR="003F7228" w:rsidRPr="007E3A51">
        <w:rPr>
          <w:rFonts w:ascii="Times New Roman" w:hAnsi="Times New Roman" w:cs="Times New Roman"/>
          <w:lang w:val="en-GB"/>
        </w:rPr>
        <w:t xml:space="preserve"> </w:t>
      </w:r>
      <w:r w:rsidRPr="007E3A51">
        <w:rPr>
          <w:rFonts w:ascii="Times New Roman" w:hAnsi="Times New Roman" w:cs="Times New Roman"/>
          <w:lang w:val="en-GB"/>
        </w:rPr>
        <w:t xml:space="preserve">equal access to all benefits, is </w:t>
      </w:r>
      <w:r w:rsidR="00FE2743" w:rsidRPr="007E3A51">
        <w:rPr>
          <w:rFonts w:ascii="Times New Roman" w:hAnsi="Times New Roman" w:cs="Times New Roman"/>
          <w:lang w:val="en-GB"/>
        </w:rPr>
        <w:t>ex</w:t>
      </w:r>
      <w:r w:rsidRPr="007E3A51">
        <w:rPr>
          <w:rFonts w:ascii="Times New Roman" w:hAnsi="Times New Roman" w:cs="Times New Roman"/>
          <w:lang w:val="en-GB"/>
        </w:rPr>
        <w:t xml:space="preserve">cluded </w:t>
      </w:r>
      <w:r w:rsidR="00A36E61" w:rsidRPr="007E3A51">
        <w:rPr>
          <w:rFonts w:ascii="Times New Roman" w:hAnsi="Times New Roman" w:cs="Times New Roman"/>
          <w:lang w:val="en-GB"/>
        </w:rPr>
        <w:t>from</w:t>
      </w:r>
      <w:r w:rsidRPr="007E3A51">
        <w:rPr>
          <w:rFonts w:ascii="Times New Roman" w:hAnsi="Times New Roman" w:cs="Times New Roman"/>
          <w:lang w:val="en-GB"/>
        </w:rPr>
        <w:t xml:space="preserve"> society, </w:t>
      </w:r>
      <w:r w:rsidR="008B04BF" w:rsidRPr="007E3A51">
        <w:rPr>
          <w:rFonts w:ascii="Times New Roman" w:hAnsi="Times New Roman" w:cs="Times New Roman"/>
          <w:lang w:val="en-GB"/>
        </w:rPr>
        <w:t xml:space="preserve">suffers from </w:t>
      </w:r>
      <w:r w:rsidR="00BE1A8D" w:rsidRPr="007E3A51">
        <w:rPr>
          <w:rFonts w:ascii="Times New Roman" w:hAnsi="Times New Roman" w:cs="Times New Roman"/>
          <w:lang w:val="en-GB"/>
        </w:rPr>
        <w:t>low</w:t>
      </w:r>
      <w:r w:rsidRPr="007E3A51">
        <w:rPr>
          <w:rFonts w:ascii="Times New Roman" w:hAnsi="Times New Roman" w:cs="Times New Roman"/>
          <w:lang w:val="en-GB"/>
        </w:rPr>
        <w:t xml:space="preserve"> self-esteem, etc. </w:t>
      </w:r>
      <w:r w:rsidR="00CA7FE8" w:rsidRPr="007E3A51">
        <w:rPr>
          <w:rFonts w:ascii="Times New Roman" w:hAnsi="Times New Roman" w:cs="Times New Roman"/>
          <w:lang w:val="en-GB"/>
        </w:rPr>
        <w:t>Such conditions</w:t>
      </w:r>
      <w:r w:rsidRPr="007E3A51">
        <w:rPr>
          <w:rFonts w:ascii="Times New Roman" w:hAnsi="Times New Roman" w:cs="Times New Roman"/>
          <w:lang w:val="en-GB"/>
        </w:rPr>
        <w:t xml:space="preserve"> further exacerbate socio-economic problems and do not allow a person to be a full-fledged member of society. </w:t>
      </w:r>
      <w:r w:rsidR="005F7830" w:rsidRPr="007E3A51">
        <w:rPr>
          <w:rFonts w:ascii="Times New Roman" w:hAnsi="Times New Roman" w:cs="Times New Roman"/>
          <w:lang w:val="en-GB"/>
        </w:rPr>
        <w:t>Therefore,</w:t>
      </w:r>
      <w:r w:rsidRPr="007E3A51">
        <w:rPr>
          <w:rFonts w:ascii="Times New Roman" w:hAnsi="Times New Roman" w:cs="Times New Roman"/>
          <w:lang w:val="en-GB"/>
        </w:rPr>
        <w:t xml:space="preserve"> the policies of developed countries are aimed at breaking the cycle of disadvantage and preventing social exclusion by stimulating and implementing inclusive policies and practices.</w:t>
      </w:r>
    </w:p>
    <w:p w14:paraId="3D5CBAA1" w14:textId="066DB218" w:rsidR="0044738D" w:rsidRPr="007E3A51" w:rsidRDefault="0044738D" w:rsidP="00E3149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Thus, </w:t>
      </w:r>
      <w:r w:rsidR="00BD1868" w:rsidRPr="007E3A51">
        <w:rPr>
          <w:rFonts w:ascii="Times New Roman" w:hAnsi="Times New Roman" w:cs="Times New Roman"/>
          <w:lang w:val="en-GB"/>
        </w:rPr>
        <w:t>it is clear</w:t>
      </w:r>
      <w:r w:rsidRPr="007E3A51">
        <w:rPr>
          <w:rFonts w:ascii="Times New Roman" w:hAnsi="Times New Roman" w:cs="Times New Roman"/>
          <w:lang w:val="en-GB"/>
        </w:rPr>
        <w:t xml:space="preserve"> that FAO pays enough attention to addressing food security issues precisely on the basis of inclusivity, which is quite logical and takes into consideration modern approaches of developed countries. By </w:t>
      </w:r>
      <w:r w:rsidR="00DB4CA7" w:rsidRPr="007E3A51">
        <w:rPr>
          <w:rFonts w:ascii="Times New Roman" w:hAnsi="Times New Roman" w:cs="Times New Roman"/>
          <w:lang w:val="en-GB"/>
        </w:rPr>
        <w:t>advancing different</w:t>
      </w:r>
      <w:r w:rsidRPr="007E3A51">
        <w:rPr>
          <w:rFonts w:ascii="Times New Roman" w:hAnsi="Times New Roman" w:cs="Times New Roman"/>
          <w:lang w:val="en-GB"/>
        </w:rPr>
        <w:t xml:space="preserve"> areas and promoting the involvement of various vulnerable groups and not only vulnerable groups, but also, in general, the balanced development of the agri-food sector, several important problems are solved: people, gaining access to resources, technologies, innovations, improve their socio-economic status, mastering economic resources, which allows them to improve the quality of nutrition, obtain more healthy food, etc. </w:t>
      </w:r>
      <w:r w:rsidR="001E1C17" w:rsidRPr="007E3A51">
        <w:rPr>
          <w:rFonts w:ascii="Times New Roman" w:hAnsi="Times New Roman" w:cs="Times New Roman"/>
          <w:lang w:val="en-GB"/>
        </w:rPr>
        <w:t>B</w:t>
      </w:r>
      <w:r w:rsidRPr="007E3A51">
        <w:rPr>
          <w:rFonts w:ascii="Times New Roman" w:hAnsi="Times New Roman" w:cs="Times New Roman"/>
          <w:lang w:val="en-GB"/>
        </w:rPr>
        <w:t xml:space="preserve">alanced development of the agri-food sector means the inclusion of enterprises of various scales, including small and medium-sized businesses (SMEs), </w:t>
      </w:r>
      <w:r w:rsidR="00643282" w:rsidRPr="007E3A51">
        <w:rPr>
          <w:rFonts w:ascii="Times New Roman" w:hAnsi="Times New Roman" w:cs="Times New Roman"/>
          <w:lang w:val="en-GB"/>
        </w:rPr>
        <w:t xml:space="preserve">alongside the diversification of </w:t>
      </w:r>
      <w:r w:rsidR="00C8705C" w:rsidRPr="007E3A51">
        <w:rPr>
          <w:rFonts w:ascii="Times New Roman" w:hAnsi="Times New Roman" w:cs="Times New Roman"/>
          <w:lang w:val="en-GB"/>
        </w:rPr>
        <w:t>industries</w:t>
      </w:r>
      <w:r w:rsidR="003922CA" w:rsidRPr="007E3A51">
        <w:rPr>
          <w:rFonts w:ascii="Times New Roman" w:hAnsi="Times New Roman" w:cs="Times New Roman"/>
          <w:lang w:val="en-GB"/>
        </w:rPr>
        <w:t xml:space="preserve"> (</w:t>
      </w:r>
      <w:proofErr w:type="spellStart"/>
      <w:r w:rsidR="00A40839" w:rsidRPr="007E3A51">
        <w:rPr>
          <w:rFonts w:ascii="Times New Roman" w:hAnsi="Times New Roman" w:cs="Times New Roman"/>
          <w:lang w:val="en-GB"/>
        </w:rPr>
        <w:t>Lupenko</w:t>
      </w:r>
      <w:proofErr w:type="spellEnd"/>
      <w:r w:rsidR="00A40839" w:rsidRPr="007E3A51">
        <w:rPr>
          <w:rFonts w:ascii="Times New Roman" w:hAnsi="Times New Roman" w:cs="Times New Roman"/>
          <w:lang w:val="en-GB"/>
        </w:rPr>
        <w:t xml:space="preserve"> </w:t>
      </w:r>
      <w:r w:rsidR="00A40839" w:rsidRPr="007E3A51">
        <w:rPr>
          <w:rFonts w:ascii="Times New Roman" w:hAnsi="Times New Roman" w:cs="Times New Roman"/>
          <w:lang w:val="en-GB"/>
        </w:rPr>
        <w:lastRenderedPageBreak/>
        <w:t>et</w:t>
      </w:r>
      <w:r w:rsidR="00625A8A" w:rsidRPr="007E3A51">
        <w:rPr>
          <w:rFonts w:ascii="Times New Roman" w:hAnsi="Times New Roman" w:cs="Times New Roman"/>
          <w:lang w:val="en-GB"/>
        </w:rPr>
        <w:t> </w:t>
      </w:r>
      <w:r w:rsidR="005369B2" w:rsidRPr="007E3A51">
        <w:rPr>
          <w:rFonts w:ascii="Times New Roman" w:hAnsi="Times New Roman" w:cs="Times New Roman"/>
          <w:lang w:val="en-GB"/>
        </w:rPr>
        <w:t>a</w:t>
      </w:r>
      <w:r w:rsidR="00A40839" w:rsidRPr="007E3A51">
        <w:rPr>
          <w:rFonts w:ascii="Times New Roman" w:hAnsi="Times New Roman" w:cs="Times New Roman"/>
          <w:lang w:val="en-GB"/>
        </w:rPr>
        <w:t>l. 2018</w:t>
      </w:r>
      <w:r w:rsidR="00EA6B77" w:rsidRPr="007E3A51">
        <w:rPr>
          <w:rFonts w:ascii="Times New Roman" w:hAnsi="Times New Roman" w:cs="Times New Roman"/>
          <w:lang w:val="en-GB"/>
        </w:rPr>
        <w:t>,</w:t>
      </w:r>
      <w:r w:rsidR="00A40839" w:rsidRPr="007E3A51">
        <w:rPr>
          <w:rFonts w:ascii="Times New Roman" w:hAnsi="Times New Roman" w:cs="Times New Roman"/>
          <w:lang w:val="en-GB"/>
        </w:rPr>
        <w:t xml:space="preserve"> </w:t>
      </w:r>
      <w:proofErr w:type="spellStart"/>
      <w:r w:rsidR="003922CA" w:rsidRPr="007E3A51">
        <w:rPr>
          <w:rFonts w:ascii="Times New Roman" w:hAnsi="Times New Roman" w:cs="Times New Roman"/>
          <w:lang w:val="en-GB"/>
        </w:rPr>
        <w:t>Nitsenko</w:t>
      </w:r>
      <w:proofErr w:type="spellEnd"/>
      <w:r w:rsidR="003922CA" w:rsidRPr="007E3A51">
        <w:rPr>
          <w:rFonts w:ascii="Times New Roman" w:hAnsi="Times New Roman" w:cs="Times New Roman"/>
          <w:lang w:val="en-GB"/>
        </w:rPr>
        <w:t xml:space="preserve"> et al. 2024</w:t>
      </w:r>
      <w:r w:rsidR="00EA6B77" w:rsidRPr="007E3A51">
        <w:rPr>
          <w:rFonts w:ascii="Times New Roman" w:hAnsi="Times New Roman" w:cs="Times New Roman"/>
          <w:lang w:val="en-GB"/>
        </w:rPr>
        <w:t>,</w:t>
      </w:r>
      <w:r w:rsidR="008F46E0" w:rsidRPr="007E3A51">
        <w:rPr>
          <w:rFonts w:ascii="Times New Roman" w:hAnsi="Times New Roman" w:cs="Times New Roman"/>
          <w:lang w:val="en-GB"/>
        </w:rPr>
        <w:t xml:space="preserve"> Mykhailenko et al. 2023</w:t>
      </w:r>
      <w:r w:rsidR="003922CA" w:rsidRPr="007E3A51">
        <w:rPr>
          <w:rFonts w:ascii="Times New Roman" w:hAnsi="Times New Roman" w:cs="Times New Roman"/>
          <w:lang w:val="en-GB"/>
        </w:rPr>
        <w:t>)</w:t>
      </w:r>
      <w:r w:rsidR="00643282" w:rsidRPr="007E3A51">
        <w:rPr>
          <w:rFonts w:ascii="Times New Roman" w:hAnsi="Times New Roman" w:cs="Times New Roman"/>
          <w:lang w:val="en-GB"/>
        </w:rPr>
        <w:t xml:space="preserve">. </w:t>
      </w:r>
      <w:r w:rsidR="00523419" w:rsidRPr="007E3A51">
        <w:rPr>
          <w:rFonts w:ascii="Times New Roman" w:hAnsi="Times New Roman" w:cs="Times New Roman"/>
          <w:lang w:val="en-GB"/>
        </w:rPr>
        <w:t>Such</w:t>
      </w:r>
      <w:r w:rsidRPr="007E3A51">
        <w:rPr>
          <w:rFonts w:ascii="Times New Roman" w:hAnsi="Times New Roman" w:cs="Times New Roman"/>
          <w:lang w:val="en-GB"/>
        </w:rPr>
        <w:t xml:space="preserve"> </w:t>
      </w:r>
      <w:r w:rsidR="005369B2" w:rsidRPr="007E3A51">
        <w:rPr>
          <w:rFonts w:ascii="Times New Roman" w:hAnsi="Times New Roman" w:cs="Times New Roman"/>
          <w:lang w:val="en-GB"/>
        </w:rPr>
        <w:t xml:space="preserve">a </w:t>
      </w:r>
      <w:r w:rsidRPr="007E3A51">
        <w:rPr>
          <w:rFonts w:ascii="Times New Roman" w:hAnsi="Times New Roman" w:cs="Times New Roman"/>
          <w:lang w:val="en-GB"/>
        </w:rPr>
        <w:t>transition to a multi-sector orientation and production</w:t>
      </w:r>
      <w:r w:rsidR="008C1B88" w:rsidRPr="007E3A51">
        <w:rPr>
          <w:rFonts w:ascii="Times New Roman" w:hAnsi="Times New Roman" w:cs="Times New Roman"/>
          <w:lang w:val="en-GB"/>
        </w:rPr>
        <w:t xml:space="preserve"> </w:t>
      </w:r>
      <w:r w:rsidRPr="007E3A51">
        <w:rPr>
          <w:rFonts w:ascii="Times New Roman" w:hAnsi="Times New Roman" w:cs="Times New Roman"/>
          <w:lang w:val="en-GB"/>
        </w:rPr>
        <w:t xml:space="preserve">allows diversifying risks and having more competitive advantages on the </w:t>
      </w:r>
      <w:r w:rsidR="00FF5F79" w:rsidRPr="007E3A51">
        <w:rPr>
          <w:rFonts w:ascii="Times New Roman" w:hAnsi="Times New Roman" w:cs="Times New Roman"/>
          <w:lang w:val="en-GB"/>
        </w:rPr>
        <w:t>global</w:t>
      </w:r>
      <w:r w:rsidRPr="007E3A51">
        <w:rPr>
          <w:rFonts w:ascii="Times New Roman" w:hAnsi="Times New Roman" w:cs="Times New Roman"/>
          <w:lang w:val="en-GB"/>
        </w:rPr>
        <w:t xml:space="preserve"> stage.</w:t>
      </w:r>
    </w:p>
    <w:p w14:paraId="297074BA" w14:textId="5A7742DE" w:rsidR="0044738D" w:rsidRPr="007E3A51" w:rsidRDefault="0044738D" w:rsidP="00E3149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The importance of promoting the development of SMEs in Ukraine is currently being actualized by the realities in which our country finds itself: </w:t>
      </w:r>
      <w:r w:rsidR="005A351F" w:rsidRPr="007E3A51">
        <w:rPr>
          <w:rFonts w:ascii="Times New Roman" w:hAnsi="Times New Roman" w:cs="Times New Roman"/>
          <w:lang w:val="en-GB"/>
        </w:rPr>
        <w:t>under</w:t>
      </w:r>
      <w:r w:rsidRPr="007E3A51">
        <w:rPr>
          <w:rFonts w:ascii="Times New Roman" w:hAnsi="Times New Roman" w:cs="Times New Roman"/>
          <w:lang w:val="en-GB"/>
        </w:rPr>
        <w:t xml:space="preserve"> conditions of worsening socio-economic situation, population migration, impossibility or difficult</w:t>
      </w:r>
      <w:r w:rsidR="008A6CC8" w:rsidRPr="007E3A51">
        <w:rPr>
          <w:rFonts w:ascii="Times New Roman" w:hAnsi="Times New Roman" w:cs="Times New Roman"/>
          <w:lang w:val="en-GB"/>
        </w:rPr>
        <w:t>ies</w:t>
      </w:r>
      <w:r w:rsidRPr="007E3A51">
        <w:rPr>
          <w:rFonts w:ascii="Times New Roman" w:hAnsi="Times New Roman" w:cs="Times New Roman"/>
          <w:lang w:val="en-GB"/>
        </w:rPr>
        <w:t xml:space="preserve"> of carrying out agricultural work, </w:t>
      </w:r>
      <w:r w:rsidR="00B147CA" w:rsidRPr="007E3A51">
        <w:rPr>
          <w:rFonts w:ascii="Times New Roman" w:hAnsi="Times New Roman" w:cs="Times New Roman"/>
          <w:lang w:val="en-GB"/>
        </w:rPr>
        <w:t>rising</w:t>
      </w:r>
      <w:r w:rsidRPr="007E3A51">
        <w:rPr>
          <w:rFonts w:ascii="Times New Roman" w:hAnsi="Times New Roman" w:cs="Times New Roman"/>
          <w:lang w:val="en-GB"/>
        </w:rPr>
        <w:t xml:space="preserve"> unemployment</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and other reasons, the small and medium-sized business sector has found itself in conditions where they are on the verge of survival. But its role in supporting the economy of any state is crucial, </w:t>
      </w:r>
      <w:r w:rsidR="00CE6975" w:rsidRPr="007E3A51">
        <w:rPr>
          <w:rFonts w:ascii="Times New Roman" w:hAnsi="Times New Roman" w:cs="Times New Roman"/>
          <w:lang w:val="en-GB"/>
        </w:rPr>
        <w:t>as SMEs</w:t>
      </w:r>
      <w:r w:rsidRPr="007E3A51">
        <w:rPr>
          <w:rFonts w:ascii="Times New Roman" w:hAnsi="Times New Roman" w:cs="Times New Roman"/>
          <w:lang w:val="en-GB"/>
        </w:rPr>
        <w:t xml:space="preserve"> ensure constant replenishment of the budget, </w:t>
      </w:r>
      <w:r w:rsidR="004745C2" w:rsidRPr="007E3A51">
        <w:rPr>
          <w:rFonts w:ascii="Times New Roman" w:hAnsi="Times New Roman" w:cs="Times New Roman"/>
          <w:lang w:val="en-GB"/>
        </w:rPr>
        <w:t>address</w:t>
      </w:r>
      <w:r w:rsidRPr="007E3A51">
        <w:rPr>
          <w:rFonts w:ascii="Times New Roman" w:hAnsi="Times New Roman" w:cs="Times New Roman"/>
          <w:lang w:val="en-GB"/>
        </w:rPr>
        <w:t xml:space="preserve"> the problem of self-employment of the population, create innovations</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and improve the quality of products and services to support its own image and increase competitiveness. Therefore, it is </w:t>
      </w:r>
      <w:r w:rsidR="00A90573" w:rsidRPr="007E3A51">
        <w:rPr>
          <w:rFonts w:ascii="Times New Roman" w:hAnsi="Times New Roman" w:cs="Times New Roman"/>
          <w:lang w:val="en-GB"/>
        </w:rPr>
        <w:t>essential</w:t>
      </w:r>
      <w:r w:rsidRPr="007E3A51">
        <w:rPr>
          <w:rFonts w:ascii="Times New Roman" w:hAnsi="Times New Roman" w:cs="Times New Roman"/>
          <w:lang w:val="en-GB"/>
        </w:rPr>
        <w:t xml:space="preserve"> to stimulate the development of SMEs in Ukraine</w:t>
      </w:r>
      <w:r w:rsidR="00437DE7" w:rsidRPr="007E3A51">
        <w:rPr>
          <w:rFonts w:ascii="Times New Roman" w:hAnsi="Times New Roman" w:cs="Times New Roman"/>
          <w:lang w:val="en-GB"/>
        </w:rPr>
        <w:t xml:space="preserve"> (</w:t>
      </w:r>
      <w:proofErr w:type="spellStart"/>
      <w:r w:rsidR="00437DE7" w:rsidRPr="007E3A51">
        <w:rPr>
          <w:rFonts w:ascii="Times New Roman" w:hAnsi="Times New Roman" w:cs="Times New Roman"/>
          <w:lang w:val="en-GB"/>
        </w:rPr>
        <w:t>Balanovska</w:t>
      </w:r>
      <w:proofErr w:type="spellEnd"/>
      <w:r w:rsidR="00437DE7" w:rsidRPr="007E3A51">
        <w:rPr>
          <w:rFonts w:ascii="Times New Roman" w:hAnsi="Times New Roman" w:cs="Times New Roman"/>
          <w:lang w:val="en-GB"/>
        </w:rPr>
        <w:t xml:space="preserve"> et al. 2021)</w:t>
      </w:r>
      <w:r w:rsidRPr="007E3A51">
        <w:rPr>
          <w:rFonts w:ascii="Times New Roman" w:hAnsi="Times New Roman" w:cs="Times New Roman"/>
          <w:lang w:val="en-GB"/>
        </w:rPr>
        <w:t xml:space="preserve">. This is </w:t>
      </w:r>
      <w:r w:rsidR="00D712EF" w:rsidRPr="007E3A51">
        <w:rPr>
          <w:rFonts w:ascii="Times New Roman" w:hAnsi="Times New Roman" w:cs="Times New Roman"/>
          <w:lang w:val="en-GB"/>
        </w:rPr>
        <w:t>further</w:t>
      </w:r>
      <w:r w:rsidRPr="007E3A51">
        <w:rPr>
          <w:rFonts w:ascii="Times New Roman" w:hAnsi="Times New Roman" w:cs="Times New Roman"/>
          <w:lang w:val="en-GB"/>
        </w:rPr>
        <w:t xml:space="preserve"> justified by the fact that small farmers play an important role in solving the problem of food security </w:t>
      </w:r>
      <w:r w:rsidR="003D7ADF" w:rsidRPr="007E3A51">
        <w:rPr>
          <w:rFonts w:ascii="Times New Roman" w:hAnsi="Times New Roman" w:cs="Times New Roman"/>
          <w:lang w:val="en-GB"/>
        </w:rPr>
        <w:t>during wartime</w:t>
      </w:r>
      <w:r w:rsidRPr="007E3A51">
        <w:rPr>
          <w:rFonts w:ascii="Times New Roman" w:hAnsi="Times New Roman" w:cs="Times New Roman"/>
          <w:lang w:val="en-GB"/>
        </w:rPr>
        <w:t>, produc</w:t>
      </w:r>
      <w:r w:rsidR="001801AC" w:rsidRPr="007E3A51">
        <w:rPr>
          <w:rFonts w:ascii="Times New Roman" w:hAnsi="Times New Roman" w:cs="Times New Roman"/>
          <w:lang w:val="en-GB"/>
        </w:rPr>
        <w:t>ing</w:t>
      </w:r>
      <w:r w:rsidRPr="007E3A51">
        <w:rPr>
          <w:rFonts w:ascii="Times New Roman" w:hAnsi="Times New Roman" w:cs="Times New Roman"/>
          <w:lang w:val="en-GB"/>
        </w:rPr>
        <w:t xml:space="preserve"> up to 80% of dairy products, fruits</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and vegetables consumed by the population of Ukraine, as noted by the International Fund for Agricultural Development in 2023 (</w:t>
      </w:r>
      <w:r w:rsidR="00A40839" w:rsidRPr="007E3A51">
        <w:rPr>
          <w:rFonts w:ascii="Times New Roman" w:hAnsi="Times New Roman" w:cs="Times New Roman"/>
          <w:lang w:val="en-GB"/>
        </w:rPr>
        <w:t>The Associated Press</w:t>
      </w:r>
      <w:r w:rsidRPr="007E3A51">
        <w:rPr>
          <w:rFonts w:ascii="Times New Roman" w:hAnsi="Times New Roman" w:cs="Times New Roman"/>
          <w:lang w:val="en-GB"/>
        </w:rPr>
        <w:t xml:space="preserve"> 2023).</w:t>
      </w:r>
    </w:p>
    <w:p w14:paraId="5A3ACCED" w14:textId="345F307B" w:rsidR="0044738D" w:rsidRPr="007E3A51" w:rsidRDefault="0044738D" w:rsidP="00E3149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The World Bank also </w:t>
      </w:r>
      <w:r w:rsidR="006D006D" w:rsidRPr="007E3A51">
        <w:rPr>
          <w:rFonts w:ascii="Times New Roman" w:hAnsi="Times New Roman" w:cs="Times New Roman"/>
          <w:lang w:val="en-GB"/>
        </w:rPr>
        <w:t>la</w:t>
      </w:r>
      <w:r w:rsidR="00BE02A7" w:rsidRPr="007E3A51">
        <w:rPr>
          <w:rFonts w:ascii="Times New Roman" w:hAnsi="Times New Roman" w:cs="Times New Roman"/>
          <w:lang w:val="en-GB"/>
        </w:rPr>
        <w:t>u</w:t>
      </w:r>
      <w:r w:rsidR="006D006D" w:rsidRPr="007E3A51">
        <w:rPr>
          <w:rFonts w:ascii="Times New Roman" w:hAnsi="Times New Roman" w:cs="Times New Roman"/>
          <w:lang w:val="en-GB"/>
        </w:rPr>
        <w:t>nched</w:t>
      </w:r>
      <w:r w:rsidRPr="007E3A51">
        <w:rPr>
          <w:rFonts w:ascii="Times New Roman" w:hAnsi="Times New Roman" w:cs="Times New Roman"/>
          <w:lang w:val="en-GB"/>
        </w:rPr>
        <w:t xml:space="preserve"> the Ukraine Agriculture Recovery Inclusive Support Emergency Project (ARISE), which</w:t>
      </w:r>
      <w:r w:rsidR="007F5ACB" w:rsidRPr="007E3A51">
        <w:rPr>
          <w:rFonts w:ascii="Times New Roman" w:hAnsi="Times New Roman" w:cs="Times New Roman"/>
          <w:lang w:val="en-GB"/>
        </w:rPr>
        <w:t xml:space="preserve"> aims at addressing </w:t>
      </w:r>
      <w:r w:rsidRPr="007E3A51">
        <w:rPr>
          <w:rFonts w:ascii="Times New Roman" w:hAnsi="Times New Roman" w:cs="Times New Roman"/>
          <w:lang w:val="en-GB"/>
        </w:rPr>
        <w:t xml:space="preserve">two </w:t>
      </w:r>
      <w:r w:rsidR="00EE0D09" w:rsidRPr="007E3A51">
        <w:rPr>
          <w:rFonts w:ascii="Times New Roman" w:hAnsi="Times New Roman" w:cs="Times New Roman"/>
          <w:lang w:val="en-GB"/>
        </w:rPr>
        <w:t>critical</w:t>
      </w:r>
      <w:r w:rsidRPr="007E3A51">
        <w:rPr>
          <w:rFonts w:ascii="Times New Roman" w:hAnsi="Times New Roman" w:cs="Times New Roman"/>
          <w:lang w:val="en-GB"/>
        </w:rPr>
        <w:t xml:space="preserve"> problems that Ukraine faced after the full-scale invasion: 1.</w:t>
      </w:r>
      <w:r w:rsidR="00625A8A" w:rsidRPr="007E3A51">
        <w:rPr>
          <w:rFonts w:ascii="Times New Roman" w:hAnsi="Times New Roman" w:cs="Times New Roman"/>
          <w:lang w:val="en-GB"/>
        </w:rPr>
        <w:t> </w:t>
      </w:r>
      <w:r w:rsidRPr="007E3A51">
        <w:rPr>
          <w:rFonts w:ascii="Times New Roman" w:hAnsi="Times New Roman" w:cs="Times New Roman"/>
          <w:lang w:val="en-GB"/>
        </w:rPr>
        <w:t xml:space="preserve">Ensuring stable and continuous sowing and harvesting, which will allow </w:t>
      </w:r>
      <w:r w:rsidR="005369B2" w:rsidRPr="007E3A51">
        <w:rPr>
          <w:rFonts w:ascii="Times New Roman" w:hAnsi="Times New Roman" w:cs="Times New Roman"/>
          <w:lang w:val="en-GB"/>
        </w:rPr>
        <w:t>for avoiding</w:t>
      </w:r>
      <w:r w:rsidRPr="007E3A51">
        <w:rPr>
          <w:rFonts w:ascii="Times New Roman" w:hAnsi="Times New Roman" w:cs="Times New Roman"/>
          <w:lang w:val="en-GB"/>
        </w:rPr>
        <w:t xml:space="preserve"> the potential problem of food insecurity; 2. Inclusive restoration of the agri-food sector by providing greater opportunities for small farmers (The World Bank 2023). This document also </w:t>
      </w:r>
      <w:r w:rsidR="00C255E2" w:rsidRPr="007E3A51">
        <w:rPr>
          <w:rFonts w:ascii="Times New Roman" w:hAnsi="Times New Roman" w:cs="Times New Roman"/>
          <w:lang w:val="en-GB"/>
        </w:rPr>
        <w:t>emphasizes</w:t>
      </w:r>
      <w:r w:rsidRPr="007E3A51">
        <w:rPr>
          <w:rFonts w:ascii="Times New Roman" w:hAnsi="Times New Roman" w:cs="Times New Roman"/>
          <w:lang w:val="en-GB"/>
        </w:rPr>
        <w:t xml:space="preserve"> that building an inclusive country </w:t>
      </w:r>
      <w:r w:rsidR="00F040FA" w:rsidRPr="007E3A51">
        <w:rPr>
          <w:rFonts w:ascii="Times New Roman" w:hAnsi="Times New Roman" w:cs="Times New Roman"/>
          <w:lang w:val="en-GB"/>
        </w:rPr>
        <w:t>aligns with</w:t>
      </w:r>
      <w:r w:rsidRPr="007E3A51">
        <w:rPr>
          <w:rFonts w:ascii="Times New Roman" w:hAnsi="Times New Roman" w:cs="Times New Roman"/>
          <w:lang w:val="en-GB"/>
        </w:rPr>
        <w:t xml:space="preserve"> the standards of the European Union, which we intend to join. Therefore, comprehensive development is </w:t>
      </w:r>
      <w:r w:rsidR="007163EF" w:rsidRPr="007E3A51">
        <w:rPr>
          <w:rFonts w:ascii="Times New Roman" w:hAnsi="Times New Roman" w:cs="Times New Roman"/>
          <w:lang w:val="en-GB"/>
        </w:rPr>
        <w:t>required</w:t>
      </w:r>
      <w:r w:rsidRPr="007E3A51">
        <w:rPr>
          <w:rFonts w:ascii="Times New Roman" w:hAnsi="Times New Roman" w:cs="Times New Roman"/>
          <w:lang w:val="en-GB"/>
        </w:rPr>
        <w:t>, involv</w:t>
      </w:r>
      <w:r w:rsidR="00337B29" w:rsidRPr="007E3A51">
        <w:rPr>
          <w:rFonts w:ascii="Times New Roman" w:hAnsi="Times New Roman" w:cs="Times New Roman"/>
          <w:lang w:val="en-GB"/>
        </w:rPr>
        <w:t>ing</w:t>
      </w:r>
      <w:r w:rsidRPr="007E3A51">
        <w:rPr>
          <w:rFonts w:ascii="Times New Roman" w:hAnsi="Times New Roman" w:cs="Times New Roman"/>
          <w:lang w:val="en-GB"/>
        </w:rPr>
        <w:t xml:space="preserve"> an inclusive approach, namely, </w:t>
      </w:r>
      <w:r w:rsidR="00D70F10" w:rsidRPr="007E3A51">
        <w:rPr>
          <w:rFonts w:ascii="Times New Roman" w:hAnsi="Times New Roman" w:cs="Times New Roman"/>
          <w:lang w:val="en-GB"/>
        </w:rPr>
        <w:t>participation of</w:t>
      </w:r>
      <w:r w:rsidRPr="007E3A51">
        <w:rPr>
          <w:rFonts w:ascii="Times New Roman" w:hAnsi="Times New Roman" w:cs="Times New Roman"/>
          <w:lang w:val="en-GB"/>
        </w:rPr>
        <w:t xml:space="preserve"> all members of society in a full-fledged life, balanced economic </w:t>
      </w:r>
      <w:r w:rsidR="00A04103" w:rsidRPr="007E3A51">
        <w:rPr>
          <w:rFonts w:ascii="Times New Roman" w:hAnsi="Times New Roman" w:cs="Times New Roman"/>
          <w:lang w:val="en-GB"/>
        </w:rPr>
        <w:t>growth</w:t>
      </w:r>
      <w:r w:rsidRPr="007E3A51">
        <w:rPr>
          <w:rFonts w:ascii="Times New Roman" w:hAnsi="Times New Roman" w:cs="Times New Roman"/>
          <w:lang w:val="en-GB"/>
        </w:rPr>
        <w:t xml:space="preserve">, proportional stimulation of </w:t>
      </w:r>
      <w:r w:rsidR="00E22CCA" w:rsidRPr="007E3A51">
        <w:rPr>
          <w:rFonts w:ascii="Times New Roman" w:hAnsi="Times New Roman" w:cs="Times New Roman"/>
          <w:lang w:val="en-GB"/>
        </w:rPr>
        <w:t>key</w:t>
      </w:r>
      <w:r w:rsidRPr="007E3A51">
        <w:rPr>
          <w:rFonts w:ascii="Times New Roman" w:hAnsi="Times New Roman" w:cs="Times New Roman"/>
          <w:lang w:val="en-GB"/>
        </w:rPr>
        <w:t xml:space="preserve"> industries</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and taking into account EU standards </w:t>
      </w:r>
      <w:r w:rsidR="007F35A9" w:rsidRPr="007E3A51">
        <w:rPr>
          <w:rFonts w:ascii="Times New Roman" w:hAnsi="Times New Roman" w:cs="Times New Roman"/>
          <w:lang w:val="en-GB"/>
        </w:rPr>
        <w:t>in</w:t>
      </w:r>
      <w:r w:rsidRPr="007E3A51">
        <w:rPr>
          <w:rFonts w:ascii="Times New Roman" w:hAnsi="Times New Roman" w:cs="Times New Roman"/>
          <w:lang w:val="en-GB"/>
        </w:rPr>
        <w:t xml:space="preserve"> </w:t>
      </w:r>
      <w:r w:rsidR="007F35A9" w:rsidRPr="007E3A51">
        <w:rPr>
          <w:rFonts w:ascii="Times New Roman" w:hAnsi="Times New Roman" w:cs="Times New Roman"/>
          <w:lang w:val="en-GB"/>
        </w:rPr>
        <w:t>shaping</w:t>
      </w:r>
      <w:r w:rsidRPr="007E3A51">
        <w:rPr>
          <w:rFonts w:ascii="Times New Roman" w:hAnsi="Times New Roman" w:cs="Times New Roman"/>
          <w:lang w:val="en-GB"/>
        </w:rPr>
        <w:t xml:space="preserve"> and implementing domestic policy, including </w:t>
      </w:r>
      <w:r w:rsidR="005369B2" w:rsidRPr="007E3A51">
        <w:rPr>
          <w:rFonts w:ascii="Times New Roman" w:hAnsi="Times New Roman" w:cs="Times New Roman"/>
          <w:lang w:val="en-GB"/>
        </w:rPr>
        <w:t xml:space="preserve">the </w:t>
      </w:r>
      <w:r w:rsidRPr="007E3A51">
        <w:rPr>
          <w:rFonts w:ascii="Times New Roman" w:hAnsi="Times New Roman" w:cs="Times New Roman"/>
          <w:lang w:val="en-GB"/>
        </w:rPr>
        <w:t>establishment of the European Green Deal.</w:t>
      </w:r>
    </w:p>
    <w:p w14:paraId="1CD47345" w14:textId="29DC8470" w:rsidR="0044738D" w:rsidRPr="007E3A51" w:rsidRDefault="0044738D" w:rsidP="00E3149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In addition, FAO, understanding all the threats facing society, and also that by 2050 the world's population will </w:t>
      </w:r>
      <w:r w:rsidR="006675D8" w:rsidRPr="007E3A51">
        <w:rPr>
          <w:rFonts w:ascii="Times New Roman" w:hAnsi="Times New Roman" w:cs="Times New Roman"/>
          <w:lang w:val="en-GB"/>
        </w:rPr>
        <w:t>re</w:t>
      </w:r>
      <w:r w:rsidR="006C1713" w:rsidRPr="007E3A51">
        <w:rPr>
          <w:rFonts w:ascii="Times New Roman" w:hAnsi="Times New Roman" w:cs="Times New Roman"/>
          <w:lang w:val="en-GB"/>
        </w:rPr>
        <w:t>a</w:t>
      </w:r>
      <w:r w:rsidR="006675D8" w:rsidRPr="007E3A51">
        <w:rPr>
          <w:rFonts w:ascii="Times New Roman" w:hAnsi="Times New Roman" w:cs="Times New Roman"/>
          <w:lang w:val="en-GB"/>
        </w:rPr>
        <w:t>ch</w:t>
      </w:r>
      <w:r w:rsidRPr="007E3A51">
        <w:rPr>
          <w:rFonts w:ascii="Times New Roman" w:hAnsi="Times New Roman" w:cs="Times New Roman"/>
          <w:lang w:val="en-GB"/>
        </w:rPr>
        <w:t xml:space="preserve"> 10 billion people </w:t>
      </w:r>
      <w:r w:rsidR="00D7345E" w:rsidRPr="007E3A51">
        <w:rPr>
          <w:rFonts w:ascii="Times New Roman" w:hAnsi="Times New Roman" w:cs="Times New Roman"/>
          <w:lang w:val="en-GB"/>
        </w:rPr>
        <w:t>requiring</w:t>
      </w:r>
      <w:r w:rsidRPr="007E3A51">
        <w:rPr>
          <w:rFonts w:ascii="Times New Roman" w:hAnsi="Times New Roman" w:cs="Times New Roman"/>
          <w:lang w:val="en-GB"/>
        </w:rPr>
        <w:t xml:space="preserve"> food, notes that it is necessary to build such food systems </w:t>
      </w:r>
      <w:r w:rsidR="007A6431" w:rsidRPr="007E3A51">
        <w:rPr>
          <w:rFonts w:ascii="Times New Roman" w:hAnsi="Times New Roman" w:cs="Times New Roman"/>
          <w:lang w:val="en-GB"/>
        </w:rPr>
        <w:t xml:space="preserve">capable of </w:t>
      </w:r>
      <w:r w:rsidRPr="007E3A51">
        <w:rPr>
          <w:rFonts w:ascii="Times New Roman" w:hAnsi="Times New Roman" w:cs="Times New Roman"/>
          <w:lang w:val="en-GB"/>
        </w:rPr>
        <w:t>provid</w:t>
      </w:r>
      <w:r w:rsidR="007A6431" w:rsidRPr="007E3A51">
        <w:rPr>
          <w:rFonts w:ascii="Times New Roman" w:hAnsi="Times New Roman" w:cs="Times New Roman"/>
          <w:lang w:val="en-GB"/>
        </w:rPr>
        <w:t>ing</w:t>
      </w:r>
      <w:r w:rsidRPr="007E3A51">
        <w:rPr>
          <w:rFonts w:ascii="Times New Roman" w:hAnsi="Times New Roman" w:cs="Times New Roman"/>
          <w:lang w:val="en-GB"/>
        </w:rPr>
        <w:t xml:space="preserve"> decent jobs and livelihoods for food producers. The organization </w:t>
      </w:r>
      <w:r w:rsidR="00200455" w:rsidRPr="007E3A51">
        <w:rPr>
          <w:rFonts w:ascii="Times New Roman" w:hAnsi="Times New Roman" w:cs="Times New Roman"/>
          <w:lang w:val="en-GB"/>
        </w:rPr>
        <w:t>encourages</w:t>
      </w:r>
      <w:r w:rsidRPr="007E3A51">
        <w:rPr>
          <w:rFonts w:ascii="Times New Roman" w:hAnsi="Times New Roman" w:cs="Times New Roman"/>
          <w:lang w:val="en-GB"/>
        </w:rPr>
        <w:t xml:space="preserve"> states and other stakeholders to </w:t>
      </w:r>
      <w:r w:rsidR="00BC0CAA" w:rsidRPr="007E3A51">
        <w:rPr>
          <w:rFonts w:ascii="Times New Roman" w:hAnsi="Times New Roman" w:cs="Times New Roman"/>
          <w:lang w:val="en-GB"/>
        </w:rPr>
        <w:t>develop</w:t>
      </w:r>
      <w:r w:rsidRPr="007E3A51">
        <w:rPr>
          <w:rFonts w:ascii="Times New Roman" w:hAnsi="Times New Roman" w:cs="Times New Roman"/>
          <w:lang w:val="en-GB"/>
        </w:rPr>
        <w:t xml:space="preserve"> inclusive and sustainable food systems. Moreover, they give a key role in these inclusive food systems to gender equality and the expansion of women's economic opportunities (FAO</w:t>
      </w:r>
      <w:r w:rsidR="00341DA1" w:rsidRPr="007E3A51">
        <w:rPr>
          <w:rFonts w:ascii="Times New Roman" w:hAnsi="Times New Roman" w:cs="Times New Roman"/>
          <w:lang w:val="en-GB"/>
        </w:rPr>
        <w:t xml:space="preserve"> </w:t>
      </w:r>
      <w:proofErr w:type="spellStart"/>
      <w:r w:rsidR="00341DA1" w:rsidRPr="007E3A51">
        <w:rPr>
          <w:rFonts w:ascii="Times New Roman" w:hAnsi="Times New Roman" w:cs="Times New Roman"/>
          <w:lang w:val="en-GB"/>
        </w:rPr>
        <w:t>n.a.</w:t>
      </w:r>
      <w:r w:rsidR="003C294B" w:rsidRPr="007E3A51">
        <w:rPr>
          <w:rFonts w:ascii="Times New Roman" w:hAnsi="Times New Roman" w:cs="Times New Roman"/>
          <w:lang w:val="en-GB"/>
        </w:rPr>
        <w:t>a</w:t>
      </w:r>
      <w:proofErr w:type="spellEnd"/>
      <w:r w:rsidRPr="007E3A51">
        <w:rPr>
          <w:rFonts w:ascii="Times New Roman" w:hAnsi="Times New Roman" w:cs="Times New Roman"/>
          <w:lang w:val="en-GB"/>
        </w:rPr>
        <w:t xml:space="preserve">). </w:t>
      </w:r>
      <w:r w:rsidR="00516149" w:rsidRPr="007E3A51">
        <w:rPr>
          <w:rFonts w:ascii="Times New Roman" w:hAnsi="Times New Roman" w:cs="Times New Roman"/>
          <w:lang w:val="en-GB"/>
        </w:rPr>
        <w:t>This</w:t>
      </w:r>
      <w:r w:rsidRPr="007E3A51">
        <w:rPr>
          <w:rFonts w:ascii="Times New Roman" w:hAnsi="Times New Roman" w:cs="Times New Roman"/>
          <w:lang w:val="en-GB"/>
        </w:rPr>
        <w:t xml:space="preserve"> is fully correlated with the current situation in Ukraine, when most men serve in the Armed Forces of Ukraine</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and part of the previous work has been transferred to women. Therefore, their full inclusion is a</w:t>
      </w:r>
      <w:r w:rsidR="00EE0D09" w:rsidRPr="007E3A51">
        <w:rPr>
          <w:rFonts w:ascii="Times New Roman" w:hAnsi="Times New Roman" w:cs="Times New Roman"/>
          <w:lang w:val="en-GB"/>
        </w:rPr>
        <w:t>n entir</w:t>
      </w:r>
      <w:r w:rsidRPr="007E3A51">
        <w:rPr>
          <w:rFonts w:ascii="Times New Roman" w:hAnsi="Times New Roman" w:cs="Times New Roman"/>
          <w:lang w:val="en-GB"/>
        </w:rPr>
        <w:t>ely logical consequence of the full-scale war in our country.</w:t>
      </w:r>
    </w:p>
    <w:p w14:paraId="1D56E95F" w14:textId="77777777" w:rsidR="0044738D" w:rsidRPr="007E3A51" w:rsidRDefault="0044738D" w:rsidP="00D7631B">
      <w:pPr>
        <w:spacing w:before="120" w:after="120" w:line="240" w:lineRule="auto"/>
        <w:jc w:val="both"/>
        <w:rPr>
          <w:rFonts w:ascii="Times New Roman" w:hAnsi="Times New Roman" w:cs="Times New Roman"/>
          <w:lang w:val="en-GB"/>
        </w:rPr>
      </w:pPr>
      <w:r w:rsidRPr="007E3A51">
        <w:rPr>
          <w:rFonts w:ascii="Times New Roman" w:hAnsi="Times New Roman" w:cs="Times New Roman"/>
          <w:i/>
          <w:iCs/>
          <w:lang w:val="en-GB"/>
        </w:rPr>
        <w:t>Analysis of statistical indicators</w:t>
      </w:r>
    </w:p>
    <w:p w14:paraId="2A43AA0B" w14:textId="34F9B705" w:rsidR="0044738D" w:rsidRPr="007E3A51" w:rsidRDefault="0044738D" w:rsidP="00E3149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In the development of our research, we </w:t>
      </w:r>
      <w:r w:rsidR="006B6003" w:rsidRPr="007E3A51">
        <w:rPr>
          <w:rFonts w:ascii="Times New Roman" w:hAnsi="Times New Roman" w:cs="Times New Roman"/>
          <w:lang w:val="en-GB"/>
        </w:rPr>
        <w:t xml:space="preserve">now </w:t>
      </w:r>
      <w:r w:rsidRPr="007E3A51">
        <w:rPr>
          <w:rFonts w:ascii="Times New Roman" w:hAnsi="Times New Roman" w:cs="Times New Roman"/>
          <w:lang w:val="en-GB"/>
        </w:rPr>
        <w:t xml:space="preserve">proceed to the analysis of the main indicators that characterize food security in Ukraine. </w:t>
      </w:r>
      <w:r w:rsidR="005E67EC" w:rsidRPr="007E3A51">
        <w:rPr>
          <w:rFonts w:ascii="Times New Roman" w:hAnsi="Times New Roman" w:cs="Times New Roman"/>
          <w:lang w:val="en-GB"/>
        </w:rPr>
        <w:t>The results are</w:t>
      </w:r>
      <w:r w:rsidRPr="007E3A51">
        <w:rPr>
          <w:rFonts w:ascii="Times New Roman" w:hAnsi="Times New Roman" w:cs="Times New Roman"/>
          <w:lang w:val="en-GB"/>
        </w:rPr>
        <w:t xml:space="preserve"> present</w:t>
      </w:r>
      <w:r w:rsidR="005E67EC" w:rsidRPr="007E3A51">
        <w:rPr>
          <w:rFonts w:ascii="Times New Roman" w:hAnsi="Times New Roman" w:cs="Times New Roman"/>
          <w:lang w:val="en-GB"/>
        </w:rPr>
        <w:t>ed</w:t>
      </w:r>
      <w:r w:rsidRPr="007E3A51">
        <w:rPr>
          <w:rFonts w:ascii="Times New Roman" w:hAnsi="Times New Roman" w:cs="Times New Roman"/>
          <w:lang w:val="en-GB"/>
        </w:rPr>
        <w:t xml:space="preserve"> in Fig. 1.</w:t>
      </w:r>
    </w:p>
    <w:p w14:paraId="5E0AF15E" w14:textId="2CF1C14D" w:rsidR="002B6177" w:rsidRPr="007E3A51" w:rsidRDefault="002B6177" w:rsidP="00E3149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We </w:t>
      </w:r>
      <w:proofErr w:type="spellStart"/>
      <w:r w:rsidRPr="007E3A51">
        <w:rPr>
          <w:rFonts w:ascii="Times New Roman" w:hAnsi="Times New Roman" w:cs="Times New Roman"/>
          <w:lang w:val="en-GB"/>
        </w:rPr>
        <w:t>analyzed</w:t>
      </w:r>
      <w:proofErr w:type="spellEnd"/>
      <w:r w:rsidRPr="007E3A51">
        <w:rPr>
          <w:rFonts w:ascii="Times New Roman" w:hAnsi="Times New Roman" w:cs="Times New Roman"/>
          <w:lang w:val="en-GB"/>
        </w:rPr>
        <w:t xml:space="preserve"> 7 indicators that reflect the state of food security in Ukraine during the period from 2015 to 2024. For the most part, data </w:t>
      </w:r>
      <w:r w:rsidR="00FF67A1" w:rsidRPr="007E3A51">
        <w:rPr>
          <w:rFonts w:ascii="Times New Roman" w:hAnsi="Times New Roman" w:cs="Times New Roman"/>
          <w:lang w:val="en-GB"/>
        </w:rPr>
        <w:t>are</w:t>
      </w:r>
      <w:r w:rsidRPr="007E3A51">
        <w:rPr>
          <w:rFonts w:ascii="Times New Roman" w:hAnsi="Times New Roman" w:cs="Times New Roman"/>
          <w:lang w:val="en-GB"/>
        </w:rPr>
        <w:t xml:space="preserve"> available as of 2022, after which global databases did not provide updated indicators for Ukraine or </w:t>
      </w:r>
      <w:r w:rsidR="00C84FBF" w:rsidRPr="007E3A51">
        <w:rPr>
          <w:rFonts w:ascii="Times New Roman" w:hAnsi="Times New Roman" w:cs="Times New Roman"/>
          <w:lang w:val="en-GB"/>
        </w:rPr>
        <w:t xml:space="preserve">for </w:t>
      </w:r>
      <w:r w:rsidRPr="007E3A51">
        <w:rPr>
          <w:rFonts w:ascii="Times New Roman" w:hAnsi="Times New Roman" w:cs="Times New Roman"/>
          <w:lang w:val="en-GB"/>
        </w:rPr>
        <w:t xml:space="preserve">the world </w:t>
      </w:r>
      <w:r w:rsidR="00B304A5" w:rsidRPr="007E3A51">
        <w:rPr>
          <w:rFonts w:ascii="Times New Roman" w:hAnsi="Times New Roman" w:cs="Times New Roman"/>
          <w:lang w:val="en-GB"/>
        </w:rPr>
        <w:t>as a whole</w:t>
      </w:r>
      <w:r w:rsidRPr="007E3A51">
        <w:rPr>
          <w:rFonts w:ascii="Times New Roman" w:hAnsi="Times New Roman" w:cs="Times New Roman"/>
          <w:lang w:val="en-GB"/>
        </w:rPr>
        <w:t xml:space="preserve">. The indicator </w:t>
      </w:r>
      <w:r w:rsidR="005369B2" w:rsidRPr="007E3A51">
        <w:rPr>
          <w:rFonts w:ascii="Times New Roman" w:hAnsi="Times New Roman" w:cs="Times New Roman"/>
          <w:lang w:val="en-GB"/>
        </w:rPr>
        <w:t>"</w:t>
      </w:r>
      <w:r w:rsidRPr="007E3A51">
        <w:rPr>
          <w:rFonts w:ascii="Times New Roman" w:hAnsi="Times New Roman" w:cs="Times New Roman"/>
          <w:lang w:val="en-GB"/>
        </w:rPr>
        <w:t>share of food expenditures in total household spending, %</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is provided until 2021, after which data </w:t>
      </w:r>
      <w:r w:rsidR="00F15A01" w:rsidRPr="007E3A51">
        <w:rPr>
          <w:rFonts w:ascii="Times New Roman" w:hAnsi="Times New Roman" w:cs="Times New Roman"/>
          <w:lang w:val="en-GB"/>
        </w:rPr>
        <w:t>were not published</w:t>
      </w:r>
      <w:r w:rsidRPr="007E3A51">
        <w:rPr>
          <w:rFonts w:ascii="Times New Roman" w:hAnsi="Times New Roman" w:cs="Times New Roman"/>
          <w:lang w:val="en-GB"/>
        </w:rPr>
        <w:t xml:space="preserve">, which is due to the full-scale invasion of Ukraine and the lack of a survey by state statistics bodies. </w:t>
      </w:r>
    </w:p>
    <w:p w14:paraId="10D6EC8B" w14:textId="3242FC84" w:rsidR="00E23690" w:rsidRPr="007E3A51" w:rsidRDefault="00E23690" w:rsidP="00E3149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First, we </w:t>
      </w:r>
      <w:proofErr w:type="spellStart"/>
      <w:r w:rsidRPr="007E3A51">
        <w:rPr>
          <w:rFonts w:ascii="Times New Roman" w:hAnsi="Times New Roman" w:cs="Times New Roman"/>
          <w:lang w:val="en-GB"/>
        </w:rPr>
        <w:t>analyze</w:t>
      </w:r>
      <w:proofErr w:type="spellEnd"/>
      <w:r w:rsidRPr="007E3A51">
        <w:rPr>
          <w:rFonts w:ascii="Times New Roman" w:hAnsi="Times New Roman" w:cs="Times New Roman"/>
          <w:lang w:val="en-GB"/>
        </w:rPr>
        <w:t xml:space="preserve"> the data on the prevalence of undernourishment (</w:t>
      </w:r>
      <w:r w:rsidR="001500FD" w:rsidRPr="007E3A51">
        <w:rPr>
          <w:rFonts w:ascii="Times New Roman" w:hAnsi="Times New Roman" w:cs="Times New Roman"/>
          <w:lang w:val="en-GB"/>
        </w:rPr>
        <w:t xml:space="preserve">PU, </w:t>
      </w:r>
      <w:r w:rsidRPr="007E3A51">
        <w:rPr>
          <w:rFonts w:ascii="Times New Roman" w:hAnsi="Times New Roman" w:cs="Times New Roman"/>
          <w:lang w:val="en-GB"/>
        </w:rPr>
        <w:t>% of population), which means the percentage of the population whose food consumption is insufficient to provide the level of energy needed for a normal</w:t>
      </w:r>
      <w:r w:rsidR="00F8258A" w:rsidRPr="007E3A51">
        <w:rPr>
          <w:rFonts w:ascii="Times New Roman" w:hAnsi="Times New Roman" w:cs="Times New Roman"/>
          <w:lang w:val="en-GB"/>
        </w:rPr>
        <w:t>,</w:t>
      </w:r>
      <w:r w:rsidRPr="007E3A51">
        <w:rPr>
          <w:rFonts w:ascii="Times New Roman" w:hAnsi="Times New Roman" w:cs="Times New Roman"/>
          <w:lang w:val="en-GB"/>
        </w:rPr>
        <w:t xml:space="preserve"> active</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and healthy life</w:t>
      </w:r>
      <w:r w:rsidR="006E341C" w:rsidRPr="007E3A51">
        <w:rPr>
          <w:rFonts w:ascii="Times New Roman" w:hAnsi="Times New Roman" w:cs="Times New Roman"/>
          <w:lang w:val="en-GB"/>
        </w:rPr>
        <w:t>. This directly c</w:t>
      </w:r>
      <w:r w:rsidRPr="007E3A51">
        <w:rPr>
          <w:rFonts w:ascii="Times New Roman" w:hAnsi="Times New Roman" w:cs="Times New Roman"/>
          <w:lang w:val="en-GB"/>
        </w:rPr>
        <w:t xml:space="preserve">orrelates with the concept of food security. As we can see, Ukraine's indicators have tended to increase since 2015. The 2022 </w:t>
      </w:r>
      <w:r w:rsidR="00B21990" w:rsidRPr="007E3A51">
        <w:rPr>
          <w:rFonts w:ascii="Times New Roman" w:hAnsi="Times New Roman" w:cs="Times New Roman"/>
          <w:lang w:val="en-GB"/>
        </w:rPr>
        <w:t>figure</w:t>
      </w:r>
      <w:r w:rsidRPr="007E3A51">
        <w:rPr>
          <w:rFonts w:ascii="Times New Roman" w:hAnsi="Times New Roman" w:cs="Times New Roman"/>
          <w:lang w:val="en-GB"/>
        </w:rPr>
        <w:t xml:space="preserve"> is more than </w:t>
      </w:r>
      <w:r w:rsidR="00771A75" w:rsidRPr="007E3A51">
        <w:rPr>
          <w:rFonts w:ascii="Times New Roman" w:hAnsi="Times New Roman" w:cs="Times New Roman"/>
          <w:lang w:val="en-GB"/>
        </w:rPr>
        <w:t>twice</w:t>
      </w:r>
      <w:r w:rsidRPr="007E3A51">
        <w:rPr>
          <w:rFonts w:ascii="Times New Roman" w:hAnsi="Times New Roman" w:cs="Times New Roman"/>
          <w:lang w:val="en-GB"/>
        </w:rPr>
        <w:t xml:space="preserve"> </w:t>
      </w:r>
      <w:r w:rsidR="005369B2" w:rsidRPr="007E3A51">
        <w:rPr>
          <w:rFonts w:ascii="Times New Roman" w:hAnsi="Times New Roman" w:cs="Times New Roman"/>
          <w:lang w:val="en-GB"/>
        </w:rPr>
        <w:t>as high</w:t>
      </w:r>
      <w:r w:rsidRPr="007E3A51">
        <w:rPr>
          <w:rFonts w:ascii="Times New Roman" w:hAnsi="Times New Roman" w:cs="Times New Roman"/>
          <w:lang w:val="en-GB"/>
        </w:rPr>
        <w:t xml:space="preserve"> </w:t>
      </w:r>
      <w:r w:rsidR="005369B2" w:rsidRPr="007E3A51">
        <w:rPr>
          <w:rFonts w:ascii="Times New Roman" w:hAnsi="Times New Roman" w:cs="Times New Roman"/>
          <w:lang w:val="en-GB"/>
        </w:rPr>
        <w:t>as</w:t>
      </w:r>
      <w:r w:rsidRPr="007E3A51">
        <w:rPr>
          <w:rFonts w:ascii="Times New Roman" w:hAnsi="Times New Roman" w:cs="Times New Roman"/>
          <w:lang w:val="en-GB"/>
        </w:rPr>
        <w:t xml:space="preserve"> the 2015-2017 </w:t>
      </w:r>
      <w:r w:rsidR="00BA7953" w:rsidRPr="007E3A51">
        <w:rPr>
          <w:rFonts w:ascii="Times New Roman" w:hAnsi="Times New Roman" w:cs="Times New Roman"/>
          <w:lang w:val="en-GB"/>
        </w:rPr>
        <w:t>level</w:t>
      </w:r>
      <w:r w:rsidRPr="007E3A51">
        <w:rPr>
          <w:rFonts w:ascii="Times New Roman" w:hAnsi="Times New Roman" w:cs="Times New Roman"/>
          <w:lang w:val="en-GB"/>
        </w:rPr>
        <w:t xml:space="preserve">. It is worth noting that the result of 2.5% may </w:t>
      </w:r>
      <w:r w:rsidR="004C7D73" w:rsidRPr="007E3A51">
        <w:rPr>
          <w:rFonts w:ascii="Times New Roman" w:hAnsi="Times New Roman" w:cs="Times New Roman"/>
          <w:lang w:val="en-GB"/>
        </w:rPr>
        <w:t>in fact be lower</w:t>
      </w:r>
      <w:r w:rsidRPr="007E3A51">
        <w:rPr>
          <w:rFonts w:ascii="Times New Roman" w:hAnsi="Times New Roman" w:cs="Times New Roman"/>
          <w:lang w:val="en-GB"/>
        </w:rPr>
        <w:t xml:space="preserve"> </w:t>
      </w:r>
      <w:r w:rsidR="004C7D73" w:rsidRPr="007E3A51">
        <w:rPr>
          <w:rFonts w:ascii="Times New Roman" w:hAnsi="Times New Roman" w:cs="Times New Roman"/>
          <w:lang w:val="en-GB"/>
        </w:rPr>
        <w:t>than</w:t>
      </w:r>
      <w:r w:rsidRPr="007E3A51">
        <w:rPr>
          <w:rFonts w:ascii="Times New Roman" w:hAnsi="Times New Roman" w:cs="Times New Roman"/>
          <w:lang w:val="en-GB"/>
        </w:rPr>
        <w:t xml:space="preserve"> 2.5%, according to the FAO methodology. The </w:t>
      </w:r>
      <w:r w:rsidR="00EE0D09" w:rsidRPr="007E3A51">
        <w:rPr>
          <w:rFonts w:ascii="Times New Roman" w:hAnsi="Times New Roman" w:cs="Times New Roman"/>
          <w:lang w:val="en-GB"/>
        </w:rPr>
        <w:t>most significan</w:t>
      </w:r>
      <w:r w:rsidRPr="007E3A51">
        <w:rPr>
          <w:rFonts w:ascii="Times New Roman" w:hAnsi="Times New Roman" w:cs="Times New Roman"/>
          <w:lang w:val="en-GB"/>
        </w:rPr>
        <w:t xml:space="preserve">t increase is observed in 2021, when it </w:t>
      </w:r>
      <w:r w:rsidR="008710B6" w:rsidRPr="007E3A51">
        <w:rPr>
          <w:rFonts w:ascii="Times New Roman" w:hAnsi="Times New Roman" w:cs="Times New Roman"/>
          <w:lang w:val="en-GB"/>
        </w:rPr>
        <w:t>rose</w:t>
      </w:r>
      <w:r w:rsidRPr="007E3A51">
        <w:rPr>
          <w:rFonts w:ascii="Times New Roman" w:hAnsi="Times New Roman" w:cs="Times New Roman"/>
          <w:lang w:val="en-GB"/>
        </w:rPr>
        <w:t xml:space="preserve"> by 1% compared to 2020 (5.3% and 4.3%, respectively). In 2022, it</w:t>
      </w:r>
      <w:r w:rsidR="00882FC6" w:rsidRPr="007E3A51">
        <w:rPr>
          <w:rFonts w:ascii="Times New Roman" w:hAnsi="Times New Roman" w:cs="Times New Roman"/>
          <w:lang w:val="en-GB"/>
        </w:rPr>
        <w:t xml:space="preserve"> </w:t>
      </w:r>
      <w:r w:rsidRPr="007E3A51">
        <w:rPr>
          <w:rFonts w:ascii="Times New Roman" w:hAnsi="Times New Roman" w:cs="Times New Roman"/>
          <w:lang w:val="en-GB"/>
        </w:rPr>
        <w:t xml:space="preserve">reached 5.8% of the population of Ukraine. Further data were not provided. The undernourishment indicator </w:t>
      </w:r>
      <w:r w:rsidR="005369B2" w:rsidRPr="007E3A51">
        <w:rPr>
          <w:rFonts w:ascii="Times New Roman" w:hAnsi="Times New Roman" w:cs="Times New Roman"/>
          <w:lang w:val="en-GB"/>
        </w:rPr>
        <w:t>is also</w:t>
      </w:r>
      <w:r w:rsidRPr="007E3A51">
        <w:rPr>
          <w:rFonts w:ascii="Times New Roman" w:hAnsi="Times New Roman" w:cs="Times New Roman"/>
          <w:lang w:val="en-GB"/>
        </w:rPr>
        <w:t xml:space="preserve"> measured as a component of another </w:t>
      </w:r>
      <w:r w:rsidR="00EE0D09" w:rsidRPr="007E3A51">
        <w:rPr>
          <w:rFonts w:ascii="Times New Roman" w:hAnsi="Times New Roman" w:cs="Times New Roman"/>
          <w:lang w:val="en-GB"/>
        </w:rPr>
        <w:t>vital</w:t>
      </w:r>
      <w:r w:rsidRPr="007E3A51">
        <w:rPr>
          <w:rFonts w:ascii="Times New Roman" w:hAnsi="Times New Roman" w:cs="Times New Roman"/>
          <w:lang w:val="en-GB"/>
        </w:rPr>
        <w:t xml:space="preserve"> index – the Global Hunger Index</w:t>
      </w:r>
      <w:r w:rsidR="002933C1" w:rsidRPr="007E3A51">
        <w:rPr>
          <w:rFonts w:ascii="Times New Roman" w:hAnsi="Times New Roman" w:cs="Times New Roman"/>
          <w:lang w:val="en-GB"/>
        </w:rPr>
        <w:t>. However,</w:t>
      </w:r>
      <w:r w:rsidRPr="007E3A51">
        <w:rPr>
          <w:rFonts w:ascii="Times New Roman" w:hAnsi="Times New Roman" w:cs="Times New Roman"/>
          <w:lang w:val="en-GB"/>
        </w:rPr>
        <w:t xml:space="preserve"> the methodology for its calculation does not allow </w:t>
      </w:r>
      <w:r w:rsidR="00476C2F" w:rsidRPr="007E3A51">
        <w:rPr>
          <w:rFonts w:ascii="Times New Roman" w:hAnsi="Times New Roman" w:cs="Times New Roman"/>
          <w:lang w:val="en-GB"/>
        </w:rPr>
        <w:t>direct comparison between</w:t>
      </w:r>
      <w:r w:rsidRPr="007E3A51">
        <w:rPr>
          <w:rFonts w:ascii="Times New Roman" w:hAnsi="Times New Roman" w:cs="Times New Roman"/>
          <w:lang w:val="en-GB"/>
        </w:rPr>
        <w:t xml:space="preserve"> the FAO </w:t>
      </w:r>
      <w:r w:rsidR="00476C2F" w:rsidRPr="007E3A51">
        <w:rPr>
          <w:rFonts w:ascii="Times New Roman" w:hAnsi="Times New Roman" w:cs="Times New Roman"/>
          <w:lang w:val="en-GB"/>
        </w:rPr>
        <w:t xml:space="preserve">data </w:t>
      </w:r>
      <w:r w:rsidRPr="007E3A51">
        <w:rPr>
          <w:rFonts w:ascii="Times New Roman" w:hAnsi="Times New Roman" w:cs="Times New Roman"/>
          <w:lang w:val="en-GB"/>
        </w:rPr>
        <w:t>and this Index.</w:t>
      </w:r>
    </w:p>
    <w:p w14:paraId="79697719" w14:textId="77777777" w:rsidR="002B6177" w:rsidRPr="007E3A51" w:rsidRDefault="002B6177" w:rsidP="00E3149F">
      <w:pPr>
        <w:spacing w:after="0" w:line="240" w:lineRule="auto"/>
        <w:ind w:firstLine="284"/>
        <w:jc w:val="both"/>
        <w:rPr>
          <w:rFonts w:ascii="Times New Roman" w:hAnsi="Times New Roman" w:cs="Times New Roman"/>
          <w:lang w:val="en-GB"/>
        </w:rPr>
      </w:pPr>
    </w:p>
    <w:p w14:paraId="00DF3B3F" w14:textId="77777777" w:rsidR="0044738D" w:rsidRPr="007E3A51" w:rsidRDefault="0044738D" w:rsidP="0044738D">
      <w:pPr>
        <w:jc w:val="both"/>
        <w:rPr>
          <w:sz w:val="20"/>
          <w:szCs w:val="20"/>
          <w:lang w:val="en-GB"/>
        </w:rPr>
      </w:pPr>
      <w:r w:rsidRPr="007E3A51">
        <w:rPr>
          <w:noProof/>
          <w:lang w:val="en-GB"/>
          <w14:ligatures w14:val="standardContextual"/>
        </w:rPr>
        <w:lastRenderedPageBreak/>
        <w:drawing>
          <wp:inline distT="0" distB="0" distL="0" distR="0" wp14:anchorId="77F55328" wp14:editId="37E5E5DA">
            <wp:extent cx="6120130" cy="3312160"/>
            <wp:effectExtent l="0" t="0" r="13970" b="15240"/>
            <wp:docPr id="548912663" name="Chart 1">
              <a:extLst xmlns:a="http://schemas.openxmlformats.org/drawingml/2006/main">
                <a:ext uri="{FF2B5EF4-FFF2-40B4-BE49-F238E27FC236}">
                  <a16:creationId xmlns:a16="http://schemas.microsoft.com/office/drawing/2014/main" id="{822665D7-7261-C6BE-2381-D1F8363E0C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F08BCC" w14:textId="353E3F36" w:rsidR="0044738D" w:rsidRPr="007E3A51" w:rsidRDefault="0044738D" w:rsidP="00315868">
      <w:pPr>
        <w:pStyle w:val="Rrys"/>
        <w:rPr>
          <w:lang w:val="en-GB"/>
        </w:rPr>
      </w:pPr>
      <w:r w:rsidRPr="007E3A51">
        <w:rPr>
          <w:b/>
          <w:bCs/>
          <w:lang w:val="en-GB"/>
        </w:rPr>
        <w:t>Fig</w:t>
      </w:r>
      <w:r w:rsidR="00274AA7" w:rsidRPr="007E3A51">
        <w:rPr>
          <w:b/>
          <w:bCs/>
          <w:lang w:val="en-GB"/>
        </w:rPr>
        <w:t>.</w:t>
      </w:r>
      <w:r w:rsidRPr="007E3A51">
        <w:rPr>
          <w:b/>
          <w:bCs/>
          <w:lang w:val="en-GB"/>
        </w:rPr>
        <w:t xml:space="preserve"> 1. </w:t>
      </w:r>
      <w:r w:rsidRPr="007E3A51">
        <w:rPr>
          <w:lang w:val="en-GB"/>
        </w:rPr>
        <w:t>Main indicators characterizing the state of food security in Ukraine*, **</w:t>
      </w:r>
    </w:p>
    <w:p w14:paraId="3D2FD585" w14:textId="0E7683C3" w:rsidR="0044738D" w:rsidRPr="007E3A51" w:rsidRDefault="0044738D" w:rsidP="00315868">
      <w:pPr>
        <w:spacing w:after="0" w:line="240" w:lineRule="auto"/>
        <w:jc w:val="both"/>
        <w:rPr>
          <w:rFonts w:ascii="Times New Roman" w:hAnsi="Times New Roman" w:cs="Times New Roman"/>
          <w:sz w:val="20"/>
          <w:szCs w:val="20"/>
          <w:lang w:val="en-GB"/>
        </w:rPr>
      </w:pPr>
      <w:r w:rsidRPr="007E3A51">
        <w:rPr>
          <w:rFonts w:ascii="Times New Roman" w:hAnsi="Times New Roman" w:cs="Times New Roman"/>
          <w:sz w:val="20"/>
          <w:szCs w:val="20"/>
          <w:lang w:val="en-GB"/>
        </w:rPr>
        <w:t>* The Prevalence of undernourishment indicator – 2.5 (2015-2016) may be less than 2.5</w:t>
      </w:r>
    </w:p>
    <w:p w14:paraId="6F1F2E6F" w14:textId="7388A2BA" w:rsidR="0044738D" w:rsidRPr="007E3A51" w:rsidRDefault="0044738D" w:rsidP="00315868">
      <w:pPr>
        <w:spacing w:after="0" w:line="240" w:lineRule="auto"/>
        <w:jc w:val="both"/>
        <w:rPr>
          <w:rFonts w:ascii="Times New Roman" w:hAnsi="Times New Roman" w:cs="Times New Roman"/>
          <w:sz w:val="20"/>
          <w:szCs w:val="20"/>
          <w:lang w:val="en-GB"/>
        </w:rPr>
      </w:pPr>
      <w:r w:rsidRPr="007E3A51">
        <w:rPr>
          <w:rFonts w:ascii="Times New Roman" w:hAnsi="Times New Roman" w:cs="Times New Roman"/>
          <w:sz w:val="20"/>
          <w:szCs w:val="20"/>
          <w:lang w:val="en-GB"/>
        </w:rPr>
        <w:t>**The Global Hunger Index indicator 5.0 (2017-2020) is less than 5 (&lt;5)</w:t>
      </w:r>
    </w:p>
    <w:p w14:paraId="71EBFE94" w14:textId="58ABA3BD" w:rsidR="0044738D" w:rsidRPr="007E3A51" w:rsidRDefault="0044738D" w:rsidP="00315868">
      <w:pPr>
        <w:spacing w:before="60" w:after="0" w:line="240" w:lineRule="auto"/>
        <w:jc w:val="both"/>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Source: </w:t>
      </w:r>
      <w:r w:rsidR="007011AC" w:rsidRPr="007E3A51">
        <w:rPr>
          <w:rFonts w:ascii="Times New Roman" w:hAnsi="Times New Roman" w:cs="Times New Roman"/>
          <w:sz w:val="20"/>
          <w:szCs w:val="20"/>
          <w:lang w:val="en-GB"/>
        </w:rPr>
        <w:t xml:space="preserve">compiled by the authors based on </w:t>
      </w:r>
      <w:r w:rsidRPr="007E3A51">
        <w:rPr>
          <w:rFonts w:ascii="Times New Roman" w:hAnsi="Times New Roman" w:cs="Times New Roman"/>
          <w:sz w:val="20"/>
          <w:szCs w:val="20"/>
          <w:lang w:val="en-GB"/>
        </w:rPr>
        <w:t>World Bank Group</w:t>
      </w:r>
      <w:r w:rsidR="005369B2"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 xml:space="preserve"> Global Hunger </w:t>
      </w:r>
      <w:r w:rsidR="005369B2" w:rsidRPr="007E3A51">
        <w:rPr>
          <w:rFonts w:ascii="Times New Roman" w:hAnsi="Times New Roman" w:cs="Times New Roman"/>
          <w:sz w:val="20"/>
          <w:szCs w:val="20"/>
          <w:lang w:val="en-GB"/>
        </w:rPr>
        <w:t>I</w:t>
      </w:r>
      <w:r w:rsidRPr="007E3A51">
        <w:rPr>
          <w:rFonts w:ascii="Times New Roman" w:hAnsi="Times New Roman" w:cs="Times New Roman"/>
          <w:sz w:val="20"/>
          <w:szCs w:val="20"/>
          <w:lang w:val="en-GB"/>
        </w:rPr>
        <w:t>ndex</w:t>
      </w:r>
      <w:r w:rsidR="00341DA1" w:rsidRPr="007E3A51">
        <w:rPr>
          <w:rFonts w:ascii="Times New Roman" w:hAnsi="Times New Roman" w:cs="Times New Roman"/>
          <w:sz w:val="20"/>
          <w:szCs w:val="20"/>
          <w:lang w:val="en-GB"/>
        </w:rPr>
        <w:t xml:space="preserve"> (2025)</w:t>
      </w:r>
      <w:r w:rsidRPr="007E3A51">
        <w:rPr>
          <w:rFonts w:ascii="Times New Roman" w:hAnsi="Times New Roman" w:cs="Times New Roman"/>
          <w:sz w:val="20"/>
          <w:szCs w:val="20"/>
          <w:lang w:val="en-GB"/>
        </w:rPr>
        <w:t xml:space="preserve">; </w:t>
      </w:r>
      <w:r w:rsidR="000041A8" w:rsidRPr="007E3A51">
        <w:rPr>
          <w:rFonts w:ascii="Times New Roman" w:hAnsi="Times New Roman" w:cs="Times New Roman"/>
          <w:sz w:val="20"/>
          <w:szCs w:val="20"/>
          <w:lang w:val="en-GB"/>
        </w:rPr>
        <w:t>State Statistics Service of Ukraine (2025)</w:t>
      </w:r>
    </w:p>
    <w:p w14:paraId="43C19918" w14:textId="77777777" w:rsidR="006D169A" w:rsidRPr="007E3A51" w:rsidRDefault="006D169A" w:rsidP="00E3149F">
      <w:pPr>
        <w:spacing w:after="0" w:line="240" w:lineRule="auto"/>
        <w:ind w:firstLine="284"/>
        <w:jc w:val="both"/>
        <w:rPr>
          <w:rFonts w:ascii="Times New Roman" w:hAnsi="Times New Roman" w:cs="Times New Roman"/>
          <w:i/>
          <w:iCs/>
          <w:sz w:val="20"/>
          <w:szCs w:val="20"/>
          <w:lang w:val="en-GB"/>
        </w:rPr>
      </w:pPr>
    </w:p>
    <w:p w14:paraId="376497D4" w14:textId="4BD55499" w:rsidR="0044738D" w:rsidRPr="007E3A51" w:rsidRDefault="0044738D" w:rsidP="00E3149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The Global Hunger Index (GHI) is a tool that measures hunger at the global, regional</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and national levels. It is calculated based on four indicators that reflect the multidimensional nature of hunger. It consists of the following components: undernourishment, child stunting, child wasting, </w:t>
      </w:r>
      <w:r w:rsidR="005369B2" w:rsidRPr="007E3A51">
        <w:rPr>
          <w:rFonts w:ascii="Times New Roman" w:hAnsi="Times New Roman" w:cs="Times New Roman"/>
          <w:lang w:val="en-GB"/>
        </w:rPr>
        <w:t xml:space="preserve">and </w:t>
      </w:r>
      <w:r w:rsidRPr="007E3A51">
        <w:rPr>
          <w:rFonts w:ascii="Times New Roman" w:hAnsi="Times New Roman" w:cs="Times New Roman"/>
          <w:lang w:val="en-GB"/>
        </w:rPr>
        <w:t>child mortality. The data used to calculate this index are available in various databases, including FAO</w:t>
      </w:r>
      <w:r w:rsidR="000519AE" w:rsidRPr="007E3A51">
        <w:rPr>
          <w:rFonts w:ascii="Times New Roman" w:hAnsi="Times New Roman" w:cs="Times New Roman"/>
          <w:lang w:val="en-GB"/>
        </w:rPr>
        <w:t>. H</w:t>
      </w:r>
      <w:r w:rsidRPr="007E3A51">
        <w:rPr>
          <w:rFonts w:ascii="Times New Roman" w:hAnsi="Times New Roman" w:cs="Times New Roman"/>
          <w:lang w:val="en-GB"/>
        </w:rPr>
        <w:t xml:space="preserve">owever, the peculiarity of this index is that it calculates the annual indicator based on the previous 3-4 years (on average). </w:t>
      </w:r>
      <w:r w:rsidR="00CC0385" w:rsidRPr="007E3A51">
        <w:rPr>
          <w:rFonts w:ascii="Times New Roman" w:hAnsi="Times New Roman" w:cs="Times New Roman"/>
          <w:lang w:val="en-GB"/>
        </w:rPr>
        <w:t>For this reason,</w:t>
      </w:r>
      <w:r w:rsidRPr="007E3A51">
        <w:rPr>
          <w:rFonts w:ascii="Times New Roman" w:hAnsi="Times New Roman" w:cs="Times New Roman"/>
          <w:lang w:val="en-GB"/>
        </w:rPr>
        <w:t xml:space="preserve"> we </w:t>
      </w:r>
      <w:r w:rsidR="00BB702B" w:rsidRPr="007E3A51">
        <w:rPr>
          <w:rFonts w:ascii="Times New Roman" w:hAnsi="Times New Roman" w:cs="Times New Roman"/>
          <w:lang w:val="en-GB"/>
        </w:rPr>
        <w:t xml:space="preserve">are unable to </w:t>
      </w:r>
      <w:r w:rsidRPr="007E3A51">
        <w:rPr>
          <w:rFonts w:ascii="Times New Roman" w:hAnsi="Times New Roman" w:cs="Times New Roman"/>
          <w:lang w:val="en-GB"/>
        </w:rPr>
        <w:t>compare the result of malnutrition according to this index with the FAO indicator directly for a</w:t>
      </w:r>
      <w:r w:rsidR="00625A8A" w:rsidRPr="007E3A51">
        <w:rPr>
          <w:rFonts w:ascii="Times New Roman" w:hAnsi="Times New Roman" w:cs="Times New Roman"/>
          <w:lang w:val="en-GB"/>
        </w:rPr>
        <w:t> </w:t>
      </w:r>
      <w:r w:rsidRPr="007E3A51">
        <w:rPr>
          <w:rFonts w:ascii="Times New Roman" w:hAnsi="Times New Roman" w:cs="Times New Roman"/>
          <w:lang w:val="en-GB"/>
        </w:rPr>
        <w:t>specific year (Global Hunger Index</w:t>
      </w:r>
      <w:r w:rsidR="00341DA1" w:rsidRPr="007E3A51">
        <w:rPr>
          <w:rFonts w:ascii="Times New Roman" w:hAnsi="Times New Roman" w:cs="Times New Roman"/>
          <w:lang w:val="en-GB"/>
        </w:rPr>
        <w:t xml:space="preserve"> </w:t>
      </w:r>
      <w:proofErr w:type="spellStart"/>
      <w:r w:rsidR="00341DA1" w:rsidRPr="007E3A51">
        <w:rPr>
          <w:rFonts w:ascii="Times New Roman" w:hAnsi="Times New Roman" w:cs="Times New Roman"/>
          <w:lang w:val="en-GB"/>
        </w:rPr>
        <w:t>n.a.</w:t>
      </w:r>
      <w:proofErr w:type="spellEnd"/>
      <w:r w:rsidRPr="007E3A51">
        <w:rPr>
          <w:rFonts w:ascii="Times New Roman" w:hAnsi="Times New Roman" w:cs="Times New Roman"/>
          <w:lang w:val="en-GB"/>
        </w:rPr>
        <w:t>). An indicator that is numerically less than 5.0 is indicated as &lt;5. Accordingly, in Fig. 1</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these results in Ukraine are displayed as 5</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however</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they are less than 5, but according to the visualization in MS Excel</w:t>
      </w:r>
      <w:r w:rsidR="005369B2" w:rsidRPr="007E3A51">
        <w:rPr>
          <w:rFonts w:ascii="Times New Roman" w:hAnsi="Times New Roman" w:cs="Times New Roman"/>
          <w:lang w:val="en-GB"/>
        </w:rPr>
        <w:t>,</w:t>
      </w:r>
      <w:r w:rsidR="008E5D9C" w:rsidRPr="007E3A51">
        <w:rPr>
          <w:rFonts w:ascii="Times New Roman" w:hAnsi="Times New Roman" w:cs="Times New Roman"/>
          <w:lang w:val="en-GB"/>
        </w:rPr>
        <w:t xml:space="preserve"> their values</w:t>
      </w:r>
      <w:r w:rsidRPr="007E3A51">
        <w:rPr>
          <w:rFonts w:ascii="Times New Roman" w:hAnsi="Times New Roman" w:cs="Times New Roman"/>
          <w:lang w:val="en-GB"/>
        </w:rPr>
        <w:t xml:space="preserve"> a</w:t>
      </w:r>
      <w:r w:rsidR="005369B2" w:rsidRPr="007E3A51">
        <w:rPr>
          <w:rFonts w:ascii="Times New Roman" w:hAnsi="Times New Roman" w:cs="Times New Roman"/>
          <w:lang w:val="en-GB"/>
        </w:rPr>
        <w:t>re</w:t>
      </w:r>
      <w:r w:rsidRPr="007E3A51">
        <w:rPr>
          <w:rFonts w:ascii="Times New Roman" w:hAnsi="Times New Roman" w:cs="Times New Roman"/>
          <w:lang w:val="en-GB"/>
        </w:rPr>
        <w:t xml:space="preserve"> 5. The analysis of this index in Ukraine reflects uneven trends during the </w:t>
      </w:r>
      <w:proofErr w:type="spellStart"/>
      <w:r w:rsidRPr="007E3A51">
        <w:rPr>
          <w:rFonts w:ascii="Times New Roman" w:hAnsi="Times New Roman" w:cs="Times New Roman"/>
          <w:lang w:val="en-GB"/>
        </w:rPr>
        <w:t>analyzed</w:t>
      </w:r>
      <w:proofErr w:type="spellEnd"/>
      <w:r w:rsidRPr="007E3A51">
        <w:rPr>
          <w:rFonts w:ascii="Times New Roman" w:hAnsi="Times New Roman" w:cs="Times New Roman"/>
          <w:lang w:val="en-GB"/>
        </w:rPr>
        <w:t xml:space="preserve"> period. Thus, in 2015 it was higher than in 2016</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and subsequently a stable low level was observed during the results of 2017-2020. However, we </w:t>
      </w:r>
      <w:r w:rsidR="00100D1C" w:rsidRPr="007E3A51">
        <w:rPr>
          <w:rFonts w:ascii="Times New Roman" w:hAnsi="Times New Roman" w:cs="Times New Roman"/>
          <w:lang w:val="en-GB"/>
        </w:rPr>
        <w:t>must</w:t>
      </w:r>
      <w:r w:rsidRPr="007E3A51">
        <w:rPr>
          <w:rFonts w:ascii="Times New Roman" w:hAnsi="Times New Roman" w:cs="Times New Roman"/>
          <w:lang w:val="en-GB"/>
        </w:rPr>
        <w:t xml:space="preserve"> recall that according to the methodology, these results are a reflection of averaged indicators for previous years. Since 2021, this index </w:t>
      </w:r>
      <w:r w:rsidR="005369B2" w:rsidRPr="007E3A51">
        <w:rPr>
          <w:rFonts w:ascii="Times New Roman" w:hAnsi="Times New Roman" w:cs="Times New Roman"/>
          <w:lang w:val="en-GB"/>
        </w:rPr>
        <w:t>has shown</w:t>
      </w:r>
      <w:r w:rsidRPr="007E3A51">
        <w:rPr>
          <w:rFonts w:ascii="Times New Roman" w:hAnsi="Times New Roman" w:cs="Times New Roman"/>
          <w:lang w:val="en-GB"/>
        </w:rPr>
        <w:t xml:space="preserve"> a fairly noticeable growth, which </w:t>
      </w:r>
      <w:r w:rsidR="005369B2" w:rsidRPr="007E3A51">
        <w:rPr>
          <w:rFonts w:ascii="Times New Roman" w:hAnsi="Times New Roman" w:cs="Times New Roman"/>
          <w:lang w:val="en-GB"/>
        </w:rPr>
        <w:t>has continued</w:t>
      </w:r>
      <w:r w:rsidRPr="007E3A51">
        <w:rPr>
          <w:rFonts w:ascii="Times New Roman" w:hAnsi="Times New Roman" w:cs="Times New Roman"/>
          <w:lang w:val="en-GB"/>
        </w:rPr>
        <w:t xml:space="preserve"> until 2024 inclusive. Thus, compared to the result of 2020, the indicator for 2024 is more than 3.6 </w:t>
      </w:r>
      <w:r w:rsidR="005369B2" w:rsidRPr="007E3A51">
        <w:rPr>
          <w:rFonts w:ascii="Times New Roman" w:hAnsi="Times New Roman" w:cs="Times New Roman"/>
          <w:lang w:val="en-GB"/>
        </w:rPr>
        <w:t xml:space="preserve">times </w:t>
      </w:r>
      <w:r w:rsidR="0063471D" w:rsidRPr="007E3A51">
        <w:rPr>
          <w:rFonts w:ascii="Times New Roman" w:hAnsi="Times New Roman" w:cs="Times New Roman"/>
          <w:lang w:val="en-GB"/>
        </w:rPr>
        <w:t>higher</w:t>
      </w:r>
      <w:r w:rsidRPr="007E3A51">
        <w:rPr>
          <w:rFonts w:ascii="Times New Roman" w:hAnsi="Times New Roman" w:cs="Times New Roman"/>
          <w:lang w:val="en-GB"/>
        </w:rPr>
        <w:t xml:space="preserve"> (8.6). The growth of this index</w:t>
      </w:r>
      <w:r w:rsidR="007F65B1" w:rsidRPr="007E3A51">
        <w:rPr>
          <w:rFonts w:ascii="Times New Roman" w:hAnsi="Times New Roman" w:cs="Times New Roman"/>
          <w:lang w:val="en-GB"/>
        </w:rPr>
        <w:t xml:space="preserve"> since</w:t>
      </w:r>
      <w:r w:rsidRPr="007E3A51">
        <w:rPr>
          <w:rFonts w:ascii="Times New Roman" w:hAnsi="Times New Roman" w:cs="Times New Roman"/>
          <w:lang w:val="en-GB"/>
        </w:rPr>
        <w:t xml:space="preserve"> 2021 is explained by the onset of the COVID-19 pandemic, the results of which could already be included in this indicator. Ukraine's further results are also justified by the pandemic, and from 2023 by the beginning of a full-scale war, which was reflected in the results of 2022. That is why we can observe this trend. Reports on this index emphasize that the war in Ukraine negatively affects food security around the world and results in </w:t>
      </w:r>
      <w:r w:rsidR="005369B2" w:rsidRPr="007E3A51">
        <w:rPr>
          <w:rFonts w:ascii="Times New Roman" w:hAnsi="Times New Roman" w:cs="Times New Roman"/>
          <w:lang w:val="en-GB"/>
        </w:rPr>
        <w:t xml:space="preserve">a </w:t>
      </w:r>
      <w:r w:rsidRPr="007E3A51">
        <w:rPr>
          <w:rFonts w:ascii="Times New Roman" w:hAnsi="Times New Roman" w:cs="Times New Roman"/>
          <w:lang w:val="en-GB"/>
        </w:rPr>
        <w:t xml:space="preserve">deterioration </w:t>
      </w:r>
      <w:r w:rsidR="005622B7" w:rsidRPr="007E3A51">
        <w:rPr>
          <w:rFonts w:ascii="Times New Roman" w:hAnsi="Times New Roman" w:cs="Times New Roman"/>
          <w:lang w:val="en-GB"/>
        </w:rPr>
        <w:t xml:space="preserve">of </w:t>
      </w:r>
      <w:r w:rsidRPr="007E3A51">
        <w:rPr>
          <w:rFonts w:ascii="Times New Roman" w:hAnsi="Times New Roman" w:cs="Times New Roman"/>
          <w:lang w:val="en-GB"/>
        </w:rPr>
        <w:t xml:space="preserve">the index. </w:t>
      </w:r>
      <w:r w:rsidR="005369B2" w:rsidRPr="007E3A51">
        <w:rPr>
          <w:rFonts w:ascii="Times New Roman" w:hAnsi="Times New Roman" w:cs="Times New Roman"/>
          <w:lang w:val="en-GB"/>
        </w:rPr>
        <w:t>However,</w:t>
      </w:r>
      <w:r w:rsidRPr="007E3A51">
        <w:rPr>
          <w:rFonts w:ascii="Times New Roman" w:hAnsi="Times New Roman" w:cs="Times New Roman"/>
          <w:lang w:val="en-GB"/>
        </w:rPr>
        <w:t xml:space="preserve"> it </w:t>
      </w:r>
      <w:r w:rsidR="00337718" w:rsidRPr="007E3A51">
        <w:rPr>
          <w:rFonts w:ascii="Times New Roman" w:hAnsi="Times New Roman" w:cs="Times New Roman"/>
          <w:lang w:val="en-GB"/>
        </w:rPr>
        <w:t>should be noted</w:t>
      </w:r>
      <w:r w:rsidRPr="007E3A51">
        <w:rPr>
          <w:rFonts w:ascii="Times New Roman" w:hAnsi="Times New Roman" w:cs="Times New Roman"/>
          <w:lang w:val="en-GB"/>
        </w:rPr>
        <w:t xml:space="preserve"> that an indicator below 10 is considered</w:t>
      </w:r>
      <w:r w:rsidR="009E4154" w:rsidRPr="007E3A51">
        <w:rPr>
          <w:rFonts w:ascii="Times New Roman" w:hAnsi="Times New Roman" w:cs="Times New Roman"/>
          <w:lang w:val="en-GB"/>
        </w:rPr>
        <w:t xml:space="preserve"> low</w:t>
      </w:r>
      <w:r w:rsidRPr="007E3A51">
        <w:rPr>
          <w:rFonts w:ascii="Times New Roman" w:hAnsi="Times New Roman" w:cs="Times New Roman"/>
          <w:lang w:val="en-GB"/>
        </w:rPr>
        <w:t>, according to the method</w:t>
      </w:r>
      <w:r w:rsidR="009E4154" w:rsidRPr="007E3A51">
        <w:rPr>
          <w:rFonts w:ascii="Times New Roman" w:hAnsi="Times New Roman" w:cs="Times New Roman"/>
          <w:lang w:val="en-GB"/>
        </w:rPr>
        <w:t>ology</w:t>
      </w:r>
      <w:r w:rsidRPr="007E3A51">
        <w:rPr>
          <w:rFonts w:ascii="Times New Roman" w:hAnsi="Times New Roman" w:cs="Times New Roman"/>
          <w:lang w:val="en-GB"/>
        </w:rPr>
        <w:t xml:space="preserve">. </w:t>
      </w:r>
      <w:r w:rsidR="00337718" w:rsidRPr="007E3A51">
        <w:rPr>
          <w:rFonts w:ascii="Times New Roman" w:hAnsi="Times New Roman" w:cs="Times New Roman"/>
          <w:lang w:val="en-GB"/>
        </w:rPr>
        <w:t>Thus</w:t>
      </w:r>
      <w:r w:rsidRPr="007E3A51">
        <w:rPr>
          <w:rFonts w:ascii="Times New Roman" w:hAnsi="Times New Roman" w:cs="Times New Roman"/>
          <w:lang w:val="en-GB"/>
        </w:rPr>
        <w:t>, Ukraine still has this indicator at a low level. In 2024, Ukraine ranked 46th out of 127 countries included in the report (Global Hunger Index</w:t>
      </w:r>
      <w:r w:rsidR="00341DA1" w:rsidRPr="007E3A51">
        <w:rPr>
          <w:rFonts w:ascii="Times New Roman" w:hAnsi="Times New Roman" w:cs="Times New Roman"/>
          <w:lang w:val="en-GB"/>
        </w:rPr>
        <w:t xml:space="preserve"> 2025</w:t>
      </w:r>
      <w:r w:rsidRPr="007E3A51">
        <w:rPr>
          <w:rFonts w:ascii="Times New Roman" w:hAnsi="Times New Roman" w:cs="Times New Roman"/>
          <w:lang w:val="en-GB"/>
        </w:rPr>
        <w:t>).</w:t>
      </w:r>
    </w:p>
    <w:p w14:paraId="292170DD" w14:textId="3AACAC25" w:rsidR="0044738D" w:rsidRPr="007E3A51" w:rsidRDefault="0044738D" w:rsidP="00E3149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The indicator Prevalence of moderate or severe food insecurity in the population (</w:t>
      </w:r>
      <w:r w:rsidR="00B13EF8" w:rsidRPr="007E3A51">
        <w:rPr>
          <w:rFonts w:ascii="Times New Roman" w:hAnsi="Times New Roman" w:cs="Times New Roman"/>
          <w:lang w:val="en-GB"/>
        </w:rPr>
        <w:t xml:space="preserve">PMSI, </w:t>
      </w:r>
      <w:r w:rsidRPr="007E3A51">
        <w:rPr>
          <w:rFonts w:ascii="Times New Roman" w:hAnsi="Times New Roman" w:cs="Times New Roman"/>
          <w:lang w:val="en-GB"/>
        </w:rPr>
        <w:t xml:space="preserve">%) characterizes the </w:t>
      </w:r>
      <w:r w:rsidR="001D6D3C" w:rsidRPr="007E3A51">
        <w:rPr>
          <w:rFonts w:ascii="Times New Roman" w:hAnsi="Times New Roman" w:cs="Times New Roman"/>
          <w:lang w:val="en-GB"/>
        </w:rPr>
        <w:t>share</w:t>
      </w:r>
      <w:r w:rsidRPr="007E3A51">
        <w:rPr>
          <w:rFonts w:ascii="Times New Roman" w:hAnsi="Times New Roman" w:cs="Times New Roman"/>
          <w:lang w:val="en-GB"/>
        </w:rPr>
        <w:t xml:space="preserve"> of the population where at least one adult in the household reports eating low-quality food, less than the amount needed for consumption, due to lack of money or other resources. Ukraine's result has an uneven tendency to change but is not characterized by large fluctuations. The lowest </w:t>
      </w:r>
      <w:r w:rsidR="008D791A" w:rsidRPr="007E3A51">
        <w:rPr>
          <w:rFonts w:ascii="Times New Roman" w:hAnsi="Times New Roman" w:cs="Times New Roman"/>
          <w:lang w:val="en-GB"/>
        </w:rPr>
        <w:t>value</w:t>
      </w:r>
      <w:r w:rsidRPr="007E3A51">
        <w:rPr>
          <w:rFonts w:ascii="Times New Roman" w:hAnsi="Times New Roman" w:cs="Times New Roman"/>
          <w:lang w:val="en-GB"/>
        </w:rPr>
        <w:t xml:space="preserve"> </w:t>
      </w:r>
      <w:r w:rsidR="00980527" w:rsidRPr="007E3A51">
        <w:rPr>
          <w:rFonts w:ascii="Times New Roman" w:hAnsi="Times New Roman" w:cs="Times New Roman"/>
          <w:lang w:val="en-GB"/>
        </w:rPr>
        <w:t>wa</w:t>
      </w:r>
      <w:r w:rsidRPr="007E3A51">
        <w:rPr>
          <w:rFonts w:ascii="Times New Roman" w:hAnsi="Times New Roman" w:cs="Times New Roman"/>
          <w:lang w:val="en-GB"/>
        </w:rPr>
        <w:t xml:space="preserve">s observed in 2018 (18.3%), and the highest in 2022 </w:t>
      </w:r>
      <w:r w:rsidR="005369B2" w:rsidRPr="007E3A51">
        <w:rPr>
          <w:rFonts w:ascii="Times New Roman" w:hAnsi="Times New Roman" w:cs="Times New Roman"/>
          <w:lang w:val="en-GB"/>
        </w:rPr>
        <w:t>(</w:t>
      </w:r>
      <w:r w:rsidRPr="007E3A51">
        <w:rPr>
          <w:rFonts w:ascii="Times New Roman" w:hAnsi="Times New Roman" w:cs="Times New Roman"/>
          <w:lang w:val="en-GB"/>
        </w:rPr>
        <w:t>31%</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Starting from 2019, there has been a steady increase in this indicator, which is also due to the pandemic in 2020 and the subsequent full-scale invasion. It </w:t>
      </w:r>
      <w:r w:rsidR="001C158F" w:rsidRPr="007E3A51">
        <w:rPr>
          <w:rFonts w:ascii="Times New Roman" w:hAnsi="Times New Roman" w:cs="Times New Roman"/>
          <w:lang w:val="en-GB"/>
        </w:rPr>
        <w:t>should be emphasized</w:t>
      </w:r>
      <w:r w:rsidRPr="007E3A51">
        <w:rPr>
          <w:rFonts w:ascii="Times New Roman" w:hAnsi="Times New Roman" w:cs="Times New Roman"/>
          <w:lang w:val="en-GB"/>
        </w:rPr>
        <w:t xml:space="preserve"> that 31% is a </w:t>
      </w:r>
      <w:r w:rsidR="00EE0D09" w:rsidRPr="007E3A51">
        <w:rPr>
          <w:rFonts w:ascii="Times New Roman" w:hAnsi="Times New Roman" w:cs="Times New Roman"/>
          <w:lang w:val="en-GB"/>
        </w:rPr>
        <w:t>relative</w:t>
      </w:r>
      <w:r w:rsidRPr="007E3A51">
        <w:rPr>
          <w:rFonts w:ascii="Times New Roman" w:hAnsi="Times New Roman" w:cs="Times New Roman"/>
          <w:lang w:val="en-GB"/>
        </w:rPr>
        <w:t xml:space="preserve">ly significant </w:t>
      </w:r>
      <w:r w:rsidR="007F3FEB" w:rsidRPr="007E3A51">
        <w:rPr>
          <w:rFonts w:ascii="Times New Roman" w:hAnsi="Times New Roman" w:cs="Times New Roman"/>
          <w:lang w:val="en-GB"/>
        </w:rPr>
        <w:t>result</w:t>
      </w:r>
      <w:r w:rsidR="00335085" w:rsidRPr="007E3A51">
        <w:rPr>
          <w:rFonts w:ascii="Times New Roman" w:hAnsi="Times New Roman" w:cs="Times New Roman"/>
          <w:lang w:val="en-GB"/>
        </w:rPr>
        <w:t xml:space="preserve"> </w:t>
      </w:r>
      <w:r w:rsidRPr="007E3A51">
        <w:rPr>
          <w:rFonts w:ascii="Times New Roman" w:hAnsi="Times New Roman" w:cs="Times New Roman"/>
          <w:lang w:val="en-GB"/>
        </w:rPr>
        <w:t xml:space="preserve">of </w:t>
      </w:r>
      <w:r w:rsidR="005369B2" w:rsidRPr="007E3A51">
        <w:rPr>
          <w:rFonts w:ascii="Times New Roman" w:hAnsi="Times New Roman" w:cs="Times New Roman"/>
          <w:lang w:val="en-GB"/>
        </w:rPr>
        <w:t xml:space="preserve">a </w:t>
      </w:r>
      <w:r w:rsidRPr="007E3A51">
        <w:rPr>
          <w:rFonts w:ascii="Times New Roman" w:hAnsi="Times New Roman" w:cs="Times New Roman"/>
          <w:lang w:val="en-GB"/>
        </w:rPr>
        <w:t xml:space="preserve">decrease in the quality of life of the population. </w:t>
      </w:r>
      <w:r w:rsidR="00335085" w:rsidRPr="007E3A51">
        <w:rPr>
          <w:rFonts w:ascii="Times New Roman" w:hAnsi="Times New Roman" w:cs="Times New Roman"/>
          <w:lang w:val="en-GB"/>
        </w:rPr>
        <w:t>C</w:t>
      </w:r>
      <w:r w:rsidRPr="007E3A51">
        <w:rPr>
          <w:rFonts w:ascii="Times New Roman" w:hAnsi="Times New Roman" w:cs="Times New Roman"/>
          <w:lang w:val="en-GB"/>
        </w:rPr>
        <w:t xml:space="preserve">ompared </w:t>
      </w:r>
      <w:r w:rsidR="00335085" w:rsidRPr="007E3A51">
        <w:rPr>
          <w:rFonts w:ascii="Times New Roman" w:hAnsi="Times New Roman" w:cs="Times New Roman"/>
          <w:lang w:val="en-GB"/>
        </w:rPr>
        <w:t>to</w:t>
      </w:r>
      <w:r w:rsidRPr="007E3A51">
        <w:rPr>
          <w:rFonts w:ascii="Times New Roman" w:hAnsi="Times New Roman" w:cs="Times New Roman"/>
          <w:lang w:val="en-GB"/>
        </w:rPr>
        <w:t xml:space="preserve"> 2018, it is 12.7 % higher. This negatively characterizes the state of food security in Ukrainian society.</w:t>
      </w:r>
    </w:p>
    <w:p w14:paraId="02F3A7C1" w14:textId="543A3A9D" w:rsidR="0044738D" w:rsidRPr="007E3A51" w:rsidRDefault="0044738D" w:rsidP="00E3149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lastRenderedPageBreak/>
        <w:t xml:space="preserve">It is also worth </w:t>
      </w:r>
      <w:proofErr w:type="spellStart"/>
      <w:r w:rsidRPr="007E3A51">
        <w:rPr>
          <w:rFonts w:ascii="Times New Roman" w:hAnsi="Times New Roman" w:cs="Times New Roman"/>
          <w:lang w:val="en-GB"/>
        </w:rPr>
        <w:t>analyzing</w:t>
      </w:r>
      <w:proofErr w:type="spellEnd"/>
      <w:r w:rsidRPr="007E3A51">
        <w:rPr>
          <w:rFonts w:ascii="Times New Roman" w:hAnsi="Times New Roman" w:cs="Times New Roman"/>
          <w:lang w:val="en-GB"/>
        </w:rPr>
        <w:t xml:space="preserve"> the Food Production Index (FPI), which includes the production of all food crops that can be consumed. The method</w:t>
      </w:r>
      <w:r w:rsidR="00007C4E" w:rsidRPr="007E3A51">
        <w:rPr>
          <w:rFonts w:ascii="Times New Roman" w:hAnsi="Times New Roman" w:cs="Times New Roman"/>
          <w:lang w:val="en-GB"/>
        </w:rPr>
        <w:t>ology</w:t>
      </w:r>
      <w:r w:rsidRPr="007E3A51">
        <w:rPr>
          <w:rFonts w:ascii="Times New Roman" w:hAnsi="Times New Roman" w:cs="Times New Roman"/>
          <w:lang w:val="en-GB"/>
        </w:rPr>
        <w:t xml:space="preserve"> of its calculation is </w:t>
      </w:r>
      <w:r w:rsidR="005369B2" w:rsidRPr="007E3A51">
        <w:rPr>
          <w:rFonts w:ascii="Times New Roman" w:hAnsi="Times New Roman" w:cs="Times New Roman"/>
          <w:lang w:val="en-GB"/>
        </w:rPr>
        <w:t xml:space="preserve">a </w:t>
      </w:r>
      <w:r w:rsidRPr="007E3A51">
        <w:rPr>
          <w:rFonts w:ascii="Times New Roman" w:hAnsi="Times New Roman" w:cs="Times New Roman"/>
          <w:lang w:val="en-GB"/>
        </w:rPr>
        <w:t>weighted average</w:t>
      </w:r>
      <w:r w:rsidR="00007C4E" w:rsidRPr="007E3A51">
        <w:rPr>
          <w:rFonts w:ascii="Times New Roman" w:hAnsi="Times New Roman" w:cs="Times New Roman"/>
          <w:lang w:val="en-GB"/>
        </w:rPr>
        <w:t xml:space="preserve"> with</w:t>
      </w:r>
      <w:r w:rsidRPr="007E3A51">
        <w:rPr>
          <w:rFonts w:ascii="Times New Roman" w:hAnsi="Times New Roman" w:cs="Times New Roman"/>
          <w:lang w:val="en-GB"/>
        </w:rPr>
        <w:t xml:space="preserve"> the base period of 2014-2016. Ukraine's result on this index reflects uneven </w:t>
      </w:r>
      <w:r w:rsidR="00AD657C" w:rsidRPr="007E3A51">
        <w:rPr>
          <w:rFonts w:ascii="Times New Roman" w:hAnsi="Times New Roman" w:cs="Times New Roman"/>
          <w:lang w:val="en-GB"/>
        </w:rPr>
        <w:t>dynamics</w:t>
      </w:r>
      <w:r w:rsidRPr="007E3A51">
        <w:rPr>
          <w:rFonts w:ascii="Times New Roman" w:hAnsi="Times New Roman" w:cs="Times New Roman"/>
          <w:lang w:val="en-GB"/>
        </w:rPr>
        <w:t xml:space="preserve"> during the researched period</w:t>
      </w:r>
      <w:r w:rsidR="000279DF" w:rsidRPr="007E3A51">
        <w:rPr>
          <w:rFonts w:ascii="Times New Roman" w:hAnsi="Times New Roman" w:cs="Times New Roman"/>
          <w:lang w:val="en-GB"/>
        </w:rPr>
        <w:t>.</w:t>
      </w:r>
      <w:r w:rsidRPr="007E3A51">
        <w:rPr>
          <w:rFonts w:ascii="Times New Roman" w:hAnsi="Times New Roman" w:cs="Times New Roman"/>
          <w:lang w:val="en-GB"/>
        </w:rPr>
        <w:t xml:space="preserve"> </w:t>
      </w:r>
      <w:r w:rsidR="00805E9B" w:rsidRPr="007E3A51">
        <w:rPr>
          <w:rFonts w:ascii="Times New Roman" w:hAnsi="Times New Roman" w:cs="Times New Roman"/>
          <w:lang w:val="en-GB"/>
        </w:rPr>
        <w:t>In 2016</w:t>
      </w:r>
      <w:r w:rsidR="00572729" w:rsidRPr="007E3A51">
        <w:rPr>
          <w:rFonts w:ascii="Times New Roman" w:hAnsi="Times New Roman" w:cs="Times New Roman"/>
          <w:lang w:val="en-GB"/>
        </w:rPr>
        <w:t>,</w:t>
      </w:r>
      <w:r w:rsidR="00805E9B" w:rsidRPr="007E3A51">
        <w:rPr>
          <w:rFonts w:ascii="Times New Roman" w:hAnsi="Times New Roman" w:cs="Times New Roman"/>
          <w:lang w:val="en-GB"/>
        </w:rPr>
        <w:t xml:space="preserve"> </w:t>
      </w:r>
      <w:r w:rsidR="001F7AF3" w:rsidRPr="007E3A51">
        <w:rPr>
          <w:rFonts w:ascii="Times New Roman" w:hAnsi="Times New Roman" w:cs="Times New Roman"/>
          <w:lang w:val="en-GB"/>
        </w:rPr>
        <w:t>th</w:t>
      </w:r>
      <w:r w:rsidR="00405616" w:rsidRPr="007E3A51">
        <w:rPr>
          <w:rFonts w:ascii="Times New Roman" w:hAnsi="Times New Roman" w:cs="Times New Roman"/>
          <w:lang w:val="en-GB"/>
        </w:rPr>
        <w:t>e</w:t>
      </w:r>
      <w:r w:rsidR="001F7AF3" w:rsidRPr="007E3A51">
        <w:rPr>
          <w:rFonts w:ascii="Times New Roman" w:hAnsi="Times New Roman" w:cs="Times New Roman"/>
          <w:lang w:val="en-GB"/>
        </w:rPr>
        <w:t>re was a</w:t>
      </w:r>
      <w:r w:rsidRPr="007E3A51">
        <w:rPr>
          <w:rFonts w:ascii="Times New Roman" w:hAnsi="Times New Roman" w:cs="Times New Roman"/>
          <w:lang w:val="en-GB"/>
        </w:rPr>
        <w:t xml:space="preserve"> significant increase </w:t>
      </w:r>
      <w:r w:rsidR="00E378CB" w:rsidRPr="007E3A51">
        <w:rPr>
          <w:rFonts w:ascii="Times New Roman" w:hAnsi="Times New Roman" w:cs="Times New Roman"/>
          <w:lang w:val="en-GB"/>
        </w:rPr>
        <w:t>of</w:t>
      </w:r>
      <w:r w:rsidRPr="007E3A51">
        <w:rPr>
          <w:rFonts w:ascii="Times New Roman" w:hAnsi="Times New Roman" w:cs="Times New Roman"/>
          <w:lang w:val="en-GB"/>
        </w:rPr>
        <w:t xml:space="preserve"> 5.25 with a subsequent decrease, which </w:t>
      </w:r>
      <w:r w:rsidR="005369B2" w:rsidRPr="007E3A51">
        <w:rPr>
          <w:rFonts w:ascii="Times New Roman" w:hAnsi="Times New Roman" w:cs="Times New Roman"/>
          <w:lang w:val="en-GB"/>
        </w:rPr>
        <w:t>wa</w:t>
      </w:r>
      <w:r w:rsidRPr="007E3A51">
        <w:rPr>
          <w:rFonts w:ascii="Times New Roman" w:hAnsi="Times New Roman" w:cs="Times New Roman"/>
          <w:lang w:val="en-GB"/>
        </w:rPr>
        <w:t xml:space="preserve">s again replaced by growth until 2019. In 2020, a noticeable decrease of 10 compared to 2019, which is explained by the onset of the COVID-19 pandemic, which significantly affected the work of enterprises due to quarantine restrictions. Further significant growth in 2021 was replaced by a decline in 2022 </w:t>
      </w:r>
      <w:r w:rsidR="005369B2" w:rsidRPr="007E3A51">
        <w:rPr>
          <w:rFonts w:ascii="Times New Roman" w:hAnsi="Times New Roman" w:cs="Times New Roman"/>
          <w:lang w:val="en-GB"/>
        </w:rPr>
        <w:t>of</w:t>
      </w:r>
      <w:r w:rsidRPr="007E3A51">
        <w:rPr>
          <w:rFonts w:ascii="Times New Roman" w:hAnsi="Times New Roman" w:cs="Times New Roman"/>
          <w:lang w:val="en-GB"/>
        </w:rPr>
        <w:t xml:space="preserve"> 26.09. Th</w:t>
      </w:r>
      <w:r w:rsidR="00502176" w:rsidRPr="007E3A51">
        <w:rPr>
          <w:rFonts w:ascii="Times New Roman" w:hAnsi="Times New Roman" w:cs="Times New Roman"/>
          <w:lang w:val="en-GB"/>
        </w:rPr>
        <w:t>at</w:t>
      </w:r>
      <w:r w:rsidRPr="007E3A51">
        <w:rPr>
          <w:rFonts w:ascii="Times New Roman" w:hAnsi="Times New Roman" w:cs="Times New Roman"/>
          <w:lang w:val="en-GB"/>
        </w:rPr>
        <w:t xml:space="preserve"> is </w:t>
      </w:r>
      <w:r w:rsidR="00502176" w:rsidRPr="007E3A51">
        <w:rPr>
          <w:rFonts w:ascii="Times New Roman" w:hAnsi="Times New Roman" w:cs="Times New Roman"/>
          <w:lang w:val="en-GB"/>
        </w:rPr>
        <w:t>attribut</w:t>
      </w:r>
      <w:r w:rsidRPr="007E3A51">
        <w:rPr>
          <w:rFonts w:ascii="Times New Roman" w:hAnsi="Times New Roman" w:cs="Times New Roman"/>
          <w:lang w:val="en-GB"/>
        </w:rPr>
        <w:t xml:space="preserve">ed </w:t>
      </w:r>
      <w:r w:rsidR="00E1520E" w:rsidRPr="007E3A51">
        <w:rPr>
          <w:rFonts w:ascii="Times New Roman" w:hAnsi="Times New Roman" w:cs="Times New Roman"/>
          <w:lang w:val="en-GB"/>
        </w:rPr>
        <w:t>to</w:t>
      </w:r>
      <w:r w:rsidRPr="007E3A51">
        <w:rPr>
          <w:rFonts w:ascii="Times New Roman" w:hAnsi="Times New Roman" w:cs="Times New Roman"/>
          <w:lang w:val="en-GB"/>
        </w:rPr>
        <w:t xml:space="preserve"> the beginning of a full-scale invasion in 2022 and the occupation of a significant part of the territory, which made</w:t>
      </w:r>
      <w:r w:rsidR="00E249DE" w:rsidRPr="007E3A51">
        <w:rPr>
          <w:rFonts w:ascii="Times New Roman" w:hAnsi="Times New Roman" w:cs="Times New Roman"/>
          <w:lang w:val="en-GB"/>
        </w:rPr>
        <w:t xml:space="preserve"> </w:t>
      </w:r>
      <w:r w:rsidRPr="007E3A51">
        <w:rPr>
          <w:rFonts w:ascii="Times New Roman" w:hAnsi="Times New Roman" w:cs="Times New Roman"/>
          <w:lang w:val="en-GB"/>
        </w:rPr>
        <w:t>sow</w:t>
      </w:r>
      <w:r w:rsidR="00E249DE" w:rsidRPr="007E3A51">
        <w:rPr>
          <w:rFonts w:ascii="Times New Roman" w:hAnsi="Times New Roman" w:cs="Times New Roman"/>
          <w:lang w:val="en-GB"/>
        </w:rPr>
        <w:t>ing</w:t>
      </w:r>
      <w:r w:rsidRPr="007E3A51">
        <w:rPr>
          <w:rFonts w:ascii="Times New Roman" w:hAnsi="Times New Roman" w:cs="Times New Roman"/>
          <w:lang w:val="en-GB"/>
        </w:rPr>
        <w:t xml:space="preserve"> and harvest</w:t>
      </w:r>
      <w:r w:rsidR="00E249DE" w:rsidRPr="007E3A51">
        <w:rPr>
          <w:rFonts w:ascii="Times New Roman" w:hAnsi="Times New Roman" w:cs="Times New Roman"/>
          <w:lang w:val="en-GB"/>
        </w:rPr>
        <w:t>ing impossible</w:t>
      </w:r>
      <w:r w:rsidRPr="007E3A51">
        <w:rPr>
          <w:rFonts w:ascii="Times New Roman" w:hAnsi="Times New Roman" w:cs="Times New Roman"/>
          <w:lang w:val="en-GB"/>
        </w:rPr>
        <w:t>,</w:t>
      </w:r>
      <w:r w:rsidR="001D3591" w:rsidRPr="007E3A51">
        <w:rPr>
          <w:rFonts w:ascii="Times New Roman" w:hAnsi="Times New Roman" w:cs="Times New Roman"/>
          <w:lang w:val="en-GB"/>
        </w:rPr>
        <w:t xml:space="preserve"> and disrupted the production of processed food. </w:t>
      </w:r>
      <w:r w:rsidRPr="007E3A51">
        <w:rPr>
          <w:rFonts w:ascii="Times New Roman" w:hAnsi="Times New Roman" w:cs="Times New Roman"/>
          <w:lang w:val="en-GB"/>
        </w:rPr>
        <w:t xml:space="preserve">Further updated data for Ukraine are not currently provided, so it is not possible to </w:t>
      </w:r>
      <w:proofErr w:type="spellStart"/>
      <w:r w:rsidRPr="007E3A51">
        <w:rPr>
          <w:rFonts w:ascii="Times New Roman" w:hAnsi="Times New Roman" w:cs="Times New Roman"/>
          <w:lang w:val="en-GB"/>
        </w:rPr>
        <w:t>analyze</w:t>
      </w:r>
      <w:proofErr w:type="spellEnd"/>
      <w:r w:rsidRPr="007E3A51">
        <w:rPr>
          <w:rFonts w:ascii="Times New Roman" w:hAnsi="Times New Roman" w:cs="Times New Roman"/>
          <w:lang w:val="en-GB"/>
        </w:rPr>
        <w:t xml:space="preserve"> the dynamics of this indicator after 2022.</w:t>
      </w:r>
    </w:p>
    <w:p w14:paraId="587745F1" w14:textId="328B85A8" w:rsidR="0044738D" w:rsidRPr="007E3A51" w:rsidRDefault="0044738D" w:rsidP="00E3149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However, we consider it necessary to examine another Index of food production</w:t>
      </w:r>
      <w:r w:rsidR="00F86FB4" w:rsidRPr="007E3A51">
        <w:rPr>
          <w:rFonts w:ascii="Times New Roman" w:hAnsi="Times New Roman" w:cs="Times New Roman"/>
          <w:lang w:val="en-GB"/>
        </w:rPr>
        <w:t xml:space="preserve"> </w:t>
      </w:r>
      <w:r w:rsidRPr="007E3A51">
        <w:rPr>
          <w:rFonts w:ascii="Times New Roman" w:hAnsi="Times New Roman" w:cs="Times New Roman"/>
          <w:lang w:val="en-GB"/>
        </w:rPr>
        <w:t>(</w:t>
      </w:r>
      <w:r w:rsidR="00F86FB4" w:rsidRPr="007E3A51">
        <w:rPr>
          <w:rFonts w:ascii="Times New Roman" w:hAnsi="Times New Roman" w:cs="Times New Roman"/>
          <w:lang w:val="en-GB"/>
        </w:rPr>
        <w:t>IFP,</w:t>
      </w:r>
      <w:r w:rsidRPr="007E3A51">
        <w:rPr>
          <w:rFonts w:ascii="Times New Roman" w:hAnsi="Times New Roman" w:cs="Times New Roman"/>
          <w:lang w:val="en-GB"/>
        </w:rPr>
        <w:t xml:space="preserve"> %), which is calculated by the State Statistics Service of Ukraine. According to this index, the trends at the beginning of the investigated period are somewhat similar to the previous indicator</w:t>
      </w:r>
      <w:r w:rsidR="005B1C84" w:rsidRPr="007E3A51">
        <w:rPr>
          <w:rFonts w:ascii="Times New Roman" w:hAnsi="Times New Roman" w:cs="Times New Roman"/>
          <w:lang w:val="en-GB"/>
        </w:rPr>
        <w:t>. H</w:t>
      </w:r>
      <w:r w:rsidRPr="007E3A51">
        <w:rPr>
          <w:rFonts w:ascii="Times New Roman" w:hAnsi="Times New Roman" w:cs="Times New Roman"/>
          <w:lang w:val="en-GB"/>
        </w:rPr>
        <w:t>owever, in 2018</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there was a rather significant decrease in it</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by 8.6%, with a further increase in 2019</w:t>
      </w:r>
      <w:r w:rsidR="004A2ED7" w:rsidRPr="007E3A51">
        <w:rPr>
          <w:rFonts w:ascii="Times New Roman" w:hAnsi="Times New Roman" w:cs="Times New Roman"/>
          <w:lang w:val="en-GB"/>
        </w:rPr>
        <w:t>.</w:t>
      </w:r>
      <w:r w:rsidRPr="007E3A51">
        <w:rPr>
          <w:rFonts w:ascii="Times New Roman" w:hAnsi="Times New Roman" w:cs="Times New Roman"/>
          <w:lang w:val="en-GB"/>
        </w:rPr>
        <w:t xml:space="preserve"> </w:t>
      </w:r>
      <w:r w:rsidR="004A2ED7" w:rsidRPr="007E3A51">
        <w:rPr>
          <w:rFonts w:ascii="Times New Roman" w:hAnsi="Times New Roman" w:cs="Times New Roman"/>
          <w:lang w:val="en-GB"/>
        </w:rPr>
        <w:t>S</w:t>
      </w:r>
      <w:r w:rsidRPr="007E3A51">
        <w:rPr>
          <w:rFonts w:ascii="Times New Roman" w:hAnsi="Times New Roman" w:cs="Times New Roman"/>
          <w:lang w:val="en-GB"/>
        </w:rPr>
        <w:t>tarting from 2020,</w:t>
      </w:r>
      <w:r w:rsidR="00011CFE" w:rsidRPr="007E3A51">
        <w:rPr>
          <w:rFonts w:ascii="Times New Roman" w:hAnsi="Times New Roman" w:cs="Times New Roman"/>
          <w:lang w:val="en-GB"/>
        </w:rPr>
        <w:t xml:space="preserve"> the index</w:t>
      </w:r>
      <w:r w:rsidRPr="007E3A51">
        <w:rPr>
          <w:rFonts w:ascii="Times New Roman" w:hAnsi="Times New Roman" w:cs="Times New Roman"/>
          <w:lang w:val="en-GB"/>
        </w:rPr>
        <w:t xml:space="preserve"> decreased for </w:t>
      </w:r>
      <w:r w:rsidR="005369B2" w:rsidRPr="007E3A51">
        <w:rPr>
          <w:rFonts w:ascii="Times New Roman" w:hAnsi="Times New Roman" w:cs="Times New Roman"/>
          <w:lang w:val="en-GB"/>
        </w:rPr>
        <w:t xml:space="preserve">the </w:t>
      </w:r>
      <w:r w:rsidRPr="007E3A51">
        <w:rPr>
          <w:rFonts w:ascii="Times New Roman" w:hAnsi="Times New Roman" w:cs="Times New Roman"/>
          <w:lang w:val="en-GB"/>
        </w:rPr>
        <w:t xml:space="preserve">3 </w:t>
      </w:r>
      <w:r w:rsidR="000E1211" w:rsidRPr="007E3A51">
        <w:rPr>
          <w:rFonts w:ascii="Times New Roman" w:hAnsi="Times New Roman" w:cs="Times New Roman"/>
          <w:lang w:val="en-GB"/>
        </w:rPr>
        <w:t xml:space="preserve">following </w:t>
      </w:r>
      <w:r w:rsidRPr="007E3A51">
        <w:rPr>
          <w:rFonts w:ascii="Times New Roman" w:hAnsi="Times New Roman" w:cs="Times New Roman"/>
          <w:lang w:val="en-GB"/>
        </w:rPr>
        <w:t xml:space="preserve">years. In 2022, there was </w:t>
      </w:r>
      <w:r w:rsidR="00136D5A" w:rsidRPr="007E3A51">
        <w:rPr>
          <w:rFonts w:ascii="Times New Roman" w:hAnsi="Times New Roman" w:cs="Times New Roman"/>
          <w:lang w:val="en-GB"/>
        </w:rPr>
        <w:t xml:space="preserve">the </w:t>
      </w:r>
      <w:r w:rsidR="00EE0D09" w:rsidRPr="007E3A51">
        <w:rPr>
          <w:rFonts w:ascii="Times New Roman" w:hAnsi="Times New Roman" w:cs="Times New Roman"/>
          <w:lang w:val="en-GB"/>
        </w:rPr>
        <w:t>most significan</w:t>
      </w:r>
      <w:r w:rsidRPr="007E3A51">
        <w:rPr>
          <w:rFonts w:ascii="Times New Roman" w:hAnsi="Times New Roman" w:cs="Times New Roman"/>
          <w:lang w:val="en-GB"/>
        </w:rPr>
        <w:t>t decline</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to 79%</w:t>
      </w:r>
      <w:r w:rsidR="00E4062D" w:rsidRPr="007E3A51">
        <w:rPr>
          <w:rFonts w:ascii="Times New Roman" w:hAnsi="Times New Roman" w:cs="Times New Roman"/>
          <w:lang w:val="en-GB"/>
        </w:rPr>
        <w:t>.</w:t>
      </w:r>
      <w:r w:rsidRPr="007E3A51">
        <w:rPr>
          <w:rFonts w:ascii="Times New Roman" w:hAnsi="Times New Roman" w:cs="Times New Roman"/>
          <w:lang w:val="en-GB"/>
        </w:rPr>
        <w:t xml:space="preserve"> </w:t>
      </w:r>
      <w:r w:rsidR="00E4062D" w:rsidRPr="007E3A51">
        <w:rPr>
          <w:rFonts w:ascii="Times New Roman" w:hAnsi="Times New Roman" w:cs="Times New Roman"/>
          <w:lang w:val="en-GB"/>
        </w:rPr>
        <w:t>H</w:t>
      </w:r>
      <w:r w:rsidRPr="007E3A51">
        <w:rPr>
          <w:rFonts w:ascii="Times New Roman" w:hAnsi="Times New Roman" w:cs="Times New Roman"/>
          <w:lang w:val="en-GB"/>
        </w:rPr>
        <w:t xml:space="preserve">owever, </w:t>
      </w:r>
      <w:r w:rsidR="00D408B6" w:rsidRPr="007E3A51">
        <w:rPr>
          <w:rFonts w:ascii="Times New Roman" w:hAnsi="Times New Roman" w:cs="Times New Roman"/>
          <w:lang w:val="en-GB"/>
        </w:rPr>
        <w:t>in 2023</w:t>
      </w:r>
      <w:r w:rsidR="005369B2" w:rsidRPr="007E3A51">
        <w:rPr>
          <w:rFonts w:ascii="Times New Roman" w:hAnsi="Times New Roman" w:cs="Times New Roman"/>
          <w:lang w:val="en-GB"/>
        </w:rPr>
        <w:t>,</w:t>
      </w:r>
      <w:r w:rsidR="00D408B6" w:rsidRPr="007E3A51">
        <w:rPr>
          <w:rFonts w:ascii="Times New Roman" w:hAnsi="Times New Roman" w:cs="Times New Roman"/>
          <w:lang w:val="en-GB"/>
        </w:rPr>
        <w:t xml:space="preserve"> the trend </w:t>
      </w:r>
      <w:r w:rsidRPr="007E3A51">
        <w:rPr>
          <w:rFonts w:ascii="Times New Roman" w:hAnsi="Times New Roman" w:cs="Times New Roman"/>
          <w:lang w:val="en-GB"/>
        </w:rPr>
        <w:t xml:space="preserve">changed, reflecting an increase of 36.6%. This is a positive </w:t>
      </w:r>
      <w:r w:rsidR="005A0C31" w:rsidRPr="007E3A51">
        <w:rPr>
          <w:rFonts w:ascii="Times New Roman" w:hAnsi="Times New Roman" w:cs="Times New Roman"/>
          <w:lang w:val="en-GB"/>
        </w:rPr>
        <w:t>shift</w:t>
      </w:r>
      <w:r w:rsidRPr="007E3A51">
        <w:rPr>
          <w:rFonts w:ascii="Times New Roman" w:hAnsi="Times New Roman" w:cs="Times New Roman"/>
          <w:lang w:val="en-GB"/>
        </w:rPr>
        <w:t xml:space="preserve"> and reflects </w:t>
      </w:r>
      <w:r w:rsidR="00EE0D09" w:rsidRPr="007E3A51">
        <w:rPr>
          <w:rFonts w:ascii="Times New Roman" w:hAnsi="Times New Roman" w:cs="Times New Roman"/>
          <w:lang w:val="en-GB"/>
        </w:rPr>
        <w:t>specific</w:t>
      </w:r>
      <w:r w:rsidRPr="007E3A51">
        <w:rPr>
          <w:rFonts w:ascii="Times New Roman" w:hAnsi="Times New Roman" w:cs="Times New Roman"/>
          <w:lang w:val="en-GB"/>
        </w:rPr>
        <w:t xml:space="preserve"> development within the country in improving the situation in the agricultural sector. It should also be noted that the two food production indices </w:t>
      </w:r>
      <w:proofErr w:type="spellStart"/>
      <w:r w:rsidRPr="007E3A51">
        <w:rPr>
          <w:rFonts w:ascii="Times New Roman" w:hAnsi="Times New Roman" w:cs="Times New Roman"/>
          <w:lang w:val="en-GB"/>
        </w:rPr>
        <w:t>analyzed</w:t>
      </w:r>
      <w:proofErr w:type="spellEnd"/>
      <w:r w:rsidRPr="007E3A51">
        <w:rPr>
          <w:rFonts w:ascii="Times New Roman" w:hAnsi="Times New Roman" w:cs="Times New Roman"/>
          <w:lang w:val="en-GB"/>
        </w:rPr>
        <w:t xml:space="preserve"> in our study are not identical, but differ in calculation methods, so it is advisable to consider </w:t>
      </w:r>
      <w:r w:rsidR="007D13ED" w:rsidRPr="007E3A51">
        <w:rPr>
          <w:rFonts w:ascii="Times New Roman" w:hAnsi="Times New Roman" w:cs="Times New Roman"/>
          <w:lang w:val="en-GB"/>
        </w:rPr>
        <w:t>both</w:t>
      </w:r>
      <w:r w:rsidRPr="007E3A51">
        <w:rPr>
          <w:rFonts w:ascii="Times New Roman" w:hAnsi="Times New Roman" w:cs="Times New Roman"/>
          <w:lang w:val="en-GB"/>
        </w:rPr>
        <w:t>.</w:t>
      </w:r>
    </w:p>
    <w:p w14:paraId="72C31C8C" w14:textId="4F96FE4C" w:rsidR="0044738D" w:rsidRPr="007E3A51" w:rsidRDefault="0009066B" w:rsidP="00E3149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The s</w:t>
      </w:r>
      <w:r w:rsidR="0044738D" w:rsidRPr="007E3A51">
        <w:rPr>
          <w:rFonts w:ascii="Times New Roman" w:hAnsi="Times New Roman" w:cs="Times New Roman"/>
          <w:lang w:val="en-GB"/>
        </w:rPr>
        <w:t>hare of food expenditure in total household spending</w:t>
      </w:r>
      <w:r w:rsidR="00593A4D" w:rsidRPr="007E3A51">
        <w:rPr>
          <w:rFonts w:ascii="Times New Roman" w:hAnsi="Times New Roman" w:cs="Times New Roman"/>
          <w:lang w:val="en-GB"/>
        </w:rPr>
        <w:t xml:space="preserve"> (SFE,</w:t>
      </w:r>
      <w:r w:rsidR="0044738D" w:rsidRPr="007E3A51">
        <w:rPr>
          <w:rFonts w:ascii="Times New Roman" w:hAnsi="Times New Roman" w:cs="Times New Roman"/>
          <w:lang w:val="en-GB"/>
        </w:rPr>
        <w:t xml:space="preserve"> %) provides data for 2021 inclusive, after which statistical authorities were unable to conduct a survey due to the war in Ukraine. However, this indicator is </w:t>
      </w:r>
      <w:r w:rsidR="00EA6CF2" w:rsidRPr="007E3A51">
        <w:rPr>
          <w:rFonts w:ascii="Times New Roman" w:hAnsi="Times New Roman" w:cs="Times New Roman"/>
          <w:lang w:val="en-GB"/>
        </w:rPr>
        <w:t xml:space="preserve">of </w:t>
      </w:r>
      <w:r w:rsidR="005369B2" w:rsidRPr="007E3A51">
        <w:rPr>
          <w:rFonts w:ascii="Times New Roman" w:hAnsi="Times New Roman" w:cs="Times New Roman"/>
          <w:lang w:val="en-GB"/>
        </w:rPr>
        <w:t>great</w:t>
      </w:r>
      <w:r w:rsidR="00EA6CF2" w:rsidRPr="007E3A51">
        <w:rPr>
          <w:rFonts w:ascii="Times New Roman" w:hAnsi="Times New Roman" w:cs="Times New Roman"/>
          <w:lang w:val="en-GB"/>
        </w:rPr>
        <w:t xml:space="preserve"> importance</w:t>
      </w:r>
      <w:r w:rsidR="0044738D" w:rsidRPr="007E3A51">
        <w:rPr>
          <w:rFonts w:ascii="Times New Roman" w:hAnsi="Times New Roman" w:cs="Times New Roman"/>
          <w:lang w:val="en-GB"/>
        </w:rPr>
        <w:t xml:space="preserve"> for assessing food security, as it refers to indicators that measure the Sustainable Development Goals (SDGs). As we can see, this indicator had a downward trend during the </w:t>
      </w:r>
      <w:proofErr w:type="spellStart"/>
      <w:r w:rsidR="0044738D" w:rsidRPr="007E3A51">
        <w:rPr>
          <w:rFonts w:ascii="Times New Roman" w:hAnsi="Times New Roman" w:cs="Times New Roman"/>
          <w:lang w:val="en-GB"/>
        </w:rPr>
        <w:t>analyzed</w:t>
      </w:r>
      <w:proofErr w:type="spellEnd"/>
      <w:r w:rsidR="0044738D" w:rsidRPr="007E3A51">
        <w:rPr>
          <w:rFonts w:ascii="Times New Roman" w:hAnsi="Times New Roman" w:cs="Times New Roman"/>
          <w:lang w:val="en-GB"/>
        </w:rPr>
        <w:t xml:space="preserve"> period (excluding 2020). The lowest </w:t>
      </w:r>
      <w:r w:rsidR="001A77B4" w:rsidRPr="007E3A51">
        <w:rPr>
          <w:rFonts w:ascii="Times New Roman" w:hAnsi="Times New Roman" w:cs="Times New Roman"/>
          <w:lang w:val="en-GB"/>
        </w:rPr>
        <w:t>value</w:t>
      </w:r>
      <w:r w:rsidR="000A3A94" w:rsidRPr="007E3A51">
        <w:rPr>
          <w:rFonts w:ascii="Times New Roman" w:hAnsi="Times New Roman" w:cs="Times New Roman"/>
          <w:lang w:val="en-GB"/>
        </w:rPr>
        <w:t xml:space="preserve"> </w:t>
      </w:r>
      <w:r w:rsidR="0044738D" w:rsidRPr="007E3A51">
        <w:rPr>
          <w:rFonts w:ascii="Times New Roman" w:hAnsi="Times New Roman" w:cs="Times New Roman"/>
          <w:lang w:val="en-GB"/>
        </w:rPr>
        <w:t xml:space="preserve">was in 2021, which </w:t>
      </w:r>
      <w:r w:rsidR="000A3A94" w:rsidRPr="007E3A51">
        <w:rPr>
          <w:rFonts w:ascii="Times New Roman" w:hAnsi="Times New Roman" w:cs="Times New Roman"/>
          <w:lang w:val="en-GB"/>
        </w:rPr>
        <w:t>wa</w:t>
      </w:r>
      <w:r w:rsidR="0044738D" w:rsidRPr="007E3A51">
        <w:rPr>
          <w:rFonts w:ascii="Times New Roman" w:hAnsi="Times New Roman" w:cs="Times New Roman"/>
          <w:lang w:val="en-GB"/>
        </w:rPr>
        <w:t>s 7.5% less than the highest indicator in 2015. This indicates that households began to spend less on food for various reasons.</w:t>
      </w:r>
    </w:p>
    <w:p w14:paraId="422B0A37" w14:textId="0FBA8DF1" w:rsidR="0044738D" w:rsidRPr="007E3A51" w:rsidRDefault="0044738D" w:rsidP="00E3149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Another indicator that we examined </w:t>
      </w:r>
      <w:r w:rsidR="00EE75F2" w:rsidRPr="007E3A51">
        <w:rPr>
          <w:rFonts w:ascii="Times New Roman" w:hAnsi="Times New Roman" w:cs="Times New Roman"/>
          <w:lang w:val="en-GB"/>
        </w:rPr>
        <w:t>in assessing</w:t>
      </w:r>
      <w:r w:rsidRPr="007E3A51">
        <w:rPr>
          <w:rFonts w:ascii="Times New Roman" w:hAnsi="Times New Roman" w:cs="Times New Roman"/>
          <w:lang w:val="en-GB"/>
        </w:rPr>
        <w:t xml:space="preserve"> the state of food security in Ukraine </w:t>
      </w:r>
      <w:r w:rsidR="003B4705" w:rsidRPr="007E3A51">
        <w:rPr>
          <w:rFonts w:ascii="Times New Roman" w:hAnsi="Times New Roman" w:cs="Times New Roman"/>
          <w:lang w:val="en-GB"/>
        </w:rPr>
        <w:t>under</w:t>
      </w:r>
      <w:r w:rsidRPr="007E3A51">
        <w:rPr>
          <w:rFonts w:ascii="Times New Roman" w:hAnsi="Times New Roman" w:cs="Times New Roman"/>
          <w:lang w:val="en-GB"/>
        </w:rPr>
        <w:t xml:space="preserve"> modern conditions is the Consumer Price Index for Food (CPIF</w:t>
      </w:r>
      <w:r w:rsidR="00015A93" w:rsidRPr="007E3A51">
        <w:rPr>
          <w:rFonts w:ascii="Times New Roman" w:hAnsi="Times New Roman" w:cs="Times New Roman"/>
          <w:lang w:val="en-GB"/>
        </w:rPr>
        <w:t>, %</w:t>
      </w:r>
      <w:r w:rsidRPr="007E3A51">
        <w:rPr>
          <w:rFonts w:ascii="Times New Roman" w:hAnsi="Times New Roman" w:cs="Times New Roman"/>
          <w:lang w:val="en-GB"/>
        </w:rPr>
        <w:t xml:space="preserve">). This index is also calculated by the State Statistics Service and can be </w:t>
      </w:r>
      <w:r w:rsidR="00F53C71" w:rsidRPr="007E3A51">
        <w:rPr>
          <w:rFonts w:ascii="Times New Roman" w:hAnsi="Times New Roman" w:cs="Times New Roman"/>
          <w:lang w:val="en-GB"/>
        </w:rPr>
        <w:t xml:space="preserve">linked to the </w:t>
      </w:r>
      <w:r w:rsidRPr="007E3A51">
        <w:rPr>
          <w:rFonts w:ascii="Times New Roman" w:hAnsi="Times New Roman" w:cs="Times New Roman"/>
          <w:lang w:val="en-GB"/>
        </w:rPr>
        <w:t>SDGs</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by which the volatility of food prices can be measured. </w:t>
      </w:r>
      <w:r w:rsidR="007C35BE" w:rsidRPr="007E3A51">
        <w:rPr>
          <w:rFonts w:ascii="Times New Roman" w:hAnsi="Times New Roman" w:cs="Times New Roman"/>
          <w:lang w:val="en-GB"/>
        </w:rPr>
        <w:t>It</w:t>
      </w:r>
      <w:r w:rsidRPr="007E3A51">
        <w:rPr>
          <w:rFonts w:ascii="Times New Roman" w:hAnsi="Times New Roman" w:cs="Times New Roman"/>
          <w:lang w:val="en-GB"/>
        </w:rPr>
        <w:t xml:space="preserve"> is an </w:t>
      </w:r>
      <w:r w:rsidR="00EE0D09" w:rsidRPr="007E3A51">
        <w:rPr>
          <w:rFonts w:ascii="Times New Roman" w:hAnsi="Times New Roman" w:cs="Times New Roman"/>
          <w:lang w:val="en-GB"/>
        </w:rPr>
        <w:t>essential</w:t>
      </w:r>
      <w:r w:rsidRPr="007E3A51">
        <w:rPr>
          <w:rFonts w:ascii="Times New Roman" w:hAnsi="Times New Roman" w:cs="Times New Roman"/>
          <w:lang w:val="en-GB"/>
        </w:rPr>
        <w:t xml:space="preserve"> indicator of socio-economic inclusion, because volatility means price fluctuations, that is, instability or imbalance. The </w:t>
      </w:r>
      <w:r w:rsidR="00EE0D09" w:rsidRPr="007E3A51">
        <w:rPr>
          <w:rFonts w:ascii="Times New Roman" w:hAnsi="Times New Roman" w:cs="Times New Roman"/>
          <w:lang w:val="en-GB"/>
        </w:rPr>
        <w:t>primary</w:t>
      </w:r>
      <w:r w:rsidRPr="007E3A51">
        <w:rPr>
          <w:rFonts w:ascii="Times New Roman" w:hAnsi="Times New Roman" w:cs="Times New Roman"/>
          <w:lang w:val="en-GB"/>
        </w:rPr>
        <w:t xml:space="preserve"> guideline is a decrease in the volatility of food prices, which will allow for a balanced forecast and plan of someone</w:t>
      </w:r>
      <w:r w:rsidR="005369B2" w:rsidRPr="007E3A51">
        <w:rPr>
          <w:rFonts w:ascii="Times New Roman" w:hAnsi="Times New Roman" w:cs="Times New Roman"/>
          <w:lang w:val="en-GB"/>
        </w:rPr>
        <w:t>'</w:t>
      </w:r>
      <w:r w:rsidRPr="007E3A51">
        <w:rPr>
          <w:rFonts w:ascii="Times New Roman" w:hAnsi="Times New Roman" w:cs="Times New Roman"/>
          <w:lang w:val="en-GB"/>
        </w:rPr>
        <w:t>s expenses. This index reflect</w:t>
      </w:r>
      <w:r w:rsidR="00C82267" w:rsidRPr="007E3A51">
        <w:rPr>
          <w:rFonts w:ascii="Times New Roman" w:hAnsi="Times New Roman" w:cs="Times New Roman"/>
          <w:lang w:val="en-GB"/>
        </w:rPr>
        <w:t>ed</w:t>
      </w:r>
      <w:r w:rsidRPr="007E3A51">
        <w:rPr>
          <w:rFonts w:ascii="Times New Roman" w:hAnsi="Times New Roman" w:cs="Times New Roman"/>
          <w:lang w:val="en-GB"/>
        </w:rPr>
        <w:t xml:space="preserve"> a </w:t>
      </w:r>
      <w:r w:rsidR="00EE0D09" w:rsidRPr="007E3A51">
        <w:rPr>
          <w:rFonts w:ascii="Times New Roman" w:hAnsi="Times New Roman" w:cs="Times New Roman"/>
          <w:lang w:val="en-GB"/>
        </w:rPr>
        <w:t>reasonab</w:t>
      </w:r>
      <w:r w:rsidRPr="007E3A51">
        <w:rPr>
          <w:rFonts w:ascii="Times New Roman" w:hAnsi="Times New Roman" w:cs="Times New Roman"/>
          <w:lang w:val="en-GB"/>
        </w:rPr>
        <w:t xml:space="preserve">ly high </w:t>
      </w:r>
      <w:r w:rsidR="00C82267" w:rsidRPr="007E3A51">
        <w:rPr>
          <w:rFonts w:ascii="Times New Roman" w:hAnsi="Times New Roman" w:cs="Times New Roman"/>
          <w:lang w:val="en-GB"/>
        </w:rPr>
        <w:t>value</w:t>
      </w:r>
      <w:r w:rsidRPr="007E3A51">
        <w:rPr>
          <w:rFonts w:ascii="Times New Roman" w:hAnsi="Times New Roman" w:cs="Times New Roman"/>
          <w:lang w:val="en-GB"/>
        </w:rPr>
        <w:t xml:space="preserve"> in 2015, after which there was a significant decrease and small fluctuations throughout almost the entire investigated period. A</w:t>
      </w:r>
      <w:r w:rsidR="00625A8A" w:rsidRPr="007E3A51">
        <w:rPr>
          <w:rFonts w:ascii="Times New Roman" w:hAnsi="Times New Roman" w:cs="Times New Roman"/>
          <w:lang w:val="en-GB"/>
        </w:rPr>
        <w:t> </w:t>
      </w:r>
      <w:r w:rsidRPr="007E3A51">
        <w:rPr>
          <w:rFonts w:ascii="Times New Roman" w:hAnsi="Times New Roman" w:cs="Times New Roman"/>
          <w:lang w:val="en-GB"/>
        </w:rPr>
        <w:t>significant increase (by 15.8%) was observed in 2022, which is quite expected given the shortage of products on the market due to insufficient production and rising food prices, respectively. However, already in 2023</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there was a decrease in this index, which is a positive trend. Also notable is the low result of this indicator in 2020 – 102.9%, which is the lowest during the </w:t>
      </w:r>
      <w:proofErr w:type="spellStart"/>
      <w:r w:rsidRPr="007E3A51">
        <w:rPr>
          <w:rFonts w:ascii="Times New Roman" w:hAnsi="Times New Roman" w:cs="Times New Roman"/>
          <w:lang w:val="en-GB"/>
        </w:rPr>
        <w:t>analyzed</w:t>
      </w:r>
      <w:proofErr w:type="spellEnd"/>
      <w:r w:rsidRPr="007E3A51">
        <w:rPr>
          <w:rFonts w:ascii="Times New Roman" w:hAnsi="Times New Roman" w:cs="Times New Roman"/>
          <w:lang w:val="en-GB"/>
        </w:rPr>
        <w:t xml:space="preserve"> period, </w:t>
      </w:r>
      <w:r w:rsidR="005369B2" w:rsidRPr="007E3A51">
        <w:rPr>
          <w:rFonts w:ascii="Times New Roman" w:hAnsi="Times New Roman" w:cs="Times New Roman"/>
          <w:lang w:val="en-GB"/>
        </w:rPr>
        <w:t>which</w:t>
      </w:r>
      <w:r w:rsidRPr="007E3A51">
        <w:rPr>
          <w:rFonts w:ascii="Times New Roman" w:hAnsi="Times New Roman" w:cs="Times New Roman"/>
          <w:lang w:val="en-GB"/>
        </w:rPr>
        <w:t xml:space="preserve"> was then replaced by a significant increase (by 8.4%), and the result of 2022 exceed</w:t>
      </w:r>
      <w:r w:rsidR="00765941" w:rsidRPr="007E3A51">
        <w:rPr>
          <w:rFonts w:ascii="Times New Roman" w:hAnsi="Times New Roman" w:cs="Times New Roman"/>
          <w:lang w:val="en-GB"/>
        </w:rPr>
        <w:t>ed</w:t>
      </w:r>
      <w:r w:rsidRPr="007E3A51">
        <w:rPr>
          <w:rFonts w:ascii="Times New Roman" w:hAnsi="Times New Roman" w:cs="Times New Roman"/>
          <w:lang w:val="en-GB"/>
        </w:rPr>
        <w:t xml:space="preserve"> 2020 by 24.2%.</w:t>
      </w:r>
    </w:p>
    <w:p w14:paraId="0833B447" w14:textId="05786EE8" w:rsidR="0044738D" w:rsidRPr="007E3A51" w:rsidRDefault="0044738D" w:rsidP="00E3149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In summary, having examined the indicators that characterize the state of food security in Ukraine and that affect its dynamics, we can conclude that the indicators of undernourishment or hunger in Ukraine, although they are growing over a </w:t>
      </w:r>
      <w:r w:rsidR="00EE0D09" w:rsidRPr="007E3A51">
        <w:rPr>
          <w:rFonts w:ascii="Times New Roman" w:hAnsi="Times New Roman" w:cs="Times New Roman"/>
          <w:lang w:val="en-GB"/>
        </w:rPr>
        <w:t>specific</w:t>
      </w:r>
      <w:r w:rsidRPr="007E3A51">
        <w:rPr>
          <w:rFonts w:ascii="Times New Roman" w:hAnsi="Times New Roman" w:cs="Times New Roman"/>
          <w:lang w:val="en-GB"/>
        </w:rPr>
        <w:t xml:space="preserve"> period, are not significan</w:t>
      </w:r>
      <w:r w:rsidR="00B55B8C" w:rsidRPr="007E3A51">
        <w:rPr>
          <w:rFonts w:ascii="Times New Roman" w:hAnsi="Times New Roman" w:cs="Times New Roman"/>
          <w:lang w:val="en-GB"/>
        </w:rPr>
        <w:t>t.</w:t>
      </w:r>
      <w:r w:rsidRPr="007E3A51">
        <w:rPr>
          <w:rFonts w:ascii="Times New Roman" w:hAnsi="Times New Roman" w:cs="Times New Roman"/>
          <w:lang w:val="en-GB"/>
        </w:rPr>
        <w:t xml:space="preserve"> </w:t>
      </w:r>
      <w:r w:rsidR="00B55B8C" w:rsidRPr="007E3A51">
        <w:rPr>
          <w:rFonts w:ascii="Times New Roman" w:hAnsi="Times New Roman" w:cs="Times New Roman"/>
          <w:lang w:val="en-GB"/>
        </w:rPr>
        <w:t>A</w:t>
      </w:r>
      <w:r w:rsidRPr="007E3A51">
        <w:rPr>
          <w:rFonts w:ascii="Times New Roman" w:hAnsi="Times New Roman" w:cs="Times New Roman"/>
          <w:lang w:val="en-GB"/>
        </w:rPr>
        <w:t>ccording to the GHI, Ukraine is among the countries with a low indicator. Of course, this positively characterizes the state of food security in Ukraine</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however, it is worth noting the </w:t>
      </w:r>
      <w:r w:rsidR="00185EFB" w:rsidRPr="007E3A51">
        <w:rPr>
          <w:rFonts w:ascii="Times New Roman" w:hAnsi="Times New Roman" w:cs="Times New Roman"/>
          <w:lang w:val="en-GB"/>
        </w:rPr>
        <w:t xml:space="preserve">upward </w:t>
      </w:r>
      <w:r w:rsidRPr="007E3A51">
        <w:rPr>
          <w:rFonts w:ascii="Times New Roman" w:hAnsi="Times New Roman" w:cs="Times New Roman"/>
          <w:lang w:val="en-GB"/>
        </w:rPr>
        <w:t>trend in these indicators. A significant number of indicators are not given after 2022</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but reflect an increase in indicators that negatively characterize the state of food security in Ukraine with the beginning of a full-scale invasion. Thus, both </w:t>
      </w:r>
      <w:proofErr w:type="spellStart"/>
      <w:r w:rsidRPr="007E3A51">
        <w:rPr>
          <w:rFonts w:ascii="Times New Roman" w:hAnsi="Times New Roman" w:cs="Times New Roman"/>
          <w:lang w:val="en-GB"/>
        </w:rPr>
        <w:t>analyzed</w:t>
      </w:r>
      <w:proofErr w:type="spellEnd"/>
      <w:r w:rsidRPr="007E3A51">
        <w:rPr>
          <w:rFonts w:ascii="Times New Roman" w:hAnsi="Times New Roman" w:cs="Times New Roman"/>
          <w:lang w:val="en-GB"/>
        </w:rPr>
        <w:t xml:space="preserve"> food production indices are decreasing, as is the indicator of the prevalence of moderate or severe food insecurity among the population. However, there is also a positive dynamic of food security indicators in 2023 </w:t>
      </w:r>
      <w:r w:rsidR="00315868" w:rsidRPr="007E3A51">
        <w:rPr>
          <w:rFonts w:ascii="Times New Roman" w:hAnsi="Times New Roman" w:cs="Times New Roman"/>
          <w:lang w:val="en-GB"/>
        </w:rPr>
        <w:t>–</w:t>
      </w:r>
      <w:r w:rsidRPr="007E3A51">
        <w:rPr>
          <w:rFonts w:ascii="Times New Roman" w:hAnsi="Times New Roman" w:cs="Times New Roman"/>
          <w:lang w:val="en-GB"/>
        </w:rPr>
        <w:t xml:space="preserve"> an increase in the food production index, which is calculated by the State Service of Ukraine, </w:t>
      </w:r>
      <w:r w:rsidR="005369B2" w:rsidRPr="007E3A51">
        <w:rPr>
          <w:rFonts w:ascii="Times New Roman" w:hAnsi="Times New Roman" w:cs="Times New Roman"/>
          <w:lang w:val="en-GB"/>
        </w:rPr>
        <w:t xml:space="preserve">and </w:t>
      </w:r>
      <w:r w:rsidRPr="007E3A51">
        <w:rPr>
          <w:rFonts w:ascii="Times New Roman" w:hAnsi="Times New Roman" w:cs="Times New Roman"/>
          <w:lang w:val="en-GB"/>
        </w:rPr>
        <w:t>a decrease in the volatility of consumer prices for food products. This positively characterizes the state of food security in Ukraine.</w:t>
      </w:r>
    </w:p>
    <w:p w14:paraId="4297C888" w14:textId="1E80D683" w:rsidR="0044738D" w:rsidRPr="007E3A51" w:rsidRDefault="0044738D" w:rsidP="00E3149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The dynamics of the above indicators </w:t>
      </w:r>
      <w:r w:rsidR="00311C57" w:rsidRPr="007E3A51">
        <w:rPr>
          <w:rFonts w:ascii="Times New Roman" w:hAnsi="Times New Roman" w:cs="Times New Roman"/>
          <w:lang w:val="en-GB"/>
        </w:rPr>
        <w:t>are</w:t>
      </w:r>
      <w:r w:rsidRPr="007E3A51">
        <w:rPr>
          <w:rFonts w:ascii="Times New Roman" w:hAnsi="Times New Roman" w:cs="Times New Roman"/>
          <w:lang w:val="en-GB"/>
        </w:rPr>
        <w:t xml:space="preserve"> summarized in Table 2.</w:t>
      </w:r>
    </w:p>
    <w:p w14:paraId="3C44FE74" w14:textId="4C5DEE17" w:rsidR="00E55226" w:rsidRPr="007E3A51" w:rsidRDefault="00885895" w:rsidP="00E3149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To </w:t>
      </w:r>
      <w:proofErr w:type="spellStart"/>
      <w:r w:rsidRPr="007E3A51">
        <w:rPr>
          <w:rFonts w:ascii="Times New Roman" w:hAnsi="Times New Roman" w:cs="Times New Roman"/>
          <w:lang w:val="en-GB"/>
        </w:rPr>
        <w:t>analyze</w:t>
      </w:r>
      <w:proofErr w:type="spellEnd"/>
      <w:r w:rsidRPr="007E3A51">
        <w:rPr>
          <w:rFonts w:ascii="Times New Roman" w:hAnsi="Times New Roman" w:cs="Times New Roman"/>
          <w:lang w:val="en-GB"/>
        </w:rPr>
        <w:t xml:space="preserve"> the prerequisites for the dynamics of food security in Ukraine, we investigate the </w:t>
      </w:r>
      <w:r w:rsidR="00EE0D09" w:rsidRPr="007E3A51">
        <w:rPr>
          <w:rFonts w:ascii="Times New Roman" w:hAnsi="Times New Roman" w:cs="Times New Roman"/>
          <w:lang w:val="en-GB"/>
        </w:rPr>
        <w:t>leading</w:t>
      </w:r>
      <w:r w:rsidRPr="007E3A51">
        <w:rPr>
          <w:rFonts w:ascii="Times New Roman" w:hAnsi="Times New Roman" w:cs="Times New Roman"/>
          <w:lang w:val="en-GB"/>
        </w:rPr>
        <w:t xml:space="preserve"> indicators of the development of the agricultural sector (Fig. 2-4, Table 3-4). </w:t>
      </w:r>
      <w:r w:rsidR="00334ECE" w:rsidRPr="007E3A51">
        <w:rPr>
          <w:rFonts w:ascii="Times New Roman" w:hAnsi="Times New Roman" w:cs="Times New Roman"/>
          <w:lang w:val="en-GB"/>
        </w:rPr>
        <w:t>For this purpose</w:t>
      </w:r>
      <w:r w:rsidRPr="007E3A51">
        <w:rPr>
          <w:rFonts w:ascii="Times New Roman" w:hAnsi="Times New Roman" w:cs="Times New Roman"/>
          <w:lang w:val="en-GB"/>
        </w:rPr>
        <w:t xml:space="preserve">, we selected key indicators </w:t>
      </w:r>
      <w:r w:rsidR="006D314F" w:rsidRPr="007E3A51">
        <w:rPr>
          <w:rFonts w:ascii="Times New Roman" w:hAnsi="Times New Roman" w:cs="Times New Roman"/>
          <w:lang w:val="en-GB"/>
        </w:rPr>
        <w:t>relevant</w:t>
      </w:r>
      <w:r w:rsidR="000D76A8" w:rsidRPr="007E3A51">
        <w:rPr>
          <w:rFonts w:ascii="Times New Roman" w:hAnsi="Times New Roman" w:cs="Times New Roman"/>
          <w:lang w:val="en-GB"/>
        </w:rPr>
        <w:t xml:space="preserve"> to</w:t>
      </w:r>
      <w:r w:rsidRPr="007E3A51">
        <w:rPr>
          <w:rFonts w:ascii="Times New Roman" w:hAnsi="Times New Roman" w:cs="Times New Roman"/>
          <w:lang w:val="en-GB"/>
        </w:rPr>
        <w:t xml:space="preserve"> food security</w:t>
      </w:r>
      <w:r w:rsidR="00900B07" w:rsidRPr="007E3A51">
        <w:rPr>
          <w:rFonts w:ascii="Times New Roman" w:hAnsi="Times New Roman" w:cs="Times New Roman"/>
          <w:lang w:val="en-GB"/>
        </w:rPr>
        <w:t>, namely:</w:t>
      </w:r>
      <w:r w:rsidRPr="007E3A51">
        <w:rPr>
          <w:rFonts w:ascii="Times New Roman" w:hAnsi="Times New Roman" w:cs="Times New Roman"/>
          <w:lang w:val="en-GB"/>
        </w:rPr>
        <w:t xml:space="preserve"> the area harvested by annual and biennial crops, the volume of production (gross harvest) of annual and biennial crops, </w:t>
      </w:r>
      <w:r w:rsidR="005369B2" w:rsidRPr="007E3A51">
        <w:rPr>
          <w:rFonts w:ascii="Times New Roman" w:hAnsi="Times New Roman" w:cs="Times New Roman"/>
          <w:lang w:val="en-GB"/>
        </w:rPr>
        <w:t xml:space="preserve">and </w:t>
      </w:r>
      <w:r w:rsidRPr="007E3A51">
        <w:rPr>
          <w:rFonts w:ascii="Times New Roman" w:hAnsi="Times New Roman" w:cs="Times New Roman"/>
          <w:lang w:val="en-GB"/>
        </w:rPr>
        <w:t xml:space="preserve">the yield of annual and biennial crops in Ukraine </w:t>
      </w:r>
      <w:r w:rsidR="003B108B" w:rsidRPr="007E3A51">
        <w:rPr>
          <w:rFonts w:ascii="Times New Roman" w:hAnsi="Times New Roman" w:cs="Times New Roman"/>
          <w:lang w:val="en-GB"/>
        </w:rPr>
        <w:t>during</w:t>
      </w:r>
      <w:r w:rsidRPr="007E3A51">
        <w:rPr>
          <w:rFonts w:ascii="Times New Roman" w:hAnsi="Times New Roman" w:cs="Times New Roman"/>
          <w:lang w:val="en-GB"/>
        </w:rPr>
        <w:t xml:space="preserve"> 2019-2023</w:t>
      </w:r>
      <w:r w:rsidR="005B1689" w:rsidRPr="007E3A51">
        <w:rPr>
          <w:rFonts w:ascii="Times New Roman" w:hAnsi="Times New Roman" w:cs="Times New Roman"/>
          <w:lang w:val="en-GB"/>
        </w:rPr>
        <w:t xml:space="preserve">. </w:t>
      </w:r>
      <w:r w:rsidR="001963EA" w:rsidRPr="007E3A51">
        <w:rPr>
          <w:rFonts w:ascii="Times New Roman" w:hAnsi="Times New Roman" w:cs="Times New Roman"/>
          <w:lang w:val="en-GB"/>
        </w:rPr>
        <w:t xml:space="preserve">The data </w:t>
      </w:r>
      <w:r w:rsidRPr="007E3A51">
        <w:rPr>
          <w:rFonts w:ascii="Times New Roman" w:hAnsi="Times New Roman" w:cs="Times New Roman"/>
          <w:lang w:val="en-GB"/>
        </w:rPr>
        <w:t>are provided by the State Statistics Service of Ukraine.</w:t>
      </w:r>
    </w:p>
    <w:p w14:paraId="5588000A" w14:textId="77777777" w:rsidR="00D023BF" w:rsidRPr="007E3A51" w:rsidRDefault="00D023BF" w:rsidP="00E3149F">
      <w:pPr>
        <w:spacing w:after="0" w:line="240" w:lineRule="auto"/>
        <w:ind w:firstLine="284"/>
        <w:jc w:val="both"/>
        <w:rPr>
          <w:rFonts w:ascii="Times New Roman" w:hAnsi="Times New Roman" w:cs="Times New Roman"/>
          <w:lang w:val="en-GB"/>
        </w:rPr>
      </w:pPr>
    </w:p>
    <w:p w14:paraId="1F75F297" w14:textId="77777777" w:rsidR="00D023BF" w:rsidRPr="007E3A51" w:rsidRDefault="00D023BF">
      <w:pPr>
        <w:rPr>
          <w:rFonts w:ascii="Times New Roman" w:hAnsi="Times New Roman"/>
          <w:b/>
          <w:bCs/>
          <w:kern w:val="2"/>
          <w:sz w:val="20"/>
          <w:lang w:val="en-GB"/>
          <w14:ligatures w14:val="standardContextual"/>
        </w:rPr>
      </w:pPr>
      <w:r w:rsidRPr="007E3A51">
        <w:rPr>
          <w:b/>
          <w:bCs/>
          <w:lang w:val="en-GB"/>
        </w:rPr>
        <w:br w:type="page"/>
      </w:r>
    </w:p>
    <w:p w14:paraId="53F4E0D9" w14:textId="5D7653B3" w:rsidR="0044738D" w:rsidRPr="007E3A51" w:rsidRDefault="0044738D" w:rsidP="00315868">
      <w:pPr>
        <w:pStyle w:val="Rtab"/>
        <w:rPr>
          <w:lang w:val="en-GB"/>
        </w:rPr>
      </w:pPr>
      <w:r w:rsidRPr="007E3A51">
        <w:rPr>
          <w:b/>
          <w:bCs/>
          <w:lang w:val="en-GB"/>
        </w:rPr>
        <w:lastRenderedPageBreak/>
        <w:t>Table 2.</w:t>
      </w:r>
      <w:r w:rsidRPr="007E3A51">
        <w:rPr>
          <w:lang w:val="en-GB"/>
        </w:rPr>
        <w:t xml:space="preserve"> Dynamics of food security indicators of Ukraine, 2016-2024*</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835"/>
        <w:gridCol w:w="1134"/>
        <w:gridCol w:w="1276"/>
        <w:gridCol w:w="1134"/>
        <w:gridCol w:w="1134"/>
        <w:gridCol w:w="1418"/>
        <w:gridCol w:w="1677"/>
      </w:tblGrid>
      <w:tr w:rsidR="00417DD6" w:rsidRPr="007E3A51" w14:paraId="4D2EE361" w14:textId="77777777" w:rsidTr="00D023BF">
        <w:trPr>
          <w:trHeight w:val="300"/>
        </w:trPr>
        <w:tc>
          <w:tcPr>
            <w:tcW w:w="861" w:type="dxa"/>
            <w:noWrap/>
            <w:vAlign w:val="center"/>
            <w:hideMark/>
          </w:tcPr>
          <w:p w14:paraId="7462BDB2" w14:textId="77777777" w:rsidR="0044738D" w:rsidRPr="007E3A51" w:rsidRDefault="0044738D" w:rsidP="00D023BF">
            <w:pPr>
              <w:spacing w:after="0" w:line="240" w:lineRule="auto"/>
              <w:jc w:val="center"/>
              <w:rPr>
                <w:rFonts w:ascii="Times New Roman" w:hAnsi="Times New Roman" w:cs="Times New Roman"/>
                <w:i/>
                <w:iCs/>
                <w:sz w:val="20"/>
                <w:szCs w:val="20"/>
                <w:lang w:val="en-GB"/>
              </w:rPr>
            </w:pPr>
          </w:p>
        </w:tc>
        <w:tc>
          <w:tcPr>
            <w:tcW w:w="835" w:type="dxa"/>
            <w:noWrap/>
            <w:vAlign w:val="center"/>
            <w:hideMark/>
          </w:tcPr>
          <w:p w14:paraId="0B143FD7"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PU</w:t>
            </w:r>
          </w:p>
        </w:tc>
        <w:tc>
          <w:tcPr>
            <w:tcW w:w="1134" w:type="dxa"/>
            <w:noWrap/>
            <w:vAlign w:val="center"/>
            <w:hideMark/>
          </w:tcPr>
          <w:p w14:paraId="22E1DD6B"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GHI</w:t>
            </w:r>
          </w:p>
        </w:tc>
        <w:tc>
          <w:tcPr>
            <w:tcW w:w="1276" w:type="dxa"/>
            <w:noWrap/>
            <w:vAlign w:val="center"/>
            <w:hideMark/>
          </w:tcPr>
          <w:p w14:paraId="4DF82232"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FPI</w:t>
            </w:r>
          </w:p>
        </w:tc>
        <w:tc>
          <w:tcPr>
            <w:tcW w:w="1134" w:type="dxa"/>
            <w:noWrap/>
            <w:vAlign w:val="center"/>
            <w:hideMark/>
          </w:tcPr>
          <w:p w14:paraId="4344A737"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IFP</w:t>
            </w:r>
          </w:p>
        </w:tc>
        <w:tc>
          <w:tcPr>
            <w:tcW w:w="1134" w:type="dxa"/>
            <w:noWrap/>
            <w:vAlign w:val="center"/>
            <w:hideMark/>
          </w:tcPr>
          <w:p w14:paraId="3BCFB4A9"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SFE</w:t>
            </w:r>
          </w:p>
        </w:tc>
        <w:tc>
          <w:tcPr>
            <w:tcW w:w="1418" w:type="dxa"/>
            <w:noWrap/>
            <w:vAlign w:val="center"/>
            <w:hideMark/>
          </w:tcPr>
          <w:p w14:paraId="2A527C68"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CPIF</w:t>
            </w:r>
          </w:p>
        </w:tc>
        <w:tc>
          <w:tcPr>
            <w:tcW w:w="1677" w:type="dxa"/>
            <w:noWrap/>
            <w:vAlign w:val="center"/>
            <w:hideMark/>
          </w:tcPr>
          <w:p w14:paraId="397B606C"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PMSI</w:t>
            </w:r>
          </w:p>
        </w:tc>
      </w:tr>
      <w:tr w:rsidR="00417DD6" w:rsidRPr="007E3A51" w14:paraId="117194F2" w14:textId="77777777" w:rsidTr="00D023BF">
        <w:trPr>
          <w:trHeight w:val="283"/>
        </w:trPr>
        <w:tc>
          <w:tcPr>
            <w:tcW w:w="861" w:type="dxa"/>
            <w:noWrap/>
            <w:vAlign w:val="center"/>
            <w:hideMark/>
          </w:tcPr>
          <w:p w14:paraId="1AD5D968"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2016</w:t>
            </w:r>
          </w:p>
        </w:tc>
        <w:tc>
          <w:tcPr>
            <w:tcW w:w="835" w:type="dxa"/>
            <w:noWrap/>
            <w:vAlign w:val="center"/>
            <w:hideMark/>
          </w:tcPr>
          <w:p w14:paraId="1902241B" w14:textId="7361C058"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0</w:t>
            </w:r>
            <w:r w:rsidR="000045C9" w:rsidRPr="007E3A51">
              <w:rPr>
                <w:rFonts w:ascii="Times New Roman" w:hAnsi="Times New Roman" w:cs="Times New Roman"/>
                <w:sz w:val="20"/>
                <w:szCs w:val="20"/>
                <w:lang w:val="en-GB"/>
              </w:rPr>
              <w:t>.0</w:t>
            </w:r>
          </w:p>
        </w:tc>
        <w:tc>
          <w:tcPr>
            <w:tcW w:w="1134" w:type="dxa"/>
            <w:noWrap/>
            <w:vAlign w:val="center"/>
            <w:hideMark/>
          </w:tcPr>
          <w:p w14:paraId="022FD191" w14:textId="2A2779AC"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-0</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w:t>
            </w:r>
          </w:p>
        </w:tc>
        <w:tc>
          <w:tcPr>
            <w:tcW w:w="1276" w:type="dxa"/>
            <w:noWrap/>
            <w:vAlign w:val="center"/>
            <w:hideMark/>
          </w:tcPr>
          <w:p w14:paraId="7F874C2A" w14:textId="08257F04"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w:t>
            </w:r>
            <w:r w:rsidR="000045C9" w:rsidRPr="007E3A51">
              <w:rPr>
                <w:rFonts w:ascii="Times New Roman" w:hAnsi="Times New Roman" w:cs="Times New Roman"/>
                <w:sz w:val="20"/>
                <w:szCs w:val="20"/>
                <w:lang w:val="en-GB"/>
              </w:rPr>
              <w:t>.3</w:t>
            </w:r>
          </w:p>
        </w:tc>
        <w:tc>
          <w:tcPr>
            <w:tcW w:w="1134" w:type="dxa"/>
            <w:noWrap/>
            <w:vAlign w:val="center"/>
            <w:hideMark/>
          </w:tcPr>
          <w:p w14:paraId="0481D2B6" w14:textId="3B025426"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+20</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w:t>
            </w:r>
          </w:p>
        </w:tc>
        <w:tc>
          <w:tcPr>
            <w:tcW w:w="1134" w:type="dxa"/>
            <w:noWrap/>
            <w:vAlign w:val="center"/>
            <w:hideMark/>
          </w:tcPr>
          <w:p w14:paraId="037D464B" w14:textId="6EAB41A5"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w:t>
            </w:r>
          </w:p>
        </w:tc>
        <w:tc>
          <w:tcPr>
            <w:tcW w:w="1418" w:type="dxa"/>
            <w:noWrap/>
            <w:vAlign w:val="center"/>
            <w:hideMark/>
          </w:tcPr>
          <w:p w14:paraId="77FE6B3B" w14:textId="674FF2C8"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-35</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w:t>
            </w:r>
          </w:p>
        </w:tc>
        <w:tc>
          <w:tcPr>
            <w:tcW w:w="1677" w:type="dxa"/>
            <w:noWrap/>
            <w:vAlign w:val="center"/>
            <w:hideMark/>
          </w:tcPr>
          <w:p w14:paraId="7664BB47" w14:textId="7504AF56"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w:t>
            </w:r>
          </w:p>
        </w:tc>
      </w:tr>
      <w:tr w:rsidR="00417DD6" w:rsidRPr="007E3A51" w14:paraId="35BF445A" w14:textId="77777777" w:rsidTr="00D023BF">
        <w:trPr>
          <w:trHeight w:val="283"/>
        </w:trPr>
        <w:tc>
          <w:tcPr>
            <w:tcW w:w="861" w:type="dxa"/>
            <w:noWrap/>
            <w:vAlign w:val="center"/>
            <w:hideMark/>
          </w:tcPr>
          <w:p w14:paraId="4D6BCF05"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2017</w:t>
            </w:r>
          </w:p>
        </w:tc>
        <w:tc>
          <w:tcPr>
            <w:tcW w:w="835" w:type="dxa"/>
            <w:noWrap/>
            <w:vAlign w:val="center"/>
            <w:hideMark/>
          </w:tcPr>
          <w:p w14:paraId="3BF1DB1E" w14:textId="5E104B36"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+0</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w:t>
            </w:r>
          </w:p>
        </w:tc>
        <w:tc>
          <w:tcPr>
            <w:tcW w:w="1134" w:type="dxa"/>
            <w:noWrap/>
            <w:vAlign w:val="center"/>
            <w:hideMark/>
          </w:tcPr>
          <w:p w14:paraId="486FE1BE" w14:textId="47738FB4"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w:t>
            </w:r>
          </w:p>
        </w:tc>
        <w:tc>
          <w:tcPr>
            <w:tcW w:w="1276" w:type="dxa"/>
            <w:noWrap/>
            <w:vAlign w:val="center"/>
            <w:hideMark/>
          </w:tcPr>
          <w:p w14:paraId="073419AF" w14:textId="3DFE3A28"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w:t>
            </w:r>
            <w:r w:rsidR="000045C9" w:rsidRPr="007E3A51">
              <w:rPr>
                <w:rFonts w:ascii="Times New Roman" w:hAnsi="Times New Roman" w:cs="Times New Roman"/>
                <w:sz w:val="20"/>
                <w:szCs w:val="20"/>
                <w:lang w:val="en-GB"/>
              </w:rPr>
              <w:t>.1</w:t>
            </w:r>
          </w:p>
        </w:tc>
        <w:tc>
          <w:tcPr>
            <w:tcW w:w="1134" w:type="dxa"/>
            <w:noWrap/>
            <w:vAlign w:val="center"/>
            <w:hideMark/>
          </w:tcPr>
          <w:p w14:paraId="74C9F203" w14:textId="6362FD5C"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w:t>
            </w:r>
          </w:p>
        </w:tc>
        <w:tc>
          <w:tcPr>
            <w:tcW w:w="1134" w:type="dxa"/>
            <w:noWrap/>
            <w:vAlign w:val="center"/>
            <w:hideMark/>
          </w:tcPr>
          <w:p w14:paraId="02565A13" w14:textId="774A0B95"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w:t>
            </w:r>
          </w:p>
        </w:tc>
        <w:tc>
          <w:tcPr>
            <w:tcW w:w="1418" w:type="dxa"/>
            <w:noWrap/>
            <w:vAlign w:val="center"/>
            <w:hideMark/>
          </w:tcPr>
          <w:p w14:paraId="45CA3D7B" w14:textId="30988C6D"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w:t>
            </w:r>
          </w:p>
        </w:tc>
        <w:tc>
          <w:tcPr>
            <w:tcW w:w="1677" w:type="dxa"/>
            <w:noWrap/>
            <w:vAlign w:val="center"/>
            <w:hideMark/>
          </w:tcPr>
          <w:p w14:paraId="7AA56276" w14:textId="74E44A56"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-0</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w:t>
            </w:r>
          </w:p>
        </w:tc>
      </w:tr>
      <w:tr w:rsidR="00417DD6" w:rsidRPr="007E3A51" w14:paraId="687CA36B" w14:textId="77777777" w:rsidTr="00D023BF">
        <w:trPr>
          <w:trHeight w:val="283"/>
        </w:trPr>
        <w:tc>
          <w:tcPr>
            <w:tcW w:w="861" w:type="dxa"/>
            <w:noWrap/>
            <w:vAlign w:val="center"/>
            <w:hideMark/>
          </w:tcPr>
          <w:p w14:paraId="05ADF15D"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2018</w:t>
            </w:r>
          </w:p>
        </w:tc>
        <w:tc>
          <w:tcPr>
            <w:tcW w:w="835" w:type="dxa"/>
            <w:noWrap/>
            <w:vAlign w:val="center"/>
            <w:hideMark/>
          </w:tcPr>
          <w:p w14:paraId="7D1126E4" w14:textId="67C6065A"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+0</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w:t>
            </w:r>
          </w:p>
        </w:tc>
        <w:tc>
          <w:tcPr>
            <w:tcW w:w="1134" w:type="dxa"/>
            <w:noWrap/>
            <w:vAlign w:val="center"/>
            <w:hideMark/>
          </w:tcPr>
          <w:p w14:paraId="160DFC2E" w14:textId="582865E3"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0</w:t>
            </w:r>
            <w:r w:rsidR="000045C9" w:rsidRPr="007E3A51">
              <w:rPr>
                <w:rFonts w:ascii="Times New Roman" w:hAnsi="Times New Roman" w:cs="Times New Roman"/>
                <w:sz w:val="20"/>
                <w:szCs w:val="20"/>
                <w:lang w:val="en-GB"/>
              </w:rPr>
              <w:t>.0</w:t>
            </w:r>
          </w:p>
        </w:tc>
        <w:tc>
          <w:tcPr>
            <w:tcW w:w="1276" w:type="dxa"/>
            <w:noWrap/>
            <w:vAlign w:val="center"/>
            <w:hideMark/>
          </w:tcPr>
          <w:p w14:paraId="31903439" w14:textId="5D09E174"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w:t>
            </w:r>
          </w:p>
        </w:tc>
        <w:tc>
          <w:tcPr>
            <w:tcW w:w="1134" w:type="dxa"/>
            <w:noWrap/>
            <w:vAlign w:val="center"/>
            <w:hideMark/>
          </w:tcPr>
          <w:p w14:paraId="04303B70" w14:textId="679E9E2B"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w:t>
            </w:r>
          </w:p>
        </w:tc>
        <w:tc>
          <w:tcPr>
            <w:tcW w:w="1134" w:type="dxa"/>
            <w:noWrap/>
            <w:vAlign w:val="center"/>
            <w:hideMark/>
          </w:tcPr>
          <w:p w14:paraId="4964EB2A" w14:textId="4E92F83D"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-0</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w:t>
            </w:r>
          </w:p>
        </w:tc>
        <w:tc>
          <w:tcPr>
            <w:tcW w:w="1418" w:type="dxa"/>
            <w:noWrap/>
            <w:vAlign w:val="center"/>
            <w:hideMark/>
          </w:tcPr>
          <w:p w14:paraId="3F9E7BEE" w14:textId="17A85A2F"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w:t>
            </w:r>
          </w:p>
        </w:tc>
        <w:tc>
          <w:tcPr>
            <w:tcW w:w="1677" w:type="dxa"/>
            <w:noWrap/>
            <w:vAlign w:val="center"/>
            <w:hideMark/>
          </w:tcPr>
          <w:p w14:paraId="3E0532DA" w14:textId="4B541CDE"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w:t>
            </w:r>
          </w:p>
        </w:tc>
      </w:tr>
      <w:tr w:rsidR="00417DD6" w:rsidRPr="007E3A51" w14:paraId="210270A9" w14:textId="77777777" w:rsidTr="00D023BF">
        <w:trPr>
          <w:trHeight w:val="283"/>
        </w:trPr>
        <w:tc>
          <w:tcPr>
            <w:tcW w:w="861" w:type="dxa"/>
            <w:noWrap/>
            <w:vAlign w:val="center"/>
            <w:hideMark/>
          </w:tcPr>
          <w:p w14:paraId="109631FD"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2019</w:t>
            </w:r>
          </w:p>
        </w:tc>
        <w:tc>
          <w:tcPr>
            <w:tcW w:w="835" w:type="dxa"/>
            <w:noWrap/>
            <w:vAlign w:val="center"/>
            <w:hideMark/>
          </w:tcPr>
          <w:p w14:paraId="6D0882E3" w14:textId="04B55E0E"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+0</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w:t>
            </w:r>
          </w:p>
        </w:tc>
        <w:tc>
          <w:tcPr>
            <w:tcW w:w="1134" w:type="dxa"/>
            <w:noWrap/>
            <w:vAlign w:val="center"/>
            <w:hideMark/>
          </w:tcPr>
          <w:p w14:paraId="7A921F58" w14:textId="56E5434A"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0</w:t>
            </w:r>
            <w:r w:rsidR="000045C9" w:rsidRPr="007E3A51">
              <w:rPr>
                <w:rFonts w:ascii="Times New Roman" w:hAnsi="Times New Roman" w:cs="Times New Roman"/>
                <w:sz w:val="20"/>
                <w:szCs w:val="20"/>
                <w:lang w:val="en-GB"/>
              </w:rPr>
              <w:t>.0</w:t>
            </w:r>
          </w:p>
        </w:tc>
        <w:tc>
          <w:tcPr>
            <w:tcW w:w="1276" w:type="dxa"/>
            <w:noWrap/>
            <w:vAlign w:val="center"/>
            <w:hideMark/>
          </w:tcPr>
          <w:p w14:paraId="52C96DED" w14:textId="5F1AFF92"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w:t>
            </w:r>
          </w:p>
        </w:tc>
        <w:tc>
          <w:tcPr>
            <w:tcW w:w="1134" w:type="dxa"/>
            <w:noWrap/>
            <w:vAlign w:val="center"/>
            <w:hideMark/>
          </w:tcPr>
          <w:p w14:paraId="148AF9C9" w14:textId="4B26B91A"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w:t>
            </w:r>
          </w:p>
        </w:tc>
        <w:tc>
          <w:tcPr>
            <w:tcW w:w="1134" w:type="dxa"/>
            <w:noWrap/>
            <w:vAlign w:val="center"/>
            <w:hideMark/>
          </w:tcPr>
          <w:p w14:paraId="329D61F2" w14:textId="53E9E214"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-0</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w:t>
            </w:r>
          </w:p>
        </w:tc>
        <w:tc>
          <w:tcPr>
            <w:tcW w:w="1418" w:type="dxa"/>
            <w:noWrap/>
            <w:vAlign w:val="center"/>
            <w:hideMark/>
          </w:tcPr>
          <w:p w14:paraId="5AC35728" w14:textId="6EB7AE58"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w:t>
            </w:r>
          </w:p>
        </w:tc>
        <w:tc>
          <w:tcPr>
            <w:tcW w:w="1677" w:type="dxa"/>
            <w:noWrap/>
            <w:vAlign w:val="center"/>
            <w:hideMark/>
          </w:tcPr>
          <w:p w14:paraId="12F375FF" w14:textId="19BEE496"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w:t>
            </w:r>
          </w:p>
        </w:tc>
      </w:tr>
      <w:tr w:rsidR="00417DD6" w:rsidRPr="007E3A51" w14:paraId="7982B52B" w14:textId="77777777" w:rsidTr="00D023BF">
        <w:trPr>
          <w:trHeight w:val="283"/>
        </w:trPr>
        <w:tc>
          <w:tcPr>
            <w:tcW w:w="861" w:type="dxa"/>
            <w:noWrap/>
            <w:vAlign w:val="center"/>
            <w:hideMark/>
          </w:tcPr>
          <w:p w14:paraId="75A8BFA2"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2020</w:t>
            </w:r>
          </w:p>
        </w:tc>
        <w:tc>
          <w:tcPr>
            <w:tcW w:w="835" w:type="dxa"/>
            <w:noWrap/>
            <w:vAlign w:val="center"/>
            <w:hideMark/>
          </w:tcPr>
          <w:p w14:paraId="65CCAB8D" w14:textId="5DC5226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+0</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w:t>
            </w:r>
          </w:p>
        </w:tc>
        <w:tc>
          <w:tcPr>
            <w:tcW w:w="1134" w:type="dxa"/>
            <w:noWrap/>
            <w:vAlign w:val="center"/>
            <w:hideMark/>
          </w:tcPr>
          <w:p w14:paraId="77DE2A3E" w14:textId="7B82E3E6"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0</w:t>
            </w:r>
            <w:r w:rsidR="000045C9" w:rsidRPr="007E3A51">
              <w:rPr>
                <w:rFonts w:ascii="Times New Roman" w:hAnsi="Times New Roman" w:cs="Times New Roman"/>
                <w:sz w:val="20"/>
                <w:szCs w:val="20"/>
                <w:lang w:val="en-GB"/>
              </w:rPr>
              <w:t>.0</w:t>
            </w:r>
          </w:p>
        </w:tc>
        <w:tc>
          <w:tcPr>
            <w:tcW w:w="1276" w:type="dxa"/>
            <w:noWrap/>
            <w:vAlign w:val="center"/>
            <w:hideMark/>
          </w:tcPr>
          <w:p w14:paraId="21078D8D" w14:textId="6154C258"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w:t>
            </w:r>
            <w:r w:rsidR="000045C9" w:rsidRPr="007E3A51">
              <w:rPr>
                <w:rFonts w:ascii="Times New Roman" w:hAnsi="Times New Roman" w:cs="Times New Roman"/>
                <w:sz w:val="20"/>
                <w:szCs w:val="20"/>
                <w:lang w:val="en-GB"/>
              </w:rPr>
              <w:t>.1</w:t>
            </w:r>
          </w:p>
        </w:tc>
        <w:tc>
          <w:tcPr>
            <w:tcW w:w="1134" w:type="dxa"/>
            <w:noWrap/>
            <w:vAlign w:val="center"/>
            <w:hideMark/>
          </w:tcPr>
          <w:p w14:paraId="39CE2BD2" w14:textId="27980059"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w:t>
            </w:r>
          </w:p>
        </w:tc>
        <w:tc>
          <w:tcPr>
            <w:tcW w:w="1134" w:type="dxa"/>
            <w:noWrap/>
            <w:vAlign w:val="center"/>
            <w:hideMark/>
          </w:tcPr>
          <w:p w14:paraId="3573E9B6" w14:textId="0C3121C9"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+0</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w:t>
            </w:r>
          </w:p>
        </w:tc>
        <w:tc>
          <w:tcPr>
            <w:tcW w:w="1418" w:type="dxa"/>
            <w:noWrap/>
            <w:vAlign w:val="center"/>
            <w:hideMark/>
          </w:tcPr>
          <w:p w14:paraId="3AD9BD77" w14:textId="76D89ACD"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w:t>
            </w:r>
          </w:p>
        </w:tc>
        <w:tc>
          <w:tcPr>
            <w:tcW w:w="1677" w:type="dxa"/>
            <w:noWrap/>
            <w:vAlign w:val="center"/>
            <w:hideMark/>
          </w:tcPr>
          <w:p w14:paraId="4E46499C" w14:textId="07AA4E5B"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w:t>
            </w:r>
          </w:p>
        </w:tc>
      </w:tr>
      <w:tr w:rsidR="00417DD6" w:rsidRPr="007E3A51" w14:paraId="5810661C" w14:textId="77777777" w:rsidTr="00D023BF">
        <w:trPr>
          <w:trHeight w:val="283"/>
        </w:trPr>
        <w:tc>
          <w:tcPr>
            <w:tcW w:w="861" w:type="dxa"/>
            <w:noWrap/>
            <w:vAlign w:val="center"/>
            <w:hideMark/>
          </w:tcPr>
          <w:p w14:paraId="266D281C"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2021</w:t>
            </w:r>
          </w:p>
        </w:tc>
        <w:tc>
          <w:tcPr>
            <w:tcW w:w="835" w:type="dxa"/>
            <w:noWrap/>
            <w:vAlign w:val="center"/>
            <w:hideMark/>
          </w:tcPr>
          <w:p w14:paraId="44A88CD1" w14:textId="33285DB4"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w:t>
            </w:r>
            <w:r w:rsidR="000045C9" w:rsidRPr="007E3A51">
              <w:rPr>
                <w:rFonts w:ascii="Times New Roman" w:hAnsi="Times New Roman" w:cs="Times New Roman"/>
                <w:sz w:val="20"/>
                <w:szCs w:val="20"/>
                <w:lang w:val="en-GB"/>
              </w:rPr>
              <w:t>.0</w:t>
            </w:r>
          </w:p>
        </w:tc>
        <w:tc>
          <w:tcPr>
            <w:tcW w:w="1134" w:type="dxa"/>
            <w:noWrap/>
            <w:vAlign w:val="center"/>
            <w:hideMark/>
          </w:tcPr>
          <w:p w14:paraId="112F152E" w14:textId="7FC0B665"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w:t>
            </w:r>
          </w:p>
        </w:tc>
        <w:tc>
          <w:tcPr>
            <w:tcW w:w="1276" w:type="dxa"/>
            <w:noWrap/>
            <w:vAlign w:val="center"/>
            <w:hideMark/>
          </w:tcPr>
          <w:p w14:paraId="564C44B9" w14:textId="0D4A565A"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+14</w:t>
            </w:r>
            <w:r w:rsidR="000045C9" w:rsidRPr="007E3A51">
              <w:rPr>
                <w:rFonts w:ascii="Times New Roman" w:hAnsi="Times New Roman" w:cs="Times New Roman"/>
                <w:sz w:val="20"/>
                <w:szCs w:val="20"/>
                <w:lang w:val="en-GB"/>
              </w:rPr>
              <w:t>.7</w:t>
            </w:r>
          </w:p>
        </w:tc>
        <w:tc>
          <w:tcPr>
            <w:tcW w:w="1134" w:type="dxa"/>
            <w:noWrap/>
            <w:vAlign w:val="center"/>
            <w:hideMark/>
          </w:tcPr>
          <w:p w14:paraId="46F56431" w14:textId="0D523160"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w:t>
            </w:r>
          </w:p>
        </w:tc>
        <w:tc>
          <w:tcPr>
            <w:tcW w:w="1134" w:type="dxa"/>
            <w:noWrap/>
            <w:vAlign w:val="center"/>
            <w:hideMark/>
          </w:tcPr>
          <w:p w14:paraId="4F1196B9" w14:textId="0121E3E9"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w:t>
            </w:r>
          </w:p>
        </w:tc>
        <w:tc>
          <w:tcPr>
            <w:tcW w:w="1418" w:type="dxa"/>
            <w:noWrap/>
            <w:vAlign w:val="center"/>
            <w:hideMark/>
          </w:tcPr>
          <w:p w14:paraId="70D018C3" w14:textId="218E9AE2"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w:t>
            </w:r>
          </w:p>
        </w:tc>
        <w:tc>
          <w:tcPr>
            <w:tcW w:w="1677" w:type="dxa"/>
            <w:noWrap/>
            <w:vAlign w:val="center"/>
            <w:hideMark/>
          </w:tcPr>
          <w:p w14:paraId="7A52DDB5" w14:textId="508FC0C0"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w:t>
            </w:r>
          </w:p>
        </w:tc>
      </w:tr>
      <w:tr w:rsidR="00417DD6" w:rsidRPr="007E3A51" w14:paraId="79769809" w14:textId="77777777" w:rsidTr="00D023BF">
        <w:trPr>
          <w:trHeight w:val="283"/>
        </w:trPr>
        <w:tc>
          <w:tcPr>
            <w:tcW w:w="861" w:type="dxa"/>
            <w:noWrap/>
            <w:vAlign w:val="center"/>
            <w:hideMark/>
          </w:tcPr>
          <w:p w14:paraId="082A15AB"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2022</w:t>
            </w:r>
          </w:p>
        </w:tc>
        <w:tc>
          <w:tcPr>
            <w:tcW w:w="835" w:type="dxa"/>
            <w:noWrap/>
            <w:vAlign w:val="center"/>
            <w:hideMark/>
          </w:tcPr>
          <w:p w14:paraId="518DFE43" w14:textId="3C33955D"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+0</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w:t>
            </w:r>
          </w:p>
        </w:tc>
        <w:tc>
          <w:tcPr>
            <w:tcW w:w="1134" w:type="dxa"/>
            <w:noWrap/>
            <w:vAlign w:val="center"/>
            <w:hideMark/>
          </w:tcPr>
          <w:p w14:paraId="4F603292" w14:textId="7F658B6A"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+0</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w:t>
            </w:r>
          </w:p>
        </w:tc>
        <w:tc>
          <w:tcPr>
            <w:tcW w:w="1276" w:type="dxa"/>
            <w:noWrap/>
            <w:vAlign w:val="center"/>
            <w:hideMark/>
          </w:tcPr>
          <w:p w14:paraId="3880E9E6" w14:textId="47B63925"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-26</w:t>
            </w:r>
            <w:r w:rsidR="000045C9" w:rsidRPr="007E3A51">
              <w:rPr>
                <w:rFonts w:ascii="Times New Roman" w:hAnsi="Times New Roman" w:cs="Times New Roman"/>
                <w:sz w:val="20"/>
                <w:szCs w:val="20"/>
                <w:lang w:val="en-GB"/>
              </w:rPr>
              <w:t>.1</w:t>
            </w:r>
          </w:p>
        </w:tc>
        <w:tc>
          <w:tcPr>
            <w:tcW w:w="1134" w:type="dxa"/>
            <w:noWrap/>
            <w:vAlign w:val="center"/>
            <w:hideMark/>
          </w:tcPr>
          <w:p w14:paraId="4499F4BF" w14:textId="253CD79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-15</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w:t>
            </w:r>
          </w:p>
        </w:tc>
        <w:tc>
          <w:tcPr>
            <w:tcW w:w="1134" w:type="dxa"/>
            <w:noWrap/>
            <w:vAlign w:val="center"/>
            <w:hideMark/>
          </w:tcPr>
          <w:p w14:paraId="614F1535"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w:t>
            </w:r>
          </w:p>
        </w:tc>
        <w:tc>
          <w:tcPr>
            <w:tcW w:w="1418" w:type="dxa"/>
            <w:noWrap/>
            <w:vAlign w:val="center"/>
            <w:hideMark/>
          </w:tcPr>
          <w:p w14:paraId="31ED7995" w14:textId="3342B7B6"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+15</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w:t>
            </w:r>
          </w:p>
        </w:tc>
        <w:tc>
          <w:tcPr>
            <w:tcW w:w="1677" w:type="dxa"/>
            <w:noWrap/>
            <w:vAlign w:val="center"/>
            <w:hideMark/>
          </w:tcPr>
          <w:p w14:paraId="7E5E0F1C" w14:textId="4754C2B8"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w:t>
            </w:r>
          </w:p>
        </w:tc>
      </w:tr>
      <w:tr w:rsidR="00417DD6" w:rsidRPr="007E3A51" w14:paraId="553CE48A" w14:textId="77777777" w:rsidTr="00D023BF">
        <w:trPr>
          <w:trHeight w:val="283"/>
        </w:trPr>
        <w:tc>
          <w:tcPr>
            <w:tcW w:w="861" w:type="dxa"/>
            <w:noWrap/>
            <w:vAlign w:val="center"/>
            <w:hideMark/>
          </w:tcPr>
          <w:p w14:paraId="55B37CA4"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2023</w:t>
            </w:r>
          </w:p>
        </w:tc>
        <w:tc>
          <w:tcPr>
            <w:tcW w:w="835" w:type="dxa"/>
            <w:noWrap/>
            <w:vAlign w:val="center"/>
            <w:hideMark/>
          </w:tcPr>
          <w:p w14:paraId="61C184A8"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w:t>
            </w:r>
          </w:p>
        </w:tc>
        <w:tc>
          <w:tcPr>
            <w:tcW w:w="1134" w:type="dxa"/>
            <w:noWrap/>
            <w:vAlign w:val="center"/>
            <w:hideMark/>
          </w:tcPr>
          <w:p w14:paraId="580AFC25" w14:textId="7376DED2"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+0</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w:t>
            </w:r>
          </w:p>
        </w:tc>
        <w:tc>
          <w:tcPr>
            <w:tcW w:w="1276" w:type="dxa"/>
            <w:noWrap/>
            <w:vAlign w:val="center"/>
            <w:hideMark/>
          </w:tcPr>
          <w:p w14:paraId="3877EC7C"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w:t>
            </w:r>
          </w:p>
        </w:tc>
        <w:tc>
          <w:tcPr>
            <w:tcW w:w="1134" w:type="dxa"/>
            <w:noWrap/>
            <w:vAlign w:val="center"/>
            <w:hideMark/>
          </w:tcPr>
          <w:p w14:paraId="6BB8311A" w14:textId="4C5BB48A"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+36</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w:t>
            </w:r>
          </w:p>
        </w:tc>
        <w:tc>
          <w:tcPr>
            <w:tcW w:w="1134" w:type="dxa"/>
            <w:noWrap/>
            <w:vAlign w:val="center"/>
            <w:hideMark/>
          </w:tcPr>
          <w:p w14:paraId="1440AD68"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w:t>
            </w:r>
          </w:p>
        </w:tc>
        <w:tc>
          <w:tcPr>
            <w:tcW w:w="1418" w:type="dxa"/>
            <w:noWrap/>
            <w:vAlign w:val="center"/>
            <w:hideMark/>
          </w:tcPr>
          <w:p w14:paraId="1049251C" w14:textId="4FC77E3D"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-12</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w:t>
            </w:r>
          </w:p>
        </w:tc>
        <w:tc>
          <w:tcPr>
            <w:tcW w:w="1677" w:type="dxa"/>
            <w:noWrap/>
            <w:vAlign w:val="center"/>
            <w:hideMark/>
          </w:tcPr>
          <w:p w14:paraId="61214ABB"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w:t>
            </w:r>
          </w:p>
        </w:tc>
      </w:tr>
      <w:tr w:rsidR="00417DD6" w:rsidRPr="007E3A51" w14:paraId="22DBF651" w14:textId="77777777" w:rsidTr="00D023BF">
        <w:trPr>
          <w:trHeight w:val="283"/>
        </w:trPr>
        <w:tc>
          <w:tcPr>
            <w:tcW w:w="861" w:type="dxa"/>
            <w:noWrap/>
            <w:vAlign w:val="center"/>
            <w:hideMark/>
          </w:tcPr>
          <w:p w14:paraId="1C185E99"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2024</w:t>
            </w:r>
          </w:p>
        </w:tc>
        <w:tc>
          <w:tcPr>
            <w:tcW w:w="835" w:type="dxa"/>
            <w:noWrap/>
            <w:vAlign w:val="center"/>
            <w:hideMark/>
          </w:tcPr>
          <w:p w14:paraId="6DF1CC9A"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w:t>
            </w:r>
          </w:p>
        </w:tc>
        <w:tc>
          <w:tcPr>
            <w:tcW w:w="1134" w:type="dxa"/>
            <w:noWrap/>
            <w:vAlign w:val="center"/>
            <w:hideMark/>
          </w:tcPr>
          <w:p w14:paraId="7043128C" w14:textId="203A9A8F"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+0</w:t>
            </w:r>
            <w:r w:rsidR="000045C9"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w:t>
            </w:r>
          </w:p>
        </w:tc>
        <w:tc>
          <w:tcPr>
            <w:tcW w:w="1276" w:type="dxa"/>
            <w:noWrap/>
            <w:vAlign w:val="center"/>
            <w:hideMark/>
          </w:tcPr>
          <w:p w14:paraId="582B868F"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w:t>
            </w:r>
          </w:p>
        </w:tc>
        <w:tc>
          <w:tcPr>
            <w:tcW w:w="1134" w:type="dxa"/>
            <w:noWrap/>
            <w:vAlign w:val="center"/>
            <w:hideMark/>
          </w:tcPr>
          <w:p w14:paraId="18D605FA"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w:t>
            </w:r>
          </w:p>
        </w:tc>
        <w:tc>
          <w:tcPr>
            <w:tcW w:w="1134" w:type="dxa"/>
            <w:noWrap/>
            <w:vAlign w:val="center"/>
            <w:hideMark/>
          </w:tcPr>
          <w:p w14:paraId="65AFFC1E"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w:t>
            </w:r>
          </w:p>
        </w:tc>
        <w:tc>
          <w:tcPr>
            <w:tcW w:w="1418" w:type="dxa"/>
            <w:noWrap/>
            <w:vAlign w:val="center"/>
            <w:hideMark/>
          </w:tcPr>
          <w:p w14:paraId="2B6802DC"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w:t>
            </w:r>
          </w:p>
        </w:tc>
        <w:tc>
          <w:tcPr>
            <w:tcW w:w="1677" w:type="dxa"/>
            <w:noWrap/>
            <w:vAlign w:val="center"/>
            <w:hideMark/>
          </w:tcPr>
          <w:p w14:paraId="50428458" w14:textId="77777777" w:rsidR="0044738D" w:rsidRPr="007E3A51" w:rsidRDefault="0044738D" w:rsidP="00D023BF">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w:t>
            </w:r>
          </w:p>
        </w:tc>
      </w:tr>
    </w:tbl>
    <w:p w14:paraId="6B854CCD" w14:textId="3D2E64D4" w:rsidR="0044738D" w:rsidRPr="007E3A51" w:rsidRDefault="0044738D" w:rsidP="00D023BF">
      <w:pPr>
        <w:spacing w:before="60" w:after="0" w:line="240" w:lineRule="auto"/>
        <w:jc w:val="both"/>
        <w:rPr>
          <w:rFonts w:ascii="Times New Roman" w:hAnsi="Times New Roman" w:cs="Times New Roman"/>
          <w:sz w:val="20"/>
          <w:szCs w:val="20"/>
          <w:lang w:val="en-GB"/>
        </w:rPr>
      </w:pPr>
      <w:r w:rsidRPr="007E3A51">
        <w:rPr>
          <w:rFonts w:ascii="Times New Roman" w:hAnsi="Times New Roman" w:cs="Times New Roman"/>
          <w:sz w:val="20"/>
          <w:szCs w:val="20"/>
          <w:lang w:val="en-GB"/>
        </w:rPr>
        <w:t>*</w:t>
      </w:r>
      <w:r w:rsidR="005369B2"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w:t>
      </w:r>
      <w:r w:rsidR="005369B2"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no data available for this year</w:t>
      </w:r>
    </w:p>
    <w:p w14:paraId="238E696B" w14:textId="53D0B80C" w:rsidR="006647E3" w:rsidRPr="007E3A51" w:rsidRDefault="0044738D" w:rsidP="00315868">
      <w:pPr>
        <w:spacing w:after="0" w:line="240" w:lineRule="auto"/>
        <w:jc w:val="both"/>
        <w:rPr>
          <w:rFonts w:ascii="Times New Roman" w:hAnsi="Times New Roman" w:cs="Times New Roman"/>
          <w:sz w:val="20"/>
          <w:szCs w:val="20"/>
          <w:lang w:val="en-GB"/>
        </w:rPr>
      </w:pPr>
      <w:r w:rsidRPr="007E3A51">
        <w:rPr>
          <w:rFonts w:ascii="Times New Roman" w:hAnsi="Times New Roman" w:cs="Times New Roman"/>
          <w:sz w:val="20"/>
          <w:szCs w:val="20"/>
          <w:lang w:val="en-GB"/>
        </w:rPr>
        <w:t>Source: calculated by the authors based on statistical data</w:t>
      </w:r>
    </w:p>
    <w:p w14:paraId="3994F51C" w14:textId="77777777" w:rsidR="000E675D" w:rsidRPr="007E3A51" w:rsidRDefault="000E675D" w:rsidP="00E3149F">
      <w:pPr>
        <w:spacing w:after="0" w:line="240" w:lineRule="auto"/>
        <w:ind w:firstLine="284"/>
        <w:jc w:val="both"/>
        <w:rPr>
          <w:rFonts w:ascii="Times New Roman" w:hAnsi="Times New Roman" w:cs="Times New Roman"/>
          <w:lang w:val="en-GB"/>
        </w:rPr>
      </w:pPr>
    </w:p>
    <w:p w14:paraId="7E909470" w14:textId="04E8179C" w:rsidR="0044738D" w:rsidRPr="007E3A51" w:rsidRDefault="0044738D" w:rsidP="00E3149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These indicators allow us to assess the agricultural potential, production efficiency, and food balance of the country. For analysis by species, we selected various crops that are important both directly for ensuring food security and for the development of livestock farming (i.e., indirectly affect food security), as well as </w:t>
      </w:r>
      <w:r w:rsidR="00EE0D09" w:rsidRPr="007E3A51">
        <w:rPr>
          <w:rFonts w:ascii="Times New Roman" w:hAnsi="Times New Roman" w:cs="Times New Roman"/>
          <w:lang w:val="en-GB"/>
        </w:rPr>
        <w:t>essential</w:t>
      </w:r>
      <w:r w:rsidRPr="007E3A51">
        <w:rPr>
          <w:rFonts w:ascii="Times New Roman" w:hAnsi="Times New Roman" w:cs="Times New Roman"/>
          <w:lang w:val="en-GB"/>
        </w:rPr>
        <w:t xml:space="preserve"> for inclusive sustainable development and sustainable production. </w:t>
      </w:r>
      <w:r w:rsidR="00FD109D" w:rsidRPr="007E3A51">
        <w:rPr>
          <w:rFonts w:ascii="Times New Roman" w:hAnsi="Times New Roman" w:cs="Times New Roman"/>
          <w:lang w:val="en-GB"/>
        </w:rPr>
        <w:t>We</w:t>
      </w:r>
      <w:r w:rsidRPr="007E3A51">
        <w:rPr>
          <w:rFonts w:ascii="Times New Roman" w:hAnsi="Times New Roman" w:cs="Times New Roman"/>
          <w:lang w:val="en-GB"/>
        </w:rPr>
        <w:t xml:space="preserve"> chose such crops as: cereal and leguminous crops, wheat, maize, barley, rye, soybeans, rapeseed (winter and spring (colza)), </w:t>
      </w:r>
      <w:r w:rsidR="00EB7248" w:rsidRPr="007E3A51">
        <w:rPr>
          <w:rFonts w:ascii="Times New Roman" w:hAnsi="Times New Roman" w:cs="Times New Roman"/>
          <w:lang w:val="en-GB"/>
        </w:rPr>
        <w:t xml:space="preserve">and </w:t>
      </w:r>
      <w:r w:rsidRPr="007E3A51">
        <w:rPr>
          <w:rFonts w:ascii="Times New Roman" w:hAnsi="Times New Roman" w:cs="Times New Roman"/>
          <w:lang w:val="en-GB"/>
        </w:rPr>
        <w:t>sunflower.</w:t>
      </w:r>
      <w:r w:rsidR="009B5AF1" w:rsidRPr="007E3A51">
        <w:rPr>
          <w:rFonts w:ascii="Times New Roman" w:hAnsi="Times New Roman" w:cs="Times New Roman"/>
          <w:lang w:val="en-GB"/>
        </w:rPr>
        <w:t xml:space="preserve"> The</w:t>
      </w:r>
      <w:r w:rsidR="00625A8A" w:rsidRPr="007E3A51">
        <w:rPr>
          <w:rFonts w:ascii="Times New Roman" w:hAnsi="Times New Roman" w:cs="Times New Roman"/>
          <w:lang w:val="en-GB"/>
        </w:rPr>
        <w:t> </w:t>
      </w:r>
      <w:r w:rsidR="009B5AF1" w:rsidRPr="007E3A51">
        <w:rPr>
          <w:rFonts w:ascii="Times New Roman" w:hAnsi="Times New Roman" w:cs="Times New Roman"/>
          <w:lang w:val="en-GB"/>
        </w:rPr>
        <w:t xml:space="preserve">choice of </w:t>
      </w:r>
      <w:r w:rsidR="00061BFF" w:rsidRPr="007E3A51">
        <w:rPr>
          <w:rFonts w:ascii="Times New Roman" w:hAnsi="Times New Roman" w:cs="Times New Roman"/>
          <w:lang w:val="en-GB"/>
        </w:rPr>
        <w:t xml:space="preserve">these crops is justified </w:t>
      </w:r>
      <w:r w:rsidR="00626811" w:rsidRPr="007E3A51">
        <w:rPr>
          <w:rFonts w:ascii="Times New Roman" w:hAnsi="Times New Roman" w:cs="Times New Roman"/>
          <w:lang w:val="en-GB"/>
        </w:rPr>
        <w:t xml:space="preserve">in </w:t>
      </w:r>
      <w:r w:rsidR="00533929" w:rsidRPr="007E3A51">
        <w:rPr>
          <w:rFonts w:ascii="Times New Roman" w:hAnsi="Times New Roman" w:cs="Times New Roman"/>
          <w:lang w:val="en-GB"/>
        </w:rPr>
        <w:t>particular by</w:t>
      </w:r>
      <w:r w:rsidR="00626811" w:rsidRPr="007E3A51">
        <w:rPr>
          <w:rFonts w:ascii="Times New Roman" w:hAnsi="Times New Roman" w:cs="Times New Roman"/>
          <w:lang w:val="en-GB"/>
        </w:rPr>
        <w:t xml:space="preserve"> the fact that Ukraine</w:t>
      </w:r>
      <w:r w:rsidR="005369B2" w:rsidRPr="007E3A51">
        <w:rPr>
          <w:rFonts w:ascii="Times New Roman" w:hAnsi="Times New Roman" w:cs="Times New Roman"/>
          <w:lang w:val="en-GB"/>
        </w:rPr>
        <w:t>,</w:t>
      </w:r>
      <w:r w:rsidR="00626811" w:rsidRPr="007E3A51">
        <w:rPr>
          <w:rFonts w:ascii="Times New Roman" w:hAnsi="Times New Roman" w:cs="Times New Roman"/>
          <w:lang w:val="en-GB"/>
        </w:rPr>
        <w:t xml:space="preserve"> before the full-scale invasion</w:t>
      </w:r>
      <w:r w:rsidR="005369B2" w:rsidRPr="007E3A51">
        <w:rPr>
          <w:rFonts w:ascii="Times New Roman" w:hAnsi="Times New Roman" w:cs="Times New Roman"/>
          <w:lang w:val="en-GB"/>
        </w:rPr>
        <w:t>,</w:t>
      </w:r>
      <w:r w:rsidR="00626811" w:rsidRPr="007E3A51">
        <w:rPr>
          <w:rFonts w:ascii="Times New Roman" w:hAnsi="Times New Roman" w:cs="Times New Roman"/>
          <w:lang w:val="en-GB"/>
        </w:rPr>
        <w:t xml:space="preserve"> </w:t>
      </w:r>
      <w:r w:rsidR="002713DE" w:rsidRPr="007E3A51">
        <w:rPr>
          <w:rFonts w:ascii="Times New Roman" w:hAnsi="Times New Roman" w:cs="Times New Roman"/>
          <w:lang w:val="en-GB"/>
        </w:rPr>
        <w:t xml:space="preserve">was a leader </w:t>
      </w:r>
      <w:r w:rsidR="00CA1AC7" w:rsidRPr="007E3A51">
        <w:rPr>
          <w:rFonts w:ascii="Times New Roman" w:hAnsi="Times New Roman" w:cs="Times New Roman"/>
          <w:lang w:val="en-GB"/>
        </w:rPr>
        <w:t xml:space="preserve">on the global market by exporting wheat, </w:t>
      </w:r>
      <w:r w:rsidR="00570EBC" w:rsidRPr="007E3A51">
        <w:rPr>
          <w:rFonts w:ascii="Times New Roman" w:hAnsi="Times New Roman" w:cs="Times New Roman"/>
          <w:lang w:val="en-GB"/>
        </w:rPr>
        <w:t>maize</w:t>
      </w:r>
      <w:r w:rsidR="00CA1AC7" w:rsidRPr="007E3A51">
        <w:rPr>
          <w:rFonts w:ascii="Times New Roman" w:hAnsi="Times New Roman" w:cs="Times New Roman"/>
          <w:lang w:val="en-GB"/>
        </w:rPr>
        <w:t xml:space="preserve">, </w:t>
      </w:r>
      <w:r w:rsidR="005369B2" w:rsidRPr="007E3A51">
        <w:rPr>
          <w:rFonts w:ascii="Times New Roman" w:hAnsi="Times New Roman" w:cs="Times New Roman"/>
          <w:lang w:val="en-GB"/>
        </w:rPr>
        <w:t xml:space="preserve">and </w:t>
      </w:r>
      <w:r w:rsidR="00CA1AC7" w:rsidRPr="007E3A51">
        <w:rPr>
          <w:rFonts w:ascii="Times New Roman" w:hAnsi="Times New Roman" w:cs="Times New Roman"/>
          <w:lang w:val="en-GB"/>
        </w:rPr>
        <w:t xml:space="preserve">sunflower oil (10% of world wheat exports, 14% </w:t>
      </w:r>
      <w:r w:rsidR="00570EBC" w:rsidRPr="007E3A51">
        <w:rPr>
          <w:rFonts w:ascii="Times New Roman" w:hAnsi="Times New Roman" w:cs="Times New Roman"/>
          <w:lang w:val="en-GB"/>
        </w:rPr>
        <w:t>of maize</w:t>
      </w:r>
      <w:r w:rsidR="005369B2" w:rsidRPr="007E3A51">
        <w:rPr>
          <w:rFonts w:ascii="Times New Roman" w:hAnsi="Times New Roman" w:cs="Times New Roman"/>
          <w:lang w:val="en-GB"/>
        </w:rPr>
        <w:t>,</w:t>
      </w:r>
      <w:r w:rsidR="00570EBC" w:rsidRPr="007E3A51">
        <w:rPr>
          <w:rFonts w:ascii="Times New Roman" w:hAnsi="Times New Roman" w:cs="Times New Roman"/>
          <w:lang w:val="en-GB"/>
        </w:rPr>
        <w:t xml:space="preserve"> </w:t>
      </w:r>
      <w:r w:rsidR="00CA1AC7" w:rsidRPr="007E3A51">
        <w:rPr>
          <w:rFonts w:ascii="Times New Roman" w:hAnsi="Times New Roman" w:cs="Times New Roman"/>
          <w:lang w:val="en-GB"/>
        </w:rPr>
        <w:t>and more than 47</w:t>
      </w:r>
      <w:r w:rsidR="00D51708" w:rsidRPr="007E3A51">
        <w:rPr>
          <w:rFonts w:ascii="Times New Roman" w:hAnsi="Times New Roman" w:cs="Times New Roman"/>
          <w:lang w:val="en-GB"/>
        </w:rPr>
        <w:t>% of</w:t>
      </w:r>
      <w:r w:rsidR="00570EBC" w:rsidRPr="007E3A51">
        <w:rPr>
          <w:rFonts w:ascii="Times New Roman" w:hAnsi="Times New Roman" w:cs="Times New Roman"/>
          <w:lang w:val="en-GB"/>
        </w:rPr>
        <w:t xml:space="preserve"> sunflower oil</w:t>
      </w:r>
      <w:r w:rsidR="005369B2" w:rsidRPr="007E3A51">
        <w:rPr>
          <w:rFonts w:ascii="Times New Roman" w:hAnsi="Times New Roman" w:cs="Times New Roman"/>
          <w:lang w:val="en-GB"/>
        </w:rPr>
        <w:t>,</w:t>
      </w:r>
      <w:r w:rsidR="00570EBC" w:rsidRPr="007E3A51">
        <w:rPr>
          <w:rFonts w:ascii="Times New Roman" w:hAnsi="Times New Roman" w:cs="Times New Roman"/>
          <w:lang w:val="en-GB"/>
        </w:rPr>
        <w:t xml:space="preserve"> respectively</w:t>
      </w:r>
      <w:r w:rsidR="00CA1AC7" w:rsidRPr="007E3A51">
        <w:rPr>
          <w:rFonts w:ascii="Times New Roman" w:hAnsi="Times New Roman" w:cs="Times New Roman"/>
          <w:lang w:val="en-GB"/>
        </w:rPr>
        <w:t>)</w:t>
      </w:r>
      <w:r w:rsidR="00253946" w:rsidRPr="007E3A51">
        <w:rPr>
          <w:rFonts w:ascii="Times New Roman" w:hAnsi="Times New Roman" w:cs="Times New Roman"/>
          <w:lang w:val="en-GB"/>
        </w:rPr>
        <w:t xml:space="preserve"> </w:t>
      </w:r>
      <w:r w:rsidR="00952FF0" w:rsidRPr="007E3A51">
        <w:rPr>
          <w:rFonts w:ascii="Times New Roman" w:hAnsi="Times New Roman" w:cs="Times New Roman"/>
          <w:lang w:val="en-GB"/>
        </w:rPr>
        <w:t>(</w:t>
      </w:r>
      <w:r w:rsidR="00344915" w:rsidRPr="007E3A51">
        <w:rPr>
          <w:rFonts w:ascii="Times New Roman" w:hAnsi="Times New Roman" w:cs="Times New Roman"/>
          <w:lang w:val="en-GB"/>
        </w:rPr>
        <w:t>Tul et al. 2023</w:t>
      </w:r>
      <w:r w:rsidR="00952FF0" w:rsidRPr="007E3A51">
        <w:rPr>
          <w:rFonts w:ascii="Times New Roman" w:hAnsi="Times New Roman" w:cs="Times New Roman"/>
          <w:lang w:val="en-GB"/>
        </w:rPr>
        <w:t>)</w:t>
      </w:r>
      <w:r w:rsidR="00570EBC" w:rsidRPr="007E3A51">
        <w:rPr>
          <w:rFonts w:ascii="Times New Roman" w:hAnsi="Times New Roman" w:cs="Times New Roman"/>
          <w:lang w:val="en-GB"/>
        </w:rPr>
        <w:t>.</w:t>
      </w:r>
      <w:r w:rsidR="00660900" w:rsidRPr="007E3A51">
        <w:rPr>
          <w:lang w:val="en-GB"/>
        </w:rPr>
        <w:t xml:space="preserve"> </w:t>
      </w:r>
      <w:r w:rsidR="00660900" w:rsidRPr="007E3A51">
        <w:rPr>
          <w:rFonts w:ascii="Times New Roman" w:hAnsi="Times New Roman" w:cs="Times New Roman"/>
          <w:lang w:val="en-GB"/>
        </w:rPr>
        <w:t xml:space="preserve">Therefore, we analyse the dynamics of sunflower cultivation as a basis for sunflower oil </w:t>
      </w:r>
      <w:r w:rsidR="00D51708" w:rsidRPr="007E3A51">
        <w:rPr>
          <w:rFonts w:ascii="Times New Roman" w:hAnsi="Times New Roman" w:cs="Times New Roman"/>
          <w:lang w:val="en-GB"/>
        </w:rPr>
        <w:t>production</w:t>
      </w:r>
      <w:r w:rsidR="00660900" w:rsidRPr="007E3A51">
        <w:rPr>
          <w:rFonts w:ascii="Times New Roman" w:hAnsi="Times New Roman" w:cs="Times New Roman"/>
          <w:lang w:val="en-GB"/>
        </w:rPr>
        <w:t>.</w:t>
      </w:r>
      <w:r w:rsidR="00616D53" w:rsidRPr="007E3A51">
        <w:rPr>
          <w:rFonts w:ascii="Times New Roman" w:hAnsi="Times New Roman" w:cs="Times New Roman"/>
          <w:lang w:val="en-GB"/>
        </w:rPr>
        <w:t xml:space="preserve"> </w:t>
      </w:r>
      <w:r w:rsidR="00E31B9D" w:rsidRPr="007E3A51">
        <w:rPr>
          <w:rFonts w:ascii="Times New Roman" w:hAnsi="Times New Roman" w:cs="Times New Roman"/>
          <w:lang w:val="en-GB"/>
        </w:rPr>
        <w:t>Moreover, sunflower</w:t>
      </w:r>
      <w:r w:rsidR="005369B2" w:rsidRPr="007E3A51">
        <w:rPr>
          <w:rFonts w:ascii="Times New Roman" w:hAnsi="Times New Roman" w:cs="Times New Roman"/>
          <w:lang w:val="en-GB"/>
        </w:rPr>
        <w:t>s</w:t>
      </w:r>
      <w:r w:rsidR="00847BD7" w:rsidRPr="007E3A51">
        <w:rPr>
          <w:rFonts w:ascii="Times New Roman" w:hAnsi="Times New Roman" w:cs="Times New Roman"/>
          <w:lang w:val="en-GB"/>
        </w:rPr>
        <w:t xml:space="preserve"> </w:t>
      </w:r>
      <w:r w:rsidR="004F4C75" w:rsidRPr="007E3A51">
        <w:rPr>
          <w:rFonts w:ascii="Times New Roman" w:hAnsi="Times New Roman" w:cs="Times New Roman"/>
          <w:lang w:val="en-GB"/>
        </w:rPr>
        <w:t>it is a c</w:t>
      </w:r>
      <w:r w:rsidR="005369B2" w:rsidRPr="007E3A51">
        <w:rPr>
          <w:rFonts w:ascii="Times New Roman" w:hAnsi="Times New Roman" w:cs="Times New Roman"/>
          <w:lang w:val="en-GB"/>
        </w:rPr>
        <w:t>rop</w:t>
      </w:r>
      <w:r w:rsidR="004F4C75" w:rsidRPr="007E3A51">
        <w:rPr>
          <w:rFonts w:ascii="Times New Roman" w:hAnsi="Times New Roman" w:cs="Times New Roman"/>
          <w:lang w:val="en-GB"/>
        </w:rPr>
        <w:t xml:space="preserve"> that creates high added value</w:t>
      </w:r>
      <w:r w:rsidR="005369B2" w:rsidRPr="007E3A51">
        <w:rPr>
          <w:rFonts w:ascii="Times New Roman" w:hAnsi="Times New Roman" w:cs="Times New Roman"/>
          <w:lang w:val="en-GB"/>
        </w:rPr>
        <w:t>,</w:t>
      </w:r>
      <w:r w:rsidR="004F4C75" w:rsidRPr="007E3A51">
        <w:rPr>
          <w:rFonts w:ascii="Times New Roman" w:hAnsi="Times New Roman" w:cs="Times New Roman"/>
          <w:lang w:val="en-GB"/>
        </w:rPr>
        <w:t xml:space="preserve"> </w:t>
      </w:r>
      <w:r w:rsidR="005369B2" w:rsidRPr="007E3A51">
        <w:rPr>
          <w:rFonts w:ascii="Times New Roman" w:hAnsi="Times New Roman" w:cs="Times New Roman"/>
          <w:lang w:val="en-GB"/>
        </w:rPr>
        <w:t>which</w:t>
      </w:r>
      <w:r w:rsidR="004F4C75" w:rsidRPr="007E3A51">
        <w:rPr>
          <w:rFonts w:ascii="Times New Roman" w:hAnsi="Times New Roman" w:cs="Times New Roman"/>
          <w:lang w:val="en-GB"/>
        </w:rPr>
        <w:t xml:space="preserve"> is also crucial for the economy. </w:t>
      </w:r>
      <w:r w:rsidR="008E3C1A" w:rsidRPr="007E3A51">
        <w:rPr>
          <w:rFonts w:ascii="Times New Roman" w:hAnsi="Times New Roman" w:cs="Times New Roman"/>
          <w:lang w:val="en-GB"/>
        </w:rPr>
        <w:t xml:space="preserve">As well, selected crops were chosen since they are essential for ensuring food security and the main export-oriented agricultural products. </w:t>
      </w:r>
      <w:r w:rsidR="00E649ED" w:rsidRPr="007E3A51">
        <w:rPr>
          <w:rFonts w:ascii="Times New Roman" w:hAnsi="Times New Roman" w:cs="Times New Roman"/>
          <w:lang w:val="en-GB"/>
        </w:rPr>
        <w:t>The category of cereal and leguminous crops w</w:t>
      </w:r>
      <w:r w:rsidR="0019246F" w:rsidRPr="007E3A51">
        <w:rPr>
          <w:rFonts w:ascii="Times New Roman" w:hAnsi="Times New Roman" w:cs="Times New Roman"/>
          <w:lang w:val="en-GB"/>
        </w:rPr>
        <w:t>as</w:t>
      </w:r>
      <w:r w:rsidR="00E649ED" w:rsidRPr="007E3A51">
        <w:rPr>
          <w:rFonts w:ascii="Times New Roman" w:hAnsi="Times New Roman" w:cs="Times New Roman"/>
          <w:lang w:val="en-GB"/>
        </w:rPr>
        <w:t xml:space="preserve"> added to the research as it represents</w:t>
      </w:r>
      <w:r w:rsidR="005369B2" w:rsidRPr="007E3A51">
        <w:rPr>
          <w:rFonts w:ascii="Times New Roman" w:hAnsi="Times New Roman" w:cs="Times New Roman"/>
          <w:lang w:val="en-GB"/>
        </w:rPr>
        <w:t>,</w:t>
      </w:r>
      <w:r w:rsidR="00E649ED" w:rsidRPr="007E3A51">
        <w:rPr>
          <w:rFonts w:ascii="Times New Roman" w:hAnsi="Times New Roman" w:cs="Times New Roman"/>
          <w:lang w:val="en-GB"/>
        </w:rPr>
        <w:t xml:space="preserve"> </w:t>
      </w:r>
      <w:r w:rsidR="005369B2" w:rsidRPr="007E3A51">
        <w:rPr>
          <w:rFonts w:ascii="Times New Roman" w:hAnsi="Times New Roman" w:cs="Times New Roman"/>
          <w:lang w:val="en-GB"/>
        </w:rPr>
        <w:t>in addition</w:t>
      </w:r>
      <w:r w:rsidR="00E649ED" w:rsidRPr="007E3A51">
        <w:rPr>
          <w:rFonts w:ascii="Times New Roman" w:hAnsi="Times New Roman" w:cs="Times New Roman"/>
          <w:lang w:val="en-GB"/>
        </w:rPr>
        <w:t xml:space="preserve"> to the above</w:t>
      </w:r>
      <w:r w:rsidR="005369B2" w:rsidRPr="007E3A51">
        <w:rPr>
          <w:rFonts w:ascii="Times New Roman" w:hAnsi="Times New Roman" w:cs="Times New Roman"/>
          <w:lang w:val="en-GB"/>
        </w:rPr>
        <w:t>-</w:t>
      </w:r>
      <w:r w:rsidR="00E649ED" w:rsidRPr="007E3A51">
        <w:rPr>
          <w:rFonts w:ascii="Times New Roman" w:hAnsi="Times New Roman" w:cs="Times New Roman"/>
          <w:lang w:val="en-GB"/>
        </w:rPr>
        <w:t>mentioned reasons</w:t>
      </w:r>
      <w:r w:rsidR="005369B2" w:rsidRPr="007E3A51">
        <w:rPr>
          <w:rFonts w:ascii="Times New Roman" w:hAnsi="Times New Roman" w:cs="Times New Roman"/>
          <w:lang w:val="en-GB"/>
        </w:rPr>
        <w:t>,</w:t>
      </w:r>
      <w:r w:rsidR="00E649ED" w:rsidRPr="007E3A51">
        <w:rPr>
          <w:rFonts w:ascii="Times New Roman" w:hAnsi="Times New Roman" w:cs="Times New Roman"/>
          <w:lang w:val="en-GB"/>
        </w:rPr>
        <w:t xml:space="preserve"> also </w:t>
      </w:r>
      <w:r w:rsidR="005369B2" w:rsidRPr="007E3A51">
        <w:rPr>
          <w:rFonts w:ascii="Times New Roman" w:hAnsi="Times New Roman" w:cs="Times New Roman"/>
          <w:lang w:val="en-GB"/>
        </w:rPr>
        <w:t xml:space="preserve">a </w:t>
      </w:r>
      <w:r w:rsidR="008A41F2" w:rsidRPr="007E3A51">
        <w:rPr>
          <w:rFonts w:ascii="Times New Roman" w:hAnsi="Times New Roman" w:cs="Times New Roman"/>
          <w:lang w:val="en-GB"/>
        </w:rPr>
        <w:t xml:space="preserve">sustainable practice of sole management due to their role in nitrogen fixation. </w:t>
      </w:r>
      <w:r w:rsidR="003F5470" w:rsidRPr="007E3A51">
        <w:rPr>
          <w:rFonts w:ascii="Times New Roman" w:hAnsi="Times New Roman" w:cs="Times New Roman"/>
          <w:lang w:val="en-GB"/>
        </w:rPr>
        <w:t xml:space="preserve">Investigation of </w:t>
      </w:r>
      <w:r w:rsidR="005369B2" w:rsidRPr="007E3A51">
        <w:rPr>
          <w:rFonts w:ascii="Times New Roman" w:hAnsi="Times New Roman" w:cs="Times New Roman"/>
          <w:lang w:val="en-GB"/>
        </w:rPr>
        <w:t xml:space="preserve">the </w:t>
      </w:r>
      <w:r w:rsidR="002E5906" w:rsidRPr="007E3A51">
        <w:rPr>
          <w:rFonts w:ascii="Times New Roman" w:hAnsi="Times New Roman" w:cs="Times New Roman"/>
          <w:lang w:val="en-GB"/>
        </w:rPr>
        <w:t xml:space="preserve">dynamics of soybean and rapeseed </w:t>
      </w:r>
      <w:r w:rsidR="00504A6A" w:rsidRPr="007E3A51">
        <w:rPr>
          <w:rFonts w:ascii="Times New Roman" w:hAnsi="Times New Roman" w:cs="Times New Roman"/>
          <w:lang w:val="en-GB"/>
        </w:rPr>
        <w:t xml:space="preserve">is also acute </w:t>
      </w:r>
      <w:r w:rsidR="008E21DC" w:rsidRPr="007E3A51">
        <w:rPr>
          <w:rFonts w:ascii="Times New Roman" w:hAnsi="Times New Roman" w:cs="Times New Roman"/>
          <w:lang w:val="en-GB"/>
        </w:rPr>
        <w:t xml:space="preserve">because of </w:t>
      </w:r>
      <w:r w:rsidR="005369B2" w:rsidRPr="007E3A51">
        <w:rPr>
          <w:rFonts w:ascii="Times New Roman" w:hAnsi="Times New Roman" w:cs="Times New Roman"/>
          <w:lang w:val="en-GB"/>
        </w:rPr>
        <w:t>their</w:t>
      </w:r>
      <w:r w:rsidR="008E21DC" w:rsidRPr="007E3A51">
        <w:rPr>
          <w:rFonts w:ascii="Times New Roman" w:hAnsi="Times New Roman" w:cs="Times New Roman"/>
          <w:lang w:val="en-GB"/>
        </w:rPr>
        <w:t xml:space="preserve"> great potential in the development of </w:t>
      </w:r>
      <w:r w:rsidR="005369B2" w:rsidRPr="007E3A51">
        <w:rPr>
          <w:rFonts w:ascii="Times New Roman" w:hAnsi="Times New Roman" w:cs="Times New Roman"/>
          <w:lang w:val="en-GB"/>
        </w:rPr>
        <w:t xml:space="preserve">the </w:t>
      </w:r>
      <w:r w:rsidR="008E21DC" w:rsidRPr="007E3A51">
        <w:rPr>
          <w:rFonts w:ascii="Times New Roman" w:hAnsi="Times New Roman" w:cs="Times New Roman"/>
          <w:lang w:val="en-GB"/>
        </w:rPr>
        <w:t xml:space="preserve">Ukrainian bioeconomy. That makes it possible to contribute to </w:t>
      </w:r>
      <w:r w:rsidR="005369B2" w:rsidRPr="007E3A51">
        <w:rPr>
          <w:rFonts w:ascii="Times New Roman" w:hAnsi="Times New Roman" w:cs="Times New Roman"/>
          <w:lang w:val="en-GB"/>
        </w:rPr>
        <w:t xml:space="preserve">the </w:t>
      </w:r>
      <w:r w:rsidR="008E21DC" w:rsidRPr="007E3A51">
        <w:rPr>
          <w:rFonts w:ascii="Times New Roman" w:hAnsi="Times New Roman" w:cs="Times New Roman"/>
          <w:lang w:val="en-GB"/>
        </w:rPr>
        <w:t>production of alternative energy sources and fits within the framework of the implementation of the European Green Deal</w:t>
      </w:r>
      <w:r w:rsidR="00BC1401" w:rsidRPr="007E3A51">
        <w:rPr>
          <w:rFonts w:ascii="Times New Roman" w:hAnsi="Times New Roman" w:cs="Times New Roman"/>
          <w:lang w:val="en-GB"/>
        </w:rPr>
        <w:t xml:space="preserve">. </w:t>
      </w:r>
      <w:r w:rsidR="001E2154" w:rsidRPr="007E3A51">
        <w:rPr>
          <w:rFonts w:ascii="Times New Roman" w:hAnsi="Times New Roman" w:cs="Times New Roman"/>
          <w:lang w:val="en-GB"/>
        </w:rPr>
        <w:t xml:space="preserve">So, it is a great </w:t>
      </w:r>
      <w:r w:rsidR="00767739" w:rsidRPr="007E3A51">
        <w:rPr>
          <w:rFonts w:ascii="Times New Roman" w:hAnsi="Times New Roman" w:cs="Times New Roman"/>
          <w:lang w:val="en-GB"/>
        </w:rPr>
        <w:t xml:space="preserve">input </w:t>
      </w:r>
      <w:r w:rsidR="005369B2" w:rsidRPr="007E3A51">
        <w:rPr>
          <w:rFonts w:ascii="Times New Roman" w:hAnsi="Times New Roman" w:cs="Times New Roman"/>
          <w:lang w:val="en-GB"/>
        </w:rPr>
        <w:t>for</w:t>
      </w:r>
      <w:r w:rsidR="00767739" w:rsidRPr="007E3A51">
        <w:rPr>
          <w:rFonts w:ascii="Times New Roman" w:hAnsi="Times New Roman" w:cs="Times New Roman"/>
          <w:lang w:val="en-GB"/>
        </w:rPr>
        <w:t xml:space="preserve"> deeper integration with the EU. </w:t>
      </w:r>
      <w:r w:rsidR="00616D53" w:rsidRPr="007E3A51">
        <w:rPr>
          <w:rFonts w:ascii="Times New Roman" w:hAnsi="Times New Roman" w:cs="Times New Roman"/>
          <w:lang w:val="en-GB"/>
        </w:rPr>
        <w:t>Deep analy</w:t>
      </w:r>
      <w:r w:rsidR="005369B2" w:rsidRPr="007E3A51">
        <w:rPr>
          <w:rFonts w:ascii="Times New Roman" w:hAnsi="Times New Roman" w:cs="Times New Roman"/>
          <w:lang w:val="en-GB"/>
        </w:rPr>
        <w:t>sis</w:t>
      </w:r>
      <w:r w:rsidR="00616D53" w:rsidRPr="007E3A51">
        <w:rPr>
          <w:rFonts w:ascii="Times New Roman" w:hAnsi="Times New Roman" w:cs="Times New Roman"/>
          <w:lang w:val="en-GB"/>
        </w:rPr>
        <w:t xml:space="preserve"> of </w:t>
      </w:r>
      <w:r w:rsidR="005369B2" w:rsidRPr="007E3A51">
        <w:rPr>
          <w:rFonts w:ascii="Times New Roman" w:hAnsi="Times New Roman" w:cs="Times New Roman"/>
          <w:lang w:val="en-GB"/>
        </w:rPr>
        <w:t xml:space="preserve">the </w:t>
      </w:r>
      <w:r w:rsidR="00616D53" w:rsidRPr="007E3A51">
        <w:rPr>
          <w:rFonts w:ascii="Times New Roman" w:hAnsi="Times New Roman" w:cs="Times New Roman"/>
          <w:lang w:val="en-GB"/>
        </w:rPr>
        <w:t xml:space="preserve">Ukrainian agricultural sector is also </w:t>
      </w:r>
      <w:r w:rsidR="00BC4EDA" w:rsidRPr="007E3A51">
        <w:rPr>
          <w:rFonts w:ascii="Times New Roman" w:hAnsi="Times New Roman" w:cs="Times New Roman"/>
          <w:lang w:val="en-GB"/>
        </w:rPr>
        <w:t xml:space="preserve">justified </w:t>
      </w:r>
      <w:r w:rsidR="00100F86" w:rsidRPr="007E3A51">
        <w:rPr>
          <w:rFonts w:ascii="Times New Roman" w:hAnsi="Times New Roman" w:cs="Times New Roman"/>
          <w:lang w:val="en-GB"/>
        </w:rPr>
        <w:t xml:space="preserve">by </w:t>
      </w:r>
      <w:r w:rsidR="005369B2" w:rsidRPr="007E3A51">
        <w:rPr>
          <w:rFonts w:ascii="Times New Roman" w:hAnsi="Times New Roman" w:cs="Times New Roman"/>
          <w:lang w:val="en-GB"/>
        </w:rPr>
        <w:t xml:space="preserve">the </w:t>
      </w:r>
      <w:r w:rsidR="00100F86" w:rsidRPr="007E3A51">
        <w:rPr>
          <w:rFonts w:ascii="Times New Roman" w:hAnsi="Times New Roman" w:cs="Times New Roman"/>
          <w:lang w:val="en-GB"/>
        </w:rPr>
        <w:t xml:space="preserve">value that this sector plays for our economy. </w:t>
      </w:r>
      <w:r w:rsidR="005369B2" w:rsidRPr="007E3A51">
        <w:rPr>
          <w:rFonts w:ascii="Times New Roman" w:hAnsi="Times New Roman" w:cs="Times New Roman"/>
          <w:lang w:val="en-GB"/>
        </w:rPr>
        <w:t>According to</w:t>
      </w:r>
      <w:r w:rsidR="00100F86" w:rsidRPr="007E3A51">
        <w:rPr>
          <w:rFonts w:ascii="Times New Roman" w:hAnsi="Times New Roman" w:cs="Times New Roman"/>
          <w:lang w:val="en-GB"/>
        </w:rPr>
        <w:t xml:space="preserve"> </w:t>
      </w:r>
      <w:r w:rsidR="007E3816" w:rsidRPr="007E3A51">
        <w:rPr>
          <w:rFonts w:ascii="Times New Roman" w:hAnsi="Times New Roman" w:cs="Times New Roman"/>
          <w:lang w:val="en-GB"/>
        </w:rPr>
        <w:t>scientists</w:t>
      </w:r>
      <w:r w:rsidR="005369B2" w:rsidRPr="007E3A51">
        <w:rPr>
          <w:rFonts w:ascii="Times New Roman" w:hAnsi="Times New Roman" w:cs="Times New Roman"/>
          <w:lang w:val="en-GB"/>
        </w:rPr>
        <w:t>,</w:t>
      </w:r>
      <w:r w:rsidR="00100F86" w:rsidRPr="007E3A51">
        <w:rPr>
          <w:rFonts w:ascii="Times New Roman" w:hAnsi="Times New Roman" w:cs="Times New Roman"/>
          <w:lang w:val="en-GB"/>
        </w:rPr>
        <w:t xml:space="preserve"> agriculture was</w:t>
      </w:r>
      <w:r w:rsidR="00D711D1" w:rsidRPr="007E3A51">
        <w:rPr>
          <w:rFonts w:ascii="Times New Roman" w:hAnsi="Times New Roman" w:cs="Times New Roman"/>
          <w:lang w:val="en-GB"/>
        </w:rPr>
        <w:t xml:space="preserve"> indicated as a key sector of the economy</w:t>
      </w:r>
      <w:r w:rsidR="008A7CA2" w:rsidRPr="007E3A51">
        <w:rPr>
          <w:rFonts w:ascii="Times New Roman" w:hAnsi="Times New Roman" w:cs="Times New Roman"/>
          <w:lang w:val="en-GB"/>
        </w:rPr>
        <w:t xml:space="preserve"> (Cramon-</w:t>
      </w:r>
      <w:proofErr w:type="spellStart"/>
      <w:r w:rsidR="008A7CA2" w:rsidRPr="007E3A51">
        <w:rPr>
          <w:rFonts w:ascii="Times New Roman" w:hAnsi="Times New Roman" w:cs="Times New Roman"/>
          <w:lang w:val="en-GB"/>
        </w:rPr>
        <w:t>Taubadel</w:t>
      </w:r>
      <w:proofErr w:type="spellEnd"/>
      <w:r w:rsidR="008A7CA2" w:rsidRPr="007E3A51">
        <w:rPr>
          <w:rFonts w:ascii="Times New Roman" w:hAnsi="Times New Roman" w:cs="Times New Roman"/>
          <w:lang w:val="en-GB"/>
        </w:rPr>
        <w:t xml:space="preserve"> et al. 2023)</w:t>
      </w:r>
      <w:r w:rsidR="00D711D1" w:rsidRPr="007E3A51">
        <w:rPr>
          <w:rFonts w:ascii="Times New Roman" w:hAnsi="Times New Roman" w:cs="Times New Roman"/>
          <w:lang w:val="en-GB"/>
        </w:rPr>
        <w:t xml:space="preserve">. </w:t>
      </w:r>
      <w:r w:rsidR="008A7CA2" w:rsidRPr="007E3A51">
        <w:rPr>
          <w:rFonts w:ascii="Times New Roman" w:hAnsi="Times New Roman" w:cs="Times New Roman"/>
          <w:lang w:val="en-GB"/>
        </w:rPr>
        <w:t xml:space="preserve">This highlights </w:t>
      </w:r>
      <w:r w:rsidR="005369B2" w:rsidRPr="007E3A51">
        <w:rPr>
          <w:rFonts w:ascii="Times New Roman" w:hAnsi="Times New Roman" w:cs="Times New Roman"/>
          <w:lang w:val="en-GB"/>
        </w:rPr>
        <w:t>the</w:t>
      </w:r>
      <w:r w:rsidR="008A7CA2" w:rsidRPr="007E3A51">
        <w:rPr>
          <w:rFonts w:ascii="Times New Roman" w:hAnsi="Times New Roman" w:cs="Times New Roman"/>
          <w:lang w:val="en-GB"/>
        </w:rPr>
        <w:t xml:space="preserve"> great importance of investigati</w:t>
      </w:r>
      <w:r w:rsidR="005369B2" w:rsidRPr="007E3A51">
        <w:rPr>
          <w:rFonts w:ascii="Times New Roman" w:hAnsi="Times New Roman" w:cs="Times New Roman"/>
          <w:lang w:val="en-GB"/>
        </w:rPr>
        <w:t>ng</w:t>
      </w:r>
      <w:r w:rsidR="008A7CA2" w:rsidRPr="007E3A51">
        <w:rPr>
          <w:rFonts w:ascii="Times New Roman" w:hAnsi="Times New Roman" w:cs="Times New Roman"/>
          <w:lang w:val="en-GB"/>
        </w:rPr>
        <w:t xml:space="preserve"> this issue.</w:t>
      </w:r>
    </w:p>
    <w:p w14:paraId="0FF74C7C" w14:textId="77777777" w:rsidR="00E3149F" w:rsidRPr="007E3A51" w:rsidRDefault="00E3149F" w:rsidP="00E3149F">
      <w:pPr>
        <w:spacing w:after="0" w:line="240" w:lineRule="auto"/>
        <w:ind w:firstLine="284"/>
        <w:jc w:val="both"/>
        <w:rPr>
          <w:rFonts w:ascii="Times New Roman" w:hAnsi="Times New Roman" w:cs="Times New Roman"/>
          <w:lang w:val="en-GB"/>
        </w:rPr>
      </w:pPr>
    </w:p>
    <w:p w14:paraId="0B9B8CBE" w14:textId="77777777" w:rsidR="0044738D" w:rsidRPr="007E3A51" w:rsidRDefault="0044738D" w:rsidP="00D023BF">
      <w:pPr>
        <w:spacing w:after="0" w:line="240" w:lineRule="auto"/>
        <w:jc w:val="both"/>
        <w:rPr>
          <w:sz w:val="20"/>
          <w:szCs w:val="20"/>
          <w:lang w:val="en-GB"/>
        </w:rPr>
      </w:pPr>
      <w:r w:rsidRPr="007E3A51">
        <w:rPr>
          <w:noProof/>
          <w:lang w:val="en-GB"/>
          <w14:ligatures w14:val="standardContextual"/>
        </w:rPr>
        <w:drawing>
          <wp:inline distT="0" distB="0" distL="0" distR="0" wp14:anchorId="7CE217E4" wp14:editId="27FFEE92">
            <wp:extent cx="6120130" cy="2955341"/>
            <wp:effectExtent l="0" t="0" r="13970" b="16510"/>
            <wp:docPr id="1968434271" name="Chart 1">
              <a:extLst xmlns:a="http://schemas.openxmlformats.org/drawingml/2006/main">
                <a:ext uri="{FF2B5EF4-FFF2-40B4-BE49-F238E27FC236}">
                  <a16:creationId xmlns:a16="http://schemas.microsoft.com/office/drawing/2014/main" id="{BCA7DB70-A97F-C515-1095-87FAA4F6C9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7318D5" w14:textId="348D61EA" w:rsidR="0044738D" w:rsidRPr="007E3A51" w:rsidRDefault="0044738D" w:rsidP="00315868">
      <w:pPr>
        <w:pStyle w:val="Rrys"/>
        <w:rPr>
          <w:lang w:val="en-GB"/>
        </w:rPr>
      </w:pPr>
      <w:r w:rsidRPr="007E3A51">
        <w:rPr>
          <w:b/>
          <w:bCs/>
          <w:lang w:val="en-GB"/>
        </w:rPr>
        <w:t>Fig</w:t>
      </w:r>
      <w:r w:rsidR="00C4348F" w:rsidRPr="007E3A51">
        <w:rPr>
          <w:b/>
          <w:bCs/>
          <w:lang w:val="en-GB"/>
        </w:rPr>
        <w:t xml:space="preserve">. </w:t>
      </w:r>
      <w:r w:rsidRPr="007E3A51">
        <w:rPr>
          <w:b/>
          <w:bCs/>
          <w:lang w:val="en-GB"/>
        </w:rPr>
        <w:t>2.</w:t>
      </w:r>
      <w:r w:rsidRPr="007E3A51">
        <w:rPr>
          <w:lang w:val="en-GB"/>
        </w:rPr>
        <w:t xml:space="preserve"> Harvested area of annual and biennial crops in Ukraine, 2019-2023 (thousand hectares)</w:t>
      </w:r>
    </w:p>
    <w:p w14:paraId="688BC42E" w14:textId="2D1BB0FE" w:rsidR="00474D5C" w:rsidRPr="007E3A51" w:rsidRDefault="0044738D" w:rsidP="00D023BF">
      <w:pPr>
        <w:spacing w:before="60" w:after="0" w:line="240" w:lineRule="auto"/>
        <w:jc w:val="both"/>
        <w:rPr>
          <w:rFonts w:ascii="Times New Roman" w:hAnsi="Times New Roman" w:cs="Times New Roman"/>
          <w:sz w:val="20"/>
          <w:szCs w:val="20"/>
          <w:lang w:val="en-GB"/>
        </w:rPr>
      </w:pPr>
      <w:r w:rsidRPr="007E3A51">
        <w:rPr>
          <w:rFonts w:ascii="Times New Roman" w:hAnsi="Times New Roman" w:cs="Times New Roman"/>
          <w:sz w:val="20"/>
          <w:szCs w:val="20"/>
          <w:lang w:val="en-GB"/>
        </w:rPr>
        <w:t>Source: compiled by the authors based on data from the State Statistics Service</w:t>
      </w:r>
    </w:p>
    <w:p w14:paraId="4DE2E58A" w14:textId="77777777" w:rsidR="0044738D" w:rsidRPr="007E3A51" w:rsidRDefault="0044738D" w:rsidP="00D023BF">
      <w:pPr>
        <w:spacing w:after="0" w:line="240" w:lineRule="auto"/>
        <w:jc w:val="both"/>
        <w:rPr>
          <w:sz w:val="20"/>
          <w:szCs w:val="20"/>
          <w:lang w:val="en-GB"/>
        </w:rPr>
      </w:pPr>
      <w:r w:rsidRPr="007E3A51">
        <w:rPr>
          <w:noProof/>
          <w:lang w:val="en-GB"/>
          <w14:ligatures w14:val="standardContextual"/>
        </w:rPr>
        <w:lastRenderedPageBreak/>
        <w:drawing>
          <wp:inline distT="0" distB="0" distL="0" distR="0" wp14:anchorId="199F3A49" wp14:editId="19015280">
            <wp:extent cx="6120130" cy="3350895"/>
            <wp:effectExtent l="0" t="0" r="13970" b="14605"/>
            <wp:docPr id="1493477378" name="Chart 1">
              <a:extLst xmlns:a="http://schemas.openxmlformats.org/drawingml/2006/main">
                <a:ext uri="{FF2B5EF4-FFF2-40B4-BE49-F238E27FC236}">
                  <a16:creationId xmlns:a16="http://schemas.microsoft.com/office/drawing/2014/main" id="{4FA23BD6-C3DE-3C47-9F6C-36CEA29BA1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48CB262" w14:textId="0974BCAB" w:rsidR="0044738D" w:rsidRPr="007E3A51" w:rsidRDefault="0044738D" w:rsidP="00315868">
      <w:pPr>
        <w:pStyle w:val="Rrys"/>
        <w:rPr>
          <w:lang w:val="en-GB"/>
        </w:rPr>
      </w:pPr>
      <w:r w:rsidRPr="007E3A51">
        <w:rPr>
          <w:b/>
          <w:bCs/>
          <w:lang w:val="en-GB"/>
        </w:rPr>
        <w:t>Fig</w:t>
      </w:r>
      <w:r w:rsidR="00AF2A57" w:rsidRPr="007E3A51">
        <w:rPr>
          <w:b/>
          <w:bCs/>
          <w:lang w:val="en-GB"/>
        </w:rPr>
        <w:t>.</w:t>
      </w:r>
      <w:r w:rsidRPr="007E3A51">
        <w:rPr>
          <w:b/>
          <w:bCs/>
          <w:lang w:val="en-GB"/>
        </w:rPr>
        <w:t xml:space="preserve"> 3. </w:t>
      </w:r>
      <w:r w:rsidRPr="007E3A51">
        <w:rPr>
          <w:lang w:val="en-GB"/>
        </w:rPr>
        <w:t>Production volume (gross harvest) of annual and biennial crops in Ukraine, 2019-2023 (thousand centners)</w:t>
      </w:r>
    </w:p>
    <w:p w14:paraId="74A40582" w14:textId="77777777" w:rsidR="0044738D" w:rsidRPr="007E3A51" w:rsidRDefault="0044738D" w:rsidP="00D023BF">
      <w:pPr>
        <w:spacing w:before="60" w:after="0" w:line="240" w:lineRule="auto"/>
        <w:jc w:val="both"/>
        <w:rPr>
          <w:rFonts w:ascii="Times New Roman" w:hAnsi="Times New Roman" w:cs="Times New Roman"/>
          <w:sz w:val="20"/>
          <w:szCs w:val="20"/>
          <w:lang w:val="en-GB"/>
        </w:rPr>
      </w:pPr>
      <w:r w:rsidRPr="007E3A51">
        <w:rPr>
          <w:rFonts w:ascii="Times New Roman" w:hAnsi="Times New Roman" w:cs="Times New Roman"/>
          <w:sz w:val="20"/>
          <w:szCs w:val="20"/>
          <w:lang w:val="en-GB"/>
        </w:rPr>
        <w:t>Source: compiled by the authors based on data from the State Statistics Service</w:t>
      </w:r>
    </w:p>
    <w:p w14:paraId="03582FDD" w14:textId="77777777" w:rsidR="00881E73" w:rsidRPr="007E3A51" w:rsidRDefault="00881E73" w:rsidP="00417DD6">
      <w:pPr>
        <w:spacing w:after="0" w:line="240" w:lineRule="auto"/>
        <w:ind w:firstLine="284"/>
        <w:jc w:val="both"/>
        <w:rPr>
          <w:rFonts w:ascii="Times New Roman" w:hAnsi="Times New Roman" w:cs="Times New Roman"/>
          <w:lang w:val="en-GB"/>
        </w:rPr>
      </w:pPr>
    </w:p>
    <w:p w14:paraId="53743700" w14:textId="47407FEE" w:rsidR="0044738D" w:rsidRPr="007E3A51" w:rsidRDefault="0044738D" w:rsidP="00417DD6">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Thus, the analysis of the harvested </w:t>
      </w:r>
      <w:r w:rsidR="00DD16D2" w:rsidRPr="007E3A51">
        <w:rPr>
          <w:rFonts w:ascii="Times New Roman" w:hAnsi="Times New Roman" w:cs="Times New Roman"/>
          <w:lang w:val="en-GB"/>
        </w:rPr>
        <w:t xml:space="preserve">area </w:t>
      </w:r>
      <w:r w:rsidR="00EB462C" w:rsidRPr="007E3A51">
        <w:rPr>
          <w:rFonts w:ascii="Times New Roman" w:hAnsi="Times New Roman" w:cs="Times New Roman"/>
          <w:lang w:val="en-GB"/>
        </w:rPr>
        <w:t xml:space="preserve">of </w:t>
      </w:r>
      <w:r w:rsidRPr="007E3A51">
        <w:rPr>
          <w:rFonts w:ascii="Times New Roman" w:hAnsi="Times New Roman" w:cs="Times New Roman"/>
          <w:lang w:val="en-GB"/>
        </w:rPr>
        <w:t xml:space="preserve">annual and biennial crops (thousand hectares) during 2019-2023 allows us to see relatively stable dynamics </w:t>
      </w:r>
      <w:r w:rsidR="000F4490" w:rsidRPr="007E3A51">
        <w:rPr>
          <w:rFonts w:ascii="Times New Roman" w:hAnsi="Times New Roman" w:cs="Times New Roman"/>
          <w:lang w:val="en-GB"/>
        </w:rPr>
        <w:t>in</w:t>
      </w:r>
      <w:r w:rsidRPr="007E3A51">
        <w:rPr>
          <w:rFonts w:ascii="Times New Roman" w:hAnsi="Times New Roman" w:cs="Times New Roman"/>
          <w:lang w:val="en-GB"/>
        </w:rPr>
        <w:t xml:space="preserve"> 2019-2021 for all selected crops, except for soybeans and rapeseed, the harvested areas of which increased during the given period. Both of these crops are </w:t>
      </w:r>
      <w:r w:rsidR="00254F1A" w:rsidRPr="007E3A51">
        <w:rPr>
          <w:rFonts w:ascii="Times New Roman" w:hAnsi="Times New Roman" w:cs="Times New Roman"/>
          <w:lang w:val="en-GB"/>
        </w:rPr>
        <w:t>important component</w:t>
      </w:r>
      <w:r w:rsidR="005369B2" w:rsidRPr="007E3A51">
        <w:rPr>
          <w:rFonts w:ascii="Times New Roman" w:hAnsi="Times New Roman" w:cs="Times New Roman"/>
          <w:lang w:val="en-GB"/>
        </w:rPr>
        <w:t>s</w:t>
      </w:r>
      <w:r w:rsidR="00254F1A" w:rsidRPr="007E3A51">
        <w:rPr>
          <w:rFonts w:ascii="Times New Roman" w:hAnsi="Times New Roman" w:cs="Times New Roman"/>
          <w:lang w:val="en-GB"/>
        </w:rPr>
        <w:t xml:space="preserve"> of Ukraine</w:t>
      </w:r>
      <w:r w:rsidR="005369B2" w:rsidRPr="007E3A51">
        <w:rPr>
          <w:rFonts w:ascii="Times New Roman" w:hAnsi="Times New Roman" w:cs="Times New Roman"/>
          <w:lang w:val="en-GB"/>
        </w:rPr>
        <w:t>'</w:t>
      </w:r>
      <w:r w:rsidR="00254F1A" w:rsidRPr="007E3A51">
        <w:rPr>
          <w:rFonts w:ascii="Times New Roman" w:hAnsi="Times New Roman" w:cs="Times New Roman"/>
          <w:lang w:val="en-GB"/>
        </w:rPr>
        <w:t>s exports</w:t>
      </w:r>
      <w:r w:rsidRPr="007E3A51">
        <w:rPr>
          <w:rFonts w:ascii="Times New Roman" w:hAnsi="Times New Roman" w:cs="Times New Roman"/>
          <w:lang w:val="en-GB"/>
        </w:rPr>
        <w:t xml:space="preserve">, and also play a significant role in the transition to sustainable production and the development of the bioeconomy. In 2023, the dynamics of this indicator maintained the same trends </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a decrease was noted for all crops, except for these two. </w:t>
      </w:r>
      <w:r w:rsidR="005C73AB" w:rsidRPr="007E3A51">
        <w:rPr>
          <w:rFonts w:ascii="Times New Roman" w:hAnsi="Times New Roman" w:cs="Times New Roman"/>
          <w:lang w:val="en-GB"/>
        </w:rPr>
        <w:t xml:space="preserve">The harvested areas </w:t>
      </w:r>
      <w:r w:rsidR="000B10C3" w:rsidRPr="007E3A51">
        <w:rPr>
          <w:rFonts w:ascii="Times New Roman" w:hAnsi="Times New Roman" w:cs="Times New Roman"/>
          <w:lang w:val="en-GB"/>
        </w:rPr>
        <w:t>of s</w:t>
      </w:r>
      <w:r w:rsidRPr="007E3A51">
        <w:rPr>
          <w:rFonts w:ascii="Times New Roman" w:hAnsi="Times New Roman" w:cs="Times New Roman"/>
          <w:lang w:val="en-GB"/>
        </w:rPr>
        <w:t>oybeans and rapeseed, on the contrary, increased quite noticeably (by 20.09% and 23.82%, respectively).</w:t>
      </w:r>
    </w:p>
    <w:p w14:paraId="2C6ECEB2" w14:textId="434484EE" w:rsidR="0044738D" w:rsidRPr="007E3A51" w:rsidRDefault="0044738D" w:rsidP="00417DD6">
      <w:pPr>
        <w:spacing w:after="0" w:line="240" w:lineRule="auto"/>
        <w:ind w:firstLine="284"/>
        <w:jc w:val="both"/>
        <w:rPr>
          <w:rFonts w:ascii="Times New Roman" w:hAnsi="Times New Roman" w:cs="Times New Roman"/>
          <w:noProof/>
          <w:lang w:val="en-GB"/>
          <w14:ligatures w14:val="standardContextual"/>
        </w:rPr>
      </w:pPr>
      <w:r w:rsidRPr="007E3A51">
        <w:rPr>
          <w:rFonts w:ascii="Times New Roman" w:hAnsi="Times New Roman" w:cs="Times New Roman"/>
          <w:noProof/>
          <w:lang w:val="en-GB"/>
          <w14:ligatures w14:val="standardContextual"/>
        </w:rPr>
        <w:t xml:space="preserve">An important indicator that affects the country's food security and characterizes the agri-food sector is the volume of production or gross harvest of crops. The trends of this indicator do not coincide with the dynamics of the previous one: in 2020, all crops had negative dynamics with gross harvest, and already in 2021, the absolute </w:t>
      </w:r>
      <w:r w:rsidR="004140ED" w:rsidRPr="007E3A51">
        <w:rPr>
          <w:rFonts w:ascii="Times New Roman" w:hAnsi="Times New Roman" w:cs="Times New Roman"/>
          <w:noProof/>
          <w:lang w:val="en-GB"/>
          <w14:ligatures w14:val="standardContextual"/>
        </w:rPr>
        <w:t>growth</w:t>
      </w:r>
      <w:r w:rsidRPr="007E3A51">
        <w:rPr>
          <w:rFonts w:ascii="Times New Roman" w:hAnsi="Times New Roman" w:cs="Times New Roman"/>
          <w:noProof/>
          <w:lang w:val="en-GB"/>
          <w14:ligatures w14:val="standardContextual"/>
        </w:rPr>
        <w:t xml:space="preserve"> in production volume was positive. In 2022, there was a decrease in the gross harvest of almost all analyzed crops, except</w:t>
      </w:r>
      <w:r w:rsidR="00EA39B2" w:rsidRPr="007E3A51">
        <w:rPr>
          <w:rFonts w:ascii="Times New Roman" w:hAnsi="Times New Roman" w:cs="Times New Roman"/>
          <w:noProof/>
          <w:lang w:val="en-GB"/>
          <w14:ligatures w14:val="standardContextual"/>
        </w:rPr>
        <w:t xml:space="preserve"> </w:t>
      </w:r>
      <w:r w:rsidRPr="007E3A51">
        <w:rPr>
          <w:rFonts w:ascii="Times New Roman" w:hAnsi="Times New Roman" w:cs="Times New Roman"/>
          <w:noProof/>
          <w:lang w:val="en-GB"/>
          <w14:ligatures w14:val="standardContextual"/>
        </w:rPr>
        <w:t xml:space="preserve">rapeseed, the production volume of which increased by 12.9% compared to the previous year. </w:t>
      </w:r>
      <w:r w:rsidR="001A4544" w:rsidRPr="007E3A51">
        <w:rPr>
          <w:rFonts w:ascii="Times New Roman" w:hAnsi="Times New Roman" w:cs="Times New Roman"/>
          <w:noProof/>
          <w:lang w:val="en-GB"/>
          <w14:ligatures w14:val="standardContextual"/>
        </w:rPr>
        <w:t>For</w:t>
      </w:r>
      <w:r w:rsidRPr="007E3A51">
        <w:rPr>
          <w:rFonts w:ascii="Times New Roman" w:hAnsi="Times New Roman" w:cs="Times New Roman"/>
          <w:noProof/>
          <w:lang w:val="en-GB"/>
          <w14:ligatures w14:val="standardContextual"/>
        </w:rPr>
        <w:t xml:space="preserve"> soybean</w:t>
      </w:r>
      <w:r w:rsidR="002C7FB1" w:rsidRPr="007E3A51">
        <w:rPr>
          <w:rFonts w:ascii="Times New Roman" w:hAnsi="Times New Roman" w:cs="Times New Roman"/>
          <w:noProof/>
          <w:lang w:val="en-GB"/>
          <w14:ligatures w14:val="standardContextual"/>
        </w:rPr>
        <w:t>s</w:t>
      </w:r>
      <w:r w:rsidRPr="007E3A51">
        <w:rPr>
          <w:rFonts w:ascii="Times New Roman" w:hAnsi="Times New Roman" w:cs="Times New Roman"/>
          <w:noProof/>
          <w:lang w:val="en-GB"/>
          <w14:ligatures w14:val="standardContextual"/>
        </w:rPr>
        <w:t xml:space="preserve">, production indicators </w:t>
      </w:r>
      <w:r w:rsidR="0041441E" w:rsidRPr="007E3A51">
        <w:rPr>
          <w:rFonts w:ascii="Times New Roman" w:hAnsi="Times New Roman" w:cs="Times New Roman"/>
          <w:noProof/>
          <w:lang w:val="en-GB"/>
          <w14:ligatures w14:val="standardContextual"/>
        </w:rPr>
        <w:t>were</w:t>
      </w:r>
      <w:r w:rsidRPr="007E3A51">
        <w:rPr>
          <w:rFonts w:ascii="Times New Roman" w:hAnsi="Times New Roman" w:cs="Times New Roman"/>
          <w:noProof/>
          <w:lang w:val="en-GB"/>
          <w14:ligatures w14:val="standardContextual"/>
        </w:rPr>
        <w:t xml:space="preserve"> negative (a dec</w:t>
      </w:r>
      <w:r w:rsidR="00BA00A8" w:rsidRPr="007E3A51">
        <w:rPr>
          <w:rFonts w:ascii="Times New Roman" w:hAnsi="Times New Roman" w:cs="Times New Roman"/>
          <w:noProof/>
          <w:lang w:val="en-GB"/>
          <w14:ligatures w14:val="standardContextual"/>
        </w:rPr>
        <w:t>line</w:t>
      </w:r>
      <w:r w:rsidRPr="007E3A51">
        <w:rPr>
          <w:rFonts w:ascii="Times New Roman" w:hAnsi="Times New Roman" w:cs="Times New Roman"/>
          <w:noProof/>
          <w:lang w:val="en-GB"/>
          <w14:ligatures w14:val="standardContextual"/>
        </w:rPr>
        <w:t xml:space="preserve"> of 1.41%), despite the increase in harvested areas. The dynamics in 2023 </w:t>
      </w:r>
      <w:r w:rsidR="0061345B" w:rsidRPr="007E3A51">
        <w:rPr>
          <w:rFonts w:ascii="Times New Roman" w:hAnsi="Times New Roman" w:cs="Times New Roman"/>
          <w:noProof/>
          <w:lang w:val="en-GB"/>
          <w14:ligatures w14:val="standardContextual"/>
        </w:rPr>
        <w:t>we</w:t>
      </w:r>
      <w:r w:rsidRPr="007E3A51">
        <w:rPr>
          <w:rFonts w:ascii="Times New Roman" w:hAnsi="Times New Roman" w:cs="Times New Roman"/>
          <w:noProof/>
          <w:lang w:val="en-GB"/>
          <w14:ligatures w14:val="standardContextual"/>
        </w:rPr>
        <w:t>re positive for almost all crops, except for barley and rye (a decrease of 1.8% and 26.38%, respectively).</w:t>
      </w:r>
    </w:p>
    <w:p w14:paraId="31FC5862" w14:textId="4F76D966" w:rsidR="0044738D" w:rsidRPr="007E3A51" w:rsidRDefault="0044738D" w:rsidP="00417DD6">
      <w:pPr>
        <w:spacing w:after="0" w:line="240" w:lineRule="auto"/>
        <w:ind w:firstLine="284"/>
        <w:jc w:val="both"/>
        <w:rPr>
          <w:rFonts w:ascii="Times New Roman" w:hAnsi="Times New Roman" w:cs="Times New Roman"/>
          <w:noProof/>
          <w:lang w:val="en-GB"/>
          <w14:ligatures w14:val="standardContextual"/>
        </w:rPr>
      </w:pPr>
      <w:r w:rsidRPr="007E3A51">
        <w:rPr>
          <w:rFonts w:ascii="Times New Roman" w:hAnsi="Times New Roman" w:cs="Times New Roman"/>
          <w:noProof/>
          <w:lang w:val="en-GB"/>
          <w14:ligatures w14:val="standardContextual"/>
        </w:rPr>
        <w:t xml:space="preserve">For a more thorough analysis of the development of the agri-food sector and the prerequisites for the development of food security in Ukraine, we also examine the yield index of the </w:t>
      </w:r>
      <w:r w:rsidR="00825346" w:rsidRPr="007E3A51">
        <w:rPr>
          <w:rFonts w:ascii="Times New Roman" w:hAnsi="Times New Roman" w:cs="Times New Roman"/>
          <w:noProof/>
          <w:lang w:val="en-GB"/>
          <w14:ligatures w14:val="standardContextual"/>
        </w:rPr>
        <w:t xml:space="preserve">selected </w:t>
      </w:r>
      <w:r w:rsidRPr="007E3A51">
        <w:rPr>
          <w:rFonts w:ascii="Times New Roman" w:hAnsi="Times New Roman" w:cs="Times New Roman"/>
          <w:noProof/>
          <w:lang w:val="en-GB"/>
          <w14:ligatures w14:val="standardContextual"/>
        </w:rPr>
        <w:t>crops (Fig. 4).</w:t>
      </w:r>
    </w:p>
    <w:p w14:paraId="514A5A07" w14:textId="7E893438" w:rsidR="00D023BF" w:rsidRPr="007E3A51" w:rsidRDefault="00D023BF" w:rsidP="00D023B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Data on the dynamics of the yield of the studied crops differ slightly from the previous indicators. Thus, in 2020, a decrease in yield could be noted for all crops, except rye (an increase by 14.88%). The decline in yield was uneven across crops: the largest decreases in yield w</w:t>
      </w:r>
      <w:r w:rsidR="005369B2" w:rsidRPr="007E3A51">
        <w:rPr>
          <w:rFonts w:ascii="Times New Roman" w:hAnsi="Times New Roman" w:cs="Times New Roman"/>
          <w:lang w:val="en-GB"/>
        </w:rPr>
        <w:t>ere</w:t>
      </w:r>
      <w:r w:rsidRPr="007E3A51">
        <w:rPr>
          <w:rFonts w:ascii="Times New Roman" w:hAnsi="Times New Roman" w:cs="Times New Roman"/>
          <w:lang w:val="en-GB"/>
        </w:rPr>
        <w:t xml:space="preserve"> recorded for maize and sunflower (21.84% and 21.09%, respectively), and the smallest for barley and wheat (5.85% and 8.65%, respectively). In 2021, the yield of all crops increased with a minimum of 3.92% in rye and a maximum of 36.65% in maize. 2022 was marked by a decrease across all </w:t>
      </w:r>
      <w:proofErr w:type="spellStart"/>
      <w:r w:rsidRPr="007E3A51">
        <w:rPr>
          <w:rFonts w:ascii="Times New Roman" w:hAnsi="Times New Roman" w:cs="Times New Roman"/>
          <w:lang w:val="en-GB"/>
        </w:rPr>
        <w:t>analyzed</w:t>
      </w:r>
      <w:proofErr w:type="spellEnd"/>
      <w:r w:rsidRPr="007E3A51">
        <w:rPr>
          <w:rFonts w:ascii="Times New Roman" w:hAnsi="Times New Roman" w:cs="Times New Roman"/>
          <w:lang w:val="en-GB"/>
        </w:rPr>
        <w:t xml:space="preserve"> crops (the minimum decrease in rapeseed was 2.05% and the maximum in maize was 17.32%). In the year following the full-scale invasion – 2023 – all crops, except rye, showed an increase in yield compared to the previous year and a return to pre-pandemic levels. </w:t>
      </w:r>
    </w:p>
    <w:p w14:paraId="6CC03883" w14:textId="77777777" w:rsidR="00417DD6" w:rsidRPr="007E3A51" w:rsidRDefault="00417DD6" w:rsidP="00417DD6">
      <w:pPr>
        <w:spacing w:after="0" w:line="240" w:lineRule="auto"/>
        <w:ind w:firstLine="284"/>
        <w:jc w:val="both"/>
        <w:rPr>
          <w:rFonts w:ascii="Times New Roman" w:hAnsi="Times New Roman" w:cs="Times New Roman"/>
          <w:noProof/>
          <w:lang w:val="en-GB"/>
          <w14:ligatures w14:val="standardContextual"/>
        </w:rPr>
      </w:pPr>
    </w:p>
    <w:p w14:paraId="38D779A6" w14:textId="77777777" w:rsidR="0044738D" w:rsidRPr="007E3A51" w:rsidRDefault="0044738D" w:rsidP="00D023BF">
      <w:pPr>
        <w:spacing w:after="0" w:line="240" w:lineRule="auto"/>
        <w:jc w:val="both"/>
        <w:rPr>
          <w:sz w:val="20"/>
          <w:szCs w:val="20"/>
          <w:lang w:val="en-GB"/>
        </w:rPr>
      </w:pPr>
      <w:r w:rsidRPr="007E3A51">
        <w:rPr>
          <w:noProof/>
          <w:lang w:val="en-GB"/>
          <w14:ligatures w14:val="standardContextual"/>
        </w:rPr>
        <w:lastRenderedPageBreak/>
        <w:drawing>
          <wp:inline distT="0" distB="0" distL="0" distR="0" wp14:anchorId="66A0EB81" wp14:editId="71D53C80">
            <wp:extent cx="6120130" cy="3434080"/>
            <wp:effectExtent l="0" t="0" r="13970" b="7620"/>
            <wp:docPr id="1439805733" name="Chart 1">
              <a:extLst xmlns:a="http://schemas.openxmlformats.org/drawingml/2006/main">
                <a:ext uri="{FF2B5EF4-FFF2-40B4-BE49-F238E27FC236}">
                  <a16:creationId xmlns:a16="http://schemas.microsoft.com/office/drawing/2014/main" id="{03F78DB0-17C5-2945-9A8A-FD0DE1198B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62AB2C" w14:textId="3305E5E1" w:rsidR="0044738D" w:rsidRPr="007E3A51" w:rsidRDefault="0044738D" w:rsidP="00315868">
      <w:pPr>
        <w:pStyle w:val="Rrys"/>
        <w:rPr>
          <w:lang w:val="en-GB"/>
        </w:rPr>
      </w:pPr>
      <w:r w:rsidRPr="007E3A51">
        <w:rPr>
          <w:b/>
          <w:bCs/>
          <w:lang w:val="en-GB"/>
        </w:rPr>
        <w:t>Fig</w:t>
      </w:r>
      <w:r w:rsidR="00BB7947" w:rsidRPr="007E3A51">
        <w:rPr>
          <w:b/>
          <w:bCs/>
          <w:lang w:val="en-GB"/>
        </w:rPr>
        <w:t xml:space="preserve">. </w:t>
      </w:r>
      <w:r w:rsidRPr="007E3A51">
        <w:rPr>
          <w:b/>
          <w:bCs/>
          <w:lang w:val="en-GB"/>
        </w:rPr>
        <w:t>4.</w:t>
      </w:r>
      <w:r w:rsidRPr="007E3A51">
        <w:rPr>
          <w:lang w:val="en-GB"/>
        </w:rPr>
        <w:t xml:space="preserve"> Yield of annual and biennial crops in Ukraine, 2019-2023 (c/ha)</w:t>
      </w:r>
    </w:p>
    <w:p w14:paraId="0D4D96F9" w14:textId="77777777" w:rsidR="0044738D" w:rsidRPr="007E3A51" w:rsidRDefault="0044738D" w:rsidP="00D023BF">
      <w:pPr>
        <w:spacing w:before="60" w:after="0" w:line="240" w:lineRule="auto"/>
        <w:jc w:val="both"/>
        <w:rPr>
          <w:rFonts w:ascii="Times New Roman" w:hAnsi="Times New Roman" w:cs="Times New Roman"/>
          <w:sz w:val="20"/>
          <w:szCs w:val="20"/>
          <w:lang w:val="en-GB"/>
        </w:rPr>
      </w:pPr>
      <w:r w:rsidRPr="007E3A51">
        <w:rPr>
          <w:rFonts w:ascii="Times New Roman" w:hAnsi="Times New Roman" w:cs="Times New Roman"/>
          <w:sz w:val="20"/>
          <w:szCs w:val="20"/>
          <w:lang w:val="en-GB"/>
        </w:rPr>
        <w:t>Source: compiled by the authors based on data from the State Statistics Service</w:t>
      </w:r>
    </w:p>
    <w:p w14:paraId="655F7916" w14:textId="77777777" w:rsidR="005E5E60" w:rsidRPr="007E3A51" w:rsidRDefault="005E5E60" w:rsidP="00417DD6">
      <w:pPr>
        <w:spacing w:after="0" w:line="240" w:lineRule="auto"/>
        <w:ind w:firstLine="284"/>
        <w:jc w:val="both"/>
        <w:rPr>
          <w:rFonts w:ascii="Times New Roman" w:hAnsi="Times New Roman" w:cs="Times New Roman"/>
          <w:lang w:val="en-GB"/>
        </w:rPr>
      </w:pPr>
    </w:p>
    <w:p w14:paraId="74A575B7" w14:textId="1C608A73" w:rsidR="0044738D" w:rsidRPr="007E3A51" w:rsidRDefault="0044738D" w:rsidP="00417DD6">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Table 3</w:t>
      </w:r>
      <w:r w:rsidR="00D16EAF" w:rsidRPr="007E3A51">
        <w:rPr>
          <w:rFonts w:ascii="Times New Roman" w:hAnsi="Times New Roman" w:cs="Times New Roman"/>
          <w:lang w:val="en-GB"/>
        </w:rPr>
        <w:t xml:space="preserve"> presents</w:t>
      </w:r>
      <w:r w:rsidRPr="007E3A51">
        <w:rPr>
          <w:rFonts w:ascii="Times New Roman" w:hAnsi="Times New Roman" w:cs="Times New Roman"/>
          <w:lang w:val="en-GB"/>
        </w:rPr>
        <w:t xml:space="preserve"> </w:t>
      </w:r>
      <w:r w:rsidR="005369B2" w:rsidRPr="007E3A51">
        <w:rPr>
          <w:rFonts w:ascii="Times New Roman" w:hAnsi="Times New Roman" w:cs="Times New Roman"/>
          <w:lang w:val="en-GB"/>
        </w:rPr>
        <w:t xml:space="preserve">the </w:t>
      </w:r>
      <w:r w:rsidRPr="007E3A51">
        <w:rPr>
          <w:rFonts w:ascii="Times New Roman" w:hAnsi="Times New Roman" w:cs="Times New Roman"/>
          <w:lang w:val="en-GB"/>
        </w:rPr>
        <w:t>calculat</w:t>
      </w:r>
      <w:r w:rsidR="00D16EAF" w:rsidRPr="007E3A51">
        <w:rPr>
          <w:rFonts w:ascii="Times New Roman" w:hAnsi="Times New Roman" w:cs="Times New Roman"/>
          <w:lang w:val="en-GB"/>
        </w:rPr>
        <w:t>ion</w:t>
      </w:r>
      <w:r w:rsidR="009D0BCE" w:rsidRPr="007E3A51">
        <w:rPr>
          <w:rFonts w:ascii="Times New Roman" w:hAnsi="Times New Roman" w:cs="Times New Roman"/>
          <w:lang w:val="en-GB"/>
        </w:rPr>
        <w:t xml:space="preserve"> of</w:t>
      </w:r>
      <w:r w:rsidRPr="007E3A51">
        <w:rPr>
          <w:rFonts w:ascii="Times New Roman" w:hAnsi="Times New Roman" w:cs="Times New Roman"/>
          <w:lang w:val="en-GB"/>
        </w:rPr>
        <w:t xml:space="preserve"> </w:t>
      </w:r>
      <w:r w:rsidR="005369B2" w:rsidRPr="007E3A51">
        <w:rPr>
          <w:rFonts w:ascii="Times New Roman" w:hAnsi="Times New Roman" w:cs="Times New Roman"/>
          <w:lang w:val="en-GB"/>
        </w:rPr>
        <w:t xml:space="preserve">the </w:t>
      </w:r>
      <w:r w:rsidRPr="007E3A51">
        <w:rPr>
          <w:rFonts w:ascii="Times New Roman" w:hAnsi="Times New Roman" w:cs="Times New Roman"/>
          <w:lang w:val="en-GB"/>
        </w:rPr>
        <w:t>absolute change indicator compared to the previous year (nominal difference) and annual percentage change (YoY change).</w:t>
      </w:r>
      <w:r w:rsidR="008900A3" w:rsidRPr="007E3A51">
        <w:rPr>
          <w:rFonts w:ascii="Times New Roman" w:hAnsi="Times New Roman" w:cs="Times New Roman"/>
          <w:lang w:val="en-GB"/>
        </w:rPr>
        <w:t xml:space="preserve"> Table 4 </w:t>
      </w:r>
      <w:r w:rsidR="00574161" w:rsidRPr="007E3A51">
        <w:rPr>
          <w:rFonts w:ascii="Times New Roman" w:hAnsi="Times New Roman" w:cs="Times New Roman"/>
          <w:lang w:val="en-GB"/>
        </w:rPr>
        <w:t>shows</w:t>
      </w:r>
      <w:r w:rsidR="000D6813" w:rsidRPr="007E3A51">
        <w:rPr>
          <w:rFonts w:ascii="Times New Roman" w:hAnsi="Times New Roman" w:cs="Times New Roman"/>
          <w:lang w:val="en-GB"/>
        </w:rPr>
        <w:t xml:space="preserve"> calculation</w:t>
      </w:r>
      <w:r w:rsidR="00CF1B61" w:rsidRPr="007E3A51">
        <w:rPr>
          <w:rFonts w:ascii="Times New Roman" w:hAnsi="Times New Roman" w:cs="Times New Roman"/>
          <w:lang w:val="en-GB"/>
        </w:rPr>
        <w:t>s</w:t>
      </w:r>
      <w:r w:rsidR="000D6813" w:rsidRPr="007E3A51">
        <w:rPr>
          <w:rFonts w:ascii="Times New Roman" w:hAnsi="Times New Roman" w:cs="Times New Roman"/>
          <w:lang w:val="en-GB"/>
        </w:rPr>
        <w:t xml:space="preserve"> of </w:t>
      </w:r>
      <w:r w:rsidR="006262D7" w:rsidRPr="007E3A51">
        <w:rPr>
          <w:rFonts w:ascii="Times New Roman" w:hAnsi="Times New Roman" w:cs="Times New Roman"/>
          <w:lang w:val="en-GB"/>
        </w:rPr>
        <w:t xml:space="preserve">the </w:t>
      </w:r>
      <w:r w:rsidR="000D6813" w:rsidRPr="007E3A51">
        <w:rPr>
          <w:rFonts w:ascii="Times New Roman" w:hAnsi="Times New Roman" w:cs="Times New Roman"/>
          <w:lang w:val="en-GB"/>
        </w:rPr>
        <w:t>base-year index, CAGR</w:t>
      </w:r>
      <w:r w:rsidR="005369B2" w:rsidRPr="007E3A51">
        <w:rPr>
          <w:rFonts w:ascii="Times New Roman" w:hAnsi="Times New Roman" w:cs="Times New Roman"/>
          <w:lang w:val="en-GB"/>
        </w:rPr>
        <w:t>,</w:t>
      </w:r>
      <w:r w:rsidR="000D6813" w:rsidRPr="007E3A51">
        <w:rPr>
          <w:rFonts w:ascii="Times New Roman" w:hAnsi="Times New Roman" w:cs="Times New Roman"/>
          <w:lang w:val="en-GB"/>
        </w:rPr>
        <w:t xml:space="preserve"> and acceleration. </w:t>
      </w:r>
      <w:r w:rsidR="004D0DBB" w:rsidRPr="007E3A51">
        <w:rPr>
          <w:rFonts w:ascii="Times New Roman" w:hAnsi="Times New Roman" w:cs="Times New Roman"/>
          <w:lang w:val="en-GB"/>
        </w:rPr>
        <w:t>The</w:t>
      </w:r>
      <w:r w:rsidR="00AE2A62" w:rsidRPr="007E3A51">
        <w:rPr>
          <w:rFonts w:ascii="Times New Roman" w:hAnsi="Times New Roman" w:cs="Times New Roman"/>
          <w:lang w:val="en-GB"/>
        </w:rPr>
        <w:t xml:space="preserve"> base-year index allows us to see changes relative to the base year, which we took </w:t>
      </w:r>
      <w:r w:rsidR="005369B2" w:rsidRPr="007E3A51">
        <w:rPr>
          <w:rFonts w:ascii="Times New Roman" w:hAnsi="Times New Roman" w:cs="Times New Roman"/>
          <w:lang w:val="en-GB"/>
        </w:rPr>
        <w:t xml:space="preserve">to be </w:t>
      </w:r>
      <w:r w:rsidR="00AE2A62" w:rsidRPr="007E3A51">
        <w:rPr>
          <w:rFonts w:ascii="Times New Roman" w:hAnsi="Times New Roman" w:cs="Times New Roman"/>
          <w:lang w:val="en-GB"/>
        </w:rPr>
        <w:t>2019. We can see the accumulated effect after the start of the pandemic and the war.</w:t>
      </w:r>
      <w:r w:rsidR="00AF7923" w:rsidRPr="007E3A51">
        <w:rPr>
          <w:rFonts w:ascii="Times New Roman" w:hAnsi="Times New Roman" w:cs="Times New Roman"/>
          <w:lang w:val="en-GB"/>
        </w:rPr>
        <w:t xml:space="preserve"> CAGR (Compound Annual Growth Rate) </w:t>
      </w:r>
      <w:r w:rsidR="007F5FAF" w:rsidRPr="007E3A51">
        <w:rPr>
          <w:rFonts w:ascii="Times New Roman" w:hAnsi="Times New Roman" w:cs="Times New Roman"/>
          <w:lang w:val="en-GB"/>
        </w:rPr>
        <w:t>performs</w:t>
      </w:r>
      <w:r w:rsidR="00AF7923" w:rsidRPr="007E3A51">
        <w:rPr>
          <w:rFonts w:ascii="Times New Roman" w:hAnsi="Times New Roman" w:cs="Times New Roman"/>
          <w:lang w:val="en-GB"/>
        </w:rPr>
        <w:t xml:space="preserve"> the average annual cumulative rate of growth or decline. It summarizes the indicators for the entire </w:t>
      </w:r>
      <w:proofErr w:type="spellStart"/>
      <w:r w:rsidR="00AF7923" w:rsidRPr="007E3A51">
        <w:rPr>
          <w:rFonts w:ascii="Times New Roman" w:hAnsi="Times New Roman" w:cs="Times New Roman"/>
          <w:lang w:val="en-GB"/>
        </w:rPr>
        <w:t>analyzed</w:t>
      </w:r>
      <w:proofErr w:type="spellEnd"/>
      <w:r w:rsidR="00AF7923" w:rsidRPr="007E3A51">
        <w:rPr>
          <w:rFonts w:ascii="Times New Roman" w:hAnsi="Times New Roman" w:cs="Times New Roman"/>
          <w:lang w:val="en-GB"/>
        </w:rPr>
        <w:t xml:space="preserve"> period.</w:t>
      </w:r>
      <w:r w:rsidR="007E700A" w:rsidRPr="007E3A51">
        <w:rPr>
          <w:lang w:val="en-GB"/>
        </w:rPr>
        <w:t xml:space="preserve"> </w:t>
      </w:r>
      <w:r w:rsidR="007E700A" w:rsidRPr="007E3A51">
        <w:rPr>
          <w:rFonts w:ascii="Times New Roman" w:hAnsi="Times New Roman" w:cs="Times New Roman"/>
          <w:lang w:val="en-GB"/>
        </w:rPr>
        <w:t xml:space="preserve">Acceleration </w:t>
      </w:r>
      <w:r w:rsidR="00CB3AED" w:rsidRPr="007E3A51">
        <w:rPr>
          <w:rFonts w:ascii="Times New Roman" w:hAnsi="Times New Roman" w:cs="Times New Roman"/>
          <w:lang w:val="en-GB"/>
        </w:rPr>
        <w:t>highlights</w:t>
      </w:r>
      <w:r w:rsidR="007E700A" w:rsidRPr="007E3A51">
        <w:rPr>
          <w:rFonts w:ascii="Times New Roman" w:hAnsi="Times New Roman" w:cs="Times New Roman"/>
          <w:lang w:val="en-GB"/>
        </w:rPr>
        <w:t xml:space="preserve"> the dynamics of growth, pace, acceleration</w:t>
      </w:r>
      <w:r w:rsidR="005369B2" w:rsidRPr="007E3A51">
        <w:rPr>
          <w:rFonts w:ascii="Times New Roman" w:hAnsi="Times New Roman" w:cs="Times New Roman"/>
          <w:lang w:val="en-GB"/>
        </w:rPr>
        <w:t>,</w:t>
      </w:r>
      <w:r w:rsidR="007E700A" w:rsidRPr="007E3A51">
        <w:rPr>
          <w:rFonts w:ascii="Times New Roman" w:hAnsi="Times New Roman" w:cs="Times New Roman"/>
          <w:lang w:val="en-GB"/>
        </w:rPr>
        <w:t xml:space="preserve"> or deceleration. This is an extension of Yo</w:t>
      </w:r>
      <w:r w:rsidR="00841B8E" w:rsidRPr="007E3A51">
        <w:rPr>
          <w:rFonts w:ascii="Times New Roman" w:hAnsi="Times New Roman" w:cs="Times New Roman"/>
          <w:lang w:val="en-GB"/>
        </w:rPr>
        <w:t xml:space="preserve">Y change </w:t>
      </w:r>
      <w:r w:rsidR="007E700A" w:rsidRPr="007E3A51">
        <w:rPr>
          <w:rFonts w:ascii="Times New Roman" w:hAnsi="Times New Roman" w:cs="Times New Roman"/>
          <w:lang w:val="en-GB"/>
        </w:rPr>
        <w:t>analysis.</w:t>
      </w:r>
    </w:p>
    <w:p w14:paraId="2ACA7343" w14:textId="2FD65C67" w:rsidR="00815DE9" w:rsidRPr="007E3A51" w:rsidRDefault="0044738D" w:rsidP="00417DD6">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The results obtained indicate the impact of pandemic and war factors on the development of Ukraine's agri-food sector (decrease in indicators in 2020 and 2022). However, we can observe a rapid return to positive dynamics in the years following the onset of crisis states. This positively characterizes the potential of Ukrainian agriculture. It is </w:t>
      </w:r>
      <w:r w:rsidR="00EE0D09" w:rsidRPr="007E3A51">
        <w:rPr>
          <w:rFonts w:ascii="Times New Roman" w:hAnsi="Times New Roman" w:cs="Times New Roman"/>
          <w:lang w:val="en-GB"/>
        </w:rPr>
        <w:t>essential</w:t>
      </w:r>
      <w:r w:rsidRPr="007E3A51">
        <w:rPr>
          <w:rFonts w:ascii="Times New Roman" w:hAnsi="Times New Roman" w:cs="Times New Roman"/>
          <w:lang w:val="en-GB"/>
        </w:rPr>
        <w:t xml:space="preserve"> to note the growth in indicators not only of those that directly provide the population with basic food products (e.g., wheat or cereal and leguminous crops in general), but also of those that play a </w:t>
      </w:r>
      <w:r w:rsidR="00EE0D09" w:rsidRPr="007E3A51">
        <w:rPr>
          <w:rFonts w:ascii="Times New Roman" w:hAnsi="Times New Roman" w:cs="Times New Roman"/>
          <w:lang w:val="en-GB"/>
        </w:rPr>
        <w:t>significant</w:t>
      </w:r>
      <w:r w:rsidRPr="007E3A51">
        <w:rPr>
          <w:rFonts w:ascii="Times New Roman" w:hAnsi="Times New Roman" w:cs="Times New Roman"/>
          <w:lang w:val="en-GB"/>
        </w:rPr>
        <w:t xml:space="preserve"> role in the country's exports, </w:t>
      </w:r>
      <w:r w:rsidR="00D770C6" w:rsidRPr="007E3A51">
        <w:rPr>
          <w:rFonts w:ascii="Times New Roman" w:hAnsi="Times New Roman" w:cs="Times New Roman"/>
          <w:lang w:val="en-GB"/>
        </w:rPr>
        <w:t>generating</w:t>
      </w:r>
      <w:r w:rsidRPr="007E3A51">
        <w:rPr>
          <w:rFonts w:ascii="Times New Roman" w:hAnsi="Times New Roman" w:cs="Times New Roman"/>
          <w:lang w:val="en-GB"/>
        </w:rPr>
        <w:t xml:space="preserve"> cash income, as well as those that can become </w:t>
      </w:r>
      <w:r w:rsidR="009F72D2" w:rsidRPr="007E3A51">
        <w:rPr>
          <w:rFonts w:ascii="Times New Roman" w:hAnsi="Times New Roman" w:cs="Times New Roman"/>
          <w:lang w:val="en-GB"/>
        </w:rPr>
        <w:t>a</w:t>
      </w:r>
      <w:r w:rsidR="00625A8A" w:rsidRPr="007E3A51">
        <w:rPr>
          <w:rFonts w:ascii="Times New Roman" w:hAnsi="Times New Roman" w:cs="Times New Roman"/>
          <w:lang w:val="en-GB"/>
        </w:rPr>
        <w:t> </w:t>
      </w:r>
      <w:r w:rsidRPr="007E3A51">
        <w:rPr>
          <w:rFonts w:ascii="Times New Roman" w:hAnsi="Times New Roman" w:cs="Times New Roman"/>
          <w:lang w:val="en-GB"/>
        </w:rPr>
        <w:t xml:space="preserve">basis for the development of the bioeconomy and the transition to sustainable production. Such crops are rapeseed, soybeans, sunflower, </w:t>
      </w:r>
      <w:r w:rsidR="005369B2" w:rsidRPr="007E3A51">
        <w:rPr>
          <w:rFonts w:ascii="Times New Roman" w:hAnsi="Times New Roman" w:cs="Times New Roman"/>
          <w:lang w:val="en-GB"/>
        </w:rPr>
        <w:t xml:space="preserve">and </w:t>
      </w:r>
      <w:r w:rsidRPr="007E3A51">
        <w:rPr>
          <w:rFonts w:ascii="Times New Roman" w:hAnsi="Times New Roman" w:cs="Times New Roman"/>
          <w:lang w:val="en-GB"/>
        </w:rPr>
        <w:t>maize (</w:t>
      </w:r>
      <w:proofErr w:type="spellStart"/>
      <w:r w:rsidRPr="007E3A51">
        <w:rPr>
          <w:rFonts w:ascii="Times New Roman" w:hAnsi="Times New Roman" w:cs="Times New Roman"/>
          <w:lang w:val="en-GB"/>
        </w:rPr>
        <w:t>Shynkaruk</w:t>
      </w:r>
      <w:proofErr w:type="spellEnd"/>
      <w:r w:rsidRPr="007E3A51">
        <w:rPr>
          <w:rFonts w:ascii="Times New Roman" w:hAnsi="Times New Roman" w:cs="Times New Roman"/>
          <w:lang w:val="en-GB"/>
        </w:rPr>
        <w:t xml:space="preserve"> </w:t>
      </w:r>
      <w:r w:rsidR="000315B0" w:rsidRPr="007E3A51">
        <w:rPr>
          <w:rFonts w:ascii="Times New Roman" w:hAnsi="Times New Roman" w:cs="Times New Roman"/>
          <w:lang w:val="en-GB"/>
        </w:rPr>
        <w:t>and Kondratyev</w:t>
      </w:r>
      <w:r w:rsidRPr="007E3A51">
        <w:rPr>
          <w:rFonts w:ascii="Times New Roman" w:hAnsi="Times New Roman" w:cs="Times New Roman"/>
          <w:lang w:val="en-GB"/>
        </w:rPr>
        <w:t xml:space="preserve"> 2024</w:t>
      </w:r>
      <w:r w:rsidR="00EA6B77" w:rsidRPr="007E3A51">
        <w:rPr>
          <w:rFonts w:ascii="Times New Roman" w:hAnsi="Times New Roman" w:cs="Times New Roman"/>
          <w:lang w:val="en-GB"/>
        </w:rPr>
        <w:t>,</w:t>
      </w:r>
      <w:r w:rsidR="007666EE" w:rsidRPr="007E3A51">
        <w:rPr>
          <w:rFonts w:ascii="Times New Roman" w:hAnsi="Times New Roman" w:cs="Times New Roman"/>
          <w:lang w:val="en-GB"/>
        </w:rPr>
        <w:t xml:space="preserve"> </w:t>
      </w:r>
      <w:proofErr w:type="spellStart"/>
      <w:r w:rsidR="007666EE" w:rsidRPr="007E3A51">
        <w:rPr>
          <w:rFonts w:ascii="Times New Roman" w:hAnsi="Times New Roman" w:cs="Times New Roman"/>
          <w:bCs/>
          <w:lang w:val="en-GB"/>
        </w:rPr>
        <w:t>Міrzoieva</w:t>
      </w:r>
      <w:proofErr w:type="spellEnd"/>
      <w:r w:rsidR="007666EE" w:rsidRPr="007E3A51">
        <w:rPr>
          <w:rFonts w:ascii="Times New Roman" w:hAnsi="Times New Roman" w:cs="Times New Roman"/>
          <w:bCs/>
          <w:lang w:val="en-GB"/>
        </w:rPr>
        <w:t xml:space="preserve"> et al. 2024</w:t>
      </w:r>
      <w:r w:rsidR="00EA6B77" w:rsidRPr="007E3A51">
        <w:rPr>
          <w:rFonts w:ascii="Times New Roman" w:hAnsi="Times New Roman" w:cs="Times New Roman"/>
          <w:bCs/>
          <w:lang w:val="en-GB"/>
        </w:rPr>
        <w:t>,</w:t>
      </w:r>
      <w:r w:rsidR="00437DE7" w:rsidRPr="007E3A51">
        <w:rPr>
          <w:rFonts w:ascii="Times New Roman" w:hAnsi="Times New Roman" w:cs="Times New Roman"/>
          <w:bCs/>
          <w:lang w:val="en-GB"/>
        </w:rPr>
        <w:t xml:space="preserve"> </w:t>
      </w:r>
      <w:proofErr w:type="spellStart"/>
      <w:r w:rsidR="00437DE7" w:rsidRPr="007E3A51">
        <w:rPr>
          <w:rFonts w:ascii="Times New Roman" w:hAnsi="Times New Roman" w:cs="Times New Roman"/>
          <w:bCs/>
          <w:lang w:val="en-GB"/>
        </w:rPr>
        <w:t>Lepetan</w:t>
      </w:r>
      <w:proofErr w:type="spellEnd"/>
      <w:r w:rsidR="00437DE7" w:rsidRPr="007E3A51">
        <w:rPr>
          <w:rFonts w:ascii="Times New Roman" w:hAnsi="Times New Roman" w:cs="Times New Roman"/>
          <w:bCs/>
          <w:lang w:val="en-GB"/>
        </w:rPr>
        <w:t xml:space="preserve"> et al. 2023</w:t>
      </w:r>
      <w:r w:rsidRPr="007E3A51">
        <w:rPr>
          <w:rFonts w:ascii="Times New Roman" w:hAnsi="Times New Roman" w:cs="Times New Roman"/>
          <w:lang w:val="en-GB"/>
        </w:rPr>
        <w:t>).</w:t>
      </w:r>
    </w:p>
    <w:p w14:paraId="31BC678E" w14:textId="46FE8487" w:rsidR="00815DE9" w:rsidRPr="007E3A51" w:rsidRDefault="00815DE9" w:rsidP="00417DD6">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The base year index shows different dynamics during the </w:t>
      </w:r>
      <w:proofErr w:type="spellStart"/>
      <w:r w:rsidRPr="007E3A51">
        <w:rPr>
          <w:rFonts w:ascii="Times New Roman" w:hAnsi="Times New Roman" w:cs="Times New Roman"/>
          <w:lang w:val="en-GB"/>
        </w:rPr>
        <w:t>analyzed</w:t>
      </w:r>
      <w:proofErr w:type="spellEnd"/>
      <w:r w:rsidRPr="007E3A51">
        <w:rPr>
          <w:rFonts w:ascii="Times New Roman" w:hAnsi="Times New Roman" w:cs="Times New Roman"/>
          <w:lang w:val="en-GB"/>
        </w:rPr>
        <w:t xml:space="preserve"> period, which var</w:t>
      </w:r>
      <w:r w:rsidR="005369B2" w:rsidRPr="007E3A51">
        <w:rPr>
          <w:rFonts w:ascii="Times New Roman" w:hAnsi="Times New Roman" w:cs="Times New Roman"/>
          <w:lang w:val="en-GB"/>
        </w:rPr>
        <w:t>y</w:t>
      </w:r>
      <w:r w:rsidRPr="007E3A51">
        <w:rPr>
          <w:rFonts w:ascii="Times New Roman" w:hAnsi="Times New Roman" w:cs="Times New Roman"/>
          <w:lang w:val="en-GB"/>
        </w:rPr>
        <w:t xml:space="preserve"> depending on the year and crop. For example, the cultivation of rye during the beginning of the pandemic and the following year had positive results</w:t>
      </w:r>
      <w:r w:rsidR="003B6A36" w:rsidRPr="007E3A51">
        <w:rPr>
          <w:rFonts w:ascii="Times New Roman" w:hAnsi="Times New Roman" w:cs="Times New Roman"/>
          <w:lang w:val="en-GB"/>
        </w:rPr>
        <w:t>.</w:t>
      </w:r>
      <w:r w:rsidRPr="007E3A51">
        <w:rPr>
          <w:rFonts w:ascii="Times New Roman" w:hAnsi="Times New Roman" w:cs="Times New Roman"/>
          <w:lang w:val="en-GB"/>
        </w:rPr>
        <w:t xml:space="preserve"> </w:t>
      </w:r>
      <w:r w:rsidR="003B6A36" w:rsidRPr="007E3A51">
        <w:rPr>
          <w:rFonts w:ascii="Times New Roman" w:hAnsi="Times New Roman" w:cs="Times New Roman"/>
          <w:lang w:val="en-GB"/>
        </w:rPr>
        <w:t>H</w:t>
      </w:r>
      <w:r w:rsidRPr="007E3A51">
        <w:rPr>
          <w:rFonts w:ascii="Times New Roman" w:hAnsi="Times New Roman" w:cs="Times New Roman"/>
          <w:lang w:val="en-GB"/>
        </w:rPr>
        <w:t xml:space="preserve">owever, both </w:t>
      </w:r>
      <w:r w:rsidR="005369B2" w:rsidRPr="007E3A51">
        <w:rPr>
          <w:rFonts w:ascii="Times New Roman" w:hAnsi="Times New Roman" w:cs="Times New Roman"/>
          <w:lang w:val="en-GB"/>
        </w:rPr>
        <w:t xml:space="preserve">the </w:t>
      </w:r>
      <w:r w:rsidR="007F5EC8" w:rsidRPr="007E3A51">
        <w:rPr>
          <w:rFonts w:ascii="Times New Roman" w:hAnsi="Times New Roman" w:cs="Times New Roman"/>
          <w:lang w:val="en-GB"/>
        </w:rPr>
        <w:t>h</w:t>
      </w:r>
      <w:r w:rsidRPr="007E3A51">
        <w:rPr>
          <w:rFonts w:ascii="Times New Roman" w:hAnsi="Times New Roman" w:cs="Times New Roman"/>
          <w:lang w:val="en-GB"/>
        </w:rPr>
        <w:t xml:space="preserve">arvested area and </w:t>
      </w:r>
      <w:r w:rsidR="007F5EC8" w:rsidRPr="007E3A51">
        <w:rPr>
          <w:rFonts w:ascii="Times New Roman" w:hAnsi="Times New Roman" w:cs="Times New Roman"/>
          <w:lang w:val="en-GB"/>
        </w:rPr>
        <w:t>p</w:t>
      </w:r>
      <w:r w:rsidRPr="007E3A51">
        <w:rPr>
          <w:rFonts w:ascii="Times New Roman" w:hAnsi="Times New Roman" w:cs="Times New Roman"/>
          <w:lang w:val="en-GB"/>
        </w:rPr>
        <w:t>roduction volume</w:t>
      </w:r>
      <w:r w:rsidR="007F5EC8" w:rsidRPr="007E3A51">
        <w:rPr>
          <w:rFonts w:ascii="Times New Roman" w:hAnsi="Times New Roman" w:cs="Times New Roman"/>
          <w:lang w:val="en-GB"/>
        </w:rPr>
        <w:t xml:space="preserve"> </w:t>
      </w:r>
      <w:r w:rsidRPr="007E3A51">
        <w:rPr>
          <w:rFonts w:ascii="Times New Roman" w:hAnsi="Times New Roman" w:cs="Times New Roman"/>
          <w:lang w:val="en-GB"/>
        </w:rPr>
        <w:t>experienced a decline since 2022. For most other crops, the ind</w:t>
      </w:r>
      <w:r w:rsidR="00556D1C" w:rsidRPr="007E3A51">
        <w:rPr>
          <w:rFonts w:ascii="Times New Roman" w:hAnsi="Times New Roman" w:cs="Times New Roman"/>
          <w:lang w:val="en-GB"/>
        </w:rPr>
        <w:t>ex</w:t>
      </w:r>
      <w:r w:rsidRPr="007E3A51">
        <w:rPr>
          <w:rFonts w:ascii="Times New Roman" w:hAnsi="Times New Roman" w:cs="Times New Roman"/>
          <w:lang w:val="en-GB"/>
        </w:rPr>
        <w:t xml:space="preserve"> is lower than the base year during 2020-2022</w:t>
      </w:r>
      <w:r w:rsidR="00BC5866" w:rsidRPr="007E3A51">
        <w:rPr>
          <w:rFonts w:ascii="Times New Roman" w:hAnsi="Times New Roman" w:cs="Times New Roman"/>
          <w:lang w:val="en-GB"/>
        </w:rPr>
        <w:t>,</w:t>
      </w:r>
      <w:r w:rsidRPr="007E3A51">
        <w:rPr>
          <w:rFonts w:ascii="Times New Roman" w:hAnsi="Times New Roman" w:cs="Times New Roman"/>
          <w:lang w:val="en-GB"/>
        </w:rPr>
        <w:t xml:space="preserve"> with the beginning of growth since 2023 for various crops</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and mainly for the yield indicator</w:t>
      </w:r>
      <w:r w:rsidR="00DF5DE3" w:rsidRPr="007E3A51">
        <w:rPr>
          <w:rFonts w:ascii="Times New Roman" w:hAnsi="Times New Roman" w:cs="Times New Roman"/>
          <w:lang w:val="en-GB"/>
        </w:rPr>
        <w:t>s</w:t>
      </w:r>
      <w:r w:rsidRPr="007E3A51">
        <w:rPr>
          <w:rFonts w:ascii="Times New Roman" w:hAnsi="Times New Roman" w:cs="Times New Roman"/>
          <w:lang w:val="en-GB"/>
        </w:rPr>
        <w:t>.</w:t>
      </w:r>
    </w:p>
    <w:p w14:paraId="2D97B31E" w14:textId="1CA2270D" w:rsidR="00D023BF" w:rsidRPr="007E3A51" w:rsidRDefault="00D023BF" w:rsidP="00D023BF">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The CAGR demonstrates that the average annual rates for the selected crops have both positive growth dynamics and declines, depending on the indicator. Thus, for </w:t>
      </w:r>
      <w:r w:rsidR="005369B2" w:rsidRPr="007E3A51">
        <w:rPr>
          <w:rFonts w:ascii="Times New Roman" w:hAnsi="Times New Roman" w:cs="Times New Roman"/>
          <w:lang w:val="en-GB"/>
        </w:rPr>
        <w:t xml:space="preserve">the </w:t>
      </w:r>
      <w:r w:rsidRPr="007E3A51">
        <w:rPr>
          <w:rFonts w:ascii="Times New Roman" w:hAnsi="Times New Roman" w:cs="Times New Roman"/>
          <w:lang w:val="en-GB"/>
        </w:rPr>
        <w:t xml:space="preserve">harvested area, almost all crops experienced a decline in the period from 2019 to 2023. The exceptions are rapeseed and soybeans, which </w:t>
      </w:r>
      <w:r w:rsidR="005369B2" w:rsidRPr="007E3A51">
        <w:rPr>
          <w:rFonts w:ascii="Times New Roman" w:hAnsi="Times New Roman" w:cs="Times New Roman"/>
          <w:lang w:val="en-GB"/>
        </w:rPr>
        <w:t>are</w:t>
      </w:r>
      <w:r w:rsidRPr="007E3A51">
        <w:rPr>
          <w:rFonts w:ascii="Times New Roman" w:hAnsi="Times New Roman" w:cs="Times New Roman"/>
          <w:lang w:val="en-GB"/>
        </w:rPr>
        <w:t xml:space="preserve"> a positive characteristic of this dynamics, as they have significant potential in the development of the Ukrainian biofuel market. The production volume indicator has the same dynamics</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with the exception of these same crops (soybean and rapeseed). On the contrary, the average annual </w:t>
      </w:r>
      <w:proofErr w:type="spellStart"/>
      <w:r w:rsidR="00EE0D09" w:rsidRPr="007E3A51">
        <w:rPr>
          <w:rFonts w:ascii="Times New Roman" w:hAnsi="Times New Roman" w:cs="Times New Roman"/>
          <w:lang w:val="en-GB"/>
        </w:rPr>
        <w:t>favorabl</w:t>
      </w:r>
      <w:r w:rsidRPr="007E3A51">
        <w:rPr>
          <w:rFonts w:ascii="Times New Roman" w:hAnsi="Times New Roman" w:cs="Times New Roman"/>
          <w:lang w:val="en-GB"/>
        </w:rPr>
        <w:t>e</w:t>
      </w:r>
      <w:proofErr w:type="spellEnd"/>
      <w:r w:rsidRPr="007E3A51">
        <w:rPr>
          <w:rFonts w:ascii="Times New Roman" w:hAnsi="Times New Roman" w:cs="Times New Roman"/>
          <w:lang w:val="en-GB"/>
        </w:rPr>
        <w:t xml:space="preserve"> growth rates of crops are demonstrated by the yield indicator. Almost all have a positive result, except sunflower.</w:t>
      </w:r>
    </w:p>
    <w:p w14:paraId="01600F9A" w14:textId="77777777" w:rsidR="00C320D0" w:rsidRPr="007E3A51" w:rsidRDefault="00C320D0" w:rsidP="00417DD6">
      <w:pPr>
        <w:spacing w:after="0" w:line="240" w:lineRule="auto"/>
        <w:ind w:firstLine="284"/>
        <w:jc w:val="both"/>
        <w:rPr>
          <w:rFonts w:ascii="Times New Roman" w:hAnsi="Times New Roman" w:cs="Times New Roman"/>
          <w:lang w:val="en-GB"/>
        </w:rPr>
      </w:pPr>
    </w:p>
    <w:p w14:paraId="5B782AF4" w14:textId="77777777" w:rsidR="00D023BF" w:rsidRPr="007E3A51" w:rsidRDefault="00D023BF">
      <w:pPr>
        <w:rPr>
          <w:rFonts w:ascii="Times New Roman" w:hAnsi="Times New Roman"/>
          <w:b/>
          <w:bCs/>
          <w:kern w:val="2"/>
          <w:sz w:val="20"/>
          <w:lang w:val="en-GB"/>
          <w14:ligatures w14:val="standardContextual"/>
        </w:rPr>
      </w:pPr>
      <w:r w:rsidRPr="007E3A51">
        <w:rPr>
          <w:b/>
          <w:bCs/>
          <w:lang w:val="en-GB"/>
        </w:rPr>
        <w:br w:type="page"/>
      </w:r>
    </w:p>
    <w:p w14:paraId="0230986D" w14:textId="2FBF5DA4" w:rsidR="0044738D" w:rsidRPr="007E3A51" w:rsidRDefault="0044738D" w:rsidP="00821101">
      <w:pPr>
        <w:pStyle w:val="Rtab"/>
        <w:rPr>
          <w:lang w:val="en-GB"/>
        </w:rPr>
      </w:pPr>
      <w:r w:rsidRPr="007E3A51">
        <w:rPr>
          <w:b/>
          <w:bCs/>
          <w:lang w:val="en-GB"/>
        </w:rPr>
        <w:lastRenderedPageBreak/>
        <w:t>Table 3.</w:t>
      </w:r>
      <w:r w:rsidRPr="007E3A51">
        <w:rPr>
          <w:lang w:val="en-GB"/>
        </w:rPr>
        <w:t xml:space="preserve"> Dynamic</w:t>
      </w:r>
      <w:r w:rsidR="0030355D" w:rsidRPr="007E3A51">
        <w:rPr>
          <w:lang w:val="en-GB"/>
        </w:rPr>
        <w:t>s</w:t>
      </w:r>
      <w:r w:rsidRPr="007E3A51">
        <w:rPr>
          <w:lang w:val="en-GB"/>
        </w:rPr>
        <w:t xml:space="preserve"> of key indicators of the agri-food sector by main crops, 2020-2023</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027"/>
        <w:gridCol w:w="1028"/>
        <w:gridCol w:w="1027"/>
        <w:gridCol w:w="1028"/>
        <w:gridCol w:w="1028"/>
        <w:gridCol w:w="1027"/>
        <w:gridCol w:w="1028"/>
        <w:gridCol w:w="1028"/>
      </w:tblGrid>
      <w:tr w:rsidR="00417DD6" w:rsidRPr="007E3A51" w14:paraId="794CC116" w14:textId="77777777" w:rsidTr="00821101">
        <w:trPr>
          <w:trHeight w:val="340"/>
          <w:jc w:val="center"/>
        </w:trPr>
        <w:tc>
          <w:tcPr>
            <w:tcW w:w="1418" w:type="dxa"/>
            <w:vMerge w:val="restart"/>
            <w:noWrap/>
            <w:vAlign w:val="center"/>
            <w:hideMark/>
          </w:tcPr>
          <w:p w14:paraId="1D544C17" w14:textId="77777777" w:rsidR="002A153E" w:rsidRPr="007E3A51" w:rsidRDefault="002A153E" w:rsidP="00821101">
            <w:pPr>
              <w:spacing w:after="0" w:line="240" w:lineRule="auto"/>
              <w:jc w:val="center"/>
              <w:rPr>
                <w:rFonts w:ascii="Times New Roman" w:hAnsi="Times New Roman" w:cs="Times New Roman"/>
                <w:sz w:val="18"/>
                <w:szCs w:val="18"/>
                <w:lang w:val="en-GB"/>
              </w:rPr>
            </w:pPr>
            <w:r w:rsidRPr="007E3A51">
              <w:rPr>
                <w:rFonts w:ascii="Times New Roman" w:hAnsi="Times New Roman" w:cs="Times New Roman"/>
                <w:sz w:val="18"/>
                <w:szCs w:val="18"/>
                <w:lang w:val="en-GB"/>
              </w:rPr>
              <w:t>Crops</w:t>
            </w:r>
          </w:p>
        </w:tc>
        <w:tc>
          <w:tcPr>
            <w:tcW w:w="2055" w:type="dxa"/>
            <w:gridSpan w:val="2"/>
            <w:noWrap/>
            <w:vAlign w:val="center"/>
            <w:hideMark/>
          </w:tcPr>
          <w:p w14:paraId="45F7D491" w14:textId="77777777" w:rsidR="002A153E" w:rsidRPr="007E3A51" w:rsidRDefault="002A153E" w:rsidP="00821101">
            <w:pPr>
              <w:spacing w:after="0" w:line="240" w:lineRule="auto"/>
              <w:jc w:val="center"/>
              <w:rPr>
                <w:rFonts w:ascii="Times New Roman" w:hAnsi="Times New Roman" w:cs="Times New Roman"/>
                <w:sz w:val="18"/>
                <w:szCs w:val="18"/>
                <w:lang w:val="en-GB"/>
              </w:rPr>
            </w:pPr>
            <w:r w:rsidRPr="007E3A51">
              <w:rPr>
                <w:rFonts w:ascii="Times New Roman" w:hAnsi="Times New Roman" w:cs="Times New Roman"/>
                <w:sz w:val="18"/>
                <w:szCs w:val="18"/>
                <w:lang w:val="en-GB"/>
              </w:rPr>
              <w:t>2020</w:t>
            </w:r>
          </w:p>
        </w:tc>
        <w:tc>
          <w:tcPr>
            <w:tcW w:w="2055" w:type="dxa"/>
            <w:gridSpan w:val="2"/>
            <w:noWrap/>
            <w:vAlign w:val="center"/>
            <w:hideMark/>
          </w:tcPr>
          <w:p w14:paraId="4FA290B9" w14:textId="77777777" w:rsidR="002A153E" w:rsidRPr="007E3A51" w:rsidRDefault="002A153E" w:rsidP="00821101">
            <w:pPr>
              <w:spacing w:after="0" w:line="240" w:lineRule="auto"/>
              <w:jc w:val="center"/>
              <w:rPr>
                <w:rFonts w:ascii="Times New Roman" w:hAnsi="Times New Roman" w:cs="Times New Roman"/>
                <w:sz w:val="18"/>
                <w:szCs w:val="18"/>
                <w:lang w:val="en-GB"/>
              </w:rPr>
            </w:pPr>
            <w:r w:rsidRPr="007E3A51">
              <w:rPr>
                <w:rFonts w:ascii="Times New Roman" w:hAnsi="Times New Roman" w:cs="Times New Roman"/>
                <w:sz w:val="18"/>
                <w:szCs w:val="18"/>
                <w:lang w:val="en-GB"/>
              </w:rPr>
              <w:t>2021</w:t>
            </w:r>
          </w:p>
        </w:tc>
        <w:tc>
          <w:tcPr>
            <w:tcW w:w="2055" w:type="dxa"/>
            <w:gridSpan w:val="2"/>
            <w:noWrap/>
            <w:vAlign w:val="center"/>
            <w:hideMark/>
          </w:tcPr>
          <w:p w14:paraId="2A96DF14" w14:textId="77777777" w:rsidR="002A153E" w:rsidRPr="007E3A51" w:rsidRDefault="002A153E" w:rsidP="00821101">
            <w:pPr>
              <w:spacing w:after="0" w:line="240" w:lineRule="auto"/>
              <w:jc w:val="center"/>
              <w:rPr>
                <w:rFonts w:ascii="Times New Roman" w:hAnsi="Times New Roman" w:cs="Times New Roman"/>
                <w:sz w:val="18"/>
                <w:szCs w:val="18"/>
                <w:lang w:val="en-GB"/>
              </w:rPr>
            </w:pPr>
            <w:r w:rsidRPr="007E3A51">
              <w:rPr>
                <w:rFonts w:ascii="Times New Roman" w:hAnsi="Times New Roman" w:cs="Times New Roman"/>
                <w:sz w:val="18"/>
                <w:szCs w:val="18"/>
                <w:lang w:val="en-GB"/>
              </w:rPr>
              <w:t>2022</w:t>
            </w:r>
          </w:p>
        </w:tc>
        <w:tc>
          <w:tcPr>
            <w:tcW w:w="2056" w:type="dxa"/>
            <w:gridSpan w:val="2"/>
            <w:noWrap/>
            <w:vAlign w:val="center"/>
            <w:hideMark/>
          </w:tcPr>
          <w:p w14:paraId="78F8BBE2" w14:textId="77777777" w:rsidR="002A153E" w:rsidRPr="007E3A51" w:rsidRDefault="002A153E" w:rsidP="00821101">
            <w:pPr>
              <w:spacing w:after="0" w:line="240" w:lineRule="auto"/>
              <w:jc w:val="center"/>
              <w:rPr>
                <w:rFonts w:ascii="Times New Roman" w:hAnsi="Times New Roman" w:cs="Times New Roman"/>
                <w:sz w:val="18"/>
                <w:szCs w:val="18"/>
                <w:lang w:val="en-GB"/>
              </w:rPr>
            </w:pPr>
            <w:r w:rsidRPr="007E3A51">
              <w:rPr>
                <w:rFonts w:ascii="Times New Roman" w:hAnsi="Times New Roman" w:cs="Times New Roman"/>
                <w:sz w:val="18"/>
                <w:szCs w:val="18"/>
                <w:lang w:val="en-GB"/>
              </w:rPr>
              <w:t>2023</w:t>
            </w:r>
          </w:p>
        </w:tc>
      </w:tr>
      <w:tr w:rsidR="00417DD6" w:rsidRPr="007E3A51" w14:paraId="17660689" w14:textId="77777777" w:rsidTr="00D023BF">
        <w:trPr>
          <w:trHeight w:val="510"/>
          <w:jc w:val="center"/>
        </w:trPr>
        <w:tc>
          <w:tcPr>
            <w:tcW w:w="1418" w:type="dxa"/>
            <w:vMerge/>
            <w:noWrap/>
            <w:vAlign w:val="center"/>
          </w:tcPr>
          <w:p w14:paraId="10987017" w14:textId="77777777" w:rsidR="002A153E" w:rsidRPr="007E3A51" w:rsidRDefault="002A153E" w:rsidP="00821101">
            <w:pPr>
              <w:spacing w:after="0" w:line="240" w:lineRule="auto"/>
              <w:jc w:val="center"/>
              <w:rPr>
                <w:rFonts w:ascii="Times New Roman" w:hAnsi="Times New Roman" w:cs="Times New Roman"/>
                <w:sz w:val="18"/>
                <w:szCs w:val="18"/>
                <w:lang w:val="en-GB"/>
              </w:rPr>
            </w:pPr>
          </w:p>
        </w:tc>
        <w:tc>
          <w:tcPr>
            <w:tcW w:w="1027" w:type="dxa"/>
            <w:noWrap/>
            <w:vAlign w:val="center"/>
          </w:tcPr>
          <w:p w14:paraId="4310E903" w14:textId="77777777" w:rsidR="002A153E" w:rsidRPr="007E3A51" w:rsidRDefault="002A153E" w:rsidP="00821101">
            <w:pPr>
              <w:spacing w:after="0" w:line="240" w:lineRule="auto"/>
              <w:jc w:val="center"/>
              <w:rPr>
                <w:rFonts w:ascii="Times New Roman" w:hAnsi="Times New Roman" w:cs="Times New Roman"/>
                <w:sz w:val="18"/>
                <w:szCs w:val="18"/>
                <w:lang w:val="en-GB"/>
              </w:rPr>
            </w:pPr>
            <w:r w:rsidRPr="007E3A51">
              <w:rPr>
                <w:rFonts w:ascii="Times New Roman" w:hAnsi="Times New Roman" w:cs="Times New Roman"/>
                <w:sz w:val="18"/>
                <w:szCs w:val="18"/>
                <w:lang w:val="en-GB"/>
              </w:rPr>
              <w:t>Nominal difference</w:t>
            </w:r>
          </w:p>
        </w:tc>
        <w:tc>
          <w:tcPr>
            <w:tcW w:w="1028" w:type="dxa"/>
            <w:vAlign w:val="center"/>
          </w:tcPr>
          <w:p w14:paraId="7AC7FCF1" w14:textId="77777777" w:rsidR="002A153E" w:rsidRPr="007E3A51" w:rsidRDefault="002A153E" w:rsidP="00821101">
            <w:pPr>
              <w:spacing w:after="0" w:line="240" w:lineRule="auto"/>
              <w:jc w:val="center"/>
              <w:rPr>
                <w:rFonts w:ascii="Times New Roman" w:hAnsi="Times New Roman" w:cs="Times New Roman"/>
                <w:sz w:val="18"/>
                <w:szCs w:val="18"/>
                <w:lang w:val="en-GB"/>
              </w:rPr>
            </w:pPr>
            <w:r w:rsidRPr="007E3A51">
              <w:rPr>
                <w:rFonts w:ascii="Times New Roman" w:hAnsi="Times New Roman" w:cs="Times New Roman"/>
                <w:sz w:val="18"/>
                <w:szCs w:val="18"/>
                <w:lang w:val="en-GB"/>
              </w:rPr>
              <w:t>YoY change,%</w:t>
            </w:r>
          </w:p>
        </w:tc>
        <w:tc>
          <w:tcPr>
            <w:tcW w:w="1027" w:type="dxa"/>
            <w:noWrap/>
            <w:vAlign w:val="center"/>
          </w:tcPr>
          <w:p w14:paraId="653F961F" w14:textId="77777777" w:rsidR="002A153E" w:rsidRPr="007E3A51" w:rsidRDefault="002A153E" w:rsidP="00821101">
            <w:pPr>
              <w:spacing w:after="0" w:line="240" w:lineRule="auto"/>
              <w:jc w:val="center"/>
              <w:rPr>
                <w:rFonts w:ascii="Times New Roman" w:hAnsi="Times New Roman" w:cs="Times New Roman"/>
                <w:sz w:val="18"/>
                <w:szCs w:val="18"/>
                <w:lang w:val="en-GB"/>
              </w:rPr>
            </w:pPr>
            <w:r w:rsidRPr="007E3A51">
              <w:rPr>
                <w:rFonts w:ascii="Times New Roman" w:hAnsi="Times New Roman" w:cs="Times New Roman"/>
                <w:sz w:val="18"/>
                <w:szCs w:val="18"/>
                <w:lang w:val="en-GB"/>
              </w:rPr>
              <w:t>Nominal difference</w:t>
            </w:r>
          </w:p>
        </w:tc>
        <w:tc>
          <w:tcPr>
            <w:tcW w:w="1028" w:type="dxa"/>
            <w:vAlign w:val="center"/>
          </w:tcPr>
          <w:p w14:paraId="536F04BE" w14:textId="77777777" w:rsidR="002A153E" w:rsidRPr="007E3A51" w:rsidRDefault="002A153E" w:rsidP="00821101">
            <w:pPr>
              <w:spacing w:after="0" w:line="240" w:lineRule="auto"/>
              <w:jc w:val="center"/>
              <w:rPr>
                <w:rFonts w:ascii="Times New Roman" w:hAnsi="Times New Roman" w:cs="Times New Roman"/>
                <w:sz w:val="18"/>
                <w:szCs w:val="18"/>
                <w:lang w:val="en-GB"/>
              </w:rPr>
            </w:pPr>
            <w:r w:rsidRPr="007E3A51">
              <w:rPr>
                <w:rFonts w:ascii="Times New Roman" w:hAnsi="Times New Roman" w:cs="Times New Roman"/>
                <w:sz w:val="18"/>
                <w:szCs w:val="18"/>
                <w:lang w:val="en-GB"/>
              </w:rPr>
              <w:t>YoY change,%</w:t>
            </w:r>
          </w:p>
        </w:tc>
        <w:tc>
          <w:tcPr>
            <w:tcW w:w="1028" w:type="dxa"/>
            <w:noWrap/>
            <w:vAlign w:val="center"/>
          </w:tcPr>
          <w:p w14:paraId="6515D2ED" w14:textId="77777777" w:rsidR="002A153E" w:rsidRPr="007E3A51" w:rsidRDefault="002A153E" w:rsidP="00821101">
            <w:pPr>
              <w:spacing w:after="0" w:line="240" w:lineRule="auto"/>
              <w:jc w:val="center"/>
              <w:rPr>
                <w:rFonts w:ascii="Times New Roman" w:hAnsi="Times New Roman" w:cs="Times New Roman"/>
                <w:sz w:val="18"/>
                <w:szCs w:val="18"/>
                <w:lang w:val="en-GB"/>
              </w:rPr>
            </w:pPr>
            <w:r w:rsidRPr="007E3A51">
              <w:rPr>
                <w:rFonts w:ascii="Times New Roman" w:hAnsi="Times New Roman" w:cs="Times New Roman"/>
                <w:sz w:val="18"/>
                <w:szCs w:val="18"/>
                <w:lang w:val="en-GB"/>
              </w:rPr>
              <w:t>Nominal difference</w:t>
            </w:r>
          </w:p>
        </w:tc>
        <w:tc>
          <w:tcPr>
            <w:tcW w:w="1027" w:type="dxa"/>
            <w:vAlign w:val="center"/>
          </w:tcPr>
          <w:p w14:paraId="1149A924" w14:textId="77777777" w:rsidR="002A153E" w:rsidRPr="007E3A51" w:rsidRDefault="002A153E" w:rsidP="00821101">
            <w:pPr>
              <w:spacing w:after="0" w:line="240" w:lineRule="auto"/>
              <w:jc w:val="center"/>
              <w:rPr>
                <w:rFonts w:ascii="Times New Roman" w:hAnsi="Times New Roman" w:cs="Times New Roman"/>
                <w:sz w:val="18"/>
                <w:szCs w:val="18"/>
                <w:lang w:val="en-GB"/>
              </w:rPr>
            </w:pPr>
            <w:r w:rsidRPr="007E3A51">
              <w:rPr>
                <w:rFonts w:ascii="Times New Roman" w:hAnsi="Times New Roman" w:cs="Times New Roman"/>
                <w:sz w:val="18"/>
                <w:szCs w:val="18"/>
                <w:lang w:val="en-GB"/>
              </w:rPr>
              <w:t>YoY change,%</w:t>
            </w:r>
          </w:p>
        </w:tc>
        <w:tc>
          <w:tcPr>
            <w:tcW w:w="1028" w:type="dxa"/>
            <w:noWrap/>
            <w:vAlign w:val="center"/>
          </w:tcPr>
          <w:p w14:paraId="51EA71CA" w14:textId="77777777" w:rsidR="002A153E" w:rsidRPr="007E3A51" w:rsidRDefault="002A153E" w:rsidP="00821101">
            <w:pPr>
              <w:spacing w:after="0" w:line="240" w:lineRule="auto"/>
              <w:jc w:val="center"/>
              <w:rPr>
                <w:rFonts w:ascii="Times New Roman" w:hAnsi="Times New Roman" w:cs="Times New Roman"/>
                <w:sz w:val="18"/>
                <w:szCs w:val="18"/>
                <w:lang w:val="en-GB"/>
              </w:rPr>
            </w:pPr>
            <w:r w:rsidRPr="007E3A51">
              <w:rPr>
                <w:rFonts w:ascii="Times New Roman" w:hAnsi="Times New Roman" w:cs="Times New Roman"/>
                <w:sz w:val="18"/>
                <w:szCs w:val="18"/>
                <w:lang w:val="en-GB"/>
              </w:rPr>
              <w:t>Nominal difference</w:t>
            </w:r>
          </w:p>
        </w:tc>
        <w:tc>
          <w:tcPr>
            <w:tcW w:w="1028" w:type="dxa"/>
            <w:vAlign w:val="center"/>
          </w:tcPr>
          <w:p w14:paraId="2A1C3690" w14:textId="77777777" w:rsidR="002A153E" w:rsidRPr="007E3A51" w:rsidRDefault="002A153E" w:rsidP="00821101">
            <w:pPr>
              <w:spacing w:after="0" w:line="240" w:lineRule="auto"/>
              <w:jc w:val="center"/>
              <w:rPr>
                <w:rFonts w:ascii="Times New Roman" w:hAnsi="Times New Roman" w:cs="Times New Roman"/>
                <w:sz w:val="18"/>
                <w:szCs w:val="18"/>
                <w:lang w:val="en-GB"/>
              </w:rPr>
            </w:pPr>
            <w:r w:rsidRPr="007E3A51">
              <w:rPr>
                <w:rFonts w:ascii="Times New Roman" w:hAnsi="Times New Roman" w:cs="Times New Roman"/>
                <w:sz w:val="18"/>
                <w:szCs w:val="18"/>
                <w:lang w:val="en-GB"/>
              </w:rPr>
              <w:t>YoY change,%</w:t>
            </w:r>
          </w:p>
        </w:tc>
      </w:tr>
      <w:tr w:rsidR="00417DD6" w:rsidRPr="007E3A51" w14:paraId="1164DCB3" w14:textId="77777777" w:rsidTr="00821101">
        <w:trPr>
          <w:trHeight w:val="340"/>
          <w:jc w:val="center"/>
        </w:trPr>
        <w:tc>
          <w:tcPr>
            <w:tcW w:w="9639" w:type="dxa"/>
            <w:gridSpan w:val="9"/>
            <w:noWrap/>
            <w:vAlign w:val="center"/>
          </w:tcPr>
          <w:p w14:paraId="40156F8A" w14:textId="7777777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Harvested area of annual and biennial crops, thousand hectares</w:t>
            </w:r>
          </w:p>
        </w:tc>
      </w:tr>
      <w:tr w:rsidR="00417DD6" w:rsidRPr="007E3A51" w14:paraId="43508C1C" w14:textId="77777777" w:rsidTr="00D023BF">
        <w:trPr>
          <w:trHeight w:val="300"/>
          <w:jc w:val="center"/>
        </w:trPr>
        <w:tc>
          <w:tcPr>
            <w:tcW w:w="1418" w:type="dxa"/>
            <w:noWrap/>
            <w:vAlign w:val="center"/>
            <w:hideMark/>
          </w:tcPr>
          <w:p w14:paraId="65737127" w14:textId="359B74AC"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cereal and </w:t>
            </w:r>
            <w:r w:rsidR="00821101" w:rsidRPr="007E3A51">
              <w:rPr>
                <w:rFonts w:ascii="Times New Roman" w:hAnsi="Times New Roman" w:cs="Times New Roman"/>
                <w:sz w:val="20"/>
                <w:szCs w:val="20"/>
                <w:lang w:val="en-GB"/>
              </w:rPr>
              <w:br/>
            </w:r>
            <w:r w:rsidRPr="007E3A51">
              <w:rPr>
                <w:rFonts w:ascii="Times New Roman" w:hAnsi="Times New Roman" w:cs="Times New Roman"/>
                <w:sz w:val="20"/>
                <w:szCs w:val="20"/>
                <w:lang w:val="en-GB"/>
              </w:rPr>
              <w:t>leguminous crops</w:t>
            </w:r>
          </w:p>
        </w:tc>
        <w:tc>
          <w:tcPr>
            <w:tcW w:w="1027" w:type="dxa"/>
            <w:noWrap/>
            <w:vAlign w:val="center"/>
            <w:hideMark/>
          </w:tcPr>
          <w:p w14:paraId="18C8D2DE" w14:textId="7777777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w:t>
            </w:r>
          </w:p>
        </w:tc>
        <w:tc>
          <w:tcPr>
            <w:tcW w:w="1028" w:type="dxa"/>
            <w:vAlign w:val="center"/>
          </w:tcPr>
          <w:p w14:paraId="6B4E3F20" w14:textId="6465573D"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-0</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06</w:t>
            </w:r>
          </w:p>
        </w:tc>
        <w:tc>
          <w:tcPr>
            <w:tcW w:w="1027" w:type="dxa"/>
            <w:noWrap/>
            <w:vAlign w:val="center"/>
            <w:hideMark/>
          </w:tcPr>
          <w:p w14:paraId="33D89C79" w14:textId="4390266A"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665</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w:t>
            </w:r>
          </w:p>
        </w:tc>
        <w:tc>
          <w:tcPr>
            <w:tcW w:w="1028" w:type="dxa"/>
            <w:vAlign w:val="center"/>
          </w:tcPr>
          <w:p w14:paraId="17F78C60" w14:textId="0960D902"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35</w:t>
            </w:r>
          </w:p>
        </w:tc>
        <w:tc>
          <w:tcPr>
            <w:tcW w:w="1028" w:type="dxa"/>
            <w:noWrap/>
            <w:vAlign w:val="center"/>
            <w:hideMark/>
          </w:tcPr>
          <w:p w14:paraId="0ED0FE1E" w14:textId="23A21FD2"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-4175</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w:t>
            </w:r>
          </w:p>
        </w:tc>
        <w:tc>
          <w:tcPr>
            <w:tcW w:w="1027" w:type="dxa"/>
            <w:vAlign w:val="center"/>
          </w:tcPr>
          <w:p w14:paraId="02B18411" w14:textId="56631440"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-26</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18</w:t>
            </w:r>
          </w:p>
        </w:tc>
        <w:tc>
          <w:tcPr>
            <w:tcW w:w="1028" w:type="dxa"/>
            <w:noWrap/>
            <w:vAlign w:val="center"/>
            <w:hideMark/>
          </w:tcPr>
          <w:p w14:paraId="6F24385F" w14:textId="7777777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-937</w:t>
            </w:r>
          </w:p>
        </w:tc>
        <w:tc>
          <w:tcPr>
            <w:tcW w:w="1028" w:type="dxa"/>
            <w:vAlign w:val="center"/>
          </w:tcPr>
          <w:p w14:paraId="5B937731" w14:textId="2F88A2A1"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96</w:t>
            </w:r>
          </w:p>
        </w:tc>
      </w:tr>
      <w:tr w:rsidR="00417DD6" w:rsidRPr="007E3A51" w14:paraId="1BCE891E" w14:textId="77777777" w:rsidTr="00D023BF">
        <w:trPr>
          <w:trHeight w:val="300"/>
          <w:jc w:val="center"/>
        </w:trPr>
        <w:tc>
          <w:tcPr>
            <w:tcW w:w="1418" w:type="dxa"/>
            <w:noWrap/>
            <w:vAlign w:val="center"/>
            <w:hideMark/>
          </w:tcPr>
          <w:p w14:paraId="041BEAF0" w14:textId="77777777"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wheat</w:t>
            </w:r>
          </w:p>
        </w:tc>
        <w:tc>
          <w:tcPr>
            <w:tcW w:w="1027" w:type="dxa"/>
            <w:noWrap/>
            <w:vAlign w:val="center"/>
            <w:hideMark/>
          </w:tcPr>
          <w:p w14:paraId="3E10A7B8" w14:textId="012712FD"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-257</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w:t>
            </w:r>
          </w:p>
        </w:tc>
        <w:tc>
          <w:tcPr>
            <w:tcW w:w="1028" w:type="dxa"/>
            <w:vAlign w:val="center"/>
          </w:tcPr>
          <w:p w14:paraId="1FFF0FF8" w14:textId="2F00046A"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79</w:t>
            </w:r>
          </w:p>
        </w:tc>
        <w:tc>
          <w:tcPr>
            <w:tcW w:w="1027" w:type="dxa"/>
            <w:noWrap/>
            <w:vAlign w:val="center"/>
            <w:hideMark/>
          </w:tcPr>
          <w:p w14:paraId="17145392" w14:textId="1B5E9B0E"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535</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w:t>
            </w:r>
          </w:p>
        </w:tc>
        <w:tc>
          <w:tcPr>
            <w:tcW w:w="1028" w:type="dxa"/>
            <w:vAlign w:val="center"/>
          </w:tcPr>
          <w:p w14:paraId="01D6BD8B" w14:textId="1D13CE64"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17</w:t>
            </w:r>
          </w:p>
        </w:tc>
        <w:tc>
          <w:tcPr>
            <w:tcW w:w="1028" w:type="dxa"/>
            <w:noWrap/>
            <w:vAlign w:val="center"/>
            <w:hideMark/>
          </w:tcPr>
          <w:p w14:paraId="26322523" w14:textId="38C53FC1"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-1808</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w:t>
            </w:r>
          </w:p>
        </w:tc>
        <w:tc>
          <w:tcPr>
            <w:tcW w:w="1027" w:type="dxa"/>
            <w:vAlign w:val="center"/>
          </w:tcPr>
          <w:p w14:paraId="6CC76690" w14:textId="5FB58D8B"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-25</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51</w:t>
            </w:r>
          </w:p>
        </w:tc>
        <w:tc>
          <w:tcPr>
            <w:tcW w:w="1028" w:type="dxa"/>
            <w:noWrap/>
            <w:vAlign w:val="center"/>
            <w:hideMark/>
          </w:tcPr>
          <w:p w14:paraId="38B691A8" w14:textId="5BAE6A4C"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-623</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w:t>
            </w:r>
          </w:p>
        </w:tc>
        <w:tc>
          <w:tcPr>
            <w:tcW w:w="1028" w:type="dxa"/>
            <w:vAlign w:val="center"/>
          </w:tcPr>
          <w:p w14:paraId="4EFEB0B9" w14:textId="662702AA"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-11</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80</w:t>
            </w:r>
          </w:p>
        </w:tc>
      </w:tr>
      <w:tr w:rsidR="00417DD6" w:rsidRPr="007E3A51" w14:paraId="151A9842" w14:textId="77777777" w:rsidTr="00D023BF">
        <w:trPr>
          <w:trHeight w:val="300"/>
          <w:jc w:val="center"/>
        </w:trPr>
        <w:tc>
          <w:tcPr>
            <w:tcW w:w="1418" w:type="dxa"/>
            <w:noWrap/>
            <w:vAlign w:val="center"/>
            <w:hideMark/>
          </w:tcPr>
          <w:p w14:paraId="5D6F0A8E" w14:textId="77777777"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maize</w:t>
            </w:r>
          </w:p>
        </w:tc>
        <w:tc>
          <w:tcPr>
            <w:tcW w:w="1027" w:type="dxa"/>
            <w:noWrap/>
            <w:vAlign w:val="center"/>
            <w:hideMark/>
          </w:tcPr>
          <w:p w14:paraId="07F4CE71" w14:textId="2D02B8A1"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405</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w:t>
            </w:r>
          </w:p>
        </w:tc>
        <w:tc>
          <w:tcPr>
            <w:tcW w:w="1028" w:type="dxa"/>
            <w:vAlign w:val="center"/>
          </w:tcPr>
          <w:p w14:paraId="55A08B42" w14:textId="10A836DB"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13</w:t>
            </w:r>
          </w:p>
        </w:tc>
        <w:tc>
          <w:tcPr>
            <w:tcW w:w="1027" w:type="dxa"/>
            <w:noWrap/>
            <w:vAlign w:val="center"/>
            <w:hideMark/>
          </w:tcPr>
          <w:p w14:paraId="0B0B4463" w14:textId="49688BE6"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89</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w:t>
            </w:r>
          </w:p>
        </w:tc>
        <w:tc>
          <w:tcPr>
            <w:tcW w:w="1028" w:type="dxa"/>
            <w:vAlign w:val="center"/>
          </w:tcPr>
          <w:p w14:paraId="4A4B4289" w14:textId="0984D32B"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66</w:t>
            </w:r>
          </w:p>
        </w:tc>
        <w:tc>
          <w:tcPr>
            <w:tcW w:w="1028" w:type="dxa"/>
            <w:noWrap/>
            <w:vAlign w:val="center"/>
            <w:hideMark/>
          </w:tcPr>
          <w:p w14:paraId="444460EE" w14:textId="3CDBE08B"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-1357</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w:t>
            </w:r>
          </w:p>
        </w:tc>
        <w:tc>
          <w:tcPr>
            <w:tcW w:w="1027" w:type="dxa"/>
            <w:vAlign w:val="center"/>
          </w:tcPr>
          <w:p w14:paraId="0E47582A" w14:textId="2FDCD111"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76</w:t>
            </w:r>
          </w:p>
        </w:tc>
        <w:tc>
          <w:tcPr>
            <w:tcW w:w="1028" w:type="dxa"/>
            <w:noWrap/>
            <w:vAlign w:val="center"/>
            <w:hideMark/>
          </w:tcPr>
          <w:p w14:paraId="620E0498" w14:textId="409C477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-149</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w:t>
            </w:r>
          </w:p>
        </w:tc>
        <w:tc>
          <w:tcPr>
            <w:tcW w:w="1028" w:type="dxa"/>
            <w:vAlign w:val="center"/>
          </w:tcPr>
          <w:p w14:paraId="4ED3240B" w14:textId="15A7493A"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62</w:t>
            </w:r>
          </w:p>
        </w:tc>
      </w:tr>
      <w:tr w:rsidR="00417DD6" w:rsidRPr="007E3A51" w14:paraId="756B0D38" w14:textId="77777777" w:rsidTr="00D023BF">
        <w:trPr>
          <w:trHeight w:val="300"/>
          <w:jc w:val="center"/>
        </w:trPr>
        <w:tc>
          <w:tcPr>
            <w:tcW w:w="1418" w:type="dxa"/>
            <w:noWrap/>
            <w:vAlign w:val="center"/>
            <w:hideMark/>
          </w:tcPr>
          <w:p w14:paraId="384FE2C9" w14:textId="77777777"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barley</w:t>
            </w:r>
          </w:p>
        </w:tc>
        <w:tc>
          <w:tcPr>
            <w:tcW w:w="1027" w:type="dxa"/>
            <w:noWrap/>
            <w:vAlign w:val="center"/>
            <w:hideMark/>
          </w:tcPr>
          <w:p w14:paraId="6BBC0572" w14:textId="15B7A026"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-234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w:t>
            </w:r>
          </w:p>
        </w:tc>
        <w:tc>
          <w:tcPr>
            <w:tcW w:w="1028" w:type="dxa"/>
            <w:vAlign w:val="center"/>
          </w:tcPr>
          <w:p w14:paraId="2729CABF" w14:textId="2ACBC46C"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00</w:t>
            </w:r>
          </w:p>
        </w:tc>
        <w:tc>
          <w:tcPr>
            <w:tcW w:w="1027" w:type="dxa"/>
            <w:noWrap/>
            <w:vAlign w:val="center"/>
            <w:hideMark/>
          </w:tcPr>
          <w:p w14:paraId="0953BD42" w14:textId="09AB7331"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97</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w:t>
            </w:r>
          </w:p>
        </w:tc>
        <w:tc>
          <w:tcPr>
            <w:tcW w:w="1028" w:type="dxa"/>
            <w:vAlign w:val="center"/>
          </w:tcPr>
          <w:p w14:paraId="6C904578" w14:textId="619A3594"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11</w:t>
            </w:r>
          </w:p>
        </w:tc>
        <w:tc>
          <w:tcPr>
            <w:tcW w:w="1028" w:type="dxa"/>
            <w:noWrap/>
            <w:vAlign w:val="center"/>
            <w:hideMark/>
          </w:tcPr>
          <w:p w14:paraId="75C60B25" w14:textId="322A3C51"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-731</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w:t>
            </w:r>
          </w:p>
        </w:tc>
        <w:tc>
          <w:tcPr>
            <w:tcW w:w="1027" w:type="dxa"/>
            <w:vAlign w:val="center"/>
          </w:tcPr>
          <w:p w14:paraId="49A682B3" w14:textId="7A56F39A"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-29</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61</w:t>
            </w:r>
          </w:p>
        </w:tc>
        <w:tc>
          <w:tcPr>
            <w:tcW w:w="1028" w:type="dxa"/>
            <w:noWrap/>
            <w:vAlign w:val="center"/>
            <w:hideMark/>
          </w:tcPr>
          <w:p w14:paraId="13F0FB66" w14:textId="5D3F24A8"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-245</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w:t>
            </w:r>
          </w:p>
        </w:tc>
        <w:tc>
          <w:tcPr>
            <w:tcW w:w="1028" w:type="dxa"/>
            <w:vAlign w:val="center"/>
          </w:tcPr>
          <w:p w14:paraId="1EE940E3" w14:textId="4E4020B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13</w:t>
            </w:r>
          </w:p>
        </w:tc>
      </w:tr>
      <w:tr w:rsidR="00417DD6" w:rsidRPr="007E3A51" w14:paraId="762CEC57" w14:textId="77777777" w:rsidTr="00D023BF">
        <w:trPr>
          <w:trHeight w:val="300"/>
          <w:jc w:val="center"/>
        </w:trPr>
        <w:tc>
          <w:tcPr>
            <w:tcW w:w="1418" w:type="dxa"/>
            <w:noWrap/>
            <w:vAlign w:val="center"/>
            <w:hideMark/>
          </w:tcPr>
          <w:p w14:paraId="26E7057F" w14:textId="77777777"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rye</w:t>
            </w:r>
          </w:p>
        </w:tc>
        <w:tc>
          <w:tcPr>
            <w:tcW w:w="1027" w:type="dxa"/>
            <w:noWrap/>
            <w:vAlign w:val="center"/>
            <w:hideMark/>
          </w:tcPr>
          <w:p w14:paraId="07CA9F0C" w14:textId="1D50CFDB"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22</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w:t>
            </w:r>
          </w:p>
        </w:tc>
        <w:tc>
          <w:tcPr>
            <w:tcW w:w="1028" w:type="dxa"/>
            <w:vAlign w:val="center"/>
          </w:tcPr>
          <w:p w14:paraId="034454E6" w14:textId="5EBCD359"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19</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41</w:t>
            </w:r>
          </w:p>
        </w:tc>
        <w:tc>
          <w:tcPr>
            <w:tcW w:w="1027" w:type="dxa"/>
            <w:noWrap/>
            <w:vAlign w:val="center"/>
            <w:hideMark/>
          </w:tcPr>
          <w:p w14:paraId="6F799E3E" w14:textId="10602666"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33</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w:t>
            </w:r>
          </w:p>
        </w:tc>
        <w:tc>
          <w:tcPr>
            <w:tcW w:w="1028" w:type="dxa"/>
            <w:vAlign w:val="center"/>
          </w:tcPr>
          <w:p w14:paraId="27B8B48D" w14:textId="4C651EE8"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53</w:t>
            </w:r>
          </w:p>
        </w:tc>
        <w:tc>
          <w:tcPr>
            <w:tcW w:w="1028" w:type="dxa"/>
            <w:noWrap/>
            <w:vAlign w:val="center"/>
            <w:hideMark/>
          </w:tcPr>
          <w:p w14:paraId="73F35192" w14:textId="123CA0D9"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-70</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w:t>
            </w:r>
          </w:p>
        </w:tc>
        <w:tc>
          <w:tcPr>
            <w:tcW w:w="1027" w:type="dxa"/>
            <w:vAlign w:val="center"/>
          </w:tcPr>
          <w:p w14:paraId="588D51C3" w14:textId="28107806"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-40</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85</w:t>
            </w:r>
          </w:p>
        </w:tc>
        <w:tc>
          <w:tcPr>
            <w:tcW w:w="1028" w:type="dxa"/>
            <w:noWrap/>
            <w:vAlign w:val="center"/>
            <w:hideMark/>
          </w:tcPr>
          <w:p w14:paraId="40868C1E" w14:textId="1C0A6C69"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-23</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w:t>
            </w:r>
          </w:p>
        </w:tc>
        <w:tc>
          <w:tcPr>
            <w:tcW w:w="1028" w:type="dxa"/>
            <w:vAlign w:val="center"/>
          </w:tcPr>
          <w:p w14:paraId="04BA326B" w14:textId="76D244F3"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-22</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76</w:t>
            </w:r>
          </w:p>
        </w:tc>
      </w:tr>
      <w:tr w:rsidR="00417DD6" w:rsidRPr="007E3A51" w14:paraId="179810D6" w14:textId="77777777" w:rsidTr="00D023BF">
        <w:trPr>
          <w:trHeight w:val="300"/>
          <w:jc w:val="center"/>
        </w:trPr>
        <w:tc>
          <w:tcPr>
            <w:tcW w:w="1418" w:type="dxa"/>
            <w:noWrap/>
            <w:vAlign w:val="center"/>
            <w:hideMark/>
          </w:tcPr>
          <w:p w14:paraId="3473ABA9" w14:textId="77777777"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soybeans</w:t>
            </w:r>
          </w:p>
        </w:tc>
        <w:tc>
          <w:tcPr>
            <w:tcW w:w="1027" w:type="dxa"/>
            <w:noWrap/>
            <w:vAlign w:val="center"/>
            <w:hideMark/>
          </w:tcPr>
          <w:p w14:paraId="548D3501" w14:textId="11C18CF9"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-248</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w:t>
            </w:r>
          </w:p>
        </w:tc>
        <w:tc>
          <w:tcPr>
            <w:tcW w:w="1028" w:type="dxa"/>
            <w:vAlign w:val="center"/>
          </w:tcPr>
          <w:p w14:paraId="4837538F" w14:textId="332ED95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-15</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41</w:t>
            </w:r>
          </w:p>
        </w:tc>
        <w:tc>
          <w:tcPr>
            <w:tcW w:w="1027" w:type="dxa"/>
            <w:noWrap/>
            <w:vAlign w:val="center"/>
            <w:hideMark/>
          </w:tcPr>
          <w:p w14:paraId="0D8D79E2" w14:textId="7793C653"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-41</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w:t>
            </w:r>
          </w:p>
        </w:tc>
        <w:tc>
          <w:tcPr>
            <w:tcW w:w="1028" w:type="dxa"/>
            <w:vAlign w:val="center"/>
          </w:tcPr>
          <w:p w14:paraId="078979EB" w14:textId="70325A8B"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03</w:t>
            </w:r>
          </w:p>
        </w:tc>
        <w:tc>
          <w:tcPr>
            <w:tcW w:w="1028" w:type="dxa"/>
            <w:noWrap/>
            <w:vAlign w:val="center"/>
            <w:hideMark/>
          </w:tcPr>
          <w:p w14:paraId="4016E34B" w14:textId="65A5159E"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204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w:t>
            </w:r>
          </w:p>
        </w:tc>
        <w:tc>
          <w:tcPr>
            <w:tcW w:w="1027" w:type="dxa"/>
            <w:vAlign w:val="center"/>
          </w:tcPr>
          <w:p w14:paraId="491A938E" w14:textId="40943A8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15</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44</w:t>
            </w:r>
          </w:p>
        </w:tc>
        <w:tc>
          <w:tcPr>
            <w:tcW w:w="1028" w:type="dxa"/>
            <w:noWrap/>
            <w:vAlign w:val="center"/>
            <w:hideMark/>
          </w:tcPr>
          <w:p w14:paraId="1B9B8A3A" w14:textId="466D3426"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306</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w:t>
            </w:r>
          </w:p>
        </w:tc>
        <w:tc>
          <w:tcPr>
            <w:tcW w:w="1028" w:type="dxa"/>
            <w:vAlign w:val="center"/>
          </w:tcPr>
          <w:p w14:paraId="39128C2B" w14:textId="66305AEF"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20</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09</w:t>
            </w:r>
          </w:p>
        </w:tc>
      </w:tr>
      <w:tr w:rsidR="00417DD6" w:rsidRPr="007E3A51" w14:paraId="00FD7C62" w14:textId="77777777" w:rsidTr="00625A8A">
        <w:trPr>
          <w:trHeight w:val="742"/>
          <w:jc w:val="center"/>
        </w:trPr>
        <w:tc>
          <w:tcPr>
            <w:tcW w:w="1418" w:type="dxa"/>
            <w:noWrap/>
            <w:vAlign w:val="center"/>
            <w:hideMark/>
          </w:tcPr>
          <w:p w14:paraId="3FCA9299" w14:textId="755D75F1"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rapeseed </w:t>
            </w:r>
            <w:r w:rsidR="00821101" w:rsidRPr="007E3A51">
              <w:rPr>
                <w:rFonts w:ascii="Times New Roman" w:hAnsi="Times New Roman" w:cs="Times New Roman"/>
                <w:sz w:val="20"/>
                <w:szCs w:val="20"/>
                <w:lang w:val="en-GB"/>
              </w:rPr>
              <w:br/>
            </w:r>
            <w:r w:rsidRPr="007E3A51">
              <w:rPr>
                <w:rFonts w:ascii="Times New Roman" w:hAnsi="Times New Roman" w:cs="Times New Roman"/>
                <w:sz w:val="20"/>
                <w:szCs w:val="20"/>
                <w:lang w:val="en-GB"/>
              </w:rPr>
              <w:t>(winter and spring)</w:t>
            </w:r>
          </w:p>
        </w:tc>
        <w:tc>
          <w:tcPr>
            <w:tcW w:w="1027" w:type="dxa"/>
            <w:noWrap/>
            <w:vAlign w:val="center"/>
            <w:hideMark/>
          </w:tcPr>
          <w:p w14:paraId="5966BB8A" w14:textId="4C6CB56B"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-166</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w:t>
            </w:r>
          </w:p>
        </w:tc>
        <w:tc>
          <w:tcPr>
            <w:tcW w:w="1028" w:type="dxa"/>
            <w:vAlign w:val="center"/>
          </w:tcPr>
          <w:p w14:paraId="553593AB" w14:textId="0AA94040"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-13</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03</w:t>
            </w:r>
          </w:p>
        </w:tc>
        <w:tc>
          <w:tcPr>
            <w:tcW w:w="1027" w:type="dxa"/>
            <w:noWrap/>
            <w:vAlign w:val="center"/>
            <w:hideMark/>
          </w:tcPr>
          <w:p w14:paraId="036EEE9A" w14:textId="7777777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-108</w:t>
            </w:r>
          </w:p>
        </w:tc>
        <w:tc>
          <w:tcPr>
            <w:tcW w:w="1028" w:type="dxa"/>
            <w:vAlign w:val="center"/>
          </w:tcPr>
          <w:p w14:paraId="51C43780" w14:textId="57325E48"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71</w:t>
            </w:r>
          </w:p>
        </w:tc>
        <w:tc>
          <w:tcPr>
            <w:tcW w:w="1028" w:type="dxa"/>
            <w:noWrap/>
            <w:vAlign w:val="center"/>
            <w:hideMark/>
          </w:tcPr>
          <w:p w14:paraId="6F92141F" w14:textId="3F44624F"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151</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w:t>
            </w:r>
          </w:p>
        </w:tc>
        <w:tc>
          <w:tcPr>
            <w:tcW w:w="1027" w:type="dxa"/>
            <w:vAlign w:val="center"/>
          </w:tcPr>
          <w:p w14:paraId="521AD54F" w14:textId="616482E9"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15</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10</w:t>
            </w:r>
          </w:p>
        </w:tc>
        <w:tc>
          <w:tcPr>
            <w:tcW w:w="1028" w:type="dxa"/>
            <w:noWrap/>
            <w:vAlign w:val="center"/>
            <w:hideMark/>
          </w:tcPr>
          <w:p w14:paraId="6A760EB0" w14:textId="3F444C63"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275</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w:t>
            </w:r>
          </w:p>
        </w:tc>
        <w:tc>
          <w:tcPr>
            <w:tcW w:w="1028" w:type="dxa"/>
            <w:vAlign w:val="center"/>
          </w:tcPr>
          <w:p w14:paraId="4E1E71B8" w14:textId="5DB366B6"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23</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82</w:t>
            </w:r>
          </w:p>
        </w:tc>
      </w:tr>
      <w:tr w:rsidR="00417DD6" w:rsidRPr="007E3A51" w14:paraId="3AAC649C" w14:textId="77777777" w:rsidTr="00D023BF">
        <w:trPr>
          <w:trHeight w:val="300"/>
          <w:jc w:val="center"/>
        </w:trPr>
        <w:tc>
          <w:tcPr>
            <w:tcW w:w="1418" w:type="dxa"/>
            <w:noWrap/>
            <w:vAlign w:val="center"/>
            <w:hideMark/>
          </w:tcPr>
          <w:p w14:paraId="17997B98" w14:textId="77777777"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sunflower</w:t>
            </w:r>
          </w:p>
        </w:tc>
        <w:tc>
          <w:tcPr>
            <w:tcW w:w="1027" w:type="dxa"/>
            <w:noWrap/>
            <w:vAlign w:val="center"/>
            <w:hideMark/>
          </w:tcPr>
          <w:p w14:paraId="76272E57" w14:textId="58953486"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522</w:t>
            </w:r>
          </w:p>
        </w:tc>
        <w:tc>
          <w:tcPr>
            <w:tcW w:w="1028" w:type="dxa"/>
            <w:vAlign w:val="center"/>
          </w:tcPr>
          <w:p w14:paraId="5829A6D1" w14:textId="0F75F46A"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76</w:t>
            </w:r>
          </w:p>
        </w:tc>
        <w:tc>
          <w:tcPr>
            <w:tcW w:w="1027" w:type="dxa"/>
            <w:noWrap/>
            <w:vAlign w:val="center"/>
            <w:hideMark/>
          </w:tcPr>
          <w:p w14:paraId="50F1950A" w14:textId="79B2305A"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184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w:t>
            </w:r>
          </w:p>
        </w:tc>
        <w:tc>
          <w:tcPr>
            <w:tcW w:w="1028" w:type="dxa"/>
            <w:vAlign w:val="center"/>
          </w:tcPr>
          <w:p w14:paraId="5EEF76CC" w14:textId="49B3E626"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84</w:t>
            </w:r>
          </w:p>
        </w:tc>
        <w:tc>
          <w:tcPr>
            <w:tcW w:w="1028" w:type="dxa"/>
            <w:noWrap/>
            <w:vAlign w:val="center"/>
            <w:hideMark/>
          </w:tcPr>
          <w:p w14:paraId="23AD6BF8" w14:textId="7D2F627A"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-1427</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w:t>
            </w:r>
          </w:p>
        </w:tc>
        <w:tc>
          <w:tcPr>
            <w:tcW w:w="1027" w:type="dxa"/>
            <w:vAlign w:val="center"/>
          </w:tcPr>
          <w:p w14:paraId="4F13C63C" w14:textId="7D7FA33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-21</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41</w:t>
            </w:r>
          </w:p>
        </w:tc>
        <w:tc>
          <w:tcPr>
            <w:tcW w:w="1028" w:type="dxa"/>
            <w:noWrap/>
            <w:vAlign w:val="center"/>
            <w:hideMark/>
          </w:tcPr>
          <w:p w14:paraId="44A8CE07" w14:textId="784B97E3"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-36</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w:t>
            </w:r>
          </w:p>
        </w:tc>
        <w:tc>
          <w:tcPr>
            <w:tcW w:w="1028" w:type="dxa"/>
            <w:vAlign w:val="center"/>
          </w:tcPr>
          <w:p w14:paraId="1AF4C168" w14:textId="605418B1"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-0</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69</w:t>
            </w:r>
          </w:p>
        </w:tc>
      </w:tr>
      <w:tr w:rsidR="00417DD6" w:rsidRPr="007E3A51" w14:paraId="49E07719" w14:textId="77777777" w:rsidTr="00821101">
        <w:trPr>
          <w:trHeight w:val="300"/>
          <w:jc w:val="center"/>
        </w:trPr>
        <w:tc>
          <w:tcPr>
            <w:tcW w:w="9639" w:type="dxa"/>
            <w:gridSpan w:val="9"/>
            <w:noWrap/>
            <w:vAlign w:val="center"/>
          </w:tcPr>
          <w:p w14:paraId="029C867F" w14:textId="7777777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Production volume (gross harvest) of annual and biennial crops, thousand centners</w:t>
            </w:r>
          </w:p>
        </w:tc>
      </w:tr>
      <w:tr w:rsidR="00417DD6" w:rsidRPr="007E3A51" w14:paraId="60BD8C6C" w14:textId="77777777" w:rsidTr="00D023BF">
        <w:trPr>
          <w:trHeight w:val="300"/>
          <w:jc w:val="center"/>
        </w:trPr>
        <w:tc>
          <w:tcPr>
            <w:tcW w:w="1418" w:type="dxa"/>
            <w:noWrap/>
            <w:vAlign w:val="center"/>
            <w:hideMark/>
          </w:tcPr>
          <w:p w14:paraId="4345E66E" w14:textId="1832F13D"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cereal and </w:t>
            </w:r>
            <w:r w:rsidR="00821101" w:rsidRPr="007E3A51">
              <w:rPr>
                <w:rFonts w:ascii="Times New Roman" w:hAnsi="Times New Roman" w:cs="Times New Roman"/>
                <w:sz w:val="20"/>
                <w:szCs w:val="20"/>
                <w:lang w:val="en-GB"/>
              </w:rPr>
              <w:br/>
            </w:r>
            <w:r w:rsidRPr="007E3A51">
              <w:rPr>
                <w:rFonts w:ascii="Times New Roman" w:hAnsi="Times New Roman" w:cs="Times New Roman"/>
                <w:sz w:val="20"/>
                <w:szCs w:val="20"/>
                <w:lang w:val="en-GB"/>
              </w:rPr>
              <w:t>leguminous crops</w:t>
            </w:r>
          </w:p>
        </w:tc>
        <w:tc>
          <w:tcPr>
            <w:tcW w:w="1027" w:type="dxa"/>
            <w:noWrap/>
            <w:vAlign w:val="center"/>
            <w:hideMark/>
          </w:tcPr>
          <w:p w14:paraId="6BA5ED77" w14:textId="730DEFD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-102098</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w:t>
            </w:r>
          </w:p>
        </w:tc>
        <w:tc>
          <w:tcPr>
            <w:tcW w:w="1028" w:type="dxa"/>
            <w:vAlign w:val="center"/>
          </w:tcPr>
          <w:p w14:paraId="5793D076" w14:textId="1D48B4C4"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-13</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59</w:t>
            </w:r>
          </w:p>
        </w:tc>
        <w:tc>
          <w:tcPr>
            <w:tcW w:w="1027" w:type="dxa"/>
            <w:noWrap/>
            <w:vAlign w:val="center"/>
            <w:hideMark/>
          </w:tcPr>
          <w:p w14:paraId="5CB11DCD" w14:textId="331414D8"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210770</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w:t>
            </w:r>
          </w:p>
        </w:tc>
        <w:tc>
          <w:tcPr>
            <w:tcW w:w="1028" w:type="dxa"/>
            <w:vAlign w:val="center"/>
          </w:tcPr>
          <w:p w14:paraId="11D120A2" w14:textId="08E80530"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32</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46</w:t>
            </w:r>
          </w:p>
        </w:tc>
        <w:tc>
          <w:tcPr>
            <w:tcW w:w="1028" w:type="dxa"/>
            <w:noWrap/>
            <w:vAlign w:val="center"/>
            <w:hideMark/>
          </w:tcPr>
          <w:p w14:paraId="1EDDB48E" w14:textId="7777777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-321467</w:t>
            </w:r>
          </w:p>
        </w:tc>
        <w:tc>
          <w:tcPr>
            <w:tcW w:w="1027" w:type="dxa"/>
            <w:vAlign w:val="center"/>
          </w:tcPr>
          <w:p w14:paraId="3A646CED" w14:textId="69D9A6C8"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-37</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38</w:t>
            </w:r>
          </w:p>
        </w:tc>
        <w:tc>
          <w:tcPr>
            <w:tcW w:w="1028" w:type="dxa"/>
            <w:noWrap/>
            <w:vAlign w:val="center"/>
            <w:hideMark/>
          </w:tcPr>
          <w:p w14:paraId="39B3828F" w14:textId="7D8D144D"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59085</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w:t>
            </w:r>
          </w:p>
        </w:tc>
        <w:tc>
          <w:tcPr>
            <w:tcW w:w="1028" w:type="dxa"/>
            <w:vAlign w:val="center"/>
          </w:tcPr>
          <w:p w14:paraId="36A48636" w14:textId="3E10F0F5"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97</w:t>
            </w:r>
          </w:p>
        </w:tc>
      </w:tr>
      <w:tr w:rsidR="00417DD6" w:rsidRPr="007E3A51" w14:paraId="63D93061" w14:textId="77777777" w:rsidTr="00D023BF">
        <w:trPr>
          <w:trHeight w:val="300"/>
          <w:jc w:val="center"/>
        </w:trPr>
        <w:tc>
          <w:tcPr>
            <w:tcW w:w="1418" w:type="dxa"/>
            <w:noWrap/>
            <w:vAlign w:val="center"/>
            <w:hideMark/>
          </w:tcPr>
          <w:p w14:paraId="62C0FE06" w14:textId="77777777"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wheat</w:t>
            </w:r>
          </w:p>
        </w:tc>
        <w:tc>
          <w:tcPr>
            <w:tcW w:w="1027" w:type="dxa"/>
            <w:noWrap/>
            <w:vAlign w:val="center"/>
            <w:hideMark/>
          </w:tcPr>
          <w:p w14:paraId="20DE1083" w14:textId="2527835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-34504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w:t>
            </w:r>
          </w:p>
        </w:tc>
        <w:tc>
          <w:tcPr>
            <w:tcW w:w="1028" w:type="dxa"/>
            <w:vAlign w:val="center"/>
          </w:tcPr>
          <w:p w14:paraId="022C2D63" w14:textId="5C3CC3E4"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-12</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18</w:t>
            </w:r>
          </w:p>
        </w:tc>
        <w:tc>
          <w:tcPr>
            <w:tcW w:w="1027" w:type="dxa"/>
            <w:noWrap/>
            <w:vAlign w:val="center"/>
            <w:hideMark/>
          </w:tcPr>
          <w:p w14:paraId="73D5E07D" w14:textId="2EBD9E14"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72736</w:t>
            </w:r>
          </w:p>
        </w:tc>
        <w:tc>
          <w:tcPr>
            <w:tcW w:w="1028" w:type="dxa"/>
            <w:vAlign w:val="center"/>
          </w:tcPr>
          <w:p w14:paraId="6F121E16" w14:textId="3DA3DC95"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29</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24</w:t>
            </w:r>
          </w:p>
        </w:tc>
        <w:tc>
          <w:tcPr>
            <w:tcW w:w="1028" w:type="dxa"/>
            <w:noWrap/>
            <w:vAlign w:val="center"/>
            <w:hideMark/>
          </w:tcPr>
          <w:p w14:paraId="25191A5F" w14:textId="7777777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-114218</w:t>
            </w:r>
          </w:p>
        </w:tc>
        <w:tc>
          <w:tcPr>
            <w:tcW w:w="1027" w:type="dxa"/>
            <w:vAlign w:val="center"/>
          </w:tcPr>
          <w:p w14:paraId="4F156309" w14:textId="3236D6B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-35</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53</w:t>
            </w:r>
          </w:p>
        </w:tc>
        <w:tc>
          <w:tcPr>
            <w:tcW w:w="1028" w:type="dxa"/>
            <w:noWrap/>
            <w:vAlign w:val="center"/>
            <w:hideMark/>
          </w:tcPr>
          <w:p w14:paraId="028536C7" w14:textId="05C3141F"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8959</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w:t>
            </w:r>
          </w:p>
        </w:tc>
        <w:tc>
          <w:tcPr>
            <w:tcW w:w="1028" w:type="dxa"/>
            <w:vAlign w:val="center"/>
          </w:tcPr>
          <w:p w14:paraId="4B930FFD" w14:textId="7AA5D9A4"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32</w:t>
            </w:r>
          </w:p>
        </w:tc>
      </w:tr>
      <w:tr w:rsidR="00417DD6" w:rsidRPr="007E3A51" w14:paraId="32C0D644" w14:textId="77777777" w:rsidTr="00D023BF">
        <w:trPr>
          <w:trHeight w:val="300"/>
          <w:jc w:val="center"/>
        </w:trPr>
        <w:tc>
          <w:tcPr>
            <w:tcW w:w="1418" w:type="dxa"/>
            <w:noWrap/>
            <w:vAlign w:val="center"/>
            <w:hideMark/>
          </w:tcPr>
          <w:p w14:paraId="1E21F76B" w14:textId="77777777"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maize</w:t>
            </w:r>
          </w:p>
        </w:tc>
        <w:tc>
          <w:tcPr>
            <w:tcW w:w="1027" w:type="dxa"/>
            <w:noWrap/>
            <w:vAlign w:val="center"/>
            <w:hideMark/>
          </w:tcPr>
          <w:p w14:paraId="181D9938" w14:textId="2E7764C5"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-55897</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w:t>
            </w:r>
          </w:p>
        </w:tc>
        <w:tc>
          <w:tcPr>
            <w:tcW w:w="1028" w:type="dxa"/>
            <w:vAlign w:val="center"/>
          </w:tcPr>
          <w:p w14:paraId="428BA88C" w14:textId="7CDC749A"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-15</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58</w:t>
            </w:r>
          </w:p>
        </w:tc>
        <w:tc>
          <w:tcPr>
            <w:tcW w:w="1027" w:type="dxa"/>
            <w:noWrap/>
            <w:vAlign w:val="center"/>
            <w:hideMark/>
          </w:tcPr>
          <w:p w14:paraId="02CDED56" w14:textId="270690F8"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118195</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w:t>
            </w:r>
          </w:p>
        </w:tc>
        <w:tc>
          <w:tcPr>
            <w:tcW w:w="1028" w:type="dxa"/>
            <w:vAlign w:val="center"/>
          </w:tcPr>
          <w:p w14:paraId="3116B3FD" w14:textId="4FF526AB"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39</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02</w:t>
            </w:r>
          </w:p>
        </w:tc>
        <w:tc>
          <w:tcPr>
            <w:tcW w:w="1028" w:type="dxa"/>
            <w:noWrap/>
            <w:vAlign w:val="center"/>
            <w:hideMark/>
          </w:tcPr>
          <w:p w14:paraId="4F03D025" w14:textId="7777777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-159229</w:t>
            </w:r>
          </w:p>
        </w:tc>
        <w:tc>
          <w:tcPr>
            <w:tcW w:w="1027" w:type="dxa"/>
            <w:vAlign w:val="center"/>
          </w:tcPr>
          <w:p w14:paraId="6055071D" w14:textId="4B82675C"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-37</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81</w:t>
            </w:r>
          </w:p>
        </w:tc>
        <w:tc>
          <w:tcPr>
            <w:tcW w:w="1028" w:type="dxa"/>
            <w:noWrap/>
            <w:vAlign w:val="center"/>
            <w:hideMark/>
          </w:tcPr>
          <w:p w14:paraId="38FEBE0D" w14:textId="50B18E85"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48435</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w:t>
            </w:r>
          </w:p>
        </w:tc>
        <w:tc>
          <w:tcPr>
            <w:tcW w:w="1028" w:type="dxa"/>
            <w:vAlign w:val="center"/>
          </w:tcPr>
          <w:p w14:paraId="1FCDBC63" w14:textId="376B5062"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18</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50</w:t>
            </w:r>
          </w:p>
        </w:tc>
      </w:tr>
      <w:tr w:rsidR="00417DD6" w:rsidRPr="007E3A51" w14:paraId="7042C39E" w14:textId="77777777" w:rsidTr="00D023BF">
        <w:trPr>
          <w:trHeight w:val="300"/>
          <w:jc w:val="center"/>
        </w:trPr>
        <w:tc>
          <w:tcPr>
            <w:tcW w:w="1418" w:type="dxa"/>
            <w:noWrap/>
            <w:vAlign w:val="center"/>
            <w:hideMark/>
          </w:tcPr>
          <w:p w14:paraId="2AE8C04D" w14:textId="77777777"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barley</w:t>
            </w:r>
          </w:p>
        </w:tc>
        <w:tc>
          <w:tcPr>
            <w:tcW w:w="1027" w:type="dxa"/>
            <w:noWrap/>
            <w:vAlign w:val="center"/>
            <w:hideMark/>
          </w:tcPr>
          <w:p w14:paraId="3E261C65" w14:textId="78A96B81"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-12804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w:t>
            </w:r>
          </w:p>
        </w:tc>
        <w:tc>
          <w:tcPr>
            <w:tcW w:w="1028" w:type="dxa"/>
            <w:vAlign w:val="center"/>
          </w:tcPr>
          <w:p w14:paraId="571C2109" w14:textId="659342D3"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36</w:t>
            </w:r>
          </w:p>
        </w:tc>
        <w:tc>
          <w:tcPr>
            <w:tcW w:w="1027" w:type="dxa"/>
            <w:noWrap/>
            <w:vAlign w:val="center"/>
            <w:hideMark/>
          </w:tcPr>
          <w:p w14:paraId="6D2C4802" w14:textId="4CA0A43A"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18006</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w:t>
            </w:r>
          </w:p>
        </w:tc>
        <w:tc>
          <w:tcPr>
            <w:tcW w:w="1028" w:type="dxa"/>
            <w:vAlign w:val="center"/>
          </w:tcPr>
          <w:p w14:paraId="56D36A96" w14:textId="43EFFF9A"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23</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58</w:t>
            </w:r>
          </w:p>
        </w:tc>
        <w:tc>
          <w:tcPr>
            <w:tcW w:w="1028" w:type="dxa"/>
            <w:noWrap/>
            <w:vAlign w:val="center"/>
            <w:hideMark/>
          </w:tcPr>
          <w:p w14:paraId="07ACF20F" w14:textId="128E726A"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-38288</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w:t>
            </w:r>
          </w:p>
        </w:tc>
        <w:tc>
          <w:tcPr>
            <w:tcW w:w="1027" w:type="dxa"/>
            <w:vAlign w:val="center"/>
          </w:tcPr>
          <w:p w14:paraId="10CEDCB4" w14:textId="7B022BBE"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-40</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57</w:t>
            </w:r>
          </w:p>
        </w:tc>
        <w:tc>
          <w:tcPr>
            <w:tcW w:w="1028" w:type="dxa"/>
            <w:noWrap/>
            <w:vAlign w:val="center"/>
            <w:hideMark/>
          </w:tcPr>
          <w:p w14:paraId="6AF5A228" w14:textId="65C5ACD9"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-1009</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w:t>
            </w:r>
          </w:p>
        </w:tc>
        <w:tc>
          <w:tcPr>
            <w:tcW w:w="1028" w:type="dxa"/>
            <w:vAlign w:val="center"/>
          </w:tcPr>
          <w:p w14:paraId="6C5ABE48" w14:textId="660A4485"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80</w:t>
            </w:r>
          </w:p>
        </w:tc>
      </w:tr>
      <w:tr w:rsidR="00417DD6" w:rsidRPr="007E3A51" w14:paraId="0291C2CF" w14:textId="77777777" w:rsidTr="00D023BF">
        <w:trPr>
          <w:trHeight w:val="300"/>
          <w:jc w:val="center"/>
        </w:trPr>
        <w:tc>
          <w:tcPr>
            <w:tcW w:w="1418" w:type="dxa"/>
            <w:noWrap/>
            <w:vAlign w:val="center"/>
            <w:hideMark/>
          </w:tcPr>
          <w:p w14:paraId="4C578127" w14:textId="77777777"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rye</w:t>
            </w:r>
          </w:p>
        </w:tc>
        <w:tc>
          <w:tcPr>
            <w:tcW w:w="1027" w:type="dxa"/>
            <w:noWrap/>
            <w:vAlign w:val="center"/>
            <w:hideMark/>
          </w:tcPr>
          <w:p w14:paraId="54029FA4" w14:textId="6F0CCDCC"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1221</w:t>
            </w:r>
          </w:p>
        </w:tc>
        <w:tc>
          <w:tcPr>
            <w:tcW w:w="1028" w:type="dxa"/>
            <w:vAlign w:val="center"/>
          </w:tcPr>
          <w:p w14:paraId="03B334B1" w14:textId="4621EBD6"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36</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48</w:t>
            </w:r>
          </w:p>
        </w:tc>
        <w:tc>
          <w:tcPr>
            <w:tcW w:w="1027" w:type="dxa"/>
            <w:noWrap/>
            <w:vAlign w:val="center"/>
            <w:hideMark/>
          </w:tcPr>
          <w:p w14:paraId="0CF9232D" w14:textId="14631438"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1363</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w:t>
            </w:r>
          </w:p>
        </w:tc>
        <w:tc>
          <w:tcPr>
            <w:tcW w:w="1028" w:type="dxa"/>
            <w:vAlign w:val="center"/>
          </w:tcPr>
          <w:p w14:paraId="4CC723A7" w14:textId="2889050C"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29</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85</w:t>
            </w:r>
          </w:p>
        </w:tc>
        <w:tc>
          <w:tcPr>
            <w:tcW w:w="1028" w:type="dxa"/>
            <w:noWrap/>
            <w:vAlign w:val="center"/>
            <w:hideMark/>
          </w:tcPr>
          <w:p w14:paraId="0EAFA140" w14:textId="502055ED"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-2791</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w:t>
            </w:r>
          </w:p>
        </w:tc>
        <w:tc>
          <w:tcPr>
            <w:tcW w:w="1027" w:type="dxa"/>
            <w:vAlign w:val="center"/>
          </w:tcPr>
          <w:p w14:paraId="02C9D717" w14:textId="5F8E6E02"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-47</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06</w:t>
            </w:r>
          </w:p>
        </w:tc>
        <w:tc>
          <w:tcPr>
            <w:tcW w:w="1028" w:type="dxa"/>
            <w:noWrap/>
            <w:vAlign w:val="center"/>
            <w:hideMark/>
          </w:tcPr>
          <w:p w14:paraId="144D41BC" w14:textId="26A289CB"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-828</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w:t>
            </w:r>
          </w:p>
        </w:tc>
        <w:tc>
          <w:tcPr>
            <w:tcW w:w="1028" w:type="dxa"/>
            <w:vAlign w:val="center"/>
          </w:tcPr>
          <w:p w14:paraId="72DF7B80" w14:textId="6DF39B2B"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-26</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38</w:t>
            </w:r>
          </w:p>
        </w:tc>
      </w:tr>
      <w:tr w:rsidR="00417DD6" w:rsidRPr="007E3A51" w14:paraId="3CDFF40E" w14:textId="77777777" w:rsidTr="00D023BF">
        <w:trPr>
          <w:trHeight w:val="300"/>
          <w:jc w:val="center"/>
        </w:trPr>
        <w:tc>
          <w:tcPr>
            <w:tcW w:w="1418" w:type="dxa"/>
            <w:noWrap/>
            <w:vAlign w:val="center"/>
            <w:hideMark/>
          </w:tcPr>
          <w:p w14:paraId="2CEB227E" w14:textId="77777777"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soybeans</w:t>
            </w:r>
          </w:p>
        </w:tc>
        <w:tc>
          <w:tcPr>
            <w:tcW w:w="1027" w:type="dxa"/>
            <w:noWrap/>
            <w:vAlign w:val="center"/>
            <w:hideMark/>
          </w:tcPr>
          <w:p w14:paraId="53970475" w14:textId="23189A0B"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-9010</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w:t>
            </w:r>
          </w:p>
        </w:tc>
        <w:tc>
          <w:tcPr>
            <w:tcW w:w="1028" w:type="dxa"/>
            <w:vAlign w:val="center"/>
          </w:tcPr>
          <w:p w14:paraId="6392CE53" w14:textId="32EC6052"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36</w:t>
            </w:r>
          </w:p>
        </w:tc>
        <w:tc>
          <w:tcPr>
            <w:tcW w:w="1027" w:type="dxa"/>
            <w:noWrap/>
            <w:vAlign w:val="center"/>
            <w:hideMark/>
          </w:tcPr>
          <w:p w14:paraId="12022D7B" w14:textId="4E1832D8"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6955</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w:t>
            </w:r>
          </w:p>
        </w:tc>
        <w:tc>
          <w:tcPr>
            <w:tcW w:w="1028" w:type="dxa"/>
            <w:vAlign w:val="center"/>
          </w:tcPr>
          <w:p w14:paraId="78978DAA" w14:textId="2AF35711"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86</w:t>
            </w:r>
          </w:p>
        </w:tc>
        <w:tc>
          <w:tcPr>
            <w:tcW w:w="1028" w:type="dxa"/>
            <w:noWrap/>
            <w:vAlign w:val="center"/>
            <w:hideMark/>
          </w:tcPr>
          <w:p w14:paraId="6922A59F" w14:textId="7777777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-494</w:t>
            </w:r>
          </w:p>
        </w:tc>
        <w:tc>
          <w:tcPr>
            <w:tcW w:w="1027" w:type="dxa"/>
            <w:vAlign w:val="center"/>
          </w:tcPr>
          <w:p w14:paraId="7138B022" w14:textId="7D56BEB2"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41</w:t>
            </w:r>
          </w:p>
        </w:tc>
        <w:tc>
          <w:tcPr>
            <w:tcW w:w="1028" w:type="dxa"/>
            <w:noWrap/>
            <w:vAlign w:val="center"/>
            <w:hideMark/>
          </w:tcPr>
          <w:p w14:paraId="26C9ED5B" w14:textId="13582B30"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12987</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w:t>
            </w:r>
          </w:p>
        </w:tc>
        <w:tc>
          <w:tcPr>
            <w:tcW w:w="1028" w:type="dxa"/>
            <w:vAlign w:val="center"/>
          </w:tcPr>
          <w:p w14:paraId="2BA39034" w14:textId="4567F515"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37</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71</w:t>
            </w:r>
          </w:p>
        </w:tc>
      </w:tr>
      <w:tr w:rsidR="00417DD6" w:rsidRPr="007E3A51" w14:paraId="05060B7C" w14:textId="77777777" w:rsidTr="00D023BF">
        <w:trPr>
          <w:trHeight w:val="300"/>
          <w:jc w:val="center"/>
        </w:trPr>
        <w:tc>
          <w:tcPr>
            <w:tcW w:w="1418" w:type="dxa"/>
            <w:noWrap/>
            <w:vAlign w:val="center"/>
            <w:hideMark/>
          </w:tcPr>
          <w:p w14:paraId="76A29CC4" w14:textId="2A1F920E"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rapeseed </w:t>
            </w:r>
            <w:r w:rsidR="00821101" w:rsidRPr="007E3A51">
              <w:rPr>
                <w:rFonts w:ascii="Times New Roman" w:hAnsi="Times New Roman" w:cs="Times New Roman"/>
                <w:sz w:val="20"/>
                <w:szCs w:val="20"/>
                <w:lang w:val="en-GB"/>
              </w:rPr>
              <w:br/>
            </w:r>
            <w:r w:rsidRPr="007E3A51">
              <w:rPr>
                <w:rFonts w:ascii="Times New Roman" w:hAnsi="Times New Roman" w:cs="Times New Roman"/>
                <w:sz w:val="20"/>
                <w:szCs w:val="20"/>
                <w:lang w:val="en-GB"/>
              </w:rPr>
              <w:t>(winter and spring)</w:t>
            </w:r>
          </w:p>
        </w:tc>
        <w:tc>
          <w:tcPr>
            <w:tcW w:w="1027" w:type="dxa"/>
            <w:noWrap/>
            <w:vAlign w:val="center"/>
            <w:hideMark/>
          </w:tcPr>
          <w:p w14:paraId="576509AE" w14:textId="56EA488D"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-7231</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w:t>
            </w:r>
          </w:p>
        </w:tc>
        <w:tc>
          <w:tcPr>
            <w:tcW w:w="1028" w:type="dxa"/>
            <w:vAlign w:val="center"/>
          </w:tcPr>
          <w:p w14:paraId="5A31496D" w14:textId="7286E328"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-22</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04</w:t>
            </w:r>
          </w:p>
        </w:tc>
        <w:tc>
          <w:tcPr>
            <w:tcW w:w="1027" w:type="dxa"/>
            <w:noWrap/>
            <w:vAlign w:val="center"/>
            <w:hideMark/>
          </w:tcPr>
          <w:p w14:paraId="2FDAC60C" w14:textId="21483ECA"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3817</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w:t>
            </w:r>
          </w:p>
        </w:tc>
        <w:tc>
          <w:tcPr>
            <w:tcW w:w="1028" w:type="dxa"/>
            <w:vAlign w:val="center"/>
          </w:tcPr>
          <w:p w14:paraId="76EC7FF7" w14:textId="13D67292"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93</w:t>
            </w:r>
          </w:p>
        </w:tc>
        <w:tc>
          <w:tcPr>
            <w:tcW w:w="1028" w:type="dxa"/>
            <w:noWrap/>
            <w:vAlign w:val="center"/>
            <w:hideMark/>
          </w:tcPr>
          <w:p w14:paraId="69F61D1D" w14:textId="0ED8411B"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3790</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w:t>
            </w:r>
          </w:p>
        </w:tc>
        <w:tc>
          <w:tcPr>
            <w:tcW w:w="1027" w:type="dxa"/>
            <w:vAlign w:val="center"/>
          </w:tcPr>
          <w:p w14:paraId="21C7E171" w14:textId="3EF84408"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12</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90</w:t>
            </w:r>
          </w:p>
        </w:tc>
        <w:tc>
          <w:tcPr>
            <w:tcW w:w="1028" w:type="dxa"/>
            <w:noWrap/>
            <w:vAlign w:val="center"/>
            <w:hideMark/>
          </w:tcPr>
          <w:p w14:paraId="0C2061DA" w14:textId="7BFF3320"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8656</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w:t>
            </w:r>
          </w:p>
        </w:tc>
        <w:tc>
          <w:tcPr>
            <w:tcW w:w="1028" w:type="dxa"/>
            <w:vAlign w:val="center"/>
          </w:tcPr>
          <w:p w14:paraId="5156ABB4" w14:textId="641C3429"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26</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09</w:t>
            </w:r>
          </w:p>
        </w:tc>
      </w:tr>
      <w:tr w:rsidR="00417DD6" w:rsidRPr="007E3A51" w14:paraId="2BA1D11B" w14:textId="77777777" w:rsidTr="00D023BF">
        <w:trPr>
          <w:trHeight w:val="300"/>
          <w:jc w:val="center"/>
        </w:trPr>
        <w:tc>
          <w:tcPr>
            <w:tcW w:w="1418" w:type="dxa"/>
            <w:noWrap/>
            <w:vAlign w:val="center"/>
            <w:hideMark/>
          </w:tcPr>
          <w:p w14:paraId="53F34786" w14:textId="77777777"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sunflower</w:t>
            </w:r>
          </w:p>
        </w:tc>
        <w:tc>
          <w:tcPr>
            <w:tcW w:w="1027" w:type="dxa"/>
            <w:noWrap/>
            <w:vAlign w:val="center"/>
            <w:hideMark/>
          </w:tcPr>
          <w:p w14:paraId="370BB15A" w14:textId="7CECE53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-21436</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w:t>
            </w:r>
          </w:p>
        </w:tc>
        <w:tc>
          <w:tcPr>
            <w:tcW w:w="1028" w:type="dxa"/>
            <w:vAlign w:val="center"/>
          </w:tcPr>
          <w:p w14:paraId="569FA315" w14:textId="6BAEF6D2"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05</w:t>
            </w:r>
          </w:p>
        </w:tc>
        <w:tc>
          <w:tcPr>
            <w:tcW w:w="1027" w:type="dxa"/>
            <w:noWrap/>
            <w:vAlign w:val="center"/>
            <w:hideMark/>
          </w:tcPr>
          <w:p w14:paraId="45405138" w14:textId="5445A66A"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32819</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w:t>
            </w:r>
          </w:p>
        </w:tc>
        <w:tc>
          <w:tcPr>
            <w:tcW w:w="1028" w:type="dxa"/>
            <w:vAlign w:val="center"/>
          </w:tcPr>
          <w:p w14:paraId="4F789D18" w14:textId="2C673F33"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25</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03</w:t>
            </w:r>
          </w:p>
        </w:tc>
        <w:tc>
          <w:tcPr>
            <w:tcW w:w="1028" w:type="dxa"/>
            <w:noWrap/>
            <w:vAlign w:val="center"/>
            <w:hideMark/>
          </w:tcPr>
          <w:p w14:paraId="612F940F" w14:textId="108FAA75"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-50636</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w:t>
            </w:r>
          </w:p>
        </w:tc>
        <w:tc>
          <w:tcPr>
            <w:tcW w:w="1027" w:type="dxa"/>
            <w:vAlign w:val="center"/>
          </w:tcPr>
          <w:p w14:paraId="794FE454" w14:textId="5AAB676E"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-30</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89</w:t>
            </w:r>
          </w:p>
        </w:tc>
        <w:tc>
          <w:tcPr>
            <w:tcW w:w="1028" w:type="dxa"/>
            <w:noWrap/>
            <w:vAlign w:val="center"/>
            <w:hideMark/>
          </w:tcPr>
          <w:p w14:paraId="08F76567" w14:textId="660FF31F"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14309</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w:t>
            </w:r>
          </w:p>
        </w:tc>
        <w:tc>
          <w:tcPr>
            <w:tcW w:w="1028" w:type="dxa"/>
            <w:vAlign w:val="center"/>
          </w:tcPr>
          <w:p w14:paraId="15F9CFB3" w14:textId="442EEBB2"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12</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63</w:t>
            </w:r>
          </w:p>
        </w:tc>
      </w:tr>
      <w:tr w:rsidR="00417DD6" w:rsidRPr="007E3A51" w14:paraId="1AA6BBB8" w14:textId="77777777" w:rsidTr="00821101">
        <w:trPr>
          <w:trHeight w:val="300"/>
          <w:jc w:val="center"/>
        </w:trPr>
        <w:tc>
          <w:tcPr>
            <w:tcW w:w="9639" w:type="dxa"/>
            <w:gridSpan w:val="9"/>
            <w:noWrap/>
            <w:vAlign w:val="center"/>
          </w:tcPr>
          <w:p w14:paraId="79DFD2CB" w14:textId="7777777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Yield of annual and biennial crops, c/ha</w:t>
            </w:r>
          </w:p>
        </w:tc>
      </w:tr>
      <w:tr w:rsidR="00417DD6" w:rsidRPr="007E3A51" w14:paraId="259870F1" w14:textId="77777777" w:rsidTr="00D023BF">
        <w:trPr>
          <w:trHeight w:val="300"/>
          <w:jc w:val="center"/>
        </w:trPr>
        <w:tc>
          <w:tcPr>
            <w:tcW w:w="1418" w:type="dxa"/>
            <w:noWrap/>
            <w:vAlign w:val="center"/>
            <w:hideMark/>
          </w:tcPr>
          <w:p w14:paraId="097C52FF" w14:textId="5E958BC3"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cereal and </w:t>
            </w:r>
            <w:r w:rsidR="00821101" w:rsidRPr="007E3A51">
              <w:rPr>
                <w:rFonts w:ascii="Times New Roman" w:hAnsi="Times New Roman" w:cs="Times New Roman"/>
                <w:sz w:val="20"/>
                <w:szCs w:val="20"/>
                <w:lang w:val="en-GB"/>
              </w:rPr>
              <w:br/>
            </w:r>
            <w:r w:rsidRPr="007E3A51">
              <w:rPr>
                <w:rFonts w:ascii="Times New Roman" w:hAnsi="Times New Roman" w:cs="Times New Roman"/>
                <w:sz w:val="20"/>
                <w:szCs w:val="20"/>
                <w:lang w:val="en-GB"/>
              </w:rPr>
              <w:t>leguminous crops</w:t>
            </w:r>
          </w:p>
        </w:tc>
        <w:tc>
          <w:tcPr>
            <w:tcW w:w="1027" w:type="dxa"/>
            <w:noWrap/>
            <w:vAlign w:val="center"/>
            <w:hideMark/>
          </w:tcPr>
          <w:p w14:paraId="0188A941" w14:textId="59648423"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-6</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w:t>
            </w:r>
          </w:p>
        </w:tc>
        <w:tc>
          <w:tcPr>
            <w:tcW w:w="1028" w:type="dxa"/>
            <w:vAlign w:val="center"/>
          </w:tcPr>
          <w:p w14:paraId="72D1C0F5" w14:textId="00EC7D8A"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-13</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44</w:t>
            </w:r>
          </w:p>
        </w:tc>
        <w:tc>
          <w:tcPr>
            <w:tcW w:w="1027" w:type="dxa"/>
            <w:noWrap/>
            <w:vAlign w:val="center"/>
            <w:hideMark/>
          </w:tcPr>
          <w:p w14:paraId="73E4667F" w14:textId="7ED86BC4"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11</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w:t>
            </w:r>
          </w:p>
        </w:tc>
        <w:tc>
          <w:tcPr>
            <w:tcW w:w="1028" w:type="dxa"/>
            <w:vAlign w:val="center"/>
          </w:tcPr>
          <w:p w14:paraId="1C3D064F" w14:textId="780467D6"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26</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82</w:t>
            </w:r>
          </w:p>
        </w:tc>
        <w:tc>
          <w:tcPr>
            <w:tcW w:w="1028" w:type="dxa"/>
            <w:noWrap/>
            <w:vAlign w:val="center"/>
            <w:hideMark/>
          </w:tcPr>
          <w:p w14:paraId="6C27B507" w14:textId="7C62E69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w:t>
            </w:r>
          </w:p>
        </w:tc>
        <w:tc>
          <w:tcPr>
            <w:tcW w:w="1027" w:type="dxa"/>
            <w:vAlign w:val="center"/>
          </w:tcPr>
          <w:p w14:paraId="4A58AD73" w14:textId="082A4679"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-15</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03</w:t>
            </w:r>
          </w:p>
        </w:tc>
        <w:tc>
          <w:tcPr>
            <w:tcW w:w="1028" w:type="dxa"/>
            <w:noWrap/>
            <w:vAlign w:val="center"/>
            <w:hideMark/>
          </w:tcPr>
          <w:p w14:paraId="470301CC" w14:textId="62D63F19"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w:t>
            </w:r>
          </w:p>
        </w:tc>
        <w:tc>
          <w:tcPr>
            <w:tcW w:w="1028" w:type="dxa"/>
            <w:vAlign w:val="center"/>
          </w:tcPr>
          <w:p w14:paraId="5968D3F6" w14:textId="2F1D176D"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20</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52</w:t>
            </w:r>
          </w:p>
        </w:tc>
      </w:tr>
      <w:tr w:rsidR="00417DD6" w:rsidRPr="007E3A51" w14:paraId="53324363" w14:textId="77777777" w:rsidTr="00D023BF">
        <w:trPr>
          <w:trHeight w:val="300"/>
          <w:jc w:val="center"/>
        </w:trPr>
        <w:tc>
          <w:tcPr>
            <w:tcW w:w="1418" w:type="dxa"/>
            <w:noWrap/>
            <w:vAlign w:val="center"/>
            <w:hideMark/>
          </w:tcPr>
          <w:p w14:paraId="64318898" w14:textId="77777777"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wheat</w:t>
            </w:r>
          </w:p>
        </w:tc>
        <w:tc>
          <w:tcPr>
            <w:tcW w:w="1027" w:type="dxa"/>
            <w:noWrap/>
            <w:vAlign w:val="center"/>
            <w:hideMark/>
          </w:tcPr>
          <w:p w14:paraId="5B520E27" w14:textId="65D7F228"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w:t>
            </w:r>
          </w:p>
        </w:tc>
        <w:tc>
          <w:tcPr>
            <w:tcW w:w="1028" w:type="dxa"/>
            <w:vAlign w:val="center"/>
          </w:tcPr>
          <w:p w14:paraId="75F5CD53" w14:textId="331D1B70"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65</w:t>
            </w:r>
          </w:p>
        </w:tc>
        <w:tc>
          <w:tcPr>
            <w:tcW w:w="1027" w:type="dxa"/>
            <w:noWrap/>
            <w:vAlign w:val="center"/>
            <w:hideMark/>
          </w:tcPr>
          <w:p w14:paraId="71D2DD37" w14:textId="1DB1A59D"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w:t>
            </w:r>
          </w:p>
        </w:tc>
        <w:tc>
          <w:tcPr>
            <w:tcW w:w="1028" w:type="dxa"/>
            <w:vAlign w:val="center"/>
          </w:tcPr>
          <w:p w14:paraId="417D6EC2" w14:textId="6F38D852"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19</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21</w:t>
            </w:r>
          </w:p>
        </w:tc>
        <w:tc>
          <w:tcPr>
            <w:tcW w:w="1028" w:type="dxa"/>
            <w:noWrap/>
            <w:vAlign w:val="center"/>
            <w:hideMark/>
          </w:tcPr>
          <w:p w14:paraId="040ED1FC" w14:textId="7777777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-6</w:t>
            </w:r>
          </w:p>
        </w:tc>
        <w:tc>
          <w:tcPr>
            <w:tcW w:w="1027" w:type="dxa"/>
            <w:vAlign w:val="center"/>
          </w:tcPr>
          <w:p w14:paraId="479A6B4A" w14:textId="2688C813"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-13</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25</w:t>
            </w:r>
          </w:p>
        </w:tc>
        <w:tc>
          <w:tcPr>
            <w:tcW w:w="1028" w:type="dxa"/>
            <w:noWrap/>
            <w:vAlign w:val="center"/>
            <w:hideMark/>
          </w:tcPr>
          <w:p w14:paraId="0A12DF4F" w14:textId="378FD121"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w:t>
            </w:r>
          </w:p>
        </w:tc>
        <w:tc>
          <w:tcPr>
            <w:tcW w:w="1028" w:type="dxa"/>
            <w:vAlign w:val="center"/>
          </w:tcPr>
          <w:p w14:paraId="110DA2FB" w14:textId="50C3F146"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18</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07</w:t>
            </w:r>
          </w:p>
        </w:tc>
      </w:tr>
      <w:tr w:rsidR="00417DD6" w:rsidRPr="007E3A51" w14:paraId="0EA43417" w14:textId="77777777" w:rsidTr="00D023BF">
        <w:trPr>
          <w:trHeight w:val="300"/>
          <w:jc w:val="center"/>
        </w:trPr>
        <w:tc>
          <w:tcPr>
            <w:tcW w:w="1418" w:type="dxa"/>
            <w:noWrap/>
            <w:vAlign w:val="center"/>
            <w:hideMark/>
          </w:tcPr>
          <w:p w14:paraId="4A4FFC63" w14:textId="77777777"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maize</w:t>
            </w:r>
          </w:p>
        </w:tc>
        <w:tc>
          <w:tcPr>
            <w:tcW w:w="1027" w:type="dxa"/>
            <w:noWrap/>
            <w:vAlign w:val="center"/>
            <w:hideMark/>
          </w:tcPr>
          <w:p w14:paraId="7992507B" w14:textId="4C0A33AF"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-15</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w:t>
            </w:r>
          </w:p>
        </w:tc>
        <w:tc>
          <w:tcPr>
            <w:tcW w:w="1028" w:type="dxa"/>
            <w:vAlign w:val="center"/>
          </w:tcPr>
          <w:p w14:paraId="7D267BCF" w14:textId="107B8725"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-21</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84</w:t>
            </w:r>
          </w:p>
        </w:tc>
        <w:tc>
          <w:tcPr>
            <w:tcW w:w="1027" w:type="dxa"/>
            <w:noWrap/>
            <w:vAlign w:val="center"/>
            <w:hideMark/>
          </w:tcPr>
          <w:p w14:paraId="4868C170" w14:textId="03DD405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20</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w:t>
            </w:r>
          </w:p>
        </w:tc>
        <w:tc>
          <w:tcPr>
            <w:tcW w:w="1028" w:type="dxa"/>
            <w:vAlign w:val="center"/>
          </w:tcPr>
          <w:p w14:paraId="75D1CEA9" w14:textId="64247AAE"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36</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65</w:t>
            </w:r>
          </w:p>
        </w:tc>
        <w:tc>
          <w:tcPr>
            <w:tcW w:w="1028" w:type="dxa"/>
            <w:noWrap/>
            <w:vAlign w:val="center"/>
            <w:hideMark/>
          </w:tcPr>
          <w:p w14:paraId="0CF21598" w14:textId="5946ABA5"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-13</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w:t>
            </w:r>
          </w:p>
        </w:tc>
        <w:tc>
          <w:tcPr>
            <w:tcW w:w="1027" w:type="dxa"/>
            <w:vAlign w:val="center"/>
          </w:tcPr>
          <w:p w14:paraId="3E3326C9" w14:textId="676F5C88"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-17</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32</w:t>
            </w:r>
          </w:p>
        </w:tc>
        <w:tc>
          <w:tcPr>
            <w:tcW w:w="1028" w:type="dxa"/>
            <w:noWrap/>
            <w:vAlign w:val="center"/>
            <w:hideMark/>
          </w:tcPr>
          <w:p w14:paraId="4B63BA32" w14:textId="778D9ED0"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w:t>
            </w:r>
          </w:p>
        </w:tc>
        <w:tc>
          <w:tcPr>
            <w:tcW w:w="1028" w:type="dxa"/>
            <w:vAlign w:val="center"/>
          </w:tcPr>
          <w:p w14:paraId="4BEAED73" w14:textId="54F36F05"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22</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99</w:t>
            </w:r>
          </w:p>
        </w:tc>
      </w:tr>
      <w:tr w:rsidR="00417DD6" w:rsidRPr="007E3A51" w14:paraId="0D9BECAA" w14:textId="77777777" w:rsidTr="00D023BF">
        <w:trPr>
          <w:trHeight w:val="300"/>
          <w:jc w:val="center"/>
        </w:trPr>
        <w:tc>
          <w:tcPr>
            <w:tcW w:w="1418" w:type="dxa"/>
            <w:noWrap/>
            <w:vAlign w:val="center"/>
            <w:hideMark/>
          </w:tcPr>
          <w:p w14:paraId="4C6F0BA1" w14:textId="77777777"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barley</w:t>
            </w:r>
          </w:p>
        </w:tc>
        <w:tc>
          <w:tcPr>
            <w:tcW w:w="1027" w:type="dxa"/>
            <w:noWrap/>
            <w:vAlign w:val="center"/>
            <w:hideMark/>
          </w:tcPr>
          <w:p w14:paraId="5B1DFEF2" w14:textId="7777777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w:t>
            </w:r>
          </w:p>
        </w:tc>
        <w:tc>
          <w:tcPr>
            <w:tcW w:w="1028" w:type="dxa"/>
            <w:vAlign w:val="center"/>
          </w:tcPr>
          <w:p w14:paraId="28CA737D" w14:textId="32E4438E"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85</w:t>
            </w:r>
          </w:p>
        </w:tc>
        <w:tc>
          <w:tcPr>
            <w:tcW w:w="1027" w:type="dxa"/>
            <w:noWrap/>
            <w:vAlign w:val="center"/>
            <w:hideMark/>
          </w:tcPr>
          <w:p w14:paraId="79BD59A0" w14:textId="43279F45"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6</w:t>
            </w:r>
          </w:p>
        </w:tc>
        <w:tc>
          <w:tcPr>
            <w:tcW w:w="1028" w:type="dxa"/>
            <w:vAlign w:val="center"/>
          </w:tcPr>
          <w:p w14:paraId="70243972" w14:textId="7DB72F2C"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18</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63</w:t>
            </w:r>
          </w:p>
        </w:tc>
        <w:tc>
          <w:tcPr>
            <w:tcW w:w="1028" w:type="dxa"/>
            <w:noWrap/>
            <w:vAlign w:val="center"/>
            <w:hideMark/>
          </w:tcPr>
          <w:p w14:paraId="38BCC107" w14:textId="7777777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-6</w:t>
            </w:r>
          </w:p>
        </w:tc>
        <w:tc>
          <w:tcPr>
            <w:tcW w:w="1027" w:type="dxa"/>
            <w:vAlign w:val="center"/>
          </w:tcPr>
          <w:p w14:paraId="3C45F1B3" w14:textId="5E7414BC"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-15</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71</w:t>
            </w:r>
          </w:p>
        </w:tc>
        <w:tc>
          <w:tcPr>
            <w:tcW w:w="1028" w:type="dxa"/>
            <w:noWrap/>
            <w:vAlign w:val="center"/>
            <w:hideMark/>
          </w:tcPr>
          <w:p w14:paraId="625636CB" w14:textId="57C4F263"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w:t>
            </w:r>
          </w:p>
        </w:tc>
        <w:tc>
          <w:tcPr>
            <w:tcW w:w="1028" w:type="dxa"/>
            <w:vAlign w:val="center"/>
          </w:tcPr>
          <w:p w14:paraId="2080F0A0" w14:textId="6E6F0648"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60</w:t>
            </w:r>
          </w:p>
        </w:tc>
      </w:tr>
      <w:tr w:rsidR="00417DD6" w:rsidRPr="007E3A51" w14:paraId="55AB3F3C" w14:textId="77777777" w:rsidTr="00D023BF">
        <w:trPr>
          <w:trHeight w:val="300"/>
          <w:jc w:val="center"/>
        </w:trPr>
        <w:tc>
          <w:tcPr>
            <w:tcW w:w="1418" w:type="dxa"/>
            <w:noWrap/>
            <w:vAlign w:val="center"/>
            <w:hideMark/>
          </w:tcPr>
          <w:p w14:paraId="31D2F4A0" w14:textId="77777777"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rye</w:t>
            </w:r>
          </w:p>
        </w:tc>
        <w:tc>
          <w:tcPr>
            <w:tcW w:w="1027" w:type="dxa"/>
            <w:noWrap/>
            <w:vAlign w:val="center"/>
            <w:hideMark/>
          </w:tcPr>
          <w:p w14:paraId="04FF60D1" w14:textId="1F384B7C"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w:t>
            </w:r>
          </w:p>
        </w:tc>
        <w:tc>
          <w:tcPr>
            <w:tcW w:w="1028" w:type="dxa"/>
            <w:vAlign w:val="center"/>
          </w:tcPr>
          <w:p w14:paraId="5431D85D" w14:textId="23D9792B"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88</w:t>
            </w:r>
          </w:p>
        </w:tc>
        <w:tc>
          <w:tcPr>
            <w:tcW w:w="1027" w:type="dxa"/>
            <w:noWrap/>
            <w:vAlign w:val="center"/>
            <w:hideMark/>
          </w:tcPr>
          <w:p w14:paraId="17464898" w14:textId="48C52722"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w:t>
            </w:r>
          </w:p>
        </w:tc>
        <w:tc>
          <w:tcPr>
            <w:tcW w:w="1028" w:type="dxa"/>
            <w:vAlign w:val="center"/>
          </w:tcPr>
          <w:p w14:paraId="7E5BBCC4" w14:textId="66CAB390"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92</w:t>
            </w:r>
          </w:p>
        </w:tc>
        <w:tc>
          <w:tcPr>
            <w:tcW w:w="1028" w:type="dxa"/>
            <w:noWrap/>
            <w:vAlign w:val="center"/>
            <w:hideMark/>
          </w:tcPr>
          <w:p w14:paraId="2065AB55" w14:textId="7D04F604"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w:t>
            </w:r>
          </w:p>
        </w:tc>
        <w:tc>
          <w:tcPr>
            <w:tcW w:w="1027" w:type="dxa"/>
            <w:vAlign w:val="center"/>
          </w:tcPr>
          <w:p w14:paraId="776AA694" w14:textId="4E8C6E28"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43</w:t>
            </w:r>
          </w:p>
        </w:tc>
        <w:tc>
          <w:tcPr>
            <w:tcW w:w="1028" w:type="dxa"/>
            <w:noWrap/>
            <w:vAlign w:val="center"/>
            <w:hideMark/>
          </w:tcPr>
          <w:p w14:paraId="51857FA3" w14:textId="29BAF5D5"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w:t>
            </w:r>
          </w:p>
        </w:tc>
        <w:tc>
          <w:tcPr>
            <w:tcW w:w="1028" w:type="dxa"/>
            <w:vAlign w:val="center"/>
          </w:tcPr>
          <w:p w14:paraId="097E846F" w14:textId="2FE421D6"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85</w:t>
            </w:r>
          </w:p>
        </w:tc>
      </w:tr>
      <w:tr w:rsidR="00417DD6" w:rsidRPr="007E3A51" w14:paraId="5C62210D" w14:textId="77777777" w:rsidTr="00D023BF">
        <w:trPr>
          <w:trHeight w:val="300"/>
          <w:jc w:val="center"/>
        </w:trPr>
        <w:tc>
          <w:tcPr>
            <w:tcW w:w="1418" w:type="dxa"/>
            <w:noWrap/>
            <w:vAlign w:val="center"/>
            <w:hideMark/>
          </w:tcPr>
          <w:p w14:paraId="25A5C162" w14:textId="77777777"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soybeans</w:t>
            </w:r>
          </w:p>
        </w:tc>
        <w:tc>
          <w:tcPr>
            <w:tcW w:w="1027" w:type="dxa"/>
            <w:noWrap/>
            <w:vAlign w:val="center"/>
            <w:hideMark/>
          </w:tcPr>
          <w:p w14:paraId="62F8853F" w14:textId="470019C5"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w:t>
            </w:r>
          </w:p>
        </w:tc>
        <w:tc>
          <w:tcPr>
            <w:tcW w:w="1028" w:type="dxa"/>
            <w:vAlign w:val="center"/>
          </w:tcPr>
          <w:p w14:paraId="731CA803" w14:textId="3F14A992"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48</w:t>
            </w:r>
          </w:p>
        </w:tc>
        <w:tc>
          <w:tcPr>
            <w:tcW w:w="1027" w:type="dxa"/>
            <w:noWrap/>
            <w:vAlign w:val="center"/>
            <w:hideMark/>
          </w:tcPr>
          <w:p w14:paraId="2D666B09" w14:textId="7C7FD6C1"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w:t>
            </w:r>
          </w:p>
        </w:tc>
        <w:tc>
          <w:tcPr>
            <w:tcW w:w="1028" w:type="dxa"/>
            <w:vAlign w:val="center"/>
          </w:tcPr>
          <w:p w14:paraId="4D24F9FB" w14:textId="7B5192D8"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28</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78</w:t>
            </w:r>
          </w:p>
        </w:tc>
        <w:tc>
          <w:tcPr>
            <w:tcW w:w="1028" w:type="dxa"/>
            <w:noWrap/>
            <w:vAlign w:val="center"/>
            <w:hideMark/>
          </w:tcPr>
          <w:p w14:paraId="1E96F77D" w14:textId="315435AF"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w:t>
            </w:r>
          </w:p>
        </w:tc>
        <w:tc>
          <w:tcPr>
            <w:tcW w:w="1027" w:type="dxa"/>
            <w:vAlign w:val="center"/>
          </w:tcPr>
          <w:p w14:paraId="20A14011" w14:textId="32460762"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39</w:t>
            </w:r>
          </w:p>
        </w:tc>
        <w:tc>
          <w:tcPr>
            <w:tcW w:w="1028" w:type="dxa"/>
            <w:noWrap/>
            <w:vAlign w:val="center"/>
            <w:hideMark/>
          </w:tcPr>
          <w:p w14:paraId="652394DB" w14:textId="70BD57A8"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w:t>
            </w:r>
          </w:p>
        </w:tc>
        <w:tc>
          <w:tcPr>
            <w:tcW w:w="1028" w:type="dxa"/>
            <w:vAlign w:val="center"/>
          </w:tcPr>
          <w:p w14:paraId="211276BE" w14:textId="5A528E6F"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60</w:t>
            </w:r>
          </w:p>
        </w:tc>
      </w:tr>
      <w:tr w:rsidR="00417DD6" w:rsidRPr="007E3A51" w14:paraId="2430C030" w14:textId="77777777" w:rsidTr="00625A8A">
        <w:trPr>
          <w:trHeight w:val="743"/>
          <w:jc w:val="center"/>
        </w:trPr>
        <w:tc>
          <w:tcPr>
            <w:tcW w:w="1418" w:type="dxa"/>
            <w:noWrap/>
            <w:vAlign w:val="center"/>
            <w:hideMark/>
          </w:tcPr>
          <w:p w14:paraId="3B9ADB3F" w14:textId="1D829504"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rapeseed </w:t>
            </w:r>
            <w:r w:rsidR="00821101" w:rsidRPr="007E3A51">
              <w:rPr>
                <w:rFonts w:ascii="Times New Roman" w:hAnsi="Times New Roman" w:cs="Times New Roman"/>
                <w:sz w:val="20"/>
                <w:szCs w:val="20"/>
                <w:lang w:val="en-GB"/>
              </w:rPr>
              <w:br/>
            </w:r>
            <w:r w:rsidRPr="007E3A51">
              <w:rPr>
                <w:rFonts w:ascii="Times New Roman" w:hAnsi="Times New Roman" w:cs="Times New Roman"/>
                <w:sz w:val="20"/>
                <w:szCs w:val="20"/>
                <w:lang w:val="en-GB"/>
              </w:rPr>
              <w:t>(winter and spring)</w:t>
            </w:r>
          </w:p>
        </w:tc>
        <w:tc>
          <w:tcPr>
            <w:tcW w:w="1027" w:type="dxa"/>
            <w:noWrap/>
            <w:vAlign w:val="center"/>
            <w:hideMark/>
          </w:tcPr>
          <w:p w14:paraId="3ED9CC77" w14:textId="290316F4"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w:t>
            </w:r>
          </w:p>
        </w:tc>
        <w:tc>
          <w:tcPr>
            <w:tcW w:w="1028" w:type="dxa"/>
            <w:vAlign w:val="center"/>
          </w:tcPr>
          <w:p w14:paraId="4485BD22" w14:textId="317FA1A6"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16</w:t>
            </w:r>
          </w:p>
        </w:tc>
        <w:tc>
          <w:tcPr>
            <w:tcW w:w="1027" w:type="dxa"/>
            <w:noWrap/>
            <w:vAlign w:val="center"/>
            <w:hideMark/>
          </w:tcPr>
          <w:p w14:paraId="59B59B44" w14:textId="4508740C"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6</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w:t>
            </w:r>
          </w:p>
        </w:tc>
        <w:tc>
          <w:tcPr>
            <w:tcW w:w="1028" w:type="dxa"/>
            <w:vAlign w:val="center"/>
          </w:tcPr>
          <w:p w14:paraId="27125858" w14:textId="1A6B8B8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27</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39</w:t>
            </w:r>
          </w:p>
        </w:tc>
        <w:tc>
          <w:tcPr>
            <w:tcW w:w="1028" w:type="dxa"/>
            <w:noWrap/>
            <w:vAlign w:val="center"/>
            <w:hideMark/>
          </w:tcPr>
          <w:p w14:paraId="05D3FD3E" w14:textId="3520BA78"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-0</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w:t>
            </w:r>
          </w:p>
        </w:tc>
        <w:tc>
          <w:tcPr>
            <w:tcW w:w="1027" w:type="dxa"/>
            <w:vAlign w:val="center"/>
          </w:tcPr>
          <w:p w14:paraId="30A6DBC3" w14:textId="2CDC370D"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05</w:t>
            </w:r>
          </w:p>
        </w:tc>
        <w:tc>
          <w:tcPr>
            <w:tcW w:w="1028" w:type="dxa"/>
            <w:noWrap/>
            <w:vAlign w:val="center"/>
            <w:hideMark/>
          </w:tcPr>
          <w:p w14:paraId="0C499013" w14:textId="781EB30D"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0</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w:t>
            </w:r>
          </w:p>
        </w:tc>
        <w:tc>
          <w:tcPr>
            <w:tcW w:w="1028" w:type="dxa"/>
            <w:vAlign w:val="center"/>
          </w:tcPr>
          <w:p w14:paraId="7D28E045" w14:textId="2D1C9E3F"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74</w:t>
            </w:r>
          </w:p>
        </w:tc>
      </w:tr>
      <w:tr w:rsidR="00417DD6" w:rsidRPr="007E3A51" w14:paraId="4F6B54DE" w14:textId="77777777" w:rsidTr="00D023BF">
        <w:trPr>
          <w:trHeight w:val="300"/>
          <w:jc w:val="center"/>
        </w:trPr>
        <w:tc>
          <w:tcPr>
            <w:tcW w:w="1418" w:type="dxa"/>
            <w:noWrap/>
            <w:vAlign w:val="center"/>
            <w:hideMark/>
          </w:tcPr>
          <w:p w14:paraId="7D49B458" w14:textId="77777777" w:rsidR="0044738D" w:rsidRPr="007E3A51" w:rsidRDefault="0044738D" w:rsidP="00D023BF">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sunflower</w:t>
            </w:r>
          </w:p>
        </w:tc>
        <w:tc>
          <w:tcPr>
            <w:tcW w:w="1027" w:type="dxa"/>
            <w:noWrap/>
            <w:vAlign w:val="center"/>
            <w:hideMark/>
          </w:tcPr>
          <w:p w14:paraId="0F989C0B" w14:textId="2B3CB0B5"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w:t>
            </w:r>
          </w:p>
        </w:tc>
        <w:tc>
          <w:tcPr>
            <w:tcW w:w="1028" w:type="dxa"/>
            <w:vAlign w:val="center"/>
          </w:tcPr>
          <w:p w14:paraId="6CA70013" w14:textId="74D404D1"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-21</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09</w:t>
            </w:r>
          </w:p>
        </w:tc>
        <w:tc>
          <w:tcPr>
            <w:tcW w:w="1027" w:type="dxa"/>
            <w:noWrap/>
            <w:vAlign w:val="center"/>
            <w:hideMark/>
          </w:tcPr>
          <w:p w14:paraId="5DBACDF0" w14:textId="47DD3E89"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w:t>
            </w:r>
          </w:p>
        </w:tc>
        <w:tc>
          <w:tcPr>
            <w:tcW w:w="1028" w:type="dxa"/>
            <w:vAlign w:val="center"/>
          </w:tcPr>
          <w:p w14:paraId="627B65C0" w14:textId="71AA2BE2"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21</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78</w:t>
            </w:r>
          </w:p>
        </w:tc>
        <w:tc>
          <w:tcPr>
            <w:tcW w:w="1028" w:type="dxa"/>
            <w:noWrap/>
            <w:vAlign w:val="center"/>
            <w:hideMark/>
          </w:tcPr>
          <w:p w14:paraId="32FB505E" w14:textId="77777777"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w:t>
            </w:r>
          </w:p>
        </w:tc>
        <w:tc>
          <w:tcPr>
            <w:tcW w:w="1027" w:type="dxa"/>
            <w:vAlign w:val="center"/>
          </w:tcPr>
          <w:p w14:paraId="6E46E2EA" w14:textId="6279ED05"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-12</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20</w:t>
            </w:r>
          </w:p>
        </w:tc>
        <w:tc>
          <w:tcPr>
            <w:tcW w:w="1028" w:type="dxa"/>
            <w:noWrap/>
            <w:vAlign w:val="center"/>
            <w:hideMark/>
          </w:tcPr>
          <w:p w14:paraId="307C10C3" w14:textId="1DE238CC"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w:t>
            </w:r>
          </w:p>
        </w:tc>
        <w:tc>
          <w:tcPr>
            <w:tcW w:w="1028" w:type="dxa"/>
            <w:vAlign w:val="center"/>
          </w:tcPr>
          <w:p w14:paraId="229BD5F1" w14:textId="2C8761B2" w:rsidR="0044738D" w:rsidRPr="007E3A51" w:rsidRDefault="0044738D" w:rsidP="0082110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13</w:t>
            </w:r>
            <w:r w:rsidR="00821101"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43</w:t>
            </w:r>
          </w:p>
        </w:tc>
      </w:tr>
    </w:tbl>
    <w:p w14:paraId="63A3AC14" w14:textId="77777777" w:rsidR="0044738D" w:rsidRPr="007E3A51" w:rsidRDefault="0044738D" w:rsidP="00625A8A">
      <w:pPr>
        <w:jc w:val="both"/>
        <w:rPr>
          <w:rFonts w:ascii="Times New Roman" w:hAnsi="Times New Roman" w:cs="Times New Roman"/>
          <w:i/>
          <w:iCs/>
          <w:sz w:val="18"/>
          <w:szCs w:val="18"/>
          <w:lang w:val="en-GB"/>
        </w:rPr>
      </w:pPr>
      <w:r w:rsidRPr="007E3A51">
        <w:rPr>
          <w:rFonts w:ascii="Times New Roman" w:hAnsi="Times New Roman" w:cs="Times New Roman"/>
          <w:i/>
          <w:iCs/>
          <w:sz w:val="18"/>
          <w:szCs w:val="18"/>
          <w:lang w:val="en-GB"/>
        </w:rPr>
        <w:t>Source: calculated by the authors based on statistical data</w:t>
      </w:r>
    </w:p>
    <w:p w14:paraId="24E747DF" w14:textId="15A9F45E" w:rsidR="00C320D0" w:rsidRPr="007E3A51" w:rsidRDefault="00C320D0" w:rsidP="00417DD6">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The acceleration results in a significant slowdown in growth and significant negative indicators for almost all </w:t>
      </w:r>
      <w:proofErr w:type="spellStart"/>
      <w:r w:rsidRPr="007E3A51">
        <w:rPr>
          <w:rFonts w:ascii="Times New Roman" w:hAnsi="Times New Roman" w:cs="Times New Roman"/>
          <w:lang w:val="en-GB"/>
        </w:rPr>
        <w:t>analyzed</w:t>
      </w:r>
      <w:proofErr w:type="spellEnd"/>
      <w:r w:rsidRPr="007E3A51">
        <w:rPr>
          <w:rFonts w:ascii="Times New Roman" w:hAnsi="Times New Roman" w:cs="Times New Roman"/>
          <w:lang w:val="en-GB"/>
        </w:rPr>
        <w:t xml:space="preserve"> crops and indicators in 2022. The exceptions again are the results of soybeans and rapeseed for the </w:t>
      </w:r>
      <w:r w:rsidR="00225E5B" w:rsidRPr="007E3A51">
        <w:rPr>
          <w:rFonts w:ascii="Times New Roman" w:hAnsi="Times New Roman" w:cs="Times New Roman"/>
          <w:lang w:val="en-GB"/>
        </w:rPr>
        <w:t>h</w:t>
      </w:r>
      <w:r w:rsidRPr="007E3A51">
        <w:rPr>
          <w:rFonts w:ascii="Times New Roman" w:hAnsi="Times New Roman" w:cs="Times New Roman"/>
          <w:lang w:val="en-GB"/>
        </w:rPr>
        <w:t xml:space="preserve">arvested area indicator. Moreover, the growth rate of these crops in 2022 is notably high (18.48 p.p. and 24.81 p.p., respectively). According to other indicators (production volume and yield), they reflected a decline in 2022. A distinctive characteristic is the return to positive results and acceleration of growth rates for all crops and </w:t>
      </w:r>
      <w:r w:rsidR="005369B2" w:rsidRPr="007E3A51">
        <w:rPr>
          <w:rFonts w:ascii="Times New Roman" w:hAnsi="Times New Roman" w:cs="Times New Roman"/>
          <w:lang w:val="en-GB"/>
        </w:rPr>
        <w:t xml:space="preserve">the </w:t>
      </w:r>
      <w:proofErr w:type="spellStart"/>
      <w:r w:rsidRPr="007E3A51">
        <w:rPr>
          <w:rFonts w:ascii="Times New Roman" w:hAnsi="Times New Roman" w:cs="Times New Roman"/>
          <w:lang w:val="en-GB"/>
        </w:rPr>
        <w:t>analyzed</w:t>
      </w:r>
      <w:proofErr w:type="spellEnd"/>
      <w:r w:rsidRPr="007E3A51">
        <w:rPr>
          <w:rFonts w:ascii="Times New Roman" w:hAnsi="Times New Roman" w:cs="Times New Roman"/>
          <w:lang w:val="en-GB"/>
        </w:rPr>
        <w:t xml:space="preserve"> indicators of the development of the agricultural sector. </w:t>
      </w:r>
      <w:r w:rsidR="005369B2" w:rsidRPr="007E3A51">
        <w:rPr>
          <w:rFonts w:ascii="Times New Roman" w:hAnsi="Times New Roman" w:cs="Times New Roman"/>
          <w:lang w:val="en-GB"/>
        </w:rPr>
        <w:t>This</w:t>
      </w:r>
      <w:r w:rsidRPr="007E3A51">
        <w:rPr>
          <w:rFonts w:ascii="Times New Roman" w:hAnsi="Times New Roman" w:cs="Times New Roman"/>
          <w:lang w:val="en-GB"/>
        </w:rPr>
        <w:t xml:space="preserve"> demonstrates significant potential for the development and restoration of the agricultural sector of Ukraine and is of great importance for ensuring food security in our country.</w:t>
      </w:r>
    </w:p>
    <w:p w14:paraId="7D76A141" w14:textId="5D4338EC" w:rsidR="00DD04DD" w:rsidRPr="007E3A51" w:rsidRDefault="00DD04DD" w:rsidP="00F80E61">
      <w:pPr>
        <w:pStyle w:val="Rtab"/>
        <w:rPr>
          <w:lang w:val="en-GB"/>
        </w:rPr>
      </w:pPr>
      <w:r w:rsidRPr="007E3A51">
        <w:rPr>
          <w:b/>
          <w:bCs/>
          <w:lang w:val="en-GB"/>
        </w:rPr>
        <w:lastRenderedPageBreak/>
        <w:t>Table 4.</w:t>
      </w:r>
      <w:r w:rsidRPr="007E3A51">
        <w:rPr>
          <w:lang w:val="en-GB"/>
        </w:rPr>
        <w:t xml:space="preserve"> Dynamics of key indicators of the agri-food sector by main crops, 2020-2023</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1077"/>
        <w:gridCol w:w="1032"/>
        <w:gridCol w:w="984"/>
        <w:gridCol w:w="1041"/>
        <w:gridCol w:w="1042"/>
        <w:gridCol w:w="983"/>
        <w:gridCol w:w="1013"/>
        <w:gridCol w:w="1134"/>
        <w:gridCol w:w="31"/>
      </w:tblGrid>
      <w:tr w:rsidR="00734485" w:rsidRPr="007E3A51" w14:paraId="6109729E" w14:textId="45EA83F6" w:rsidTr="00734485">
        <w:trPr>
          <w:gridAfter w:val="1"/>
          <w:wAfter w:w="31" w:type="dxa"/>
          <w:trHeight w:val="300"/>
          <w:jc w:val="center"/>
        </w:trPr>
        <w:tc>
          <w:tcPr>
            <w:tcW w:w="1297" w:type="dxa"/>
            <w:vMerge w:val="restart"/>
            <w:noWrap/>
            <w:vAlign w:val="center"/>
            <w:hideMark/>
          </w:tcPr>
          <w:p w14:paraId="3C0D82FF" w14:textId="77777777" w:rsidR="002A153E" w:rsidRPr="007E3A51" w:rsidRDefault="002A153E"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Crops</w:t>
            </w:r>
          </w:p>
        </w:tc>
        <w:tc>
          <w:tcPr>
            <w:tcW w:w="1077" w:type="dxa"/>
            <w:noWrap/>
            <w:vAlign w:val="center"/>
            <w:hideMark/>
          </w:tcPr>
          <w:p w14:paraId="6D673D23" w14:textId="77777777" w:rsidR="002A153E" w:rsidRPr="007E3A51" w:rsidRDefault="002A153E"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2020</w:t>
            </w:r>
          </w:p>
        </w:tc>
        <w:tc>
          <w:tcPr>
            <w:tcW w:w="2016" w:type="dxa"/>
            <w:gridSpan w:val="2"/>
            <w:noWrap/>
            <w:vAlign w:val="center"/>
            <w:hideMark/>
          </w:tcPr>
          <w:p w14:paraId="2CA15303" w14:textId="77777777" w:rsidR="002A153E" w:rsidRPr="007E3A51" w:rsidRDefault="002A153E"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2021</w:t>
            </w:r>
          </w:p>
        </w:tc>
        <w:tc>
          <w:tcPr>
            <w:tcW w:w="2083" w:type="dxa"/>
            <w:gridSpan w:val="2"/>
            <w:noWrap/>
            <w:vAlign w:val="center"/>
            <w:hideMark/>
          </w:tcPr>
          <w:p w14:paraId="43FA7820" w14:textId="77777777" w:rsidR="002A153E" w:rsidRPr="007E3A51" w:rsidRDefault="002A153E"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2022</w:t>
            </w:r>
          </w:p>
        </w:tc>
        <w:tc>
          <w:tcPr>
            <w:tcW w:w="1996" w:type="dxa"/>
            <w:gridSpan w:val="2"/>
            <w:noWrap/>
            <w:vAlign w:val="center"/>
            <w:hideMark/>
          </w:tcPr>
          <w:p w14:paraId="7ADF3BE3" w14:textId="77777777" w:rsidR="002A153E" w:rsidRPr="007E3A51" w:rsidRDefault="002A153E"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2023</w:t>
            </w:r>
          </w:p>
        </w:tc>
        <w:tc>
          <w:tcPr>
            <w:tcW w:w="1134" w:type="dxa"/>
            <w:vAlign w:val="center"/>
          </w:tcPr>
          <w:p w14:paraId="50D545BD" w14:textId="1AE800DC" w:rsidR="002A153E" w:rsidRPr="007E3A51" w:rsidRDefault="002A153E"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2019-2023</w:t>
            </w:r>
          </w:p>
        </w:tc>
      </w:tr>
      <w:tr w:rsidR="00417DD6" w:rsidRPr="007E3A51" w14:paraId="0BE3FB5E" w14:textId="20E1478B" w:rsidTr="00734485">
        <w:trPr>
          <w:gridAfter w:val="1"/>
          <w:wAfter w:w="31" w:type="dxa"/>
          <w:cantSplit/>
          <w:trHeight w:val="1421"/>
          <w:jc w:val="center"/>
        </w:trPr>
        <w:tc>
          <w:tcPr>
            <w:tcW w:w="1297" w:type="dxa"/>
            <w:vMerge/>
            <w:noWrap/>
          </w:tcPr>
          <w:p w14:paraId="427EFAAE" w14:textId="77777777" w:rsidR="002A153E" w:rsidRPr="007E3A51" w:rsidRDefault="002A153E" w:rsidP="00B90AC6">
            <w:pPr>
              <w:spacing w:after="0" w:line="240" w:lineRule="auto"/>
              <w:jc w:val="center"/>
              <w:rPr>
                <w:rFonts w:ascii="Times New Roman" w:hAnsi="Times New Roman" w:cs="Times New Roman"/>
                <w:sz w:val="20"/>
                <w:szCs w:val="20"/>
                <w:lang w:val="en-GB"/>
              </w:rPr>
            </w:pPr>
          </w:p>
        </w:tc>
        <w:tc>
          <w:tcPr>
            <w:tcW w:w="1077" w:type="dxa"/>
            <w:noWrap/>
            <w:textDirection w:val="btLr"/>
            <w:vAlign w:val="center"/>
          </w:tcPr>
          <w:p w14:paraId="37C51CFE" w14:textId="22F159FA" w:rsidR="002A153E" w:rsidRPr="007E3A51" w:rsidRDefault="002A153E" w:rsidP="00F80E61">
            <w:pPr>
              <w:spacing w:after="0" w:line="240" w:lineRule="auto"/>
              <w:ind w:left="113" w:right="113"/>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Based-year </w:t>
            </w:r>
            <w:r w:rsidR="00734485" w:rsidRPr="007E3A51">
              <w:rPr>
                <w:rFonts w:ascii="Times New Roman" w:hAnsi="Times New Roman" w:cs="Times New Roman"/>
                <w:sz w:val="20"/>
                <w:szCs w:val="20"/>
                <w:lang w:val="en-GB"/>
              </w:rPr>
              <w:br/>
            </w:r>
            <w:r w:rsidRPr="007E3A51">
              <w:rPr>
                <w:rFonts w:ascii="Times New Roman" w:hAnsi="Times New Roman" w:cs="Times New Roman"/>
                <w:sz w:val="20"/>
                <w:szCs w:val="20"/>
                <w:lang w:val="en-GB"/>
              </w:rPr>
              <w:t>index, %</w:t>
            </w:r>
          </w:p>
        </w:tc>
        <w:tc>
          <w:tcPr>
            <w:tcW w:w="1032" w:type="dxa"/>
            <w:noWrap/>
            <w:textDirection w:val="btLr"/>
            <w:vAlign w:val="center"/>
          </w:tcPr>
          <w:p w14:paraId="1FF61358" w14:textId="2015928E" w:rsidR="002A153E" w:rsidRPr="007E3A51" w:rsidRDefault="002A153E" w:rsidP="00F80E61">
            <w:pPr>
              <w:spacing w:after="0" w:line="240" w:lineRule="auto"/>
              <w:ind w:left="113" w:right="113"/>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Based-year </w:t>
            </w:r>
            <w:r w:rsidR="00734485" w:rsidRPr="007E3A51">
              <w:rPr>
                <w:rFonts w:ascii="Times New Roman" w:hAnsi="Times New Roman" w:cs="Times New Roman"/>
                <w:sz w:val="20"/>
                <w:szCs w:val="20"/>
                <w:lang w:val="en-GB"/>
              </w:rPr>
              <w:br/>
            </w:r>
            <w:r w:rsidRPr="007E3A51">
              <w:rPr>
                <w:rFonts w:ascii="Times New Roman" w:hAnsi="Times New Roman" w:cs="Times New Roman"/>
                <w:sz w:val="20"/>
                <w:szCs w:val="20"/>
                <w:lang w:val="en-GB"/>
              </w:rPr>
              <w:t>index, %</w:t>
            </w:r>
          </w:p>
        </w:tc>
        <w:tc>
          <w:tcPr>
            <w:tcW w:w="984" w:type="dxa"/>
            <w:textDirection w:val="btLr"/>
            <w:vAlign w:val="center"/>
          </w:tcPr>
          <w:p w14:paraId="3E50CCFE" w14:textId="13807D64" w:rsidR="002A153E" w:rsidRPr="007E3A51" w:rsidRDefault="002A153E" w:rsidP="00F80E61">
            <w:pPr>
              <w:spacing w:after="0" w:line="240" w:lineRule="auto"/>
              <w:ind w:left="113" w:right="113"/>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Acceleration, p.p.</w:t>
            </w:r>
          </w:p>
        </w:tc>
        <w:tc>
          <w:tcPr>
            <w:tcW w:w="1041" w:type="dxa"/>
            <w:noWrap/>
            <w:textDirection w:val="btLr"/>
            <w:vAlign w:val="center"/>
          </w:tcPr>
          <w:p w14:paraId="3CD504B0" w14:textId="76A4170B" w:rsidR="002A153E" w:rsidRPr="007E3A51" w:rsidRDefault="002A153E" w:rsidP="00F80E61">
            <w:pPr>
              <w:spacing w:after="0" w:line="240" w:lineRule="auto"/>
              <w:ind w:left="113" w:right="113"/>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Based-year </w:t>
            </w:r>
            <w:r w:rsidR="00734485" w:rsidRPr="007E3A51">
              <w:rPr>
                <w:rFonts w:ascii="Times New Roman" w:hAnsi="Times New Roman" w:cs="Times New Roman"/>
                <w:sz w:val="20"/>
                <w:szCs w:val="20"/>
                <w:lang w:val="en-GB"/>
              </w:rPr>
              <w:br/>
            </w:r>
            <w:r w:rsidRPr="007E3A51">
              <w:rPr>
                <w:rFonts w:ascii="Times New Roman" w:hAnsi="Times New Roman" w:cs="Times New Roman"/>
                <w:sz w:val="20"/>
                <w:szCs w:val="20"/>
                <w:lang w:val="en-GB"/>
              </w:rPr>
              <w:t>index, %</w:t>
            </w:r>
          </w:p>
        </w:tc>
        <w:tc>
          <w:tcPr>
            <w:tcW w:w="1042" w:type="dxa"/>
            <w:textDirection w:val="btLr"/>
            <w:vAlign w:val="center"/>
          </w:tcPr>
          <w:p w14:paraId="5321BAAA" w14:textId="54C3D5B1" w:rsidR="002A153E" w:rsidRPr="007E3A51" w:rsidRDefault="002A153E" w:rsidP="00F80E61">
            <w:pPr>
              <w:spacing w:after="0" w:line="240" w:lineRule="auto"/>
              <w:ind w:left="113" w:right="113"/>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Acceleration, p.p.</w:t>
            </w:r>
          </w:p>
        </w:tc>
        <w:tc>
          <w:tcPr>
            <w:tcW w:w="983" w:type="dxa"/>
            <w:noWrap/>
            <w:textDirection w:val="btLr"/>
            <w:vAlign w:val="center"/>
          </w:tcPr>
          <w:p w14:paraId="5002E6B8" w14:textId="1014E973" w:rsidR="002A153E" w:rsidRPr="007E3A51" w:rsidRDefault="002A153E" w:rsidP="00F80E61">
            <w:pPr>
              <w:spacing w:after="0" w:line="240" w:lineRule="auto"/>
              <w:ind w:left="113" w:right="113"/>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Based-year </w:t>
            </w:r>
            <w:r w:rsidR="00734485" w:rsidRPr="007E3A51">
              <w:rPr>
                <w:rFonts w:ascii="Times New Roman" w:hAnsi="Times New Roman" w:cs="Times New Roman"/>
                <w:sz w:val="20"/>
                <w:szCs w:val="20"/>
                <w:lang w:val="en-GB"/>
              </w:rPr>
              <w:br/>
            </w:r>
            <w:r w:rsidRPr="007E3A51">
              <w:rPr>
                <w:rFonts w:ascii="Times New Roman" w:hAnsi="Times New Roman" w:cs="Times New Roman"/>
                <w:sz w:val="20"/>
                <w:szCs w:val="20"/>
                <w:lang w:val="en-GB"/>
              </w:rPr>
              <w:t>index, %</w:t>
            </w:r>
          </w:p>
        </w:tc>
        <w:tc>
          <w:tcPr>
            <w:tcW w:w="1013" w:type="dxa"/>
            <w:textDirection w:val="btLr"/>
            <w:vAlign w:val="center"/>
          </w:tcPr>
          <w:p w14:paraId="1A5A0E51" w14:textId="605DD452" w:rsidR="002A153E" w:rsidRPr="007E3A51" w:rsidRDefault="002A153E" w:rsidP="00F80E61">
            <w:pPr>
              <w:spacing w:after="0" w:line="240" w:lineRule="auto"/>
              <w:ind w:left="113" w:right="113"/>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Acceleration, p.p.</w:t>
            </w:r>
          </w:p>
        </w:tc>
        <w:tc>
          <w:tcPr>
            <w:tcW w:w="1134" w:type="dxa"/>
            <w:textDirection w:val="btLr"/>
            <w:vAlign w:val="center"/>
          </w:tcPr>
          <w:p w14:paraId="7D8257D7" w14:textId="0D4C9C59" w:rsidR="002A153E" w:rsidRPr="007E3A51" w:rsidRDefault="002A153E" w:rsidP="00F80E61">
            <w:pPr>
              <w:spacing w:after="0" w:line="240" w:lineRule="auto"/>
              <w:ind w:left="113" w:right="113"/>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CAGR, % </w:t>
            </w:r>
            <w:r w:rsidR="00734485" w:rsidRPr="007E3A51">
              <w:rPr>
                <w:rFonts w:ascii="Times New Roman" w:hAnsi="Times New Roman" w:cs="Times New Roman"/>
                <w:sz w:val="20"/>
                <w:szCs w:val="20"/>
                <w:lang w:val="en-GB"/>
              </w:rPr>
              <w:br/>
            </w:r>
            <w:r w:rsidRPr="007E3A51">
              <w:rPr>
                <w:rFonts w:ascii="Times New Roman" w:hAnsi="Times New Roman" w:cs="Times New Roman"/>
                <w:sz w:val="20"/>
                <w:szCs w:val="20"/>
                <w:lang w:val="en-GB"/>
              </w:rPr>
              <w:t>per year</w:t>
            </w:r>
          </w:p>
        </w:tc>
      </w:tr>
      <w:tr w:rsidR="00417DD6" w:rsidRPr="007E3A51" w14:paraId="581EEE24" w14:textId="0C70C3BA" w:rsidTr="00734485">
        <w:trPr>
          <w:trHeight w:val="340"/>
          <w:jc w:val="center"/>
        </w:trPr>
        <w:tc>
          <w:tcPr>
            <w:tcW w:w="9634" w:type="dxa"/>
            <w:gridSpan w:val="10"/>
            <w:noWrap/>
            <w:vAlign w:val="center"/>
          </w:tcPr>
          <w:p w14:paraId="5D116A58" w14:textId="29A15137" w:rsidR="00B77328" w:rsidRPr="007E3A51" w:rsidRDefault="00B7732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Harvested area of annual and biennial crops, thousand hectares</w:t>
            </w:r>
          </w:p>
        </w:tc>
      </w:tr>
      <w:tr w:rsidR="00417DD6" w:rsidRPr="007E3A51" w14:paraId="74137F5F" w14:textId="00299F85" w:rsidTr="00734485">
        <w:trPr>
          <w:gridAfter w:val="1"/>
          <w:wAfter w:w="31" w:type="dxa"/>
          <w:trHeight w:val="300"/>
          <w:jc w:val="center"/>
        </w:trPr>
        <w:tc>
          <w:tcPr>
            <w:tcW w:w="1297" w:type="dxa"/>
            <w:noWrap/>
            <w:vAlign w:val="center"/>
            <w:hideMark/>
          </w:tcPr>
          <w:p w14:paraId="35A2CB3F" w14:textId="0907592A" w:rsidR="005A1938" w:rsidRPr="007E3A51" w:rsidRDefault="005A1938"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cereal and </w:t>
            </w:r>
            <w:r w:rsidR="00734485" w:rsidRPr="007E3A51">
              <w:rPr>
                <w:rFonts w:ascii="Times New Roman" w:hAnsi="Times New Roman" w:cs="Times New Roman"/>
                <w:sz w:val="20"/>
                <w:szCs w:val="20"/>
                <w:lang w:val="en-GB"/>
              </w:rPr>
              <w:br/>
            </w:r>
            <w:r w:rsidRPr="007E3A51">
              <w:rPr>
                <w:rFonts w:ascii="Times New Roman" w:hAnsi="Times New Roman" w:cs="Times New Roman"/>
                <w:sz w:val="20"/>
                <w:szCs w:val="20"/>
                <w:lang w:val="en-GB"/>
              </w:rPr>
              <w:t>leguminous crops</w:t>
            </w:r>
          </w:p>
        </w:tc>
        <w:tc>
          <w:tcPr>
            <w:tcW w:w="1077" w:type="dxa"/>
            <w:noWrap/>
            <w:vAlign w:val="center"/>
            <w:hideMark/>
          </w:tcPr>
          <w:p w14:paraId="02725BCF" w14:textId="5F916B09"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99</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94</w:t>
            </w:r>
          </w:p>
        </w:tc>
        <w:tc>
          <w:tcPr>
            <w:tcW w:w="1032" w:type="dxa"/>
            <w:noWrap/>
            <w:vAlign w:val="center"/>
            <w:hideMark/>
          </w:tcPr>
          <w:p w14:paraId="7838B89C" w14:textId="47B20E6B"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29</w:t>
            </w:r>
          </w:p>
        </w:tc>
        <w:tc>
          <w:tcPr>
            <w:tcW w:w="984" w:type="dxa"/>
            <w:vAlign w:val="center"/>
          </w:tcPr>
          <w:p w14:paraId="330F4384" w14:textId="6EAB976B"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41</w:t>
            </w:r>
          </w:p>
        </w:tc>
        <w:tc>
          <w:tcPr>
            <w:tcW w:w="1041" w:type="dxa"/>
            <w:noWrap/>
            <w:vAlign w:val="center"/>
            <w:hideMark/>
          </w:tcPr>
          <w:p w14:paraId="6B9DFFAF" w14:textId="7C46CB57"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99</w:t>
            </w:r>
          </w:p>
        </w:tc>
        <w:tc>
          <w:tcPr>
            <w:tcW w:w="1042" w:type="dxa"/>
            <w:vAlign w:val="center"/>
          </w:tcPr>
          <w:p w14:paraId="2766C986" w14:textId="1A0A45F3"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-30</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54</w:t>
            </w:r>
          </w:p>
        </w:tc>
        <w:tc>
          <w:tcPr>
            <w:tcW w:w="983" w:type="dxa"/>
            <w:noWrap/>
            <w:vAlign w:val="center"/>
            <w:hideMark/>
          </w:tcPr>
          <w:p w14:paraId="2D4DD134" w14:textId="4C416664"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70</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86</w:t>
            </w:r>
          </w:p>
        </w:tc>
        <w:tc>
          <w:tcPr>
            <w:tcW w:w="1013" w:type="dxa"/>
            <w:vAlign w:val="center"/>
          </w:tcPr>
          <w:p w14:paraId="1D5F8239" w14:textId="593BE48A"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18</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22</w:t>
            </w:r>
          </w:p>
        </w:tc>
        <w:tc>
          <w:tcPr>
            <w:tcW w:w="1134" w:type="dxa"/>
            <w:vAlign w:val="center"/>
          </w:tcPr>
          <w:p w14:paraId="57D953DB" w14:textId="5622B5D7"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25%</w:t>
            </w:r>
          </w:p>
        </w:tc>
      </w:tr>
      <w:tr w:rsidR="00417DD6" w:rsidRPr="007E3A51" w14:paraId="1BDD93B5" w14:textId="4772EEA6" w:rsidTr="00734485">
        <w:trPr>
          <w:gridAfter w:val="1"/>
          <w:wAfter w:w="31" w:type="dxa"/>
          <w:trHeight w:val="300"/>
          <w:jc w:val="center"/>
        </w:trPr>
        <w:tc>
          <w:tcPr>
            <w:tcW w:w="1297" w:type="dxa"/>
            <w:noWrap/>
            <w:vAlign w:val="center"/>
            <w:hideMark/>
          </w:tcPr>
          <w:p w14:paraId="2B0A6855" w14:textId="77777777" w:rsidR="005A1938" w:rsidRPr="007E3A51" w:rsidRDefault="005A1938"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wheat</w:t>
            </w:r>
          </w:p>
        </w:tc>
        <w:tc>
          <w:tcPr>
            <w:tcW w:w="1077" w:type="dxa"/>
            <w:noWrap/>
            <w:vAlign w:val="center"/>
            <w:hideMark/>
          </w:tcPr>
          <w:p w14:paraId="4FCE5FFC" w14:textId="78D1AA3E"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21</w:t>
            </w:r>
          </w:p>
        </w:tc>
        <w:tc>
          <w:tcPr>
            <w:tcW w:w="1032" w:type="dxa"/>
            <w:noWrap/>
            <w:vAlign w:val="center"/>
            <w:hideMark/>
          </w:tcPr>
          <w:p w14:paraId="3B45197E" w14:textId="3FE21BEF"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08</w:t>
            </w:r>
          </w:p>
        </w:tc>
        <w:tc>
          <w:tcPr>
            <w:tcW w:w="984" w:type="dxa"/>
            <w:vAlign w:val="center"/>
          </w:tcPr>
          <w:p w14:paraId="64EFD388" w14:textId="6FA8EA63"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11</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96</w:t>
            </w:r>
          </w:p>
        </w:tc>
        <w:tc>
          <w:tcPr>
            <w:tcW w:w="1041" w:type="dxa"/>
            <w:noWrap/>
            <w:vAlign w:val="center"/>
            <w:hideMark/>
          </w:tcPr>
          <w:p w14:paraId="5F9303A9" w14:textId="08144C50"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77</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53</w:t>
            </w:r>
          </w:p>
        </w:tc>
        <w:tc>
          <w:tcPr>
            <w:tcW w:w="1042" w:type="dxa"/>
            <w:vAlign w:val="center"/>
          </w:tcPr>
          <w:p w14:paraId="260062E2" w14:textId="238D4F98"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68</w:t>
            </w:r>
          </w:p>
        </w:tc>
        <w:tc>
          <w:tcPr>
            <w:tcW w:w="983" w:type="dxa"/>
            <w:noWrap/>
            <w:vAlign w:val="center"/>
            <w:hideMark/>
          </w:tcPr>
          <w:p w14:paraId="77DE2E92" w14:textId="6BDC9B45"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68</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38</w:t>
            </w:r>
          </w:p>
        </w:tc>
        <w:tc>
          <w:tcPr>
            <w:tcW w:w="1013" w:type="dxa"/>
            <w:vAlign w:val="center"/>
          </w:tcPr>
          <w:p w14:paraId="21AD9944" w14:textId="1B490C06"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71</w:t>
            </w:r>
          </w:p>
        </w:tc>
        <w:tc>
          <w:tcPr>
            <w:tcW w:w="1134" w:type="dxa"/>
            <w:vAlign w:val="center"/>
          </w:tcPr>
          <w:p w14:paraId="1F3A225C" w14:textId="46896B96"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06%</w:t>
            </w:r>
          </w:p>
        </w:tc>
      </w:tr>
      <w:tr w:rsidR="00417DD6" w:rsidRPr="007E3A51" w14:paraId="469CB7EB" w14:textId="1444E4EA" w:rsidTr="00734485">
        <w:trPr>
          <w:gridAfter w:val="1"/>
          <w:wAfter w:w="31" w:type="dxa"/>
          <w:trHeight w:val="300"/>
          <w:jc w:val="center"/>
        </w:trPr>
        <w:tc>
          <w:tcPr>
            <w:tcW w:w="1297" w:type="dxa"/>
            <w:noWrap/>
            <w:vAlign w:val="center"/>
            <w:hideMark/>
          </w:tcPr>
          <w:p w14:paraId="1E783D9B" w14:textId="77777777" w:rsidR="005A1938" w:rsidRPr="007E3A51" w:rsidRDefault="005A1938"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maize</w:t>
            </w:r>
          </w:p>
        </w:tc>
        <w:tc>
          <w:tcPr>
            <w:tcW w:w="1077" w:type="dxa"/>
            <w:noWrap/>
            <w:vAlign w:val="center"/>
            <w:hideMark/>
          </w:tcPr>
          <w:p w14:paraId="009D7148" w14:textId="5E8D8998"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108</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13</w:t>
            </w:r>
          </w:p>
        </w:tc>
        <w:tc>
          <w:tcPr>
            <w:tcW w:w="1032" w:type="dxa"/>
            <w:noWrap/>
            <w:vAlign w:val="center"/>
            <w:hideMark/>
          </w:tcPr>
          <w:p w14:paraId="330F8FE1" w14:textId="36D814D5"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109</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92</w:t>
            </w:r>
          </w:p>
        </w:tc>
        <w:tc>
          <w:tcPr>
            <w:tcW w:w="984" w:type="dxa"/>
            <w:vAlign w:val="center"/>
          </w:tcPr>
          <w:p w14:paraId="770F7178" w14:textId="21394412"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46</w:t>
            </w:r>
          </w:p>
        </w:tc>
        <w:tc>
          <w:tcPr>
            <w:tcW w:w="1041" w:type="dxa"/>
            <w:noWrap/>
            <w:vAlign w:val="center"/>
            <w:hideMark/>
          </w:tcPr>
          <w:p w14:paraId="2680FFEB" w14:textId="54DF3B80"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82</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71</w:t>
            </w:r>
          </w:p>
        </w:tc>
        <w:tc>
          <w:tcPr>
            <w:tcW w:w="1042" w:type="dxa"/>
            <w:vAlign w:val="center"/>
          </w:tcPr>
          <w:p w14:paraId="3DE6AB12" w14:textId="2E175266"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42</w:t>
            </w:r>
          </w:p>
        </w:tc>
        <w:tc>
          <w:tcPr>
            <w:tcW w:w="983" w:type="dxa"/>
            <w:noWrap/>
            <w:vAlign w:val="center"/>
            <w:hideMark/>
          </w:tcPr>
          <w:p w14:paraId="553D9D11" w14:textId="35F3EE62"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79</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71</w:t>
            </w:r>
          </w:p>
        </w:tc>
        <w:tc>
          <w:tcPr>
            <w:tcW w:w="1013" w:type="dxa"/>
            <w:vAlign w:val="center"/>
          </w:tcPr>
          <w:p w14:paraId="37BF729D" w14:textId="0EFE2BBF"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21</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14</w:t>
            </w:r>
          </w:p>
        </w:tc>
        <w:tc>
          <w:tcPr>
            <w:tcW w:w="1134" w:type="dxa"/>
            <w:vAlign w:val="center"/>
          </w:tcPr>
          <w:p w14:paraId="320E8F0B" w14:textId="19A6143D"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51%</w:t>
            </w:r>
          </w:p>
        </w:tc>
      </w:tr>
      <w:tr w:rsidR="00417DD6" w:rsidRPr="007E3A51" w14:paraId="7EC62A27" w14:textId="73926F03" w:rsidTr="00734485">
        <w:trPr>
          <w:gridAfter w:val="1"/>
          <w:wAfter w:w="31" w:type="dxa"/>
          <w:trHeight w:val="300"/>
          <w:jc w:val="center"/>
        </w:trPr>
        <w:tc>
          <w:tcPr>
            <w:tcW w:w="1297" w:type="dxa"/>
            <w:noWrap/>
            <w:vAlign w:val="center"/>
            <w:hideMark/>
          </w:tcPr>
          <w:p w14:paraId="054885C5" w14:textId="77777777" w:rsidR="005A1938" w:rsidRPr="007E3A51" w:rsidRDefault="005A1938"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barley</w:t>
            </w:r>
          </w:p>
        </w:tc>
        <w:tc>
          <w:tcPr>
            <w:tcW w:w="1077" w:type="dxa"/>
            <w:noWrap/>
            <w:vAlign w:val="center"/>
            <w:hideMark/>
          </w:tcPr>
          <w:p w14:paraId="29F0EEAD" w14:textId="5E05386B"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91</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00</w:t>
            </w:r>
          </w:p>
        </w:tc>
        <w:tc>
          <w:tcPr>
            <w:tcW w:w="1032" w:type="dxa"/>
            <w:noWrap/>
            <w:vAlign w:val="center"/>
            <w:hideMark/>
          </w:tcPr>
          <w:p w14:paraId="1B013738" w14:textId="33891F72"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75</w:t>
            </w:r>
          </w:p>
        </w:tc>
        <w:tc>
          <w:tcPr>
            <w:tcW w:w="984" w:type="dxa"/>
            <w:vAlign w:val="center"/>
          </w:tcPr>
          <w:p w14:paraId="18B0270E" w14:textId="3681A161"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11</w:t>
            </w:r>
          </w:p>
        </w:tc>
        <w:tc>
          <w:tcPr>
            <w:tcW w:w="1041" w:type="dxa"/>
            <w:noWrap/>
            <w:vAlign w:val="center"/>
            <w:hideMark/>
          </w:tcPr>
          <w:p w14:paraId="38D6F10B" w14:textId="1F42E004"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66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69</w:t>
            </w:r>
          </w:p>
        </w:tc>
        <w:tc>
          <w:tcPr>
            <w:tcW w:w="1042" w:type="dxa"/>
            <w:vAlign w:val="center"/>
          </w:tcPr>
          <w:p w14:paraId="28EA0C3D" w14:textId="73B3322E"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72</w:t>
            </w:r>
          </w:p>
        </w:tc>
        <w:tc>
          <w:tcPr>
            <w:tcW w:w="983" w:type="dxa"/>
            <w:noWrap/>
            <w:vAlign w:val="center"/>
            <w:hideMark/>
          </w:tcPr>
          <w:p w14:paraId="35E44073" w14:textId="5722F5A6"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57</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27</w:t>
            </w:r>
          </w:p>
        </w:tc>
        <w:tc>
          <w:tcPr>
            <w:tcW w:w="1013" w:type="dxa"/>
            <w:vAlign w:val="center"/>
          </w:tcPr>
          <w:p w14:paraId="10894FC6" w14:textId="191D44EE"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15</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48</w:t>
            </w:r>
          </w:p>
        </w:tc>
        <w:tc>
          <w:tcPr>
            <w:tcW w:w="1134" w:type="dxa"/>
            <w:vAlign w:val="center"/>
          </w:tcPr>
          <w:p w14:paraId="53B9B402" w14:textId="3B4898A2"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01%</w:t>
            </w:r>
          </w:p>
        </w:tc>
      </w:tr>
      <w:tr w:rsidR="00417DD6" w:rsidRPr="007E3A51" w14:paraId="480E8C2F" w14:textId="163B9C8D" w:rsidTr="00734485">
        <w:trPr>
          <w:gridAfter w:val="1"/>
          <w:wAfter w:w="31" w:type="dxa"/>
          <w:trHeight w:val="300"/>
          <w:jc w:val="center"/>
        </w:trPr>
        <w:tc>
          <w:tcPr>
            <w:tcW w:w="1297" w:type="dxa"/>
            <w:noWrap/>
            <w:vAlign w:val="center"/>
            <w:hideMark/>
          </w:tcPr>
          <w:p w14:paraId="134C2876" w14:textId="77777777" w:rsidR="005A1938" w:rsidRPr="007E3A51" w:rsidRDefault="005A1938"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rye</w:t>
            </w:r>
          </w:p>
        </w:tc>
        <w:tc>
          <w:tcPr>
            <w:tcW w:w="1077" w:type="dxa"/>
            <w:noWrap/>
            <w:vAlign w:val="center"/>
            <w:hideMark/>
          </w:tcPr>
          <w:p w14:paraId="2FA707C8" w14:textId="04F1E31E"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119</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41</w:t>
            </w:r>
          </w:p>
        </w:tc>
        <w:tc>
          <w:tcPr>
            <w:tcW w:w="1032" w:type="dxa"/>
            <w:noWrap/>
            <w:vAlign w:val="center"/>
            <w:hideMark/>
          </w:tcPr>
          <w:p w14:paraId="35E24778" w14:textId="50A7A0CA"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148</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70</w:t>
            </w:r>
          </w:p>
        </w:tc>
        <w:tc>
          <w:tcPr>
            <w:tcW w:w="984" w:type="dxa"/>
            <w:vAlign w:val="center"/>
          </w:tcPr>
          <w:p w14:paraId="44DC88D5" w14:textId="551BFF1F"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12</w:t>
            </w:r>
          </w:p>
        </w:tc>
        <w:tc>
          <w:tcPr>
            <w:tcW w:w="1041" w:type="dxa"/>
            <w:noWrap/>
            <w:vAlign w:val="center"/>
            <w:hideMark/>
          </w:tcPr>
          <w:p w14:paraId="5B7A1CBB" w14:textId="4736A01E"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87</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95</w:t>
            </w:r>
          </w:p>
        </w:tc>
        <w:tc>
          <w:tcPr>
            <w:tcW w:w="1042" w:type="dxa"/>
            <w:vAlign w:val="center"/>
          </w:tcPr>
          <w:p w14:paraId="76AD2B77" w14:textId="241EDE97"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-65</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38</w:t>
            </w:r>
          </w:p>
        </w:tc>
        <w:tc>
          <w:tcPr>
            <w:tcW w:w="983" w:type="dxa"/>
            <w:noWrap/>
            <w:vAlign w:val="center"/>
            <w:hideMark/>
          </w:tcPr>
          <w:p w14:paraId="6C6965E5" w14:textId="7F274DED"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67</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94</w:t>
            </w:r>
          </w:p>
        </w:tc>
        <w:tc>
          <w:tcPr>
            <w:tcW w:w="1013" w:type="dxa"/>
            <w:vAlign w:val="center"/>
          </w:tcPr>
          <w:p w14:paraId="2276F12A" w14:textId="7941A488"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18</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09</w:t>
            </w:r>
          </w:p>
        </w:tc>
        <w:tc>
          <w:tcPr>
            <w:tcW w:w="1134" w:type="dxa"/>
            <w:vAlign w:val="center"/>
          </w:tcPr>
          <w:p w14:paraId="07F18F50" w14:textId="6EF52E1D"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21%</w:t>
            </w:r>
          </w:p>
        </w:tc>
      </w:tr>
      <w:tr w:rsidR="00417DD6" w:rsidRPr="007E3A51" w14:paraId="51C2C047" w14:textId="5913AB7B" w:rsidTr="00734485">
        <w:trPr>
          <w:gridAfter w:val="1"/>
          <w:wAfter w:w="31" w:type="dxa"/>
          <w:trHeight w:val="300"/>
          <w:jc w:val="center"/>
        </w:trPr>
        <w:tc>
          <w:tcPr>
            <w:tcW w:w="1297" w:type="dxa"/>
            <w:noWrap/>
            <w:vAlign w:val="center"/>
            <w:hideMark/>
          </w:tcPr>
          <w:p w14:paraId="7124BC31" w14:textId="77777777" w:rsidR="005A1938" w:rsidRPr="007E3A51" w:rsidRDefault="005A1938"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soybeans</w:t>
            </w:r>
          </w:p>
        </w:tc>
        <w:tc>
          <w:tcPr>
            <w:tcW w:w="1077" w:type="dxa"/>
            <w:noWrap/>
            <w:vAlign w:val="center"/>
            <w:hideMark/>
          </w:tcPr>
          <w:p w14:paraId="2B5EB791" w14:textId="72880DD2"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59</w:t>
            </w:r>
          </w:p>
        </w:tc>
        <w:tc>
          <w:tcPr>
            <w:tcW w:w="1032" w:type="dxa"/>
            <w:noWrap/>
            <w:vAlign w:val="center"/>
            <w:hideMark/>
          </w:tcPr>
          <w:p w14:paraId="6BB4F344" w14:textId="257FA0BA"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82</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03</w:t>
            </w:r>
          </w:p>
        </w:tc>
        <w:tc>
          <w:tcPr>
            <w:tcW w:w="984" w:type="dxa"/>
            <w:vAlign w:val="center"/>
          </w:tcPr>
          <w:p w14:paraId="17E55D62" w14:textId="0B9626A5"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12</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37</w:t>
            </w:r>
          </w:p>
        </w:tc>
        <w:tc>
          <w:tcPr>
            <w:tcW w:w="1041" w:type="dxa"/>
            <w:noWrap/>
            <w:vAlign w:val="center"/>
            <w:hideMark/>
          </w:tcPr>
          <w:p w14:paraId="553C3ECF" w14:textId="515CBA7C"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69</w:t>
            </w:r>
          </w:p>
        </w:tc>
        <w:tc>
          <w:tcPr>
            <w:tcW w:w="1042" w:type="dxa"/>
            <w:vAlign w:val="center"/>
          </w:tcPr>
          <w:p w14:paraId="03426C9C" w14:textId="3D66F221"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18</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48</w:t>
            </w:r>
          </w:p>
        </w:tc>
        <w:tc>
          <w:tcPr>
            <w:tcW w:w="983" w:type="dxa"/>
            <w:noWrap/>
            <w:vAlign w:val="center"/>
            <w:hideMark/>
          </w:tcPr>
          <w:p w14:paraId="264D553F" w14:textId="574F2E30"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113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72</w:t>
            </w:r>
          </w:p>
        </w:tc>
        <w:tc>
          <w:tcPr>
            <w:tcW w:w="1013" w:type="dxa"/>
            <w:vAlign w:val="center"/>
          </w:tcPr>
          <w:p w14:paraId="7FCC0AAE" w14:textId="430AE576"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65</w:t>
            </w:r>
          </w:p>
        </w:tc>
        <w:tc>
          <w:tcPr>
            <w:tcW w:w="1134" w:type="dxa"/>
            <w:vAlign w:val="center"/>
          </w:tcPr>
          <w:p w14:paraId="62A66918" w14:textId="04C9808E"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27%</w:t>
            </w:r>
          </w:p>
        </w:tc>
      </w:tr>
      <w:tr w:rsidR="00417DD6" w:rsidRPr="007E3A51" w14:paraId="68B8BB34" w14:textId="251AAEA3" w:rsidTr="00625A8A">
        <w:trPr>
          <w:gridAfter w:val="1"/>
          <w:wAfter w:w="31" w:type="dxa"/>
          <w:trHeight w:val="757"/>
          <w:jc w:val="center"/>
        </w:trPr>
        <w:tc>
          <w:tcPr>
            <w:tcW w:w="1297" w:type="dxa"/>
            <w:noWrap/>
            <w:vAlign w:val="center"/>
            <w:hideMark/>
          </w:tcPr>
          <w:p w14:paraId="3757426E" w14:textId="79F45202" w:rsidR="005A1938" w:rsidRPr="007E3A51" w:rsidRDefault="005A1938"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rapeseed </w:t>
            </w:r>
            <w:r w:rsidR="00734485" w:rsidRPr="007E3A51">
              <w:rPr>
                <w:rFonts w:ascii="Times New Roman" w:hAnsi="Times New Roman" w:cs="Times New Roman"/>
                <w:sz w:val="20"/>
                <w:szCs w:val="20"/>
                <w:lang w:val="en-GB"/>
              </w:rPr>
              <w:br/>
            </w:r>
            <w:r w:rsidRPr="007E3A51">
              <w:rPr>
                <w:rFonts w:ascii="Times New Roman" w:hAnsi="Times New Roman" w:cs="Times New Roman"/>
                <w:sz w:val="20"/>
                <w:szCs w:val="20"/>
                <w:lang w:val="en-GB"/>
              </w:rPr>
              <w:t>(winter and spring)</w:t>
            </w:r>
          </w:p>
        </w:tc>
        <w:tc>
          <w:tcPr>
            <w:tcW w:w="1077" w:type="dxa"/>
            <w:noWrap/>
            <w:vAlign w:val="center"/>
            <w:hideMark/>
          </w:tcPr>
          <w:p w14:paraId="694D0412" w14:textId="0592FB2E"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97</w:t>
            </w:r>
          </w:p>
        </w:tc>
        <w:tc>
          <w:tcPr>
            <w:tcW w:w="1032" w:type="dxa"/>
            <w:noWrap/>
            <w:vAlign w:val="center"/>
            <w:hideMark/>
          </w:tcPr>
          <w:p w14:paraId="4AA20CBE" w14:textId="037B0279"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78</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53</w:t>
            </w:r>
          </w:p>
        </w:tc>
        <w:tc>
          <w:tcPr>
            <w:tcW w:w="984" w:type="dxa"/>
            <w:vAlign w:val="center"/>
          </w:tcPr>
          <w:p w14:paraId="45CFA592" w14:textId="14D4D1CA"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32</w:t>
            </w:r>
          </w:p>
        </w:tc>
        <w:tc>
          <w:tcPr>
            <w:tcW w:w="1041" w:type="dxa"/>
            <w:noWrap/>
            <w:vAlign w:val="center"/>
            <w:hideMark/>
          </w:tcPr>
          <w:p w14:paraId="4A0FB5FE" w14:textId="45212206"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90</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38</w:t>
            </w:r>
          </w:p>
        </w:tc>
        <w:tc>
          <w:tcPr>
            <w:tcW w:w="1042" w:type="dxa"/>
            <w:vAlign w:val="center"/>
          </w:tcPr>
          <w:p w14:paraId="57C5B6F3" w14:textId="123D1F6D"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81</w:t>
            </w:r>
          </w:p>
        </w:tc>
        <w:tc>
          <w:tcPr>
            <w:tcW w:w="983" w:type="dxa"/>
            <w:noWrap/>
            <w:vAlign w:val="center"/>
            <w:hideMark/>
          </w:tcPr>
          <w:p w14:paraId="570874C6" w14:textId="57EBF9E6"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111</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91</w:t>
            </w:r>
          </w:p>
        </w:tc>
        <w:tc>
          <w:tcPr>
            <w:tcW w:w="1013" w:type="dxa"/>
            <w:vAlign w:val="center"/>
          </w:tcPr>
          <w:p w14:paraId="7A74AA5D" w14:textId="0A1443D9"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72</w:t>
            </w:r>
          </w:p>
        </w:tc>
        <w:tc>
          <w:tcPr>
            <w:tcW w:w="1134" w:type="dxa"/>
            <w:vAlign w:val="center"/>
          </w:tcPr>
          <w:p w14:paraId="0BAA72CB" w14:textId="0B1EF36E"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85%</w:t>
            </w:r>
          </w:p>
        </w:tc>
      </w:tr>
      <w:tr w:rsidR="00417DD6" w:rsidRPr="007E3A51" w14:paraId="003B365E" w14:textId="2502857A" w:rsidTr="00734485">
        <w:trPr>
          <w:gridAfter w:val="1"/>
          <w:wAfter w:w="31" w:type="dxa"/>
          <w:trHeight w:val="300"/>
          <w:jc w:val="center"/>
        </w:trPr>
        <w:tc>
          <w:tcPr>
            <w:tcW w:w="1297" w:type="dxa"/>
            <w:noWrap/>
            <w:vAlign w:val="center"/>
            <w:hideMark/>
          </w:tcPr>
          <w:p w14:paraId="11F298AE" w14:textId="77777777" w:rsidR="005A1938" w:rsidRPr="007E3A51" w:rsidRDefault="005A1938"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sunflower</w:t>
            </w:r>
          </w:p>
        </w:tc>
        <w:tc>
          <w:tcPr>
            <w:tcW w:w="1077" w:type="dxa"/>
            <w:noWrap/>
            <w:vAlign w:val="center"/>
            <w:hideMark/>
          </w:tcPr>
          <w:p w14:paraId="5207E67B" w14:textId="2B377A6E"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108</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76</w:t>
            </w:r>
          </w:p>
        </w:tc>
        <w:tc>
          <w:tcPr>
            <w:tcW w:w="1032" w:type="dxa"/>
            <w:noWrap/>
            <w:vAlign w:val="center"/>
            <w:hideMark/>
          </w:tcPr>
          <w:p w14:paraId="1421E3A3" w14:textId="3763088B"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111</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85</w:t>
            </w:r>
          </w:p>
        </w:tc>
        <w:tc>
          <w:tcPr>
            <w:tcW w:w="984" w:type="dxa"/>
            <w:vAlign w:val="center"/>
          </w:tcPr>
          <w:p w14:paraId="7326ADB7" w14:textId="0868AC31"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92</w:t>
            </w:r>
          </w:p>
        </w:tc>
        <w:tc>
          <w:tcPr>
            <w:tcW w:w="1041" w:type="dxa"/>
            <w:noWrap/>
            <w:vAlign w:val="center"/>
            <w:hideMark/>
          </w:tcPr>
          <w:p w14:paraId="2DE34CF4" w14:textId="22826591"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87</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90</w:t>
            </w:r>
          </w:p>
        </w:tc>
        <w:tc>
          <w:tcPr>
            <w:tcW w:w="1042" w:type="dxa"/>
            <w:vAlign w:val="center"/>
          </w:tcPr>
          <w:p w14:paraId="040BEFB5" w14:textId="4E8F8229"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25</w:t>
            </w:r>
          </w:p>
        </w:tc>
        <w:tc>
          <w:tcPr>
            <w:tcW w:w="983" w:type="dxa"/>
            <w:noWrap/>
            <w:vAlign w:val="center"/>
            <w:hideMark/>
          </w:tcPr>
          <w:p w14:paraId="58F795AB" w14:textId="6583B246"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87</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29</w:t>
            </w:r>
          </w:p>
        </w:tc>
        <w:tc>
          <w:tcPr>
            <w:tcW w:w="1013" w:type="dxa"/>
            <w:vAlign w:val="center"/>
          </w:tcPr>
          <w:p w14:paraId="2D35B3B0" w14:textId="28466EFB"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20</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72</w:t>
            </w:r>
          </w:p>
        </w:tc>
        <w:tc>
          <w:tcPr>
            <w:tcW w:w="1134" w:type="dxa"/>
            <w:vAlign w:val="center"/>
          </w:tcPr>
          <w:p w14:paraId="6CC767D8" w14:textId="25484DA3" w:rsidR="005A1938" w:rsidRPr="007E3A51" w:rsidRDefault="005A193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34%</w:t>
            </w:r>
          </w:p>
        </w:tc>
      </w:tr>
      <w:tr w:rsidR="00417DD6" w:rsidRPr="007E3A51" w14:paraId="1A6AD552" w14:textId="38E7B118" w:rsidTr="00734485">
        <w:trPr>
          <w:trHeight w:val="340"/>
          <w:jc w:val="center"/>
        </w:trPr>
        <w:tc>
          <w:tcPr>
            <w:tcW w:w="9634" w:type="dxa"/>
            <w:gridSpan w:val="10"/>
            <w:noWrap/>
            <w:vAlign w:val="center"/>
          </w:tcPr>
          <w:p w14:paraId="2B81C7A7" w14:textId="6F9B8573" w:rsidR="00B77328" w:rsidRPr="007E3A51" w:rsidRDefault="00B7732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Production volume (gross harvest) of annual and biennial crops, thousand centners</w:t>
            </w:r>
          </w:p>
        </w:tc>
      </w:tr>
      <w:tr w:rsidR="00417DD6" w:rsidRPr="007E3A51" w14:paraId="32DD11F5" w14:textId="2CD514A8" w:rsidTr="00734485">
        <w:trPr>
          <w:gridAfter w:val="1"/>
          <w:wAfter w:w="31" w:type="dxa"/>
          <w:trHeight w:val="300"/>
          <w:jc w:val="center"/>
        </w:trPr>
        <w:tc>
          <w:tcPr>
            <w:tcW w:w="1297" w:type="dxa"/>
            <w:noWrap/>
            <w:vAlign w:val="center"/>
            <w:hideMark/>
          </w:tcPr>
          <w:p w14:paraId="0F8679B1" w14:textId="3E8BD026" w:rsidR="00F23F7F" w:rsidRPr="007E3A51" w:rsidRDefault="00F23F7F"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cereal and </w:t>
            </w:r>
            <w:r w:rsidR="00734485" w:rsidRPr="007E3A51">
              <w:rPr>
                <w:rFonts w:ascii="Times New Roman" w:hAnsi="Times New Roman" w:cs="Times New Roman"/>
                <w:sz w:val="20"/>
                <w:szCs w:val="20"/>
                <w:lang w:val="en-GB"/>
              </w:rPr>
              <w:br/>
            </w:r>
            <w:r w:rsidRPr="007E3A51">
              <w:rPr>
                <w:rFonts w:ascii="Times New Roman" w:hAnsi="Times New Roman" w:cs="Times New Roman"/>
                <w:sz w:val="20"/>
                <w:szCs w:val="20"/>
                <w:lang w:val="en-GB"/>
              </w:rPr>
              <w:t>leguminous crops</w:t>
            </w:r>
          </w:p>
        </w:tc>
        <w:tc>
          <w:tcPr>
            <w:tcW w:w="1077" w:type="dxa"/>
            <w:noWrap/>
            <w:vAlign w:val="center"/>
            <w:hideMark/>
          </w:tcPr>
          <w:p w14:paraId="0B542840" w14:textId="16BECD6C"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41</w:t>
            </w:r>
          </w:p>
        </w:tc>
        <w:tc>
          <w:tcPr>
            <w:tcW w:w="1032" w:type="dxa"/>
            <w:noWrap/>
            <w:vAlign w:val="center"/>
            <w:hideMark/>
          </w:tcPr>
          <w:p w14:paraId="3698DD24" w14:textId="69127588"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114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46</w:t>
            </w:r>
          </w:p>
        </w:tc>
        <w:tc>
          <w:tcPr>
            <w:tcW w:w="984" w:type="dxa"/>
            <w:vAlign w:val="center"/>
          </w:tcPr>
          <w:p w14:paraId="21688945" w14:textId="51227F0A"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05</w:t>
            </w:r>
          </w:p>
        </w:tc>
        <w:tc>
          <w:tcPr>
            <w:tcW w:w="1041" w:type="dxa"/>
            <w:noWrap/>
            <w:vAlign w:val="center"/>
            <w:hideMark/>
          </w:tcPr>
          <w:p w14:paraId="4266D1B7" w14:textId="7DF3B929"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71</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68</w:t>
            </w:r>
          </w:p>
        </w:tc>
        <w:tc>
          <w:tcPr>
            <w:tcW w:w="1042" w:type="dxa"/>
            <w:vAlign w:val="center"/>
          </w:tcPr>
          <w:p w14:paraId="7D88356A" w14:textId="2140DC2E"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-69</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83</w:t>
            </w:r>
          </w:p>
        </w:tc>
        <w:tc>
          <w:tcPr>
            <w:tcW w:w="983" w:type="dxa"/>
            <w:noWrap/>
            <w:vAlign w:val="center"/>
            <w:hideMark/>
          </w:tcPr>
          <w:p w14:paraId="6D761ED6" w14:textId="7D65883C"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79</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54</w:t>
            </w:r>
          </w:p>
        </w:tc>
        <w:tc>
          <w:tcPr>
            <w:tcW w:w="1013" w:type="dxa"/>
            <w:vAlign w:val="center"/>
          </w:tcPr>
          <w:p w14:paraId="6789F731" w14:textId="15C457DC"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48</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34</w:t>
            </w:r>
          </w:p>
        </w:tc>
        <w:tc>
          <w:tcPr>
            <w:tcW w:w="1134" w:type="dxa"/>
            <w:vAlign w:val="center"/>
          </w:tcPr>
          <w:p w14:paraId="05863359" w14:textId="36E8A3AF"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56%</w:t>
            </w:r>
          </w:p>
        </w:tc>
      </w:tr>
      <w:tr w:rsidR="00417DD6" w:rsidRPr="007E3A51" w14:paraId="6D232B29" w14:textId="086C874C" w:rsidTr="00734485">
        <w:trPr>
          <w:gridAfter w:val="1"/>
          <w:wAfter w:w="31" w:type="dxa"/>
          <w:trHeight w:val="300"/>
          <w:jc w:val="center"/>
        </w:trPr>
        <w:tc>
          <w:tcPr>
            <w:tcW w:w="1297" w:type="dxa"/>
            <w:noWrap/>
            <w:vAlign w:val="center"/>
            <w:hideMark/>
          </w:tcPr>
          <w:p w14:paraId="6606A0D8" w14:textId="77777777" w:rsidR="00F23F7F" w:rsidRPr="007E3A51" w:rsidRDefault="00F23F7F"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wheat</w:t>
            </w:r>
          </w:p>
        </w:tc>
        <w:tc>
          <w:tcPr>
            <w:tcW w:w="1077" w:type="dxa"/>
            <w:noWrap/>
            <w:vAlign w:val="center"/>
            <w:hideMark/>
          </w:tcPr>
          <w:p w14:paraId="12FDFFC9" w14:textId="3DF78380"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87</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82</w:t>
            </w:r>
          </w:p>
        </w:tc>
        <w:tc>
          <w:tcPr>
            <w:tcW w:w="1032" w:type="dxa"/>
            <w:noWrap/>
            <w:vAlign w:val="center"/>
            <w:hideMark/>
          </w:tcPr>
          <w:p w14:paraId="354A7259" w14:textId="57473AC9"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113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50</w:t>
            </w:r>
          </w:p>
        </w:tc>
        <w:tc>
          <w:tcPr>
            <w:tcW w:w="984" w:type="dxa"/>
            <w:vAlign w:val="center"/>
          </w:tcPr>
          <w:p w14:paraId="0411A03F" w14:textId="3DD9C5C6"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41</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42</w:t>
            </w:r>
          </w:p>
        </w:tc>
        <w:tc>
          <w:tcPr>
            <w:tcW w:w="1041" w:type="dxa"/>
            <w:noWrap/>
            <w:vAlign w:val="center"/>
            <w:hideMark/>
          </w:tcPr>
          <w:p w14:paraId="333D312F" w14:textId="1BAA6B06"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18</w:t>
            </w:r>
          </w:p>
        </w:tc>
        <w:tc>
          <w:tcPr>
            <w:tcW w:w="1042" w:type="dxa"/>
            <w:vAlign w:val="center"/>
          </w:tcPr>
          <w:p w14:paraId="4D949690" w14:textId="557C5577"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-64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76</w:t>
            </w:r>
          </w:p>
        </w:tc>
        <w:tc>
          <w:tcPr>
            <w:tcW w:w="983" w:type="dxa"/>
            <w:noWrap/>
            <w:vAlign w:val="center"/>
            <w:hideMark/>
          </w:tcPr>
          <w:p w14:paraId="5860FEE2" w14:textId="59C23ADD"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34</w:t>
            </w:r>
          </w:p>
        </w:tc>
        <w:tc>
          <w:tcPr>
            <w:tcW w:w="1013" w:type="dxa"/>
            <w:vAlign w:val="center"/>
          </w:tcPr>
          <w:p w14:paraId="1C1F0583" w14:textId="718483B1"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39</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85</w:t>
            </w:r>
          </w:p>
        </w:tc>
        <w:tc>
          <w:tcPr>
            <w:tcW w:w="1134" w:type="dxa"/>
            <w:vAlign w:val="center"/>
          </w:tcPr>
          <w:p w14:paraId="468F174C" w14:textId="0710C769"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53%</w:t>
            </w:r>
          </w:p>
        </w:tc>
      </w:tr>
      <w:tr w:rsidR="00417DD6" w:rsidRPr="007E3A51" w14:paraId="36765F36" w14:textId="7A7D8A49" w:rsidTr="00734485">
        <w:trPr>
          <w:gridAfter w:val="1"/>
          <w:wAfter w:w="31" w:type="dxa"/>
          <w:trHeight w:val="300"/>
          <w:jc w:val="center"/>
        </w:trPr>
        <w:tc>
          <w:tcPr>
            <w:tcW w:w="1297" w:type="dxa"/>
            <w:noWrap/>
            <w:vAlign w:val="center"/>
            <w:hideMark/>
          </w:tcPr>
          <w:p w14:paraId="793BA30D" w14:textId="77777777" w:rsidR="00F23F7F" w:rsidRPr="007E3A51" w:rsidRDefault="00F23F7F"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maize</w:t>
            </w:r>
          </w:p>
        </w:tc>
        <w:tc>
          <w:tcPr>
            <w:tcW w:w="1077" w:type="dxa"/>
            <w:noWrap/>
            <w:vAlign w:val="center"/>
            <w:hideMark/>
          </w:tcPr>
          <w:p w14:paraId="79E28FCB" w14:textId="14AB5BB4"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42</w:t>
            </w:r>
          </w:p>
        </w:tc>
        <w:tc>
          <w:tcPr>
            <w:tcW w:w="1032" w:type="dxa"/>
            <w:noWrap/>
            <w:vAlign w:val="center"/>
            <w:hideMark/>
          </w:tcPr>
          <w:p w14:paraId="03B34E9E" w14:textId="00E9C205"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117</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36</w:t>
            </w:r>
          </w:p>
        </w:tc>
        <w:tc>
          <w:tcPr>
            <w:tcW w:w="984" w:type="dxa"/>
            <w:vAlign w:val="center"/>
          </w:tcPr>
          <w:p w14:paraId="10DBBE38" w14:textId="75DEDE4A"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60</w:t>
            </w:r>
          </w:p>
        </w:tc>
        <w:tc>
          <w:tcPr>
            <w:tcW w:w="1041" w:type="dxa"/>
            <w:noWrap/>
            <w:vAlign w:val="center"/>
            <w:hideMark/>
          </w:tcPr>
          <w:p w14:paraId="591D345F" w14:textId="3D607F2C"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72</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98</w:t>
            </w:r>
          </w:p>
        </w:tc>
        <w:tc>
          <w:tcPr>
            <w:tcW w:w="1042" w:type="dxa"/>
            <w:vAlign w:val="center"/>
          </w:tcPr>
          <w:p w14:paraId="506F0C08" w14:textId="0432E3B3"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83</w:t>
            </w:r>
          </w:p>
        </w:tc>
        <w:tc>
          <w:tcPr>
            <w:tcW w:w="983" w:type="dxa"/>
            <w:noWrap/>
            <w:vAlign w:val="center"/>
            <w:hideMark/>
          </w:tcPr>
          <w:p w14:paraId="4F2D81D8" w14:textId="134C741F"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48</w:t>
            </w:r>
          </w:p>
        </w:tc>
        <w:tc>
          <w:tcPr>
            <w:tcW w:w="1013" w:type="dxa"/>
            <w:vAlign w:val="center"/>
          </w:tcPr>
          <w:p w14:paraId="1FDB2DBD" w14:textId="296D621C"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31</w:t>
            </w:r>
          </w:p>
        </w:tc>
        <w:tc>
          <w:tcPr>
            <w:tcW w:w="1134" w:type="dxa"/>
            <w:vAlign w:val="center"/>
          </w:tcPr>
          <w:p w14:paraId="3D2EFDE4" w14:textId="597FC998"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57%</w:t>
            </w:r>
          </w:p>
        </w:tc>
      </w:tr>
      <w:tr w:rsidR="00417DD6" w:rsidRPr="007E3A51" w14:paraId="3F1AB991" w14:textId="4ECEF8E8" w:rsidTr="00734485">
        <w:trPr>
          <w:gridAfter w:val="1"/>
          <w:wAfter w:w="31" w:type="dxa"/>
          <w:trHeight w:val="300"/>
          <w:jc w:val="center"/>
        </w:trPr>
        <w:tc>
          <w:tcPr>
            <w:tcW w:w="1297" w:type="dxa"/>
            <w:noWrap/>
            <w:vAlign w:val="center"/>
            <w:hideMark/>
          </w:tcPr>
          <w:p w14:paraId="762F7341" w14:textId="77777777" w:rsidR="00F23F7F" w:rsidRPr="007E3A51" w:rsidRDefault="00F23F7F"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barley</w:t>
            </w:r>
          </w:p>
        </w:tc>
        <w:tc>
          <w:tcPr>
            <w:tcW w:w="1077" w:type="dxa"/>
            <w:noWrap/>
            <w:vAlign w:val="center"/>
            <w:hideMark/>
          </w:tcPr>
          <w:p w14:paraId="71F5BF7C" w14:textId="57B3FBAF"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85</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64</w:t>
            </w:r>
          </w:p>
        </w:tc>
        <w:tc>
          <w:tcPr>
            <w:tcW w:w="1032" w:type="dxa"/>
            <w:noWrap/>
            <w:vAlign w:val="center"/>
            <w:hideMark/>
          </w:tcPr>
          <w:p w14:paraId="7BBFE6A3" w14:textId="49F00973"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105</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83</w:t>
            </w:r>
          </w:p>
        </w:tc>
        <w:tc>
          <w:tcPr>
            <w:tcW w:w="984" w:type="dxa"/>
            <w:vAlign w:val="center"/>
          </w:tcPr>
          <w:p w14:paraId="0BFFFF51" w14:textId="6A0F5141"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37</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94</w:t>
            </w:r>
          </w:p>
        </w:tc>
        <w:tc>
          <w:tcPr>
            <w:tcW w:w="1041" w:type="dxa"/>
            <w:noWrap/>
            <w:vAlign w:val="center"/>
            <w:hideMark/>
          </w:tcPr>
          <w:p w14:paraId="76F282E4" w14:textId="53CC8291"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62</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89</w:t>
            </w:r>
          </w:p>
        </w:tc>
        <w:tc>
          <w:tcPr>
            <w:tcW w:w="1042" w:type="dxa"/>
            <w:vAlign w:val="center"/>
          </w:tcPr>
          <w:p w14:paraId="50945512" w14:textId="5E7F2C43"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-64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15</w:t>
            </w:r>
          </w:p>
        </w:tc>
        <w:tc>
          <w:tcPr>
            <w:tcW w:w="983" w:type="dxa"/>
            <w:noWrap/>
            <w:vAlign w:val="center"/>
            <w:hideMark/>
          </w:tcPr>
          <w:p w14:paraId="6590711F" w14:textId="42B18973"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61</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76</w:t>
            </w:r>
          </w:p>
        </w:tc>
        <w:tc>
          <w:tcPr>
            <w:tcW w:w="1013" w:type="dxa"/>
            <w:vAlign w:val="center"/>
          </w:tcPr>
          <w:p w14:paraId="7150AD71" w14:textId="1423E0C7"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38</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77</w:t>
            </w:r>
          </w:p>
        </w:tc>
        <w:tc>
          <w:tcPr>
            <w:tcW w:w="1134" w:type="dxa"/>
            <w:vAlign w:val="center"/>
          </w:tcPr>
          <w:p w14:paraId="752FB764" w14:textId="38806A3C"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-11</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35%</w:t>
            </w:r>
          </w:p>
        </w:tc>
      </w:tr>
      <w:tr w:rsidR="00417DD6" w:rsidRPr="007E3A51" w14:paraId="171F31A9" w14:textId="429B72BC" w:rsidTr="00734485">
        <w:trPr>
          <w:gridAfter w:val="1"/>
          <w:wAfter w:w="31" w:type="dxa"/>
          <w:trHeight w:val="300"/>
          <w:jc w:val="center"/>
        </w:trPr>
        <w:tc>
          <w:tcPr>
            <w:tcW w:w="1297" w:type="dxa"/>
            <w:noWrap/>
            <w:vAlign w:val="center"/>
            <w:hideMark/>
          </w:tcPr>
          <w:p w14:paraId="7F4DD0B4" w14:textId="77777777" w:rsidR="00F23F7F" w:rsidRPr="007E3A51" w:rsidRDefault="00F23F7F"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rye</w:t>
            </w:r>
          </w:p>
        </w:tc>
        <w:tc>
          <w:tcPr>
            <w:tcW w:w="1077" w:type="dxa"/>
            <w:noWrap/>
            <w:vAlign w:val="center"/>
            <w:hideMark/>
          </w:tcPr>
          <w:p w14:paraId="7F91EF04" w14:textId="71754F7D"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136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48</w:t>
            </w:r>
          </w:p>
        </w:tc>
        <w:tc>
          <w:tcPr>
            <w:tcW w:w="1032" w:type="dxa"/>
            <w:noWrap/>
            <w:vAlign w:val="center"/>
            <w:hideMark/>
          </w:tcPr>
          <w:p w14:paraId="1C8B5EA5" w14:textId="4909FAC1"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177</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23</w:t>
            </w:r>
          </w:p>
        </w:tc>
        <w:tc>
          <w:tcPr>
            <w:tcW w:w="984" w:type="dxa"/>
            <w:vAlign w:val="center"/>
          </w:tcPr>
          <w:p w14:paraId="29BAB2E4" w14:textId="673FF19D"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63</w:t>
            </w:r>
          </w:p>
        </w:tc>
        <w:tc>
          <w:tcPr>
            <w:tcW w:w="1041" w:type="dxa"/>
            <w:noWrap/>
            <w:vAlign w:val="center"/>
            <w:hideMark/>
          </w:tcPr>
          <w:p w14:paraId="7A6D8B39" w14:textId="77AEA387"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83</w:t>
            </w:r>
          </w:p>
        </w:tc>
        <w:tc>
          <w:tcPr>
            <w:tcW w:w="1042" w:type="dxa"/>
            <w:vAlign w:val="center"/>
          </w:tcPr>
          <w:p w14:paraId="578304F7" w14:textId="68A1C9BB"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91</w:t>
            </w:r>
          </w:p>
        </w:tc>
        <w:tc>
          <w:tcPr>
            <w:tcW w:w="983" w:type="dxa"/>
            <w:noWrap/>
            <w:vAlign w:val="center"/>
            <w:hideMark/>
          </w:tcPr>
          <w:p w14:paraId="586249ED" w14:textId="1E99CE48"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69</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07</w:t>
            </w:r>
          </w:p>
        </w:tc>
        <w:tc>
          <w:tcPr>
            <w:tcW w:w="1013" w:type="dxa"/>
            <w:vAlign w:val="center"/>
          </w:tcPr>
          <w:p w14:paraId="4DBAECE7" w14:textId="36D4AB59"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20</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67</w:t>
            </w:r>
          </w:p>
        </w:tc>
        <w:tc>
          <w:tcPr>
            <w:tcW w:w="1134" w:type="dxa"/>
            <w:vAlign w:val="center"/>
          </w:tcPr>
          <w:p w14:paraId="608D766E" w14:textId="7C434D64"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83%</w:t>
            </w:r>
          </w:p>
        </w:tc>
      </w:tr>
      <w:tr w:rsidR="00417DD6" w:rsidRPr="007E3A51" w14:paraId="1622EF3D" w14:textId="2E053586" w:rsidTr="00734485">
        <w:trPr>
          <w:gridAfter w:val="1"/>
          <w:wAfter w:w="31" w:type="dxa"/>
          <w:trHeight w:val="300"/>
          <w:jc w:val="center"/>
        </w:trPr>
        <w:tc>
          <w:tcPr>
            <w:tcW w:w="1297" w:type="dxa"/>
            <w:noWrap/>
            <w:vAlign w:val="center"/>
            <w:hideMark/>
          </w:tcPr>
          <w:p w14:paraId="22C0EEC6" w14:textId="77777777" w:rsidR="00F23F7F" w:rsidRPr="007E3A51" w:rsidRDefault="00F23F7F"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soybeans</w:t>
            </w:r>
          </w:p>
        </w:tc>
        <w:tc>
          <w:tcPr>
            <w:tcW w:w="1077" w:type="dxa"/>
            <w:noWrap/>
            <w:vAlign w:val="center"/>
            <w:hideMark/>
          </w:tcPr>
          <w:p w14:paraId="0EC608B7" w14:textId="51301F76"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75</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64</w:t>
            </w:r>
          </w:p>
        </w:tc>
        <w:tc>
          <w:tcPr>
            <w:tcW w:w="1032" w:type="dxa"/>
            <w:noWrap/>
            <w:vAlign w:val="center"/>
            <w:hideMark/>
          </w:tcPr>
          <w:p w14:paraId="5E490FBF" w14:textId="6400D196"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44</w:t>
            </w:r>
          </w:p>
        </w:tc>
        <w:tc>
          <w:tcPr>
            <w:tcW w:w="984" w:type="dxa"/>
            <w:vAlign w:val="center"/>
          </w:tcPr>
          <w:p w14:paraId="33EE063A" w14:textId="48D5CC4F"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49</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22</w:t>
            </w:r>
          </w:p>
        </w:tc>
        <w:tc>
          <w:tcPr>
            <w:tcW w:w="1041" w:type="dxa"/>
            <w:noWrap/>
            <w:vAlign w:val="center"/>
            <w:hideMark/>
          </w:tcPr>
          <w:p w14:paraId="4D71B1DE" w14:textId="5B561D69"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11</w:t>
            </w:r>
          </w:p>
        </w:tc>
        <w:tc>
          <w:tcPr>
            <w:tcW w:w="1042" w:type="dxa"/>
            <w:vAlign w:val="center"/>
          </w:tcPr>
          <w:p w14:paraId="1DC1607A" w14:textId="23FFA9F3"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28</w:t>
            </w:r>
          </w:p>
        </w:tc>
        <w:tc>
          <w:tcPr>
            <w:tcW w:w="983" w:type="dxa"/>
            <w:noWrap/>
            <w:vAlign w:val="center"/>
            <w:hideMark/>
          </w:tcPr>
          <w:p w14:paraId="1E9EDF18" w14:textId="612913C6"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128</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22</w:t>
            </w:r>
          </w:p>
        </w:tc>
        <w:tc>
          <w:tcPr>
            <w:tcW w:w="1013" w:type="dxa"/>
            <w:vAlign w:val="center"/>
          </w:tcPr>
          <w:p w14:paraId="4FE16D17" w14:textId="166A47A9"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39</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13</w:t>
            </w:r>
          </w:p>
        </w:tc>
        <w:tc>
          <w:tcPr>
            <w:tcW w:w="1134" w:type="dxa"/>
            <w:vAlign w:val="center"/>
          </w:tcPr>
          <w:p w14:paraId="18E32E2C" w14:textId="2488B7A7"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41%</w:t>
            </w:r>
          </w:p>
        </w:tc>
      </w:tr>
      <w:tr w:rsidR="00417DD6" w:rsidRPr="007E3A51" w14:paraId="5BF49F73" w14:textId="5E6F1551" w:rsidTr="00625A8A">
        <w:trPr>
          <w:gridAfter w:val="1"/>
          <w:wAfter w:w="31" w:type="dxa"/>
          <w:trHeight w:val="756"/>
          <w:jc w:val="center"/>
        </w:trPr>
        <w:tc>
          <w:tcPr>
            <w:tcW w:w="1297" w:type="dxa"/>
            <w:noWrap/>
            <w:vAlign w:val="center"/>
            <w:hideMark/>
          </w:tcPr>
          <w:p w14:paraId="5540AF81" w14:textId="77777777" w:rsidR="00F23F7F" w:rsidRPr="007E3A51" w:rsidRDefault="00F23F7F"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rapeseed (winter and spring)</w:t>
            </w:r>
          </w:p>
        </w:tc>
        <w:tc>
          <w:tcPr>
            <w:tcW w:w="1077" w:type="dxa"/>
            <w:noWrap/>
            <w:vAlign w:val="center"/>
            <w:hideMark/>
          </w:tcPr>
          <w:p w14:paraId="0212C0C0" w14:textId="3C39B70F"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77</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96</w:t>
            </w:r>
          </w:p>
        </w:tc>
        <w:tc>
          <w:tcPr>
            <w:tcW w:w="1032" w:type="dxa"/>
            <w:noWrap/>
            <w:vAlign w:val="center"/>
            <w:hideMark/>
          </w:tcPr>
          <w:p w14:paraId="247945F7" w14:textId="191ACA90"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89</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59</w:t>
            </w:r>
          </w:p>
        </w:tc>
        <w:tc>
          <w:tcPr>
            <w:tcW w:w="984" w:type="dxa"/>
            <w:vAlign w:val="center"/>
          </w:tcPr>
          <w:p w14:paraId="5B7DE1C2" w14:textId="3FCF4201"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97</w:t>
            </w:r>
          </w:p>
        </w:tc>
        <w:tc>
          <w:tcPr>
            <w:tcW w:w="1041" w:type="dxa"/>
            <w:noWrap/>
            <w:vAlign w:val="center"/>
            <w:hideMark/>
          </w:tcPr>
          <w:p w14:paraId="074AB5D5" w14:textId="37DAF338"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101</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15</w:t>
            </w:r>
          </w:p>
        </w:tc>
        <w:tc>
          <w:tcPr>
            <w:tcW w:w="1042" w:type="dxa"/>
            <w:vAlign w:val="center"/>
          </w:tcPr>
          <w:p w14:paraId="582E6480" w14:textId="657A7750"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03</w:t>
            </w:r>
          </w:p>
        </w:tc>
        <w:tc>
          <w:tcPr>
            <w:tcW w:w="983" w:type="dxa"/>
            <w:noWrap/>
            <w:vAlign w:val="center"/>
            <w:hideMark/>
          </w:tcPr>
          <w:p w14:paraId="06D25E37" w14:textId="085F5E84"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127</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54</w:t>
            </w:r>
          </w:p>
        </w:tc>
        <w:tc>
          <w:tcPr>
            <w:tcW w:w="1013" w:type="dxa"/>
            <w:vAlign w:val="center"/>
          </w:tcPr>
          <w:p w14:paraId="4F75240B" w14:textId="67E56E70"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19</w:t>
            </w:r>
          </w:p>
        </w:tc>
        <w:tc>
          <w:tcPr>
            <w:tcW w:w="1134" w:type="dxa"/>
            <w:vAlign w:val="center"/>
          </w:tcPr>
          <w:p w14:paraId="66919B44" w14:textId="65919EF3"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27%</w:t>
            </w:r>
          </w:p>
        </w:tc>
      </w:tr>
      <w:tr w:rsidR="00417DD6" w:rsidRPr="007E3A51" w14:paraId="396F0A91" w14:textId="7AFE6D8B" w:rsidTr="00734485">
        <w:trPr>
          <w:gridAfter w:val="1"/>
          <w:wAfter w:w="31" w:type="dxa"/>
          <w:trHeight w:val="300"/>
          <w:jc w:val="center"/>
        </w:trPr>
        <w:tc>
          <w:tcPr>
            <w:tcW w:w="1297" w:type="dxa"/>
            <w:noWrap/>
            <w:vAlign w:val="center"/>
            <w:hideMark/>
          </w:tcPr>
          <w:p w14:paraId="5295D65E" w14:textId="77777777" w:rsidR="00F23F7F" w:rsidRPr="007E3A51" w:rsidRDefault="00F23F7F"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sunflower</w:t>
            </w:r>
          </w:p>
        </w:tc>
        <w:tc>
          <w:tcPr>
            <w:tcW w:w="1077" w:type="dxa"/>
            <w:noWrap/>
            <w:vAlign w:val="center"/>
            <w:hideMark/>
          </w:tcPr>
          <w:p w14:paraId="1609DE36" w14:textId="729C2971"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85</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95</w:t>
            </w:r>
          </w:p>
        </w:tc>
        <w:tc>
          <w:tcPr>
            <w:tcW w:w="1032" w:type="dxa"/>
            <w:noWrap/>
            <w:vAlign w:val="center"/>
            <w:hideMark/>
          </w:tcPr>
          <w:p w14:paraId="139E809B" w14:textId="43549EBE"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107</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46</w:t>
            </w:r>
          </w:p>
        </w:tc>
        <w:tc>
          <w:tcPr>
            <w:tcW w:w="984" w:type="dxa"/>
            <w:vAlign w:val="center"/>
          </w:tcPr>
          <w:p w14:paraId="42B87C9F" w14:textId="514AE0C9"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39</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09</w:t>
            </w:r>
          </w:p>
        </w:tc>
        <w:tc>
          <w:tcPr>
            <w:tcW w:w="1041" w:type="dxa"/>
            <w:noWrap/>
            <w:vAlign w:val="center"/>
            <w:hideMark/>
          </w:tcPr>
          <w:p w14:paraId="3A91B016" w14:textId="194A58FD"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27</w:t>
            </w:r>
          </w:p>
        </w:tc>
        <w:tc>
          <w:tcPr>
            <w:tcW w:w="1042" w:type="dxa"/>
            <w:vAlign w:val="center"/>
          </w:tcPr>
          <w:p w14:paraId="021D0B0C" w14:textId="679F3790"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-55</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92</w:t>
            </w:r>
          </w:p>
        </w:tc>
        <w:tc>
          <w:tcPr>
            <w:tcW w:w="983" w:type="dxa"/>
            <w:noWrap/>
            <w:vAlign w:val="center"/>
            <w:hideMark/>
          </w:tcPr>
          <w:p w14:paraId="2F3D70AD" w14:textId="082BD94D"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65</w:t>
            </w:r>
          </w:p>
        </w:tc>
        <w:tc>
          <w:tcPr>
            <w:tcW w:w="1013" w:type="dxa"/>
            <w:vAlign w:val="center"/>
          </w:tcPr>
          <w:p w14:paraId="631861DB" w14:textId="3F93754F"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52</w:t>
            </w:r>
          </w:p>
        </w:tc>
        <w:tc>
          <w:tcPr>
            <w:tcW w:w="1134" w:type="dxa"/>
            <w:vAlign w:val="center"/>
          </w:tcPr>
          <w:p w14:paraId="0DBD78A4" w14:textId="2E3F2561" w:rsidR="00F23F7F" w:rsidRPr="007E3A51" w:rsidRDefault="00F23F7F"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37%</w:t>
            </w:r>
          </w:p>
        </w:tc>
      </w:tr>
      <w:tr w:rsidR="00417DD6" w:rsidRPr="007E3A51" w14:paraId="1F02F11B" w14:textId="38C9EAE5" w:rsidTr="00734485">
        <w:trPr>
          <w:trHeight w:val="340"/>
          <w:jc w:val="center"/>
        </w:trPr>
        <w:tc>
          <w:tcPr>
            <w:tcW w:w="9634" w:type="dxa"/>
            <w:gridSpan w:val="10"/>
            <w:noWrap/>
            <w:vAlign w:val="center"/>
          </w:tcPr>
          <w:p w14:paraId="35451953" w14:textId="43975325" w:rsidR="00B77328" w:rsidRPr="007E3A51" w:rsidRDefault="00B77328"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Yield of annual and biennial crops, c/ha</w:t>
            </w:r>
          </w:p>
        </w:tc>
      </w:tr>
      <w:tr w:rsidR="00417DD6" w:rsidRPr="007E3A51" w14:paraId="3CFB832A" w14:textId="36E95F97" w:rsidTr="00734485">
        <w:trPr>
          <w:gridAfter w:val="1"/>
          <w:wAfter w:w="31" w:type="dxa"/>
          <w:trHeight w:val="300"/>
          <w:jc w:val="center"/>
        </w:trPr>
        <w:tc>
          <w:tcPr>
            <w:tcW w:w="1297" w:type="dxa"/>
            <w:noWrap/>
            <w:vAlign w:val="center"/>
            <w:hideMark/>
          </w:tcPr>
          <w:p w14:paraId="4EE85221" w14:textId="015BEC7B" w:rsidR="00150F1A" w:rsidRPr="007E3A51" w:rsidRDefault="00150F1A"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cereal and </w:t>
            </w:r>
            <w:r w:rsidR="00734485" w:rsidRPr="007E3A51">
              <w:rPr>
                <w:rFonts w:ascii="Times New Roman" w:hAnsi="Times New Roman" w:cs="Times New Roman"/>
                <w:sz w:val="20"/>
                <w:szCs w:val="20"/>
                <w:lang w:val="en-GB"/>
              </w:rPr>
              <w:br/>
            </w:r>
            <w:r w:rsidRPr="007E3A51">
              <w:rPr>
                <w:rFonts w:ascii="Times New Roman" w:hAnsi="Times New Roman" w:cs="Times New Roman"/>
                <w:sz w:val="20"/>
                <w:szCs w:val="20"/>
                <w:lang w:val="en-GB"/>
              </w:rPr>
              <w:t>leguminous crops</w:t>
            </w:r>
          </w:p>
        </w:tc>
        <w:tc>
          <w:tcPr>
            <w:tcW w:w="1077" w:type="dxa"/>
            <w:noWrap/>
            <w:vAlign w:val="center"/>
            <w:hideMark/>
          </w:tcPr>
          <w:p w14:paraId="3B759AAA" w14:textId="0A247CC6"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56</w:t>
            </w:r>
          </w:p>
        </w:tc>
        <w:tc>
          <w:tcPr>
            <w:tcW w:w="1032" w:type="dxa"/>
            <w:noWrap/>
            <w:vAlign w:val="center"/>
            <w:hideMark/>
          </w:tcPr>
          <w:p w14:paraId="29BB30D8" w14:textId="2E39818A"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109</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78</w:t>
            </w:r>
          </w:p>
        </w:tc>
        <w:tc>
          <w:tcPr>
            <w:tcW w:w="984" w:type="dxa"/>
            <w:vAlign w:val="center"/>
          </w:tcPr>
          <w:p w14:paraId="0D4D9415" w14:textId="6E437C56"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40</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27</w:t>
            </w:r>
          </w:p>
        </w:tc>
        <w:tc>
          <w:tcPr>
            <w:tcW w:w="1041" w:type="dxa"/>
            <w:noWrap/>
            <w:vAlign w:val="center"/>
            <w:hideMark/>
          </w:tcPr>
          <w:p w14:paraId="74369349" w14:textId="2FDA728C"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28</w:t>
            </w:r>
          </w:p>
        </w:tc>
        <w:tc>
          <w:tcPr>
            <w:tcW w:w="1042" w:type="dxa"/>
            <w:vAlign w:val="center"/>
          </w:tcPr>
          <w:p w14:paraId="6CBD576B" w14:textId="629FCA4F"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-41</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85</w:t>
            </w:r>
          </w:p>
        </w:tc>
        <w:tc>
          <w:tcPr>
            <w:tcW w:w="983" w:type="dxa"/>
            <w:noWrap/>
            <w:vAlign w:val="center"/>
            <w:hideMark/>
          </w:tcPr>
          <w:p w14:paraId="36CFA679" w14:textId="3EA53DB4"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112</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42</w:t>
            </w:r>
          </w:p>
        </w:tc>
        <w:tc>
          <w:tcPr>
            <w:tcW w:w="1013" w:type="dxa"/>
            <w:vAlign w:val="center"/>
          </w:tcPr>
          <w:p w14:paraId="57323A82" w14:textId="14B33D71"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35</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55</w:t>
            </w:r>
          </w:p>
        </w:tc>
        <w:tc>
          <w:tcPr>
            <w:tcW w:w="1134" w:type="dxa"/>
            <w:vAlign w:val="center"/>
          </w:tcPr>
          <w:p w14:paraId="320506E9" w14:textId="749A95DB"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97%</w:t>
            </w:r>
          </w:p>
        </w:tc>
      </w:tr>
      <w:tr w:rsidR="00417DD6" w:rsidRPr="007E3A51" w14:paraId="47E51530" w14:textId="05E6F76F" w:rsidTr="00734485">
        <w:trPr>
          <w:gridAfter w:val="1"/>
          <w:wAfter w:w="31" w:type="dxa"/>
          <w:trHeight w:val="300"/>
          <w:jc w:val="center"/>
        </w:trPr>
        <w:tc>
          <w:tcPr>
            <w:tcW w:w="1297" w:type="dxa"/>
            <w:noWrap/>
            <w:vAlign w:val="center"/>
            <w:hideMark/>
          </w:tcPr>
          <w:p w14:paraId="17E3B85A" w14:textId="77777777" w:rsidR="00150F1A" w:rsidRPr="007E3A51" w:rsidRDefault="00150F1A"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wheat</w:t>
            </w:r>
          </w:p>
        </w:tc>
        <w:tc>
          <w:tcPr>
            <w:tcW w:w="1077" w:type="dxa"/>
            <w:noWrap/>
            <w:vAlign w:val="center"/>
            <w:hideMark/>
          </w:tcPr>
          <w:p w14:paraId="036802F9" w14:textId="1F409FA8"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91</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35</w:t>
            </w:r>
          </w:p>
        </w:tc>
        <w:tc>
          <w:tcPr>
            <w:tcW w:w="1032" w:type="dxa"/>
            <w:noWrap/>
            <w:vAlign w:val="center"/>
            <w:hideMark/>
          </w:tcPr>
          <w:p w14:paraId="4846C5F3" w14:textId="7A0883F4"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108</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89</w:t>
            </w:r>
          </w:p>
        </w:tc>
        <w:tc>
          <w:tcPr>
            <w:tcW w:w="984" w:type="dxa"/>
            <w:vAlign w:val="center"/>
          </w:tcPr>
          <w:p w14:paraId="5E24DDA8" w14:textId="2AD25F39"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27</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86</w:t>
            </w:r>
          </w:p>
        </w:tc>
        <w:tc>
          <w:tcPr>
            <w:tcW w:w="1041" w:type="dxa"/>
            <w:noWrap/>
            <w:vAlign w:val="center"/>
            <w:hideMark/>
          </w:tcPr>
          <w:p w14:paraId="475862D4" w14:textId="6ED25A3F"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47</w:t>
            </w:r>
          </w:p>
        </w:tc>
        <w:tc>
          <w:tcPr>
            <w:tcW w:w="1042" w:type="dxa"/>
            <w:vAlign w:val="center"/>
          </w:tcPr>
          <w:p w14:paraId="24D42EF7" w14:textId="383F8D14"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-32</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46</w:t>
            </w:r>
          </w:p>
        </w:tc>
        <w:tc>
          <w:tcPr>
            <w:tcW w:w="983" w:type="dxa"/>
            <w:noWrap/>
            <w:vAlign w:val="center"/>
            <w:hideMark/>
          </w:tcPr>
          <w:p w14:paraId="7B1A8C4C" w14:textId="0F80A495"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111</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54</w:t>
            </w:r>
          </w:p>
        </w:tc>
        <w:tc>
          <w:tcPr>
            <w:tcW w:w="1013" w:type="dxa"/>
            <w:vAlign w:val="center"/>
          </w:tcPr>
          <w:p w14:paraId="44854641" w14:textId="2BE81061"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31</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31</w:t>
            </w:r>
          </w:p>
        </w:tc>
        <w:tc>
          <w:tcPr>
            <w:tcW w:w="1134" w:type="dxa"/>
            <w:vAlign w:val="center"/>
          </w:tcPr>
          <w:p w14:paraId="08AF0830" w14:textId="3D020E41"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77%</w:t>
            </w:r>
          </w:p>
        </w:tc>
      </w:tr>
      <w:tr w:rsidR="00417DD6" w:rsidRPr="007E3A51" w14:paraId="12311F01" w14:textId="3DD9C904" w:rsidTr="00734485">
        <w:trPr>
          <w:gridAfter w:val="1"/>
          <w:wAfter w:w="31" w:type="dxa"/>
          <w:trHeight w:val="300"/>
          <w:jc w:val="center"/>
        </w:trPr>
        <w:tc>
          <w:tcPr>
            <w:tcW w:w="1297" w:type="dxa"/>
            <w:noWrap/>
            <w:vAlign w:val="center"/>
            <w:hideMark/>
          </w:tcPr>
          <w:p w14:paraId="3A6AA9A8" w14:textId="77777777" w:rsidR="00150F1A" w:rsidRPr="007E3A51" w:rsidRDefault="00150F1A"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maize</w:t>
            </w:r>
          </w:p>
        </w:tc>
        <w:tc>
          <w:tcPr>
            <w:tcW w:w="1077" w:type="dxa"/>
            <w:noWrap/>
            <w:vAlign w:val="center"/>
            <w:hideMark/>
          </w:tcPr>
          <w:p w14:paraId="4D1EC172" w14:textId="2A4B514B"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78</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16</w:t>
            </w:r>
          </w:p>
        </w:tc>
        <w:tc>
          <w:tcPr>
            <w:tcW w:w="1032" w:type="dxa"/>
            <w:noWrap/>
            <w:vAlign w:val="center"/>
            <w:hideMark/>
          </w:tcPr>
          <w:p w14:paraId="2FF019E4" w14:textId="450A7316"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82</w:t>
            </w:r>
          </w:p>
        </w:tc>
        <w:tc>
          <w:tcPr>
            <w:tcW w:w="984" w:type="dxa"/>
            <w:vAlign w:val="center"/>
          </w:tcPr>
          <w:p w14:paraId="291E13C0" w14:textId="0F9D8DCD"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58</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49</w:t>
            </w:r>
          </w:p>
        </w:tc>
        <w:tc>
          <w:tcPr>
            <w:tcW w:w="1041" w:type="dxa"/>
            <w:noWrap/>
            <w:vAlign w:val="center"/>
            <w:hideMark/>
          </w:tcPr>
          <w:p w14:paraId="01E87104" w14:textId="36578567"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88</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32</w:t>
            </w:r>
          </w:p>
        </w:tc>
        <w:tc>
          <w:tcPr>
            <w:tcW w:w="1042" w:type="dxa"/>
            <w:vAlign w:val="center"/>
          </w:tcPr>
          <w:p w14:paraId="4D4445C6" w14:textId="28135F0F"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97</w:t>
            </w:r>
          </w:p>
        </w:tc>
        <w:tc>
          <w:tcPr>
            <w:tcW w:w="983" w:type="dxa"/>
            <w:noWrap/>
            <w:vAlign w:val="center"/>
            <w:hideMark/>
          </w:tcPr>
          <w:p w14:paraId="4F3593EC" w14:textId="4F5E1A30"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108</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62</w:t>
            </w:r>
          </w:p>
        </w:tc>
        <w:tc>
          <w:tcPr>
            <w:tcW w:w="1013" w:type="dxa"/>
            <w:vAlign w:val="center"/>
          </w:tcPr>
          <w:p w14:paraId="5578B128" w14:textId="1C82EE0B"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40</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31</w:t>
            </w:r>
          </w:p>
        </w:tc>
        <w:tc>
          <w:tcPr>
            <w:tcW w:w="1134" w:type="dxa"/>
            <w:vAlign w:val="center"/>
          </w:tcPr>
          <w:p w14:paraId="67018567" w14:textId="310AEFBD"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09%</w:t>
            </w:r>
          </w:p>
        </w:tc>
      </w:tr>
      <w:tr w:rsidR="00417DD6" w:rsidRPr="007E3A51" w14:paraId="7FC49783" w14:textId="4067B049" w:rsidTr="00734485">
        <w:trPr>
          <w:gridAfter w:val="1"/>
          <w:wAfter w:w="31" w:type="dxa"/>
          <w:trHeight w:val="300"/>
          <w:jc w:val="center"/>
        </w:trPr>
        <w:tc>
          <w:tcPr>
            <w:tcW w:w="1297" w:type="dxa"/>
            <w:noWrap/>
            <w:vAlign w:val="center"/>
            <w:hideMark/>
          </w:tcPr>
          <w:p w14:paraId="017F2A2E" w14:textId="77777777" w:rsidR="00150F1A" w:rsidRPr="007E3A51" w:rsidRDefault="00150F1A"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barley</w:t>
            </w:r>
          </w:p>
        </w:tc>
        <w:tc>
          <w:tcPr>
            <w:tcW w:w="1077" w:type="dxa"/>
            <w:noWrap/>
            <w:vAlign w:val="center"/>
            <w:hideMark/>
          </w:tcPr>
          <w:p w14:paraId="3F4B8D39" w14:textId="7A8044DA"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15</w:t>
            </w:r>
          </w:p>
        </w:tc>
        <w:tc>
          <w:tcPr>
            <w:tcW w:w="1032" w:type="dxa"/>
            <w:noWrap/>
            <w:vAlign w:val="center"/>
            <w:hideMark/>
          </w:tcPr>
          <w:p w14:paraId="50759365" w14:textId="5B752676"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111</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70</w:t>
            </w:r>
          </w:p>
        </w:tc>
        <w:tc>
          <w:tcPr>
            <w:tcW w:w="984" w:type="dxa"/>
            <w:vAlign w:val="center"/>
          </w:tcPr>
          <w:p w14:paraId="49A45718" w14:textId="283818B9"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48</w:t>
            </w:r>
          </w:p>
        </w:tc>
        <w:tc>
          <w:tcPr>
            <w:tcW w:w="1041" w:type="dxa"/>
            <w:noWrap/>
            <w:vAlign w:val="center"/>
            <w:hideMark/>
          </w:tcPr>
          <w:p w14:paraId="40ADFF8C" w14:textId="61C8DAE7"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15</w:t>
            </w:r>
          </w:p>
        </w:tc>
        <w:tc>
          <w:tcPr>
            <w:tcW w:w="1042" w:type="dxa"/>
            <w:vAlign w:val="center"/>
          </w:tcPr>
          <w:p w14:paraId="6E3170CD" w14:textId="4154B3FF"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34</w:t>
            </w:r>
          </w:p>
        </w:tc>
        <w:tc>
          <w:tcPr>
            <w:tcW w:w="983" w:type="dxa"/>
            <w:noWrap/>
            <w:vAlign w:val="center"/>
            <w:hideMark/>
          </w:tcPr>
          <w:p w14:paraId="79C16B98" w14:textId="70C7BF98"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107</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89</w:t>
            </w:r>
          </w:p>
        </w:tc>
        <w:tc>
          <w:tcPr>
            <w:tcW w:w="1013" w:type="dxa"/>
            <w:vAlign w:val="center"/>
          </w:tcPr>
          <w:p w14:paraId="0C49A17B" w14:textId="4B53506E"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30</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30</w:t>
            </w:r>
          </w:p>
        </w:tc>
        <w:tc>
          <w:tcPr>
            <w:tcW w:w="1134" w:type="dxa"/>
            <w:vAlign w:val="center"/>
          </w:tcPr>
          <w:p w14:paraId="64E2C1A0" w14:textId="27E24484"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92%</w:t>
            </w:r>
          </w:p>
        </w:tc>
      </w:tr>
      <w:tr w:rsidR="00417DD6" w:rsidRPr="007E3A51" w14:paraId="183F0707" w14:textId="6A2B008C" w:rsidTr="00734485">
        <w:trPr>
          <w:gridAfter w:val="1"/>
          <w:wAfter w:w="31" w:type="dxa"/>
          <w:trHeight w:val="300"/>
          <w:jc w:val="center"/>
        </w:trPr>
        <w:tc>
          <w:tcPr>
            <w:tcW w:w="1297" w:type="dxa"/>
            <w:noWrap/>
            <w:vAlign w:val="center"/>
            <w:hideMark/>
          </w:tcPr>
          <w:p w14:paraId="33F586C2" w14:textId="77777777" w:rsidR="00150F1A" w:rsidRPr="007E3A51" w:rsidRDefault="00150F1A"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rye</w:t>
            </w:r>
          </w:p>
        </w:tc>
        <w:tc>
          <w:tcPr>
            <w:tcW w:w="1077" w:type="dxa"/>
            <w:noWrap/>
            <w:vAlign w:val="center"/>
            <w:hideMark/>
          </w:tcPr>
          <w:p w14:paraId="3BBF6AB8" w14:textId="621E3416"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114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88</w:t>
            </w:r>
          </w:p>
        </w:tc>
        <w:tc>
          <w:tcPr>
            <w:tcW w:w="1032" w:type="dxa"/>
            <w:noWrap/>
            <w:vAlign w:val="center"/>
            <w:hideMark/>
          </w:tcPr>
          <w:p w14:paraId="396DEE89" w14:textId="7AE77C6A"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119</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38</w:t>
            </w:r>
          </w:p>
        </w:tc>
        <w:tc>
          <w:tcPr>
            <w:tcW w:w="984" w:type="dxa"/>
            <w:vAlign w:val="center"/>
          </w:tcPr>
          <w:p w14:paraId="4964C181" w14:textId="26EEFFC4"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96</w:t>
            </w:r>
          </w:p>
        </w:tc>
        <w:tc>
          <w:tcPr>
            <w:tcW w:w="1041" w:type="dxa"/>
            <w:noWrap/>
            <w:vAlign w:val="center"/>
            <w:hideMark/>
          </w:tcPr>
          <w:p w14:paraId="3960537F" w14:textId="024E88F9"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92</w:t>
            </w:r>
          </w:p>
        </w:tc>
        <w:tc>
          <w:tcPr>
            <w:tcW w:w="1042" w:type="dxa"/>
            <w:vAlign w:val="center"/>
          </w:tcPr>
          <w:p w14:paraId="3F6FFC9D" w14:textId="2D204781"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35</w:t>
            </w:r>
          </w:p>
        </w:tc>
        <w:tc>
          <w:tcPr>
            <w:tcW w:w="983" w:type="dxa"/>
            <w:noWrap/>
            <w:vAlign w:val="center"/>
            <w:hideMark/>
          </w:tcPr>
          <w:p w14:paraId="463AE5D5" w14:textId="78698051"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101</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73</w:t>
            </w:r>
          </w:p>
        </w:tc>
        <w:tc>
          <w:tcPr>
            <w:tcW w:w="1013" w:type="dxa"/>
            <w:vAlign w:val="center"/>
          </w:tcPr>
          <w:p w14:paraId="5C8FEB34" w14:textId="1DF91BCA"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5</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58</w:t>
            </w:r>
          </w:p>
        </w:tc>
        <w:tc>
          <w:tcPr>
            <w:tcW w:w="1134" w:type="dxa"/>
            <w:vAlign w:val="center"/>
          </w:tcPr>
          <w:p w14:paraId="0EC0EA81" w14:textId="711C4BB9"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0</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43%</w:t>
            </w:r>
          </w:p>
        </w:tc>
      </w:tr>
      <w:tr w:rsidR="00417DD6" w:rsidRPr="007E3A51" w14:paraId="0847E2CB" w14:textId="19F12311" w:rsidTr="00734485">
        <w:trPr>
          <w:gridAfter w:val="1"/>
          <w:wAfter w:w="31" w:type="dxa"/>
          <w:trHeight w:val="300"/>
          <w:jc w:val="center"/>
        </w:trPr>
        <w:tc>
          <w:tcPr>
            <w:tcW w:w="1297" w:type="dxa"/>
            <w:noWrap/>
            <w:vAlign w:val="center"/>
            <w:hideMark/>
          </w:tcPr>
          <w:p w14:paraId="44FD68EA" w14:textId="77777777" w:rsidR="00150F1A" w:rsidRPr="007E3A51" w:rsidRDefault="00150F1A"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soybeans</w:t>
            </w:r>
          </w:p>
        </w:tc>
        <w:tc>
          <w:tcPr>
            <w:tcW w:w="1077" w:type="dxa"/>
            <w:noWrap/>
            <w:vAlign w:val="center"/>
            <w:hideMark/>
          </w:tcPr>
          <w:p w14:paraId="72912F2C" w14:textId="2B24AF34"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89</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52</w:t>
            </w:r>
          </w:p>
        </w:tc>
        <w:tc>
          <w:tcPr>
            <w:tcW w:w="1032" w:type="dxa"/>
            <w:noWrap/>
            <w:vAlign w:val="center"/>
            <w:hideMark/>
          </w:tcPr>
          <w:p w14:paraId="46CB9B9A" w14:textId="0773F8F2"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115</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28</w:t>
            </w:r>
          </w:p>
        </w:tc>
        <w:tc>
          <w:tcPr>
            <w:tcW w:w="984" w:type="dxa"/>
            <w:vAlign w:val="center"/>
          </w:tcPr>
          <w:p w14:paraId="0C1D3D16" w14:textId="42281051"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39</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26</w:t>
            </w:r>
          </w:p>
        </w:tc>
        <w:tc>
          <w:tcPr>
            <w:tcW w:w="1041" w:type="dxa"/>
            <w:noWrap/>
            <w:vAlign w:val="center"/>
            <w:hideMark/>
          </w:tcPr>
          <w:p w14:paraId="58BD3C2C" w14:textId="1EBE12B6"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98</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69</w:t>
            </w:r>
          </w:p>
        </w:tc>
        <w:tc>
          <w:tcPr>
            <w:tcW w:w="1042" w:type="dxa"/>
            <w:vAlign w:val="center"/>
          </w:tcPr>
          <w:p w14:paraId="6EBA5340" w14:textId="50B15B83"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17</w:t>
            </w:r>
          </w:p>
        </w:tc>
        <w:tc>
          <w:tcPr>
            <w:tcW w:w="983" w:type="dxa"/>
            <w:noWrap/>
            <w:vAlign w:val="center"/>
            <w:hideMark/>
          </w:tcPr>
          <w:p w14:paraId="7D18B455" w14:textId="7B644F8F"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113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10</w:t>
            </w:r>
          </w:p>
        </w:tc>
        <w:tc>
          <w:tcPr>
            <w:tcW w:w="1013" w:type="dxa"/>
            <w:vAlign w:val="center"/>
          </w:tcPr>
          <w:p w14:paraId="37CB2B46" w14:textId="703D921B"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29</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00</w:t>
            </w:r>
          </w:p>
        </w:tc>
        <w:tc>
          <w:tcPr>
            <w:tcW w:w="1134" w:type="dxa"/>
            <w:vAlign w:val="center"/>
          </w:tcPr>
          <w:p w14:paraId="52DB1299" w14:textId="7B701F86"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13%</w:t>
            </w:r>
          </w:p>
        </w:tc>
      </w:tr>
      <w:tr w:rsidR="00417DD6" w:rsidRPr="007E3A51" w14:paraId="4CBC668A" w14:textId="3965661A" w:rsidTr="00625A8A">
        <w:trPr>
          <w:gridAfter w:val="1"/>
          <w:wAfter w:w="31" w:type="dxa"/>
          <w:trHeight w:val="771"/>
          <w:jc w:val="center"/>
        </w:trPr>
        <w:tc>
          <w:tcPr>
            <w:tcW w:w="1297" w:type="dxa"/>
            <w:noWrap/>
            <w:vAlign w:val="center"/>
            <w:hideMark/>
          </w:tcPr>
          <w:p w14:paraId="48D4285D" w14:textId="77777777" w:rsidR="00150F1A" w:rsidRPr="007E3A51" w:rsidRDefault="00150F1A"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rapeseed (winter and spring)</w:t>
            </w:r>
          </w:p>
        </w:tc>
        <w:tc>
          <w:tcPr>
            <w:tcW w:w="1077" w:type="dxa"/>
            <w:noWrap/>
            <w:vAlign w:val="center"/>
            <w:hideMark/>
          </w:tcPr>
          <w:p w14:paraId="15587E3B" w14:textId="33D3D6E1"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89</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84</w:t>
            </w:r>
          </w:p>
        </w:tc>
        <w:tc>
          <w:tcPr>
            <w:tcW w:w="1032" w:type="dxa"/>
            <w:noWrap/>
            <w:vAlign w:val="center"/>
            <w:hideMark/>
          </w:tcPr>
          <w:p w14:paraId="7EEF6416" w14:textId="232CE63A"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114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45</w:t>
            </w:r>
          </w:p>
        </w:tc>
        <w:tc>
          <w:tcPr>
            <w:tcW w:w="984" w:type="dxa"/>
            <w:vAlign w:val="center"/>
          </w:tcPr>
          <w:p w14:paraId="40DFAB36" w14:textId="7F3D7A77"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37</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55</w:t>
            </w:r>
          </w:p>
        </w:tc>
        <w:tc>
          <w:tcPr>
            <w:tcW w:w="1041" w:type="dxa"/>
            <w:noWrap/>
            <w:vAlign w:val="center"/>
            <w:hideMark/>
          </w:tcPr>
          <w:p w14:paraId="5FB7FCD3" w14:textId="576B547C"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112</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11</w:t>
            </w:r>
          </w:p>
        </w:tc>
        <w:tc>
          <w:tcPr>
            <w:tcW w:w="1042" w:type="dxa"/>
            <w:vAlign w:val="center"/>
          </w:tcPr>
          <w:p w14:paraId="306B0C0F" w14:textId="2CA9BAF7"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-29</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44</w:t>
            </w:r>
          </w:p>
        </w:tc>
        <w:tc>
          <w:tcPr>
            <w:tcW w:w="983" w:type="dxa"/>
            <w:noWrap/>
            <w:vAlign w:val="center"/>
            <w:hideMark/>
          </w:tcPr>
          <w:p w14:paraId="15BA7A63" w14:textId="06DCDA26"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114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06</w:t>
            </w:r>
          </w:p>
        </w:tc>
        <w:tc>
          <w:tcPr>
            <w:tcW w:w="1013" w:type="dxa"/>
            <w:vAlign w:val="center"/>
          </w:tcPr>
          <w:p w14:paraId="2DF5E0C3" w14:textId="41E3F96A"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79</w:t>
            </w:r>
          </w:p>
        </w:tc>
        <w:tc>
          <w:tcPr>
            <w:tcW w:w="1134" w:type="dxa"/>
            <w:vAlign w:val="center"/>
          </w:tcPr>
          <w:p w14:paraId="020ACA37" w14:textId="0B0F2BF4"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34%</w:t>
            </w:r>
          </w:p>
        </w:tc>
      </w:tr>
      <w:tr w:rsidR="00417DD6" w:rsidRPr="007E3A51" w14:paraId="2CAAD835" w14:textId="72FC607E" w:rsidTr="00734485">
        <w:trPr>
          <w:gridAfter w:val="1"/>
          <w:wAfter w:w="31" w:type="dxa"/>
          <w:trHeight w:val="300"/>
          <w:jc w:val="center"/>
        </w:trPr>
        <w:tc>
          <w:tcPr>
            <w:tcW w:w="1297" w:type="dxa"/>
            <w:noWrap/>
            <w:vAlign w:val="center"/>
            <w:hideMark/>
          </w:tcPr>
          <w:p w14:paraId="72B6A3D5" w14:textId="77777777" w:rsidR="00150F1A" w:rsidRPr="007E3A51" w:rsidRDefault="00150F1A" w:rsidP="00F80E61">
            <w:pPr>
              <w:spacing w:after="0" w:line="240" w:lineRule="auto"/>
              <w:rPr>
                <w:rFonts w:ascii="Times New Roman" w:hAnsi="Times New Roman" w:cs="Times New Roman"/>
                <w:sz w:val="20"/>
                <w:szCs w:val="20"/>
                <w:lang w:val="en-GB"/>
              </w:rPr>
            </w:pPr>
            <w:r w:rsidRPr="007E3A51">
              <w:rPr>
                <w:rFonts w:ascii="Times New Roman" w:hAnsi="Times New Roman" w:cs="Times New Roman"/>
                <w:sz w:val="20"/>
                <w:szCs w:val="20"/>
                <w:lang w:val="en-GB"/>
              </w:rPr>
              <w:t>sunflower</w:t>
            </w:r>
          </w:p>
        </w:tc>
        <w:tc>
          <w:tcPr>
            <w:tcW w:w="1077" w:type="dxa"/>
            <w:noWrap/>
            <w:vAlign w:val="center"/>
            <w:hideMark/>
          </w:tcPr>
          <w:p w14:paraId="2692A83A" w14:textId="4568A888"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78</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91</w:t>
            </w:r>
          </w:p>
        </w:tc>
        <w:tc>
          <w:tcPr>
            <w:tcW w:w="1032" w:type="dxa"/>
            <w:noWrap/>
            <w:vAlign w:val="center"/>
            <w:hideMark/>
          </w:tcPr>
          <w:p w14:paraId="634C86D8" w14:textId="014F4BDB"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96</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09</w:t>
            </w:r>
          </w:p>
        </w:tc>
        <w:tc>
          <w:tcPr>
            <w:tcW w:w="984" w:type="dxa"/>
            <w:vAlign w:val="center"/>
          </w:tcPr>
          <w:p w14:paraId="09DDFB24" w14:textId="40ABF953"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42</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88</w:t>
            </w:r>
          </w:p>
        </w:tc>
        <w:tc>
          <w:tcPr>
            <w:tcW w:w="1041" w:type="dxa"/>
            <w:noWrap/>
            <w:vAlign w:val="center"/>
            <w:hideMark/>
          </w:tcPr>
          <w:p w14:paraId="23F8526C" w14:textId="3A3BFAA0"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84</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38</w:t>
            </w:r>
          </w:p>
        </w:tc>
        <w:tc>
          <w:tcPr>
            <w:tcW w:w="1042" w:type="dxa"/>
            <w:vAlign w:val="center"/>
          </w:tcPr>
          <w:p w14:paraId="087EB182" w14:textId="751DAB71"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-33</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98</w:t>
            </w:r>
          </w:p>
        </w:tc>
        <w:tc>
          <w:tcPr>
            <w:tcW w:w="983" w:type="dxa"/>
            <w:noWrap/>
            <w:vAlign w:val="center"/>
            <w:hideMark/>
          </w:tcPr>
          <w:p w14:paraId="7F6C8B82" w14:textId="580039AA"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95</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70</w:t>
            </w:r>
          </w:p>
        </w:tc>
        <w:tc>
          <w:tcPr>
            <w:tcW w:w="1013" w:type="dxa"/>
            <w:vAlign w:val="center"/>
          </w:tcPr>
          <w:p w14:paraId="0230FEC7" w14:textId="74F3A11A"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25</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62</w:t>
            </w:r>
          </w:p>
        </w:tc>
        <w:tc>
          <w:tcPr>
            <w:tcW w:w="1134" w:type="dxa"/>
            <w:vAlign w:val="center"/>
          </w:tcPr>
          <w:p w14:paraId="570EAAAD" w14:textId="3E655A68" w:rsidR="00150F1A" w:rsidRPr="007E3A51" w:rsidRDefault="00150F1A" w:rsidP="00F80E61">
            <w:pPr>
              <w:spacing w:after="0" w:line="240" w:lineRule="auto"/>
              <w:jc w:val="center"/>
              <w:rPr>
                <w:rFonts w:ascii="Times New Roman" w:hAnsi="Times New Roman" w:cs="Times New Roman"/>
                <w:sz w:val="20"/>
                <w:szCs w:val="20"/>
                <w:lang w:val="en-GB"/>
              </w:rPr>
            </w:pPr>
            <w:r w:rsidRPr="007E3A51">
              <w:rPr>
                <w:rFonts w:ascii="Times New Roman" w:hAnsi="Times New Roman" w:cs="Times New Roman"/>
                <w:sz w:val="20"/>
                <w:szCs w:val="20"/>
                <w:lang w:val="en-GB"/>
              </w:rPr>
              <w:t>-1</w:t>
            </w:r>
            <w:r w:rsidR="00734485"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09%</w:t>
            </w:r>
          </w:p>
        </w:tc>
      </w:tr>
    </w:tbl>
    <w:p w14:paraId="53855F57" w14:textId="77777777" w:rsidR="00AB1AB5" w:rsidRPr="007E3A51" w:rsidRDefault="00AB1AB5" w:rsidP="00734485">
      <w:pPr>
        <w:spacing w:before="60" w:after="0" w:line="240" w:lineRule="auto"/>
        <w:jc w:val="both"/>
        <w:rPr>
          <w:rFonts w:ascii="Times New Roman" w:hAnsi="Times New Roman" w:cs="Times New Roman"/>
          <w:sz w:val="20"/>
          <w:szCs w:val="20"/>
          <w:lang w:val="en-GB"/>
        </w:rPr>
      </w:pPr>
      <w:r w:rsidRPr="007E3A51">
        <w:rPr>
          <w:rFonts w:ascii="Times New Roman" w:hAnsi="Times New Roman" w:cs="Times New Roman"/>
          <w:sz w:val="20"/>
          <w:szCs w:val="20"/>
          <w:lang w:val="en-GB"/>
        </w:rPr>
        <w:t>Source: calculated by the authors based on statistical data</w:t>
      </w:r>
    </w:p>
    <w:p w14:paraId="7E6C22E8" w14:textId="77777777" w:rsidR="00734485" w:rsidRPr="007E3A51" w:rsidRDefault="00734485" w:rsidP="00417DD6">
      <w:pPr>
        <w:spacing w:after="0" w:line="240" w:lineRule="auto"/>
        <w:ind w:firstLine="284"/>
        <w:jc w:val="both"/>
        <w:rPr>
          <w:rFonts w:ascii="Times New Roman" w:hAnsi="Times New Roman" w:cs="Times New Roman"/>
          <w:lang w:val="en-GB"/>
        </w:rPr>
      </w:pPr>
    </w:p>
    <w:p w14:paraId="2343DCB4" w14:textId="77C45FF2" w:rsidR="00DD04DD" w:rsidRPr="007E3A51" w:rsidRDefault="00284D1C" w:rsidP="00417DD6">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It is important to note that among the factors that negatively affect </w:t>
      </w:r>
      <w:r w:rsidR="00D85782" w:rsidRPr="007E3A51">
        <w:rPr>
          <w:rFonts w:ascii="Times New Roman" w:hAnsi="Times New Roman" w:cs="Times New Roman"/>
          <w:lang w:val="en-GB"/>
        </w:rPr>
        <w:t>crop</w:t>
      </w:r>
      <w:r w:rsidRPr="007E3A51">
        <w:rPr>
          <w:rFonts w:ascii="Times New Roman" w:hAnsi="Times New Roman" w:cs="Times New Roman"/>
          <w:lang w:val="en-GB"/>
        </w:rPr>
        <w:t xml:space="preserve"> yield</w:t>
      </w:r>
      <w:r w:rsidR="00D85782" w:rsidRPr="007E3A51">
        <w:rPr>
          <w:rFonts w:ascii="Times New Roman" w:hAnsi="Times New Roman" w:cs="Times New Roman"/>
          <w:lang w:val="en-GB"/>
        </w:rPr>
        <w:t>s</w:t>
      </w:r>
      <w:r w:rsidRPr="007E3A51">
        <w:rPr>
          <w:rFonts w:ascii="Times New Roman" w:hAnsi="Times New Roman" w:cs="Times New Roman"/>
          <w:lang w:val="en-GB"/>
        </w:rPr>
        <w:t xml:space="preserve"> and volume of agricultural crop production in Ukraine were power outages due to attacks on critical infrastructure, disruption of supply chains not only due to shelling and blockades, but also due to fuel shortages. Power outages also pose a threat </w:t>
      </w:r>
      <w:r w:rsidRPr="007E3A51">
        <w:rPr>
          <w:rFonts w:ascii="Times New Roman" w:hAnsi="Times New Roman" w:cs="Times New Roman"/>
          <w:lang w:val="en-GB"/>
        </w:rPr>
        <w:lastRenderedPageBreak/>
        <w:t>due to the inability to store food products that require storage in different conditions (for example, vegetables, fruits</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and berries). This is why Ukraine should develop its bioenergy potential and also switch to electric transport, which will reduce such risks, as well as allow </w:t>
      </w:r>
      <w:r w:rsidR="005369B2" w:rsidRPr="007E3A51">
        <w:rPr>
          <w:rFonts w:ascii="Times New Roman" w:hAnsi="Times New Roman" w:cs="Times New Roman"/>
          <w:lang w:val="en-GB"/>
        </w:rPr>
        <w:t>quicker</w:t>
      </w:r>
      <w:r w:rsidRPr="007E3A51">
        <w:rPr>
          <w:rFonts w:ascii="Times New Roman" w:hAnsi="Times New Roman" w:cs="Times New Roman"/>
          <w:lang w:val="en-GB"/>
        </w:rPr>
        <w:t xml:space="preserve"> integration into the European Community.</w:t>
      </w:r>
    </w:p>
    <w:p w14:paraId="03D237E4" w14:textId="1FEC34AB" w:rsidR="00957F20" w:rsidRPr="007E3A51" w:rsidRDefault="00C01DCF" w:rsidP="00417DD6">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Summing up, we have to </w:t>
      </w:r>
      <w:r w:rsidR="00F07653" w:rsidRPr="007E3A51">
        <w:rPr>
          <w:rFonts w:ascii="Times New Roman" w:hAnsi="Times New Roman" w:cs="Times New Roman"/>
          <w:lang w:val="en-GB"/>
        </w:rPr>
        <w:t>mention</w:t>
      </w:r>
      <w:r w:rsidRPr="007E3A51">
        <w:rPr>
          <w:rFonts w:ascii="Times New Roman" w:hAnsi="Times New Roman" w:cs="Times New Roman"/>
          <w:lang w:val="en-GB"/>
        </w:rPr>
        <w:t xml:space="preserve"> that </w:t>
      </w:r>
      <w:r w:rsidR="00A345AE" w:rsidRPr="007E3A51">
        <w:rPr>
          <w:rFonts w:ascii="Times New Roman" w:hAnsi="Times New Roman" w:cs="Times New Roman"/>
          <w:lang w:val="en-GB"/>
        </w:rPr>
        <w:t xml:space="preserve">the </w:t>
      </w:r>
      <w:r w:rsidR="00500D6B" w:rsidRPr="007E3A51">
        <w:rPr>
          <w:rFonts w:ascii="Times New Roman" w:hAnsi="Times New Roman" w:cs="Times New Roman"/>
          <w:lang w:val="en-GB"/>
        </w:rPr>
        <w:t>selected</w:t>
      </w:r>
      <w:r w:rsidR="00A345AE" w:rsidRPr="007E3A51">
        <w:rPr>
          <w:rFonts w:ascii="Times New Roman" w:hAnsi="Times New Roman" w:cs="Times New Roman"/>
          <w:lang w:val="en-GB"/>
        </w:rPr>
        <w:t xml:space="preserve"> </w:t>
      </w:r>
      <w:r w:rsidR="00926227" w:rsidRPr="007E3A51">
        <w:rPr>
          <w:rFonts w:ascii="Times New Roman" w:hAnsi="Times New Roman" w:cs="Times New Roman"/>
          <w:lang w:val="en-GB"/>
        </w:rPr>
        <w:t>crops</w:t>
      </w:r>
      <w:r w:rsidR="00A345AE" w:rsidRPr="007E3A51">
        <w:rPr>
          <w:rFonts w:ascii="Times New Roman" w:hAnsi="Times New Roman" w:cs="Times New Roman"/>
          <w:lang w:val="en-GB"/>
        </w:rPr>
        <w:t xml:space="preserve"> are </w:t>
      </w:r>
      <w:r w:rsidR="005369B2" w:rsidRPr="007E3A51">
        <w:rPr>
          <w:rFonts w:ascii="Times New Roman" w:hAnsi="Times New Roman" w:cs="Times New Roman"/>
          <w:lang w:val="en-GB"/>
        </w:rPr>
        <w:t xml:space="preserve">the </w:t>
      </w:r>
      <w:r w:rsidR="00A345AE" w:rsidRPr="007E3A51">
        <w:rPr>
          <w:rFonts w:ascii="Times New Roman" w:hAnsi="Times New Roman" w:cs="Times New Roman"/>
          <w:lang w:val="en-GB"/>
        </w:rPr>
        <w:t>bases of Ukraine</w:t>
      </w:r>
      <w:r w:rsidR="005369B2" w:rsidRPr="007E3A51">
        <w:rPr>
          <w:rFonts w:ascii="Times New Roman" w:hAnsi="Times New Roman" w:cs="Times New Roman"/>
          <w:lang w:val="en-GB"/>
        </w:rPr>
        <w:t>'</w:t>
      </w:r>
      <w:r w:rsidR="00A345AE" w:rsidRPr="007E3A51">
        <w:rPr>
          <w:rFonts w:ascii="Times New Roman" w:hAnsi="Times New Roman" w:cs="Times New Roman"/>
          <w:lang w:val="en-GB"/>
        </w:rPr>
        <w:t xml:space="preserve">s food security, </w:t>
      </w:r>
      <w:r w:rsidR="005369B2" w:rsidRPr="007E3A51">
        <w:rPr>
          <w:rFonts w:ascii="Times New Roman" w:hAnsi="Times New Roman" w:cs="Times New Roman"/>
          <w:lang w:val="en-GB"/>
        </w:rPr>
        <w:t>which</w:t>
      </w:r>
      <w:r w:rsidR="00A345AE" w:rsidRPr="007E3A51">
        <w:rPr>
          <w:rFonts w:ascii="Times New Roman" w:hAnsi="Times New Roman" w:cs="Times New Roman"/>
          <w:lang w:val="en-GB"/>
        </w:rPr>
        <w:t xml:space="preserve"> is linked to the balance between export-oriented and import-dependent products. </w:t>
      </w:r>
      <w:r w:rsidR="00837281" w:rsidRPr="007E3A51">
        <w:rPr>
          <w:rFonts w:ascii="Times New Roman" w:hAnsi="Times New Roman" w:cs="Times New Roman"/>
          <w:lang w:val="en-GB"/>
        </w:rPr>
        <w:t xml:space="preserve">Some of the </w:t>
      </w:r>
      <w:proofErr w:type="spellStart"/>
      <w:r w:rsidR="00D75830" w:rsidRPr="007E3A51">
        <w:rPr>
          <w:rFonts w:ascii="Times New Roman" w:hAnsi="Times New Roman" w:cs="Times New Roman"/>
          <w:lang w:val="en-GB"/>
        </w:rPr>
        <w:t>analyzed</w:t>
      </w:r>
      <w:proofErr w:type="spellEnd"/>
      <w:r w:rsidR="00D75830" w:rsidRPr="007E3A51">
        <w:rPr>
          <w:rFonts w:ascii="Times New Roman" w:hAnsi="Times New Roman" w:cs="Times New Roman"/>
          <w:lang w:val="en-GB"/>
        </w:rPr>
        <w:t xml:space="preserve"> crops</w:t>
      </w:r>
      <w:r w:rsidR="00837281" w:rsidRPr="007E3A51">
        <w:rPr>
          <w:rFonts w:ascii="Times New Roman" w:hAnsi="Times New Roman" w:cs="Times New Roman"/>
          <w:lang w:val="en-GB"/>
        </w:rPr>
        <w:t xml:space="preserve"> (wheat, maize, sunflower</w:t>
      </w:r>
      <w:r w:rsidR="000A4800" w:rsidRPr="007E3A51">
        <w:rPr>
          <w:rFonts w:ascii="Times New Roman" w:hAnsi="Times New Roman" w:cs="Times New Roman"/>
          <w:lang w:val="en-GB"/>
        </w:rPr>
        <w:t>,</w:t>
      </w:r>
      <w:r w:rsidR="00837281" w:rsidRPr="007E3A51">
        <w:rPr>
          <w:rFonts w:ascii="Times New Roman" w:hAnsi="Times New Roman" w:cs="Times New Roman"/>
          <w:lang w:val="en-GB"/>
        </w:rPr>
        <w:t xml:space="preserve"> barley)</w:t>
      </w:r>
      <w:r w:rsidR="004F53F8" w:rsidRPr="007E3A51">
        <w:rPr>
          <w:rFonts w:ascii="Times New Roman" w:hAnsi="Times New Roman" w:cs="Times New Roman"/>
          <w:lang w:val="en-GB"/>
        </w:rPr>
        <w:t xml:space="preserve"> </w:t>
      </w:r>
      <w:r w:rsidR="001365BC" w:rsidRPr="007E3A51">
        <w:rPr>
          <w:rFonts w:ascii="Times New Roman" w:hAnsi="Times New Roman" w:cs="Times New Roman"/>
          <w:lang w:val="en-GB"/>
        </w:rPr>
        <w:t>constitute the foundations</w:t>
      </w:r>
      <w:r w:rsidR="004F53F8" w:rsidRPr="007E3A51">
        <w:rPr>
          <w:rFonts w:ascii="Times New Roman" w:hAnsi="Times New Roman" w:cs="Times New Roman"/>
          <w:lang w:val="en-GB"/>
        </w:rPr>
        <w:t xml:space="preserve"> </w:t>
      </w:r>
      <w:r w:rsidR="00F914C6" w:rsidRPr="007E3A51">
        <w:rPr>
          <w:rFonts w:ascii="Times New Roman" w:hAnsi="Times New Roman" w:cs="Times New Roman"/>
          <w:lang w:val="en-GB"/>
        </w:rPr>
        <w:t>of</w:t>
      </w:r>
      <w:r w:rsidR="004F53F8" w:rsidRPr="007E3A51">
        <w:rPr>
          <w:rFonts w:ascii="Times New Roman" w:hAnsi="Times New Roman" w:cs="Times New Roman"/>
          <w:lang w:val="en-GB"/>
        </w:rPr>
        <w:t xml:space="preserve"> export</w:t>
      </w:r>
      <w:r w:rsidR="00F914C6" w:rsidRPr="007E3A51">
        <w:rPr>
          <w:rFonts w:ascii="Times New Roman" w:hAnsi="Times New Roman" w:cs="Times New Roman"/>
          <w:lang w:val="en-GB"/>
        </w:rPr>
        <w:t>s</w:t>
      </w:r>
      <w:r w:rsidR="00071C2F" w:rsidRPr="007E3A51">
        <w:rPr>
          <w:rFonts w:ascii="Times New Roman" w:hAnsi="Times New Roman" w:cs="Times New Roman"/>
          <w:lang w:val="en-GB"/>
        </w:rPr>
        <w:t>,</w:t>
      </w:r>
      <w:r w:rsidR="004F53F8" w:rsidRPr="007E3A51">
        <w:rPr>
          <w:rFonts w:ascii="Times New Roman" w:hAnsi="Times New Roman" w:cs="Times New Roman"/>
          <w:lang w:val="en-GB"/>
        </w:rPr>
        <w:t xml:space="preserve"> as they are usually produced in such volumes that exceed domestic need</w:t>
      </w:r>
      <w:r w:rsidR="009F48D5" w:rsidRPr="007E3A51">
        <w:rPr>
          <w:rFonts w:ascii="Times New Roman" w:hAnsi="Times New Roman" w:cs="Times New Roman"/>
          <w:lang w:val="en-GB"/>
        </w:rPr>
        <w:t>s</w:t>
      </w:r>
      <w:r w:rsidR="000E5956" w:rsidRPr="007E3A51">
        <w:rPr>
          <w:rFonts w:ascii="Times New Roman" w:hAnsi="Times New Roman" w:cs="Times New Roman"/>
          <w:lang w:val="en-GB"/>
        </w:rPr>
        <w:t xml:space="preserve"> (</w:t>
      </w:r>
      <w:proofErr w:type="spellStart"/>
      <w:r w:rsidR="000E5956" w:rsidRPr="007E3A51">
        <w:rPr>
          <w:rFonts w:ascii="Times New Roman" w:hAnsi="Times New Roman" w:cs="Times New Roman"/>
          <w:bCs/>
          <w:lang w:val="en-GB"/>
        </w:rPr>
        <w:t>Strelbytska</w:t>
      </w:r>
      <w:proofErr w:type="spellEnd"/>
      <w:r w:rsidR="000E5956" w:rsidRPr="007E3A51">
        <w:rPr>
          <w:rFonts w:ascii="Times New Roman" w:hAnsi="Times New Roman" w:cs="Times New Roman"/>
          <w:bCs/>
          <w:lang w:val="en-GB"/>
        </w:rPr>
        <w:t xml:space="preserve"> et al. 2025</w:t>
      </w:r>
      <w:r w:rsidR="00EA6B77" w:rsidRPr="007E3A51">
        <w:rPr>
          <w:rFonts w:ascii="Times New Roman" w:hAnsi="Times New Roman" w:cs="Times New Roman"/>
          <w:bCs/>
          <w:lang w:val="en-GB"/>
        </w:rPr>
        <w:t>,</w:t>
      </w:r>
      <w:r w:rsidR="00E24777" w:rsidRPr="007E3A51">
        <w:rPr>
          <w:rFonts w:ascii="Times New Roman" w:hAnsi="Times New Roman" w:cs="Times New Roman"/>
          <w:bCs/>
          <w:lang w:val="en-GB"/>
        </w:rPr>
        <w:t xml:space="preserve"> </w:t>
      </w:r>
      <w:proofErr w:type="spellStart"/>
      <w:r w:rsidR="00E24777" w:rsidRPr="007E3A51">
        <w:rPr>
          <w:rFonts w:ascii="Times New Roman" w:hAnsi="Times New Roman" w:cs="Times New Roman"/>
          <w:bCs/>
          <w:lang w:val="en-GB"/>
        </w:rPr>
        <w:t>Pokataiev</w:t>
      </w:r>
      <w:proofErr w:type="spellEnd"/>
      <w:r w:rsidR="00E24777" w:rsidRPr="007E3A51">
        <w:rPr>
          <w:rFonts w:ascii="Times New Roman" w:hAnsi="Times New Roman" w:cs="Times New Roman"/>
          <w:bCs/>
          <w:lang w:val="en-GB"/>
        </w:rPr>
        <w:t xml:space="preserve"> et al. 2023</w:t>
      </w:r>
      <w:r w:rsidR="000E5956" w:rsidRPr="007E3A51">
        <w:rPr>
          <w:rFonts w:ascii="Times New Roman" w:hAnsi="Times New Roman" w:cs="Times New Roman"/>
          <w:lang w:val="en-GB"/>
        </w:rPr>
        <w:t>)</w:t>
      </w:r>
      <w:r w:rsidR="004F53F8" w:rsidRPr="007E3A51">
        <w:rPr>
          <w:rFonts w:ascii="Times New Roman" w:hAnsi="Times New Roman" w:cs="Times New Roman"/>
          <w:lang w:val="en-GB"/>
        </w:rPr>
        <w:t xml:space="preserve">. </w:t>
      </w:r>
      <w:r w:rsidR="00CF3203" w:rsidRPr="007E3A51">
        <w:rPr>
          <w:rFonts w:ascii="Times New Roman" w:hAnsi="Times New Roman" w:cs="Times New Roman"/>
          <w:lang w:val="en-GB"/>
        </w:rPr>
        <w:t xml:space="preserve">On the contrary, </w:t>
      </w:r>
      <w:r w:rsidR="00591055" w:rsidRPr="007E3A51">
        <w:rPr>
          <w:rFonts w:ascii="Times New Roman" w:hAnsi="Times New Roman" w:cs="Times New Roman"/>
          <w:lang w:val="en-GB"/>
        </w:rPr>
        <w:t xml:space="preserve">there are </w:t>
      </w:r>
      <w:r w:rsidR="00D94753" w:rsidRPr="007E3A51">
        <w:rPr>
          <w:rFonts w:ascii="Times New Roman" w:hAnsi="Times New Roman" w:cs="Times New Roman"/>
          <w:lang w:val="en-GB"/>
        </w:rPr>
        <w:t xml:space="preserve">components </w:t>
      </w:r>
      <w:r w:rsidR="00591055" w:rsidRPr="007E3A51">
        <w:rPr>
          <w:rFonts w:ascii="Times New Roman" w:hAnsi="Times New Roman" w:cs="Times New Roman"/>
          <w:lang w:val="en-GB"/>
        </w:rPr>
        <w:t xml:space="preserve">of food security </w:t>
      </w:r>
      <w:r w:rsidR="005369B2" w:rsidRPr="007E3A51">
        <w:rPr>
          <w:rFonts w:ascii="Times New Roman" w:hAnsi="Times New Roman" w:cs="Times New Roman"/>
          <w:lang w:val="en-GB"/>
        </w:rPr>
        <w:t>in</w:t>
      </w:r>
      <w:r w:rsidR="00591055" w:rsidRPr="007E3A51">
        <w:rPr>
          <w:rFonts w:ascii="Times New Roman" w:hAnsi="Times New Roman" w:cs="Times New Roman"/>
          <w:lang w:val="en-GB"/>
        </w:rPr>
        <w:t xml:space="preserve"> Ukraine that are dependent on import</w:t>
      </w:r>
      <w:r w:rsidR="005369B2" w:rsidRPr="007E3A51">
        <w:rPr>
          <w:rFonts w:ascii="Times New Roman" w:hAnsi="Times New Roman" w:cs="Times New Roman"/>
          <w:lang w:val="en-GB"/>
        </w:rPr>
        <w:t>s</w:t>
      </w:r>
      <w:r w:rsidR="00591055" w:rsidRPr="007E3A51">
        <w:rPr>
          <w:rFonts w:ascii="Times New Roman" w:hAnsi="Times New Roman" w:cs="Times New Roman"/>
          <w:lang w:val="en-GB"/>
        </w:rPr>
        <w:t>. Namely</w:t>
      </w:r>
      <w:r w:rsidR="005369B2" w:rsidRPr="007E3A51">
        <w:rPr>
          <w:rFonts w:ascii="Times New Roman" w:hAnsi="Times New Roman" w:cs="Times New Roman"/>
          <w:lang w:val="en-GB"/>
        </w:rPr>
        <w:t>,</w:t>
      </w:r>
      <w:r w:rsidR="008D6972" w:rsidRPr="007E3A51">
        <w:rPr>
          <w:rFonts w:ascii="Times New Roman" w:hAnsi="Times New Roman" w:cs="Times New Roman"/>
          <w:lang w:val="en-GB"/>
        </w:rPr>
        <w:t xml:space="preserve"> fruits, vegetables, meat</w:t>
      </w:r>
      <w:r w:rsidR="005369B2" w:rsidRPr="007E3A51">
        <w:rPr>
          <w:rFonts w:ascii="Times New Roman" w:hAnsi="Times New Roman" w:cs="Times New Roman"/>
          <w:lang w:val="en-GB"/>
        </w:rPr>
        <w:t>,</w:t>
      </w:r>
      <w:r w:rsidR="008D6972" w:rsidRPr="007E3A51">
        <w:rPr>
          <w:rFonts w:ascii="Times New Roman" w:hAnsi="Times New Roman" w:cs="Times New Roman"/>
          <w:lang w:val="en-GB"/>
        </w:rPr>
        <w:t xml:space="preserve"> etc. </w:t>
      </w:r>
      <w:r w:rsidR="00F2371A" w:rsidRPr="007E3A51">
        <w:rPr>
          <w:rFonts w:ascii="Times New Roman" w:hAnsi="Times New Roman" w:cs="Times New Roman"/>
          <w:lang w:val="en-GB"/>
        </w:rPr>
        <w:t xml:space="preserve">This </w:t>
      </w:r>
      <w:r w:rsidR="003405F5" w:rsidRPr="007E3A51">
        <w:rPr>
          <w:rFonts w:ascii="Times New Roman" w:hAnsi="Times New Roman" w:cs="Times New Roman"/>
          <w:lang w:val="en-GB"/>
        </w:rPr>
        <w:t>depend</w:t>
      </w:r>
      <w:r w:rsidR="00D872CD" w:rsidRPr="007E3A51">
        <w:rPr>
          <w:rFonts w:ascii="Times New Roman" w:hAnsi="Times New Roman" w:cs="Times New Roman"/>
          <w:lang w:val="en-GB"/>
        </w:rPr>
        <w:t>e</w:t>
      </w:r>
      <w:r w:rsidR="003405F5" w:rsidRPr="007E3A51">
        <w:rPr>
          <w:rFonts w:ascii="Times New Roman" w:hAnsi="Times New Roman" w:cs="Times New Roman"/>
          <w:lang w:val="en-GB"/>
        </w:rPr>
        <w:t>nce has</w:t>
      </w:r>
      <w:r w:rsidR="00F2371A" w:rsidRPr="007E3A51">
        <w:rPr>
          <w:rFonts w:ascii="Times New Roman" w:hAnsi="Times New Roman" w:cs="Times New Roman"/>
          <w:lang w:val="en-GB"/>
        </w:rPr>
        <w:t xml:space="preserve"> increased </w:t>
      </w:r>
      <w:r w:rsidR="006D2D57" w:rsidRPr="007E3A51">
        <w:rPr>
          <w:rFonts w:ascii="Times New Roman" w:hAnsi="Times New Roman" w:cs="Times New Roman"/>
          <w:lang w:val="en-GB"/>
        </w:rPr>
        <w:t>during</w:t>
      </w:r>
      <w:r w:rsidR="00F2371A" w:rsidRPr="007E3A51">
        <w:rPr>
          <w:rFonts w:ascii="Times New Roman" w:hAnsi="Times New Roman" w:cs="Times New Roman"/>
          <w:lang w:val="en-GB"/>
        </w:rPr>
        <w:t xml:space="preserve"> the wartime period </w:t>
      </w:r>
      <w:r w:rsidR="00943244" w:rsidRPr="007E3A51">
        <w:rPr>
          <w:rFonts w:ascii="Times New Roman" w:hAnsi="Times New Roman" w:cs="Times New Roman"/>
          <w:lang w:val="en-GB"/>
        </w:rPr>
        <w:t>due</w:t>
      </w:r>
      <w:r w:rsidR="005D6040" w:rsidRPr="007E3A51">
        <w:rPr>
          <w:rFonts w:ascii="Times New Roman" w:hAnsi="Times New Roman" w:cs="Times New Roman"/>
          <w:lang w:val="en-GB"/>
        </w:rPr>
        <w:t xml:space="preserve"> to</w:t>
      </w:r>
      <w:r w:rsidR="00F2371A" w:rsidRPr="007E3A51">
        <w:rPr>
          <w:rFonts w:ascii="Times New Roman" w:hAnsi="Times New Roman" w:cs="Times New Roman"/>
          <w:lang w:val="en-GB"/>
        </w:rPr>
        <w:t xml:space="preserve"> some limitations in produc</w:t>
      </w:r>
      <w:r w:rsidR="005369B2" w:rsidRPr="007E3A51">
        <w:rPr>
          <w:rFonts w:ascii="Times New Roman" w:hAnsi="Times New Roman" w:cs="Times New Roman"/>
          <w:lang w:val="en-GB"/>
        </w:rPr>
        <w:t>tion</w:t>
      </w:r>
      <w:r w:rsidR="00F2371A" w:rsidRPr="007E3A51">
        <w:rPr>
          <w:rFonts w:ascii="Times New Roman" w:hAnsi="Times New Roman" w:cs="Times New Roman"/>
          <w:lang w:val="en-GB"/>
        </w:rPr>
        <w:t xml:space="preserve"> </w:t>
      </w:r>
      <w:r w:rsidR="005A79A7" w:rsidRPr="007E3A51">
        <w:rPr>
          <w:rFonts w:ascii="Times New Roman" w:hAnsi="Times New Roman" w:cs="Times New Roman"/>
          <w:lang w:val="en-GB"/>
        </w:rPr>
        <w:t>capacity</w:t>
      </w:r>
      <w:r w:rsidR="00F2371A" w:rsidRPr="007E3A51">
        <w:rPr>
          <w:rFonts w:ascii="Times New Roman" w:hAnsi="Times New Roman" w:cs="Times New Roman"/>
          <w:lang w:val="en-GB"/>
        </w:rPr>
        <w:t xml:space="preserve">. </w:t>
      </w:r>
      <w:r w:rsidR="005369B2" w:rsidRPr="007E3A51">
        <w:rPr>
          <w:rFonts w:ascii="Times New Roman" w:hAnsi="Times New Roman" w:cs="Times New Roman"/>
          <w:lang w:val="en-GB"/>
        </w:rPr>
        <w:t>The m</w:t>
      </w:r>
      <w:r w:rsidR="003730B1" w:rsidRPr="007E3A51">
        <w:rPr>
          <w:rFonts w:ascii="Times New Roman" w:hAnsi="Times New Roman" w:cs="Times New Roman"/>
          <w:lang w:val="en-GB"/>
        </w:rPr>
        <w:t xml:space="preserve">ain reasons for such </w:t>
      </w:r>
      <w:r w:rsidR="005369B2" w:rsidRPr="007E3A51">
        <w:rPr>
          <w:rFonts w:ascii="Times New Roman" w:hAnsi="Times New Roman" w:cs="Times New Roman"/>
          <w:lang w:val="en-GB"/>
        </w:rPr>
        <w:t xml:space="preserve">a </w:t>
      </w:r>
      <w:r w:rsidR="003730B1" w:rsidRPr="007E3A51">
        <w:rPr>
          <w:rFonts w:ascii="Times New Roman" w:hAnsi="Times New Roman" w:cs="Times New Roman"/>
          <w:lang w:val="en-GB"/>
        </w:rPr>
        <w:t xml:space="preserve">situation </w:t>
      </w:r>
      <w:r w:rsidR="00220535" w:rsidRPr="007E3A51">
        <w:rPr>
          <w:rFonts w:ascii="Times New Roman" w:hAnsi="Times New Roman" w:cs="Times New Roman"/>
          <w:lang w:val="en-GB"/>
        </w:rPr>
        <w:t>are</w:t>
      </w:r>
      <w:r w:rsidR="003730B1" w:rsidRPr="007E3A51">
        <w:rPr>
          <w:rFonts w:ascii="Times New Roman" w:hAnsi="Times New Roman" w:cs="Times New Roman"/>
          <w:lang w:val="en-GB"/>
        </w:rPr>
        <w:t xml:space="preserve"> </w:t>
      </w:r>
      <w:r w:rsidR="007E7AAD" w:rsidRPr="007E3A51">
        <w:rPr>
          <w:rFonts w:ascii="Times New Roman" w:hAnsi="Times New Roman" w:cs="Times New Roman"/>
          <w:lang w:val="en-GB"/>
        </w:rPr>
        <w:t xml:space="preserve">the </w:t>
      </w:r>
      <w:r w:rsidR="003730B1" w:rsidRPr="007E3A51">
        <w:rPr>
          <w:rFonts w:ascii="Times New Roman" w:hAnsi="Times New Roman" w:cs="Times New Roman"/>
          <w:lang w:val="en-GB"/>
        </w:rPr>
        <w:t xml:space="preserve">occupation of </w:t>
      </w:r>
      <w:r w:rsidR="00346FCC" w:rsidRPr="007E3A51">
        <w:rPr>
          <w:rFonts w:ascii="Times New Roman" w:hAnsi="Times New Roman" w:cs="Times New Roman"/>
          <w:lang w:val="en-GB"/>
        </w:rPr>
        <w:t xml:space="preserve">Ukrainian territories, </w:t>
      </w:r>
      <w:r w:rsidR="005369B2" w:rsidRPr="007E3A51">
        <w:rPr>
          <w:rFonts w:ascii="Times New Roman" w:hAnsi="Times New Roman" w:cs="Times New Roman"/>
          <w:lang w:val="en-GB"/>
        </w:rPr>
        <w:t xml:space="preserve">the </w:t>
      </w:r>
      <w:r w:rsidR="00346FCC" w:rsidRPr="007E3A51">
        <w:rPr>
          <w:rFonts w:ascii="Times New Roman" w:hAnsi="Times New Roman" w:cs="Times New Roman"/>
          <w:lang w:val="en-GB"/>
        </w:rPr>
        <w:t xml:space="preserve">shelling of </w:t>
      </w:r>
      <w:r w:rsidR="001A40C8" w:rsidRPr="007E3A51">
        <w:rPr>
          <w:rFonts w:ascii="Times New Roman" w:hAnsi="Times New Roman" w:cs="Times New Roman"/>
          <w:lang w:val="en-GB"/>
        </w:rPr>
        <w:t>agricultural regions</w:t>
      </w:r>
      <w:r w:rsidR="008C7E64" w:rsidRPr="007E3A51">
        <w:rPr>
          <w:rFonts w:ascii="Times New Roman" w:hAnsi="Times New Roman" w:cs="Times New Roman"/>
          <w:lang w:val="en-GB"/>
        </w:rPr>
        <w:t>,</w:t>
      </w:r>
      <w:r w:rsidR="00346FCC" w:rsidRPr="007E3A51">
        <w:rPr>
          <w:rFonts w:ascii="Times New Roman" w:hAnsi="Times New Roman" w:cs="Times New Roman"/>
          <w:lang w:val="en-GB"/>
        </w:rPr>
        <w:t xml:space="preserve"> and migration processes. </w:t>
      </w:r>
      <w:r w:rsidR="007E775C" w:rsidRPr="007E3A51">
        <w:rPr>
          <w:rFonts w:ascii="Times New Roman" w:hAnsi="Times New Roman" w:cs="Times New Roman"/>
          <w:lang w:val="en-GB"/>
        </w:rPr>
        <w:t>This import</w:t>
      </w:r>
      <w:r w:rsidR="005369B2" w:rsidRPr="007E3A51">
        <w:rPr>
          <w:rFonts w:ascii="Times New Roman" w:hAnsi="Times New Roman" w:cs="Times New Roman"/>
          <w:lang w:val="en-GB"/>
        </w:rPr>
        <w:t xml:space="preserve"> </w:t>
      </w:r>
      <w:r w:rsidR="007E775C" w:rsidRPr="007E3A51">
        <w:rPr>
          <w:rFonts w:ascii="Times New Roman" w:hAnsi="Times New Roman" w:cs="Times New Roman"/>
          <w:lang w:val="en-GB"/>
        </w:rPr>
        <w:t>depend</w:t>
      </w:r>
      <w:r w:rsidR="000F6968" w:rsidRPr="007E3A51">
        <w:rPr>
          <w:rFonts w:ascii="Times New Roman" w:hAnsi="Times New Roman" w:cs="Times New Roman"/>
          <w:lang w:val="en-GB"/>
        </w:rPr>
        <w:t>e</w:t>
      </w:r>
      <w:r w:rsidR="007E775C" w:rsidRPr="007E3A51">
        <w:rPr>
          <w:rFonts w:ascii="Times New Roman" w:hAnsi="Times New Roman" w:cs="Times New Roman"/>
          <w:lang w:val="en-GB"/>
        </w:rPr>
        <w:t xml:space="preserve">nce </w:t>
      </w:r>
      <w:r w:rsidR="0036522F" w:rsidRPr="007E3A51">
        <w:rPr>
          <w:rFonts w:ascii="Times New Roman" w:hAnsi="Times New Roman" w:cs="Times New Roman"/>
          <w:lang w:val="en-GB"/>
        </w:rPr>
        <w:t>may</w:t>
      </w:r>
      <w:r w:rsidR="007E775C" w:rsidRPr="007E3A51">
        <w:rPr>
          <w:rFonts w:ascii="Times New Roman" w:hAnsi="Times New Roman" w:cs="Times New Roman"/>
          <w:lang w:val="en-GB"/>
        </w:rPr>
        <w:t xml:space="preserve"> play </w:t>
      </w:r>
      <w:r w:rsidR="005369B2" w:rsidRPr="007E3A51">
        <w:rPr>
          <w:rFonts w:ascii="Times New Roman" w:hAnsi="Times New Roman" w:cs="Times New Roman"/>
          <w:lang w:val="en-GB"/>
        </w:rPr>
        <w:t xml:space="preserve">a </w:t>
      </w:r>
      <w:r w:rsidR="007E775C" w:rsidRPr="007E3A51">
        <w:rPr>
          <w:rFonts w:ascii="Times New Roman" w:hAnsi="Times New Roman" w:cs="Times New Roman"/>
          <w:lang w:val="en-GB"/>
        </w:rPr>
        <w:t>negative role in ensuring food security</w:t>
      </w:r>
      <w:r w:rsidR="00A26436" w:rsidRPr="007E3A51">
        <w:rPr>
          <w:rFonts w:ascii="Times New Roman" w:hAnsi="Times New Roman" w:cs="Times New Roman"/>
          <w:lang w:val="en-GB"/>
        </w:rPr>
        <w:t>, which</w:t>
      </w:r>
      <w:r w:rsidR="007E775C" w:rsidRPr="007E3A51">
        <w:rPr>
          <w:rFonts w:ascii="Times New Roman" w:hAnsi="Times New Roman" w:cs="Times New Roman"/>
          <w:lang w:val="en-GB"/>
        </w:rPr>
        <w:t xml:space="preserve"> </w:t>
      </w:r>
      <w:r w:rsidR="005369B2" w:rsidRPr="007E3A51">
        <w:rPr>
          <w:rFonts w:ascii="Times New Roman" w:hAnsi="Times New Roman" w:cs="Times New Roman"/>
          <w:lang w:val="en-GB"/>
        </w:rPr>
        <w:t>re</w:t>
      </w:r>
      <w:r w:rsidR="00500D6B" w:rsidRPr="007E3A51">
        <w:rPr>
          <w:rFonts w:ascii="Times New Roman" w:hAnsi="Times New Roman" w:cs="Times New Roman"/>
          <w:lang w:val="en-GB"/>
        </w:rPr>
        <w:t xml:space="preserve">quires </w:t>
      </w:r>
      <w:r w:rsidR="00A26436" w:rsidRPr="007E3A51">
        <w:rPr>
          <w:rFonts w:ascii="Times New Roman" w:hAnsi="Times New Roman" w:cs="Times New Roman"/>
          <w:lang w:val="en-GB"/>
        </w:rPr>
        <w:t xml:space="preserve">the </w:t>
      </w:r>
      <w:r w:rsidR="00500D6B" w:rsidRPr="007E3A51">
        <w:rPr>
          <w:rFonts w:ascii="Times New Roman" w:hAnsi="Times New Roman" w:cs="Times New Roman"/>
          <w:lang w:val="en-GB"/>
        </w:rPr>
        <w:t>develop</w:t>
      </w:r>
      <w:r w:rsidR="00A26436" w:rsidRPr="007E3A51">
        <w:rPr>
          <w:rFonts w:ascii="Times New Roman" w:hAnsi="Times New Roman" w:cs="Times New Roman"/>
          <w:lang w:val="en-GB"/>
        </w:rPr>
        <w:t>ment</w:t>
      </w:r>
      <w:r w:rsidR="00500D6B" w:rsidRPr="007E3A51">
        <w:rPr>
          <w:rFonts w:ascii="Times New Roman" w:hAnsi="Times New Roman" w:cs="Times New Roman"/>
          <w:lang w:val="en-GB"/>
        </w:rPr>
        <w:t xml:space="preserve"> of </w:t>
      </w:r>
      <w:r w:rsidR="00A501CE" w:rsidRPr="007E3A51">
        <w:rPr>
          <w:rFonts w:ascii="Times New Roman" w:hAnsi="Times New Roman" w:cs="Times New Roman"/>
          <w:lang w:val="en-GB"/>
        </w:rPr>
        <w:t>an</w:t>
      </w:r>
      <w:r w:rsidR="00500D6B" w:rsidRPr="007E3A51">
        <w:rPr>
          <w:rFonts w:ascii="Times New Roman" w:hAnsi="Times New Roman" w:cs="Times New Roman"/>
          <w:lang w:val="en-GB"/>
        </w:rPr>
        <w:t xml:space="preserve"> agrarian policy that takes into account this point of view and understand</w:t>
      </w:r>
      <w:r w:rsidR="00975228" w:rsidRPr="007E3A51">
        <w:rPr>
          <w:rFonts w:ascii="Times New Roman" w:hAnsi="Times New Roman" w:cs="Times New Roman"/>
          <w:lang w:val="en-GB"/>
        </w:rPr>
        <w:t>s</w:t>
      </w:r>
      <w:r w:rsidR="00500D6B" w:rsidRPr="007E3A51">
        <w:rPr>
          <w:rFonts w:ascii="Times New Roman" w:hAnsi="Times New Roman" w:cs="Times New Roman"/>
          <w:lang w:val="en-GB"/>
        </w:rPr>
        <w:t xml:space="preserve"> the necessity to ensure domestic availability as a high priority for our state</w:t>
      </w:r>
      <w:r w:rsidR="000E5956" w:rsidRPr="007E3A51">
        <w:rPr>
          <w:rFonts w:ascii="Times New Roman" w:hAnsi="Times New Roman" w:cs="Times New Roman"/>
          <w:lang w:val="en-GB"/>
        </w:rPr>
        <w:t xml:space="preserve"> (</w:t>
      </w:r>
      <w:r w:rsidR="000E5956" w:rsidRPr="007E3A51">
        <w:rPr>
          <w:rFonts w:ascii="Times New Roman" w:hAnsi="Times New Roman" w:cs="Times New Roman"/>
          <w:bCs/>
          <w:lang w:val="en-GB"/>
        </w:rPr>
        <w:t>Misiuk et al. 2023</w:t>
      </w:r>
      <w:r w:rsidR="000E5956" w:rsidRPr="007E3A51">
        <w:rPr>
          <w:rFonts w:ascii="Times New Roman" w:hAnsi="Times New Roman" w:cs="Times New Roman"/>
          <w:lang w:val="en-GB"/>
        </w:rPr>
        <w:t>)</w:t>
      </w:r>
      <w:r w:rsidR="00500D6B" w:rsidRPr="007E3A51">
        <w:rPr>
          <w:rFonts w:ascii="Times New Roman" w:hAnsi="Times New Roman" w:cs="Times New Roman"/>
          <w:lang w:val="en-GB"/>
        </w:rPr>
        <w:t xml:space="preserve">. </w:t>
      </w:r>
    </w:p>
    <w:p w14:paraId="190D5688" w14:textId="43AD37E6" w:rsidR="0044738D" w:rsidRPr="007E3A51" w:rsidRDefault="0044738D" w:rsidP="00417DD6">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To fully disclose the topic, </w:t>
      </w:r>
      <w:r w:rsidR="00041CBC" w:rsidRPr="007E3A51">
        <w:rPr>
          <w:rFonts w:ascii="Times New Roman" w:hAnsi="Times New Roman" w:cs="Times New Roman"/>
          <w:lang w:val="en-GB"/>
        </w:rPr>
        <w:t>we turn</w:t>
      </w:r>
      <w:r w:rsidRPr="007E3A51">
        <w:rPr>
          <w:rFonts w:ascii="Times New Roman" w:hAnsi="Times New Roman" w:cs="Times New Roman"/>
          <w:lang w:val="en-GB"/>
        </w:rPr>
        <w:t xml:space="preserve"> to the analysis of the inclusivity </w:t>
      </w:r>
      <w:r w:rsidR="00FB67FC" w:rsidRPr="007E3A51">
        <w:rPr>
          <w:rFonts w:ascii="Times New Roman" w:hAnsi="Times New Roman" w:cs="Times New Roman"/>
          <w:lang w:val="en-GB"/>
        </w:rPr>
        <w:t>in</w:t>
      </w:r>
      <w:r w:rsidRPr="007E3A51">
        <w:rPr>
          <w:rFonts w:ascii="Times New Roman" w:hAnsi="Times New Roman" w:cs="Times New Roman"/>
          <w:lang w:val="en-GB"/>
        </w:rPr>
        <w:t xml:space="preserve"> the agri-food sector, which </w:t>
      </w:r>
      <w:r w:rsidR="000040FA" w:rsidRPr="007E3A51">
        <w:rPr>
          <w:rFonts w:ascii="Times New Roman" w:hAnsi="Times New Roman" w:cs="Times New Roman"/>
          <w:lang w:val="en-GB"/>
        </w:rPr>
        <w:t>is essential for</w:t>
      </w:r>
      <w:r w:rsidRPr="007E3A51">
        <w:rPr>
          <w:rFonts w:ascii="Times New Roman" w:hAnsi="Times New Roman" w:cs="Times New Roman"/>
          <w:lang w:val="en-GB"/>
        </w:rPr>
        <w:t xml:space="preserve"> achieving food security and balanced development of the economy of Ukraine. One of the </w:t>
      </w:r>
      <w:r w:rsidR="00A150C8" w:rsidRPr="007E3A51">
        <w:rPr>
          <w:rFonts w:ascii="Times New Roman" w:hAnsi="Times New Roman" w:cs="Times New Roman"/>
          <w:lang w:val="en-GB"/>
        </w:rPr>
        <w:t>criteria</w:t>
      </w:r>
      <w:r w:rsidRPr="007E3A51">
        <w:rPr>
          <w:rFonts w:ascii="Times New Roman" w:hAnsi="Times New Roman" w:cs="Times New Roman"/>
          <w:lang w:val="en-GB"/>
        </w:rPr>
        <w:t xml:space="preserve"> </w:t>
      </w:r>
      <w:r w:rsidR="00BF63C7" w:rsidRPr="007E3A51">
        <w:rPr>
          <w:rFonts w:ascii="Times New Roman" w:hAnsi="Times New Roman" w:cs="Times New Roman"/>
          <w:lang w:val="en-GB"/>
        </w:rPr>
        <w:t>of</w:t>
      </w:r>
      <w:r w:rsidRPr="007E3A51">
        <w:rPr>
          <w:rFonts w:ascii="Times New Roman" w:hAnsi="Times New Roman" w:cs="Times New Roman"/>
          <w:lang w:val="en-GB"/>
        </w:rPr>
        <w:t xml:space="preserve"> inclusivity is the inclusion of SMEs</w:t>
      </w:r>
      <w:r w:rsidR="00D57148" w:rsidRPr="007E3A51">
        <w:rPr>
          <w:rFonts w:ascii="Times New Roman" w:hAnsi="Times New Roman" w:cs="Times New Roman"/>
          <w:lang w:val="en-GB"/>
        </w:rPr>
        <w:t>.</w:t>
      </w:r>
      <w:r w:rsidR="00100822" w:rsidRPr="007E3A51">
        <w:rPr>
          <w:rFonts w:ascii="Times New Roman" w:hAnsi="Times New Roman" w:cs="Times New Roman"/>
          <w:lang w:val="en-GB"/>
        </w:rPr>
        <w:t xml:space="preserve"> In 2022</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small enterprises accounted for 18.77% of the total number of enterprises </w:t>
      </w:r>
      <w:r w:rsidR="00100822" w:rsidRPr="007E3A51">
        <w:rPr>
          <w:rFonts w:ascii="Times New Roman" w:hAnsi="Times New Roman" w:cs="Times New Roman"/>
          <w:lang w:val="en-GB"/>
        </w:rPr>
        <w:t>in the agricultural sector</w:t>
      </w:r>
      <w:r w:rsidRPr="007E3A51">
        <w:rPr>
          <w:rFonts w:ascii="Times New Roman" w:hAnsi="Times New Roman" w:cs="Times New Roman"/>
          <w:lang w:val="en-GB"/>
        </w:rPr>
        <w:t xml:space="preserve">. </w:t>
      </w:r>
      <w:r w:rsidR="0003719E" w:rsidRPr="007E3A51">
        <w:rPr>
          <w:rFonts w:ascii="Times New Roman" w:hAnsi="Times New Roman" w:cs="Times New Roman"/>
          <w:lang w:val="en-GB"/>
        </w:rPr>
        <w:t>Furthermore, t</w:t>
      </w:r>
      <w:r w:rsidRPr="007E3A51">
        <w:rPr>
          <w:rFonts w:ascii="Times New Roman" w:hAnsi="Times New Roman" w:cs="Times New Roman"/>
          <w:lang w:val="en-GB"/>
        </w:rPr>
        <w:t>hey provided 25.1% of employment. The volume of sales of these enterprises amounted to 33.6% of the total volume. Medium-sized enterprises provided 45.7% of the volume of sales of products. All this indicates a significant contribution of this sector to the country's food security (</w:t>
      </w:r>
      <w:proofErr w:type="spellStart"/>
      <w:r w:rsidRPr="007E3A51">
        <w:rPr>
          <w:rFonts w:ascii="Times New Roman" w:hAnsi="Times New Roman" w:cs="Times New Roman"/>
          <w:lang w:val="en-GB"/>
        </w:rPr>
        <w:t>Kovbasa</w:t>
      </w:r>
      <w:proofErr w:type="spellEnd"/>
      <w:r w:rsidR="00452066" w:rsidRPr="007E3A51">
        <w:rPr>
          <w:rFonts w:ascii="Times New Roman" w:hAnsi="Times New Roman" w:cs="Times New Roman"/>
          <w:lang w:val="en-GB"/>
        </w:rPr>
        <w:t xml:space="preserve"> </w:t>
      </w:r>
      <w:r w:rsidR="000315B0" w:rsidRPr="007E3A51">
        <w:rPr>
          <w:rFonts w:ascii="Times New Roman" w:hAnsi="Times New Roman" w:cs="Times New Roman"/>
          <w:lang w:val="en-GB"/>
        </w:rPr>
        <w:t xml:space="preserve">and </w:t>
      </w:r>
      <w:proofErr w:type="spellStart"/>
      <w:r w:rsidR="000315B0" w:rsidRPr="007E3A51">
        <w:rPr>
          <w:rFonts w:ascii="Times New Roman" w:hAnsi="Times New Roman" w:cs="Times New Roman"/>
          <w:lang w:val="en-GB"/>
        </w:rPr>
        <w:t>Maksychka</w:t>
      </w:r>
      <w:proofErr w:type="spellEnd"/>
      <w:r w:rsidRPr="007E3A51">
        <w:rPr>
          <w:rFonts w:ascii="Times New Roman" w:hAnsi="Times New Roman" w:cs="Times New Roman"/>
          <w:lang w:val="en-GB"/>
        </w:rPr>
        <w:t xml:space="preserve"> 2024).</w:t>
      </w:r>
    </w:p>
    <w:p w14:paraId="2FBD5C06" w14:textId="084B1A67" w:rsidR="0044738D" w:rsidRPr="007E3A51" w:rsidRDefault="0044738D" w:rsidP="00417DD6">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Due to the war, there are no new statistical data on Ukraine related to the topic of inclusivity research, and the data of world organizations are inaccurate and of an expert nature, </w:t>
      </w:r>
      <w:r w:rsidR="005369B2" w:rsidRPr="007E3A51">
        <w:rPr>
          <w:rFonts w:ascii="Times New Roman" w:hAnsi="Times New Roman" w:cs="Times New Roman"/>
          <w:lang w:val="en-GB"/>
        </w:rPr>
        <w:t>which</w:t>
      </w:r>
      <w:r w:rsidRPr="007E3A51">
        <w:rPr>
          <w:rFonts w:ascii="Times New Roman" w:hAnsi="Times New Roman" w:cs="Times New Roman"/>
          <w:lang w:val="en-GB"/>
        </w:rPr>
        <w:t xml:space="preserve"> is also </w:t>
      </w:r>
      <w:r w:rsidR="007A240F" w:rsidRPr="007E3A51">
        <w:rPr>
          <w:rFonts w:ascii="Times New Roman" w:hAnsi="Times New Roman" w:cs="Times New Roman"/>
          <w:lang w:val="en-GB"/>
        </w:rPr>
        <w:t>a consequence</w:t>
      </w:r>
      <w:r w:rsidRPr="007E3A51">
        <w:rPr>
          <w:rFonts w:ascii="Times New Roman" w:hAnsi="Times New Roman" w:cs="Times New Roman"/>
          <w:lang w:val="en-GB"/>
        </w:rPr>
        <w:t xml:space="preserve"> </w:t>
      </w:r>
      <w:r w:rsidR="007A240F" w:rsidRPr="007E3A51">
        <w:rPr>
          <w:rFonts w:ascii="Times New Roman" w:hAnsi="Times New Roman" w:cs="Times New Roman"/>
          <w:lang w:val="en-GB"/>
        </w:rPr>
        <w:t>of</w:t>
      </w:r>
      <w:r w:rsidRPr="007E3A51">
        <w:rPr>
          <w:rFonts w:ascii="Times New Roman" w:hAnsi="Times New Roman" w:cs="Times New Roman"/>
          <w:lang w:val="en-GB"/>
        </w:rPr>
        <w:t xml:space="preserve"> the war. If we characterize </w:t>
      </w:r>
      <w:r w:rsidR="00F45BB8" w:rsidRPr="007E3A51">
        <w:rPr>
          <w:rFonts w:ascii="Times New Roman" w:hAnsi="Times New Roman" w:cs="Times New Roman"/>
          <w:lang w:val="en-GB"/>
        </w:rPr>
        <w:t>women</w:t>
      </w:r>
      <w:r w:rsidR="005369B2" w:rsidRPr="007E3A51">
        <w:rPr>
          <w:rFonts w:ascii="Times New Roman" w:hAnsi="Times New Roman" w:cs="Times New Roman"/>
          <w:lang w:val="en-GB"/>
        </w:rPr>
        <w:t>'s</w:t>
      </w:r>
      <w:r w:rsidR="00F45BB8" w:rsidRPr="007E3A51">
        <w:rPr>
          <w:rFonts w:ascii="Times New Roman" w:hAnsi="Times New Roman" w:cs="Times New Roman"/>
          <w:lang w:val="en-GB"/>
        </w:rPr>
        <w:t xml:space="preserve"> </w:t>
      </w:r>
      <w:r w:rsidRPr="007E3A51">
        <w:rPr>
          <w:rFonts w:ascii="Times New Roman" w:hAnsi="Times New Roman" w:cs="Times New Roman"/>
          <w:lang w:val="en-GB"/>
        </w:rPr>
        <w:t xml:space="preserve">employment in agriculture, we can </w:t>
      </w:r>
      <w:r w:rsidR="00A24250" w:rsidRPr="007E3A51">
        <w:rPr>
          <w:rFonts w:ascii="Times New Roman" w:hAnsi="Times New Roman" w:cs="Times New Roman"/>
          <w:lang w:val="en-GB"/>
        </w:rPr>
        <w:t>present</w:t>
      </w:r>
      <w:r w:rsidRPr="007E3A51">
        <w:rPr>
          <w:rFonts w:ascii="Times New Roman" w:hAnsi="Times New Roman" w:cs="Times New Roman"/>
          <w:lang w:val="en-GB"/>
        </w:rPr>
        <w:t xml:space="preserve"> data that at the beginning of 2021, 20.8% of farms were headed by women, and according to 2024, the share of organic farms headed by women was 27% (</w:t>
      </w:r>
      <w:proofErr w:type="spellStart"/>
      <w:r w:rsidR="003C294B" w:rsidRPr="007E3A51">
        <w:rPr>
          <w:rFonts w:ascii="Times New Roman" w:hAnsi="Times New Roman" w:cs="Times New Roman"/>
          <w:lang w:val="en-GB"/>
        </w:rPr>
        <w:t>Deineko</w:t>
      </w:r>
      <w:proofErr w:type="spellEnd"/>
      <w:r w:rsidR="003C294B" w:rsidRPr="007E3A51">
        <w:rPr>
          <w:rFonts w:ascii="Times New Roman" w:hAnsi="Times New Roman" w:cs="Times New Roman"/>
          <w:lang w:val="en-GB"/>
        </w:rPr>
        <w:t xml:space="preserve"> and Shor</w:t>
      </w:r>
      <w:r w:rsidRPr="007E3A51">
        <w:rPr>
          <w:rFonts w:ascii="Times New Roman" w:hAnsi="Times New Roman" w:cs="Times New Roman"/>
          <w:lang w:val="en-GB"/>
        </w:rPr>
        <w:t xml:space="preserve"> 2024).</w:t>
      </w:r>
    </w:p>
    <w:p w14:paraId="06CFCE20" w14:textId="047A656B" w:rsidR="00A44F2A" w:rsidRPr="007E3A51" w:rsidRDefault="0044738D" w:rsidP="00417DD6">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Figure 5 presents statistics on the employed female population </w:t>
      </w:r>
      <w:r w:rsidR="00704EC6" w:rsidRPr="007E3A51">
        <w:rPr>
          <w:rFonts w:ascii="Times New Roman" w:hAnsi="Times New Roman" w:cs="Times New Roman"/>
          <w:lang w:val="en-GB"/>
        </w:rPr>
        <w:t xml:space="preserve">in Ukraine </w:t>
      </w:r>
      <w:r w:rsidRPr="007E3A51">
        <w:rPr>
          <w:rFonts w:ascii="Times New Roman" w:hAnsi="Times New Roman" w:cs="Times New Roman"/>
          <w:lang w:val="en-GB"/>
        </w:rPr>
        <w:t xml:space="preserve">aged 15-70 by professional group </w:t>
      </w:r>
      <w:r w:rsidR="005369B2" w:rsidRPr="007E3A51">
        <w:rPr>
          <w:rFonts w:ascii="Times New Roman" w:hAnsi="Times New Roman" w:cs="Times New Roman"/>
          <w:lang w:val="en-GB"/>
        </w:rPr>
        <w:t>"</w:t>
      </w:r>
      <w:r w:rsidRPr="007E3A51">
        <w:rPr>
          <w:rFonts w:ascii="Times New Roman" w:hAnsi="Times New Roman" w:cs="Times New Roman"/>
          <w:lang w:val="en-GB"/>
        </w:rPr>
        <w:t>skilled agriculture, forestry, fishery and fish farming workers</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w:t>
      </w:r>
      <w:r w:rsidR="00C05EAF" w:rsidRPr="007E3A51">
        <w:rPr>
          <w:rFonts w:ascii="Times New Roman" w:hAnsi="Times New Roman" w:cs="Times New Roman"/>
          <w:lang w:val="en-GB"/>
        </w:rPr>
        <w:t>for</w:t>
      </w:r>
      <w:r w:rsidRPr="007E3A51">
        <w:rPr>
          <w:rFonts w:ascii="Times New Roman" w:hAnsi="Times New Roman" w:cs="Times New Roman"/>
          <w:lang w:val="en-GB"/>
        </w:rPr>
        <w:t xml:space="preserve"> the period 2010-2021.</w:t>
      </w:r>
    </w:p>
    <w:p w14:paraId="71C75EE2" w14:textId="77777777" w:rsidR="00417DD6" w:rsidRPr="007E3A51" w:rsidRDefault="00417DD6" w:rsidP="00417DD6">
      <w:pPr>
        <w:spacing w:after="0" w:line="240" w:lineRule="auto"/>
        <w:ind w:firstLine="284"/>
        <w:jc w:val="both"/>
        <w:rPr>
          <w:rFonts w:ascii="Times New Roman" w:hAnsi="Times New Roman" w:cs="Times New Roman"/>
          <w:lang w:val="en-GB"/>
        </w:rPr>
      </w:pPr>
    </w:p>
    <w:p w14:paraId="65D7F0FA" w14:textId="2C898DB7" w:rsidR="0044738D" w:rsidRPr="007E3A51" w:rsidRDefault="00DD3B71" w:rsidP="00D023BF">
      <w:pPr>
        <w:spacing w:after="0" w:line="240" w:lineRule="auto"/>
        <w:jc w:val="both"/>
        <w:rPr>
          <w:rFonts w:ascii="Times New Roman" w:hAnsi="Times New Roman" w:cs="Times New Roman"/>
          <w:noProof/>
          <w:sz w:val="18"/>
          <w:szCs w:val="18"/>
          <w:lang w:val="en-GB"/>
          <w14:ligatures w14:val="standardContextual"/>
        </w:rPr>
      </w:pPr>
      <w:r w:rsidRPr="007E3A51">
        <w:rPr>
          <w:rFonts w:ascii="Times New Roman" w:hAnsi="Times New Roman" w:cs="Times New Roman"/>
          <w:noProof/>
          <w:sz w:val="18"/>
          <w:szCs w:val="18"/>
          <w:lang w:val="en-GB"/>
          <w14:ligatures w14:val="standardContextual"/>
        </w:rPr>
        <w:drawing>
          <wp:inline distT="0" distB="0" distL="0" distR="0" wp14:anchorId="17F5EE5D" wp14:editId="784F8383">
            <wp:extent cx="6120130" cy="3261360"/>
            <wp:effectExtent l="0" t="0" r="13970" b="15240"/>
            <wp:docPr id="345393821" name="Chart 1">
              <a:extLst xmlns:a="http://schemas.openxmlformats.org/drawingml/2006/main">
                <a:ext uri="{FF2B5EF4-FFF2-40B4-BE49-F238E27FC236}">
                  <a16:creationId xmlns:a16="http://schemas.microsoft.com/office/drawing/2014/main" id="{F0FC0240-756E-B350-0FF3-E97099F4BD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844A2C1" w14:textId="480DA282" w:rsidR="0044738D" w:rsidRPr="007E3A51" w:rsidRDefault="0044738D" w:rsidP="00F80E61">
      <w:pPr>
        <w:pStyle w:val="Rrys"/>
        <w:rPr>
          <w:lang w:val="en-GB"/>
        </w:rPr>
      </w:pPr>
      <w:r w:rsidRPr="007E3A51">
        <w:rPr>
          <w:b/>
          <w:bCs/>
          <w:lang w:val="en-GB"/>
        </w:rPr>
        <w:t>Fig</w:t>
      </w:r>
      <w:r w:rsidR="00A44F2A" w:rsidRPr="007E3A51">
        <w:rPr>
          <w:b/>
          <w:bCs/>
          <w:lang w:val="en-GB"/>
        </w:rPr>
        <w:t>.</w:t>
      </w:r>
      <w:r w:rsidRPr="007E3A51">
        <w:rPr>
          <w:b/>
          <w:bCs/>
          <w:lang w:val="en-GB"/>
        </w:rPr>
        <w:t xml:space="preserve"> 5.</w:t>
      </w:r>
      <w:r w:rsidRPr="007E3A51">
        <w:rPr>
          <w:lang w:val="en-GB"/>
        </w:rPr>
        <w:t xml:space="preserve"> Share of the population employed in agriculture by gender in Ukraine, 2010-2021</w:t>
      </w:r>
    </w:p>
    <w:p w14:paraId="6C248A39" w14:textId="77777777" w:rsidR="0044738D" w:rsidRPr="007E3A51" w:rsidRDefault="0044738D" w:rsidP="00F80E61">
      <w:pPr>
        <w:pStyle w:val="Rrys"/>
        <w:spacing w:before="60"/>
        <w:rPr>
          <w:lang w:val="en-GB"/>
        </w:rPr>
      </w:pPr>
      <w:r w:rsidRPr="007E3A51">
        <w:rPr>
          <w:lang w:val="en-GB"/>
        </w:rPr>
        <w:t>Source: calculated by the authors based on statistical data</w:t>
      </w:r>
    </w:p>
    <w:p w14:paraId="2E509BE1" w14:textId="77777777" w:rsidR="00F80E61" w:rsidRPr="007E3A51" w:rsidRDefault="00F80E61" w:rsidP="00417DD6">
      <w:pPr>
        <w:spacing w:after="0" w:line="240" w:lineRule="auto"/>
        <w:ind w:firstLine="284"/>
        <w:jc w:val="both"/>
        <w:rPr>
          <w:rFonts w:ascii="Times New Roman" w:hAnsi="Times New Roman" w:cs="Times New Roman"/>
          <w:lang w:val="en-GB"/>
        </w:rPr>
      </w:pPr>
    </w:p>
    <w:p w14:paraId="6908B032" w14:textId="39BF0501" w:rsidR="00D1483F" w:rsidRPr="007E3A51" w:rsidRDefault="0044738D" w:rsidP="00417DD6">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This figure </w:t>
      </w:r>
      <w:r w:rsidR="00101887" w:rsidRPr="007E3A51">
        <w:rPr>
          <w:rFonts w:ascii="Times New Roman" w:hAnsi="Times New Roman" w:cs="Times New Roman"/>
          <w:lang w:val="en-GB"/>
        </w:rPr>
        <w:t>illustrates</w:t>
      </w:r>
      <w:r w:rsidRPr="007E3A51">
        <w:rPr>
          <w:rFonts w:ascii="Times New Roman" w:hAnsi="Times New Roman" w:cs="Times New Roman"/>
          <w:lang w:val="en-GB"/>
        </w:rPr>
        <w:t xml:space="preserve"> the dynamics of change</w:t>
      </w:r>
      <w:r w:rsidR="003066AE" w:rsidRPr="007E3A51">
        <w:rPr>
          <w:rFonts w:ascii="Times New Roman" w:hAnsi="Times New Roman" w:cs="Times New Roman"/>
          <w:lang w:val="en-GB"/>
        </w:rPr>
        <w:t>s</w:t>
      </w:r>
      <w:r w:rsidRPr="007E3A51">
        <w:rPr>
          <w:rFonts w:ascii="Times New Roman" w:hAnsi="Times New Roman" w:cs="Times New Roman"/>
          <w:lang w:val="en-GB"/>
        </w:rPr>
        <w:t xml:space="preserve"> in the share of the population employed in agriculture, which the State Statistics Service of Ukraine classifies in the professional group </w:t>
      </w:r>
      <w:r w:rsidR="005369B2" w:rsidRPr="007E3A51">
        <w:rPr>
          <w:rFonts w:ascii="Times New Roman" w:hAnsi="Times New Roman" w:cs="Times New Roman"/>
          <w:lang w:val="en-GB"/>
        </w:rPr>
        <w:t>"</w:t>
      </w:r>
      <w:r w:rsidRPr="007E3A51">
        <w:rPr>
          <w:rFonts w:ascii="Times New Roman" w:hAnsi="Times New Roman" w:cs="Times New Roman"/>
          <w:lang w:val="en-GB"/>
        </w:rPr>
        <w:t>skilled workers in agriculture and forestry, fish farming and fishing</w:t>
      </w:r>
      <w:r w:rsidR="005369B2" w:rsidRPr="007E3A51">
        <w:rPr>
          <w:rFonts w:ascii="Times New Roman" w:hAnsi="Times New Roman" w:cs="Times New Roman"/>
          <w:lang w:val="en-GB"/>
        </w:rPr>
        <w:t>"</w:t>
      </w:r>
      <w:r w:rsidRPr="007E3A51">
        <w:rPr>
          <w:rFonts w:ascii="Times New Roman" w:hAnsi="Times New Roman" w:cs="Times New Roman"/>
          <w:lang w:val="en-GB"/>
        </w:rPr>
        <w:t>. As can be seen, the dynamics of the share of the female population in agriculture until 2020 w</w:t>
      </w:r>
      <w:r w:rsidR="005369B2" w:rsidRPr="007E3A51">
        <w:rPr>
          <w:rFonts w:ascii="Times New Roman" w:hAnsi="Times New Roman" w:cs="Times New Roman"/>
          <w:lang w:val="en-GB"/>
        </w:rPr>
        <w:t>ere</w:t>
      </w:r>
      <w:r w:rsidRPr="007E3A51">
        <w:rPr>
          <w:rFonts w:ascii="Times New Roman" w:hAnsi="Times New Roman" w:cs="Times New Roman"/>
          <w:lang w:val="en-GB"/>
        </w:rPr>
        <w:t xml:space="preserve"> lower than that of the male</w:t>
      </w:r>
      <w:r w:rsidR="005369B2" w:rsidRPr="007E3A51">
        <w:rPr>
          <w:rFonts w:ascii="Times New Roman" w:hAnsi="Times New Roman" w:cs="Times New Roman"/>
          <w:lang w:val="en-GB"/>
        </w:rPr>
        <w:t xml:space="preserve"> population</w:t>
      </w:r>
      <w:r w:rsidRPr="007E3A51">
        <w:rPr>
          <w:rFonts w:ascii="Times New Roman" w:hAnsi="Times New Roman" w:cs="Times New Roman"/>
          <w:lang w:val="en-GB"/>
        </w:rPr>
        <w:t xml:space="preserve">. In 2020, the share of the female population employed in agriculture in the employed female population in general changed </w:t>
      </w:r>
      <w:r w:rsidR="005D2289" w:rsidRPr="007E3A51">
        <w:rPr>
          <w:rFonts w:ascii="Times New Roman" w:hAnsi="Times New Roman" w:cs="Times New Roman"/>
          <w:lang w:val="en-GB"/>
        </w:rPr>
        <w:t>–</w:t>
      </w:r>
      <w:r w:rsidRPr="007E3A51">
        <w:rPr>
          <w:rFonts w:ascii="Times New Roman" w:hAnsi="Times New Roman" w:cs="Times New Roman"/>
          <w:lang w:val="en-GB"/>
        </w:rPr>
        <w:t xml:space="preserve"> it began to exceed the share </w:t>
      </w:r>
      <w:r w:rsidRPr="007E3A51">
        <w:rPr>
          <w:rFonts w:ascii="Times New Roman" w:hAnsi="Times New Roman" w:cs="Times New Roman"/>
          <w:lang w:val="en-GB"/>
        </w:rPr>
        <w:lastRenderedPageBreak/>
        <w:t xml:space="preserve">of male employment in this professional group. The share of </w:t>
      </w:r>
      <w:r w:rsidR="005369B2" w:rsidRPr="007E3A51">
        <w:rPr>
          <w:rFonts w:ascii="Times New Roman" w:hAnsi="Times New Roman" w:cs="Times New Roman"/>
          <w:lang w:val="en-GB"/>
        </w:rPr>
        <w:t xml:space="preserve">women's </w:t>
      </w:r>
      <w:r w:rsidRPr="007E3A51">
        <w:rPr>
          <w:rFonts w:ascii="Times New Roman" w:hAnsi="Times New Roman" w:cs="Times New Roman"/>
          <w:lang w:val="en-GB"/>
        </w:rPr>
        <w:t xml:space="preserve">employment in agriculture began to exceed that of men in 2021. Currently, in conditions of war and mobilization of the male population, this trend may continue. </w:t>
      </w:r>
      <w:r w:rsidR="008921A7" w:rsidRPr="007E3A51">
        <w:rPr>
          <w:rFonts w:ascii="Times New Roman" w:hAnsi="Times New Roman" w:cs="Times New Roman"/>
          <w:lang w:val="en-GB"/>
        </w:rPr>
        <w:t xml:space="preserve">For this reason, </w:t>
      </w:r>
      <w:r w:rsidRPr="007E3A51">
        <w:rPr>
          <w:rFonts w:ascii="Times New Roman" w:hAnsi="Times New Roman" w:cs="Times New Roman"/>
          <w:lang w:val="en-GB"/>
        </w:rPr>
        <w:t>a large number of international donors are now providing grants and various support programs specifically to agricultural enterprises managed by women.</w:t>
      </w:r>
      <w:r w:rsidR="00D76915" w:rsidRPr="007E3A51">
        <w:rPr>
          <w:rFonts w:ascii="Times New Roman" w:hAnsi="Times New Roman" w:cs="Times New Roman"/>
          <w:lang w:val="en-GB"/>
        </w:rPr>
        <w:t xml:space="preserve"> </w:t>
      </w:r>
      <w:r w:rsidR="00A100B7" w:rsidRPr="007E3A51">
        <w:rPr>
          <w:rFonts w:ascii="Times New Roman" w:hAnsi="Times New Roman" w:cs="Times New Roman"/>
          <w:lang w:val="en-GB"/>
        </w:rPr>
        <w:t>It is also based on the fact that from the beginning of the full-scale invasion</w:t>
      </w:r>
      <w:r w:rsidR="005369B2" w:rsidRPr="007E3A51">
        <w:rPr>
          <w:rFonts w:ascii="Times New Roman" w:hAnsi="Times New Roman" w:cs="Times New Roman"/>
          <w:lang w:val="en-GB"/>
        </w:rPr>
        <w:t>,</w:t>
      </w:r>
      <w:r w:rsidR="00E8175A" w:rsidRPr="007E3A51">
        <w:rPr>
          <w:rFonts w:ascii="Times New Roman" w:hAnsi="Times New Roman" w:cs="Times New Roman"/>
          <w:lang w:val="en-GB"/>
        </w:rPr>
        <w:t xml:space="preserve"> </w:t>
      </w:r>
      <w:r w:rsidR="00804E08" w:rsidRPr="007E3A51">
        <w:rPr>
          <w:rFonts w:ascii="Times New Roman" w:hAnsi="Times New Roman" w:cs="Times New Roman"/>
          <w:lang w:val="en-GB"/>
        </w:rPr>
        <w:t>there</w:t>
      </w:r>
      <w:r w:rsidR="00E8175A" w:rsidRPr="007E3A51">
        <w:rPr>
          <w:rFonts w:ascii="Times New Roman" w:hAnsi="Times New Roman" w:cs="Times New Roman"/>
          <w:lang w:val="en-GB"/>
        </w:rPr>
        <w:t xml:space="preserve"> is </w:t>
      </w:r>
      <w:r w:rsidR="005369B2" w:rsidRPr="007E3A51">
        <w:rPr>
          <w:rFonts w:ascii="Times New Roman" w:hAnsi="Times New Roman" w:cs="Times New Roman"/>
          <w:lang w:val="en-GB"/>
        </w:rPr>
        <w:t xml:space="preserve">a </w:t>
      </w:r>
      <w:r w:rsidR="00E8175A" w:rsidRPr="007E3A51">
        <w:rPr>
          <w:rFonts w:ascii="Times New Roman" w:hAnsi="Times New Roman" w:cs="Times New Roman"/>
          <w:lang w:val="en-GB"/>
        </w:rPr>
        <w:t xml:space="preserve">loss of agricultural </w:t>
      </w:r>
      <w:proofErr w:type="spellStart"/>
      <w:r w:rsidR="00E8175A" w:rsidRPr="007E3A51">
        <w:rPr>
          <w:rFonts w:ascii="Times New Roman" w:hAnsi="Times New Roman" w:cs="Times New Roman"/>
          <w:lang w:val="en-GB"/>
        </w:rPr>
        <w:t>labor</w:t>
      </w:r>
      <w:proofErr w:type="spellEnd"/>
      <w:r w:rsidR="00E8175A" w:rsidRPr="007E3A51">
        <w:rPr>
          <w:rFonts w:ascii="Times New Roman" w:hAnsi="Times New Roman" w:cs="Times New Roman"/>
          <w:lang w:val="en-GB"/>
        </w:rPr>
        <w:t xml:space="preserve">. </w:t>
      </w:r>
      <w:r w:rsidR="000704CC" w:rsidRPr="007E3A51">
        <w:rPr>
          <w:rFonts w:ascii="Times New Roman" w:hAnsi="Times New Roman" w:cs="Times New Roman"/>
          <w:lang w:val="en-GB"/>
        </w:rPr>
        <w:t>These losses are consequences of various reason</w:t>
      </w:r>
      <w:r w:rsidR="005369B2" w:rsidRPr="007E3A51">
        <w:rPr>
          <w:rFonts w:ascii="Times New Roman" w:hAnsi="Times New Roman" w:cs="Times New Roman"/>
          <w:lang w:val="en-GB"/>
        </w:rPr>
        <w:t>s</w:t>
      </w:r>
      <w:r w:rsidR="000704CC" w:rsidRPr="007E3A51">
        <w:rPr>
          <w:rFonts w:ascii="Times New Roman" w:hAnsi="Times New Roman" w:cs="Times New Roman"/>
          <w:lang w:val="en-GB"/>
        </w:rPr>
        <w:t xml:space="preserve">, as internal or external migration, as well as </w:t>
      </w:r>
      <w:r w:rsidR="005369B2" w:rsidRPr="007E3A51">
        <w:rPr>
          <w:rFonts w:ascii="Times New Roman" w:hAnsi="Times New Roman" w:cs="Times New Roman"/>
          <w:lang w:val="en-GB"/>
        </w:rPr>
        <w:t xml:space="preserve">the </w:t>
      </w:r>
      <w:r w:rsidR="0046756D" w:rsidRPr="007E3A51">
        <w:rPr>
          <w:rFonts w:ascii="Times New Roman" w:hAnsi="Times New Roman" w:cs="Times New Roman"/>
          <w:lang w:val="en-GB"/>
        </w:rPr>
        <w:t xml:space="preserve">mobilization </w:t>
      </w:r>
      <w:r w:rsidR="00B8292A" w:rsidRPr="007E3A51">
        <w:rPr>
          <w:rFonts w:ascii="Times New Roman" w:hAnsi="Times New Roman" w:cs="Times New Roman"/>
          <w:lang w:val="en-GB"/>
        </w:rPr>
        <w:t>of population into the Armed Forces of Ukraine</w:t>
      </w:r>
      <w:r w:rsidR="005369B2" w:rsidRPr="007E3A51">
        <w:rPr>
          <w:rFonts w:ascii="Times New Roman" w:hAnsi="Times New Roman" w:cs="Times New Roman"/>
          <w:lang w:val="en-GB"/>
        </w:rPr>
        <w:t>,</w:t>
      </w:r>
      <w:r w:rsidR="00B8292A" w:rsidRPr="007E3A51">
        <w:rPr>
          <w:rFonts w:ascii="Times New Roman" w:hAnsi="Times New Roman" w:cs="Times New Roman"/>
          <w:lang w:val="en-GB"/>
        </w:rPr>
        <w:t xml:space="preserve"> etc.</w:t>
      </w:r>
      <w:r w:rsidR="00692C0E" w:rsidRPr="007E3A51">
        <w:rPr>
          <w:rFonts w:ascii="Times New Roman" w:hAnsi="Times New Roman" w:cs="Times New Roman"/>
          <w:lang w:val="en-GB"/>
        </w:rPr>
        <w:t xml:space="preserve"> </w:t>
      </w:r>
      <w:r w:rsidR="003906EA" w:rsidRPr="007E3A51">
        <w:rPr>
          <w:rFonts w:ascii="Times New Roman" w:hAnsi="Times New Roman" w:cs="Times New Roman"/>
          <w:lang w:val="en-GB"/>
        </w:rPr>
        <w:t>S</w:t>
      </w:r>
      <w:r w:rsidR="00353285" w:rsidRPr="007E3A51">
        <w:rPr>
          <w:rFonts w:ascii="Times New Roman" w:hAnsi="Times New Roman" w:cs="Times New Roman"/>
          <w:lang w:val="en-GB"/>
        </w:rPr>
        <w:t xml:space="preserve">tatistics </w:t>
      </w:r>
      <w:r w:rsidR="003906EA" w:rsidRPr="007E3A51">
        <w:rPr>
          <w:rFonts w:ascii="Times New Roman" w:hAnsi="Times New Roman" w:cs="Times New Roman"/>
          <w:lang w:val="en-GB"/>
        </w:rPr>
        <w:t xml:space="preserve">represent a decline in </w:t>
      </w:r>
      <w:r w:rsidR="005369B2" w:rsidRPr="007E3A51">
        <w:rPr>
          <w:rFonts w:ascii="Times New Roman" w:hAnsi="Times New Roman" w:cs="Times New Roman"/>
          <w:lang w:val="en-GB"/>
        </w:rPr>
        <w:t xml:space="preserve">the </w:t>
      </w:r>
      <w:r w:rsidR="00353285" w:rsidRPr="007E3A51">
        <w:rPr>
          <w:rFonts w:ascii="Times New Roman" w:hAnsi="Times New Roman" w:cs="Times New Roman"/>
          <w:lang w:val="en-GB"/>
        </w:rPr>
        <w:t xml:space="preserve">number of officially employed </w:t>
      </w:r>
      <w:r w:rsidR="005369B2" w:rsidRPr="007E3A51">
        <w:rPr>
          <w:rFonts w:ascii="Times New Roman" w:hAnsi="Times New Roman" w:cs="Times New Roman"/>
          <w:lang w:val="en-GB"/>
        </w:rPr>
        <w:t xml:space="preserve">people </w:t>
      </w:r>
      <w:r w:rsidR="00353285" w:rsidRPr="007E3A51">
        <w:rPr>
          <w:rFonts w:ascii="Times New Roman" w:hAnsi="Times New Roman" w:cs="Times New Roman"/>
          <w:lang w:val="en-GB"/>
        </w:rPr>
        <w:t xml:space="preserve">in </w:t>
      </w:r>
      <w:r w:rsidR="005369B2" w:rsidRPr="007E3A51">
        <w:rPr>
          <w:rFonts w:ascii="Times New Roman" w:hAnsi="Times New Roman" w:cs="Times New Roman"/>
          <w:lang w:val="en-GB"/>
        </w:rPr>
        <w:t xml:space="preserve">the </w:t>
      </w:r>
      <w:r w:rsidR="00353285" w:rsidRPr="007E3A51">
        <w:rPr>
          <w:rFonts w:ascii="Times New Roman" w:hAnsi="Times New Roman" w:cs="Times New Roman"/>
          <w:lang w:val="en-GB"/>
        </w:rPr>
        <w:t xml:space="preserve">agricultural sector </w:t>
      </w:r>
      <w:r w:rsidR="005369B2" w:rsidRPr="007E3A51">
        <w:rPr>
          <w:rFonts w:ascii="Times New Roman" w:hAnsi="Times New Roman" w:cs="Times New Roman"/>
          <w:lang w:val="en-GB"/>
        </w:rPr>
        <w:t>of</w:t>
      </w:r>
      <w:r w:rsidR="00353285" w:rsidRPr="007E3A51">
        <w:rPr>
          <w:rFonts w:ascii="Times New Roman" w:hAnsi="Times New Roman" w:cs="Times New Roman"/>
          <w:lang w:val="en-GB"/>
        </w:rPr>
        <w:t xml:space="preserve"> more than 100 thousand people</w:t>
      </w:r>
      <w:r w:rsidR="000704CC" w:rsidRPr="007E3A51">
        <w:rPr>
          <w:rFonts w:ascii="Times New Roman" w:hAnsi="Times New Roman" w:cs="Times New Roman"/>
          <w:lang w:val="en-GB"/>
        </w:rPr>
        <w:t xml:space="preserve"> </w:t>
      </w:r>
      <w:r w:rsidR="003906EA" w:rsidRPr="007E3A51">
        <w:rPr>
          <w:rFonts w:ascii="Times New Roman" w:hAnsi="Times New Roman" w:cs="Times New Roman"/>
          <w:lang w:val="en-GB"/>
        </w:rPr>
        <w:t xml:space="preserve">in the period of 2021-2023 </w:t>
      </w:r>
      <w:r w:rsidR="00D76915" w:rsidRPr="007E3A51">
        <w:rPr>
          <w:rFonts w:ascii="Times New Roman" w:hAnsi="Times New Roman" w:cs="Times New Roman"/>
          <w:lang w:val="en-GB"/>
        </w:rPr>
        <w:t>(</w:t>
      </w:r>
      <w:proofErr w:type="spellStart"/>
      <w:r w:rsidR="00D76915" w:rsidRPr="007E3A51">
        <w:rPr>
          <w:rFonts w:ascii="Times New Roman" w:hAnsi="Times New Roman" w:cs="Times New Roman"/>
          <w:lang w:val="en-GB"/>
        </w:rPr>
        <w:t>Gagalyuk</w:t>
      </w:r>
      <w:proofErr w:type="spellEnd"/>
      <w:r w:rsidR="00D76915" w:rsidRPr="007E3A51">
        <w:rPr>
          <w:rFonts w:ascii="Times New Roman" w:hAnsi="Times New Roman" w:cs="Times New Roman"/>
          <w:lang w:val="en-GB"/>
        </w:rPr>
        <w:t xml:space="preserve"> 2024)</w:t>
      </w:r>
      <w:r w:rsidR="00721686" w:rsidRPr="007E3A51">
        <w:rPr>
          <w:rFonts w:ascii="Times New Roman" w:hAnsi="Times New Roman" w:cs="Times New Roman"/>
          <w:lang w:val="en-GB"/>
        </w:rPr>
        <w:t xml:space="preserve">. </w:t>
      </w:r>
      <w:r w:rsidR="00D054FC" w:rsidRPr="007E3A51">
        <w:rPr>
          <w:rFonts w:ascii="Times New Roman" w:hAnsi="Times New Roman" w:cs="Times New Roman"/>
          <w:lang w:val="en-GB"/>
        </w:rPr>
        <w:t xml:space="preserve">This further substantiates the relevance of an inclusive approach to the development of the agricultural sector in Ukraine due to the need to achieve a socio-economic effect in the form of the development of the agricultural sector and solving the problems of employment of the population. This can be achieved through </w:t>
      </w:r>
      <w:r w:rsidR="005369B2" w:rsidRPr="007E3A51">
        <w:rPr>
          <w:rFonts w:ascii="Times New Roman" w:hAnsi="Times New Roman" w:cs="Times New Roman"/>
          <w:lang w:val="en-GB"/>
        </w:rPr>
        <w:t>an</w:t>
      </w:r>
      <w:r w:rsidR="00D054FC" w:rsidRPr="007E3A51">
        <w:rPr>
          <w:rFonts w:ascii="Times New Roman" w:hAnsi="Times New Roman" w:cs="Times New Roman"/>
          <w:lang w:val="en-GB"/>
        </w:rPr>
        <w:t xml:space="preserve"> increase in women's employment</w:t>
      </w:r>
      <w:r w:rsidR="00F00271" w:rsidRPr="007E3A51">
        <w:rPr>
          <w:rFonts w:ascii="Times New Roman" w:hAnsi="Times New Roman" w:cs="Times New Roman"/>
          <w:lang w:val="en-GB"/>
        </w:rPr>
        <w:t xml:space="preserve"> in </w:t>
      </w:r>
      <w:r w:rsidR="005369B2" w:rsidRPr="007E3A51">
        <w:rPr>
          <w:rFonts w:ascii="Times New Roman" w:hAnsi="Times New Roman" w:cs="Times New Roman"/>
          <w:lang w:val="en-GB"/>
        </w:rPr>
        <w:t xml:space="preserve">the </w:t>
      </w:r>
      <w:r w:rsidR="00F00271" w:rsidRPr="007E3A51">
        <w:rPr>
          <w:rFonts w:ascii="Times New Roman" w:hAnsi="Times New Roman" w:cs="Times New Roman"/>
          <w:lang w:val="en-GB"/>
        </w:rPr>
        <w:t>agri-food sector</w:t>
      </w:r>
      <w:r w:rsidR="00D054FC" w:rsidRPr="007E3A51">
        <w:rPr>
          <w:rFonts w:ascii="Times New Roman" w:hAnsi="Times New Roman" w:cs="Times New Roman"/>
          <w:lang w:val="en-GB"/>
        </w:rPr>
        <w:t>.</w:t>
      </w:r>
    </w:p>
    <w:p w14:paraId="778AAD1E" w14:textId="702FBC25" w:rsidR="00515826" w:rsidRPr="007E3A51" w:rsidRDefault="00D1483F" w:rsidP="00417DD6">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We must not forget about the need to include </w:t>
      </w:r>
      <w:r w:rsidR="000666D9" w:rsidRPr="007E3A51">
        <w:rPr>
          <w:rFonts w:ascii="Times New Roman" w:hAnsi="Times New Roman" w:cs="Times New Roman"/>
          <w:lang w:val="en-GB"/>
        </w:rPr>
        <w:t xml:space="preserve">internally displaced persons </w:t>
      </w:r>
      <w:r w:rsidRPr="007E3A51">
        <w:rPr>
          <w:rFonts w:ascii="Times New Roman" w:hAnsi="Times New Roman" w:cs="Times New Roman"/>
          <w:lang w:val="en-GB"/>
        </w:rPr>
        <w:t>(</w:t>
      </w:r>
      <w:r w:rsidR="000666D9" w:rsidRPr="007E3A51">
        <w:rPr>
          <w:rFonts w:ascii="Times New Roman" w:hAnsi="Times New Roman" w:cs="Times New Roman"/>
          <w:lang w:val="en-GB"/>
        </w:rPr>
        <w:t>IDPs</w:t>
      </w:r>
      <w:r w:rsidRPr="007E3A51">
        <w:rPr>
          <w:rFonts w:ascii="Times New Roman" w:hAnsi="Times New Roman" w:cs="Times New Roman"/>
          <w:lang w:val="en-GB"/>
        </w:rPr>
        <w:t xml:space="preserve">) in the development of the agricultural sector of Ukraine, who have significant potential for balancing this sector and restoring its positive trends. </w:t>
      </w:r>
      <w:r w:rsidR="00D4291C" w:rsidRPr="007E3A51">
        <w:rPr>
          <w:rFonts w:ascii="Times New Roman" w:hAnsi="Times New Roman" w:cs="Times New Roman"/>
          <w:lang w:val="en-GB"/>
        </w:rPr>
        <w:t xml:space="preserve">Their </w:t>
      </w:r>
      <w:r w:rsidRPr="007E3A51">
        <w:rPr>
          <w:rFonts w:ascii="Times New Roman" w:hAnsi="Times New Roman" w:cs="Times New Roman"/>
          <w:lang w:val="en-GB"/>
        </w:rPr>
        <w:t>involv</w:t>
      </w:r>
      <w:r w:rsidR="00D4291C" w:rsidRPr="007E3A51">
        <w:rPr>
          <w:rFonts w:ascii="Times New Roman" w:hAnsi="Times New Roman" w:cs="Times New Roman"/>
          <w:lang w:val="en-GB"/>
        </w:rPr>
        <w:t>ement</w:t>
      </w:r>
      <w:r w:rsidRPr="007E3A51">
        <w:rPr>
          <w:rFonts w:ascii="Times New Roman" w:hAnsi="Times New Roman" w:cs="Times New Roman"/>
          <w:lang w:val="en-GB"/>
        </w:rPr>
        <w:t xml:space="preserve"> in the </w:t>
      </w:r>
      <w:proofErr w:type="spellStart"/>
      <w:r w:rsidRPr="007E3A51">
        <w:rPr>
          <w:rFonts w:ascii="Times New Roman" w:hAnsi="Times New Roman" w:cs="Times New Roman"/>
          <w:lang w:val="en-GB"/>
        </w:rPr>
        <w:t>labor</w:t>
      </w:r>
      <w:proofErr w:type="spellEnd"/>
      <w:r w:rsidRPr="007E3A51">
        <w:rPr>
          <w:rFonts w:ascii="Times New Roman" w:hAnsi="Times New Roman" w:cs="Times New Roman"/>
          <w:lang w:val="en-GB"/>
        </w:rPr>
        <w:t xml:space="preserve"> market</w:t>
      </w:r>
      <w:r w:rsidR="00F00D0A" w:rsidRPr="007E3A51">
        <w:rPr>
          <w:rFonts w:ascii="Times New Roman" w:hAnsi="Times New Roman" w:cs="Times New Roman"/>
          <w:lang w:val="en-GB"/>
        </w:rPr>
        <w:t>, either through</w:t>
      </w:r>
      <w:r w:rsidRPr="007E3A51">
        <w:rPr>
          <w:rFonts w:ascii="Times New Roman" w:hAnsi="Times New Roman" w:cs="Times New Roman"/>
          <w:lang w:val="en-GB"/>
        </w:rPr>
        <w:t xml:space="preserve"> </w:t>
      </w:r>
      <w:r w:rsidR="00F00D0A" w:rsidRPr="007E3A51">
        <w:rPr>
          <w:rFonts w:ascii="Times New Roman" w:hAnsi="Times New Roman" w:cs="Times New Roman"/>
          <w:lang w:val="en-GB"/>
        </w:rPr>
        <w:t>direct employment</w:t>
      </w:r>
      <w:r w:rsidRPr="007E3A51">
        <w:rPr>
          <w:rFonts w:ascii="Times New Roman" w:hAnsi="Times New Roman" w:cs="Times New Roman"/>
          <w:lang w:val="en-GB"/>
        </w:rPr>
        <w:t xml:space="preserve"> or </w:t>
      </w:r>
      <w:r w:rsidR="004420E2" w:rsidRPr="007E3A51">
        <w:rPr>
          <w:rFonts w:ascii="Times New Roman" w:hAnsi="Times New Roman" w:cs="Times New Roman"/>
          <w:lang w:val="en-GB"/>
        </w:rPr>
        <w:t xml:space="preserve">by </w:t>
      </w:r>
      <w:r w:rsidRPr="007E3A51">
        <w:rPr>
          <w:rFonts w:ascii="Times New Roman" w:hAnsi="Times New Roman" w:cs="Times New Roman"/>
          <w:lang w:val="en-GB"/>
        </w:rPr>
        <w:t>providing them with tools to start their own business</w:t>
      </w:r>
      <w:r w:rsidR="00C31481" w:rsidRPr="007E3A51">
        <w:rPr>
          <w:rFonts w:ascii="Times New Roman" w:hAnsi="Times New Roman" w:cs="Times New Roman"/>
          <w:lang w:val="en-GB"/>
        </w:rPr>
        <w:t>,</w:t>
      </w:r>
      <w:r w:rsidRPr="007E3A51">
        <w:rPr>
          <w:rFonts w:ascii="Times New Roman" w:hAnsi="Times New Roman" w:cs="Times New Roman"/>
          <w:lang w:val="en-GB"/>
        </w:rPr>
        <w:t xml:space="preserve"> will significantly improve their socio-economic situation. According to official data, as of mid-2024, more than 2 million IDPs were of working age, of whom 128 thousand needed employment and 26.5 thousand people received unemployment benefits (</w:t>
      </w:r>
      <w:r w:rsidR="00F02556" w:rsidRPr="007E3A51">
        <w:rPr>
          <w:rFonts w:ascii="Times New Roman" w:hAnsi="Times New Roman" w:cs="Times New Roman"/>
          <w:lang w:val="en-GB"/>
        </w:rPr>
        <w:t>Temporary Special Commission…</w:t>
      </w:r>
      <w:r w:rsidR="00E06E02" w:rsidRPr="007E3A51">
        <w:rPr>
          <w:rFonts w:ascii="Times New Roman" w:hAnsi="Times New Roman" w:cs="Times New Roman"/>
          <w:lang w:val="en-GB"/>
        </w:rPr>
        <w:t xml:space="preserve"> 2024</w:t>
      </w:r>
      <w:r w:rsidRPr="007E3A51">
        <w:rPr>
          <w:rFonts w:ascii="Times New Roman" w:hAnsi="Times New Roman" w:cs="Times New Roman"/>
          <w:lang w:val="en-GB"/>
        </w:rPr>
        <w:t>). This indicates that they need employment</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and their inclusion in work in the agricultural sector of Ukraine will have significant potential for solving an acute socio-economic </w:t>
      </w:r>
      <w:r w:rsidR="00EC47E4" w:rsidRPr="007E3A51">
        <w:rPr>
          <w:rFonts w:ascii="Times New Roman" w:hAnsi="Times New Roman" w:cs="Times New Roman"/>
          <w:lang w:val="en-GB"/>
        </w:rPr>
        <w:t>ch</w:t>
      </w:r>
      <w:r w:rsidR="00B2627C" w:rsidRPr="007E3A51">
        <w:rPr>
          <w:rFonts w:ascii="Times New Roman" w:hAnsi="Times New Roman" w:cs="Times New Roman"/>
          <w:lang w:val="en-GB"/>
        </w:rPr>
        <w:t>a</w:t>
      </w:r>
      <w:r w:rsidR="00EC47E4" w:rsidRPr="007E3A51">
        <w:rPr>
          <w:rFonts w:ascii="Times New Roman" w:hAnsi="Times New Roman" w:cs="Times New Roman"/>
          <w:lang w:val="en-GB"/>
        </w:rPr>
        <w:t>llenge</w:t>
      </w:r>
      <w:r w:rsidRPr="007E3A51">
        <w:rPr>
          <w:rFonts w:ascii="Times New Roman" w:hAnsi="Times New Roman" w:cs="Times New Roman"/>
          <w:lang w:val="en-GB"/>
        </w:rPr>
        <w:t>. First</w:t>
      </w:r>
      <w:r w:rsidR="00A96011" w:rsidRPr="007E3A51">
        <w:rPr>
          <w:rFonts w:ascii="Times New Roman" w:hAnsi="Times New Roman" w:cs="Times New Roman"/>
          <w:lang w:val="en-GB"/>
        </w:rPr>
        <w:t>ly</w:t>
      </w:r>
      <w:r w:rsidRPr="007E3A51">
        <w:rPr>
          <w:rFonts w:ascii="Times New Roman" w:hAnsi="Times New Roman" w:cs="Times New Roman"/>
          <w:lang w:val="en-GB"/>
        </w:rPr>
        <w:t xml:space="preserve">, a person </w:t>
      </w:r>
      <w:r w:rsidR="00447BC6" w:rsidRPr="007E3A51">
        <w:rPr>
          <w:rFonts w:ascii="Times New Roman" w:hAnsi="Times New Roman" w:cs="Times New Roman"/>
          <w:lang w:val="en-GB"/>
        </w:rPr>
        <w:t>becomes integrated</w:t>
      </w:r>
      <w:r w:rsidR="007654C3" w:rsidRPr="007E3A51">
        <w:rPr>
          <w:rFonts w:ascii="Times New Roman" w:hAnsi="Times New Roman" w:cs="Times New Roman"/>
          <w:lang w:val="en-GB"/>
        </w:rPr>
        <w:t xml:space="preserve"> in </w:t>
      </w:r>
      <w:r w:rsidRPr="007E3A51">
        <w:rPr>
          <w:rFonts w:ascii="Times New Roman" w:hAnsi="Times New Roman" w:cs="Times New Roman"/>
          <w:lang w:val="en-GB"/>
        </w:rPr>
        <w:t xml:space="preserve">the </w:t>
      </w:r>
      <w:proofErr w:type="spellStart"/>
      <w:r w:rsidRPr="007E3A51">
        <w:rPr>
          <w:rFonts w:ascii="Times New Roman" w:hAnsi="Times New Roman" w:cs="Times New Roman"/>
          <w:lang w:val="en-GB"/>
        </w:rPr>
        <w:t>labor</w:t>
      </w:r>
      <w:proofErr w:type="spellEnd"/>
      <w:r w:rsidRPr="007E3A51">
        <w:rPr>
          <w:rFonts w:ascii="Times New Roman" w:hAnsi="Times New Roman" w:cs="Times New Roman"/>
          <w:lang w:val="en-GB"/>
        </w:rPr>
        <w:t xml:space="preserve"> market and </w:t>
      </w:r>
      <w:r w:rsidR="001D44AB" w:rsidRPr="007E3A51">
        <w:rPr>
          <w:rFonts w:ascii="Times New Roman" w:hAnsi="Times New Roman" w:cs="Times New Roman"/>
          <w:lang w:val="en-GB"/>
        </w:rPr>
        <w:t>gains income</w:t>
      </w:r>
      <w:r w:rsidRPr="007E3A51">
        <w:rPr>
          <w:rFonts w:ascii="Times New Roman" w:hAnsi="Times New Roman" w:cs="Times New Roman"/>
          <w:lang w:val="en-GB"/>
        </w:rPr>
        <w:t>, which improves the quality of life. Secondly, more opportunities to grow and produce the necessary crops and goods to ensure food security in society.</w:t>
      </w:r>
      <w:r w:rsidR="00EF6D31" w:rsidRPr="007E3A51">
        <w:rPr>
          <w:rFonts w:ascii="Times New Roman" w:hAnsi="Times New Roman" w:cs="Times New Roman"/>
          <w:lang w:val="en-GB"/>
        </w:rPr>
        <w:t xml:space="preserve"> </w:t>
      </w:r>
    </w:p>
    <w:p w14:paraId="0783D2CA" w14:textId="5E42A4BA" w:rsidR="00B928C0" w:rsidRPr="007E3A51" w:rsidRDefault="00DE0A2B" w:rsidP="00417DD6">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W</w:t>
      </w:r>
      <w:r w:rsidR="00CB309A" w:rsidRPr="007E3A51">
        <w:rPr>
          <w:rFonts w:ascii="Times New Roman" w:hAnsi="Times New Roman" w:cs="Times New Roman"/>
          <w:lang w:val="en-GB"/>
        </w:rPr>
        <w:t>e should</w:t>
      </w:r>
      <w:r w:rsidRPr="007E3A51">
        <w:rPr>
          <w:rFonts w:ascii="Times New Roman" w:hAnsi="Times New Roman" w:cs="Times New Roman"/>
          <w:lang w:val="en-GB"/>
        </w:rPr>
        <w:t xml:space="preserve"> also</w:t>
      </w:r>
      <w:r w:rsidR="00CB309A" w:rsidRPr="007E3A51">
        <w:rPr>
          <w:rFonts w:ascii="Times New Roman" w:hAnsi="Times New Roman" w:cs="Times New Roman"/>
          <w:lang w:val="en-GB"/>
        </w:rPr>
        <w:t xml:space="preserve"> </w:t>
      </w:r>
      <w:r w:rsidRPr="007E3A51">
        <w:rPr>
          <w:rFonts w:ascii="Times New Roman" w:hAnsi="Times New Roman" w:cs="Times New Roman"/>
          <w:lang w:val="en-GB"/>
        </w:rPr>
        <w:t>not</w:t>
      </w:r>
      <w:r w:rsidR="00CB309A" w:rsidRPr="007E3A51">
        <w:rPr>
          <w:rFonts w:ascii="Times New Roman" w:hAnsi="Times New Roman" w:cs="Times New Roman"/>
          <w:lang w:val="en-GB"/>
        </w:rPr>
        <w:t xml:space="preserve"> forget about such </w:t>
      </w:r>
      <w:r w:rsidR="005369B2" w:rsidRPr="007E3A51">
        <w:rPr>
          <w:rFonts w:ascii="Times New Roman" w:hAnsi="Times New Roman" w:cs="Times New Roman"/>
          <w:lang w:val="en-GB"/>
        </w:rPr>
        <w:t xml:space="preserve">a </w:t>
      </w:r>
      <w:r w:rsidR="00CB309A" w:rsidRPr="007E3A51">
        <w:rPr>
          <w:rFonts w:ascii="Times New Roman" w:hAnsi="Times New Roman" w:cs="Times New Roman"/>
          <w:lang w:val="en-GB"/>
        </w:rPr>
        <w:t xml:space="preserve">category as </w:t>
      </w:r>
      <w:r w:rsidR="005369B2" w:rsidRPr="007E3A51">
        <w:rPr>
          <w:rFonts w:ascii="Times New Roman" w:hAnsi="Times New Roman" w:cs="Times New Roman"/>
          <w:lang w:val="en-GB"/>
        </w:rPr>
        <w:t>'</w:t>
      </w:r>
      <w:r w:rsidR="00CB309A" w:rsidRPr="007E3A51">
        <w:rPr>
          <w:rFonts w:ascii="Times New Roman" w:hAnsi="Times New Roman" w:cs="Times New Roman"/>
          <w:lang w:val="en-GB"/>
        </w:rPr>
        <w:t>Youth</w:t>
      </w:r>
      <w:r w:rsidR="005369B2" w:rsidRPr="007E3A51">
        <w:rPr>
          <w:rFonts w:ascii="Times New Roman" w:hAnsi="Times New Roman" w:cs="Times New Roman"/>
          <w:lang w:val="en-GB"/>
        </w:rPr>
        <w:t>'</w:t>
      </w:r>
      <w:r w:rsidR="009773DF" w:rsidRPr="007E3A51">
        <w:rPr>
          <w:rFonts w:ascii="Times New Roman" w:hAnsi="Times New Roman" w:cs="Times New Roman"/>
          <w:lang w:val="en-GB"/>
        </w:rPr>
        <w:t>,</w:t>
      </w:r>
      <w:r w:rsidR="00CB309A" w:rsidRPr="007E3A51">
        <w:rPr>
          <w:rFonts w:ascii="Times New Roman" w:hAnsi="Times New Roman" w:cs="Times New Roman"/>
          <w:lang w:val="en-GB"/>
        </w:rPr>
        <w:t xml:space="preserve"> </w:t>
      </w:r>
      <w:r w:rsidR="009773DF" w:rsidRPr="007E3A51">
        <w:rPr>
          <w:rFonts w:ascii="Times New Roman" w:hAnsi="Times New Roman" w:cs="Times New Roman"/>
          <w:lang w:val="en-GB"/>
        </w:rPr>
        <w:t xml:space="preserve">which remains </w:t>
      </w:r>
      <w:r w:rsidR="00803216" w:rsidRPr="007E3A51">
        <w:rPr>
          <w:rFonts w:ascii="Times New Roman" w:hAnsi="Times New Roman" w:cs="Times New Roman"/>
          <w:lang w:val="en-GB"/>
        </w:rPr>
        <w:t xml:space="preserve">one of the most </w:t>
      </w:r>
      <w:r w:rsidR="00CB309A" w:rsidRPr="007E3A51">
        <w:rPr>
          <w:rFonts w:ascii="Times New Roman" w:hAnsi="Times New Roman" w:cs="Times New Roman"/>
          <w:lang w:val="en-GB"/>
        </w:rPr>
        <w:t xml:space="preserve">vulnerable </w:t>
      </w:r>
      <w:r w:rsidR="0041005A" w:rsidRPr="007E3A51">
        <w:rPr>
          <w:rFonts w:ascii="Times New Roman" w:hAnsi="Times New Roman" w:cs="Times New Roman"/>
          <w:lang w:val="en-GB"/>
        </w:rPr>
        <w:t xml:space="preserve">groups </w:t>
      </w:r>
      <w:r w:rsidR="00CB309A" w:rsidRPr="007E3A51">
        <w:rPr>
          <w:rFonts w:ascii="Times New Roman" w:hAnsi="Times New Roman" w:cs="Times New Roman"/>
          <w:lang w:val="en-GB"/>
        </w:rPr>
        <w:t xml:space="preserve">on the </w:t>
      </w:r>
      <w:proofErr w:type="spellStart"/>
      <w:r w:rsidR="00CB309A" w:rsidRPr="007E3A51">
        <w:rPr>
          <w:rFonts w:ascii="Times New Roman" w:hAnsi="Times New Roman" w:cs="Times New Roman"/>
          <w:lang w:val="en-GB"/>
        </w:rPr>
        <w:t>labor</w:t>
      </w:r>
      <w:proofErr w:type="spellEnd"/>
      <w:r w:rsidR="00CB309A" w:rsidRPr="007E3A51">
        <w:rPr>
          <w:rFonts w:ascii="Times New Roman" w:hAnsi="Times New Roman" w:cs="Times New Roman"/>
          <w:lang w:val="en-GB"/>
        </w:rPr>
        <w:t xml:space="preserve"> market at any time. But th</w:t>
      </w:r>
      <w:r w:rsidR="005369B2" w:rsidRPr="007E3A51">
        <w:rPr>
          <w:rFonts w:ascii="Times New Roman" w:hAnsi="Times New Roman" w:cs="Times New Roman"/>
          <w:lang w:val="en-GB"/>
        </w:rPr>
        <w:t>is</w:t>
      </w:r>
      <w:r w:rsidR="00CB309A" w:rsidRPr="007E3A51">
        <w:rPr>
          <w:rFonts w:ascii="Times New Roman" w:hAnsi="Times New Roman" w:cs="Times New Roman"/>
          <w:lang w:val="en-GB"/>
        </w:rPr>
        <w:t xml:space="preserve"> group of people ha</w:t>
      </w:r>
      <w:r w:rsidR="005369B2" w:rsidRPr="007E3A51">
        <w:rPr>
          <w:rFonts w:ascii="Times New Roman" w:hAnsi="Times New Roman" w:cs="Times New Roman"/>
          <w:lang w:val="en-GB"/>
        </w:rPr>
        <w:t>s</w:t>
      </w:r>
      <w:r w:rsidR="00CB309A" w:rsidRPr="007E3A51">
        <w:rPr>
          <w:rFonts w:ascii="Times New Roman" w:hAnsi="Times New Roman" w:cs="Times New Roman"/>
          <w:lang w:val="en-GB"/>
        </w:rPr>
        <w:t xml:space="preserve"> a </w:t>
      </w:r>
      <w:r w:rsidR="00EE0D09" w:rsidRPr="007E3A51">
        <w:rPr>
          <w:rFonts w:ascii="Times New Roman" w:hAnsi="Times New Roman" w:cs="Times New Roman"/>
          <w:lang w:val="en-GB"/>
        </w:rPr>
        <w:t>massiv</w:t>
      </w:r>
      <w:r w:rsidR="00CB309A" w:rsidRPr="007E3A51">
        <w:rPr>
          <w:rFonts w:ascii="Times New Roman" w:hAnsi="Times New Roman" w:cs="Times New Roman"/>
          <w:lang w:val="en-GB"/>
        </w:rPr>
        <w:t xml:space="preserve">e potential </w:t>
      </w:r>
      <w:r w:rsidR="0031063D" w:rsidRPr="007E3A51">
        <w:rPr>
          <w:rFonts w:ascii="Times New Roman" w:hAnsi="Times New Roman" w:cs="Times New Roman"/>
          <w:lang w:val="en-GB"/>
        </w:rPr>
        <w:t xml:space="preserve">for </w:t>
      </w:r>
      <w:r w:rsidR="00CB309A" w:rsidRPr="007E3A51">
        <w:rPr>
          <w:rFonts w:ascii="Times New Roman" w:hAnsi="Times New Roman" w:cs="Times New Roman"/>
          <w:lang w:val="en-GB"/>
        </w:rPr>
        <w:t xml:space="preserve">the development of </w:t>
      </w:r>
      <w:r w:rsidR="005369B2" w:rsidRPr="007E3A51">
        <w:rPr>
          <w:rFonts w:ascii="Times New Roman" w:hAnsi="Times New Roman" w:cs="Times New Roman"/>
          <w:lang w:val="en-GB"/>
        </w:rPr>
        <w:t xml:space="preserve">the </w:t>
      </w:r>
      <w:r w:rsidR="00CB309A" w:rsidRPr="007E3A51">
        <w:rPr>
          <w:rFonts w:ascii="Times New Roman" w:hAnsi="Times New Roman" w:cs="Times New Roman"/>
          <w:lang w:val="en-GB"/>
        </w:rPr>
        <w:t xml:space="preserve">Ukrainian agrarian sector, </w:t>
      </w:r>
      <w:r w:rsidR="00D16BE5" w:rsidRPr="007E3A51">
        <w:rPr>
          <w:rFonts w:ascii="Times New Roman" w:hAnsi="Times New Roman" w:cs="Times New Roman"/>
          <w:lang w:val="en-GB"/>
        </w:rPr>
        <w:t>as they can contribute</w:t>
      </w:r>
      <w:r w:rsidR="00CB309A" w:rsidRPr="007E3A51">
        <w:rPr>
          <w:rFonts w:ascii="Times New Roman" w:hAnsi="Times New Roman" w:cs="Times New Roman"/>
          <w:lang w:val="en-GB"/>
        </w:rPr>
        <w:t xml:space="preserve"> creativity and innovati</w:t>
      </w:r>
      <w:r w:rsidR="00057F11" w:rsidRPr="007E3A51">
        <w:rPr>
          <w:rFonts w:ascii="Times New Roman" w:hAnsi="Times New Roman" w:cs="Times New Roman"/>
          <w:lang w:val="en-GB"/>
        </w:rPr>
        <w:t>on</w:t>
      </w:r>
      <w:r w:rsidR="00CB309A" w:rsidRPr="007E3A51">
        <w:rPr>
          <w:rFonts w:ascii="Times New Roman" w:hAnsi="Times New Roman" w:cs="Times New Roman"/>
          <w:lang w:val="en-GB"/>
        </w:rPr>
        <w:t xml:space="preserve">. </w:t>
      </w:r>
      <w:r w:rsidR="002B0D72" w:rsidRPr="007E3A51">
        <w:rPr>
          <w:rFonts w:ascii="Times New Roman" w:hAnsi="Times New Roman" w:cs="Times New Roman"/>
          <w:lang w:val="en-GB"/>
        </w:rPr>
        <w:t>According</w:t>
      </w:r>
      <w:r w:rsidR="001D20D5" w:rsidRPr="007E3A51">
        <w:rPr>
          <w:rFonts w:ascii="Times New Roman" w:hAnsi="Times New Roman" w:cs="Times New Roman"/>
          <w:lang w:val="en-GB"/>
        </w:rPr>
        <w:t xml:space="preserve"> to the open data, the share of </w:t>
      </w:r>
      <w:r w:rsidR="00A11207" w:rsidRPr="007E3A51">
        <w:rPr>
          <w:rFonts w:ascii="Times New Roman" w:hAnsi="Times New Roman" w:cs="Times New Roman"/>
          <w:lang w:val="en-GB"/>
        </w:rPr>
        <w:t>employed</w:t>
      </w:r>
      <w:r w:rsidR="001D20D5" w:rsidRPr="007E3A51">
        <w:rPr>
          <w:rFonts w:ascii="Times New Roman" w:hAnsi="Times New Roman" w:cs="Times New Roman"/>
          <w:lang w:val="en-GB"/>
        </w:rPr>
        <w:t xml:space="preserve"> youth (aged 18-35) in 2022 increased slightly compared to the previous year (from 31.2% in 2021 to 31.6% in 2022). This indicator is </w:t>
      </w:r>
      <w:r w:rsidR="0041511D" w:rsidRPr="007E3A51">
        <w:rPr>
          <w:rFonts w:ascii="Times New Roman" w:hAnsi="Times New Roman" w:cs="Times New Roman"/>
          <w:lang w:val="en-GB"/>
        </w:rPr>
        <w:t xml:space="preserve">relatively </w:t>
      </w:r>
      <w:r w:rsidR="001D20D5" w:rsidRPr="007E3A51">
        <w:rPr>
          <w:rFonts w:ascii="Times New Roman" w:hAnsi="Times New Roman" w:cs="Times New Roman"/>
          <w:lang w:val="en-GB"/>
        </w:rPr>
        <w:t>low and almost half that of the 36-60 age group (</w:t>
      </w:r>
      <w:r w:rsidR="00087E5A" w:rsidRPr="007E3A51">
        <w:rPr>
          <w:rFonts w:ascii="Times New Roman" w:hAnsi="Times New Roman" w:cs="Times New Roman"/>
          <w:lang w:val="en-GB"/>
        </w:rPr>
        <w:t xml:space="preserve">Sudakov </w:t>
      </w:r>
      <w:r w:rsidR="00285FBB" w:rsidRPr="007E3A51">
        <w:rPr>
          <w:rFonts w:ascii="Times New Roman" w:hAnsi="Times New Roman" w:cs="Times New Roman"/>
          <w:lang w:val="en-GB"/>
        </w:rPr>
        <w:t xml:space="preserve">et al. </w:t>
      </w:r>
      <w:r w:rsidR="00123FAB" w:rsidRPr="007E3A51">
        <w:rPr>
          <w:rFonts w:ascii="Times New Roman" w:hAnsi="Times New Roman" w:cs="Times New Roman"/>
          <w:lang w:val="en-GB"/>
        </w:rPr>
        <w:t>2023</w:t>
      </w:r>
      <w:r w:rsidR="001D20D5" w:rsidRPr="007E3A51">
        <w:rPr>
          <w:rFonts w:ascii="Times New Roman" w:hAnsi="Times New Roman" w:cs="Times New Roman"/>
          <w:lang w:val="en-GB"/>
        </w:rPr>
        <w:t>). This indicates that young people are not fully involved in the economic life of the country, although they have all the opportunities for the development of our economy, including in the agricultural sector.</w:t>
      </w:r>
      <w:r w:rsidR="00B928C0" w:rsidRPr="007E3A51">
        <w:rPr>
          <w:rFonts w:ascii="Times New Roman" w:hAnsi="Times New Roman" w:cs="Times New Roman"/>
          <w:lang w:val="en-GB"/>
        </w:rPr>
        <w:t xml:space="preserve"> </w:t>
      </w:r>
      <w:r w:rsidR="0005278C" w:rsidRPr="007E3A51">
        <w:rPr>
          <w:rFonts w:ascii="Times New Roman" w:hAnsi="Times New Roman" w:cs="Times New Roman"/>
          <w:lang w:val="en-GB"/>
        </w:rPr>
        <w:t xml:space="preserve">Therefore, it is </w:t>
      </w:r>
      <w:r w:rsidR="00EE0D09" w:rsidRPr="007E3A51">
        <w:rPr>
          <w:rFonts w:ascii="Times New Roman" w:hAnsi="Times New Roman" w:cs="Times New Roman"/>
          <w:lang w:val="en-GB"/>
        </w:rPr>
        <w:t>vital</w:t>
      </w:r>
      <w:r w:rsidR="0005278C" w:rsidRPr="007E3A51">
        <w:rPr>
          <w:rFonts w:ascii="Times New Roman" w:hAnsi="Times New Roman" w:cs="Times New Roman"/>
          <w:lang w:val="en-GB"/>
        </w:rPr>
        <w:t xml:space="preserve"> </w:t>
      </w:r>
      <w:r w:rsidR="0006761B" w:rsidRPr="007E3A51">
        <w:rPr>
          <w:rFonts w:ascii="Times New Roman" w:hAnsi="Times New Roman" w:cs="Times New Roman"/>
          <w:lang w:val="en-GB"/>
        </w:rPr>
        <w:t>for o</w:t>
      </w:r>
      <w:r w:rsidR="00B928C0" w:rsidRPr="007E3A51">
        <w:rPr>
          <w:rFonts w:ascii="Times New Roman" w:hAnsi="Times New Roman" w:cs="Times New Roman"/>
          <w:lang w:val="en-GB"/>
        </w:rPr>
        <w:t xml:space="preserve">ur state </w:t>
      </w:r>
      <w:r w:rsidR="005369B2" w:rsidRPr="007E3A51">
        <w:rPr>
          <w:rFonts w:ascii="Times New Roman" w:hAnsi="Times New Roman" w:cs="Times New Roman"/>
          <w:lang w:val="en-GB"/>
        </w:rPr>
        <w:t xml:space="preserve">to </w:t>
      </w:r>
      <w:r w:rsidR="00B928C0" w:rsidRPr="007E3A51">
        <w:rPr>
          <w:rFonts w:ascii="Times New Roman" w:hAnsi="Times New Roman" w:cs="Times New Roman"/>
          <w:lang w:val="en-GB"/>
        </w:rPr>
        <w:t>understand that on</w:t>
      </w:r>
      <w:r w:rsidR="002E4D61" w:rsidRPr="007E3A51">
        <w:rPr>
          <w:rFonts w:ascii="Times New Roman" w:hAnsi="Times New Roman" w:cs="Times New Roman"/>
          <w:lang w:val="en-GB"/>
        </w:rPr>
        <w:t>ly on</w:t>
      </w:r>
      <w:r w:rsidR="00B928C0" w:rsidRPr="007E3A51">
        <w:rPr>
          <w:rFonts w:ascii="Times New Roman" w:hAnsi="Times New Roman" w:cs="Times New Roman"/>
          <w:lang w:val="en-GB"/>
        </w:rPr>
        <w:t xml:space="preserve"> inclusive principles </w:t>
      </w:r>
      <w:r w:rsidR="0035200F" w:rsidRPr="007E3A51">
        <w:rPr>
          <w:rFonts w:ascii="Times New Roman" w:hAnsi="Times New Roman" w:cs="Times New Roman"/>
          <w:lang w:val="en-GB"/>
        </w:rPr>
        <w:t>can</w:t>
      </w:r>
      <w:r w:rsidR="00B928C0" w:rsidRPr="007E3A51">
        <w:rPr>
          <w:rFonts w:ascii="Times New Roman" w:hAnsi="Times New Roman" w:cs="Times New Roman"/>
          <w:lang w:val="en-GB"/>
        </w:rPr>
        <w:t xml:space="preserve"> a balanced economy be built and the agricultural sector</w:t>
      </w:r>
      <w:r w:rsidR="005369B2" w:rsidRPr="007E3A51">
        <w:rPr>
          <w:rFonts w:ascii="Times New Roman" w:hAnsi="Times New Roman" w:cs="Times New Roman"/>
          <w:lang w:val="en-GB"/>
        </w:rPr>
        <w:t>,</w:t>
      </w:r>
      <w:r w:rsidR="00B928C0" w:rsidRPr="007E3A51">
        <w:rPr>
          <w:rFonts w:ascii="Times New Roman" w:hAnsi="Times New Roman" w:cs="Times New Roman"/>
          <w:lang w:val="en-GB"/>
        </w:rPr>
        <w:t xml:space="preserve"> in particular</w:t>
      </w:r>
      <w:r w:rsidR="005369B2" w:rsidRPr="007E3A51">
        <w:rPr>
          <w:rFonts w:ascii="Times New Roman" w:hAnsi="Times New Roman" w:cs="Times New Roman"/>
          <w:lang w:val="en-GB"/>
        </w:rPr>
        <w:t>, be</w:t>
      </w:r>
      <w:r w:rsidR="00B928C0" w:rsidRPr="007E3A51">
        <w:rPr>
          <w:rFonts w:ascii="Times New Roman" w:hAnsi="Times New Roman" w:cs="Times New Roman"/>
          <w:lang w:val="en-GB"/>
        </w:rPr>
        <w:t xml:space="preserve"> develop</w:t>
      </w:r>
      <w:r w:rsidR="00D769DE" w:rsidRPr="007E3A51">
        <w:rPr>
          <w:rFonts w:ascii="Times New Roman" w:hAnsi="Times New Roman" w:cs="Times New Roman"/>
          <w:lang w:val="en-GB"/>
        </w:rPr>
        <w:t>ed</w:t>
      </w:r>
      <w:r w:rsidR="00B928C0" w:rsidRPr="007E3A51">
        <w:rPr>
          <w:rFonts w:ascii="Times New Roman" w:hAnsi="Times New Roman" w:cs="Times New Roman"/>
          <w:lang w:val="en-GB"/>
        </w:rPr>
        <w:t>.</w:t>
      </w:r>
    </w:p>
    <w:p w14:paraId="20FA5F0E" w14:textId="23567D32" w:rsidR="0069154F" w:rsidRPr="007E3A51" w:rsidRDefault="0069154F" w:rsidP="00F80E61">
      <w:pPr>
        <w:pStyle w:val="Rn1"/>
        <w:rPr>
          <w:lang w:val="en-GB"/>
        </w:rPr>
      </w:pPr>
      <w:r w:rsidRPr="007E3A51">
        <w:rPr>
          <w:lang w:val="en-GB" w:eastAsia="ru-RU"/>
        </w:rPr>
        <w:t xml:space="preserve">4. </w:t>
      </w:r>
      <w:r w:rsidR="00506AD2" w:rsidRPr="007E3A51">
        <w:rPr>
          <w:lang w:val="en-GB" w:eastAsia="ru-RU"/>
        </w:rPr>
        <w:t>Discussion</w:t>
      </w:r>
    </w:p>
    <w:p w14:paraId="29F660FE" w14:textId="7A5AA72F" w:rsidR="00FF49A1" w:rsidRPr="007E3A51" w:rsidRDefault="003479E6" w:rsidP="00417DD6">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The c</w:t>
      </w:r>
      <w:r w:rsidR="00113145" w:rsidRPr="007E3A51">
        <w:rPr>
          <w:rFonts w:ascii="Times New Roman" w:hAnsi="Times New Roman" w:cs="Times New Roman"/>
          <w:lang w:val="en-GB"/>
        </w:rPr>
        <w:t>onducted</w:t>
      </w:r>
      <w:r w:rsidR="00742172" w:rsidRPr="007E3A51">
        <w:rPr>
          <w:rFonts w:ascii="Times New Roman" w:hAnsi="Times New Roman" w:cs="Times New Roman"/>
          <w:lang w:val="en-GB"/>
        </w:rPr>
        <w:t xml:space="preserve"> </w:t>
      </w:r>
      <w:r w:rsidR="00B63923" w:rsidRPr="007E3A51">
        <w:rPr>
          <w:rFonts w:ascii="Times New Roman" w:hAnsi="Times New Roman" w:cs="Times New Roman"/>
          <w:lang w:val="en-GB"/>
        </w:rPr>
        <w:t xml:space="preserve">research has shown that the full-scale war waged in Ukraine by </w:t>
      </w:r>
      <w:r w:rsidR="005369B2" w:rsidRPr="007E3A51">
        <w:rPr>
          <w:rFonts w:ascii="Times New Roman" w:hAnsi="Times New Roman" w:cs="Times New Roman"/>
          <w:lang w:val="en-GB"/>
        </w:rPr>
        <w:t>R</w:t>
      </w:r>
      <w:r w:rsidR="00B63923" w:rsidRPr="007E3A51">
        <w:rPr>
          <w:rFonts w:ascii="Times New Roman" w:hAnsi="Times New Roman" w:cs="Times New Roman"/>
          <w:lang w:val="en-GB"/>
        </w:rPr>
        <w:t>ussia has a significant negative impact on the development of the agri-food sector and food security in our country, threatening food security in the world. This is explained by m</w:t>
      </w:r>
      <w:r w:rsidR="00AD62FF" w:rsidRPr="007E3A51">
        <w:rPr>
          <w:rFonts w:ascii="Times New Roman" w:hAnsi="Times New Roman" w:cs="Times New Roman"/>
          <w:lang w:val="en-GB"/>
        </w:rPr>
        <w:t>ultiple</w:t>
      </w:r>
      <w:r w:rsidR="00B63923" w:rsidRPr="007E3A51">
        <w:rPr>
          <w:rFonts w:ascii="Times New Roman" w:hAnsi="Times New Roman" w:cs="Times New Roman"/>
          <w:lang w:val="en-GB"/>
        </w:rPr>
        <w:t xml:space="preserve"> </w:t>
      </w:r>
      <w:r w:rsidR="00AD62FF" w:rsidRPr="007E3A51">
        <w:rPr>
          <w:rFonts w:ascii="Times New Roman" w:hAnsi="Times New Roman" w:cs="Times New Roman"/>
          <w:lang w:val="en-GB"/>
        </w:rPr>
        <w:t>factor</w:t>
      </w:r>
      <w:r w:rsidR="00B63923" w:rsidRPr="007E3A51">
        <w:rPr>
          <w:rFonts w:ascii="Times New Roman" w:hAnsi="Times New Roman" w:cs="Times New Roman"/>
          <w:lang w:val="en-GB"/>
        </w:rPr>
        <w:t xml:space="preserve">s, including the following: the occupation of territories, active hostilities do not allow sowing and harvesting; the blockade of our ports, as well as restrictions on the borders by certain EU countries, also make it impossible to </w:t>
      </w:r>
      <w:r w:rsidR="00D33ACA" w:rsidRPr="007E3A51">
        <w:rPr>
          <w:rFonts w:ascii="Times New Roman" w:hAnsi="Times New Roman" w:cs="Times New Roman"/>
          <w:lang w:val="en-GB"/>
        </w:rPr>
        <w:t>fulfil</w:t>
      </w:r>
      <w:r w:rsidR="00B63923" w:rsidRPr="007E3A51">
        <w:rPr>
          <w:rFonts w:ascii="Times New Roman" w:hAnsi="Times New Roman" w:cs="Times New Roman"/>
          <w:lang w:val="en-GB"/>
        </w:rPr>
        <w:t xml:space="preserve"> contractual obligations; shelling of critical infrastructure significantly complicates the process of working at agricultural enterprises and storing food; migration flows have caused a significant outflow of labour</w:t>
      </w:r>
      <w:r w:rsidR="00E24777" w:rsidRPr="007E3A51">
        <w:rPr>
          <w:rFonts w:ascii="Times New Roman" w:hAnsi="Times New Roman" w:cs="Times New Roman"/>
          <w:lang w:val="en-GB"/>
        </w:rPr>
        <w:t xml:space="preserve"> ()</w:t>
      </w:r>
      <w:r w:rsidR="00B63923" w:rsidRPr="007E3A51">
        <w:rPr>
          <w:rFonts w:ascii="Times New Roman" w:hAnsi="Times New Roman" w:cs="Times New Roman"/>
          <w:lang w:val="en-GB"/>
        </w:rPr>
        <w:t>; enterprises were forced to abandon their facilities and start business in another region, which requires time to develop new types of activity, etc. All this justifies the directions in which the agri-food sector of Ukraine should develop in the future, ensuring the food security of our country. Its development should take place on an inclusive basis, taking into consideration the global orientation towards the Sustainable Development Goals and the European Green Deal, as Ukraine</w:t>
      </w:r>
      <w:r w:rsidR="005369B2" w:rsidRPr="007E3A51">
        <w:rPr>
          <w:rFonts w:ascii="Times New Roman" w:hAnsi="Times New Roman" w:cs="Times New Roman"/>
          <w:lang w:val="en-GB"/>
        </w:rPr>
        <w:t>'</w:t>
      </w:r>
      <w:r w:rsidR="00B63923" w:rsidRPr="007E3A51">
        <w:rPr>
          <w:rFonts w:ascii="Times New Roman" w:hAnsi="Times New Roman" w:cs="Times New Roman"/>
          <w:lang w:val="en-GB"/>
        </w:rPr>
        <w:t>s European integration ambitions should be supported by appropriate actions and policies from the state. To do this, it is necessary to create the maximum possible basis for the development of SMEs, which are key to the development of the economy of any state, providing jobs for the population, solving the problems of self-employment, creating innovations</w:t>
      </w:r>
      <w:r w:rsidR="005369B2" w:rsidRPr="007E3A51">
        <w:rPr>
          <w:rFonts w:ascii="Times New Roman" w:hAnsi="Times New Roman" w:cs="Times New Roman"/>
          <w:lang w:val="en-GB"/>
        </w:rPr>
        <w:t>,</w:t>
      </w:r>
      <w:r w:rsidR="00B63923" w:rsidRPr="007E3A51">
        <w:rPr>
          <w:rFonts w:ascii="Times New Roman" w:hAnsi="Times New Roman" w:cs="Times New Roman"/>
          <w:lang w:val="en-GB"/>
        </w:rPr>
        <w:t xml:space="preserve"> and supporting the market economy. In this aspect, we cannot but agree with </w:t>
      </w:r>
      <w:proofErr w:type="spellStart"/>
      <w:r w:rsidR="00B63923" w:rsidRPr="007E3A51">
        <w:rPr>
          <w:rFonts w:ascii="Times New Roman" w:hAnsi="Times New Roman" w:cs="Times New Roman"/>
          <w:lang w:val="en-GB"/>
        </w:rPr>
        <w:t>Nehrey</w:t>
      </w:r>
      <w:proofErr w:type="spellEnd"/>
      <w:r w:rsidR="00B63923" w:rsidRPr="007E3A51">
        <w:rPr>
          <w:rFonts w:ascii="Times New Roman" w:hAnsi="Times New Roman" w:cs="Times New Roman"/>
          <w:lang w:val="en-GB"/>
        </w:rPr>
        <w:t xml:space="preserve"> and Finger</w:t>
      </w:r>
      <w:r w:rsidR="00254F1A" w:rsidRPr="007E3A51">
        <w:rPr>
          <w:rFonts w:ascii="Times New Roman" w:hAnsi="Times New Roman" w:cs="Times New Roman"/>
          <w:lang w:val="en-GB"/>
        </w:rPr>
        <w:t xml:space="preserve"> (2024)</w:t>
      </w:r>
      <w:r w:rsidR="00B63923" w:rsidRPr="007E3A51">
        <w:rPr>
          <w:rFonts w:ascii="Times New Roman" w:hAnsi="Times New Roman" w:cs="Times New Roman"/>
          <w:lang w:val="en-GB"/>
        </w:rPr>
        <w:t>, who identify small and medium-sized businesses as one of the promising direction</w:t>
      </w:r>
      <w:r w:rsidR="005369B2" w:rsidRPr="007E3A51">
        <w:rPr>
          <w:rFonts w:ascii="Times New Roman" w:hAnsi="Times New Roman" w:cs="Times New Roman"/>
          <w:lang w:val="en-GB"/>
        </w:rPr>
        <w:t>s</w:t>
      </w:r>
      <w:r w:rsidR="00B63923" w:rsidRPr="007E3A51">
        <w:rPr>
          <w:rFonts w:ascii="Times New Roman" w:hAnsi="Times New Roman" w:cs="Times New Roman"/>
          <w:lang w:val="en-GB"/>
        </w:rPr>
        <w:t xml:space="preserve"> for strengthening. This is one of the dimensions of an inclusive approach to managing the agri-food sector. To do this, it is necessary to introduce various economic incentives, disseminate information on access to financing</w:t>
      </w:r>
      <w:r w:rsidR="005369B2" w:rsidRPr="007E3A51">
        <w:rPr>
          <w:rFonts w:ascii="Times New Roman" w:hAnsi="Times New Roman" w:cs="Times New Roman"/>
          <w:lang w:val="en-GB"/>
        </w:rPr>
        <w:t>,</w:t>
      </w:r>
      <w:r w:rsidR="00B63923" w:rsidRPr="007E3A51">
        <w:rPr>
          <w:rFonts w:ascii="Times New Roman" w:hAnsi="Times New Roman" w:cs="Times New Roman"/>
          <w:lang w:val="en-GB"/>
        </w:rPr>
        <w:t xml:space="preserve"> and participation in various programs from international donors.</w:t>
      </w:r>
      <w:r w:rsidR="004C3885" w:rsidRPr="007E3A51">
        <w:rPr>
          <w:rFonts w:ascii="Times New Roman" w:hAnsi="Times New Roman" w:cs="Times New Roman"/>
          <w:lang w:val="en-GB"/>
        </w:rPr>
        <w:t xml:space="preserve"> </w:t>
      </w:r>
      <w:r w:rsidR="00556942" w:rsidRPr="007E3A51">
        <w:rPr>
          <w:rFonts w:ascii="Times New Roman" w:hAnsi="Times New Roman" w:cs="Times New Roman"/>
          <w:spacing w:val="-2"/>
          <w:lang w:val="en-GB"/>
        </w:rPr>
        <w:t>Moreover</w:t>
      </w:r>
      <w:r w:rsidR="004C3885" w:rsidRPr="007E3A51">
        <w:rPr>
          <w:rFonts w:ascii="Times New Roman" w:hAnsi="Times New Roman" w:cs="Times New Roman"/>
          <w:spacing w:val="-2"/>
          <w:lang w:val="en-GB"/>
        </w:rPr>
        <w:t xml:space="preserve">, Ukraine </w:t>
      </w:r>
      <w:r w:rsidR="00C17ACC" w:rsidRPr="007E3A51">
        <w:rPr>
          <w:rFonts w:ascii="Times New Roman" w:hAnsi="Times New Roman" w:cs="Times New Roman"/>
          <w:spacing w:val="-2"/>
          <w:lang w:val="en-GB"/>
        </w:rPr>
        <w:t>must</w:t>
      </w:r>
      <w:r w:rsidR="004C3885" w:rsidRPr="007E3A51">
        <w:rPr>
          <w:rFonts w:ascii="Times New Roman" w:hAnsi="Times New Roman" w:cs="Times New Roman"/>
          <w:spacing w:val="-2"/>
          <w:lang w:val="en-GB"/>
        </w:rPr>
        <w:t xml:space="preserve"> harmonise its norms and standards of agricultural production with the EU</w:t>
      </w:r>
      <w:r w:rsidR="005369B2" w:rsidRPr="007E3A51">
        <w:rPr>
          <w:rFonts w:ascii="Times New Roman" w:hAnsi="Times New Roman" w:cs="Times New Roman"/>
          <w:spacing w:val="-2"/>
          <w:lang w:val="en-GB"/>
        </w:rPr>
        <w:t>'</w:t>
      </w:r>
      <w:r w:rsidR="004C3885" w:rsidRPr="007E3A51">
        <w:rPr>
          <w:rFonts w:ascii="Times New Roman" w:hAnsi="Times New Roman" w:cs="Times New Roman"/>
          <w:spacing w:val="-2"/>
          <w:lang w:val="en-GB"/>
        </w:rPr>
        <w:t xml:space="preserve">s ones. </w:t>
      </w:r>
      <w:r w:rsidR="006C4709" w:rsidRPr="007E3A51">
        <w:rPr>
          <w:rFonts w:ascii="Times New Roman" w:hAnsi="Times New Roman" w:cs="Times New Roman"/>
          <w:spacing w:val="-2"/>
          <w:lang w:val="en-GB"/>
        </w:rPr>
        <w:t xml:space="preserve">That makes </w:t>
      </w:r>
      <w:r w:rsidR="005369B2" w:rsidRPr="007E3A51">
        <w:rPr>
          <w:rFonts w:ascii="Times New Roman" w:hAnsi="Times New Roman" w:cs="Times New Roman"/>
          <w:spacing w:val="-2"/>
          <w:lang w:val="en-GB"/>
        </w:rPr>
        <w:t xml:space="preserve">it </w:t>
      </w:r>
      <w:r w:rsidR="006C4709" w:rsidRPr="007E3A51">
        <w:rPr>
          <w:rFonts w:ascii="Times New Roman" w:hAnsi="Times New Roman" w:cs="Times New Roman"/>
          <w:spacing w:val="-2"/>
          <w:lang w:val="en-GB"/>
        </w:rPr>
        <w:t xml:space="preserve">possible to consume all </w:t>
      </w:r>
      <w:r w:rsidR="005369B2" w:rsidRPr="007E3A51">
        <w:rPr>
          <w:rFonts w:ascii="Times New Roman" w:hAnsi="Times New Roman" w:cs="Times New Roman"/>
          <w:spacing w:val="-2"/>
          <w:lang w:val="en-GB"/>
        </w:rPr>
        <w:t xml:space="preserve">the </w:t>
      </w:r>
      <w:r w:rsidR="006C4709" w:rsidRPr="007E3A51">
        <w:rPr>
          <w:rFonts w:ascii="Times New Roman" w:hAnsi="Times New Roman" w:cs="Times New Roman"/>
          <w:spacing w:val="-2"/>
          <w:lang w:val="en-GB"/>
        </w:rPr>
        <w:t>advantages of Ukraine</w:t>
      </w:r>
      <w:r w:rsidR="005369B2" w:rsidRPr="007E3A51">
        <w:rPr>
          <w:rFonts w:ascii="Times New Roman" w:hAnsi="Times New Roman" w:cs="Times New Roman"/>
          <w:spacing w:val="-2"/>
          <w:lang w:val="en-GB"/>
        </w:rPr>
        <w:t>'</w:t>
      </w:r>
      <w:r w:rsidR="006C4709" w:rsidRPr="007E3A51">
        <w:rPr>
          <w:rFonts w:ascii="Times New Roman" w:hAnsi="Times New Roman" w:cs="Times New Roman"/>
          <w:spacing w:val="-2"/>
          <w:lang w:val="en-GB"/>
        </w:rPr>
        <w:t>s accession to the EU.</w:t>
      </w:r>
      <w:r w:rsidR="00EC0CF1" w:rsidRPr="007E3A51">
        <w:rPr>
          <w:rFonts w:ascii="Times New Roman" w:hAnsi="Times New Roman" w:cs="Times New Roman"/>
          <w:spacing w:val="-2"/>
          <w:lang w:val="en-GB"/>
        </w:rPr>
        <w:t xml:space="preserve"> Here we fully share </w:t>
      </w:r>
      <w:r w:rsidR="005369B2" w:rsidRPr="007E3A51">
        <w:rPr>
          <w:rFonts w:ascii="Times New Roman" w:hAnsi="Times New Roman" w:cs="Times New Roman"/>
          <w:spacing w:val="-2"/>
          <w:lang w:val="en-GB"/>
        </w:rPr>
        <w:t xml:space="preserve">the </w:t>
      </w:r>
      <w:r w:rsidR="00EC0CF1" w:rsidRPr="007E3A51">
        <w:rPr>
          <w:rFonts w:ascii="Times New Roman" w:hAnsi="Times New Roman" w:cs="Times New Roman"/>
          <w:spacing w:val="-2"/>
          <w:lang w:val="en-GB"/>
        </w:rPr>
        <w:t xml:space="preserve">views of </w:t>
      </w:r>
      <w:r w:rsidR="008565AB" w:rsidRPr="007E3A51">
        <w:rPr>
          <w:rFonts w:ascii="Times New Roman" w:hAnsi="Times New Roman" w:cs="Times New Roman"/>
          <w:spacing w:val="-2"/>
          <w:lang w:val="en-GB"/>
        </w:rPr>
        <w:t xml:space="preserve">scientists </w:t>
      </w:r>
      <w:proofErr w:type="spellStart"/>
      <w:r w:rsidR="008565AB" w:rsidRPr="007E3A51">
        <w:rPr>
          <w:rFonts w:ascii="Times New Roman" w:hAnsi="Times New Roman" w:cs="Times New Roman"/>
          <w:spacing w:val="-2"/>
          <w:lang w:val="en-GB"/>
        </w:rPr>
        <w:t>Shubravska</w:t>
      </w:r>
      <w:proofErr w:type="spellEnd"/>
      <w:r w:rsidR="008565AB" w:rsidRPr="007E3A51">
        <w:rPr>
          <w:rFonts w:ascii="Times New Roman" w:hAnsi="Times New Roman" w:cs="Times New Roman"/>
          <w:spacing w:val="-2"/>
          <w:lang w:val="en-GB"/>
        </w:rPr>
        <w:t xml:space="preserve"> </w:t>
      </w:r>
      <w:r w:rsidR="002A153E" w:rsidRPr="007E3A51">
        <w:rPr>
          <w:rFonts w:ascii="Times New Roman" w:hAnsi="Times New Roman" w:cs="Times New Roman"/>
          <w:spacing w:val="-2"/>
          <w:lang w:val="en-GB"/>
        </w:rPr>
        <w:t>et al. (</w:t>
      </w:r>
      <w:r w:rsidR="002637A9" w:rsidRPr="007E3A51">
        <w:rPr>
          <w:rFonts w:ascii="Times New Roman" w:hAnsi="Times New Roman" w:cs="Times New Roman"/>
          <w:spacing w:val="-2"/>
          <w:lang w:val="en-GB"/>
        </w:rPr>
        <w:t>2024</w:t>
      </w:r>
      <w:r w:rsidR="008565AB" w:rsidRPr="007E3A51">
        <w:rPr>
          <w:rFonts w:ascii="Times New Roman" w:hAnsi="Times New Roman" w:cs="Times New Roman"/>
          <w:spacing w:val="-2"/>
          <w:lang w:val="en-GB"/>
        </w:rPr>
        <w:t>)</w:t>
      </w:r>
      <w:r w:rsidR="00254F1A" w:rsidRPr="007E3A51">
        <w:rPr>
          <w:rFonts w:ascii="Times New Roman" w:hAnsi="Times New Roman" w:cs="Times New Roman"/>
          <w:spacing w:val="-2"/>
          <w:lang w:val="en-GB"/>
        </w:rPr>
        <w:t xml:space="preserve"> and </w:t>
      </w:r>
      <w:r w:rsidR="00254F1A" w:rsidRPr="007E3A51">
        <w:rPr>
          <w:rFonts w:ascii="Times New Roman" w:hAnsi="Times New Roman" w:cs="Times New Roman"/>
          <w:bCs/>
          <w:spacing w:val="-2"/>
          <w:lang w:val="en-GB"/>
        </w:rPr>
        <w:t>Popova et al. (2022)</w:t>
      </w:r>
      <w:r w:rsidR="008565AB" w:rsidRPr="007E3A51">
        <w:rPr>
          <w:rFonts w:ascii="Times New Roman" w:hAnsi="Times New Roman" w:cs="Times New Roman"/>
          <w:spacing w:val="-2"/>
          <w:lang w:val="en-GB"/>
        </w:rPr>
        <w:t>.</w:t>
      </w:r>
    </w:p>
    <w:p w14:paraId="751B53FD" w14:textId="5AB515A1" w:rsidR="000F0384" w:rsidRPr="007E3A51" w:rsidRDefault="00B63923" w:rsidP="00417DD6">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Another important aspect should be the involvement of women in the agri-food sector, which is also a</w:t>
      </w:r>
      <w:r w:rsidR="00625A8A" w:rsidRPr="007E3A51">
        <w:rPr>
          <w:rFonts w:ascii="Times New Roman" w:hAnsi="Times New Roman" w:cs="Times New Roman"/>
          <w:lang w:val="en-GB"/>
        </w:rPr>
        <w:t> </w:t>
      </w:r>
      <w:r w:rsidRPr="007E3A51">
        <w:rPr>
          <w:rFonts w:ascii="Times New Roman" w:hAnsi="Times New Roman" w:cs="Times New Roman"/>
          <w:lang w:val="en-GB"/>
        </w:rPr>
        <w:t xml:space="preserve">response to today's challenges. </w:t>
      </w:r>
      <w:r w:rsidR="00FB1037" w:rsidRPr="007E3A51">
        <w:rPr>
          <w:rFonts w:ascii="Times New Roman" w:hAnsi="Times New Roman" w:cs="Times New Roman"/>
          <w:lang w:val="en-GB"/>
        </w:rPr>
        <w:t>Strengthening</w:t>
      </w:r>
      <w:r w:rsidRPr="007E3A51">
        <w:rPr>
          <w:rFonts w:ascii="Times New Roman" w:hAnsi="Times New Roman" w:cs="Times New Roman"/>
          <w:lang w:val="en-GB"/>
        </w:rPr>
        <w:t xml:space="preserve"> their role in farm management will allow the restoration of SMEs </w:t>
      </w:r>
      <w:r w:rsidRPr="007E3A51">
        <w:rPr>
          <w:rFonts w:ascii="Times New Roman" w:hAnsi="Times New Roman" w:cs="Times New Roman"/>
          <w:lang w:val="en-GB"/>
        </w:rPr>
        <w:lastRenderedPageBreak/>
        <w:t xml:space="preserve">that were forced to close due to hostilities, population evacuation, and </w:t>
      </w:r>
      <w:r w:rsidR="005369B2" w:rsidRPr="007E3A51">
        <w:rPr>
          <w:rFonts w:ascii="Times New Roman" w:hAnsi="Times New Roman" w:cs="Times New Roman"/>
          <w:lang w:val="en-GB"/>
        </w:rPr>
        <w:t xml:space="preserve">the </w:t>
      </w:r>
      <w:r w:rsidRPr="007E3A51">
        <w:rPr>
          <w:rFonts w:ascii="Times New Roman" w:hAnsi="Times New Roman" w:cs="Times New Roman"/>
          <w:lang w:val="en-GB"/>
        </w:rPr>
        <w:t xml:space="preserve">mobilization of managers and other male personnel. This will </w:t>
      </w:r>
      <w:r w:rsidR="00D23D3F" w:rsidRPr="007E3A51">
        <w:rPr>
          <w:rFonts w:ascii="Times New Roman" w:hAnsi="Times New Roman" w:cs="Times New Roman"/>
          <w:lang w:val="en-GB"/>
        </w:rPr>
        <w:t>contribute to</w:t>
      </w:r>
      <w:r w:rsidRPr="007E3A51">
        <w:rPr>
          <w:rFonts w:ascii="Times New Roman" w:hAnsi="Times New Roman" w:cs="Times New Roman"/>
          <w:lang w:val="en-GB"/>
        </w:rPr>
        <w:t xml:space="preserve"> the restoration of the pace of development of the agri-food sector and ensure food security in Ukraine.</w:t>
      </w:r>
      <w:r w:rsidR="000F0384" w:rsidRPr="007E3A51">
        <w:rPr>
          <w:rFonts w:ascii="Times New Roman" w:hAnsi="Times New Roman" w:cs="Times New Roman"/>
          <w:lang w:val="en-GB"/>
        </w:rPr>
        <w:t xml:space="preserve"> </w:t>
      </w:r>
      <w:r w:rsidR="001514C7" w:rsidRPr="007E3A51">
        <w:rPr>
          <w:rFonts w:ascii="Times New Roman" w:hAnsi="Times New Roman" w:cs="Times New Roman"/>
          <w:lang w:val="en-GB"/>
        </w:rPr>
        <w:t xml:space="preserve">As it was noted in modern foreign research </w:t>
      </w:r>
      <w:r w:rsidR="005369B2" w:rsidRPr="007E3A51">
        <w:rPr>
          <w:rFonts w:ascii="Times New Roman" w:hAnsi="Times New Roman" w:cs="Times New Roman"/>
          <w:lang w:val="en-GB"/>
        </w:rPr>
        <w:t>by</w:t>
      </w:r>
      <w:r w:rsidR="0062416F" w:rsidRPr="007E3A51">
        <w:rPr>
          <w:rFonts w:ascii="Times New Roman" w:hAnsi="Times New Roman" w:cs="Times New Roman"/>
          <w:lang w:val="en-GB"/>
        </w:rPr>
        <w:t xml:space="preserve"> Rudolfsen I. with co-authors, food insecurity in Ukraine </w:t>
      </w:r>
      <w:r w:rsidR="005369B2" w:rsidRPr="007E3A51">
        <w:rPr>
          <w:rFonts w:ascii="Times New Roman" w:hAnsi="Times New Roman" w:cs="Times New Roman"/>
          <w:lang w:val="en-GB"/>
        </w:rPr>
        <w:t>is exactly</w:t>
      </w:r>
      <w:r w:rsidR="0062416F" w:rsidRPr="007E3A51">
        <w:rPr>
          <w:rFonts w:ascii="Times New Roman" w:hAnsi="Times New Roman" w:cs="Times New Roman"/>
          <w:lang w:val="en-GB"/>
        </w:rPr>
        <w:t xml:space="preserve"> driven by the war (Rudolfsen et al</w:t>
      </w:r>
      <w:r w:rsidR="00D35C7F" w:rsidRPr="007E3A51">
        <w:rPr>
          <w:rFonts w:ascii="Times New Roman" w:hAnsi="Times New Roman" w:cs="Times New Roman"/>
          <w:lang w:val="en-GB"/>
        </w:rPr>
        <w:t>.</w:t>
      </w:r>
      <w:r w:rsidR="0062416F" w:rsidRPr="007E3A51">
        <w:rPr>
          <w:rFonts w:ascii="Times New Roman" w:hAnsi="Times New Roman" w:cs="Times New Roman"/>
          <w:lang w:val="en-GB"/>
        </w:rPr>
        <w:t xml:space="preserve"> 2024). Th</w:t>
      </w:r>
      <w:r w:rsidR="005369B2" w:rsidRPr="007E3A51">
        <w:rPr>
          <w:rFonts w:ascii="Times New Roman" w:hAnsi="Times New Roman" w:cs="Times New Roman"/>
          <w:lang w:val="en-GB"/>
        </w:rPr>
        <w:t>ese</w:t>
      </w:r>
      <w:r w:rsidR="0062416F" w:rsidRPr="007E3A51">
        <w:rPr>
          <w:rFonts w:ascii="Times New Roman" w:hAnsi="Times New Roman" w:cs="Times New Roman"/>
          <w:lang w:val="en-GB"/>
        </w:rPr>
        <w:t xml:space="preserve"> </w:t>
      </w:r>
      <w:r w:rsidR="001A7269" w:rsidRPr="007E3A51">
        <w:rPr>
          <w:rFonts w:ascii="Times New Roman" w:hAnsi="Times New Roman" w:cs="Times New Roman"/>
          <w:lang w:val="en-GB"/>
        </w:rPr>
        <w:t>findings</w:t>
      </w:r>
      <w:r w:rsidR="0062416F" w:rsidRPr="007E3A51">
        <w:rPr>
          <w:rFonts w:ascii="Times New Roman" w:hAnsi="Times New Roman" w:cs="Times New Roman"/>
          <w:lang w:val="en-GB"/>
        </w:rPr>
        <w:t xml:space="preserve"> prove our thoughts and </w:t>
      </w:r>
      <w:r w:rsidR="005054CD" w:rsidRPr="007E3A51">
        <w:rPr>
          <w:rFonts w:ascii="Times New Roman" w:hAnsi="Times New Roman" w:cs="Times New Roman"/>
          <w:lang w:val="en-GB"/>
        </w:rPr>
        <w:t>conclusion</w:t>
      </w:r>
      <w:r w:rsidR="0062416F" w:rsidRPr="007E3A51">
        <w:rPr>
          <w:rFonts w:ascii="Times New Roman" w:hAnsi="Times New Roman" w:cs="Times New Roman"/>
          <w:lang w:val="en-GB"/>
        </w:rPr>
        <w:t>s</w:t>
      </w:r>
      <w:r w:rsidR="00CB1777" w:rsidRPr="007E3A51">
        <w:rPr>
          <w:rFonts w:ascii="Times New Roman" w:hAnsi="Times New Roman" w:cs="Times New Roman"/>
          <w:lang w:val="en-GB"/>
        </w:rPr>
        <w:t xml:space="preserve"> alongside </w:t>
      </w:r>
      <w:r w:rsidR="005369B2" w:rsidRPr="007E3A51">
        <w:rPr>
          <w:rFonts w:ascii="Times New Roman" w:hAnsi="Times New Roman" w:cs="Times New Roman"/>
          <w:lang w:val="en-GB"/>
        </w:rPr>
        <w:t>the</w:t>
      </w:r>
      <w:r w:rsidR="00CB1777" w:rsidRPr="007E3A51">
        <w:rPr>
          <w:rFonts w:ascii="Times New Roman" w:hAnsi="Times New Roman" w:cs="Times New Roman"/>
          <w:lang w:val="en-GB"/>
        </w:rPr>
        <w:t xml:space="preserve"> research of Vesco</w:t>
      </w:r>
      <w:r w:rsidR="00EA4B54" w:rsidRPr="007E3A51">
        <w:rPr>
          <w:rFonts w:ascii="Times New Roman" w:hAnsi="Times New Roman" w:cs="Times New Roman"/>
          <w:lang w:val="en-GB"/>
        </w:rPr>
        <w:t xml:space="preserve"> et al. (2025)</w:t>
      </w:r>
      <w:r w:rsidR="00CB1777" w:rsidRPr="007E3A51">
        <w:rPr>
          <w:rFonts w:ascii="Times New Roman" w:hAnsi="Times New Roman" w:cs="Times New Roman"/>
          <w:lang w:val="en-GB"/>
        </w:rPr>
        <w:t xml:space="preserve">, Lin </w:t>
      </w:r>
      <w:r w:rsidR="00EA4B54" w:rsidRPr="007E3A51">
        <w:rPr>
          <w:rFonts w:ascii="Times New Roman" w:hAnsi="Times New Roman" w:cs="Times New Roman"/>
          <w:lang w:val="en-GB"/>
        </w:rPr>
        <w:t>et al. (2023)</w:t>
      </w:r>
      <w:r w:rsidR="00CB1777" w:rsidRPr="007E3A51">
        <w:rPr>
          <w:rFonts w:ascii="Times New Roman" w:hAnsi="Times New Roman" w:cs="Times New Roman"/>
          <w:lang w:val="en-GB"/>
        </w:rPr>
        <w:t>, with which we fully and completely agree</w:t>
      </w:r>
      <w:r w:rsidR="00FF49A1" w:rsidRPr="007E3A51">
        <w:rPr>
          <w:rFonts w:ascii="Times New Roman" w:hAnsi="Times New Roman" w:cs="Times New Roman"/>
          <w:lang w:val="en-GB"/>
        </w:rPr>
        <w:t xml:space="preserve">. </w:t>
      </w:r>
      <w:r w:rsidR="005B1CD6" w:rsidRPr="007E3A51">
        <w:rPr>
          <w:rFonts w:ascii="Times New Roman" w:hAnsi="Times New Roman" w:cs="Times New Roman"/>
          <w:lang w:val="en-GB"/>
        </w:rPr>
        <w:t>Both s</w:t>
      </w:r>
      <w:r w:rsidR="001B5171" w:rsidRPr="007E3A51">
        <w:rPr>
          <w:rFonts w:ascii="Times New Roman" w:hAnsi="Times New Roman" w:cs="Times New Roman"/>
          <w:lang w:val="en-GB"/>
        </w:rPr>
        <w:t>c</w:t>
      </w:r>
      <w:r w:rsidR="009A6AE0" w:rsidRPr="007E3A51">
        <w:rPr>
          <w:rFonts w:ascii="Times New Roman" w:hAnsi="Times New Roman" w:cs="Times New Roman"/>
          <w:lang w:val="en-GB"/>
        </w:rPr>
        <w:t>holars</w:t>
      </w:r>
      <w:r w:rsidR="001B5171" w:rsidRPr="007E3A51">
        <w:rPr>
          <w:rFonts w:ascii="Times New Roman" w:hAnsi="Times New Roman" w:cs="Times New Roman"/>
          <w:lang w:val="en-GB"/>
        </w:rPr>
        <w:t xml:space="preserve"> and we have no differences of opinion regarding the impact of the war on the social and economic consequences in the country, on the growth of exclusion in such conditions, as well as on the increasing risk of food insecurity not only in Ukraine but throughout the world.</w:t>
      </w:r>
      <w:r w:rsidR="00FC0572" w:rsidRPr="007E3A51">
        <w:rPr>
          <w:rFonts w:ascii="Times New Roman" w:hAnsi="Times New Roman" w:cs="Times New Roman"/>
          <w:lang w:val="en-GB"/>
        </w:rPr>
        <w:t xml:space="preserve"> </w:t>
      </w:r>
    </w:p>
    <w:p w14:paraId="602D59ED" w14:textId="41142177" w:rsidR="00300BFD" w:rsidRPr="007E3A51" w:rsidRDefault="00D864B4" w:rsidP="00417DD6">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The above-d</w:t>
      </w:r>
      <w:r w:rsidR="00F044A5" w:rsidRPr="007E3A51">
        <w:rPr>
          <w:rFonts w:ascii="Times New Roman" w:hAnsi="Times New Roman" w:cs="Times New Roman"/>
          <w:lang w:val="en-GB"/>
        </w:rPr>
        <w:t xml:space="preserve">escribed </w:t>
      </w:r>
      <w:r w:rsidRPr="007E3A51">
        <w:rPr>
          <w:rFonts w:ascii="Times New Roman" w:hAnsi="Times New Roman" w:cs="Times New Roman"/>
          <w:lang w:val="en-GB"/>
        </w:rPr>
        <w:t xml:space="preserve">aspects </w:t>
      </w:r>
      <w:r w:rsidR="00F044A5" w:rsidRPr="007E3A51">
        <w:rPr>
          <w:rFonts w:ascii="Times New Roman" w:hAnsi="Times New Roman" w:cs="Times New Roman"/>
          <w:lang w:val="en-GB"/>
        </w:rPr>
        <w:t xml:space="preserve">illustrate that </w:t>
      </w:r>
      <w:r w:rsidR="00AF3FC7" w:rsidRPr="007E3A51">
        <w:rPr>
          <w:rFonts w:ascii="Times New Roman" w:hAnsi="Times New Roman" w:cs="Times New Roman"/>
          <w:lang w:val="en-GB"/>
        </w:rPr>
        <w:t xml:space="preserve">an inclusive approach is essential </w:t>
      </w:r>
      <w:r w:rsidR="00800A2B" w:rsidRPr="007E3A51">
        <w:rPr>
          <w:rFonts w:ascii="Times New Roman" w:hAnsi="Times New Roman" w:cs="Times New Roman"/>
          <w:lang w:val="en-GB"/>
        </w:rPr>
        <w:t>for</w:t>
      </w:r>
      <w:r w:rsidR="00AF3FC7" w:rsidRPr="007E3A51">
        <w:rPr>
          <w:rFonts w:ascii="Times New Roman" w:hAnsi="Times New Roman" w:cs="Times New Roman"/>
          <w:lang w:val="en-GB"/>
        </w:rPr>
        <w:t xml:space="preserve"> </w:t>
      </w:r>
      <w:r w:rsidR="00C64710" w:rsidRPr="007E3A51">
        <w:rPr>
          <w:rFonts w:ascii="Times New Roman" w:hAnsi="Times New Roman" w:cs="Times New Roman"/>
          <w:lang w:val="en-GB"/>
        </w:rPr>
        <w:t xml:space="preserve">Ukrainian development and </w:t>
      </w:r>
      <w:r w:rsidR="008F0BA5" w:rsidRPr="007E3A51">
        <w:rPr>
          <w:rFonts w:ascii="Times New Roman" w:hAnsi="Times New Roman" w:cs="Times New Roman"/>
          <w:lang w:val="en-GB"/>
        </w:rPr>
        <w:t xml:space="preserve">is fully </w:t>
      </w:r>
      <w:r w:rsidR="000746B0" w:rsidRPr="007E3A51">
        <w:rPr>
          <w:rFonts w:ascii="Times New Roman" w:hAnsi="Times New Roman" w:cs="Times New Roman"/>
          <w:lang w:val="en-GB"/>
        </w:rPr>
        <w:t>aligned</w:t>
      </w:r>
      <w:r w:rsidR="00C64710" w:rsidRPr="007E3A51">
        <w:rPr>
          <w:rFonts w:ascii="Times New Roman" w:hAnsi="Times New Roman" w:cs="Times New Roman"/>
          <w:lang w:val="en-GB"/>
        </w:rPr>
        <w:t xml:space="preserve"> with </w:t>
      </w:r>
      <w:r w:rsidR="00431319" w:rsidRPr="007E3A51">
        <w:rPr>
          <w:rFonts w:ascii="Times New Roman" w:hAnsi="Times New Roman" w:cs="Times New Roman"/>
          <w:lang w:val="en-GB"/>
        </w:rPr>
        <w:t xml:space="preserve">the </w:t>
      </w:r>
      <w:proofErr w:type="spellStart"/>
      <w:r w:rsidR="00431319" w:rsidRPr="007E3A51">
        <w:rPr>
          <w:rFonts w:ascii="Times New Roman" w:hAnsi="Times New Roman" w:cs="Times New Roman"/>
          <w:lang w:val="en-GB"/>
        </w:rPr>
        <w:t>E</w:t>
      </w:r>
      <w:r w:rsidR="00C64710" w:rsidRPr="007E3A51">
        <w:rPr>
          <w:rFonts w:ascii="Times New Roman" w:hAnsi="Times New Roman" w:cs="Times New Roman"/>
          <w:lang w:val="en-GB"/>
        </w:rPr>
        <w:t>urointegration</w:t>
      </w:r>
      <w:proofErr w:type="spellEnd"/>
      <w:r w:rsidR="00C64710" w:rsidRPr="007E3A51">
        <w:rPr>
          <w:rFonts w:ascii="Times New Roman" w:hAnsi="Times New Roman" w:cs="Times New Roman"/>
          <w:lang w:val="en-GB"/>
        </w:rPr>
        <w:t xml:space="preserve"> path. </w:t>
      </w:r>
      <w:r w:rsidR="00A9739F" w:rsidRPr="007E3A51">
        <w:rPr>
          <w:rFonts w:ascii="Times New Roman" w:hAnsi="Times New Roman" w:cs="Times New Roman"/>
          <w:lang w:val="en-GB"/>
        </w:rPr>
        <w:t>An inclusive approach should not be limited to support</w:t>
      </w:r>
      <w:r w:rsidR="001D0CC4" w:rsidRPr="007E3A51">
        <w:rPr>
          <w:rFonts w:ascii="Times New Roman" w:hAnsi="Times New Roman" w:cs="Times New Roman"/>
          <w:lang w:val="en-GB"/>
        </w:rPr>
        <w:t>ing</w:t>
      </w:r>
      <w:r w:rsidR="00A9739F" w:rsidRPr="007E3A51">
        <w:rPr>
          <w:rFonts w:ascii="Times New Roman" w:hAnsi="Times New Roman" w:cs="Times New Roman"/>
          <w:lang w:val="en-GB"/>
        </w:rPr>
        <w:t xml:space="preserve"> only SMEs or gender equality, </w:t>
      </w:r>
      <w:r w:rsidR="00E74A4A" w:rsidRPr="007E3A51">
        <w:rPr>
          <w:rFonts w:ascii="Times New Roman" w:hAnsi="Times New Roman" w:cs="Times New Roman"/>
          <w:lang w:val="en-GB"/>
        </w:rPr>
        <w:t xml:space="preserve">but </w:t>
      </w:r>
      <w:r w:rsidR="00B22652" w:rsidRPr="007E3A51">
        <w:rPr>
          <w:rFonts w:ascii="Times New Roman" w:hAnsi="Times New Roman" w:cs="Times New Roman"/>
          <w:lang w:val="en-GB"/>
        </w:rPr>
        <w:t xml:space="preserve">also </w:t>
      </w:r>
      <w:r w:rsidR="0083483A" w:rsidRPr="007E3A51">
        <w:rPr>
          <w:rFonts w:ascii="Times New Roman" w:hAnsi="Times New Roman" w:cs="Times New Roman"/>
          <w:lang w:val="en-GB"/>
        </w:rPr>
        <w:t>has to</w:t>
      </w:r>
      <w:r w:rsidR="00E74A4A" w:rsidRPr="007E3A51">
        <w:rPr>
          <w:rFonts w:ascii="Times New Roman" w:hAnsi="Times New Roman" w:cs="Times New Roman"/>
          <w:lang w:val="en-GB"/>
        </w:rPr>
        <w:t xml:space="preserve"> consider </w:t>
      </w:r>
      <w:r w:rsidR="005369B2" w:rsidRPr="007E3A51">
        <w:rPr>
          <w:rFonts w:ascii="Times New Roman" w:hAnsi="Times New Roman" w:cs="Times New Roman"/>
          <w:lang w:val="en-GB"/>
        </w:rPr>
        <w:t xml:space="preserve">the </w:t>
      </w:r>
      <w:r w:rsidR="00E74A4A" w:rsidRPr="007E3A51">
        <w:rPr>
          <w:rFonts w:ascii="Times New Roman" w:hAnsi="Times New Roman" w:cs="Times New Roman"/>
          <w:lang w:val="en-GB"/>
        </w:rPr>
        <w:t xml:space="preserve">interests </w:t>
      </w:r>
      <w:r w:rsidR="005369B2" w:rsidRPr="007E3A51">
        <w:rPr>
          <w:rFonts w:ascii="Times New Roman" w:hAnsi="Times New Roman" w:cs="Times New Roman"/>
          <w:lang w:val="en-GB"/>
        </w:rPr>
        <w:t xml:space="preserve">of </w:t>
      </w:r>
      <w:r w:rsidR="00E74A4A" w:rsidRPr="007E3A51">
        <w:rPr>
          <w:rFonts w:ascii="Times New Roman" w:hAnsi="Times New Roman" w:cs="Times New Roman"/>
          <w:lang w:val="en-GB"/>
        </w:rPr>
        <w:t>other vulnerable groups</w:t>
      </w:r>
      <w:r w:rsidR="009E1A78" w:rsidRPr="007E3A51">
        <w:rPr>
          <w:rFonts w:ascii="Times New Roman" w:hAnsi="Times New Roman" w:cs="Times New Roman"/>
          <w:lang w:val="en-GB"/>
        </w:rPr>
        <w:t xml:space="preserve">, among them the active involvement of youth, IDPs, etc. </w:t>
      </w:r>
      <w:r w:rsidR="004828ED" w:rsidRPr="007E3A51">
        <w:rPr>
          <w:rFonts w:ascii="Times New Roman" w:hAnsi="Times New Roman" w:cs="Times New Roman"/>
          <w:lang w:val="en-GB"/>
        </w:rPr>
        <w:t xml:space="preserve">Bringing them together strengthens </w:t>
      </w:r>
      <w:r w:rsidR="00FE1FF1" w:rsidRPr="007E3A51">
        <w:rPr>
          <w:rFonts w:ascii="Times New Roman" w:hAnsi="Times New Roman" w:cs="Times New Roman"/>
          <w:lang w:val="en-GB"/>
        </w:rPr>
        <w:t>not only</w:t>
      </w:r>
      <w:r w:rsidR="004828ED" w:rsidRPr="007E3A51">
        <w:rPr>
          <w:rFonts w:ascii="Times New Roman" w:hAnsi="Times New Roman" w:cs="Times New Roman"/>
          <w:lang w:val="en-GB"/>
        </w:rPr>
        <w:t xml:space="preserve"> food security</w:t>
      </w:r>
      <w:r w:rsidR="00B84D49" w:rsidRPr="007E3A51">
        <w:rPr>
          <w:rFonts w:ascii="Times New Roman" w:hAnsi="Times New Roman" w:cs="Times New Roman"/>
          <w:lang w:val="en-GB"/>
        </w:rPr>
        <w:t xml:space="preserve"> but</w:t>
      </w:r>
      <w:r w:rsidR="004828ED" w:rsidRPr="007E3A51">
        <w:rPr>
          <w:rFonts w:ascii="Times New Roman" w:hAnsi="Times New Roman" w:cs="Times New Roman"/>
          <w:lang w:val="en-GB"/>
        </w:rPr>
        <w:t xml:space="preserve"> </w:t>
      </w:r>
      <w:r w:rsidR="00B84D49" w:rsidRPr="007E3A51">
        <w:rPr>
          <w:rFonts w:ascii="Times New Roman" w:hAnsi="Times New Roman" w:cs="Times New Roman"/>
          <w:lang w:val="en-GB"/>
        </w:rPr>
        <w:t>also</w:t>
      </w:r>
      <w:r w:rsidR="004828ED" w:rsidRPr="007E3A51">
        <w:rPr>
          <w:rFonts w:ascii="Times New Roman" w:hAnsi="Times New Roman" w:cs="Times New Roman"/>
          <w:lang w:val="en-GB"/>
        </w:rPr>
        <w:t xml:space="preserve"> </w:t>
      </w:r>
      <w:r w:rsidR="0067645E" w:rsidRPr="007E3A51">
        <w:rPr>
          <w:rFonts w:ascii="Times New Roman" w:hAnsi="Times New Roman" w:cs="Times New Roman"/>
          <w:lang w:val="en-GB"/>
        </w:rPr>
        <w:t xml:space="preserve">social resilience. </w:t>
      </w:r>
    </w:p>
    <w:p w14:paraId="55863A27" w14:textId="697B116C" w:rsidR="000E7C50" w:rsidRPr="007E3A51" w:rsidRDefault="00DA224E" w:rsidP="00417DD6">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W</w:t>
      </w:r>
      <w:r w:rsidR="0098451F" w:rsidRPr="007E3A51">
        <w:rPr>
          <w:rFonts w:ascii="Times New Roman" w:hAnsi="Times New Roman" w:cs="Times New Roman"/>
          <w:lang w:val="en-GB"/>
        </w:rPr>
        <w:t xml:space="preserve">e fully and completely share the </w:t>
      </w:r>
      <w:r w:rsidR="007E7007" w:rsidRPr="007E3A51">
        <w:rPr>
          <w:rFonts w:ascii="Times New Roman" w:hAnsi="Times New Roman" w:cs="Times New Roman"/>
          <w:lang w:val="en-GB"/>
        </w:rPr>
        <w:t>view</w:t>
      </w:r>
      <w:r w:rsidR="0098451F" w:rsidRPr="007E3A51">
        <w:rPr>
          <w:rFonts w:ascii="Times New Roman" w:hAnsi="Times New Roman" w:cs="Times New Roman"/>
          <w:lang w:val="en-GB"/>
        </w:rPr>
        <w:t xml:space="preserve"> that the issue of global food security has become more acute during the pandemic, but it has worsened even more with the outbreak of war by Russia against Ukraine</w:t>
      </w:r>
      <w:r w:rsidR="009A4EE1" w:rsidRPr="007E3A51">
        <w:rPr>
          <w:rFonts w:ascii="Times New Roman" w:hAnsi="Times New Roman" w:cs="Times New Roman"/>
          <w:lang w:val="en-GB"/>
        </w:rPr>
        <w:t xml:space="preserve"> (</w:t>
      </w:r>
      <w:r w:rsidR="009A4EE1" w:rsidRPr="007E3A51">
        <w:rPr>
          <w:rFonts w:ascii="Times New Roman" w:hAnsi="Times New Roman" w:cs="Times New Roman"/>
          <w:shd w:val="clear" w:color="auto" w:fill="FFFFFF"/>
          <w:lang w:val="en-GB"/>
        </w:rPr>
        <w:t>Leal Filho et al</w:t>
      </w:r>
      <w:r w:rsidR="00D35C7F" w:rsidRPr="007E3A51">
        <w:rPr>
          <w:rFonts w:ascii="Times New Roman" w:hAnsi="Times New Roman" w:cs="Times New Roman"/>
          <w:shd w:val="clear" w:color="auto" w:fill="FFFFFF"/>
          <w:lang w:val="en-GB"/>
        </w:rPr>
        <w:t>.</w:t>
      </w:r>
      <w:r w:rsidR="009A4EE1" w:rsidRPr="007E3A51">
        <w:rPr>
          <w:rFonts w:ascii="Times New Roman" w:hAnsi="Times New Roman" w:cs="Times New Roman"/>
          <w:shd w:val="clear" w:color="auto" w:fill="FFFFFF"/>
          <w:lang w:val="en-GB"/>
        </w:rPr>
        <w:t xml:space="preserve"> 2023</w:t>
      </w:r>
      <w:r w:rsidR="009A4EE1" w:rsidRPr="007E3A51">
        <w:rPr>
          <w:rFonts w:ascii="Times New Roman" w:hAnsi="Times New Roman" w:cs="Times New Roman"/>
          <w:lang w:val="en-GB"/>
        </w:rPr>
        <w:t>)</w:t>
      </w:r>
      <w:r w:rsidR="0098451F" w:rsidRPr="007E3A51">
        <w:rPr>
          <w:rFonts w:ascii="Times New Roman" w:hAnsi="Times New Roman" w:cs="Times New Roman"/>
          <w:lang w:val="en-GB"/>
        </w:rPr>
        <w:t xml:space="preserve">. Therefore, it is </w:t>
      </w:r>
      <w:r w:rsidR="00EE0D09" w:rsidRPr="007E3A51">
        <w:rPr>
          <w:rFonts w:ascii="Times New Roman" w:hAnsi="Times New Roman" w:cs="Times New Roman"/>
          <w:lang w:val="en-GB"/>
        </w:rPr>
        <w:t>essential</w:t>
      </w:r>
      <w:r w:rsidR="0098451F" w:rsidRPr="007E3A51">
        <w:rPr>
          <w:rFonts w:ascii="Times New Roman" w:hAnsi="Times New Roman" w:cs="Times New Roman"/>
          <w:lang w:val="en-GB"/>
        </w:rPr>
        <w:t xml:space="preserve"> for the inclusive development of our country</w:t>
      </w:r>
      <w:r w:rsidR="005369B2" w:rsidRPr="007E3A51">
        <w:rPr>
          <w:rFonts w:ascii="Times New Roman" w:hAnsi="Times New Roman" w:cs="Times New Roman"/>
          <w:lang w:val="en-GB"/>
        </w:rPr>
        <w:t>,</w:t>
      </w:r>
      <w:r w:rsidR="0098451F" w:rsidRPr="007E3A51">
        <w:rPr>
          <w:rFonts w:ascii="Times New Roman" w:hAnsi="Times New Roman" w:cs="Times New Roman"/>
          <w:lang w:val="en-GB"/>
        </w:rPr>
        <w:t xml:space="preserve"> </w:t>
      </w:r>
      <w:r w:rsidR="00F32883" w:rsidRPr="007E3A51">
        <w:rPr>
          <w:rFonts w:ascii="Times New Roman" w:hAnsi="Times New Roman" w:cs="Times New Roman"/>
          <w:lang w:val="en-GB"/>
        </w:rPr>
        <w:t xml:space="preserve">as well as for the world </w:t>
      </w:r>
      <w:r w:rsidR="00625A8A" w:rsidRPr="007E3A51">
        <w:rPr>
          <w:rFonts w:ascii="Times New Roman" w:hAnsi="Times New Roman" w:cs="Times New Roman"/>
          <w:lang w:val="en-GB"/>
        </w:rPr>
        <w:br/>
      </w:r>
      <w:r w:rsidR="005369B2" w:rsidRPr="007E3A51">
        <w:rPr>
          <w:rFonts w:ascii="Times New Roman" w:hAnsi="Times New Roman" w:cs="Times New Roman"/>
          <w:lang w:val="en-GB"/>
        </w:rPr>
        <w:t>as</w:t>
      </w:r>
      <w:r w:rsidR="001B0E68" w:rsidRPr="007E3A51">
        <w:rPr>
          <w:rFonts w:ascii="Times New Roman" w:hAnsi="Times New Roman" w:cs="Times New Roman"/>
          <w:lang w:val="en-GB"/>
        </w:rPr>
        <w:t xml:space="preserve"> a</w:t>
      </w:r>
      <w:r w:rsidR="00F32883" w:rsidRPr="007E3A51">
        <w:rPr>
          <w:rFonts w:ascii="Times New Roman" w:hAnsi="Times New Roman" w:cs="Times New Roman"/>
          <w:lang w:val="en-GB"/>
        </w:rPr>
        <w:t xml:space="preserve"> whole</w:t>
      </w:r>
      <w:r w:rsidR="005369B2" w:rsidRPr="007E3A51">
        <w:rPr>
          <w:rFonts w:ascii="Times New Roman" w:hAnsi="Times New Roman" w:cs="Times New Roman"/>
          <w:lang w:val="en-GB"/>
        </w:rPr>
        <w:t>,</w:t>
      </w:r>
      <w:r w:rsidR="00F32883" w:rsidRPr="007E3A51">
        <w:rPr>
          <w:rFonts w:ascii="Times New Roman" w:hAnsi="Times New Roman" w:cs="Times New Roman"/>
          <w:lang w:val="en-GB"/>
        </w:rPr>
        <w:t xml:space="preserve"> </w:t>
      </w:r>
      <w:r w:rsidR="0098451F" w:rsidRPr="007E3A51">
        <w:rPr>
          <w:rFonts w:ascii="Times New Roman" w:hAnsi="Times New Roman" w:cs="Times New Roman"/>
          <w:lang w:val="en-GB"/>
        </w:rPr>
        <w:t xml:space="preserve">to provide maximum stimulation to </w:t>
      </w:r>
      <w:r w:rsidR="00E37F33" w:rsidRPr="007E3A51">
        <w:rPr>
          <w:rFonts w:ascii="Times New Roman" w:hAnsi="Times New Roman" w:cs="Times New Roman"/>
          <w:lang w:val="en-GB"/>
        </w:rPr>
        <w:t xml:space="preserve">domestic </w:t>
      </w:r>
      <w:r w:rsidR="0098451F" w:rsidRPr="007E3A51">
        <w:rPr>
          <w:rFonts w:ascii="Times New Roman" w:hAnsi="Times New Roman" w:cs="Times New Roman"/>
          <w:lang w:val="en-GB"/>
        </w:rPr>
        <w:t>enterprises of various levels to resume their development.</w:t>
      </w:r>
    </w:p>
    <w:p w14:paraId="1EF1D356" w14:textId="741788B4" w:rsidR="00A50FC7" w:rsidRPr="007E3A51" w:rsidRDefault="00FB7BA1" w:rsidP="00417DD6">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As well, </w:t>
      </w:r>
      <w:r w:rsidR="005754AB" w:rsidRPr="007E3A51">
        <w:rPr>
          <w:rFonts w:ascii="Times New Roman" w:hAnsi="Times New Roman" w:cs="Times New Roman"/>
          <w:lang w:val="en-GB"/>
        </w:rPr>
        <w:t>to ensure national food security</w:t>
      </w:r>
      <w:r w:rsidR="005369B2" w:rsidRPr="007E3A51">
        <w:rPr>
          <w:rFonts w:ascii="Times New Roman" w:hAnsi="Times New Roman" w:cs="Times New Roman"/>
          <w:lang w:val="en-GB"/>
        </w:rPr>
        <w:t>,</w:t>
      </w:r>
      <w:r w:rsidR="005754AB" w:rsidRPr="007E3A51">
        <w:rPr>
          <w:rFonts w:ascii="Times New Roman" w:hAnsi="Times New Roman" w:cs="Times New Roman"/>
          <w:lang w:val="en-GB"/>
        </w:rPr>
        <w:t xml:space="preserve"> </w:t>
      </w:r>
      <w:r w:rsidR="00AF2F43" w:rsidRPr="007E3A51">
        <w:rPr>
          <w:rFonts w:ascii="Times New Roman" w:hAnsi="Times New Roman" w:cs="Times New Roman"/>
          <w:lang w:val="en-GB"/>
        </w:rPr>
        <w:t xml:space="preserve">it is vital to </w:t>
      </w:r>
      <w:r w:rsidR="00171C5F" w:rsidRPr="007E3A51">
        <w:rPr>
          <w:rFonts w:ascii="Times New Roman" w:hAnsi="Times New Roman" w:cs="Times New Roman"/>
          <w:lang w:val="en-GB"/>
        </w:rPr>
        <w:t>maintain</w:t>
      </w:r>
      <w:r w:rsidR="00AF2F43" w:rsidRPr="007E3A51">
        <w:rPr>
          <w:rFonts w:ascii="Times New Roman" w:hAnsi="Times New Roman" w:cs="Times New Roman"/>
          <w:lang w:val="en-GB"/>
        </w:rPr>
        <w:t xml:space="preserve"> </w:t>
      </w:r>
      <w:r w:rsidR="00186BBD" w:rsidRPr="007E3A51">
        <w:rPr>
          <w:rFonts w:ascii="Times New Roman" w:hAnsi="Times New Roman" w:cs="Times New Roman"/>
          <w:lang w:val="en-GB"/>
        </w:rPr>
        <w:t xml:space="preserve">a </w:t>
      </w:r>
      <w:r w:rsidR="00AF2F43" w:rsidRPr="007E3A51">
        <w:rPr>
          <w:rFonts w:ascii="Times New Roman" w:hAnsi="Times New Roman" w:cs="Times New Roman"/>
          <w:lang w:val="en-GB"/>
        </w:rPr>
        <w:t xml:space="preserve">balance between export-oriented and import-dependent products. The necessity of this balance </w:t>
      </w:r>
      <w:r w:rsidR="00B66103" w:rsidRPr="007E3A51">
        <w:rPr>
          <w:rFonts w:ascii="Times New Roman" w:hAnsi="Times New Roman" w:cs="Times New Roman"/>
          <w:lang w:val="en-GB"/>
        </w:rPr>
        <w:t xml:space="preserve">and its </w:t>
      </w:r>
      <w:r w:rsidR="000D6378" w:rsidRPr="007E3A51">
        <w:rPr>
          <w:rFonts w:ascii="Times New Roman" w:hAnsi="Times New Roman" w:cs="Times New Roman"/>
          <w:lang w:val="en-GB"/>
        </w:rPr>
        <w:t>prioritizing has</w:t>
      </w:r>
      <w:r w:rsidR="00375EBC" w:rsidRPr="007E3A51">
        <w:rPr>
          <w:rFonts w:ascii="Times New Roman" w:hAnsi="Times New Roman" w:cs="Times New Roman"/>
          <w:lang w:val="en-GB"/>
        </w:rPr>
        <w:t xml:space="preserve"> become particularly evident </w:t>
      </w:r>
      <w:r w:rsidR="00AF2F43" w:rsidRPr="007E3A51">
        <w:rPr>
          <w:rFonts w:ascii="Times New Roman" w:hAnsi="Times New Roman" w:cs="Times New Roman"/>
          <w:lang w:val="en-GB"/>
        </w:rPr>
        <w:t>during wartime period</w:t>
      </w:r>
      <w:r w:rsidR="005369B2" w:rsidRPr="007E3A51">
        <w:rPr>
          <w:rFonts w:ascii="Times New Roman" w:hAnsi="Times New Roman" w:cs="Times New Roman"/>
          <w:lang w:val="en-GB"/>
        </w:rPr>
        <w:t>s</w:t>
      </w:r>
      <w:r w:rsidR="008E0F53" w:rsidRPr="007E3A51">
        <w:rPr>
          <w:rFonts w:ascii="Times New Roman" w:hAnsi="Times New Roman" w:cs="Times New Roman"/>
          <w:lang w:val="en-GB"/>
        </w:rPr>
        <w:t xml:space="preserve">. </w:t>
      </w:r>
      <w:r w:rsidR="000D6378" w:rsidRPr="007E3A51">
        <w:rPr>
          <w:rFonts w:ascii="Times New Roman" w:hAnsi="Times New Roman" w:cs="Times New Roman"/>
          <w:lang w:val="en-GB"/>
        </w:rPr>
        <w:t>Therefore, agrarian policy should be designed with consider</w:t>
      </w:r>
      <w:r w:rsidR="00910F73" w:rsidRPr="007E3A51">
        <w:rPr>
          <w:rFonts w:ascii="Times New Roman" w:hAnsi="Times New Roman" w:cs="Times New Roman"/>
          <w:lang w:val="en-GB"/>
        </w:rPr>
        <w:t>ation</w:t>
      </w:r>
      <w:r w:rsidR="000D6378" w:rsidRPr="007E3A51">
        <w:rPr>
          <w:rFonts w:ascii="Times New Roman" w:hAnsi="Times New Roman" w:cs="Times New Roman"/>
          <w:lang w:val="en-GB"/>
        </w:rPr>
        <w:t xml:space="preserve"> of national interests and </w:t>
      </w:r>
      <w:r w:rsidR="00062D66" w:rsidRPr="007E3A51">
        <w:rPr>
          <w:rFonts w:ascii="Times New Roman" w:hAnsi="Times New Roman" w:cs="Times New Roman"/>
          <w:lang w:val="en-GB"/>
        </w:rPr>
        <w:t>grounded</w:t>
      </w:r>
      <w:r w:rsidR="00910F73" w:rsidRPr="007E3A51">
        <w:rPr>
          <w:rFonts w:ascii="Times New Roman" w:hAnsi="Times New Roman" w:cs="Times New Roman"/>
          <w:lang w:val="en-GB"/>
        </w:rPr>
        <w:t xml:space="preserve"> </w:t>
      </w:r>
      <w:r w:rsidR="00C41723" w:rsidRPr="007E3A51">
        <w:rPr>
          <w:rFonts w:ascii="Times New Roman" w:hAnsi="Times New Roman" w:cs="Times New Roman"/>
          <w:lang w:val="en-GB"/>
        </w:rPr>
        <w:t>in a</w:t>
      </w:r>
      <w:r w:rsidR="00910F73" w:rsidRPr="007E3A51">
        <w:rPr>
          <w:rFonts w:ascii="Times New Roman" w:hAnsi="Times New Roman" w:cs="Times New Roman"/>
          <w:lang w:val="en-GB"/>
        </w:rPr>
        <w:t>n inclusive approach</w:t>
      </w:r>
      <w:r w:rsidR="00E2551B" w:rsidRPr="007E3A51">
        <w:rPr>
          <w:rFonts w:ascii="Times New Roman" w:hAnsi="Times New Roman" w:cs="Times New Roman"/>
          <w:lang w:val="en-GB"/>
        </w:rPr>
        <w:t xml:space="preserve"> (</w:t>
      </w:r>
      <w:proofErr w:type="spellStart"/>
      <w:r w:rsidR="00E2551B" w:rsidRPr="007E3A51">
        <w:rPr>
          <w:rFonts w:ascii="Times New Roman" w:hAnsi="Times New Roman" w:cs="Times New Roman"/>
          <w:lang w:val="en-GB"/>
        </w:rPr>
        <w:t>Denysiuk</w:t>
      </w:r>
      <w:proofErr w:type="spellEnd"/>
      <w:r w:rsidR="00E2551B" w:rsidRPr="007E3A51">
        <w:rPr>
          <w:rFonts w:ascii="Times New Roman" w:hAnsi="Times New Roman" w:cs="Times New Roman"/>
          <w:lang w:val="en-GB"/>
        </w:rPr>
        <w:t xml:space="preserve"> et al. 2022)</w:t>
      </w:r>
      <w:r w:rsidR="00910F73" w:rsidRPr="007E3A51">
        <w:rPr>
          <w:rFonts w:ascii="Times New Roman" w:hAnsi="Times New Roman" w:cs="Times New Roman"/>
          <w:lang w:val="en-GB"/>
        </w:rPr>
        <w:t>.</w:t>
      </w:r>
      <w:r w:rsidR="0031694A" w:rsidRPr="007E3A51">
        <w:rPr>
          <w:rFonts w:ascii="Times New Roman" w:hAnsi="Times New Roman" w:cs="Times New Roman"/>
          <w:lang w:val="en-GB"/>
        </w:rPr>
        <w:t xml:space="preserve"> For </w:t>
      </w:r>
      <w:r w:rsidR="00CB022B" w:rsidRPr="007E3A51">
        <w:rPr>
          <w:rFonts w:ascii="Times New Roman" w:hAnsi="Times New Roman" w:cs="Times New Roman"/>
          <w:lang w:val="en-GB"/>
        </w:rPr>
        <w:t>a more</w:t>
      </w:r>
      <w:r w:rsidR="0031694A" w:rsidRPr="007E3A51">
        <w:rPr>
          <w:rFonts w:ascii="Times New Roman" w:hAnsi="Times New Roman" w:cs="Times New Roman"/>
          <w:lang w:val="en-GB"/>
        </w:rPr>
        <w:t xml:space="preserve"> </w:t>
      </w:r>
      <w:r w:rsidR="00CB022B" w:rsidRPr="007E3A51">
        <w:rPr>
          <w:rFonts w:ascii="Times New Roman" w:hAnsi="Times New Roman" w:cs="Times New Roman"/>
          <w:lang w:val="en-GB"/>
        </w:rPr>
        <w:t>in-</w:t>
      </w:r>
      <w:r w:rsidR="0031694A" w:rsidRPr="007E3A51">
        <w:rPr>
          <w:rFonts w:ascii="Times New Roman" w:hAnsi="Times New Roman" w:cs="Times New Roman"/>
          <w:lang w:val="en-GB"/>
        </w:rPr>
        <w:t>de</w:t>
      </w:r>
      <w:r w:rsidR="00CB022B" w:rsidRPr="007E3A51">
        <w:rPr>
          <w:rFonts w:ascii="Times New Roman" w:hAnsi="Times New Roman" w:cs="Times New Roman"/>
          <w:lang w:val="en-GB"/>
        </w:rPr>
        <w:t>pth</w:t>
      </w:r>
      <w:r w:rsidR="0031694A" w:rsidRPr="007E3A51">
        <w:rPr>
          <w:rFonts w:ascii="Times New Roman" w:hAnsi="Times New Roman" w:cs="Times New Roman"/>
          <w:lang w:val="en-GB"/>
        </w:rPr>
        <w:t xml:space="preserve"> analysis of domestic food security and its management by the authorities</w:t>
      </w:r>
      <w:r w:rsidR="00535808" w:rsidRPr="007E3A51">
        <w:rPr>
          <w:rFonts w:ascii="Times New Roman" w:hAnsi="Times New Roman" w:cs="Times New Roman"/>
          <w:lang w:val="en-GB"/>
        </w:rPr>
        <w:t>,</w:t>
      </w:r>
      <w:r w:rsidR="0031694A" w:rsidRPr="007E3A51">
        <w:rPr>
          <w:rFonts w:ascii="Times New Roman" w:hAnsi="Times New Roman" w:cs="Times New Roman"/>
          <w:lang w:val="en-GB"/>
        </w:rPr>
        <w:t xml:space="preserve"> it </w:t>
      </w:r>
      <w:r w:rsidR="00535808" w:rsidRPr="007E3A51">
        <w:rPr>
          <w:rFonts w:ascii="Times New Roman" w:hAnsi="Times New Roman" w:cs="Times New Roman"/>
          <w:lang w:val="en-GB"/>
        </w:rPr>
        <w:t>w</w:t>
      </w:r>
      <w:r w:rsidR="0031694A" w:rsidRPr="007E3A51">
        <w:rPr>
          <w:rFonts w:ascii="Times New Roman" w:hAnsi="Times New Roman" w:cs="Times New Roman"/>
          <w:lang w:val="en-GB"/>
        </w:rPr>
        <w:t>ould</w:t>
      </w:r>
      <w:r w:rsidR="00535808" w:rsidRPr="007E3A51">
        <w:rPr>
          <w:rFonts w:ascii="Times New Roman" w:hAnsi="Times New Roman" w:cs="Times New Roman"/>
          <w:lang w:val="en-GB"/>
        </w:rPr>
        <w:t xml:space="preserve"> also</w:t>
      </w:r>
      <w:r w:rsidR="0031694A" w:rsidRPr="007E3A51">
        <w:rPr>
          <w:rFonts w:ascii="Times New Roman" w:hAnsi="Times New Roman" w:cs="Times New Roman"/>
          <w:lang w:val="en-GB"/>
        </w:rPr>
        <w:t xml:space="preserve"> be </w:t>
      </w:r>
      <w:r w:rsidR="00535808" w:rsidRPr="007E3A51">
        <w:rPr>
          <w:rFonts w:ascii="Times New Roman" w:hAnsi="Times New Roman" w:cs="Times New Roman"/>
          <w:lang w:val="en-GB"/>
        </w:rPr>
        <w:t xml:space="preserve">valuable </w:t>
      </w:r>
      <w:r w:rsidR="001977AB" w:rsidRPr="007E3A51">
        <w:rPr>
          <w:rFonts w:ascii="Times New Roman" w:hAnsi="Times New Roman" w:cs="Times New Roman"/>
          <w:lang w:val="en-GB"/>
        </w:rPr>
        <w:t xml:space="preserve">to </w:t>
      </w:r>
      <w:r w:rsidR="0097098E" w:rsidRPr="007E3A51">
        <w:rPr>
          <w:rFonts w:ascii="Times New Roman" w:hAnsi="Times New Roman" w:cs="Times New Roman"/>
          <w:lang w:val="en-GB"/>
        </w:rPr>
        <w:t>estimate</w:t>
      </w:r>
      <w:r w:rsidR="0031694A" w:rsidRPr="007E3A51">
        <w:rPr>
          <w:rFonts w:ascii="Times New Roman" w:hAnsi="Times New Roman" w:cs="Times New Roman"/>
          <w:lang w:val="en-GB"/>
        </w:rPr>
        <w:t xml:space="preserve"> </w:t>
      </w:r>
      <w:r w:rsidR="00F166FD" w:rsidRPr="007E3A51">
        <w:rPr>
          <w:rFonts w:ascii="Times New Roman" w:hAnsi="Times New Roman" w:cs="Times New Roman"/>
          <w:lang w:val="en-GB"/>
        </w:rPr>
        <w:t xml:space="preserve">the </w:t>
      </w:r>
      <w:r w:rsidR="00A35EF3" w:rsidRPr="007E3A51">
        <w:rPr>
          <w:rFonts w:ascii="Times New Roman" w:hAnsi="Times New Roman" w:cs="Times New Roman"/>
          <w:lang w:val="en-GB"/>
        </w:rPr>
        <w:t>population</w:t>
      </w:r>
      <w:r w:rsidR="005369B2" w:rsidRPr="007E3A51">
        <w:rPr>
          <w:rFonts w:ascii="Times New Roman" w:hAnsi="Times New Roman" w:cs="Times New Roman"/>
          <w:lang w:val="en-GB"/>
        </w:rPr>
        <w:t>'s</w:t>
      </w:r>
      <w:r w:rsidR="00A35EF3" w:rsidRPr="007E3A51">
        <w:rPr>
          <w:rFonts w:ascii="Times New Roman" w:hAnsi="Times New Roman" w:cs="Times New Roman"/>
          <w:lang w:val="en-GB"/>
        </w:rPr>
        <w:t xml:space="preserve"> </w:t>
      </w:r>
      <w:r w:rsidR="00F166FD" w:rsidRPr="007E3A51">
        <w:rPr>
          <w:rFonts w:ascii="Times New Roman" w:hAnsi="Times New Roman" w:cs="Times New Roman"/>
          <w:lang w:val="en-GB"/>
        </w:rPr>
        <w:t>need</w:t>
      </w:r>
      <w:r w:rsidR="0097098E" w:rsidRPr="007E3A51">
        <w:rPr>
          <w:rFonts w:ascii="Times New Roman" w:hAnsi="Times New Roman" w:cs="Times New Roman"/>
          <w:lang w:val="en-GB"/>
        </w:rPr>
        <w:t>s</w:t>
      </w:r>
      <w:r w:rsidR="00F166FD" w:rsidRPr="007E3A51">
        <w:rPr>
          <w:rFonts w:ascii="Times New Roman" w:hAnsi="Times New Roman" w:cs="Times New Roman"/>
          <w:lang w:val="en-GB"/>
        </w:rPr>
        <w:t xml:space="preserve"> for certain types of products, which can result in </w:t>
      </w:r>
      <w:r w:rsidR="005369B2" w:rsidRPr="007E3A51">
        <w:rPr>
          <w:rFonts w:ascii="Times New Roman" w:hAnsi="Times New Roman" w:cs="Times New Roman"/>
          <w:lang w:val="en-GB"/>
        </w:rPr>
        <w:t xml:space="preserve">the </w:t>
      </w:r>
      <w:r w:rsidR="00AD5CFA" w:rsidRPr="007E3A51">
        <w:rPr>
          <w:rFonts w:ascii="Times New Roman" w:hAnsi="Times New Roman" w:cs="Times New Roman"/>
          <w:lang w:val="en-GB"/>
        </w:rPr>
        <w:t>develop</w:t>
      </w:r>
      <w:r w:rsidR="005369B2" w:rsidRPr="007E3A51">
        <w:rPr>
          <w:rFonts w:ascii="Times New Roman" w:hAnsi="Times New Roman" w:cs="Times New Roman"/>
          <w:lang w:val="en-GB"/>
        </w:rPr>
        <w:t>ment</w:t>
      </w:r>
      <w:r w:rsidR="00AD5CFA" w:rsidRPr="007E3A51">
        <w:rPr>
          <w:rFonts w:ascii="Times New Roman" w:hAnsi="Times New Roman" w:cs="Times New Roman"/>
          <w:lang w:val="en-GB"/>
        </w:rPr>
        <w:t xml:space="preserve"> </w:t>
      </w:r>
      <w:r w:rsidR="006F45CF" w:rsidRPr="007E3A51">
        <w:rPr>
          <w:rFonts w:ascii="Times New Roman" w:hAnsi="Times New Roman" w:cs="Times New Roman"/>
          <w:lang w:val="en-GB"/>
        </w:rPr>
        <w:t xml:space="preserve">of </w:t>
      </w:r>
      <w:r w:rsidR="005369B2" w:rsidRPr="007E3A51">
        <w:rPr>
          <w:rFonts w:ascii="Times New Roman" w:hAnsi="Times New Roman" w:cs="Times New Roman"/>
          <w:lang w:val="en-GB"/>
        </w:rPr>
        <w:t xml:space="preserve">an </w:t>
      </w:r>
      <w:r w:rsidR="006F45CF" w:rsidRPr="007E3A51">
        <w:rPr>
          <w:rFonts w:ascii="Times New Roman" w:hAnsi="Times New Roman" w:cs="Times New Roman"/>
          <w:lang w:val="en-GB"/>
        </w:rPr>
        <w:t>ap</w:t>
      </w:r>
      <w:r w:rsidR="00AD5CFA" w:rsidRPr="007E3A51">
        <w:rPr>
          <w:rFonts w:ascii="Times New Roman" w:hAnsi="Times New Roman" w:cs="Times New Roman"/>
          <w:lang w:val="en-GB"/>
        </w:rPr>
        <w:t>prop</w:t>
      </w:r>
      <w:r w:rsidR="006F45CF" w:rsidRPr="007E3A51">
        <w:rPr>
          <w:rFonts w:ascii="Times New Roman" w:hAnsi="Times New Roman" w:cs="Times New Roman"/>
          <w:lang w:val="en-GB"/>
        </w:rPr>
        <w:t>riate</w:t>
      </w:r>
      <w:r w:rsidR="00AD5CFA" w:rsidRPr="007E3A51">
        <w:rPr>
          <w:rFonts w:ascii="Times New Roman" w:hAnsi="Times New Roman" w:cs="Times New Roman"/>
          <w:lang w:val="en-GB"/>
        </w:rPr>
        <w:t xml:space="preserve"> </w:t>
      </w:r>
      <w:r w:rsidR="00B944CE" w:rsidRPr="007E3A51">
        <w:rPr>
          <w:rFonts w:ascii="Times New Roman" w:hAnsi="Times New Roman" w:cs="Times New Roman"/>
          <w:lang w:val="en-GB"/>
        </w:rPr>
        <w:t xml:space="preserve">stimulation </w:t>
      </w:r>
      <w:r w:rsidR="00AD5CFA" w:rsidRPr="007E3A51">
        <w:rPr>
          <w:rFonts w:ascii="Times New Roman" w:hAnsi="Times New Roman" w:cs="Times New Roman"/>
          <w:lang w:val="en-GB"/>
        </w:rPr>
        <w:t xml:space="preserve">policy. </w:t>
      </w:r>
      <w:r w:rsidR="00BA65D4" w:rsidRPr="007E3A51">
        <w:rPr>
          <w:rFonts w:ascii="Times New Roman" w:hAnsi="Times New Roman" w:cs="Times New Roman"/>
          <w:lang w:val="en-GB"/>
        </w:rPr>
        <w:t xml:space="preserve">But this </w:t>
      </w:r>
      <w:r w:rsidR="00752313" w:rsidRPr="007E3A51">
        <w:rPr>
          <w:rFonts w:ascii="Times New Roman" w:hAnsi="Times New Roman" w:cs="Times New Roman"/>
          <w:lang w:val="en-GB"/>
        </w:rPr>
        <w:t>study</w:t>
      </w:r>
      <w:r w:rsidR="00BA65D4" w:rsidRPr="007E3A51">
        <w:rPr>
          <w:rFonts w:ascii="Times New Roman" w:hAnsi="Times New Roman" w:cs="Times New Roman"/>
          <w:lang w:val="en-GB"/>
        </w:rPr>
        <w:t xml:space="preserve"> focuses on the dynamics of food security indicators </w:t>
      </w:r>
      <w:r w:rsidR="009E115A" w:rsidRPr="007E3A51">
        <w:rPr>
          <w:rFonts w:ascii="Times New Roman" w:hAnsi="Times New Roman" w:cs="Times New Roman"/>
          <w:lang w:val="en-GB"/>
        </w:rPr>
        <w:t xml:space="preserve">and tendencies of </w:t>
      </w:r>
      <w:r w:rsidR="00436A07" w:rsidRPr="007E3A51">
        <w:rPr>
          <w:rFonts w:ascii="Times New Roman" w:hAnsi="Times New Roman" w:cs="Times New Roman"/>
          <w:lang w:val="en-GB"/>
        </w:rPr>
        <w:t xml:space="preserve">the </w:t>
      </w:r>
      <w:r w:rsidR="009E115A" w:rsidRPr="007E3A51">
        <w:rPr>
          <w:rFonts w:ascii="Times New Roman" w:hAnsi="Times New Roman" w:cs="Times New Roman"/>
          <w:lang w:val="en-GB"/>
        </w:rPr>
        <w:t xml:space="preserve">Ukrainian agri-food sector, </w:t>
      </w:r>
      <w:r w:rsidR="001913F3" w:rsidRPr="007E3A51">
        <w:rPr>
          <w:rFonts w:ascii="Times New Roman" w:hAnsi="Times New Roman" w:cs="Times New Roman"/>
          <w:lang w:val="en-GB"/>
        </w:rPr>
        <w:t>which</w:t>
      </w:r>
      <w:r w:rsidR="009E115A" w:rsidRPr="007E3A51">
        <w:rPr>
          <w:rFonts w:ascii="Times New Roman" w:hAnsi="Times New Roman" w:cs="Times New Roman"/>
          <w:lang w:val="en-GB"/>
        </w:rPr>
        <w:t xml:space="preserve"> makes this estimation beyond </w:t>
      </w:r>
      <w:r w:rsidR="003C3F70" w:rsidRPr="007E3A51">
        <w:rPr>
          <w:rFonts w:ascii="Times New Roman" w:hAnsi="Times New Roman" w:cs="Times New Roman"/>
          <w:lang w:val="en-GB"/>
        </w:rPr>
        <w:t>its</w:t>
      </w:r>
      <w:r w:rsidR="009E115A" w:rsidRPr="007E3A51">
        <w:rPr>
          <w:rFonts w:ascii="Times New Roman" w:hAnsi="Times New Roman" w:cs="Times New Roman"/>
          <w:lang w:val="en-GB"/>
        </w:rPr>
        <w:t xml:space="preserve"> scope. However, </w:t>
      </w:r>
      <w:r w:rsidR="007D4557" w:rsidRPr="007E3A51">
        <w:rPr>
          <w:rFonts w:ascii="Times New Roman" w:hAnsi="Times New Roman" w:cs="Times New Roman"/>
          <w:lang w:val="en-GB"/>
        </w:rPr>
        <w:t>the issue</w:t>
      </w:r>
      <w:r w:rsidR="009E115A" w:rsidRPr="007E3A51">
        <w:rPr>
          <w:rFonts w:ascii="Times New Roman" w:hAnsi="Times New Roman" w:cs="Times New Roman"/>
          <w:lang w:val="en-GB"/>
        </w:rPr>
        <w:t xml:space="preserve"> represents </w:t>
      </w:r>
      <w:r w:rsidR="0054034E" w:rsidRPr="007E3A51">
        <w:rPr>
          <w:rFonts w:ascii="Times New Roman" w:hAnsi="Times New Roman" w:cs="Times New Roman"/>
          <w:lang w:val="en-GB"/>
        </w:rPr>
        <w:t>a direction</w:t>
      </w:r>
      <w:r w:rsidR="009E115A" w:rsidRPr="007E3A51">
        <w:rPr>
          <w:rFonts w:ascii="Times New Roman" w:hAnsi="Times New Roman" w:cs="Times New Roman"/>
          <w:lang w:val="en-GB"/>
        </w:rPr>
        <w:t xml:space="preserve"> for future research. </w:t>
      </w:r>
    </w:p>
    <w:p w14:paraId="1F626AA5" w14:textId="2E9B1695" w:rsidR="009215D1" w:rsidRPr="007E3A51" w:rsidRDefault="00B63923" w:rsidP="00417DD6">
      <w:pPr>
        <w:widowControl w:val="0"/>
        <w:spacing w:after="0" w:line="240" w:lineRule="auto"/>
        <w:ind w:firstLine="284"/>
        <w:contextualSpacing/>
        <w:jc w:val="both"/>
        <w:rPr>
          <w:rFonts w:ascii="Times New Roman" w:hAnsi="Times New Roman" w:cs="Times New Roman"/>
          <w:lang w:val="en-GB"/>
        </w:rPr>
      </w:pPr>
      <w:r w:rsidRPr="007E3A51">
        <w:rPr>
          <w:rFonts w:ascii="Times New Roman" w:hAnsi="Times New Roman" w:cs="Times New Roman"/>
          <w:lang w:val="en-GB"/>
        </w:rPr>
        <w:t>The conducted scientific research reflect</w:t>
      </w:r>
      <w:r w:rsidR="00F32C55" w:rsidRPr="007E3A51">
        <w:rPr>
          <w:rFonts w:ascii="Times New Roman" w:hAnsi="Times New Roman" w:cs="Times New Roman"/>
          <w:lang w:val="en-GB"/>
        </w:rPr>
        <w:t>s</w:t>
      </w:r>
      <w:r w:rsidRPr="007E3A51">
        <w:rPr>
          <w:rFonts w:ascii="Times New Roman" w:hAnsi="Times New Roman" w:cs="Times New Roman"/>
          <w:lang w:val="en-GB"/>
        </w:rPr>
        <w:t xml:space="preserve"> the significant potential of the agri-food sector in ensuring its own economic growth, </w:t>
      </w:r>
      <w:r w:rsidR="008A52AC" w:rsidRPr="007E3A51">
        <w:rPr>
          <w:rFonts w:ascii="Times New Roman" w:hAnsi="Times New Roman" w:cs="Times New Roman"/>
          <w:lang w:val="en-GB"/>
        </w:rPr>
        <w:t>addressing</w:t>
      </w:r>
      <w:r w:rsidRPr="007E3A51">
        <w:rPr>
          <w:rFonts w:ascii="Times New Roman" w:hAnsi="Times New Roman" w:cs="Times New Roman"/>
          <w:lang w:val="en-GB"/>
        </w:rPr>
        <w:t xml:space="preserve"> energy security </w:t>
      </w:r>
      <w:r w:rsidR="008A52AC" w:rsidRPr="007E3A51">
        <w:rPr>
          <w:rFonts w:ascii="Times New Roman" w:hAnsi="Times New Roman" w:cs="Times New Roman"/>
          <w:lang w:val="en-GB"/>
        </w:rPr>
        <w:t>challenges</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and obtaining energy independence, which will limit dependence on others. In previous works of our authors, the issue of creating food sovereignty of our state, the production of agri-food sector products with high added value was already raised (</w:t>
      </w:r>
      <w:r w:rsidR="00EA4B54" w:rsidRPr="007E3A51">
        <w:rPr>
          <w:rFonts w:ascii="Times New Roman" w:hAnsi="Times New Roman" w:cs="Times New Roman"/>
          <w:bCs/>
          <w:lang w:val="en-GB"/>
        </w:rPr>
        <w:t>Bilan</w:t>
      </w:r>
      <w:r w:rsidR="00EA4B54" w:rsidRPr="007E3A51">
        <w:rPr>
          <w:rFonts w:ascii="Times New Roman" w:hAnsi="Times New Roman" w:cs="Times New Roman"/>
          <w:lang w:val="en-GB"/>
        </w:rPr>
        <w:t xml:space="preserve"> et al. 2017</w:t>
      </w:r>
      <w:r w:rsidR="00EA6B77" w:rsidRPr="007E3A51">
        <w:rPr>
          <w:rFonts w:ascii="Times New Roman" w:hAnsi="Times New Roman" w:cs="Times New Roman"/>
          <w:lang w:val="en-GB"/>
        </w:rPr>
        <w:t>,</w:t>
      </w:r>
      <w:r w:rsidR="00EA4B54" w:rsidRPr="007E3A51">
        <w:rPr>
          <w:rFonts w:ascii="Times New Roman" w:hAnsi="Times New Roman" w:cs="Times New Roman"/>
          <w:lang w:val="en-GB"/>
        </w:rPr>
        <w:t xml:space="preserve"> </w:t>
      </w:r>
      <w:proofErr w:type="spellStart"/>
      <w:r w:rsidRPr="007E3A51">
        <w:rPr>
          <w:rFonts w:ascii="Times New Roman" w:hAnsi="Times New Roman" w:cs="Times New Roman"/>
          <w:lang w:val="en-GB"/>
        </w:rPr>
        <w:t>Shynkaruk</w:t>
      </w:r>
      <w:proofErr w:type="spellEnd"/>
      <w:r w:rsidRPr="007E3A51">
        <w:rPr>
          <w:rFonts w:ascii="Times New Roman" w:hAnsi="Times New Roman" w:cs="Times New Roman"/>
          <w:lang w:val="en-GB"/>
        </w:rPr>
        <w:t xml:space="preserve"> et al</w:t>
      </w:r>
      <w:r w:rsidR="00D35C7F" w:rsidRPr="007E3A51">
        <w:rPr>
          <w:rFonts w:ascii="Times New Roman" w:hAnsi="Times New Roman" w:cs="Times New Roman"/>
          <w:lang w:val="en-GB"/>
        </w:rPr>
        <w:t>.</w:t>
      </w:r>
      <w:r w:rsidRPr="007E3A51">
        <w:rPr>
          <w:rFonts w:ascii="Times New Roman" w:hAnsi="Times New Roman" w:cs="Times New Roman"/>
          <w:lang w:val="en-GB"/>
        </w:rPr>
        <w:t xml:space="preserve"> 2023). </w:t>
      </w:r>
      <w:r w:rsidR="00FE3DFD" w:rsidRPr="007E3A51">
        <w:rPr>
          <w:rFonts w:ascii="Times New Roman" w:hAnsi="Times New Roman" w:cs="Times New Roman"/>
          <w:lang w:val="en-GB"/>
        </w:rPr>
        <w:t>The present</w:t>
      </w:r>
      <w:r w:rsidRPr="007E3A51">
        <w:rPr>
          <w:rFonts w:ascii="Times New Roman" w:hAnsi="Times New Roman" w:cs="Times New Roman"/>
          <w:lang w:val="en-GB"/>
        </w:rPr>
        <w:t xml:space="preserve"> study propose</w:t>
      </w:r>
      <w:r w:rsidR="006C5C89" w:rsidRPr="007E3A51">
        <w:rPr>
          <w:rFonts w:ascii="Times New Roman" w:hAnsi="Times New Roman" w:cs="Times New Roman"/>
          <w:lang w:val="en-GB"/>
        </w:rPr>
        <w:t>s</w:t>
      </w:r>
      <w:r w:rsidRPr="007E3A51">
        <w:rPr>
          <w:rFonts w:ascii="Times New Roman" w:hAnsi="Times New Roman" w:cs="Times New Roman"/>
          <w:lang w:val="en-GB"/>
        </w:rPr>
        <w:t xml:space="preserve"> the need for inclusive development of the agri-food sector, taking into account </w:t>
      </w:r>
      <w:r w:rsidR="00645559" w:rsidRPr="007E3A51">
        <w:rPr>
          <w:rFonts w:ascii="Times New Roman" w:hAnsi="Times New Roman" w:cs="Times New Roman"/>
          <w:lang w:val="en-GB"/>
        </w:rPr>
        <w:t xml:space="preserve">current </w:t>
      </w:r>
      <w:r w:rsidRPr="007E3A51">
        <w:rPr>
          <w:rFonts w:ascii="Times New Roman" w:hAnsi="Times New Roman" w:cs="Times New Roman"/>
          <w:lang w:val="en-GB"/>
        </w:rPr>
        <w:t>challenges and the European Green Deal</w:t>
      </w:r>
      <w:r w:rsidR="00497823" w:rsidRPr="007E3A51">
        <w:rPr>
          <w:rFonts w:ascii="Times New Roman" w:hAnsi="Times New Roman" w:cs="Times New Roman"/>
          <w:lang w:val="en-GB"/>
        </w:rPr>
        <w:t>. In particular</w:t>
      </w:r>
      <w:r w:rsidRPr="007E3A51">
        <w:rPr>
          <w:rFonts w:ascii="Times New Roman" w:hAnsi="Times New Roman" w:cs="Times New Roman"/>
          <w:lang w:val="en-GB"/>
        </w:rPr>
        <w:t xml:space="preserve">, </w:t>
      </w:r>
      <w:r w:rsidR="006700D0" w:rsidRPr="007E3A51">
        <w:rPr>
          <w:rFonts w:ascii="Times New Roman" w:hAnsi="Times New Roman" w:cs="Times New Roman"/>
          <w:lang w:val="en-GB"/>
        </w:rPr>
        <w:t xml:space="preserve">attention should be given to </w:t>
      </w:r>
      <w:r w:rsidR="005369B2" w:rsidRPr="007E3A51">
        <w:rPr>
          <w:rFonts w:ascii="Times New Roman" w:hAnsi="Times New Roman" w:cs="Times New Roman"/>
          <w:lang w:val="en-GB"/>
        </w:rPr>
        <w:t xml:space="preserve">the </w:t>
      </w:r>
      <w:r w:rsidRPr="007E3A51">
        <w:rPr>
          <w:rFonts w:ascii="Times New Roman" w:hAnsi="Times New Roman" w:cs="Times New Roman"/>
          <w:lang w:val="en-GB"/>
        </w:rPr>
        <w:t>orientation o</w:t>
      </w:r>
      <w:r w:rsidR="005369B2" w:rsidRPr="007E3A51">
        <w:rPr>
          <w:rFonts w:ascii="Times New Roman" w:hAnsi="Times New Roman" w:cs="Times New Roman"/>
          <w:lang w:val="en-GB"/>
        </w:rPr>
        <w:t>f</w:t>
      </w:r>
      <w:r w:rsidRPr="007E3A51">
        <w:rPr>
          <w:rFonts w:ascii="Times New Roman" w:hAnsi="Times New Roman" w:cs="Times New Roman"/>
          <w:lang w:val="en-GB"/>
        </w:rPr>
        <w:t xml:space="preserve"> growing those crops that can be used as biomass and become the basis for the production of biofuels and other alternative sources. The development of this and the orientation of its activities towards the SDGs will allow us to form new markets in Ukraine (for example, the electric vehicle market), develop the bioeconomy, which will ensure the energy independence of our state, improve the quality of life, ensure food security through risk diversification and production using new innovative and energy-saving technologies, etc. All of this is part of an inclusive approach to managing food security and the agri-food sector of Ukraine.</w:t>
      </w:r>
    </w:p>
    <w:p w14:paraId="32EB8C2C" w14:textId="5B9E5357" w:rsidR="0069154F" w:rsidRPr="007E3A51" w:rsidRDefault="0069154F" w:rsidP="00F80E61">
      <w:pPr>
        <w:pStyle w:val="Rn1"/>
        <w:rPr>
          <w:lang w:val="en-GB"/>
        </w:rPr>
      </w:pPr>
      <w:r w:rsidRPr="007E3A51">
        <w:rPr>
          <w:lang w:val="en-GB"/>
        </w:rPr>
        <w:t>5. Conclusions</w:t>
      </w:r>
    </w:p>
    <w:p w14:paraId="32044BC7" w14:textId="3457DD70" w:rsidR="003116DE" w:rsidRPr="007E3A51" w:rsidRDefault="003116DE" w:rsidP="00417DD6">
      <w:pPr>
        <w:spacing w:after="0" w:line="240" w:lineRule="auto"/>
        <w:ind w:firstLine="284"/>
        <w:jc w:val="both"/>
        <w:rPr>
          <w:rFonts w:ascii="Times New Roman" w:hAnsi="Times New Roman" w:cs="Times New Roman"/>
          <w:lang w:val="en-GB"/>
        </w:rPr>
      </w:pPr>
      <w:r w:rsidRPr="007E3A51">
        <w:rPr>
          <w:rFonts w:ascii="Times New Roman" w:hAnsi="Times New Roman" w:cs="Times New Roman"/>
          <w:lang w:val="en-GB"/>
        </w:rPr>
        <w:t xml:space="preserve">Thus, our study </w:t>
      </w:r>
      <w:r w:rsidR="00E729B8" w:rsidRPr="007E3A51">
        <w:rPr>
          <w:rFonts w:ascii="Times New Roman" w:hAnsi="Times New Roman" w:cs="Times New Roman"/>
          <w:lang w:val="en-GB"/>
        </w:rPr>
        <w:t>show</w:t>
      </w:r>
      <w:r w:rsidR="00F00F6D" w:rsidRPr="007E3A51">
        <w:rPr>
          <w:rFonts w:ascii="Times New Roman" w:hAnsi="Times New Roman" w:cs="Times New Roman"/>
          <w:lang w:val="en-GB"/>
        </w:rPr>
        <w:t>s</w:t>
      </w:r>
      <w:r w:rsidRPr="007E3A51">
        <w:rPr>
          <w:rFonts w:ascii="Times New Roman" w:hAnsi="Times New Roman" w:cs="Times New Roman"/>
          <w:lang w:val="en-GB"/>
        </w:rPr>
        <w:t xml:space="preserve"> that the food security of Ukraine is currently under threat due to the war on </w:t>
      </w:r>
      <w:r w:rsidR="002D16C8" w:rsidRPr="007E3A51">
        <w:rPr>
          <w:rFonts w:ascii="Times New Roman" w:hAnsi="Times New Roman" w:cs="Times New Roman"/>
          <w:lang w:val="en-GB"/>
        </w:rPr>
        <w:t>its</w:t>
      </w:r>
      <w:r w:rsidRPr="007E3A51">
        <w:rPr>
          <w:rFonts w:ascii="Times New Roman" w:hAnsi="Times New Roman" w:cs="Times New Roman"/>
          <w:lang w:val="en-GB"/>
        </w:rPr>
        <w:t xml:space="preserve"> territory. If we define food security as the ability of the population to obtain food sufficient for an active and healthy life, then there is currently a problem in this, as evidenced by numerous indicators of food insecurity and indicators of food production. Basically, important indicators that </w:t>
      </w:r>
      <w:r w:rsidR="00DE58EE" w:rsidRPr="007E3A51">
        <w:rPr>
          <w:rFonts w:ascii="Times New Roman" w:hAnsi="Times New Roman" w:cs="Times New Roman"/>
          <w:lang w:val="en-GB"/>
        </w:rPr>
        <w:t>reflect</w:t>
      </w:r>
      <w:r w:rsidRPr="007E3A51">
        <w:rPr>
          <w:rFonts w:ascii="Times New Roman" w:hAnsi="Times New Roman" w:cs="Times New Roman"/>
          <w:lang w:val="en-GB"/>
        </w:rPr>
        <w:t xml:space="preserve"> the level of food security in </w:t>
      </w:r>
      <w:r w:rsidR="00D85667" w:rsidRPr="007E3A51">
        <w:rPr>
          <w:rFonts w:ascii="Times New Roman" w:hAnsi="Times New Roman" w:cs="Times New Roman"/>
          <w:lang w:val="en-GB"/>
        </w:rPr>
        <w:t>Ukraine</w:t>
      </w:r>
      <w:r w:rsidRPr="007E3A51">
        <w:rPr>
          <w:rFonts w:ascii="Times New Roman" w:hAnsi="Times New Roman" w:cs="Times New Roman"/>
          <w:lang w:val="en-GB"/>
        </w:rPr>
        <w:t xml:space="preserve"> significantly dec</w:t>
      </w:r>
      <w:r w:rsidR="0079221D" w:rsidRPr="007E3A51">
        <w:rPr>
          <w:rFonts w:ascii="Times New Roman" w:hAnsi="Times New Roman" w:cs="Times New Roman"/>
          <w:lang w:val="en-GB"/>
        </w:rPr>
        <w:t>lined</w:t>
      </w:r>
      <w:r w:rsidRPr="007E3A51">
        <w:rPr>
          <w:rFonts w:ascii="Times New Roman" w:hAnsi="Times New Roman" w:cs="Times New Roman"/>
          <w:lang w:val="en-GB"/>
        </w:rPr>
        <w:t xml:space="preserve"> in 2022, which is </w:t>
      </w:r>
      <w:r w:rsidR="00757573" w:rsidRPr="007E3A51">
        <w:rPr>
          <w:rFonts w:ascii="Times New Roman" w:hAnsi="Times New Roman" w:cs="Times New Roman"/>
          <w:lang w:val="en-GB"/>
        </w:rPr>
        <w:t>explained</w:t>
      </w:r>
      <w:r w:rsidRPr="007E3A51">
        <w:rPr>
          <w:rFonts w:ascii="Times New Roman" w:hAnsi="Times New Roman" w:cs="Times New Roman"/>
          <w:lang w:val="en-GB"/>
        </w:rPr>
        <w:t xml:space="preserve"> by the </w:t>
      </w:r>
      <w:r w:rsidR="00EC3BB1" w:rsidRPr="007E3A51">
        <w:rPr>
          <w:rFonts w:ascii="Times New Roman" w:hAnsi="Times New Roman" w:cs="Times New Roman"/>
          <w:lang w:val="en-GB"/>
        </w:rPr>
        <w:t>outbreak</w:t>
      </w:r>
      <w:r w:rsidR="004F4DEE" w:rsidRPr="007E3A51">
        <w:rPr>
          <w:rFonts w:ascii="Times New Roman" w:hAnsi="Times New Roman" w:cs="Times New Roman"/>
          <w:lang w:val="en-GB"/>
        </w:rPr>
        <w:t xml:space="preserve"> </w:t>
      </w:r>
      <w:r w:rsidRPr="007E3A51">
        <w:rPr>
          <w:rFonts w:ascii="Times New Roman" w:hAnsi="Times New Roman" w:cs="Times New Roman"/>
          <w:lang w:val="en-GB"/>
        </w:rPr>
        <w:t xml:space="preserve">of </w:t>
      </w:r>
      <w:r w:rsidR="002822CE" w:rsidRPr="007E3A51">
        <w:rPr>
          <w:rFonts w:ascii="Times New Roman" w:hAnsi="Times New Roman" w:cs="Times New Roman"/>
          <w:lang w:val="en-GB"/>
        </w:rPr>
        <w:t xml:space="preserve">the </w:t>
      </w:r>
      <w:r w:rsidRPr="007E3A51">
        <w:rPr>
          <w:rFonts w:ascii="Times New Roman" w:hAnsi="Times New Roman" w:cs="Times New Roman"/>
          <w:lang w:val="en-GB"/>
        </w:rPr>
        <w:t xml:space="preserve">full-scale war. Due to the war, there is a </w:t>
      </w:r>
      <w:r w:rsidR="00A529E7" w:rsidRPr="007E3A51">
        <w:rPr>
          <w:rFonts w:ascii="Times New Roman" w:hAnsi="Times New Roman" w:cs="Times New Roman"/>
          <w:lang w:val="en-GB"/>
        </w:rPr>
        <w:t>challenge</w:t>
      </w:r>
      <w:r w:rsidRPr="007E3A51">
        <w:rPr>
          <w:rFonts w:ascii="Times New Roman" w:hAnsi="Times New Roman" w:cs="Times New Roman"/>
          <w:lang w:val="en-GB"/>
        </w:rPr>
        <w:t xml:space="preserve"> in providing the population with food due to the impossibility of carrying out agricultural work or its difficulty. This causes a shortage of food products and a further increase in prices for them, which has significant socio-economic negative consequences for the population. A study of the development of the agri-food sector during 2019-2023 confirmed that in 2022</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key agricultural indicators decreased. </w:t>
      </w:r>
      <w:r w:rsidR="00D263C2" w:rsidRPr="007E3A51">
        <w:rPr>
          <w:rFonts w:ascii="Times New Roman" w:hAnsi="Times New Roman" w:cs="Times New Roman"/>
          <w:lang w:val="en-GB"/>
        </w:rPr>
        <w:t xml:space="preserve">There is also </w:t>
      </w:r>
      <w:r w:rsidR="00F577BB" w:rsidRPr="007E3A51">
        <w:rPr>
          <w:rFonts w:ascii="Times New Roman" w:hAnsi="Times New Roman" w:cs="Times New Roman"/>
          <w:lang w:val="en-GB"/>
        </w:rPr>
        <w:t>evidence of the negative impact</w:t>
      </w:r>
      <w:r w:rsidRPr="007E3A51">
        <w:rPr>
          <w:rFonts w:ascii="Times New Roman" w:hAnsi="Times New Roman" w:cs="Times New Roman"/>
          <w:lang w:val="en-GB"/>
        </w:rPr>
        <w:t xml:space="preserve"> of the pandemic on the development of this sector. The positive dynamics of indicators in the post-pandemic 2021 and the year after the start of the full-scale war </w:t>
      </w:r>
      <w:r w:rsidR="005369B2" w:rsidRPr="007E3A51">
        <w:rPr>
          <w:rFonts w:ascii="Times New Roman" w:hAnsi="Times New Roman" w:cs="Times New Roman"/>
          <w:lang w:val="en-GB"/>
        </w:rPr>
        <w:t>–</w:t>
      </w:r>
      <w:r w:rsidRPr="007E3A51">
        <w:rPr>
          <w:rFonts w:ascii="Times New Roman" w:hAnsi="Times New Roman" w:cs="Times New Roman"/>
          <w:lang w:val="en-GB"/>
        </w:rPr>
        <w:t xml:space="preserve"> 2023 </w:t>
      </w:r>
      <w:r w:rsidR="00247C05" w:rsidRPr="007E3A51">
        <w:rPr>
          <w:rFonts w:ascii="Times New Roman" w:hAnsi="Times New Roman" w:cs="Times New Roman"/>
          <w:lang w:val="en-GB"/>
        </w:rPr>
        <w:t xml:space="preserve">– </w:t>
      </w:r>
      <w:r w:rsidRPr="007E3A51">
        <w:rPr>
          <w:rFonts w:ascii="Times New Roman" w:hAnsi="Times New Roman" w:cs="Times New Roman"/>
          <w:lang w:val="en-GB"/>
        </w:rPr>
        <w:t>w</w:t>
      </w:r>
      <w:r w:rsidR="005369B2" w:rsidRPr="007E3A51">
        <w:rPr>
          <w:rFonts w:ascii="Times New Roman" w:hAnsi="Times New Roman" w:cs="Times New Roman"/>
          <w:lang w:val="en-GB"/>
        </w:rPr>
        <w:t>ere</w:t>
      </w:r>
      <w:r w:rsidRPr="007E3A51">
        <w:rPr>
          <w:rFonts w:ascii="Times New Roman" w:hAnsi="Times New Roman" w:cs="Times New Roman"/>
          <w:lang w:val="en-GB"/>
        </w:rPr>
        <w:t xml:space="preserve"> noticeable, which indicates the rapid response of our farmers and the restoration of this sector. </w:t>
      </w:r>
      <w:r w:rsidR="00540439" w:rsidRPr="007E3A51">
        <w:rPr>
          <w:rFonts w:ascii="Times New Roman" w:hAnsi="Times New Roman" w:cs="Times New Roman"/>
          <w:lang w:val="en-GB"/>
        </w:rPr>
        <w:t>Furthermore, the study</w:t>
      </w:r>
      <w:r w:rsidRPr="007E3A51">
        <w:rPr>
          <w:rFonts w:ascii="Times New Roman" w:hAnsi="Times New Roman" w:cs="Times New Roman"/>
          <w:lang w:val="en-GB"/>
        </w:rPr>
        <w:t xml:space="preserve"> highlight</w:t>
      </w:r>
      <w:r w:rsidR="00540439" w:rsidRPr="007E3A51">
        <w:rPr>
          <w:rFonts w:ascii="Times New Roman" w:hAnsi="Times New Roman" w:cs="Times New Roman"/>
          <w:lang w:val="en-GB"/>
        </w:rPr>
        <w:t>s</w:t>
      </w:r>
      <w:r w:rsidRPr="007E3A51">
        <w:rPr>
          <w:rFonts w:ascii="Times New Roman" w:hAnsi="Times New Roman" w:cs="Times New Roman"/>
          <w:lang w:val="en-GB"/>
        </w:rPr>
        <w:t xml:space="preserve"> the significant potential of the domestic agri-food sector </w:t>
      </w:r>
      <w:r w:rsidR="008E6D01" w:rsidRPr="007E3A51">
        <w:rPr>
          <w:rFonts w:ascii="Times New Roman" w:hAnsi="Times New Roman" w:cs="Times New Roman"/>
          <w:lang w:val="en-GB"/>
        </w:rPr>
        <w:t>to</w:t>
      </w:r>
      <w:r w:rsidRPr="007E3A51">
        <w:rPr>
          <w:rFonts w:ascii="Times New Roman" w:hAnsi="Times New Roman" w:cs="Times New Roman"/>
          <w:lang w:val="en-GB"/>
        </w:rPr>
        <w:t xml:space="preserve"> ensur</w:t>
      </w:r>
      <w:r w:rsidR="008E6D01" w:rsidRPr="007E3A51">
        <w:rPr>
          <w:rFonts w:ascii="Times New Roman" w:hAnsi="Times New Roman" w:cs="Times New Roman"/>
          <w:lang w:val="en-GB"/>
        </w:rPr>
        <w:t>e</w:t>
      </w:r>
      <w:r w:rsidRPr="007E3A51">
        <w:rPr>
          <w:rFonts w:ascii="Times New Roman" w:hAnsi="Times New Roman" w:cs="Times New Roman"/>
          <w:lang w:val="en-GB"/>
        </w:rPr>
        <w:t xml:space="preserve"> inclusive and sustainable production and </w:t>
      </w:r>
      <w:r w:rsidR="007B2605" w:rsidRPr="007E3A51">
        <w:rPr>
          <w:rFonts w:ascii="Times New Roman" w:hAnsi="Times New Roman" w:cs="Times New Roman"/>
          <w:lang w:val="en-GB"/>
        </w:rPr>
        <w:t>to foster</w:t>
      </w:r>
      <w:r w:rsidRPr="007E3A51">
        <w:rPr>
          <w:rFonts w:ascii="Times New Roman" w:hAnsi="Times New Roman" w:cs="Times New Roman"/>
          <w:lang w:val="en-GB"/>
        </w:rPr>
        <w:t xml:space="preserve"> </w:t>
      </w:r>
      <w:r w:rsidR="007B2605" w:rsidRPr="007E3A51">
        <w:rPr>
          <w:rFonts w:ascii="Times New Roman" w:hAnsi="Times New Roman" w:cs="Times New Roman"/>
          <w:lang w:val="en-GB"/>
        </w:rPr>
        <w:t>the</w:t>
      </w:r>
      <w:r w:rsidRPr="007E3A51">
        <w:rPr>
          <w:rFonts w:ascii="Times New Roman" w:hAnsi="Times New Roman" w:cs="Times New Roman"/>
          <w:lang w:val="en-GB"/>
        </w:rPr>
        <w:t xml:space="preserve"> develop</w:t>
      </w:r>
      <w:r w:rsidR="007B2605" w:rsidRPr="007E3A51">
        <w:rPr>
          <w:rFonts w:ascii="Times New Roman" w:hAnsi="Times New Roman" w:cs="Times New Roman"/>
          <w:lang w:val="en-GB"/>
        </w:rPr>
        <w:t>ment</w:t>
      </w:r>
      <w:r w:rsidRPr="007E3A51">
        <w:rPr>
          <w:rFonts w:ascii="Times New Roman" w:hAnsi="Times New Roman" w:cs="Times New Roman"/>
          <w:lang w:val="en-GB"/>
        </w:rPr>
        <w:t xml:space="preserve"> </w:t>
      </w:r>
      <w:r w:rsidR="007B2605" w:rsidRPr="007E3A51">
        <w:rPr>
          <w:rFonts w:ascii="Times New Roman" w:hAnsi="Times New Roman" w:cs="Times New Roman"/>
          <w:lang w:val="en-GB"/>
        </w:rPr>
        <w:t xml:space="preserve">of </w:t>
      </w:r>
      <w:r w:rsidRPr="007E3A51">
        <w:rPr>
          <w:rFonts w:ascii="Times New Roman" w:hAnsi="Times New Roman" w:cs="Times New Roman"/>
          <w:lang w:val="en-GB"/>
        </w:rPr>
        <w:t>the bioeconomy</w:t>
      </w:r>
      <w:r w:rsidR="004B47A5" w:rsidRPr="007E3A51">
        <w:rPr>
          <w:rFonts w:ascii="Times New Roman" w:hAnsi="Times New Roman" w:cs="Times New Roman"/>
          <w:lang w:val="en-GB"/>
        </w:rPr>
        <w:t>.</w:t>
      </w:r>
      <w:r w:rsidRPr="007E3A51">
        <w:rPr>
          <w:rFonts w:ascii="Times New Roman" w:hAnsi="Times New Roman" w:cs="Times New Roman"/>
          <w:lang w:val="en-GB"/>
        </w:rPr>
        <w:t xml:space="preserve"> </w:t>
      </w:r>
      <w:r w:rsidR="004B47A5" w:rsidRPr="007E3A51">
        <w:rPr>
          <w:rFonts w:ascii="Times New Roman" w:hAnsi="Times New Roman" w:cs="Times New Roman"/>
          <w:lang w:val="en-GB"/>
        </w:rPr>
        <w:t>This</w:t>
      </w:r>
      <w:r w:rsidRPr="007E3A51">
        <w:rPr>
          <w:rFonts w:ascii="Times New Roman" w:hAnsi="Times New Roman" w:cs="Times New Roman"/>
          <w:lang w:val="en-GB"/>
        </w:rPr>
        <w:t xml:space="preserve"> modern approach </w:t>
      </w:r>
      <w:r w:rsidR="003213AC" w:rsidRPr="007E3A51">
        <w:rPr>
          <w:rFonts w:ascii="Times New Roman" w:hAnsi="Times New Roman" w:cs="Times New Roman"/>
          <w:lang w:val="en-GB"/>
        </w:rPr>
        <w:t>aligns with</w:t>
      </w:r>
      <w:r w:rsidRPr="007E3A51">
        <w:rPr>
          <w:rFonts w:ascii="Times New Roman" w:hAnsi="Times New Roman" w:cs="Times New Roman"/>
          <w:lang w:val="en-GB"/>
        </w:rPr>
        <w:t xml:space="preserve"> Ukraine's European integration ambitions and falls in </w:t>
      </w:r>
      <w:r w:rsidR="005369B2" w:rsidRPr="007E3A51">
        <w:rPr>
          <w:rFonts w:ascii="Times New Roman" w:hAnsi="Times New Roman" w:cs="Times New Roman"/>
          <w:lang w:val="en-GB"/>
        </w:rPr>
        <w:t>line</w:t>
      </w:r>
      <w:r w:rsidRPr="007E3A51">
        <w:rPr>
          <w:rFonts w:ascii="Times New Roman" w:hAnsi="Times New Roman" w:cs="Times New Roman"/>
          <w:lang w:val="en-GB"/>
        </w:rPr>
        <w:t xml:space="preserve"> </w:t>
      </w:r>
      <w:r w:rsidR="005369B2" w:rsidRPr="007E3A51">
        <w:rPr>
          <w:rFonts w:ascii="Times New Roman" w:hAnsi="Times New Roman" w:cs="Times New Roman"/>
          <w:lang w:val="en-GB"/>
        </w:rPr>
        <w:t>with</w:t>
      </w:r>
      <w:r w:rsidRPr="007E3A51">
        <w:rPr>
          <w:rFonts w:ascii="Times New Roman" w:hAnsi="Times New Roman" w:cs="Times New Roman"/>
          <w:lang w:val="en-GB"/>
        </w:rPr>
        <w:t xml:space="preserve"> the European Green Deal. The development of agri-food crops </w:t>
      </w:r>
      <w:r w:rsidR="00D62EDA" w:rsidRPr="007E3A51">
        <w:rPr>
          <w:rFonts w:ascii="Times New Roman" w:hAnsi="Times New Roman" w:cs="Times New Roman"/>
          <w:lang w:val="en-GB"/>
        </w:rPr>
        <w:t xml:space="preserve">for use </w:t>
      </w:r>
      <w:r w:rsidRPr="007E3A51">
        <w:rPr>
          <w:rFonts w:ascii="Times New Roman" w:hAnsi="Times New Roman" w:cs="Times New Roman"/>
          <w:lang w:val="en-GB"/>
        </w:rPr>
        <w:t>as biomass for the purpose of further production of biofuels and other bio-</w:t>
      </w:r>
      <w:r w:rsidR="007166E1" w:rsidRPr="007E3A51">
        <w:rPr>
          <w:rFonts w:ascii="Times New Roman" w:hAnsi="Times New Roman" w:cs="Times New Roman"/>
          <w:lang w:val="en-GB"/>
        </w:rPr>
        <w:t xml:space="preserve">based </w:t>
      </w:r>
      <w:r w:rsidRPr="007E3A51">
        <w:rPr>
          <w:rFonts w:ascii="Times New Roman" w:hAnsi="Times New Roman" w:cs="Times New Roman"/>
          <w:lang w:val="en-GB"/>
        </w:rPr>
        <w:t xml:space="preserve">products </w:t>
      </w:r>
      <w:r w:rsidR="00740E2A" w:rsidRPr="007E3A51">
        <w:rPr>
          <w:rFonts w:ascii="Times New Roman" w:hAnsi="Times New Roman" w:cs="Times New Roman"/>
          <w:lang w:val="en-GB"/>
        </w:rPr>
        <w:t>can address</w:t>
      </w:r>
      <w:r w:rsidRPr="007E3A51">
        <w:rPr>
          <w:rFonts w:ascii="Times New Roman" w:hAnsi="Times New Roman" w:cs="Times New Roman"/>
          <w:lang w:val="en-GB"/>
        </w:rPr>
        <w:t xml:space="preserve"> a significant </w:t>
      </w:r>
      <w:r w:rsidR="00F35D8D" w:rsidRPr="007E3A51">
        <w:rPr>
          <w:rFonts w:ascii="Times New Roman" w:hAnsi="Times New Roman" w:cs="Times New Roman"/>
          <w:lang w:val="en-GB"/>
        </w:rPr>
        <w:t>challenge</w:t>
      </w:r>
      <w:r w:rsidRPr="007E3A51">
        <w:rPr>
          <w:rFonts w:ascii="Times New Roman" w:hAnsi="Times New Roman" w:cs="Times New Roman"/>
          <w:lang w:val="en-GB"/>
        </w:rPr>
        <w:t xml:space="preserve"> that Ukraine faced during attacks on critical infrastructure </w:t>
      </w:r>
      <w:r w:rsidR="00B51549" w:rsidRPr="007E3A51">
        <w:rPr>
          <w:rFonts w:ascii="Times New Roman" w:hAnsi="Times New Roman" w:cs="Times New Roman"/>
          <w:lang w:val="en-GB"/>
        </w:rPr>
        <w:t>–</w:t>
      </w:r>
      <w:r w:rsidRPr="007E3A51">
        <w:rPr>
          <w:rFonts w:ascii="Times New Roman" w:hAnsi="Times New Roman" w:cs="Times New Roman"/>
          <w:lang w:val="en-GB"/>
        </w:rPr>
        <w:t xml:space="preserve"> the energy crisis </w:t>
      </w:r>
      <w:r w:rsidRPr="007E3A51">
        <w:rPr>
          <w:rFonts w:ascii="Times New Roman" w:hAnsi="Times New Roman" w:cs="Times New Roman"/>
          <w:lang w:val="en-GB"/>
        </w:rPr>
        <w:lastRenderedPageBreak/>
        <w:t xml:space="preserve">and dependence. The development of alternative energy sources will ensure the sustainable development of Ukraine and </w:t>
      </w:r>
      <w:r w:rsidR="00DC59B4" w:rsidRPr="007E3A51">
        <w:rPr>
          <w:rFonts w:ascii="Times New Roman" w:hAnsi="Times New Roman" w:cs="Times New Roman"/>
          <w:lang w:val="en-GB"/>
        </w:rPr>
        <w:t xml:space="preserve">strengthen its </w:t>
      </w:r>
      <w:r w:rsidRPr="007E3A51">
        <w:rPr>
          <w:rFonts w:ascii="Times New Roman" w:hAnsi="Times New Roman" w:cs="Times New Roman"/>
          <w:lang w:val="en-GB"/>
        </w:rPr>
        <w:t xml:space="preserve">energy independence. The </w:t>
      </w:r>
      <w:r w:rsidR="00EE0D09" w:rsidRPr="007E3A51">
        <w:rPr>
          <w:rFonts w:ascii="Times New Roman" w:hAnsi="Times New Roman" w:cs="Times New Roman"/>
          <w:lang w:val="en-GB"/>
        </w:rPr>
        <w:t>broa</w:t>
      </w:r>
      <w:r w:rsidR="009C2501" w:rsidRPr="007E3A51">
        <w:rPr>
          <w:rFonts w:ascii="Times New Roman" w:hAnsi="Times New Roman" w:cs="Times New Roman"/>
          <w:lang w:val="en-GB"/>
        </w:rPr>
        <w:t xml:space="preserve">der use </w:t>
      </w:r>
      <w:r w:rsidRPr="007E3A51">
        <w:rPr>
          <w:rFonts w:ascii="Times New Roman" w:hAnsi="Times New Roman" w:cs="Times New Roman"/>
          <w:lang w:val="en-GB"/>
        </w:rPr>
        <w:t>of alternative modes of transport</w:t>
      </w:r>
      <w:r w:rsidR="00221CE6" w:rsidRPr="007E3A51">
        <w:rPr>
          <w:rFonts w:ascii="Times New Roman" w:hAnsi="Times New Roman" w:cs="Times New Roman"/>
          <w:lang w:val="en-GB"/>
        </w:rPr>
        <w:t xml:space="preserve">, such as </w:t>
      </w:r>
      <w:r w:rsidRPr="007E3A51">
        <w:rPr>
          <w:rFonts w:ascii="Times New Roman" w:hAnsi="Times New Roman" w:cs="Times New Roman"/>
          <w:lang w:val="en-GB"/>
        </w:rPr>
        <w:t>electric vehicles</w:t>
      </w:r>
      <w:r w:rsidR="004A1361" w:rsidRPr="007E3A51">
        <w:rPr>
          <w:rFonts w:ascii="Times New Roman" w:hAnsi="Times New Roman" w:cs="Times New Roman"/>
          <w:lang w:val="en-GB"/>
        </w:rPr>
        <w:t>,</w:t>
      </w:r>
      <w:r w:rsidR="00934594" w:rsidRPr="007E3A51">
        <w:rPr>
          <w:rFonts w:ascii="Times New Roman" w:hAnsi="Times New Roman" w:cs="Times New Roman"/>
          <w:lang w:val="en-GB"/>
        </w:rPr>
        <w:t xml:space="preserve"> </w:t>
      </w:r>
      <w:r w:rsidRPr="007E3A51">
        <w:rPr>
          <w:rFonts w:ascii="Times New Roman" w:hAnsi="Times New Roman" w:cs="Times New Roman"/>
          <w:lang w:val="en-GB"/>
        </w:rPr>
        <w:t xml:space="preserve">will </w:t>
      </w:r>
      <w:r w:rsidR="000B6998" w:rsidRPr="007E3A51">
        <w:rPr>
          <w:rFonts w:ascii="Times New Roman" w:hAnsi="Times New Roman" w:cs="Times New Roman"/>
          <w:lang w:val="en-GB"/>
        </w:rPr>
        <w:t xml:space="preserve">also </w:t>
      </w:r>
      <w:r w:rsidRPr="007E3A51">
        <w:rPr>
          <w:rFonts w:ascii="Times New Roman" w:hAnsi="Times New Roman" w:cs="Times New Roman"/>
          <w:lang w:val="en-GB"/>
        </w:rPr>
        <w:t xml:space="preserve">significantly improve the environment, </w:t>
      </w:r>
      <w:r w:rsidR="00570FAE" w:rsidRPr="007E3A51">
        <w:rPr>
          <w:rFonts w:ascii="Times New Roman" w:hAnsi="Times New Roman" w:cs="Times New Roman"/>
          <w:lang w:val="en-GB"/>
        </w:rPr>
        <w:t>enhance</w:t>
      </w:r>
      <w:r w:rsidRPr="007E3A51">
        <w:rPr>
          <w:rFonts w:ascii="Times New Roman" w:hAnsi="Times New Roman" w:cs="Times New Roman"/>
          <w:lang w:val="en-GB"/>
        </w:rPr>
        <w:t xml:space="preserve"> the quality of life, reduce CO</w:t>
      </w:r>
      <w:r w:rsidRPr="007E3A51">
        <w:rPr>
          <w:rFonts w:ascii="Times New Roman" w:hAnsi="Times New Roman" w:cs="Times New Roman"/>
          <w:vertAlign w:val="subscript"/>
          <w:lang w:val="en-GB"/>
        </w:rPr>
        <w:t xml:space="preserve">2 </w:t>
      </w:r>
      <w:r w:rsidRPr="007E3A51">
        <w:rPr>
          <w:rFonts w:ascii="Times New Roman" w:hAnsi="Times New Roman" w:cs="Times New Roman"/>
          <w:lang w:val="en-GB"/>
        </w:rPr>
        <w:t xml:space="preserve">emissions, etc. The development of the agri-food sector is also becoming </w:t>
      </w:r>
      <w:r w:rsidR="004F0D27" w:rsidRPr="007E3A51">
        <w:rPr>
          <w:rFonts w:ascii="Times New Roman" w:hAnsi="Times New Roman" w:cs="Times New Roman"/>
          <w:lang w:val="en-GB"/>
        </w:rPr>
        <w:t>crucial for ensuring</w:t>
      </w:r>
      <w:r w:rsidRPr="007E3A51">
        <w:rPr>
          <w:rFonts w:ascii="Times New Roman" w:hAnsi="Times New Roman" w:cs="Times New Roman"/>
          <w:lang w:val="en-GB"/>
        </w:rPr>
        <w:t xml:space="preserve"> food security on an inclusive basis</w:t>
      </w:r>
      <w:r w:rsidR="00AE7061" w:rsidRPr="007E3A51">
        <w:rPr>
          <w:rFonts w:ascii="Times New Roman" w:hAnsi="Times New Roman" w:cs="Times New Roman"/>
          <w:lang w:val="en-GB"/>
        </w:rPr>
        <w:t xml:space="preserve">. </w:t>
      </w:r>
      <w:r w:rsidR="001C3EA8" w:rsidRPr="007E3A51">
        <w:rPr>
          <w:rFonts w:ascii="Times New Roman" w:hAnsi="Times New Roman" w:cs="Times New Roman"/>
          <w:lang w:val="en-GB"/>
        </w:rPr>
        <w:t>This requires</w:t>
      </w:r>
      <w:r w:rsidRPr="007E3A51">
        <w:rPr>
          <w:rFonts w:ascii="Times New Roman" w:hAnsi="Times New Roman" w:cs="Times New Roman"/>
          <w:lang w:val="en-GB"/>
        </w:rPr>
        <w:t xml:space="preserve"> stimulating the </w:t>
      </w:r>
      <w:r w:rsidR="0006430E" w:rsidRPr="007E3A51">
        <w:rPr>
          <w:rFonts w:ascii="Times New Roman" w:hAnsi="Times New Roman" w:cs="Times New Roman"/>
          <w:lang w:val="en-GB"/>
        </w:rPr>
        <w:t>growth</w:t>
      </w:r>
      <w:r w:rsidRPr="007E3A51">
        <w:rPr>
          <w:rFonts w:ascii="Times New Roman" w:hAnsi="Times New Roman" w:cs="Times New Roman"/>
          <w:lang w:val="en-GB"/>
        </w:rPr>
        <w:t xml:space="preserve"> of SMEs as a key factor in the development of the labour market and </w:t>
      </w:r>
      <w:r w:rsidR="00D4511E" w:rsidRPr="007E3A51">
        <w:rPr>
          <w:rFonts w:ascii="Times New Roman" w:hAnsi="Times New Roman" w:cs="Times New Roman"/>
          <w:lang w:val="en-GB"/>
        </w:rPr>
        <w:t>national</w:t>
      </w:r>
      <w:r w:rsidRPr="007E3A51">
        <w:rPr>
          <w:rFonts w:ascii="Times New Roman" w:hAnsi="Times New Roman" w:cs="Times New Roman"/>
          <w:lang w:val="en-GB"/>
        </w:rPr>
        <w:t xml:space="preserve"> economy, ensuring the maintenance of the competitiveness of domestic agricultural products</w:t>
      </w:r>
      <w:r w:rsidR="00172B2F" w:rsidRPr="007E3A51">
        <w:rPr>
          <w:rFonts w:ascii="Times New Roman" w:hAnsi="Times New Roman" w:cs="Times New Roman"/>
          <w:lang w:val="en-GB"/>
        </w:rPr>
        <w:t xml:space="preserve">. </w:t>
      </w:r>
      <w:r w:rsidR="0088797A" w:rsidRPr="007E3A51">
        <w:rPr>
          <w:rFonts w:ascii="Times New Roman" w:hAnsi="Times New Roman" w:cs="Times New Roman"/>
          <w:lang w:val="en-GB"/>
        </w:rPr>
        <w:t>Additionally</w:t>
      </w:r>
      <w:r w:rsidR="005369B2" w:rsidRPr="007E3A51">
        <w:rPr>
          <w:rFonts w:ascii="Times New Roman" w:hAnsi="Times New Roman" w:cs="Times New Roman"/>
          <w:lang w:val="en-GB"/>
        </w:rPr>
        <w:t>, an</w:t>
      </w:r>
      <w:r w:rsidR="0088797A" w:rsidRPr="007E3A51">
        <w:rPr>
          <w:rFonts w:ascii="Times New Roman" w:hAnsi="Times New Roman" w:cs="Times New Roman"/>
          <w:lang w:val="en-GB"/>
        </w:rPr>
        <w:t xml:space="preserve"> </w:t>
      </w:r>
      <w:r w:rsidR="007857D8" w:rsidRPr="007E3A51">
        <w:rPr>
          <w:rFonts w:ascii="Times New Roman" w:hAnsi="Times New Roman" w:cs="Times New Roman"/>
          <w:lang w:val="en-GB"/>
        </w:rPr>
        <w:t xml:space="preserve">inclusive approach </w:t>
      </w:r>
      <w:r w:rsidR="003C4848" w:rsidRPr="007E3A51">
        <w:rPr>
          <w:rFonts w:ascii="Times New Roman" w:hAnsi="Times New Roman" w:cs="Times New Roman"/>
          <w:lang w:val="en-GB"/>
        </w:rPr>
        <w:t>implies greater</w:t>
      </w:r>
      <w:r w:rsidRPr="007E3A51">
        <w:rPr>
          <w:rFonts w:ascii="Times New Roman" w:hAnsi="Times New Roman" w:cs="Times New Roman"/>
          <w:lang w:val="en-GB"/>
        </w:rPr>
        <w:t xml:space="preserve"> involvement of women in the labour market</w:t>
      </w:r>
      <w:r w:rsidR="007107BD" w:rsidRPr="007E3A51">
        <w:rPr>
          <w:rFonts w:ascii="Times New Roman" w:hAnsi="Times New Roman" w:cs="Times New Roman"/>
          <w:lang w:val="en-GB"/>
        </w:rPr>
        <w:t>,</w:t>
      </w:r>
      <w:r w:rsidRPr="007E3A51">
        <w:rPr>
          <w:rFonts w:ascii="Times New Roman" w:hAnsi="Times New Roman" w:cs="Times New Roman"/>
          <w:lang w:val="en-GB"/>
        </w:rPr>
        <w:t xml:space="preserve"> particular</w:t>
      </w:r>
      <w:r w:rsidR="007107BD" w:rsidRPr="007E3A51">
        <w:rPr>
          <w:rFonts w:ascii="Times New Roman" w:hAnsi="Times New Roman" w:cs="Times New Roman"/>
          <w:lang w:val="en-GB"/>
        </w:rPr>
        <w:t xml:space="preserve">ly </w:t>
      </w:r>
      <w:r w:rsidRPr="007E3A51">
        <w:rPr>
          <w:rFonts w:ascii="Times New Roman" w:hAnsi="Times New Roman" w:cs="Times New Roman"/>
          <w:lang w:val="en-GB"/>
        </w:rPr>
        <w:t xml:space="preserve">in </w:t>
      </w:r>
      <w:r w:rsidR="007107BD" w:rsidRPr="007E3A51">
        <w:rPr>
          <w:rFonts w:ascii="Times New Roman" w:hAnsi="Times New Roman" w:cs="Times New Roman"/>
          <w:lang w:val="en-GB"/>
        </w:rPr>
        <w:t xml:space="preserve">farm and </w:t>
      </w:r>
      <w:r w:rsidRPr="007E3A51">
        <w:rPr>
          <w:rFonts w:ascii="Times New Roman" w:hAnsi="Times New Roman" w:cs="Times New Roman"/>
          <w:lang w:val="en-GB"/>
        </w:rPr>
        <w:t xml:space="preserve">company management, which will allow </w:t>
      </w:r>
      <w:r w:rsidR="005369B2" w:rsidRPr="007E3A51">
        <w:rPr>
          <w:rFonts w:ascii="Times New Roman" w:hAnsi="Times New Roman" w:cs="Times New Roman"/>
          <w:lang w:val="en-GB"/>
        </w:rPr>
        <w:t xml:space="preserve">us to </w:t>
      </w:r>
      <w:r w:rsidR="00CD5E65" w:rsidRPr="007E3A51">
        <w:rPr>
          <w:rFonts w:ascii="Times New Roman" w:hAnsi="Times New Roman" w:cs="Times New Roman"/>
          <w:lang w:val="en-GB"/>
        </w:rPr>
        <w:t xml:space="preserve">recover </w:t>
      </w:r>
      <w:r w:rsidRPr="007E3A51">
        <w:rPr>
          <w:rFonts w:ascii="Times New Roman" w:hAnsi="Times New Roman" w:cs="Times New Roman"/>
          <w:lang w:val="en-GB"/>
        </w:rPr>
        <w:t>the number of SMEs that were forced to close due to the outbreak of hostilities and forced migration of the population. It is also worth considering the interests of other population groups, such as youth</w:t>
      </w:r>
      <w:r w:rsidR="005369B2" w:rsidRPr="007E3A51">
        <w:rPr>
          <w:rFonts w:ascii="Times New Roman" w:hAnsi="Times New Roman" w:cs="Times New Roman"/>
          <w:lang w:val="en-GB"/>
        </w:rPr>
        <w:t xml:space="preserve"> and</w:t>
      </w:r>
      <w:r w:rsidRPr="007E3A51">
        <w:rPr>
          <w:rFonts w:ascii="Times New Roman" w:hAnsi="Times New Roman" w:cs="Times New Roman"/>
          <w:lang w:val="en-GB"/>
        </w:rPr>
        <w:t xml:space="preserve"> IDPs, </w:t>
      </w:r>
      <w:r w:rsidR="00870BB8" w:rsidRPr="007E3A51">
        <w:rPr>
          <w:rFonts w:ascii="Times New Roman" w:hAnsi="Times New Roman" w:cs="Times New Roman"/>
          <w:lang w:val="en-GB"/>
        </w:rPr>
        <w:t>wh</w:t>
      </w:r>
      <w:r w:rsidR="005369B2" w:rsidRPr="007E3A51">
        <w:rPr>
          <w:rFonts w:ascii="Times New Roman" w:hAnsi="Times New Roman" w:cs="Times New Roman"/>
          <w:lang w:val="en-GB"/>
        </w:rPr>
        <w:t>o</w:t>
      </w:r>
      <w:r w:rsidR="00870BB8" w:rsidRPr="007E3A51">
        <w:rPr>
          <w:rFonts w:ascii="Times New Roman" w:hAnsi="Times New Roman" w:cs="Times New Roman"/>
          <w:lang w:val="en-GB"/>
        </w:rPr>
        <w:t xml:space="preserve"> are particularly vulnerable </w:t>
      </w:r>
      <w:r w:rsidR="005369B2" w:rsidRPr="007E3A51">
        <w:rPr>
          <w:rFonts w:ascii="Times New Roman" w:hAnsi="Times New Roman" w:cs="Times New Roman"/>
          <w:lang w:val="en-GB"/>
        </w:rPr>
        <w:t>at</w:t>
      </w:r>
      <w:r w:rsidR="00870BB8" w:rsidRPr="007E3A51">
        <w:rPr>
          <w:rFonts w:ascii="Times New Roman" w:hAnsi="Times New Roman" w:cs="Times New Roman"/>
          <w:lang w:val="en-GB"/>
        </w:rPr>
        <w:t xml:space="preserve"> the current time</w:t>
      </w:r>
      <w:r w:rsidRPr="007E3A51">
        <w:rPr>
          <w:rFonts w:ascii="Times New Roman" w:hAnsi="Times New Roman" w:cs="Times New Roman"/>
          <w:lang w:val="en-GB"/>
        </w:rPr>
        <w:t>. Maxi</w:t>
      </w:r>
      <w:r w:rsidR="00936A43" w:rsidRPr="007E3A51">
        <w:rPr>
          <w:rFonts w:ascii="Times New Roman" w:hAnsi="Times New Roman" w:cs="Times New Roman"/>
          <w:lang w:val="en-GB"/>
        </w:rPr>
        <w:t>mizing the</w:t>
      </w:r>
      <w:r w:rsidRPr="007E3A51">
        <w:rPr>
          <w:rFonts w:ascii="Times New Roman" w:hAnsi="Times New Roman" w:cs="Times New Roman"/>
          <w:lang w:val="en-GB"/>
        </w:rPr>
        <w:t xml:space="preserve"> involvement of all population groups in the agri-food sector will increase its efficiency and improve the quality of life of the population of Ukraine. Taking into consideration global trends will provide an opportunity to build a developed country focused on sustainable production and modern</w:t>
      </w:r>
      <w:r w:rsidR="008F08C0" w:rsidRPr="007E3A51">
        <w:rPr>
          <w:rFonts w:ascii="Times New Roman" w:hAnsi="Times New Roman" w:cs="Times New Roman"/>
          <w:lang w:val="en-GB"/>
        </w:rPr>
        <w:t xml:space="preserve">, innovative </w:t>
      </w:r>
      <w:r w:rsidRPr="007E3A51">
        <w:rPr>
          <w:rFonts w:ascii="Times New Roman" w:hAnsi="Times New Roman" w:cs="Times New Roman"/>
          <w:lang w:val="en-GB"/>
        </w:rPr>
        <w:t>approaches to management.</w:t>
      </w:r>
    </w:p>
    <w:p w14:paraId="326D6B70" w14:textId="77777777" w:rsidR="005A6162" w:rsidRPr="007E3A51" w:rsidRDefault="005A6162" w:rsidP="005A6162">
      <w:pPr>
        <w:pStyle w:val="Rn2"/>
        <w:rPr>
          <w:lang w:val="en-GB"/>
        </w:rPr>
      </w:pPr>
      <w:r w:rsidRPr="007E3A51">
        <w:rPr>
          <w:lang w:val="en-GB"/>
        </w:rPr>
        <w:t>Statements and Declarations</w:t>
      </w:r>
    </w:p>
    <w:p w14:paraId="166E0D93" w14:textId="77777777" w:rsidR="00F80E61" w:rsidRPr="007E3A51" w:rsidRDefault="003116DE" w:rsidP="00F80E61">
      <w:pPr>
        <w:pStyle w:val="Rn2"/>
        <w:rPr>
          <w:sz w:val="20"/>
          <w:szCs w:val="20"/>
          <w:lang w:val="en-GB"/>
        </w:rPr>
      </w:pPr>
      <w:r w:rsidRPr="007E3A51">
        <w:rPr>
          <w:sz w:val="20"/>
          <w:szCs w:val="20"/>
          <w:lang w:val="en-GB"/>
        </w:rPr>
        <w:t>Acknowledgements</w:t>
      </w:r>
    </w:p>
    <w:p w14:paraId="69DBE9A2" w14:textId="7CBFC2A1" w:rsidR="003116DE" w:rsidRPr="007E3A51" w:rsidRDefault="003116DE" w:rsidP="00F84F96">
      <w:pPr>
        <w:spacing w:after="0" w:line="240" w:lineRule="auto"/>
        <w:ind w:firstLine="284"/>
        <w:jc w:val="both"/>
        <w:rPr>
          <w:rFonts w:ascii="Times New Roman" w:hAnsi="Times New Roman" w:cs="Times New Roman"/>
          <w:sz w:val="20"/>
          <w:szCs w:val="20"/>
          <w:lang w:val="en-GB"/>
        </w:rPr>
      </w:pPr>
      <w:r w:rsidRPr="007E3A51">
        <w:rPr>
          <w:rFonts w:ascii="Times New Roman" w:hAnsi="Times New Roman" w:cs="Times New Roman"/>
          <w:sz w:val="20"/>
          <w:szCs w:val="20"/>
          <w:lang w:val="en-GB"/>
        </w:rPr>
        <w:t xml:space="preserve">The research is </w:t>
      </w:r>
      <w:r w:rsidR="00685390" w:rsidRPr="007E3A51">
        <w:rPr>
          <w:rFonts w:ascii="Times New Roman" w:hAnsi="Times New Roman" w:cs="Times New Roman"/>
          <w:sz w:val="20"/>
          <w:szCs w:val="20"/>
          <w:lang w:val="en-GB"/>
        </w:rPr>
        <w:t xml:space="preserve">a </w:t>
      </w:r>
      <w:r w:rsidRPr="007E3A51">
        <w:rPr>
          <w:rFonts w:ascii="Times New Roman" w:hAnsi="Times New Roman" w:cs="Times New Roman"/>
          <w:sz w:val="20"/>
          <w:szCs w:val="20"/>
          <w:lang w:val="en-GB"/>
        </w:rPr>
        <w:t>part of the project</w:t>
      </w:r>
      <w:r w:rsidR="005369B2"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 xml:space="preserve">s implementation at the National University of Life and Environmental Sciences of Ukraine of Erasmus+ Jean Monnet Module </w:t>
      </w:r>
      <w:r w:rsidR="005369B2"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EU Practices of Social and Economic Inclusion</w:t>
      </w:r>
      <w:r w:rsidR="005369B2"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 xml:space="preserve"> (Jean Monnet Module 101127466 - EPSEI - ERASMUS-JMO-2023-HEI-TCH-RSCH). The above project has been funded by the European Union. Views and opinions expressed are</w:t>
      </w:r>
      <w:r w:rsidR="005369B2"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 xml:space="preserve"> however</w:t>
      </w:r>
      <w:r w:rsidR="005369B2" w:rsidRPr="007E3A51">
        <w:rPr>
          <w:rFonts w:ascii="Times New Roman" w:hAnsi="Times New Roman" w:cs="Times New Roman"/>
          <w:sz w:val="20"/>
          <w:szCs w:val="20"/>
          <w:lang w:val="en-GB"/>
        </w:rPr>
        <w:t>,</w:t>
      </w:r>
      <w:r w:rsidRPr="007E3A51">
        <w:rPr>
          <w:rFonts w:ascii="Times New Roman" w:hAnsi="Times New Roman" w:cs="Times New Roman"/>
          <w:sz w:val="20"/>
          <w:szCs w:val="20"/>
          <w:lang w:val="en-GB"/>
        </w:rPr>
        <w:t xml:space="preserve"> those of the authors only and do not necessarily reflect those of the European Union or European Education and Culture Executive Agency (EACEA). Neither the European Union nor the granting authority can be held responsible for them.</w:t>
      </w:r>
    </w:p>
    <w:p w14:paraId="01A729E0" w14:textId="77777777" w:rsidR="00F80E61" w:rsidRPr="007E3A51" w:rsidRDefault="003116DE" w:rsidP="00F80E61">
      <w:pPr>
        <w:pStyle w:val="Rn2"/>
        <w:rPr>
          <w:rStyle w:val="heading3"/>
          <w:b/>
          <w:sz w:val="20"/>
          <w:szCs w:val="20"/>
          <w:lang w:val="en-GB"/>
        </w:rPr>
      </w:pPr>
      <w:r w:rsidRPr="007E3A51">
        <w:rPr>
          <w:rStyle w:val="heading3"/>
          <w:b/>
          <w:sz w:val="20"/>
          <w:szCs w:val="20"/>
          <w:lang w:val="en-GB"/>
        </w:rPr>
        <w:t>Disclosure of Interests</w:t>
      </w:r>
    </w:p>
    <w:p w14:paraId="5BD701CD" w14:textId="5491C057" w:rsidR="00482213" w:rsidRPr="007E3A51" w:rsidRDefault="003116DE" w:rsidP="00F84F96">
      <w:pPr>
        <w:widowControl w:val="0"/>
        <w:spacing w:after="0" w:line="240" w:lineRule="auto"/>
        <w:ind w:firstLine="284"/>
        <w:contextualSpacing/>
        <w:jc w:val="both"/>
        <w:rPr>
          <w:rFonts w:ascii="Times New Roman" w:hAnsi="Times New Roman" w:cs="Times New Roman"/>
          <w:sz w:val="20"/>
          <w:szCs w:val="20"/>
          <w:lang w:val="en-GB"/>
        </w:rPr>
      </w:pPr>
      <w:r w:rsidRPr="007E3A51">
        <w:rPr>
          <w:rFonts w:ascii="Times New Roman" w:hAnsi="Times New Roman" w:cs="Times New Roman"/>
          <w:sz w:val="20"/>
          <w:szCs w:val="20"/>
          <w:lang w:val="en-GB"/>
        </w:rPr>
        <w:t>The authors have no competing interests to declare that are relevant to the content of this article.</w:t>
      </w:r>
    </w:p>
    <w:p w14:paraId="08C3A995" w14:textId="626CF0F5" w:rsidR="0054604D" w:rsidRPr="007E3A51" w:rsidRDefault="0054604D" w:rsidP="00F80E61">
      <w:pPr>
        <w:pStyle w:val="Rn2"/>
        <w:rPr>
          <w:lang w:val="en-GB"/>
        </w:rPr>
      </w:pPr>
      <w:r w:rsidRPr="007E3A51">
        <w:rPr>
          <w:lang w:val="en-GB"/>
        </w:rPr>
        <w:t>References</w:t>
      </w:r>
    </w:p>
    <w:p w14:paraId="474F104C" w14:textId="77777777" w:rsidR="003F3990" w:rsidRPr="007E3A51" w:rsidRDefault="003F3990" w:rsidP="00625A8A">
      <w:pPr>
        <w:pStyle w:val="Rlit"/>
        <w:jc w:val="left"/>
        <w:rPr>
          <w:lang w:val="en-GB"/>
        </w:rPr>
      </w:pPr>
      <w:proofErr w:type="spellStart"/>
      <w:r w:rsidRPr="007E3A51">
        <w:rPr>
          <w:lang w:val="en-GB"/>
        </w:rPr>
        <w:t>Balanovska</w:t>
      </w:r>
      <w:proofErr w:type="spellEnd"/>
      <w:r w:rsidRPr="007E3A51">
        <w:rPr>
          <w:lang w:val="en-GB"/>
        </w:rPr>
        <w:t xml:space="preserve">, T., </w:t>
      </w:r>
      <w:proofErr w:type="spellStart"/>
      <w:r w:rsidRPr="007E3A51">
        <w:rPr>
          <w:lang w:val="en-GB"/>
        </w:rPr>
        <w:t>Mykhailichenko</w:t>
      </w:r>
      <w:proofErr w:type="spellEnd"/>
      <w:r w:rsidRPr="007E3A51">
        <w:rPr>
          <w:lang w:val="en-GB"/>
        </w:rPr>
        <w:t xml:space="preserve"> М., Holik, V., </w:t>
      </w:r>
      <w:proofErr w:type="spellStart"/>
      <w:r w:rsidRPr="007E3A51">
        <w:rPr>
          <w:lang w:val="en-GB"/>
        </w:rPr>
        <w:t>Dramaretska</w:t>
      </w:r>
      <w:proofErr w:type="spellEnd"/>
      <w:r w:rsidRPr="007E3A51">
        <w:rPr>
          <w:lang w:val="en-GB"/>
        </w:rPr>
        <w:t xml:space="preserve">, К., &amp; Troian, A. (2021). Development management of agricultural enterprises. </w:t>
      </w:r>
      <w:r w:rsidRPr="007E3A51">
        <w:rPr>
          <w:i/>
          <w:iCs/>
          <w:lang w:val="en-GB"/>
        </w:rPr>
        <w:t>Financial and Credit Activity: Problems of Theory and Practice</w:t>
      </w:r>
      <w:r w:rsidRPr="007E3A51">
        <w:rPr>
          <w:lang w:val="en-GB"/>
        </w:rPr>
        <w:t xml:space="preserve">, </w:t>
      </w:r>
      <w:r w:rsidRPr="007E3A51">
        <w:rPr>
          <w:i/>
          <w:iCs/>
          <w:lang w:val="en-GB"/>
        </w:rPr>
        <w:t>3</w:t>
      </w:r>
      <w:r w:rsidRPr="007E3A51">
        <w:rPr>
          <w:lang w:val="en-GB"/>
        </w:rPr>
        <w:t xml:space="preserve">(38), 134-143. </w:t>
      </w:r>
      <w:hyperlink r:id="rId19" w:history="1">
        <w:r w:rsidRPr="007E3A51">
          <w:rPr>
            <w:rStyle w:val="Hipercze"/>
            <w:bCs/>
            <w:color w:val="auto"/>
            <w:u w:val="none"/>
            <w:lang w:val="en-GB"/>
          </w:rPr>
          <w:t>https://doi.org/10.18371/fcaptp.v3i38.237434</w:t>
        </w:r>
      </w:hyperlink>
    </w:p>
    <w:p w14:paraId="3F310296" w14:textId="07BAC780" w:rsidR="003F3990" w:rsidRPr="007E3A51" w:rsidRDefault="003F3990" w:rsidP="00531ED1">
      <w:pPr>
        <w:pStyle w:val="Rlit"/>
        <w:jc w:val="left"/>
        <w:rPr>
          <w:lang w:val="en-GB"/>
        </w:rPr>
      </w:pPr>
      <w:r w:rsidRPr="007E3A51">
        <w:rPr>
          <w:lang w:val="en-GB"/>
        </w:rPr>
        <w:t xml:space="preserve">Bilan, Yu. V., Nitsenko, V. S., &amp; </w:t>
      </w:r>
      <w:proofErr w:type="spellStart"/>
      <w:r w:rsidRPr="007E3A51">
        <w:rPr>
          <w:lang w:val="en-GB"/>
        </w:rPr>
        <w:t>Samoilyk</w:t>
      </w:r>
      <w:proofErr w:type="spellEnd"/>
      <w:r w:rsidRPr="007E3A51">
        <w:rPr>
          <w:lang w:val="en-GB"/>
        </w:rPr>
        <w:t xml:space="preserve">, Iu. V. (2017). Conceptual </w:t>
      </w:r>
      <w:proofErr w:type="spellStart"/>
      <w:r w:rsidRPr="007E3A51">
        <w:rPr>
          <w:lang w:val="en-GB"/>
        </w:rPr>
        <w:t>modeling</w:t>
      </w:r>
      <w:proofErr w:type="spellEnd"/>
      <w:r w:rsidRPr="007E3A51">
        <w:rPr>
          <w:lang w:val="en-GB"/>
        </w:rPr>
        <w:t xml:space="preserve"> of agri-food market development under economy</w:t>
      </w:r>
      <w:r w:rsidR="005369B2" w:rsidRPr="007E3A51">
        <w:rPr>
          <w:lang w:val="en-GB"/>
        </w:rPr>
        <w:t>'</w:t>
      </w:r>
      <w:r w:rsidRPr="007E3A51">
        <w:rPr>
          <w:lang w:val="en-GB"/>
        </w:rPr>
        <w:t xml:space="preserve">s globalization. </w:t>
      </w:r>
      <w:r w:rsidRPr="007E3A51">
        <w:rPr>
          <w:i/>
          <w:iCs/>
          <w:lang w:val="en-GB"/>
        </w:rPr>
        <w:t xml:space="preserve">Scientific bulletin of </w:t>
      </w:r>
      <w:proofErr w:type="spellStart"/>
      <w:r w:rsidRPr="007E3A51">
        <w:rPr>
          <w:i/>
          <w:iCs/>
          <w:lang w:val="en-GB"/>
        </w:rPr>
        <w:t>Polissia</w:t>
      </w:r>
      <w:proofErr w:type="spellEnd"/>
      <w:r w:rsidRPr="007E3A51">
        <w:rPr>
          <w:lang w:val="en-GB"/>
        </w:rPr>
        <w:t xml:space="preserve">, </w:t>
      </w:r>
      <w:r w:rsidRPr="007E3A51">
        <w:rPr>
          <w:i/>
          <w:iCs/>
          <w:lang w:val="en-GB"/>
        </w:rPr>
        <w:t>3</w:t>
      </w:r>
      <w:r w:rsidRPr="007E3A51">
        <w:rPr>
          <w:lang w:val="en-GB"/>
        </w:rPr>
        <w:t xml:space="preserve">(11/1), 54-61. </w:t>
      </w:r>
      <w:r w:rsidRPr="007E3A51">
        <w:rPr>
          <w:lang w:val="en-GB"/>
        </w:rPr>
        <w:br/>
      </w:r>
      <w:hyperlink r:id="rId20" w:history="1">
        <w:r w:rsidRPr="007E3A51">
          <w:rPr>
            <w:rStyle w:val="Hipercze"/>
            <w:bCs/>
            <w:color w:val="auto"/>
            <w:u w:val="none"/>
            <w:lang w:val="en-GB"/>
          </w:rPr>
          <w:t>https://doi.org/10.25140/2410-9576-2017-1-3(11)-54-61</w:t>
        </w:r>
      </w:hyperlink>
    </w:p>
    <w:p w14:paraId="563CF933" w14:textId="31584E47" w:rsidR="003F3990" w:rsidRPr="007E3A51" w:rsidRDefault="003F3990" w:rsidP="00F80E61">
      <w:pPr>
        <w:pStyle w:val="Rlit"/>
        <w:rPr>
          <w:lang w:val="en-GB"/>
        </w:rPr>
      </w:pPr>
      <w:proofErr w:type="spellStart"/>
      <w:r w:rsidRPr="007E3A51">
        <w:rPr>
          <w:lang w:val="en-GB"/>
        </w:rPr>
        <w:t>Dankevych</w:t>
      </w:r>
      <w:proofErr w:type="spellEnd"/>
      <w:r w:rsidRPr="007E3A51">
        <w:rPr>
          <w:lang w:val="en-GB"/>
        </w:rPr>
        <w:t xml:space="preserve">, A., Stoyanova-Koval, S., </w:t>
      </w:r>
      <w:proofErr w:type="spellStart"/>
      <w:r w:rsidRPr="007E3A51">
        <w:rPr>
          <w:lang w:val="en-GB"/>
        </w:rPr>
        <w:t>Polova</w:t>
      </w:r>
      <w:proofErr w:type="spellEnd"/>
      <w:r w:rsidRPr="007E3A51">
        <w:rPr>
          <w:lang w:val="en-GB"/>
        </w:rPr>
        <w:t xml:space="preserve">, O., Los, Z., </w:t>
      </w:r>
      <w:proofErr w:type="spellStart"/>
      <w:r w:rsidRPr="007E3A51">
        <w:rPr>
          <w:lang w:val="en-GB"/>
        </w:rPr>
        <w:t>Burdeina</w:t>
      </w:r>
      <w:proofErr w:type="spellEnd"/>
      <w:r w:rsidRPr="007E3A51">
        <w:rPr>
          <w:lang w:val="en-GB"/>
        </w:rPr>
        <w:t xml:space="preserve">, N., &amp; Kazak, O. (2024). State of economic security and directions of restoration socio-economic development and food security in the conditions of war. </w:t>
      </w:r>
      <w:r w:rsidRPr="007E3A51">
        <w:rPr>
          <w:i/>
          <w:iCs/>
          <w:lang w:val="en-GB"/>
        </w:rPr>
        <w:t>Financial and Credit Activity Problems of Theory and Practice</w:t>
      </w:r>
      <w:r w:rsidRPr="007E3A51">
        <w:rPr>
          <w:lang w:val="en-GB"/>
        </w:rPr>
        <w:t xml:space="preserve">, </w:t>
      </w:r>
      <w:r w:rsidRPr="007E3A51">
        <w:rPr>
          <w:i/>
          <w:iCs/>
          <w:lang w:val="en-GB"/>
        </w:rPr>
        <w:t>2</w:t>
      </w:r>
      <w:r w:rsidRPr="007E3A51">
        <w:rPr>
          <w:lang w:val="en-GB"/>
        </w:rPr>
        <w:t xml:space="preserve">(55), 441-460. </w:t>
      </w:r>
      <w:hyperlink r:id="rId21" w:history="1">
        <w:r w:rsidRPr="007E3A51">
          <w:rPr>
            <w:rStyle w:val="Hipercze"/>
            <w:bCs/>
            <w:color w:val="auto"/>
            <w:u w:val="none"/>
            <w:lang w:val="en-GB"/>
          </w:rPr>
          <w:t>https://doi.org/10.55643/fcaptp.2.55.2024.4170</w:t>
        </w:r>
      </w:hyperlink>
    </w:p>
    <w:p w14:paraId="7C310904" w14:textId="77777777" w:rsidR="003F3990" w:rsidRPr="007E3A51" w:rsidRDefault="003F3990" w:rsidP="00B47CA5">
      <w:pPr>
        <w:pStyle w:val="Rlit"/>
        <w:jc w:val="left"/>
        <w:rPr>
          <w:lang w:val="en-GB"/>
        </w:rPr>
      </w:pPr>
      <w:proofErr w:type="spellStart"/>
      <w:r w:rsidRPr="007E3A51">
        <w:rPr>
          <w:lang w:val="en-GB"/>
        </w:rPr>
        <w:t>Deineko</w:t>
      </w:r>
      <w:proofErr w:type="spellEnd"/>
      <w:r w:rsidRPr="007E3A51">
        <w:rPr>
          <w:lang w:val="en-GB"/>
        </w:rPr>
        <w:t xml:space="preserve">, O., &amp; Shor, K. (2024). </w:t>
      </w:r>
      <w:r w:rsidRPr="007E3A51">
        <w:rPr>
          <w:i/>
          <w:iCs/>
          <w:lang w:val="en-GB"/>
        </w:rPr>
        <w:t>Gender study of the organic sector in Ukraine</w:t>
      </w:r>
      <w:r w:rsidRPr="007E3A51">
        <w:rPr>
          <w:lang w:val="en-GB"/>
        </w:rPr>
        <w:t xml:space="preserve">. Available at: </w:t>
      </w:r>
      <w:hyperlink r:id="rId22" w:history="1">
        <w:r w:rsidRPr="007E3A51">
          <w:rPr>
            <w:rStyle w:val="Hipercze"/>
            <w:color w:val="auto"/>
            <w:u w:val="none"/>
            <w:lang w:val="en-GB"/>
          </w:rPr>
          <w:t>https://organicinitiative.org.ua/wp-content/uploads/2024/03/Gender-study-in-organic-sector-of-Ukraine-EN.pdf</w:t>
        </w:r>
      </w:hyperlink>
      <w:r w:rsidRPr="007E3A51">
        <w:rPr>
          <w:lang w:val="en-GB"/>
        </w:rPr>
        <w:t xml:space="preserve"> </w:t>
      </w:r>
    </w:p>
    <w:p w14:paraId="0033E973" w14:textId="1E48C0D1" w:rsidR="003F3990" w:rsidRPr="007E3A51" w:rsidRDefault="003F3990" w:rsidP="00F80E61">
      <w:pPr>
        <w:pStyle w:val="Rlit"/>
        <w:rPr>
          <w:lang w:val="en-GB"/>
        </w:rPr>
      </w:pPr>
      <w:r w:rsidRPr="007E3A51">
        <w:rPr>
          <w:lang w:val="en-GB"/>
        </w:rPr>
        <w:t xml:space="preserve">Denysiuk, O., </w:t>
      </w:r>
      <w:proofErr w:type="spellStart"/>
      <w:r w:rsidRPr="007E3A51">
        <w:rPr>
          <w:lang w:val="en-GB"/>
        </w:rPr>
        <w:t>Svitlyshyn</w:t>
      </w:r>
      <w:proofErr w:type="spellEnd"/>
      <w:r w:rsidRPr="007E3A51">
        <w:rPr>
          <w:lang w:val="en-GB"/>
        </w:rPr>
        <w:t xml:space="preserve">, I., </w:t>
      </w:r>
      <w:proofErr w:type="spellStart"/>
      <w:r w:rsidRPr="007E3A51">
        <w:rPr>
          <w:lang w:val="en-GB"/>
        </w:rPr>
        <w:t>Tsaruk</w:t>
      </w:r>
      <w:proofErr w:type="spellEnd"/>
      <w:r w:rsidRPr="007E3A51">
        <w:rPr>
          <w:lang w:val="en-GB"/>
        </w:rPr>
        <w:t xml:space="preserve">, I., </w:t>
      </w:r>
      <w:proofErr w:type="spellStart"/>
      <w:r w:rsidRPr="007E3A51">
        <w:rPr>
          <w:lang w:val="en-GB"/>
        </w:rPr>
        <w:t>Vikarchuk</w:t>
      </w:r>
      <w:proofErr w:type="spellEnd"/>
      <w:r w:rsidRPr="007E3A51">
        <w:rPr>
          <w:lang w:val="en-GB"/>
        </w:rPr>
        <w:t xml:space="preserve">, O., &amp; </w:t>
      </w:r>
      <w:proofErr w:type="spellStart"/>
      <w:r w:rsidRPr="007E3A51">
        <w:rPr>
          <w:lang w:val="en-GB"/>
        </w:rPr>
        <w:t>Dankevych</w:t>
      </w:r>
      <w:proofErr w:type="spellEnd"/>
      <w:r w:rsidRPr="007E3A51">
        <w:rPr>
          <w:lang w:val="en-GB"/>
        </w:rPr>
        <w:t xml:space="preserve"> A. (2022). Diversification in the enterprises</w:t>
      </w:r>
      <w:r w:rsidR="005369B2" w:rsidRPr="007E3A51">
        <w:rPr>
          <w:lang w:val="en-GB"/>
        </w:rPr>
        <w:t>'</w:t>
      </w:r>
      <w:r w:rsidRPr="007E3A51">
        <w:rPr>
          <w:lang w:val="en-GB"/>
        </w:rPr>
        <w:t xml:space="preserve"> activities for sustainable development in the agricultural sector. </w:t>
      </w:r>
      <w:r w:rsidRPr="007E3A51">
        <w:rPr>
          <w:i/>
          <w:iCs/>
          <w:lang w:val="en-GB"/>
        </w:rPr>
        <w:t xml:space="preserve">Rivista di </w:t>
      </w:r>
      <w:proofErr w:type="spellStart"/>
      <w:r w:rsidRPr="007E3A51">
        <w:rPr>
          <w:i/>
          <w:iCs/>
          <w:lang w:val="en-GB"/>
        </w:rPr>
        <w:t>studi</w:t>
      </w:r>
      <w:proofErr w:type="spellEnd"/>
      <w:r w:rsidRPr="007E3A51">
        <w:rPr>
          <w:i/>
          <w:iCs/>
          <w:lang w:val="en-GB"/>
        </w:rPr>
        <w:t xml:space="preserve"> </w:t>
      </w:r>
      <w:proofErr w:type="spellStart"/>
      <w:r w:rsidRPr="007E3A51">
        <w:rPr>
          <w:i/>
          <w:iCs/>
          <w:lang w:val="en-GB"/>
        </w:rPr>
        <w:t>sulla</w:t>
      </w:r>
      <w:proofErr w:type="spellEnd"/>
      <w:r w:rsidRPr="007E3A51">
        <w:rPr>
          <w:i/>
          <w:iCs/>
          <w:lang w:val="en-GB"/>
        </w:rPr>
        <w:t xml:space="preserve"> </w:t>
      </w:r>
      <w:proofErr w:type="spellStart"/>
      <w:r w:rsidRPr="007E3A51">
        <w:rPr>
          <w:i/>
          <w:iCs/>
          <w:lang w:val="en-GB"/>
        </w:rPr>
        <w:t>sostenibilita</w:t>
      </w:r>
      <w:proofErr w:type="spellEnd"/>
      <w:r w:rsidRPr="007E3A51">
        <w:rPr>
          <w:lang w:val="en-GB"/>
        </w:rPr>
        <w:t xml:space="preserve">, </w:t>
      </w:r>
      <w:r w:rsidRPr="007E3A51">
        <w:rPr>
          <w:i/>
          <w:iCs/>
          <w:lang w:val="en-GB"/>
        </w:rPr>
        <w:t>XII</w:t>
      </w:r>
      <w:r w:rsidRPr="007E3A51">
        <w:rPr>
          <w:lang w:val="en-GB"/>
        </w:rPr>
        <w:t>(2), 85-102. https://doi.org/10.3280/RISS2022-002007</w:t>
      </w:r>
    </w:p>
    <w:p w14:paraId="628F9227" w14:textId="77777777" w:rsidR="003F3990" w:rsidRPr="007E3A51" w:rsidRDefault="003F3990" w:rsidP="00531ED1">
      <w:pPr>
        <w:pStyle w:val="Rlit"/>
        <w:jc w:val="left"/>
        <w:rPr>
          <w:lang w:val="en-GB"/>
        </w:rPr>
      </w:pPr>
      <w:r w:rsidRPr="007E3A51">
        <w:rPr>
          <w:lang w:val="en-GB"/>
        </w:rPr>
        <w:t xml:space="preserve">FAO (2008). </w:t>
      </w:r>
      <w:r w:rsidRPr="007E3A51">
        <w:rPr>
          <w:i/>
          <w:iCs/>
          <w:lang w:val="en-GB"/>
        </w:rPr>
        <w:t>An Introduction to the Basic Concepts of Food Security</w:t>
      </w:r>
      <w:r w:rsidRPr="007E3A51">
        <w:rPr>
          <w:lang w:val="en-GB"/>
        </w:rPr>
        <w:t xml:space="preserve">. Available at: </w:t>
      </w:r>
      <w:hyperlink r:id="rId23" w:history="1">
        <w:r w:rsidRPr="007E3A51">
          <w:rPr>
            <w:rStyle w:val="Hipercze"/>
            <w:color w:val="auto"/>
            <w:u w:val="none"/>
            <w:lang w:val="en-GB"/>
          </w:rPr>
          <w:t>https://www.fao.org/4/al936e/al936e00.pdf</w:t>
        </w:r>
      </w:hyperlink>
      <w:r w:rsidRPr="007E3A51">
        <w:rPr>
          <w:lang w:val="en-GB"/>
        </w:rPr>
        <w:t xml:space="preserve"> </w:t>
      </w:r>
    </w:p>
    <w:p w14:paraId="38E6D6E9" w14:textId="77777777" w:rsidR="003F3990" w:rsidRPr="007E3A51" w:rsidRDefault="003F3990" w:rsidP="00F80E61">
      <w:pPr>
        <w:pStyle w:val="Rlit"/>
        <w:rPr>
          <w:lang w:val="en-GB"/>
        </w:rPr>
      </w:pPr>
      <w:r w:rsidRPr="007E3A51">
        <w:rPr>
          <w:lang w:val="en-GB"/>
        </w:rPr>
        <w:t xml:space="preserve">FAO (2024). </w:t>
      </w:r>
      <w:r w:rsidRPr="007E3A51">
        <w:rPr>
          <w:i/>
          <w:iCs/>
          <w:lang w:val="en-GB"/>
        </w:rPr>
        <w:t>Hunger and food insecurity</w:t>
      </w:r>
      <w:r w:rsidRPr="007E3A51">
        <w:rPr>
          <w:lang w:val="en-GB"/>
        </w:rPr>
        <w:t xml:space="preserve">. Available at: </w:t>
      </w:r>
      <w:hyperlink r:id="rId24" w:history="1">
        <w:r w:rsidRPr="007E3A51">
          <w:rPr>
            <w:rStyle w:val="Hipercze"/>
            <w:color w:val="auto"/>
            <w:u w:val="none"/>
            <w:lang w:val="en-GB"/>
          </w:rPr>
          <w:t>https://www.fao.org/hunger/en</w:t>
        </w:r>
      </w:hyperlink>
      <w:r w:rsidRPr="007E3A51">
        <w:rPr>
          <w:lang w:val="en-GB"/>
        </w:rPr>
        <w:t xml:space="preserve"> </w:t>
      </w:r>
    </w:p>
    <w:p w14:paraId="0ACF6A5C" w14:textId="77777777" w:rsidR="003F3990" w:rsidRPr="007E3A51" w:rsidRDefault="003F3990" w:rsidP="00F80E61">
      <w:pPr>
        <w:pStyle w:val="Rlit"/>
        <w:rPr>
          <w:lang w:val="en-GB"/>
        </w:rPr>
      </w:pPr>
      <w:r w:rsidRPr="007E3A51">
        <w:rPr>
          <w:lang w:val="en-GB"/>
        </w:rPr>
        <w:t>FAO (</w:t>
      </w:r>
      <w:proofErr w:type="spellStart"/>
      <w:r w:rsidRPr="007E3A51">
        <w:rPr>
          <w:lang w:val="en-GB"/>
        </w:rPr>
        <w:t>n.a.a</w:t>
      </w:r>
      <w:proofErr w:type="spellEnd"/>
      <w:r w:rsidRPr="007E3A51">
        <w:rPr>
          <w:lang w:val="en-GB"/>
        </w:rPr>
        <w:t xml:space="preserve">). </w:t>
      </w:r>
      <w:r w:rsidRPr="007E3A51">
        <w:rPr>
          <w:i/>
          <w:iCs/>
          <w:lang w:val="en-GB"/>
        </w:rPr>
        <w:t>Gender</w:t>
      </w:r>
      <w:r w:rsidRPr="007E3A51">
        <w:rPr>
          <w:lang w:val="en-GB"/>
        </w:rPr>
        <w:t xml:space="preserve">. Available at: </w:t>
      </w:r>
      <w:hyperlink r:id="rId25" w:history="1">
        <w:r w:rsidRPr="007E3A51">
          <w:rPr>
            <w:rStyle w:val="Hipercze"/>
            <w:color w:val="auto"/>
            <w:u w:val="none"/>
            <w:lang w:val="en-GB"/>
          </w:rPr>
          <w:t>https://www.fao.org/gender/learning-center/thematic-areas/gender-and-inclusive-food-systems-and-value-chains/en</w:t>
        </w:r>
      </w:hyperlink>
      <w:r w:rsidRPr="007E3A51">
        <w:rPr>
          <w:lang w:val="en-GB"/>
        </w:rPr>
        <w:t xml:space="preserve"> </w:t>
      </w:r>
    </w:p>
    <w:p w14:paraId="52300A5C" w14:textId="5B9527AB" w:rsidR="003F3990" w:rsidRPr="007E3A51" w:rsidRDefault="003F3990" w:rsidP="00531ED1">
      <w:pPr>
        <w:pStyle w:val="Rlit"/>
        <w:jc w:val="left"/>
        <w:rPr>
          <w:lang w:val="en-GB"/>
        </w:rPr>
      </w:pPr>
      <w:r w:rsidRPr="007E3A51">
        <w:rPr>
          <w:lang w:val="en-GB"/>
        </w:rPr>
        <w:t>FAO (</w:t>
      </w:r>
      <w:proofErr w:type="spellStart"/>
      <w:r w:rsidRPr="007E3A51">
        <w:rPr>
          <w:lang w:val="en-GB"/>
        </w:rPr>
        <w:t>n.a.b</w:t>
      </w:r>
      <w:proofErr w:type="spellEnd"/>
      <w:r w:rsidRPr="007E3A51">
        <w:rPr>
          <w:lang w:val="en-GB"/>
        </w:rPr>
        <w:t xml:space="preserve">). </w:t>
      </w:r>
      <w:r w:rsidRPr="007E3A51">
        <w:rPr>
          <w:i/>
          <w:iCs/>
          <w:lang w:val="en-GB"/>
        </w:rPr>
        <w:t>Inclusivity in agri</w:t>
      </w:r>
      <w:r w:rsidR="005369B2" w:rsidRPr="007E3A51">
        <w:rPr>
          <w:i/>
          <w:iCs/>
          <w:lang w:val="en-GB"/>
        </w:rPr>
        <w:t>-</w:t>
      </w:r>
      <w:r w:rsidRPr="007E3A51">
        <w:rPr>
          <w:i/>
          <w:iCs/>
          <w:lang w:val="en-GB"/>
        </w:rPr>
        <w:t>food systems</w:t>
      </w:r>
      <w:r w:rsidRPr="007E3A51">
        <w:rPr>
          <w:lang w:val="en-GB"/>
        </w:rPr>
        <w:t xml:space="preserve">. Available at: </w:t>
      </w:r>
      <w:hyperlink r:id="rId26" w:history="1">
        <w:r w:rsidRPr="007E3A51">
          <w:rPr>
            <w:rStyle w:val="Hipercze"/>
            <w:color w:val="auto"/>
            <w:u w:val="none"/>
            <w:lang w:val="en-GB"/>
          </w:rPr>
          <w:t>https://www.fao.org/inclusivity-in-agrifood-systems/en?utm_source=chatgpt.com</w:t>
        </w:r>
      </w:hyperlink>
      <w:r w:rsidRPr="007E3A51">
        <w:rPr>
          <w:lang w:val="en-GB"/>
        </w:rPr>
        <w:t xml:space="preserve"> </w:t>
      </w:r>
    </w:p>
    <w:p w14:paraId="180A5B71" w14:textId="77777777" w:rsidR="003F3990" w:rsidRPr="007E3A51" w:rsidRDefault="003F3990" w:rsidP="00531ED1">
      <w:pPr>
        <w:pStyle w:val="Rlit"/>
        <w:jc w:val="left"/>
        <w:rPr>
          <w:lang w:val="en-GB"/>
        </w:rPr>
      </w:pPr>
      <w:r w:rsidRPr="007E3A51">
        <w:rPr>
          <w:lang w:val="en-GB"/>
        </w:rPr>
        <w:t xml:space="preserve">Gagalyuk, T. (2024). </w:t>
      </w:r>
      <w:r w:rsidRPr="007E3A51">
        <w:rPr>
          <w:i/>
          <w:iCs/>
          <w:lang w:val="en-GB"/>
        </w:rPr>
        <w:t>Financing of resilience and reconstruction of the agricultural sector of Ukraine by international financial institutions and development agencies</w:t>
      </w:r>
      <w:r w:rsidRPr="007E3A51">
        <w:rPr>
          <w:lang w:val="en-GB"/>
        </w:rPr>
        <w:t xml:space="preserve">. </w:t>
      </w:r>
      <w:proofErr w:type="spellStart"/>
      <w:r w:rsidRPr="007E3A51">
        <w:rPr>
          <w:lang w:val="en-GB"/>
        </w:rPr>
        <w:t>Agro</w:t>
      </w:r>
      <w:proofErr w:type="spellEnd"/>
      <w:r w:rsidRPr="007E3A51">
        <w:rPr>
          <w:lang w:val="en-GB"/>
        </w:rPr>
        <w:t xml:space="preserve"> Policy Report. Available at: </w:t>
      </w:r>
      <w:hyperlink r:id="rId27" w:history="1">
        <w:r w:rsidRPr="007E3A51">
          <w:rPr>
            <w:rStyle w:val="Hipercze"/>
            <w:color w:val="auto"/>
            <w:u w:val="none"/>
            <w:lang w:val="en-GB"/>
          </w:rPr>
          <w:t>https://www.apd-ukraine.de/fileadmin/user_upload/APD_Taras_Gagalyuk_ENG.pdf</w:t>
        </w:r>
      </w:hyperlink>
      <w:r w:rsidRPr="007E3A51">
        <w:rPr>
          <w:lang w:val="en-GB"/>
        </w:rPr>
        <w:t xml:space="preserve"> </w:t>
      </w:r>
    </w:p>
    <w:p w14:paraId="6062C6BB" w14:textId="77777777" w:rsidR="003F3990" w:rsidRPr="007E3A51" w:rsidRDefault="003F3990" w:rsidP="00F80E61">
      <w:pPr>
        <w:pStyle w:val="Rlit"/>
        <w:rPr>
          <w:lang w:val="en-GB"/>
        </w:rPr>
      </w:pPr>
      <w:r w:rsidRPr="007E3A51">
        <w:rPr>
          <w:lang w:val="en-GB"/>
        </w:rPr>
        <w:t xml:space="preserve">Global Hunger Index (2025). </w:t>
      </w:r>
      <w:r w:rsidRPr="007E3A51">
        <w:rPr>
          <w:i/>
          <w:iCs/>
          <w:lang w:val="en-GB"/>
        </w:rPr>
        <w:t>How gender justice can advance climate resilience and zero hunger</w:t>
      </w:r>
      <w:r w:rsidRPr="007E3A51">
        <w:rPr>
          <w:lang w:val="en-GB"/>
        </w:rPr>
        <w:t xml:space="preserve">. Available at: </w:t>
      </w:r>
      <w:hyperlink r:id="rId28" w:history="1">
        <w:r w:rsidRPr="007E3A51">
          <w:rPr>
            <w:rStyle w:val="Hipercze"/>
            <w:color w:val="auto"/>
            <w:u w:val="none"/>
            <w:lang w:val="en-GB"/>
          </w:rPr>
          <w:t>https://www.globalhungerindex.org</w:t>
        </w:r>
      </w:hyperlink>
      <w:r w:rsidRPr="007E3A51">
        <w:rPr>
          <w:lang w:val="en-GB"/>
        </w:rPr>
        <w:t xml:space="preserve"> </w:t>
      </w:r>
    </w:p>
    <w:p w14:paraId="486ED51E" w14:textId="77777777" w:rsidR="003F3990" w:rsidRPr="007E3A51" w:rsidRDefault="003F3990" w:rsidP="00F80E61">
      <w:pPr>
        <w:pStyle w:val="Rlit"/>
        <w:rPr>
          <w:lang w:val="en-GB"/>
        </w:rPr>
      </w:pPr>
      <w:r w:rsidRPr="007E3A51">
        <w:rPr>
          <w:lang w:val="en-GB"/>
        </w:rPr>
        <w:t>Global Hunger Index (</w:t>
      </w:r>
      <w:proofErr w:type="spellStart"/>
      <w:r w:rsidRPr="007E3A51">
        <w:rPr>
          <w:lang w:val="en-GB"/>
        </w:rPr>
        <w:t>n.a.</w:t>
      </w:r>
      <w:proofErr w:type="spellEnd"/>
      <w:r w:rsidRPr="007E3A51">
        <w:rPr>
          <w:lang w:val="en-GB"/>
        </w:rPr>
        <w:t xml:space="preserve">). </w:t>
      </w:r>
      <w:r w:rsidRPr="007E3A51">
        <w:rPr>
          <w:i/>
          <w:iCs/>
          <w:lang w:val="en-GB"/>
        </w:rPr>
        <w:t>Methodology</w:t>
      </w:r>
      <w:r w:rsidRPr="007E3A51">
        <w:rPr>
          <w:lang w:val="en-GB"/>
        </w:rPr>
        <w:t xml:space="preserve">. Available at: </w:t>
      </w:r>
      <w:hyperlink r:id="rId29" w:history="1">
        <w:r w:rsidRPr="007E3A51">
          <w:rPr>
            <w:rStyle w:val="Hipercze"/>
            <w:color w:val="auto"/>
            <w:u w:val="none"/>
            <w:lang w:val="en-GB"/>
          </w:rPr>
          <w:t>https://www.globalhungerindex.org/methodology.html</w:t>
        </w:r>
      </w:hyperlink>
      <w:r w:rsidRPr="007E3A51">
        <w:rPr>
          <w:lang w:val="en-GB"/>
        </w:rPr>
        <w:t xml:space="preserve"> </w:t>
      </w:r>
    </w:p>
    <w:p w14:paraId="5EF2A9ED" w14:textId="77777777" w:rsidR="003F3990" w:rsidRPr="007E3A51" w:rsidRDefault="003F3990" w:rsidP="00F80E61">
      <w:pPr>
        <w:pStyle w:val="Rlit"/>
        <w:rPr>
          <w:lang w:val="en-GB"/>
        </w:rPr>
      </w:pPr>
      <w:proofErr w:type="spellStart"/>
      <w:r w:rsidRPr="007E3A51">
        <w:rPr>
          <w:lang w:val="en-GB"/>
        </w:rPr>
        <w:t>Kovbasa</w:t>
      </w:r>
      <w:proofErr w:type="spellEnd"/>
      <w:r w:rsidRPr="007E3A51">
        <w:rPr>
          <w:lang w:val="en-GB"/>
        </w:rPr>
        <w:t xml:space="preserve">, O., &amp; </w:t>
      </w:r>
      <w:proofErr w:type="spellStart"/>
      <w:r w:rsidRPr="007E3A51">
        <w:rPr>
          <w:lang w:val="en-GB"/>
        </w:rPr>
        <w:t>Maksychka</w:t>
      </w:r>
      <w:proofErr w:type="spellEnd"/>
      <w:r w:rsidRPr="007E3A51">
        <w:rPr>
          <w:lang w:val="en-GB"/>
        </w:rPr>
        <w:t xml:space="preserve">, A. (2024) The current state of development of small enterprises in the agricultural sector of the Ukrainian economy. </w:t>
      </w:r>
      <w:r w:rsidRPr="007E3A51">
        <w:rPr>
          <w:i/>
          <w:iCs/>
          <w:lang w:val="en-GB"/>
        </w:rPr>
        <w:t>Economy and Society</w:t>
      </w:r>
      <w:r w:rsidRPr="007E3A51">
        <w:rPr>
          <w:lang w:val="en-GB"/>
        </w:rPr>
        <w:t xml:space="preserve">, </w:t>
      </w:r>
      <w:r w:rsidRPr="007E3A51">
        <w:rPr>
          <w:i/>
          <w:iCs/>
          <w:lang w:val="en-GB"/>
        </w:rPr>
        <w:t>61</w:t>
      </w:r>
      <w:r w:rsidRPr="007E3A51">
        <w:rPr>
          <w:lang w:val="en-GB"/>
        </w:rPr>
        <w:t xml:space="preserve">. </w:t>
      </w:r>
      <w:hyperlink r:id="rId30" w:history="1">
        <w:r w:rsidRPr="007E3A51">
          <w:rPr>
            <w:rStyle w:val="Hipercze"/>
            <w:color w:val="auto"/>
            <w:u w:val="none"/>
            <w:lang w:val="en-GB"/>
          </w:rPr>
          <w:t>https://doi.org/10.32782/2524-0072/2024-61-26</w:t>
        </w:r>
      </w:hyperlink>
    </w:p>
    <w:p w14:paraId="1E6DD49F" w14:textId="77777777" w:rsidR="003F3990" w:rsidRPr="007E3A51" w:rsidRDefault="003F3990" w:rsidP="00F80E61">
      <w:pPr>
        <w:pStyle w:val="Rlit"/>
        <w:rPr>
          <w:shd w:val="clear" w:color="auto" w:fill="FFFFFF"/>
          <w:lang w:val="en-GB"/>
        </w:rPr>
      </w:pPr>
      <w:r w:rsidRPr="007E3A51">
        <w:rPr>
          <w:shd w:val="clear" w:color="auto" w:fill="FFFFFF"/>
          <w:lang w:val="en-GB"/>
        </w:rPr>
        <w:t xml:space="preserve">Leal Filho, W., Fedoruk, M., Paulino Pires Eustachio, J. H., Barbir, J., </w:t>
      </w:r>
      <w:proofErr w:type="spellStart"/>
      <w:r w:rsidRPr="007E3A51">
        <w:rPr>
          <w:shd w:val="clear" w:color="auto" w:fill="FFFFFF"/>
          <w:lang w:val="en-GB"/>
        </w:rPr>
        <w:t>Lisovska</w:t>
      </w:r>
      <w:proofErr w:type="spellEnd"/>
      <w:r w:rsidRPr="007E3A51">
        <w:rPr>
          <w:shd w:val="clear" w:color="auto" w:fill="FFFFFF"/>
          <w:lang w:val="en-GB"/>
        </w:rPr>
        <w:t>, T., Lingos, A., &amp; Baars, C. (2023). How the War in Ukraine Affects Food Security.</w:t>
      </w:r>
      <w:r w:rsidRPr="007E3A51">
        <w:rPr>
          <w:rStyle w:val="apple-converted-space"/>
          <w:rFonts w:eastAsiaTheme="majorEastAsia"/>
          <w:shd w:val="clear" w:color="auto" w:fill="FFFFFF"/>
          <w:lang w:val="en-GB"/>
        </w:rPr>
        <w:t xml:space="preserve"> </w:t>
      </w:r>
      <w:r w:rsidRPr="007E3A51">
        <w:rPr>
          <w:rStyle w:val="Uwydatnienie"/>
          <w:rFonts w:eastAsiaTheme="majorEastAsia"/>
          <w:lang w:val="en-GB"/>
        </w:rPr>
        <w:t>Foods</w:t>
      </w:r>
      <w:r w:rsidRPr="007E3A51">
        <w:rPr>
          <w:shd w:val="clear" w:color="auto" w:fill="FFFFFF"/>
          <w:lang w:val="en-GB"/>
        </w:rPr>
        <w:t>,</w:t>
      </w:r>
      <w:r w:rsidRPr="007E3A51">
        <w:rPr>
          <w:rStyle w:val="apple-converted-space"/>
          <w:rFonts w:eastAsiaTheme="majorEastAsia"/>
          <w:shd w:val="clear" w:color="auto" w:fill="FFFFFF"/>
          <w:lang w:val="en-GB"/>
        </w:rPr>
        <w:t xml:space="preserve"> </w:t>
      </w:r>
      <w:r w:rsidRPr="007E3A51">
        <w:rPr>
          <w:rStyle w:val="Uwydatnienie"/>
          <w:rFonts w:eastAsiaTheme="majorEastAsia"/>
          <w:lang w:val="en-GB"/>
        </w:rPr>
        <w:t>12</w:t>
      </w:r>
      <w:r w:rsidRPr="007E3A51">
        <w:rPr>
          <w:shd w:val="clear" w:color="auto" w:fill="FFFFFF"/>
          <w:lang w:val="en-GB"/>
        </w:rPr>
        <w:t xml:space="preserve">(21), 3996. </w:t>
      </w:r>
      <w:hyperlink r:id="rId31" w:history="1">
        <w:r w:rsidRPr="007E3A51">
          <w:rPr>
            <w:rStyle w:val="Hipercze"/>
            <w:color w:val="auto"/>
            <w:u w:val="none"/>
            <w:shd w:val="clear" w:color="auto" w:fill="FFFFFF"/>
            <w:lang w:val="en-GB"/>
          </w:rPr>
          <w:t>https://doi.org/10.3390/foods12213996</w:t>
        </w:r>
      </w:hyperlink>
      <w:r w:rsidRPr="007E3A51">
        <w:rPr>
          <w:shd w:val="clear" w:color="auto" w:fill="FFFFFF"/>
          <w:lang w:val="en-GB"/>
        </w:rPr>
        <w:t xml:space="preserve"> </w:t>
      </w:r>
    </w:p>
    <w:p w14:paraId="7682A456" w14:textId="77777777" w:rsidR="003F3990" w:rsidRPr="007E3A51" w:rsidRDefault="003F3990" w:rsidP="00531ED1">
      <w:pPr>
        <w:pStyle w:val="Rlit"/>
        <w:jc w:val="left"/>
        <w:rPr>
          <w:lang w:val="en-GB"/>
        </w:rPr>
      </w:pPr>
      <w:proofErr w:type="spellStart"/>
      <w:r w:rsidRPr="007E3A51">
        <w:rPr>
          <w:lang w:val="en-GB"/>
        </w:rPr>
        <w:lastRenderedPageBreak/>
        <w:t>Lepetan</w:t>
      </w:r>
      <w:proofErr w:type="spellEnd"/>
      <w:r w:rsidRPr="007E3A51">
        <w:rPr>
          <w:lang w:val="en-GB"/>
        </w:rPr>
        <w:t xml:space="preserve">, I., </w:t>
      </w:r>
      <w:proofErr w:type="spellStart"/>
      <w:r w:rsidRPr="007E3A51">
        <w:rPr>
          <w:lang w:val="en-GB"/>
        </w:rPr>
        <w:t>Hutsalenko</w:t>
      </w:r>
      <w:proofErr w:type="spellEnd"/>
      <w:r w:rsidRPr="007E3A51">
        <w:rPr>
          <w:lang w:val="en-GB"/>
        </w:rPr>
        <w:t xml:space="preserve">, L., </w:t>
      </w:r>
      <w:proofErr w:type="spellStart"/>
      <w:r w:rsidRPr="007E3A51">
        <w:rPr>
          <w:lang w:val="en-GB"/>
        </w:rPr>
        <w:t>Prodanchuk</w:t>
      </w:r>
      <w:proofErr w:type="spellEnd"/>
      <w:r w:rsidRPr="007E3A51">
        <w:rPr>
          <w:lang w:val="en-GB"/>
        </w:rPr>
        <w:t xml:space="preserve">, M., &amp; </w:t>
      </w:r>
      <w:proofErr w:type="spellStart"/>
      <w:r w:rsidRPr="007E3A51">
        <w:rPr>
          <w:lang w:val="en-GB"/>
        </w:rPr>
        <w:t>Cherednichenko</w:t>
      </w:r>
      <w:proofErr w:type="spellEnd"/>
      <w:r w:rsidRPr="007E3A51">
        <w:rPr>
          <w:lang w:val="en-GB"/>
        </w:rPr>
        <w:t xml:space="preserve">, T. (2023). Environmental safety of agricultural business in </w:t>
      </w:r>
      <w:proofErr w:type="spellStart"/>
      <w:r w:rsidRPr="007E3A51">
        <w:rPr>
          <w:lang w:val="en-GB"/>
        </w:rPr>
        <w:t>ukraine</w:t>
      </w:r>
      <w:proofErr w:type="spellEnd"/>
      <w:r w:rsidRPr="007E3A51">
        <w:rPr>
          <w:lang w:val="en-GB"/>
        </w:rPr>
        <w:t xml:space="preserve">: accounting and analytical support. </w:t>
      </w:r>
      <w:r w:rsidRPr="007E3A51">
        <w:rPr>
          <w:i/>
          <w:iCs/>
          <w:lang w:val="en-GB"/>
        </w:rPr>
        <w:t>Economic Science For Rural Development</w:t>
      </w:r>
      <w:r w:rsidRPr="007E3A51">
        <w:rPr>
          <w:lang w:val="en-GB"/>
        </w:rPr>
        <w:t xml:space="preserve">, </w:t>
      </w:r>
      <w:r w:rsidRPr="007E3A51">
        <w:rPr>
          <w:i/>
          <w:iCs/>
          <w:lang w:val="en-GB"/>
        </w:rPr>
        <w:t>57</w:t>
      </w:r>
      <w:r w:rsidRPr="007E3A51">
        <w:rPr>
          <w:lang w:val="en-GB"/>
        </w:rPr>
        <w:t xml:space="preserve">, 61-71. </w:t>
      </w:r>
      <w:hyperlink r:id="rId32" w:history="1">
        <w:r w:rsidRPr="007E3A51">
          <w:rPr>
            <w:rStyle w:val="Hipercze"/>
            <w:bCs/>
            <w:color w:val="auto"/>
            <w:u w:val="none"/>
            <w:lang w:val="en-GB"/>
          </w:rPr>
          <w:t>https://doi.org/10.22616/ESRD.2023.57.001</w:t>
        </w:r>
      </w:hyperlink>
    </w:p>
    <w:p w14:paraId="0CE76983" w14:textId="77777777" w:rsidR="003F3990" w:rsidRPr="007E3A51" w:rsidRDefault="003F3990" w:rsidP="00F80E61">
      <w:pPr>
        <w:pStyle w:val="Rlit"/>
        <w:rPr>
          <w:lang w:val="en-GB"/>
        </w:rPr>
      </w:pPr>
      <w:r w:rsidRPr="007E3A51">
        <w:rPr>
          <w:shd w:val="clear" w:color="auto" w:fill="FFFFFF"/>
          <w:lang w:val="en-GB"/>
        </w:rPr>
        <w:t>Lin, F., Li, X., Jia, N., Feng, F., Huang, H., Huang, J., Fan, S., Ciais, P., &amp; Song, X.-P. (2023). The Impact of Russia-Ukraine Conflict on Global Food Security.</w:t>
      </w:r>
      <w:r w:rsidRPr="007E3A51">
        <w:rPr>
          <w:rStyle w:val="apple-converted-space"/>
          <w:rFonts w:eastAsiaTheme="majorEastAsia"/>
          <w:shd w:val="clear" w:color="auto" w:fill="FFFFFF"/>
          <w:lang w:val="en-GB"/>
        </w:rPr>
        <w:t xml:space="preserve"> </w:t>
      </w:r>
      <w:r w:rsidRPr="007E3A51">
        <w:rPr>
          <w:rStyle w:val="html-italic"/>
          <w:rFonts w:eastAsiaTheme="majorEastAsia"/>
          <w:i/>
          <w:iCs/>
          <w:lang w:val="en-GB"/>
        </w:rPr>
        <w:t>Glob. Food Sec.</w:t>
      </w:r>
      <w:r w:rsidRPr="007E3A51">
        <w:rPr>
          <w:shd w:val="clear" w:color="auto" w:fill="FFFFFF"/>
          <w:lang w:val="en-GB"/>
        </w:rPr>
        <w:t>,</w:t>
      </w:r>
      <w:r w:rsidRPr="007E3A51">
        <w:rPr>
          <w:rStyle w:val="apple-converted-space"/>
          <w:rFonts w:eastAsiaTheme="majorEastAsia"/>
          <w:shd w:val="clear" w:color="auto" w:fill="FFFFFF"/>
          <w:lang w:val="en-GB"/>
        </w:rPr>
        <w:t xml:space="preserve"> </w:t>
      </w:r>
      <w:r w:rsidRPr="007E3A51">
        <w:rPr>
          <w:rStyle w:val="html-italic"/>
          <w:rFonts w:eastAsiaTheme="majorEastAsia"/>
          <w:i/>
          <w:iCs/>
          <w:lang w:val="en-GB"/>
        </w:rPr>
        <w:t>36</w:t>
      </w:r>
      <w:r w:rsidRPr="007E3A51">
        <w:rPr>
          <w:shd w:val="clear" w:color="auto" w:fill="FFFFFF"/>
          <w:lang w:val="en-GB"/>
        </w:rPr>
        <w:t xml:space="preserve">, 100661. </w:t>
      </w:r>
      <w:hyperlink r:id="rId33" w:tgtFrame="_blank" w:tooltip="Persistent link using digital object identifier" w:history="1">
        <w:r w:rsidRPr="007E3A51">
          <w:rPr>
            <w:rStyle w:val="anchor-text"/>
            <w:rFonts w:eastAsiaTheme="majorEastAsia"/>
            <w:lang w:val="en-GB"/>
          </w:rPr>
          <w:t>https://doi.org/10.1016/j.gfs.2022.100661</w:t>
        </w:r>
      </w:hyperlink>
    </w:p>
    <w:p w14:paraId="24C77A38" w14:textId="77777777" w:rsidR="003F3990" w:rsidRPr="007E3A51" w:rsidRDefault="003F3990" w:rsidP="00F80E61">
      <w:pPr>
        <w:pStyle w:val="Rlit"/>
        <w:rPr>
          <w:lang w:val="en-GB"/>
        </w:rPr>
      </w:pPr>
      <w:r w:rsidRPr="007E3A51">
        <w:rPr>
          <w:lang w:val="en-GB"/>
        </w:rPr>
        <w:t xml:space="preserve">Lupenko, Yu. O, Gutorov, A. O., &amp; Gutorov, O. I. (2018). Investment Ensuring for Development of Integration Relations in the Agricultural Sector of Ukrainian Economy. </w:t>
      </w:r>
      <w:r w:rsidRPr="007E3A51">
        <w:rPr>
          <w:i/>
          <w:iCs/>
          <w:lang w:val="en-GB"/>
        </w:rPr>
        <w:t>Financial and Credit Activity: Problems of Theory and Practice</w:t>
      </w:r>
      <w:r w:rsidRPr="007E3A51">
        <w:rPr>
          <w:lang w:val="en-GB"/>
        </w:rPr>
        <w:t xml:space="preserve">, </w:t>
      </w:r>
      <w:r w:rsidRPr="007E3A51">
        <w:rPr>
          <w:i/>
          <w:iCs/>
          <w:lang w:val="en-GB"/>
        </w:rPr>
        <w:t>4</w:t>
      </w:r>
      <w:r w:rsidRPr="007E3A51">
        <w:rPr>
          <w:lang w:val="en-GB"/>
        </w:rPr>
        <w:t xml:space="preserve">(27), 381-389. </w:t>
      </w:r>
      <w:hyperlink r:id="rId34" w:history="1">
        <w:r w:rsidRPr="007E3A51">
          <w:rPr>
            <w:rStyle w:val="Hipercze"/>
            <w:bCs/>
            <w:color w:val="auto"/>
            <w:u w:val="none"/>
            <w:lang w:val="en-GB"/>
          </w:rPr>
          <w:t>https://doi.org/10.18371/fcaptp.v4i27.154221</w:t>
        </w:r>
      </w:hyperlink>
    </w:p>
    <w:p w14:paraId="78BF5FFD" w14:textId="77777777" w:rsidR="003F3990" w:rsidRPr="007E3A51" w:rsidRDefault="003F3990" w:rsidP="003F3990">
      <w:pPr>
        <w:pStyle w:val="Rlit"/>
        <w:rPr>
          <w:lang w:val="en-GB"/>
        </w:rPr>
      </w:pPr>
      <w:proofErr w:type="spellStart"/>
      <w:r w:rsidRPr="007E3A51">
        <w:rPr>
          <w:lang w:val="en-GB"/>
        </w:rPr>
        <w:t>Міrzoieva</w:t>
      </w:r>
      <w:proofErr w:type="spellEnd"/>
      <w:r w:rsidRPr="007E3A51">
        <w:rPr>
          <w:lang w:val="en-GB"/>
        </w:rPr>
        <w:t xml:space="preserve">, Т., Stepasyuk, L., </w:t>
      </w:r>
      <w:proofErr w:type="spellStart"/>
      <w:r w:rsidRPr="007E3A51">
        <w:rPr>
          <w:lang w:val="en-GB"/>
        </w:rPr>
        <w:t>Diachkov</w:t>
      </w:r>
      <w:proofErr w:type="spellEnd"/>
      <w:r w:rsidRPr="007E3A51">
        <w:rPr>
          <w:lang w:val="en-GB"/>
        </w:rPr>
        <w:t xml:space="preserve">, D., </w:t>
      </w:r>
      <w:proofErr w:type="spellStart"/>
      <w:r w:rsidRPr="007E3A51">
        <w:rPr>
          <w:lang w:val="en-GB"/>
        </w:rPr>
        <w:t>Nitsenko</w:t>
      </w:r>
      <w:proofErr w:type="spellEnd"/>
      <w:r w:rsidRPr="007E3A51">
        <w:rPr>
          <w:lang w:val="en-GB"/>
        </w:rPr>
        <w:t xml:space="preserve">, V., Velychko, O., </w:t>
      </w:r>
      <w:proofErr w:type="spellStart"/>
      <w:r w:rsidRPr="007E3A51">
        <w:rPr>
          <w:lang w:val="en-GB"/>
        </w:rPr>
        <w:t>Lozynska</w:t>
      </w:r>
      <w:proofErr w:type="spellEnd"/>
      <w:r w:rsidRPr="007E3A51">
        <w:rPr>
          <w:lang w:val="en-GB"/>
        </w:rPr>
        <w:t xml:space="preserve">, T., &amp; </w:t>
      </w:r>
      <w:proofErr w:type="spellStart"/>
      <w:r w:rsidRPr="007E3A51">
        <w:rPr>
          <w:lang w:val="en-GB"/>
        </w:rPr>
        <w:t>Kapelista</w:t>
      </w:r>
      <w:proofErr w:type="spellEnd"/>
      <w:r w:rsidRPr="007E3A51">
        <w:rPr>
          <w:lang w:val="en-GB"/>
        </w:rPr>
        <w:t xml:space="preserve">, I. (2024). Prospects for the Production of Niche Grain Crops in the Context of the Need to Ensure Food Security. </w:t>
      </w:r>
      <w:proofErr w:type="spellStart"/>
      <w:r w:rsidRPr="007E3A51">
        <w:rPr>
          <w:i/>
          <w:iCs/>
          <w:lang w:val="en-GB"/>
        </w:rPr>
        <w:t>Rocznik</w:t>
      </w:r>
      <w:proofErr w:type="spellEnd"/>
      <w:r w:rsidRPr="007E3A51">
        <w:rPr>
          <w:i/>
          <w:iCs/>
          <w:lang w:val="en-GB"/>
        </w:rPr>
        <w:t xml:space="preserve"> </w:t>
      </w:r>
      <w:proofErr w:type="spellStart"/>
      <w:r w:rsidRPr="007E3A51">
        <w:rPr>
          <w:i/>
          <w:iCs/>
          <w:lang w:val="en-GB"/>
        </w:rPr>
        <w:t>Ochrona</w:t>
      </w:r>
      <w:proofErr w:type="spellEnd"/>
      <w:r w:rsidRPr="007E3A51">
        <w:rPr>
          <w:i/>
          <w:iCs/>
          <w:lang w:val="en-GB"/>
        </w:rPr>
        <w:t xml:space="preserve"> </w:t>
      </w:r>
      <w:proofErr w:type="spellStart"/>
      <w:r w:rsidRPr="007E3A51">
        <w:rPr>
          <w:i/>
          <w:iCs/>
          <w:lang w:val="en-GB"/>
        </w:rPr>
        <w:t>Środowiska</w:t>
      </w:r>
      <w:proofErr w:type="spellEnd"/>
      <w:r w:rsidRPr="007E3A51">
        <w:rPr>
          <w:lang w:val="en-GB"/>
        </w:rPr>
        <w:t xml:space="preserve">, </w:t>
      </w:r>
      <w:r w:rsidRPr="007E3A51">
        <w:rPr>
          <w:i/>
          <w:iCs/>
          <w:lang w:val="en-GB"/>
        </w:rPr>
        <w:t>26</w:t>
      </w:r>
      <w:r w:rsidRPr="007E3A51">
        <w:rPr>
          <w:lang w:val="en-GB"/>
        </w:rPr>
        <w:t xml:space="preserve">, 568-586. </w:t>
      </w:r>
      <w:hyperlink r:id="rId35" w:history="1">
        <w:r w:rsidRPr="007E3A51">
          <w:rPr>
            <w:rStyle w:val="Hipercze"/>
            <w:bCs/>
            <w:color w:val="auto"/>
            <w:u w:val="none"/>
            <w:lang w:val="en-GB"/>
          </w:rPr>
          <w:t>https://doi.org/10.54740/ros.2024.051</w:t>
        </w:r>
      </w:hyperlink>
    </w:p>
    <w:p w14:paraId="13A86F98" w14:textId="77777777" w:rsidR="003F3990" w:rsidRPr="007E3A51" w:rsidRDefault="003F3990" w:rsidP="00F80E61">
      <w:pPr>
        <w:pStyle w:val="Rlit"/>
        <w:rPr>
          <w:lang w:val="en-GB"/>
        </w:rPr>
      </w:pPr>
      <w:r w:rsidRPr="007E3A51">
        <w:rPr>
          <w:lang w:val="en-GB"/>
        </w:rPr>
        <w:t xml:space="preserve">Misiuk, M., Zakhodym, M., </w:t>
      </w:r>
      <w:proofErr w:type="spellStart"/>
      <w:r w:rsidRPr="007E3A51">
        <w:rPr>
          <w:lang w:val="en-GB"/>
        </w:rPr>
        <w:t>Borkovska</w:t>
      </w:r>
      <w:proofErr w:type="spellEnd"/>
      <w:r w:rsidRPr="007E3A51">
        <w:rPr>
          <w:lang w:val="en-GB"/>
        </w:rPr>
        <w:t xml:space="preserve">, V., &amp; Balla, I. (2023). The Monitoring of the Livestock Product Market for the Formation of Food Security. </w:t>
      </w:r>
      <w:r w:rsidRPr="007E3A51">
        <w:rPr>
          <w:i/>
          <w:iCs/>
          <w:lang w:val="en-GB"/>
        </w:rPr>
        <w:t xml:space="preserve">Economics Ecology </w:t>
      </w:r>
      <w:proofErr w:type="spellStart"/>
      <w:r w:rsidRPr="007E3A51">
        <w:rPr>
          <w:i/>
          <w:iCs/>
          <w:lang w:val="en-GB"/>
        </w:rPr>
        <w:t>Socium</w:t>
      </w:r>
      <w:proofErr w:type="spellEnd"/>
      <w:r w:rsidRPr="007E3A51">
        <w:rPr>
          <w:lang w:val="en-GB"/>
        </w:rPr>
        <w:t xml:space="preserve">, </w:t>
      </w:r>
      <w:r w:rsidRPr="007E3A51">
        <w:rPr>
          <w:i/>
          <w:iCs/>
          <w:lang w:val="en-GB"/>
        </w:rPr>
        <w:t>7</w:t>
      </w:r>
      <w:r w:rsidRPr="007E3A51">
        <w:rPr>
          <w:lang w:val="en-GB"/>
        </w:rPr>
        <w:t>, 72-82. https://doi.org/10.61954/2616-7107/2023.7.4-6</w:t>
      </w:r>
    </w:p>
    <w:p w14:paraId="3FCDC501" w14:textId="77777777" w:rsidR="003F3990" w:rsidRPr="007E3A51" w:rsidRDefault="003F3990" w:rsidP="00F80E61">
      <w:pPr>
        <w:pStyle w:val="Rlit"/>
        <w:rPr>
          <w:lang w:val="en-GB"/>
        </w:rPr>
      </w:pPr>
      <w:proofErr w:type="spellStart"/>
      <w:r w:rsidRPr="007E3A51">
        <w:rPr>
          <w:lang w:val="en-GB"/>
        </w:rPr>
        <w:t>Nehrey</w:t>
      </w:r>
      <w:proofErr w:type="spellEnd"/>
      <w:r w:rsidRPr="007E3A51">
        <w:rPr>
          <w:lang w:val="en-GB"/>
        </w:rPr>
        <w:t xml:space="preserve">, M., &amp; Finger, R. (2024). Assessing the initial impact of the Russian invasion on Ukrainian agriculture: Challenges, policy responses, and future prospects. </w:t>
      </w:r>
      <w:proofErr w:type="spellStart"/>
      <w:r w:rsidRPr="007E3A51">
        <w:rPr>
          <w:i/>
          <w:iCs/>
          <w:lang w:val="en-GB"/>
        </w:rPr>
        <w:t>Heliyon</w:t>
      </w:r>
      <w:proofErr w:type="spellEnd"/>
      <w:r w:rsidRPr="007E3A51">
        <w:rPr>
          <w:lang w:val="en-GB"/>
        </w:rPr>
        <w:t xml:space="preserve">, </w:t>
      </w:r>
      <w:r w:rsidRPr="007E3A51">
        <w:rPr>
          <w:i/>
          <w:iCs/>
          <w:lang w:val="en-GB"/>
        </w:rPr>
        <w:t>10</w:t>
      </w:r>
      <w:r w:rsidRPr="007E3A51">
        <w:rPr>
          <w:lang w:val="en-GB"/>
        </w:rPr>
        <w:t xml:space="preserve">, e39208. </w:t>
      </w:r>
      <w:hyperlink r:id="rId36" w:history="1">
        <w:r w:rsidRPr="007E3A51">
          <w:rPr>
            <w:rStyle w:val="Hipercze"/>
            <w:color w:val="auto"/>
            <w:u w:val="none"/>
            <w:lang w:val="en-GB"/>
          </w:rPr>
          <w:t>https://doi.org/10.1016/j.heliyon.2024.e39208</w:t>
        </w:r>
      </w:hyperlink>
    </w:p>
    <w:p w14:paraId="540B8656" w14:textId="77777777" w:rsidR="003F3990" w:rsidRPr="007E3A51" w:rsidRDefault="003F3990" w:rsidP="00F80E61">
      <w:pPr>
        <w:pStyle w:val="Rlit"/>
        <w:rPr>
          <w:lang w:val="en-GB"/>
        </w:rPr>
      </w:pPr>
      <w:r w:rsidRPr="007E3A51">
        <w:rPr>
          <w:lang w:val="en-GB"/>
        </w:rPr>
        <w:t xml:space="preserve">Nitsenko, V., Ivashchenko, A., Radko, V., Sereda, V., Kuzmenko, O., &amp; Dimov, I. (2024). Financial Potential for Expanding the Opportunities of a Small Enterprise Under the Conditions of Sustainable Development. </w:t>
      </w:r>
      <w:r w:rsidRPr="007E3A51">
        <w:rPr>
          <w:i/>
          <w:iCs/>
          <w:lang w:val="en-GB"/>
        </w:rPr>
        <w:t>Financial and Credit Activity Problems of Theory and Practice</w:t>
      </w:r>
      <w:r w:rsidRPr="007E3A51">
        <w:rPr>
          <w:lang w:val="en-GB"/>
        </w:rPr>
        <w:t xml:space="preserve">, </w:t>
      </w:r>
      <w:r w:rsidRPr="007E3A51">
        <w:rPr>
          <w:i/>
          <w:iCs/>
          <w:lang w:val="en-GB"/>
        </w:rPr>
        <w:t>6</w:t>
      </w:r>
      <w:r w:rsidRPr="007E3A51">
        <w:rPr>
          <w:lang w:val="en-GB"/>
        </w:rPr>
        <w:t xml:space="preserve">(59), 261-272. </w:t>
      </w:r>
      <w:hyperlink r:id="rId37" w:history="1">
        <w:r w:rsidRPr="007E3A51">
          <w:rPr>
            <w:rStyle w:val="Hipercze"/>
            <w:bCs/>
            <w:color w:val="auto"/>
            <w:u w:val="none"/>
            <w:lang w:val="en-GB"/>
          </w:rPr>
          <w:t>https://doi.org/10.55643/fcaptp.6.59.2024.4524</w:t>
        </w:r>
      </w:hyperlink>
    </w:p>
    <w:p w14:paraId="592D7C50" w14:textId="77777777" w:rsidR="003F3990" w:rsidRPr="007E3A51" w:rsidRDefault="003F3990" w:rsidP="00F80E61">
      <w:pPr>
        <w:pStyle w:val="Rlit"/>
        <w:rPr>
          <w:lang w:val="en-GB"/>
        </w:rPr>
      </w:pPr>
      <w:r w:rsidRPr="007E3A51">
        <w:rPr>
          <w:lang w:val="en-GB"/>
        </w:rPr>
        <w:t xml:space="preserve">Petrychenko, V., Petrychenko, O., </w:t>
      </w:r>
      <w:proofErr w:type="spellStart"/>
      <w:r w:rsidRPr="007E3A51">
        <w:rPr>
          <w:lang w:val="en-GB"/>
        </w:rPr>
        <w:t>Fedoryshyna</w:t>
      </w:r>
      <w:proofErr w:type="spellEnd"/>
      <w:r w:rsidRPr="007E3A51">
        <w:rPr>
          <w:lang w:val="en-GB"/>
        </w:rPr>
        <w:t xml:space="preserve">, L., Kravchuk, O., Korniichuk, O., &amp; </w:t>
      </w:r>
      <w:proofErr w:type="spellStart"/>
      <w:r w:rsidRPr="007E3A51">
        <w:rPr>
          <w:lang w:val="en-GB"/>
        </w:rPr>
        <w:t>Nitsenko</w:t>
      </w:r>
      <w:proofErr w:type="spellEnd"/>
      <w:r w:rsidRPr="007E3A51">
        <w:rPr>
          <w:lang w:val="en-GB"/>
        </w:rPr>
        <w:t xml:space="preserve">, V. (2022). Agricultural Production in Ukraine: Ecological Challenges and Impact on the Quality of Life. </w:t>
      </w:r>
      <w:r w:rsidRPr="007E3A51">
        <w:rPr>
          <w:i/>
          <w:iCs/>
          <w:lang w:val="en-GB"/>
        </w:rPr>
        <w:t>Financial and Credit Activity Problems of Theory and Practice</w:t>
      </w:r>
      <w:r w:rsidRPr="007E3A51">
        <w:rPr>
          <w:lang w:val="en-GB"/>
        </w:rPr>
        <w:t xml:space="preserve">, </w:t>
      </w:r>
      <w:r w:rsidRPr="007E3A51">
        <w:rPr>
          <w:i/>
          <w:iCs/>
          <w:lang w:val="en-GB"/>
        </w:rPr>
        <w:t>4</w:t>
      </w:r>
      <w:r w:rsidRPr="007E3A51">
        <w:rPr>
          <w:lang w:val="en-GB"/>
        </w:rPr>
        <w:t xml:space="preserve">(45), 374-384. </w:t>
      </w:r>
      <w:hyperlink r:id="rId38" w:history="1">
        <w:r w:rsidRPr="007E3A51">
          <w:rPr>
            <w:rStyle w:val="Hipercze"/>
            <w:bCs/>
            <w:color w:val="auto"/>
            <w:u w:val="none"/>
            <w:lang w:val="en-GB"/>
          </w:rPr>
          <w:t>https://doi.org/10.55643/fcaptp.4.45.2022.3782</w:t>
        </w:r>
      </w:hyperlink>
    </w:p>
    <w:p w14:paraId="4106F88E" w14:textId="77777777" w:rsidR="003F3990" w:rsidRPr="007E3A51" w:rsidRDefault="003F3990" w:rsidP="00F80E61">
      <w:pPr>
        <w:pStyle w:val="Rlit"/>
        <w:rPr>
          <w:lang w:val="en-GB"/>
        </w:rPr>
      </w:pPr>
      <w:proofErr w:type="spellStart"/>
      <w:r w:rsidRPr="007E3A51">
        <w:rPr>
          <w:lang w:val="en-GB"/>
        </w:rPr>
        <w:t>Pokataiev</w:t>
      </w:r>
      <w:proofErr w:type="spellEnd"/>
      <w:r w:rsidRPr="007E3A51">
        <w:rPr>
          <w:lang w:val="en-GB"/>
        </w:rPr>
        <w:t xml:space="preserve">, P., </w:t>
      </w:r>
      <w:proofErr w:type="spellStart"/>
      <w:r w:rsidRPr="007E3A51">
        <w:rPr>
          <w:lang w:val="en-GB"/>
        </w:rPr>
        <w:t>Liezina</w:t>
      </w:r>
      <w:proofErr w:type="spellEnd"/>
      <w:r w:rsidRPr="007E3A51">
        <w:rPr>
          <w:lang w:val="en-GB"/>
        </w:rPr>
        <w:t xml:space="preserve">, N., </w:t>
      </w:r>
      <w:proofErr w:type="spellStart"/>
      <w:r w:rsidRPr="007E3A51">
        <w:rPr>
          <w:lang w:val="en-GB"/>
        </w:rPr>
        <w:t>Andriushchenko</w:t>
      </w:r>
      <w:proofErr w:type="spellEnd"/>
      <w:r w:rsidRPr="007E3A51">
        <w:rPr>
          <w:lang w:val="en-GB"/>
        </w:rPr>
        <w:t xml:space="preserve">, A., &amp; Petukhova, H. (2023). The role of biotechnology in the development of the bioeconomy. </w:t>
      </w:r>
      <w:r w:rsidRPr="007E3A51">
        <w:rPr>
          <w:i/>
          <w:iCs/>
          <w:lang w:val="en-GB"/>
        </w:rPr>
        <w:t>Acta Innovations</w:t>
      </w:r>
      <w:r w:rsidRPr="007E3A51">
        <w:rPr>
          <w:lang w:val="en-GB"/>
        </w:rPr>
        <w:t xml:space="preserve">, </w:t>
      </w:r>
      <w:r w:rsidRPr="007E3A51">
        <w:rPr>
          <w:i/>
          <w:iCs/>
          <w:lang w:val="en-GB"/>
        </w:rPr>
        <w:t>46</w:t>
      </w:r>
      <w:r w:rsidRPr="007E3A51">
        <w:rPr>
          <w:lang w:val="en-GB"/>
        </w:rPr>
        <w:t xml:space="preserve">, 18-33. </w:t>
      </w:r>
      <w:hyperlink r:id="rId39" w:history="1">
        <w:r w:rsidRPr="007E3A51">
          <w:rPr>
            <w:rStyle w:val="Hipercze"/>
            <w:bCs/>
            <w:color w:val="auto"/>
            <w:u w:val="none"/>
            <w:lang w:val="en-GB"/>
          </w:rPr>
          <w:t>https://doi.org/10.32933/ActaInnovations.46.2</w:t>
        </w:r>
      </w:hyperlink>
      <w:r w:rsidRPr="007E3A51">
        <w:rPr>
          <w:lang w:val="en-GB"/>
        </w:rPr>
        <w:t xml:space="preserve"> </w:t>
      </w:r>
    </w:p>
    <w:p w14:paraId="437A4437" w14:textId="77777777" w:rsidR="003F3990" w:rsidRPr="007E3A51" w:rsidRDefault="003F3990" w:rsidP="00531ED1">
      <w:pPr>
        <w:pStyle w:val="Rlit"/>
        <w:jc w:val="left"/>
        <w:rPr>
          <w:lang w:val="en-GB"/>
        </w:rPr>
      </w:pPr>
      <w:r w:rsidRPr="007E3A51">
        <w:rPr>
          <w:lang w:val="en-GB"/>
        </w:rPr>
        <w:t xml:space="preserve">Popova, O., Koval, V., Vdovenko, N., </w:t>
      </w:r>
      <w:proofErr w:type="spellStart"/>
      <w:r w:rsidRPr="007E3A51">
        <w:rPr>
          <w:lang w:val="en-GB"/>
        </w:rPr>
        <w:t>Sedikova</w:t>
      </w:r>
      <w:proofErr w:type="spellEnd"/>
      <w:r w:rsidRPr="007E3A51">
        <w:rPr>
          <w:lang w:val="en-GB"/>
        </w:rPr>
        <w:t xml:space="preserve">, I., </w:t>
      </w:r>
      <w:proofErr w:type="spellStart"/>
      <w:r w:rsidRPr="007E3A51">
        <w:rPr>
          <w:lang w:val="en-GB"/>
        </w:rPr>
        <w:t>Nesenenko</w:t>
      </w:r>
      <w:proofErr w:type="spellEnd"/>
      <w:r w:rsidRPr="007E3A51">
        <w:rPr>
          <w:lang w:val="en-GB"/>
        </w:rPr>
        <w:t xml:space="preserve">, P., &amp; </w:t>
      </w:r>
      <w:proofErr w:type="spellStart"/>
      <w:r w:rsidRPr="007E3A51">
        <w:rPr>
          <w:lang w:val="en-GB"/>
        </w:rPr>
        <w:t>Mikhno</w:t>
      </w:r>
      <w:proofErr w:type="spellEnd"/>
      <w:r w:rsidRPr="007E3A51">
        <w:rPr>
          <w:lang w:val="en-GB"/>
        </w:rPr>
        <w:t xml:space="preserve">, I. (2022). Environmental </w:t>
      </w:r>
      <w:proofErr w:type="spellStart"/>
      <w:r w:rsidRPr="007E3A51">
        <w:rPr>
          <w:lang w:val="en-GB"/>
        </w:rPr>
        <w:t>footprinting</w:t>
      </w:r>
      <w:proofErr w:type="spellEnd"/>
      <w:r w:rsidRPr="007E3A51">
        <w:rPr>
          <w:lang w:val="en-GB"/>
        </w:rPr>
        <w:t xml:space="preserve"> of agri-food products traded in the European market. </w:t>
      </w:r>
      <w:r w:rsidRPr="007E3A51">
        <w:rPr>
          <w:i/>
          <w:iCs/>
          <w:lang w:val="en-GB"/>
        </w:rPr>
        <w:t>Frontiers in Environmental Science</w:t>
      </w:r>
      <w:r w:rsidRPr="007E3A51">
        <w:rPr>
          <w:lang w:val="en-GB"/>
        </w:rPr>
        <w:t xml:space="preserve">, </w:t>
      </w:r>
      <w:r w:rsidRPr="007E3A51">
        <w:rPr>
          <w:i/>
          <w:iCs/>
          <w:lang w:val="en-GB"/>
        </w:rPr>
        <w:t>10</w:t>
      </w:r>
      <w:r w:rsidRPr="007E3A51">
        <w:rPr>
          <w:lang w:val="en-GB"/>
        </w:rPr>
        <w:t>, 1036970. doi:10.3389/fenvs.2022.1036970</w:t>
      </w:r>
    </w:p>
    <w:p w14:paraId="4497C9A6" w14:textId="77777777" w:rsidR="003F3990" w:rsidRPr="007E3A51" w:rsidRDefault="003F3990" w:rsidP="00F80E61">
      <w:pPr>
        <w:pStyle w:val="Rlit"/>
        <w:rPr>
          <w:lang w:val="en-GB"/>
        </w:rPr>
      </w:pPr>
      <w:r w:rsidRPr="007E3A51">
        <w:rPr>
          <w:lang w:val="en-GB"/>
        </w:rPr>
        <w:t>Rudolfsen, I.,</w:t>
      </w:r>
      <w:r w:rsidRPr="007E3A51">
        <w:rPr>
          <w:rStyle w:val="apple-converted-space"/>
          <w:rFonts w:eastAsiaTheme="majorEastAsia"/>
          <w:lang w:val="en-GB"/>
        </w:rPr>
        <w:t xml:space="preserve"> </w:t>
      </w:r>
      <w:proofErr w:type="spellStart"/>
      <w:r w:rsidRPr="007E3A51">
        <w:rPr>
          <w:lang w:val="en-GB"/>
        </w:rPr>
        <w:t>Bartusevičius</w:t>
      </w:r>
      <w:proofErr w:type="spellEnd"/>
      <w:r w:rsidRPr="007E3A51">
        <w:rPr>
          <w:lang w:val="en-GB"/>
        </w:rPr>
        <w:t>, H.,</w:t>
      </w:r>
      <w:r w:rsidRPr="007E3A51">
        <w:rPr>
          <w:rStyle w:val="apple-converted-space"/>
          <w:rFonts w:eastAsiaTheme="majorEastAsia"/>
          <w:lang w:val="en-GB"/>
        </w:rPr>
        <w:t xml:space="preserve"> </w:t>
      </w:r>
      <w:r w:rsidRPr="007E3A51">
        <w:rPr>
          <w:lang w:val="en-GB"/>
        </w:rPr>
        <w:t>van Leeuwen, F.,</w:t>
      </w:r>
      <w:r w:rsidRPr="007E3A51">
        <w:rPr>
          <w:rStyle w:val="apple-converted-space"/>
          <w:rFonts w:eastAsiaTheme="majorEastAsia"/>
          <w:lang w:val="en-GB"/>
        </w:rPr>
        <w:t xml:space="preserve"> &amp; </w:t>
      </w:r>
      <w:r w:rsidRPr="007E3A51">
        <w:rPr>
          <w:lang w:val="en-GB"/>
        </w:rPr>
        <w:t xml:space="preserve">Østby, G. (2024). War and food insecurity in Ukraine. </w:t>
      </w:r>
      <w:r w:rsidRPr="007E3A51">
        <w:rPr>
          <w:i/>
          <w:iCs/>
          <w:lang w:val="en-GB"/>
        </w:rPr>
        <w:t>World Development</w:t>
      </w:r>
      <w:r w:rsidRPr="007E3A51">
        <w:rPr>
          <w:lang w:val="en-GB"/>
        </w:rPr>
        <w:t>,</w:t>
      </w:r>
      <w:r w:rsidRPr="007E3A51">
        <w:rPr>
          <w:rStyle w:val="apple-converted-space"/>
          <w:rFonts w:eastAsiaTheme="majorEastAsia"/>
          <w:lang w:val="en-GB"/>
        </w:rPr>
        <w:t xml:space="preserve"> </w:t>
      </w:r>
      <w:r w:rsidRPr="007E3A51">
        <w:rPr>
          <w:i/>
          <w:iCs/>
          <w:lang w:val="en-GB"/>
        </w:rPr>
        <w:t>180</w:t>
      </w:r>
      <w:r w:rsidRPr="007E3A51">
        <w:rPr>
          <w:lang w:val="en-GB"/>
        </w:rPr>
        <w:t>, Article</w:t>
      </w:r>
      <w:r w:rsidRPr="007E3A51">
        <w:rPr>
          <w:rStyle w:val="apple-converted-space"/>
          <w:rFonts w:eastAsiaTheme="majorEastAsia"/>
          <w:lang w:val="en-GB"/>
        </w:rPr>
        <w:t> </w:t>
      </w:r>
      <w:r w:rsidRPr="007E3A51">
        <w:rPr>
          <w:lang w:val="en-GB"/>
        </w:rPr>
        <w:t xml:space="preserve">106647. </w:t>
      </w:r>
      <w:hyperlink r:id="rId40" w:tgtFrame="_blank" w:tooltip="Persistent link using digital object identifier" w:history="1">
        <w:r w:rsidRPr="007E3A51">
          <w:rPr>
            <w:rStyle w:val="anchor-text"/>
            <w:rFonts w:eastAsiaTheme="majorEastAsia"/>
            <w:lang w:val="en-GB"/>
          </w:rPr>
          <w:t>https://doi.org/10.1016/j.worlddev.2024.106647</w:t>
        </w:r>
      </w:hyperlink>
    </w:p>
    <w:p w14:paraId="0E1FACB7" w14:textId="77777777" w:rsidR="003F3990" w:rsidRPr="007E3A51" w:rsidRDefault="003F3990" w:rsidP="00F80E61">
      <w:pPr>
        <w:pStyle w:val="Rlit"/>
        <w:rPr>
          <w:lang w:val="en-GB"/>
        </w:rPr>
      </w:pPr>
      <w:r w:rsidRPr="007E3A51">
        <w:rPr>
          <w:lang w:val="en-GB"/>
        </w:rPr>
        <w:t xml:space="preserve">Sánchez-Almeyda, C., González-Bueno, J., Koval, V., Reyes-Maldonado, N., </w:t>
      </w:r>
      <w:proofErr w:type="spellStart"/>
      <w:r w:rsidRPr="007E3A51">
        <w:rPr>
          <w:lang w:val="en-GB"/>
        </w:rPr>
        <w:t>Kryshtal</w:t>
      </w:r>
      <w:proofErr w:type="spellEnd"/>
      <w:r w:rsidRPr="007E3A51">
        <w:rPr>
          <w:lang w:val="en-GB"/>
        </w:rPr>
        <w:t xml:space="preserve">, H., &amp; </w:t>
      </w:r>
      <w:proofErr w:type="spellStart"/>
      <w:r w:rsidRPr="007E3A51">
        <w:rPr>
          <w:lang w:val="en-GB"/>
        </w:rPr>
        <w:t>Zharikova</w:t>
      </w:r>
      <w:proofErr w:type="spellEnd"/>
      <w:r w:rsidRPr="007E3A51">
        <w:rPr>
          <w:lang w:val="en-GB"/>
        </w:rPr>
        <w:t xml:space="preserve">, O. (2025). Predicting financial distress in the food production sector: a dual-model approach using Z-score and O-score methods. </w:t>
      </w:r>
      <w:r w:rsidRPr="007E3A51">
        <w:rPr>
          <w:i/>
          <w:iCs/>
          <w:lang w:val="en-GB"/>
        </w:rPr>
        <w:t>Discover Sustainability</w:t>
      </w:r>
      <w:r w:rsidRPr="007E3A51">
        <w:rPr>
          <w:lang w:val="en-GB"/>
        </w:rPr>
        <w:t xml:space="preserve">, </w:t>
      </w:r>
      <w:r w:rsidRPr="007E3A51">
        <w:rPr>
          <w:i/>
          <w:iCs/>
          <w:lang w:val="en-GB"/>
        </w:rPr>
        <w:t>6</w:t>
      </w:r>
      <w:r w:rsidRPr="007E3A51">
        <w:rPr>
          <w:lang w:val="en-GB"/>
        </w:rPr>
        <w:t xml:space="preserve">(1), 731. </w:t>
      </w:r>
      <w:hyperlink r:id="rId41" w:history="1">
        <w:r w:rsidRPr="007E3A51">
          <w:rPr>
            <w:rStyle w:val="Hipercze"/>
            <w:bCs/>
            <w:color w:val="auto"/>
            <w:u w:val="none"/>
            <w:lang w:val="en-GB"/>
          </w:rPr>
          <w:t>https://doi.org/10.1007/s43621-025-01348-w</w:t>
        </w:r>
      </w:hyperlink>
    </w:p>
    <w:p w14:paraId="70319FED" w14:textId="77777777" w:rsidR="003F3990" w:rsidRPr="007E3A51" w:rsidRDefault="003F3990" w:rsidP="00F80E61">
      <w:pPr>
        <w:pStyle w:val="Rlit"/>
        <w:rPr>
          <w:lang w:val="en-GB"/>
        </w:rPr>
      </w:pPr>
      <w:proofErr w:type="spellStart"/>
      <w:r w:rsidRPr="007E3A51">
        <w:rPr>
          <w:lang w:val="en-GB"/>
        </w:rPr>
        <w:t>Shovkun-Zablotska</w:t>
      </w:r>
      <w:proofErr w:type="spellEnd"/>
      <w:r w:rsidRPr="007E3A51">
        <w:rPr>
          <w:lang w:val="en-GB"/>
        </w:rPr>
        <w:t xml:space="preserve">, L., </w:t>
      </w:r>
      <w:proofErr w:type="spellStart"/>
      <w:r w:rsidRPr="007E3A51">
        <w:rPr>
          <w:lang w:val="en-GB"/>
        </w:rPr>
        <w:t>Pysarenko</w:t>
      </w:r>
      <w:proofErr w:type="spellEnd"/>
      <w:r w:rsidRPr="007E3A51">
        <w:rPr>
          <w:lang w:val="en-GB"/>
        </w:rPr>
        <w:t xml:space="preserve">, V., Sierova, L., &amp; </w:t>
      </w:r>
      <w:proofErr w:type="spellStart"/>
      <w:r w:rsidRPr="007E3A51">
        <w:rPr>
          <w:lang w:val="en-GB"/>
        </w:rPr>
        <w:t>Tegipko</w:t>
      </w:r>
      <w:proofErr w:type="spellEnd"/>
      <w:r w:rsidRPr="007E3A51">
        <w:rPr>
          <w:lang w:val="en-GB"/>
        </w:rPr>
        <w:t xml:space="preserve">, S. (2024). Management and Marketing of the Wartime Agribusiness in Ukraine. </w:t>
      </w:r>
      <w:r w:rsidRPr="007E3A51">
        <w:rPr>
          <w:i/>
          <w:iCs/>
          <w:lang w:val="en-GB"/>
        </w:rPr>
        <w:t xml:space="preserve">Economics Ecology </w:t>
      </w:r>
      <w:proofErr w:type="spellStart"/>
      <w:r w:rsidRPr="007E3A51">
        <w:rPr>
          <w:i/>
          <w:iCs/>
          <w:lang w:val="en-GB"/>
        </w:rPr>
        <w:t>Socium</w:t>
      </w:r>
      <w:proofErr w:type="spellEnd"/>
      <w:r w:rsidRPr="007E3A51">
        <w:rPr>
          <w:lang w:val="en-GB"/>
        </w:rPr>
        <w:t xml:space="preserve">, </w:t>
      </w:r>
      <w:r w:rsidRPr="007E3A51">
        <w:rPr>
          <w:i/>
          <w:iCs/>
          <w:lang w:val="en-GB"/>
        </w:rPr>
        <w:t>8</w:t>
      </w:r>
      <w:r w:rsidRPr="007E3A51">
        <w:rPr>
          <w:lang w:val="en-GB"/>
        </w:rPr>
        <w:t>, 64-77. https://doi.org/10.61954/2616-7107/2024.8.1-6</w:t>
      </w:r>
    </w:p>
    <w:p w14:paraId="3AD130D2" w14:textId="77777777" w:rsidR="003F3990" w:rsidRPr="007E3A51" w:rsidRDefault="003F3990" w:rsidP="00F80E61">
      <w:pPr>
        <w:pStyle w:val="Rlit"/>
        <w:rPr>
          <w:lang w:val="en-GB"/>
        </w:rPr>
      </w:pPr>
      <w:proofErr w:type="spellStart"/>
      <w:r w:rsidRPr="007E3A51">
        <w:rPr>
          <w:lang w:val="en-GB"/>
        </w:rPr>
        <w:t>Shubravska</w:t>
      </w:r>
      <w:proofErr w:type="spellEnd"/>
      <w:r w:rsidRPr="007E3A51">
        <w:rPr>
          <w:lang w:val="en-GB"/>
        </w:rPr>
        <w:t xml:space="preserve">, O., Prokopenko, K., Krupin, V., &amp; Wojciechowska, A. (2024). Challenges and opportunities for the development of Ukrainian agriculture in the context of EU enlargement. </w:t>
      </w:r>
      <w:r w:rsidRPr="007E3A51">
        <w:rPr>
          <w:i/>
          <w:iCs/>
          <w:lang w:val="en-GB"/>
        </w:rPr>
        <w:t>Studies in Agricultural Economics</w:t>
      </w:r>
      <w:r w:rsidRPr="007E3A51">
        <w:rPr>
          <w:lang w:val="en-GB"/>
        </w:rPr>
        <w:t xml:space="preserve">, </w:t>
      </w:r>
      <w:r w:rsidRPr="007E3A51">
        <w:rPr>
          <w:i/>
          <w:iCs/>
          <w:lang w:val="en-GB"/>
        </w:rPr>
        <w:t>126</w:t>
      </w:r>
      <w:r w:rsidRPr="007E3A51">
        <w:rPr>
          <w:lang w:val="en-GB"/>
        </w:rPr>
        <w:t xml:space="preserve">, 1-9. </w:t>
      </w:r>
      <w:hyperlink r:id="rId42" w:history="1">
        <w:r w:rsidRPr="007E3A51">
          <w:rPr>
            <w:rStyle w:val="Hipercze"/>
            <w:color w:val="auto"/>
            <w:u w:val="none"/>
            <w:lang w:val="en-GB"/>
          </w:rPr>
          <w:t>https://doi.org/10.7896/j.2833</w:t>
        </w:r>
      </w:hyperlink>
    </w:p>
    <w:p w14:paraId="064ACD85" w14:textId="77777777" w:rsidR="003F3990" w:rsidRPr="007E3A51" w:rsidRDefault="003F3990" w:rsidP="00A649BB">
      <w:pPr>
        <w:pStyle w:val="Rlit"/>
        <w:jc w:val="left"/>
        <w:rPr>
          <w:lang w:val="en-GB"/>
        </w:rPr>
      </w:pPr>
      <w:proofErr w:type="spellStart"/>
      <w:r w:rsidRPr="007E3A51">
        <w:rPr>
          <w:lang w:val="en-GB"/>
        </w:rPr>
        <w:t>Shynkaruk</w:t>
      </w:r>
      <w:proofErr w:type="spellEnd"/>
      <w:r w:rsidRPr="007E3A51">
        <w:rPr>
          <w:lang w:val="en-GB"/>
        </w:rPr>
        <w:t xml:space="preserve">, L. V., &amp; Kondratyev, Yu. V. (2024). Current state of development of the oilseed market in Ukraine: main trends and influencing factors. </w:t>
      </w:r>
      <w:r w:rsidRPr="007E3A51">
        <w:rPr>
          <w:i/>
          <w:iCs/>
          <w:lang w:val="en-GB"/>
        </w:rPr>
        <w:t>Actual problems of economics</w:t>
      </w:r>
      <w:r w:rsidRPr="007E3A51">
        <w:rPr>
          <w:lang w:val="en-GB"/>
        </w:rPr>
        <w:t xml:space="preserve">, </w:t>
      </w:r>
      <w:r w:rsidRPr="007E3A51">
        <w:rPr>
          <w:i/>
          <w:iCs/>
          <w:lang w:val="en-GB"/>
        </w:rPr>
        <w:t>12</w:t>
      </w:r>
      <w:r w:rsidRPr="007E3A51">
        <w:rPr>
          <w:lang w:val="en-GB"/>
        </w:rPr>
        <w:t xml:space="preserve">(2(282/2)), 83-90. </w:t>
      </w:r>
      <w:r w:rsidRPr="007E3A51">
        <w:rPr>
          <w:lang w:val="en-GB"/>
        </w:rPr>
        <w:br/>
        <w:t>https://doi.org/10.32752/1993-6788-2024-2-282-83-90</w:t>
      </w:r>
    </w:p>
    <w:p w14:paraId="7EBB2A00" w14:textId="77777777" w:rsidR="003F3990" w:rsidRPr="007E3A51" w:rsidRDefault="003F3990" w:rsidP="00F80E61">
      <w:pPr>
        <w:pStyle w:val="Rlit"/>
        <w:rPr>
          <w:lang w:val="en-GB"/>
        </w:rPr>
      </w:pPr>
      <w:proofErr w:type="spellStart"/>
      <w:r w:rsidRPr="007E3A51">
        <w:rPr>
          <w:rStyle w:val="normaltextrun"/>
          <w:rFonts w:eastAsiaTheme="majorEastAsia"/>
          <w:lang w:val="en-GB"/>
        </w:rPr>
        <w:t>Shynkaruk</w:t>
      </w:r>
      <w:proofErr w:type="spellEnd"/>
      <w:r w:rsidRPr="007E3A51">
        <w:rPr>
          <w:rStyle w:val="normaltextrun"/>
          <w:rFonts w:eastAsiaTheme="majorEastAsia"/>
          <w:lang w:val="en-GB"/>
        </w:rPr>
        <w:t>, L.,</w:t>
      </w:r>
      <w:r w:rsidRPr="007E3A51">
        <w:rPr>
          <w:rStyle w:val="normaltextrun"/>
          <w:rFonts w:eastAsiaTheme="majorEastAsia"/>
          <w:b/>
          <w:bCs/>
          <w:lang w:val="en-GB"/>
        </w:rPr>
        <w:t xml:space="preserve"> </w:t>
      </w:r>
      <w:proofErr w:type="spellStart"/>
      <w:r w:rsidRPr="007E3A51">
        <w:rPr>
          <w:rStyle w:val="normaltextrun"/>
          <w:rFonts w:eastAsiaTheme="majorEastAsia"/>
          <w:lang w:val="en-GB"/>
        </w:rPr>
        <w:t>Dielini</w:t>
      </w:r>
      <w:proofErr w:type="spellEnd"/>
      <w:r w:rsidRPr="007E3A51">
        <w:rPr>
          <w:rStyle w:val="normaltextrun"/>
          <w:rFonts w:eastAsiaTheme="majorEastAsia"/>
          <w:lang w:val="en-GB"/>
        </w:rPr>
        <w:t xml:space="preserve">, M., Vlasenko, T., Svyrydenko, D., &amp; </w:t>
      </w:r>
      <w:proofErr w:type="spellStart"/>
      <w:r w:rsidRPr="007E3A51">
        <w:rPr>
          <w:rStyle w:val="normaltextrun"/>
          <w:rFonts w:eastAsiaTheme="majorEastAsia"/>
          <w:lang w:val="en-GB"/>
        </w:rPr>
        <w:t>Lagodiienko</w:t>
      </w:r>
      <w:proofErr w:type="spellEnd"/>
      <w:r w:rsidRPr="007E3A51">
        <w:rPr>
          <w:rStyle w:val="normaltextrun"/>
          <w:rFonts w:eastAsiaTheme="majorEastAsia"/>
          <w:lang w:val="en-GB"/>
        </w:rPr>
        <w:t xml:space="preserve">, V. (2023) Determinants of Ukrainian economic and food security development under the conditions of martial law. </w:t>
      </w:r>
      <w:r w:rsidRPr="007E3A51">
        <w:rPr>
          <w:rStyle w:val="normaltextrun"/>
          <w:rFonts w:eastAsiaTheme="majorEastAsia"/>
          <w:i/>
          <w:iCs/>
          <w:lang w:val="en-GB"/>
        </w:rPr>
        <w:t>Financial and Credit Activity Problems of Theory and Practice</w:t>
      </w:r>
      <w:r w:rsidRPr="007E3A51">
        <w:rPr>
          <w:rStyle w:val="normaltextrun"/>
          <w:rFonts w:eastAsiaTheme="majorEastAsia"/>
          <w:lang w:val="en-GB"/>
        </w:rPr>
        <w:t xml:space="preserve">, 4(51), 311-319. </w:t>
      </w:r>
      <w:hyperlink r:id="rId43" w:tgtFrame="_blank" w:history="1">
        <w:r w:rsidRPr="007E3A51">
          <w:rPr>
            <w:rStyle w:val="normaltextrun"/>
            <w:rFonts w:eastAsiaTheme="majorEastAsia"/>
            <w:lang w:val="en-GB"/>
          </w:rPr>
          <w:t>https://doi.org/10.55643/fcaptp.4.51.2023.4120</w:t>
        </w:r>
      </w:hyperlink>
    </w:p>
    <w:p w14:paraId="6D47352A" w14:textId="77777777" w:rsidR="003F3990" w:rsidRPr="007E3A51" w:rsidRDefault="003F3990" w:rsidP="00F80E61">
      <w:pPr>
        <w:pStyle w:val="Rlit"/>
        <w:rPr>
          <w:lang w:val="en-GB"/>
        </w:rPr>
      </w:pPr>
      <w:r w:rsidRPr="007E3A51">
        <w:rPr>
          <w:lang w:val="en-GB"/>
        </w:rPr>
        <w:t xml:space="preserve">State Statistics Service of Ukraine (2025). </w:t>
      </w:r>
      <w:r w:rsidRPr="007E3A51">
        <w:rPr>
          <w:i/>
          <w:iCs/>
          <w:lang w:val="en-GB"/>
        </w:rPr>
        <w:t>17 goals to transform our world</w:t>
      </w:r>
      <w:r w:rsidRPr="007E3A51">
        <w:rPr>
          <w:lang w:val="en-GB"/>
        </w:rPr>
        <w:t xml:space="preserve">. Available at: </w:t>
      </w:r>
      <w:hyperlink r:id="rId44" w:history="1">
        <w:r w:rsidRPr="007E3A51">
          <w:rPr>
            <w:rStyle w:val="Hipercze"/>
            <w:color w:val="auto"/>
            <w:u w:val="none"/>
            <w:lang w:val="en-GB"/>
          </w:rPr>
          <w:t>https://sdg.ukrstat.gov.ua</w:t>
        </w:r>
      </w:hyperlink>
      <w:r w:rsidRPr="007E3A51">
        <w:rPr>
          <w:lang w:val="en-GB"/>
        </w:rPr>
        <w:t xml:space="preserve"> </w:t>
      </w:r>
    </w:p>
    <w:p w14:paraId="5FCF6D23" w14:textId="77777777" w:rsidR="003F3990" w:rsidRPr="007E3A51" w:rsidRDefault="003F3990" w:rsidP="00F80E61">
      <w:pPr>
        <w:pStyle w:val="Rlit"/>
        <w:rPr>
          <w:lang w:val="en-GB"/>
        </w:rPr>
      </w:pPr>
      <w:r w:rsidRPr="007E3A51">
        <w:rPr>
          <w:lang w:val="en-GB"/>
        </w:rPr>
        <w:t xml:space="preserve">State statistics service of Ukraine. Available at: </w:t>
      </w:r>
      <w:hyperlink r:id="rId45" w:history="1">
        <w:r w:rsidRPr="007E3A51">
          <w:rPr>
            <w:rStyle w:val="Hipercze"/>
            <w:color w:val="auto"/>
            <w:u w:val="none"/>
            <w:lang w:val="en-GB"/>
          </w:rPr>
          <w:t>https://www.ukrstat.gov.ua</w:t>
        </w:r>
      </w:hyperlink>
      <w:r w:rsidRPr="007E3A51">
        <w:rPr>
          <w:lang w:val="en-GB"/>
        </w:rPr>
        <w:t xml:space="preserve"> </w:t>
      </w:r>
    </w:p>
    <w:p w14:paraId="339AD2AC" w14:textId="77777777" w:rsidR="003F3990" w:rsidRPr="007E3A51" w:rsidRDefault="003F3990" w:rsidP="00F80E61">
      <w:pPr>
        <w:pStyle w:val="Rlit"/>
        <w:rPr>
          <w:lang w:val="en-GB"/>
        </w:rPr>
      </w:pPr>
      <w:proofErr w:type="spellStart"/>
      <w:r w:rsidRPr="007E3A51">
        <w:rPr>
          <w:lang w:val="en-GB"/>
        </w:rPr>
        <w:t>Strelbytska</w:t>
      </w:r>
      <w:proofErr w:type="spellEnd"/>
      <w:r w:rsidRPr="007E3A51">
        <w:rPr>
          <w:lang w:val="en-GB"/>
        </w:rPr>
        <w:t xml:space="preserve">, T., Sakhno, A., Novitska, L., Romanenko, S., &amp; </w:t>
      </w:r>
      <w:proofErr w:type="spellStart"/>
      <w:r w:rsidRPr="007E3A51">
        <w:rPr>
          <w:lang w:val="en-GB"/>
        </w:rPr>
        <w:t>Nitsenko</w:t>
      </w:r>
      <w:proofErr w:type="spellEnd"/>
      <w:r w:rsidRPr="007E3A51">
        <w:rPr>
          <w:lang w:val="en-GB"/>
        </w:rPr>
        <w:t xml:space="preserve">, V. (2025). Fertilizer Application as a Factor of Economic Security in Achieving Effective Land Use in the Conditions of Environmental Development. </w:t>
      </w:r>
      <w:proofErr w:type="spellStart"/>
      <w:r w:rsidRPr="007E3A51">
        <w:rPr>
          <w:i/>
          <w:iCs/>
          <w:lang w:val="en-GB"/>
        </w:rPr>
        <w:t>Rocznik</w:t>
      </w:r>
      <w:proofErr w:type="spellEnd"/>
      <w:r w:rsidRPr="007E3A51">
        <w:rPr>
          <w:i/>
          <w:iCs/>
          <w:lang w:val="en-GB"/>
        </w:rPr>
        <w:t xml:space="preserve"> </w:t>
      </w:r>
      <w:proofErr w:type="spellStart"/>
      <w:r w:rsidRPr="007E3A51">
        <w:rPr>
          <w:i/>
          <w:iCs/>
          <w:lang w:val="en-GB"/>
        </w:rPr>
        <w:t>Ochrona</w:t>
      </w:r>
      <w:proofErr w:type="spellEnd"/>
      <w:r w:rsidRPr="007E3A51">
        <w:rPr>
          <w:i/>
          <w:iCs/>
          <w:lang w:val="en-GB"/>
        </w:rPr>
        <w:t xml:space="preserve"> </w:t>
      </w:r>
      <w:proofErr w:type="spellStart"/>
      <w:r w:rsidRPr="007E3A51">
        <w:rPr>
          <w:i/>
          <w:iCs/>
          <w:lang w:val="en-GB"/>
        </w:rPr>
        <w:t>Środowiska</w:t>
      </w:r>
      <w:proofErr w:type="spellEnd"/>
      <w:r w:rsidRPr="007E3A51">
        <w:rPr>
          <w:lang w:val="en-GB"/>
        </w:rPr>
        <w:t xml:space="preserve">, </w:t>
      </w:r>
      <w:r w:rsidRPr="007E3A51">
        <w:rPr>
          <w:i/>
          <w:iCs/>
          <w:lang w:val="en-GB"/>
        </w:rPr>
        <w:t>27</w:t>
      </w:r>
      <w:r w:rsidRPr="007E3A51">
        <w:rPr>
          <w:lang w:val="en-GB"/>
        </w:rPr>
        <w:t xml:space="preserve">, 253-268. </w:t>
      </w:r>
      <w:hyperlink r:id="rId46" w:history="1">
        <w:r w:rsidRPr="007E3A51">
          <w:rPr>
            <w:rStyle w:val="Hipercze"/>
            <w:bCs/>
            <w:color w:val="auto"/>
            <w:u w:val="none"/>
            <w:lang w:val="en-GB"/>
          </w:rPr>
          <w:t>https://doi.org/10.54740/ros.2025.021</w:t>
        </w:r>
      </w:hyperlink>
    </w:p>
    <w:p w14:paraId="5590ED18" w14:textId="77777777" w:rsidR="003F3990" w:rsidRPr="007E3A51" w:rsidRDefault="003F3990" w:rsidP="00F80E61">
      <w:pPr>
        <w:pStyle w:val="Rlit"/>
        <w:rPr>
          <w:lang w:val="en-GB"/>
        </w:rPr>
      </w:pPr>
      <w:r w:rsidRPr="007E3A51">
        <w:rPr>
          <w:lang w:val="en-GB"/>
        </w:rPr>
        <w:t xml:space="preserve">Sudakov, M. &amp; </w:t>
      </w:r>
      <w:proofErr w:type="spellStart"/>
      <w:r w:rsidRPr="007E3A51">
        <w:rPr>
          <w:lang w:val="en-GB"/>
        </w:rPr>
        <w:t>Lisogor</w:t>
      </w:r>
      <w:proofErr w:type="spellEnd"/>
      <w:r w:rsidRPr="007E3A51">
        <w:rPr>
          <w:lang w:val="en-GB"/>
        </w:rPr>
        <w:t xml:space="preserve">, L. (2023). Labor Market of Ukraine 2022-2023: Status, Trends and Prospects. 168 p. Available at: </w:t>
      </w:r>
      <w:hyperlink r:id="rId47" w:history="1">
        <w:r w:rsidRPr="007E3A51">
          <w:rPr>
            <w:rStyle w:val="Hipercze"/>
            <w:color w:val="auto"/>
            <w:u w:val="none"/>
            <w:lang w:val="en-GB"/>
          </w:rPr>
          <w:t>https://solidarityfund.org.ua/wp-content/uploads/2023/04/ebrd_ukraine-lm-1.pdf</w:t>
        </w:r>
      </w:hyperlink>
      <w:r w:rsidRPr="007E3A51">
        <w:rPr>
          <w:lang w:val="en-GB"/>
        </w:rPr>
        <w:t xml:space="preserve"> </w:t>
      </w:r>
    </w:p>
    <w:p w14:paraId="33E49F0A" w14:textId="6C31F3F0" w:rsidR="003F3990" w:rsidRPr="007E3A51" w:rsidRDefault="003F3990" w:rsidP="00F80E61">
      <w:pPr>
        <w:pStyle w:val="Rlit"/>
        <w:rPr>
          <w:lang w:val="en-GB"/>
        </w:rPr>
      </w:pPr>
      <w:r w:rsidRPr="007E3A51">
        <w:rPr>
          <w:lang w:val="en-GB"/>
        </w:rPr>
        <w:t xml:space="preserve">Temporary Special Commission of the Verkhovna Rada of Ukraine on the Protection of Property and Non-Property Rights of Internally Displaced Persons and Other Persons Affected by the Armed Aggression of the Russian Federation against Ukraine (2024). Analytical report </w:t>
      </w:r>
      <w:r w:rsidR="005369B2" w:rsidRPr="007E3A51">
        <w:rPr>
          <w:lang w:val="en-GB"/>
        </w:rPr>
        <w:t>"</w:t>
      </w:r>
      <w:r w:rsidRPr="007E3A51">
        <w:rPr>
          <w:lang w:val="en-GB"/>
        </w:rPr>
        <w:t>Employment of internally displaced persons</w:t>
      </w:r>
      <w:r w:rsidR="005369B2" w:rsidRPr="007E3A51">
        <w:rPr>
          <w:lang w:val="en-GB"/>
        </w:rPr>
        <w:t>"</w:t>
      </w:r>
      <w:r w:rsidRPr="007E3A51">
        <w:rPr>
          <w:lang w:val="en-GB"/>
        </w:rPr>
        <w:t xml:space="preserve">. 23 p. Available at: </w:t>
      </w:r>
      <w:hyperlink r:id="rId48" w:history="1">
        <w:r w:rsidRPr="007E3A51">
          <w:rPr>
            <w:rStyle w:val="Hipercze"/>
            <w:color w:val="auto"/>
            <w:u w:val="none"/>
            <w:lang w:val="en-GB"/>
          </w:rPr>
          <w:t>https://www.rada.gov.ua/uploads/documents/75506.pdf</w:t>
        </w:r>
      </w:hyperlink>
      <w:r w:rsidRPr="007E3A51">
        <w:rPr>
          <w:lang w:val="en-GB"/>
        </w:rPr>
        <w:t xml:space="preserve"> </w:t>
      </w:r>
    </w:p>
    <w:p w14:paraId="64B61CFF" w14:textId="77777777" w:rsidR="003F3990" w:rsidRPr="007E3A51" w:rsidRDefault="003F3990" w:rsidP="00F80E61">
      <w:pPr>
        <w:pStyle w:val="Rlit"/>
        <w:rPr>
          <w:lang w:val="en-GB"/>
        </w:rPr>
      </w:pPr>
      <w:r w:rsidRPr="007E3A51">
        <w:rPr>
          <w:lang w:val="en-GB"/>
        </w:rPr>
        <w:t xml:space="preserve">The Associated Press (2023). Ukraine admitted into UN fund that supports small farmers. Available at: </w:t>
      </w:r>
      <w:hyperlink r:id="rId49" w:history="1">
        <w:r w:rsidRPr="007E3A51">
          <w:rPr>
            <w:rStyle w:val="Hipercze"/>
            <w:color w:val="auto"/>
            <w:u w:val="none"/>
            <w:lang w:val="en-GB"/>
          </w:rPr>
          <w:t>https://apnews.com/article/italy-business-poverty-ed8c925d906b3fc66c8ed78488f6d35d</w:t>
        </w:r>
      </w:hyperlink>
      <w:r w:rsidRPr="007E3A51">
        <w:rPr>
          <w:lang w:val="en-GB"/>
        </w:rPr>
        <w:t xml:space="preserve"> </w:t>
      </w:r>
    </w:p>
    <w:p w14:paraId="39833EB9" w14:textId="77777777" w:rsidR="003F3990" w:rsidRPr="007E3A51" w:rsidRDefault="003F3990" w:rsidP="00A649BB">
      <w:pPr>
        <w:pStyle w:val="Rlit"/>
        <w:jc w:val="left"/>
        <w:rPr>
          <w:lang w:val="en-GB"/>
        </w:rPr>
      </w:pPr>
      <w:r w:rsidRPr="007E3A51">
        <w:rPr>
          <w:lang w:val="en-GB"/>
        </w:rPr>
        <w:t xml:space="preserve">The World Bank (2023). Ukraine Agriculture Recovery Inclusive Support Emergency Project (ARISE). Project Information Document. Report No: PIDA35885. Available at: </w:t>
      </w:r>
      <w:hyperlink r:id="rId50" w:history="1">
        <w:r w:rsidRPr="007E3A51">
          <w:rPr>
            <w:rStyle w:val="Hipercze"/>
            <w:color w:val="auto"/>
            <w:u w:val="none"/>
            <w:lang w:val="en-GB"/>
          </w:rPr>
          <w:t>https://documents1.worldbank.org/curated/en/099072923124580381/pdf/P1807320fca7960a08a3a0ac96e3c3a2e8.pdf</w:t>
        </w:r>
      </w:hyperlink>
      <w:r w:rsidRPr="007E3A51">
        <w:rPr>
          <w:lang w:val="en-GB"/>
        </w:rPr>
        <w:t xml:space="preserve"> </w:t>
      </w:r>
    </w:p>
    <w:p w14:paraId="7B0A221C" w14:textId="77777777" w:rsidR="003F3990" w:rsidRPr="007E3A51" w:rsidRDefault="003F3990" w:rsidP="00F80E61">
      <w:pPr>
        <w:pStyle w:val="Rlit"/>
        <w:rPr>
          <w:lang w:val="en-GB"/>
        </w:rPr>
      </w:pPr>
      <w:r w:rsidRPr="007E3A51">
        <w:rPr>
          <w:shd w:val="clear" w:color="auto" w:fill="FFFFFF"/>
          <w:lang w:val="en-GB"/>
        </w:rPr>
        <w:t xml:space="preserve">Tul, S., </w:t>
      </w:r>
      <w:proofErr w:type="spellStart"/>
      <w:r w:rsidRPr="007E3A51">
        <w:rPr>
          <w:shd w:val="clear" w:color="auto" w:fill="FFFFFF"/>
          <w:lang w:val="en-GB"/>
        </w:rPr>
        <w:t>Samoilyk</w:t>
      </w:r>
      <w:proofErr w:type="spellEnd"/>
      <w:r w:rsidRPr="007E3A51">
        <w:rPr>
          <w:shd w:val="clear" w:color="auto" w:fill="FFFFFF"/>
          <w:lang w:val="en-GB"/>
        </w:rPr>
        <w:t xml:space="preserve">, I., Klymenko, V., &amp; </w:t>
      </w:r>
      <w:proofErr w:type="spellStart"/>
      <w:r w:rsidRPr="007E3A51">
        <w:rPr>
          <w:shd w:val="clear" w:color="auto" w:fill="FFFFFF"/>
          <w:lang w:val="en-GB"/>
        </w:rPr>
        <w:t>Shkurupii</w:t>
      </w:r>
      <w:proofErr w:type="spellEnd"/>
      <w:r w:rsidRPr="007E3A51">
        <w:rPr>
          <w:shd w:val="clear" w:color="auto" w:fill="FFFFFF"/>
          <w:lang w:val="en-GB"/>
        </w:rPr>
        <w:t>, O. (2023). Transformation of the Ukrainian Agri-Food Industry in the Context of Global Digitalization.</w:t>
      </w:r>
      <w:r w:rsidRPr="007E3A51">
        <w:rPr>
          <w:rStyle w:val="apple-converted-space"/>
          <w:shd w:val="clear" w:color="auto" w:fill="FFFFFF"/>
          <w:lang w:val="en-GB"/>
        </w:rPr>
        <w:t> </w:t>
      </w:r>
      <w:r w:rsidRPr="007E3A51">
        <w:rPr>
          <w:rStyle w:val="Uwydatnienie"/>
          <w:lang w:val="en-GB"/>
        </w:rPr>
        <w:t>Engineering Proceedings</w:t>
      </w:r>
      <w:r w:rsidRPr="007E3A51">
        <w:rPr>
          <w:shd w:val="clear" w:color="auto" w:fill="FFFFFF"/>
          <w:lang w:val="en-GB"/>
        </w:rPr>
        <w:t>,</w:t>
      </w:r>
      <w:r w:rsidRPr="007E3A51">
        <w:rPr>
          <w:rStyle w:val="apple-converted-space"/>
          <w:shd w:val="clear" w:color="auto" w:fill="FFFFFF"/>
          <w:lang w:val="en-GB"/>
        </w:rPr>
        <w:t xml:space="preserve"> </w:t>
      </w:r>
      <w:r w:rsidRPr="007E3A51">
        <w:rPr>
          <w:rStyle w:val="Uwydatnienie"/>
          <w:lang w:val="en-GB"/>
        </w:rPr>
        <w:t>40</w:t>
      </w:r>
      <w:r w:rsidRPr="007E3A51">
        <w:rPr>
          <w:shd w:val="clear" w:color="auto" w:fill="FFFFFF"/>
          <w:lang w:val="en-GB"/>
        </w:rPr>
        <w:t xml:space="preserve">(1), 26. </w:t>
      </w:r>
      <w:hyperlink r:id="rId51" w:history="1">
        <w:r w:rsidRPr="007E3A51">
          <w:rPr>
            <w:rStyle w:val="Hipercze"/>
            <w:color w:val="auto"/>
            <w:u w:val="none"/>
            <w:shd w:val="clear" w:color="auto" w:fill="FFFFFF"/>
            <w:lang w:val="en-GB"/>
          </w:rPr>
          <w:t>https://doi.org/10.3390/engproc2023040026</w:t>
        </w:r>
      </w:hyperlink>
    </w:p>
    <w:p w14:paraId="4ECB8362" w14:textId="77777777" w:rsidR="003F3990" w:rsidRPr="007E3A51" w:rsidRDefault="003F3990" w:rsidP="00A649BB">
      <w:pPr>
        <w:pStyle w:val="Rlit"/>
        <w:jc w:val="left"/>
        <w:rPr>
          <w:lang w:val="en-GB"/>
        </w:rPr>
      </w:pPr>
      <w:r w:rsidRPr="007E3A51">
        <w:rPr>
          <w:lang w:val="en-GB"/>
        </w:rPr>
        <w:t xml:space="preserve">Vesco, P., </w:t>
      </w:r>
      <w:proofErr w:type="spellStart"/>
      <w:r w:rsidRPr="007E3A51">
        <w:rPr>
          <w:lang w:val="en-GB"/>
        </w:rPr>
        <w:t>Baliki</w:t>
      </w:r>
      <w:proofErr w:type="spellEnd"/>
      <w:r w:rsidRPr="007E3A51">
        <w:rPr>
          <w:lang w:val="en-GB"/>
        </w:rPr>
        <w:t>, G., Brück, T., Döring, S., Eriksson, A., Fjelde, H, Guha-Sapir, D. et al. (2025). The Impacts of Armed Conflict on Human Development: A Review of the Literature.</w:t>
      </w:r>
      <w:r w:rsidRPr="007E3A51">
        <w:rPr>
          <w:rStyle w:val="apple-converted-space"/>
          <w:rFonts w:eastAsiaTheme="majorEastAsia"/>
          <w:lang w:val="en-GB"/>
        </w:rPr>
        <w:t xml:space="preserve"> </w:t>
      </w:r>
      <w:r w:rsidRPr="007E3A51">
        <w:rPr>
          <w:rStyle w:val="citationsource-journal"/>
          <w:rFonts w:eastAsiaTheme="majorEastAsia"/>
          <w:i/>
          <w:iCs/>
          <w:lang w:val="en-GB"/>
        </w:rPr>
        <w:t>World Development</w:t>
      </w:r>
      <w:r w:rsidRPr="007E3A51">
        <w:rPr>
          <w:rStyle w:val="apple-converted-space"/>
          <w:rFonts w:eastAsiaTheme="majorEastAsia"/>
          <w:lang w:val="en-GB"/>
        </w:rPr>
        <w:t xml:space="preserve">, </w:t>
      </w:r>
      <w:r w:rsidRPr="007E3A51">
        <w:rPr>
          <w:i/>
          <w:iCs/>
          <w:lang w:val="en-GB"/>
        </w:rPr>
        <w:t>187</w:t>
      </w:r>
      <w:r w:rsidRPr="007E3A51">
        <w:rPr>
          <w:lang w:val="en-GB"/>
        </w:rPr>
        <w:t xml:space="preserve">, 106806. </w:t>
      </w:r>
      <w:hyperlink r:id="rId52" w:history="1">
        <w:r w:rsidRPr="007E3A51">
          <w:rPr>
            <w:rStyle w:val="Hipercze"/>
            <w:color w:val="auto"/>
            <w:u w:val="none"/>
            <w:lang w:val="en-GB"/>
          </w:rPr>
          <w:t>https://doi.org/10.1016/j.worlddev.2024.106806</w:t>
        </w:r>
      </w:hyperlink>
    </w:p>
    <w:p w14:paraId="707C2023" w14:textId="77777777" w:rsidR="003F3990" w:rsidRPr="007E3A51" w:rsidRDefault="003F3990" w:rsidP="00F80E61">
      <w:pPr>
        <w:pStyle w:val="Rlit"/>
        <w:rPr>
          <w:lang w:val="en-GB"/>
        </w:rPr>
      </w:pPr>
      <w:r w:rsidRPr="007E3A51">
        <w:rPr>
          <w:lang w:val="en-GB"/>
        </w:rPr>
        <w:lastRenderedPageBreak/>
        <w:t>von Cramon-</w:t>
      </w:r>
      <w:proofErr w:type="spellStart"/>
      <w:r w:rsidRPr="007E3A51">
        <w:rPr>
          <w:lang w:val="en-GB"/>
        </w:rPr>
        <w:t>Taubadel</w:t>
      </w:r>
      <w:proofErr w:type="spellEnd"/>
      <w:r w:rsidRPr="007E3A51">
        <w:rPr>
          <w:lang w:val="en-GB"/>
        </w:rPr>
        <w:t xml:space="preserve">, S., &amp; </w:t>
      </w:r>
      <w:proofErr w:type="spellStart"/>
      <w:r w:rsidRPr="007E3A51">
        <w:rPr>
          <w:lang w:val="en-GB"/>
        </w:rPr>
        <w:t>Nivievskyi</w:t>
      </w:r>
      <w:proofErr w:type="spellEnd"/>
      <w:r w:rsidRPr="007E3A51">
        <w:rPr>
          <w:lang w:val="en-GB"/>
        </w:rPr>
        <w:t xml:space="preserve">, O. (2023). Rebuilding Ukraine: The agricultural perspective. </w:t>
      </w:r>
      <w:proofErr w:type="spellStart"/>
      <w:r w:rsidRPr="007E3A51">
        <w:rPr>
          <w:i/>
          <w:iCs/>
          <w:lang w:val="en-GB"/>
        </w:rPr>
        <w:t>EconPol</w:t>
      </w:r>
      <w:proofErr w:type="spellEnd"/>
      <w:r w:rsidRPr="007E3A51">
        <w:rPr>
          <w:i/>
          <w:iCs/>
          <w:lang w:val="en-GB"/>
        </w:rPr>
        <w:t xml:space="preserve"> Forum</w:t>
      </w:r>
      <w:r w:rsidRPr="007E3A51">
        <w:rPr>
          <w:lang w:val="en-GB"/>
        </w:rPr>
        <w:t xml:space="preserve">, </w:t>
      </w:r>
      <w:r w:rsidRPr="007E3A51">
        <w:rPr>
          <w:i/>
          <w:iCs/>
          <w:lang w:val="en-GB"/>
        </w:rPr>
        <w:t>24</w:t>
      </w:r>
      <w:r w:rsidRPr="007E3A51">
        <w:rPr>
          <w:lang w:val="en-GB"/>
        </w:rPr>
        <w:t>(2), 36-40. Available at: https://hdl.handle.net/10419/272165</w:t>
      </w:r>
    </w:p>
    <w:p w14:paraId="64E9E13D" w14:textId="77777777" w:rsidR="003F3990" w:rsidRPr="007E3A51" w:rsidRDefault="003F3990" w:rsidP="00A649BB">
      <w:pPr>
        <w:pStyle w:val="Rlit"/>
        <w:jc w:val="left"/>
        <w:rPr>
          <w:lang w:val="en-GB"/>
        </w:rPr>
      </w:pPr>
      <w:r w:rsidRPr="007E3A51">
        <w:rPr>
          <w:lang w:val="en-GB"/>
        </w:rPr>
        <w:t>World Bank Group (</w:t>
      </w:r>
      <w:proofErr w:type="spellStart"/>
      <w:r w:rsidRPr="007E3A51">
        <w:rPr>
          <w:lang w:val="en-GB"/>
        </w:rPr>
        <w:t>n.a.</w:t>
      </w:r>
      <w:proofErr w:type="spellEnd"/>
      <w:r w:rsidRPr="007E3A51">
        <w:rPr>
          <w:lang w:val="en-GB"/>
        </w:rPr>
        <w:t xml:space="preserve">). What is Food Security? Available at: </w:t>
      </w:r>
      <w:hyperlink r:id="rId53" w:history="1">
        <w:r w:rsidRPr="007E3A51">
          <w:rPr>
            <w:rStyle w:val="Hipercze"/>
            <w:color w:val="auto"/>
            <w:u w:val="none"/>
            <w:lang w:val="en-GB"/>
          </w:rPr>
          <w:t>https://www.worldbank.org/en/topic/agriculture/brief/food-security-update/what-is-food-security</w:t>
        </w:r>
      </w:hyperlink>
      <w:r w:rsidRPr="007E3A51">
        <w:rPr>
          <w:rStyle w:val="Hipercze"/>
          <w:color w:val="auto"/>
          <w:u w:val="none"/>
          <w:lang w:val="en-GB"/>
        </w:rPr>
        <w:t xml:space="preserve"> </w:t>
      </w:r>
    </w:p>
    <w:p w14:paraId="7B72CB2E" w14:textId="77777777" w:rsidR="003F3990" w:rsidRPr="007E3A51" w:rsidRDefault="003F3990" w:rsidP="00F80E61">
      <w:pPr>
        <w:pStyle w:val="Rlit"/>
        <w:rPr>
          <w:lang w:val="en-GB"/>
        </w:rPr>
      </w:pPr>
      <w:r w:rsidRPr="007E3A51">
        <w:rPr>
          <w:lang w:val="en-GB"/>
        </w:rPr>
        <w:t xml:space="preserve">World Bank Group. Available at: </w:t>
      </w:r>
      <w:hyperlink r:id="rId54" w:history="1">
        <w:r w:rsidRPr="007E3A51">
          <w:rPr>
            <w:rStyle w:val="Hipercze"/>
            <w:color w:val="auto"/>
            <w:u w:val="none"/>
            <w:lang w:val="en-GB"/>
          </w:rPr>
          <w:t>https://data.worldbank.org/indicator/SN.ITK.DEFC.ZS</w:t>
        </w:r>
      </w:hyperlink>
    </w:p>
    <w:p w14:paraId="7DE9A4BC" w14:textId="77777777" w:rsidR="003F3990" w:rsidRPr="007E3A51" w:rsidRDefault="003F3990" w:rsidP="00F80E61">
      <w:pPr>
        <w:pStyle w:val="Rlit"/>
        <w:rPr>
          <w:lang w:val="en-GB"/>
        </w:rPr>
      </w:pPr>
      <w:r w:rsidRPr="007E3A51">
        <w:rPr>
          <w:lang w:val="en-GB"/>
        </w:rPr>
        <w:t xml:space="preserve">World Food Programme (2025a). Food security – what it means and why it matters. Available at: </w:t>
      </w:r>
      <w:hyperlink r:id="rId55" w:history="1">
        <w:r w:rsidRPr="007E3A51">
          <w:rPr>
            <w:rStyle w:val="Hipercze"/>
            <w:color w:val="auto"/>
            <w:u w:val="none"/>
            <w:lang w:val="en-GB"/>
          </w:rPr>
          <w:t>https://www.wfp.org/stories/food-security-what-it-means-and-why-it-matters</w:t>
        </w:r>
      </w:hyperlink>
      <w:r w:rsidRPr="007E3A51">
        <w:rPr>
          <w:lang w:val="en-GB"/>
        </w:rPr>
        <w:t xml:space="preserve"> </w:t>
      </w:r>
    </w:p>
    <w:p w14:paraId="0761B869" w14:textId="5A07ED1B" w:rsidR="003F3990" w:rsidRPr="007E3A51" w:rsidRDefault="003F3990" w:rsidP="00F80E61">
      <w:pPr>
        <w:pStyle w:val="Rlit"/>
        <w:rPr>
          <w:lang w:val="en-GB"/>
        </w:rPr>
      </w:pPr>
      <w:r w:rsidRPr="007E3A51">
        <w:rPr>
          <w:lang w:val="en-GB"/>
        </w:rPr>
        <w:t xml:space="preserve">World Food Programme (2025b). Ukraine. Available at: </w:t>
      </w:r>
      <w:hyperlink r:id="rId56" w:history="1">
        <w:r w:rsidRPr="007E3A51">
          <w:rPr>
            <w:rStyle w:val="Hipercze"/>
            <w:color w:val="auto"/>
            <w:u w:val="none"/>
            <w:lang w:val="en-GB"/>
          </w:rPr>
          <w:t>https://www.wfp.org/emergencies/ukraine-emergency</w:t>
        </w:r>
      </w:hyperlink>
    </w:p>
    <w:sectPr w:rsidR="003F3990" w:rsidRPr="007E3A51" w:rsidSect="00B360FA">
      <w:headerReference w:type="even" r:id="rId57"/>
      <w:headerReference w:type="default" r:id="rId58"/>
      <w:footerReference w:type="first" r:id="rId59"/>
      <w:pgSz w:w="11906" w:h="16838" w:code="9"/>
      <w:pgMar w:top="1134" w:right="1134" w:bottom="1134" w:left="1134" w:header="567" w:footer="567" w:gutter="0"/>
      <w:pgNumType w:start="55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0B9D8" w14:textId="77777777" w:rsidR="005D322C" w:rsidRDefault="005D322C" w:rsidP="007509FD">
      <w:pPr>
        <w:spacing w:after="0" w:line="240" w:lineRule="auto"/>
      </w:pPr>
      <w:r>
        <w:separator/>
      </w:r>
    </w:p>
  </w:endnote>
  <w:endnote w:type="continuationSeparator" w:id="0">
    <w:p w14:paraId="7041DBC0" w14:textId="77777777" w:rsidR="005D322C" w:rsidRDefault="005D322C" w:rsidP="00750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5387"/>
    </w:tblGrid>
    <w:tr w:rsidR="007509FD" w:rsidRPr="001742EE" w14:paraId="0F91A455" w14:textId="77777777" w:rsidTr="008E046E">
      <w:trPr>
        <w:trHeight w:val="261"/>
      </w:trPr>
      <w:tc>
        <w:tcPr>
          <w:tcW w:w="1384" w:type="dxa"/>
          <w:vAlign w:val="center"/>
        </w:tcPr>
        <w:p w14:paraId="08F04A5E" w14:textId="77777777" w:rsidR="007509FD" w:rsidRPr="001742EE" w:rsidRDefault="007509FD" w:rsidP="007509FD">
          <w:pPr>
            <w:rPr>
              <w:rFonts w:ascii="Times New Roman" w:hAnsi="Times New Roman" w:cs="Times New Roman"/>
            </w:rPr>
          </w:pPr>
          <w:r w:rsidRPr="001742EE">
            <w:rPr>
              <w:rFonts w:ascii="Times New Roman" w:hAnsi="Times New Roman" w:cs="Times New Roman"/>
              <w:noProof/>
              <w:lang w:val="tr-TR" w:eastAsia="tr-TR"/>
            </w:rPr>
            <w:drawing>
              <wp:inline distT="0" distB="0" distL="0" distR="0" wp14:anchorId="58F23FDD" wp14:editId="6088DCC5">
                <wp:extent cx="682388" cy="239947"/>
                <wp:effectExtent l="0" t="0" r="0" b="0"/>
                <wp:docPr id="2" name="Obraz 37" descr="C:\Users\Tomek-Praca\AppData\Local\Microsoft\Windows\INetCache\Content.MSO\6854E8B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ek-Praca\AppData\Local\Microsoft\Windows\INetCache\Content.MSO\6854E8BE.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2102" cy="282042"/>
                        </a:xfrm>
                        <a:prstGeom prst="rect">
                          <a:avLst/>
                        </a:prstGeom>
                        <a:noFill/>
                        <a:ln>
                          <a:noFill/>
                        </a:ln>
                      </pic:spPr>
                    </pic:pic>
                  </a:graphicData>
                </a:graphic>
              </wp:inline>
            </w:drawing>
          </w:r>
        </w:p>
      </w:tc>
      <w:tc>
        <w:tcPr>
          <w:tcW w:w="5387" w:type="dxa"/>
          <w:vAlign w:val="center"/>
        </w:tcPr>
        <w:p w14:paraId="0561AF60" w14:textId="77777777" w:rsidR="007509FD" w:rsidRPr="001742EE" w:rsidRDefault="007509FD" w:rsidP="007509FD">
          <w:pPr>
            <w:rPr>
              <w:rFonts w:ascii="Times New Roman" w:hAnsi="Times New Roman" w:cs="Times New Roman"/>
              <w:sz w:val="18"/>
              <w:szCs w:val="18"/>
            </w:rPr>
          </w:pPr>
          <w:r w:rsidRPr="001742EE">
            <w:rPr>
              <w:rFonts w:ascii="Times New Roman" w:hAnsi="Times New Roman" w:cs="Times New Roman"/>
              <w:sz w:val="18"/>
              <w:szCs w:val="18"/>
            </w:rPr>
            <w:t>© 2025. Author(s). This work is licensed under a Creative Commons Attribution 4.0 International License (CC BY-SA)</w:t>
          </w:r>
        </w:p>
      </w:tc>
    </w:tr>
  </w:tbl>
  <w:p w14:paraId="615A1C08" w14:textId="77777777" w:rsidR="007509FD" w:rsidRPr="002F5F59" w:rsidRDefault="007509FD" w:rsidP="007509FD">
    <w:pPr>
      <w:pStyle w:val="Stopka"/>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B9441" w14:textId="77777777" w:rsidR="005D322C" w:rsidRDefault="005D322C" w:rsidP="007509FD">
      <w:pPr>
        <w:spacing w:after="0" w:line="240" w:lineRule="auto"/>
      </w:pPr>
      <w:r>
        <w:separator/>
      </w:r>
    </w:p>
  </w:footnote>
  <w:footnote w:type="continuationSeparator" w:id="0">
    <w:p w14:paraId="3240B2AA" w14:textId="77777777" w:rsidR="005D322C" w:rsidRDefault="005D322C" w:rsidP="00750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7509FD" w:rsidRPr="00007E12" w14:paraId="7BD32EBA" w14:textId="77777777" w:rsidTr="008E046E">
      <w:trPr>
        <w:trHeight w:hRule="exact" w:val="284"/>
      </w:trPr>
      <w:tc>
        <w:tcPr>
          <w:tcW w:w="397" w:type="dxa"/>
          <w:vAlign w:val="center"/>
        </w:tcPr>
        <w:p w14:paraId="4994B223" w14:textId="77777777" w:rsidR="007509FD" w:rsidRPr="00007E12" w:rsidRDefault="007509FD" w:rsidP="007509FD">
          <w:pPr>
            <w:pStyle w:val="Nagwek"/>
            <w:rPr>
              <w:rFonts w:ascii="Arial" w:hAnsi="Arial" w:cs="Arial"/>
              <w:i/>
              <w:sz w:val="20"/>
              <w:lang w:val="en-GB"/>
            </w:rPr>
          </w:pPr>
          <w:r w:rsidRPr="00007E12">
            <w:rPr>
              <w:rFonts w:ascii="Arial" w:hAnsi="Arial" w:cs="Arial"/>
              <w:sz w:val="20"/>
              <w:lang w:val="en-GB"/>
            </w:rPr>
            <w:fldChar w:fldCharType="begin"/>
          </w:r>
          <w:r w:rsidRPr="00007E12">
            <w:rPr>
              <w:rFonts w:ascii="Arial" w:hAnsi="Arial" w:cs="Arial"/>
              <w:sz w:val="20"/>
              <w:lang w:val="en-GB"/>
            </w:rPr>
            <w:instrText xml:space="preserve"> PAGE   \* MERGEFORMAT </w:instrText>
          </w:r>
          <w:r w:rsidRPr="00007E12">
            <w:rPr>
              <w:rFonts w:ascii="Arial" w:hAnsi="Arial" w:cs="Arial"/>
              <w:sz w:val="20"/>
              <w:lang w:val="en-GB"/>
            </w:rPr>
            <w:fldChar w:fldCharType="separate"/>
          </w:r>
          <w:r>
            <w:rPr>
              <w:rFonts w:ascii="Arial" w:hAnsi="Arial" w:cs="Arial"/>
              <w:sz w:val="20"/>
              <w:lang w:val="en-GB"/>
            </w:rPr>
            <w:t>254</w:t>
          </w:r>
          <w:r w:rsidRPr="00007E12">
            <w:rPr>
              <w:rFonts w:ascii="Arial" w:hAnsi="Arial" w:cs="Arial"/>
              <w:sz w:val="20"/>
              <w:lang w:val="en-GB"/>
            </w:rPr>
            <w:fldChar w:fldCharType="end"/>
          </w:r>
        </w:p>
      </w:tc>
      <w:tc>
        <w:tcPr>
          <w:tcW w:w="9242" w:type="dxa"/>
          <w:vAlign w:val="center"/>
        </w:tcPr>
        <w:p w14:paraId="6882C52D" w14:textId="2FEBBD16" w:rsidR="007509FD" w:rsidRPr="00007E12" w:rsidRDefault="007509FD" w:rsidP="007509FD">
          <w:pPr>
            <w:pStyle w:val="Nagwek"/>
            <w:jc w:val="center"/>
            <w:rPr>
              <w:rFonts w:ascii="Arial" w:hAnsi="Arial" w:cs="Arial"/>
              <w:i/>
              <w:sz w:val="20"/>
              <w:lang w:val="en-GB"/>
            </w:rPr>
          </w:pPr>
          <w:proofErr w:type="spellStart"/>
          <w:r w:rsidRPr="007509FD">
            <w:rPr>
              <w:rFonts w:ascii="Arial" w:hAnsi="Arial" w:cs="Arial"/>
              <w:i/>
              <w:sz w:val="20"/>
              <w:lang w:val="en-GB"/>
            </w:rPr>
            <w:t>Lidiia</w:t>
          </w:r>
          <w:proofErr w:type="spellEnd"/>
          <w:r w:rsidRPr="007509FD">
            <w:rPr>
              <w:rFonts w:ascii="Arial" w:hAnsi="Arial" w:cs="Arial"/>
              <w:i/>
              <w:sz w:val="20"/>
              <w:lang w:val="en-GB"/>
            </w:rPr>
            <w:t xml:space="preserve"> Shynkaruk</w:t>
          </w:r>
          <w:r>
            <w:rPr>
              <w:rFonts w:ascii="Arial" w:hAnsi="Arial" w:cs="Arial"/>
              <w:i/>
              <w:sz w:val="20"/>
              <w:lang w:val="en-GB"/>
            </w:rPr>
            <w:t xml:space="preserve"> et al.</w:t>
          </w:r>
        </w:p>
      </w:tc>
    </w:tr>
  </w:tbl>
  <w:p w14:paraId="6FB49E89" w14:textId="77777777" w:rsidR="007509FD" w:rsidRPr="00007E12" w:rsidRDefault="007509FD" w:rsidP="007509FD">
    <w:pPr>
      <w:pStyle w:val="Nagwek"/>
      <w:rPr>
        <w:sz w:val="6"/>
        <w:szCs w:val="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7509FD" w:rsidRPr="00007E12" w14:paraId="2E18AABC" w14:textId="77777777" w:rsidTr="008E046E">
      <w:trPr>
        <w:trHeight w:hRule="exact" w:val="284"/>
        <w:jc w:val="right"/>
      </w:trPr>
      <w:tc>
        <w:tcPr>
          <w:tcW w:w="9243" w:type="dxa"/>
          <w:vAlign w:val="center"/>
        </w:tcPr>
        <w:p w14:paraId="0E3C474C" w14:textId="730CFDBC" w:rsidR="007509FD" w:rsidRPr="00007E12" w:rsidRDefault="00B360FA" w:rsidP="007509FD">
          <w:pPr>
            <w:pStyle w:val="Nagwek"/>
            <w:jc w:val="center"/>
            <w:rPr>
              <w:rFonts w:ascii="Arial" w:hAnsi="Arial" w:cs="Arial"/>
              <w:i/>
              <w:sz w:val="20"/>
              <w:szCs w:val="16"/>
              <w:lang w:val="en-GB"/>
            </w:rPr>
          </w:pPr>
          <w:r w:rsidRPr="00B360FA">
            <w:rPr>
              <w:rFonts w:ascii="Arial" w:hAnsi="Arial" w:cs="Arial"/>
              <w:i/>
              <w:sz w:val="20"/>
              <w:szCs w:val="16"/>
              <w:lang w:val="en-GB"/>
            </w:rPr>
            <w:t>Food Security and the Agri-Food Sector of Ukraine: an Inclusive Approach</w:t>
          </w:r>
        </w:p>
      </w:tc>
      <w:tc>
        <w:tcPr>
          <w:tcW w:w="397" w:type="dxa"/>
          <w:vAlign w:val="center"/>
        </w:tcPr>
        <w:p w14:paraId="3987E994" w14:textId="77777777" w:rsidR="007509FD" w:rsidRPr="00007E12" w:rsidRDefault="007509FD" w:rsidP="007509FD">
          <w:pPr>
            <w:pStyle w:val="Nagwek"/>
            <w:jc w:val="right"/>
            <w:rPr>
              <w:rFonts w:ascii="Arial" w:hAnsi="Arial" w:cs="Arial"/>
              <w:i/>
              <w:sz w:val="20"/>
              <w:szCs w:val="16"/>
              <w:lang w:val="en-GB"/>
            </w:rPr>
          </w:pPr>
          <w:r w:rsidRPr="00007E12">
            <w:rPr>
              <w:rFonts w:ascii="Arial" w:hAnsi="Arial" w:cs="Arial"/>
              <w:sz w:val="20"/>
              <w:szCs w:val="16"/>
              <w:lang w:val="en-GB"/>
            </w:rPr>
            <w:fldChar w:fldCharType="begin"/>
          </w:r>
          <w:r w:rsidRPr="00007E12">
            <w:rPr>
              <w:rFonts w:ascii="Arial" w:hAnsi="Arial" w:cs="Arial"/>
              <w:sz w:val="20"/>
              <w:szCs w:val="16"/>
              <w:lang w:val="en-GB"/>
            </w:rPr>
            <w:instrText xml:space="preserve"> PAGE   \* MERGEFORMAT </w:instrText>
          </w:r>
          <w:r w:rsidRPr="00007E12">
            <w:rPr>
              <w:rFonts w:ascii="Arial" w:hAnsi="Arial" w:cs="Arial"/>
              <w:sz w:val="20"/>
              <w:szCs w:val="16"/>
              <w:lang w:val="en-GB"/>
            </w:rPr>
            <w:fldChar w:fldCharType="separate"/>
          </w:r>
          <w:r>
            <w:rPr>
              <w:rFonts w:ascii="Arial" w:hAnsi="Arial" w:cs="Arial"/>
              <w:sz w:val="20"/>
              <w:szCs w:val="16"/>
              <w:lang w:val="en-GB"/>
            </w:rPr>
            <w:t>255</w:t>
          </w:r>
          <w:r w:rsidRPr="00007E12">
            <w:rPr>
              <w:rFonts w:ascii="Arial" w:hAnsi="Arial" w:cs="Arial"/>
              <w:sz w:val="20"/>
              <w:szCs w:val="16"/>
              <w:lang w:val="en-GB"/>
            </w:rPr>
            <w:fldChar w:fldCharType="end"/>
          </w:r>
        </w:p>
      </w:tc>
    </w:tr>
  </w:tbl>
  <w:p w14:paraId="035AAB38" w14:textId="77777777" w:rsidR="007509FD" w:rsidRPr="00007E12" w:rsidRDefault="007509FD" w:rsidP="007509FD">
    <w:pPr>
      <w:pStyle w:val="Nagwek"/>
      <w:rPr>
        <w:rFonts w:ascii="Arial" w:hAnsi="Arial" w:cs="Arial"/>
        <w:sz w:val="6"/>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05384"/>
    <w:multiLevelType w:val="hybridMultilevel"/>
    <w:tmpl w:val="168A2C40"/>
    <w:lvl w:ilvl="0" w:tplc="B8A88D88">
      <w:start w:val="1"/>
      <w:numFmt w:val="bullet"/>
      <w:suff w:val="space"/>
      <w:lvlText w:val=""/>
      <w:lvlJc w:val="left"/>
      <w:pPr>
        <w:ind w:left="0" w:firstLine="567"/>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323969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mirrorMargins/>
  <w:hideSpellingErrors/>
  <w:hideGrammaticalErrors/>
  <w:proofState w:spelling="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2NDQ0MjQyMLU0M7BU0lEKTi0uzszPAykwrAUASvyDKywAAAA="/>
  </w:docVars>
  <w:rsids>
    <w:rsidRoot w:val="00110BAB"/>
    <w:rsid w:val="0000041B"/>
    <w:rsid w:val="00002652"/>
    <w:rsid w:val="0000280D"/>
    <w:rsid w:val="00003367"/>
    <w:rsid w:val="00003BE3"/>
    <w:rsid w:val="000040FA"/>
    <w:rsid w:val="000041A8"/>
    <w:rsid w:val="0000424D"/>
    <w:rsid w:val="000045C9"/>
    <w:rsid w:val="000049E6"/>
    <w:rsid w:val="00004E83"/>
    <w:rsid w:val="00004F2B"/>
    <w:rsid w:val="00005307"/>
    <w:rsid w:val="0000531A"/>
    <w:rsid w:val="00007A27"/>
    <w:rsid w:val="00007C4E"/>
    <w:rsid w:val="000102D8"/>
    <w:rsid w:val="00011CFE"/>
    <w:rsid w:val="00012006"/>
    <w:rsid w:val="00012831"/>
    <w:rsid w:val="00015080"/>
    <w:rsid w:val="0001514C"/>
    <w:rsid w:val="00015219"/>
    <w:rsid w:val="00015A93"/>
    <w:rsid w:val="000168E8"/>
    <w:rsid w:val="00016CDA"/>
    <w:rsid w:val="000218A9"/>
    <w:rsid w:val="00021D0A"/>
    <w:rsid w:val="00021EF7"/>
    <w:rsid w:val="00023191"/>
    <w:rsid w:val="000253B3"/>
    <w:rsid w:val="00025FA4"/>
    <w:rsid w:val="00026E86"/>
    <w:rsid w:val="000279DF"/>
    <w:rsid w:val="000311DC"/>
    <w:rsid w:val="000315B0"/>
    <w:rsid w:val="00031E47"/>
    <w:rsid w:val="00032829"/>
    <w:rsid w:val="000344B6"/>
    <w:rsid w:val="0003719E"/>
    <w:rsid w:val="00040367"/>
    <w:rsid w:val="00041CBC"/>
    <w:rsid w:val="00043A82"/>
    <w:rsid w:val="00044B25"/>
    <w:rsid w:val="00044ED5"/>
    <w:rsid w:val="00045A12"/>
    <w:rsid w:val="00045D5B"/>
    <w:rsid w:val="00046A9A"/>
    <w:rsid w:val="00047168"/>
    <w:rsid w:val="0004767C"/>
    <w:rsid w:val="000519AE"/>
    <w:rsid w:val="0005242A"/>
    <w:rsid w:val="0005278C"/>
    <w:rsid w:val="0005342A"/>
    <w:rsid w:val="000536BC"/>
    <w:rsid w:val="00053B87"/>
    <w:rsid w:val="00054CA4"/>
    <w:rsid w:val="00054FC6"/>
    <w:rsid w:val="00055EB2"/>
    <w:rsid w:val="00056927"/>
    <w:rsid w:val="00057F11"/>
    <w:rsid w:val="00061BFF"/>
    <w:rsid w:val="00062D66"/>
    <w:rsid w:val="0006430E"/>
    <w:rsid w:val="000666D9"/>
    <w:rsid w:val="00067145"/>
    <w:rsid w:val="0006761B"/>
    <w:rsid w:val="00070084"/>
    <w:rsid w:val="000704CC"/>
    <w:rsid w:val="000716F1"/>
    <w:rsid w:val="00071C2F"/>
    <w:rsid w:val="0007283A"/>
    <w:rsid w:val="00072871"/>
    <w:rsid w:val="0007428B"/>
    <w:rsid w:val="000746B0"/>
    <w:rsid w:val="000746B1"/>
    <w:rsid w:val="00074E1D"/>
    <w:rsid w:val="000758C4"/>
    <w:rsid w:val="000774C8"/>
    <w:rsid w:val="00080462"/>
    <w:rsid w:val="0008054F"/>
    <w:rsid w:val="000812C1"/>
    <w:rsid w:val="00083E97"/>
    <w:rsid w:val="0008423F"/>
    <w:rsid w:val="000861CB"/>
    <w:rsid w:val="000877E6"/>
    <w:rsid w:val="00087E5A"/>
    <w:rsid w:val="0009066B"/>
    <w:rsid w:val="00091A55"/>
    <w:rsid w:val="000927F4"/>
    <w:rsid w:val="00093857"/>
    <w:rsid w:val="00095B95"/>
    <w:rsid w:val="000A0162"/>
    <w:rsid w:val="000A0FCC"/>
    <w:rsid w:val="000A278F"/>
    <w:rsid w:val="000A39CF"/>
    <w:rsid w:val="000A3A94"/>
    <w:rsid w:val="000A40DE"/>
    <w:rsid w:val="000A44BC"/>
    <w:rsid w:val="000A4800"/>
    <w:rsid w:val="000A6888"/>
    <w:rsid w:val="000B0A04"/>
    <w:rsid w:val="000B10C3"/>
    <w:rsid w:val="000B34FE"/>
    <w:rsid w:val="000B6576"/>
    <w:rsid w:val="000B6998"/>
    <w:rsid w:val="000B69FC"/>
    <w:rsid w:val="000C1DAA"/>
    <w:rsid w:val="000C42AA"/>
    <w:rsid w:val="000C4967"/>
    <w:rsid w:val="000C54CF"/>
    <w:rsid w:val="000C6DA5"/>
    <w:rsid w:val="000C7FC1"/>
    <w:rsid w:val="000D1319"/>
    <w:rsid w:val="000D147B"/>
    <w:rsid w:val="000D5780"/>
    <w:rsid w:val="000D6378"/>
    <w:rsid w:val="000D6813"/>
    <w:rsid w:val="000D76A8"/>
    <w:rsid w:val="000E1211"/>
    <w:rsid w:val="000E4210"/>
    <w:rsid w:val="000E5956"/>
    <w:rsid w:val="000E5B3B"/>
    <w:rsid w:val="000E670C"/>
    <w:rsid w:val="000E675D"/>
    <w:rsid w:val="000E6C14"/>
    <w:rsid w:val="000E7C50"/>
    <w:rsid w:val="000F0384"/>
    <w:rsid w:val="000F06AA"/>
    <w:rsid w:val="000F099F"/>
    <w:rsid w:val="000F32E8"/>
    <w:rsid w:val="000F4490"/>
    <w:rsid w:val="000F50E8"/>
    <w:rsid w:val="000F6968"/>
    <w:rsid w:val="000F7CB7"/>
    <w:rsid w:val="00100250"/>
    <w:rsid w:val="00100822"/>
    <w:rsid w:val="001008B0"/>
    <w:rsid w:val="00100D1C"/>
    <w:rsid w:val="00100F86"/>
    <w:rsid w:val="00101887"/>
    <w:rsid w:val="00101BBC"/>
    <w:rsid w:val="00102AA6"/>
    <w:rsid w:val="00103F67"/>
    <w:rsid w:val="0010410B"/>
    <w:rsid w:val="00105F5B"/>
    <w:rsid w:val="001079E6"/>
    <w:rsid w:val="00110BAB"/>
    <w:rsid w:val="0011160C"/>
    <w:rsid w:val="001116E4"/>
    <w:rsid w:val="00113145"/>
    <w:rsid w:val="001137AB"/>
    <w:rsid w:val="0011462A"/>
    <w:rsid w:val="00114FC2"/>
    <w:rsid w:val="00115C9C"/>
    <w:rsid w:val="00116D99"/>
    <w:rsid w:val="00116DEA"/>
    <w:rsid w:val="001201D9"/>
    <w:rsid w:val="001227F9"/>
    <w:rsid w:val="00123FAB"/>
    <w:rsid w:val="0012484F"/>
    <w:rsid w:val="001248B1"/>
    <w:rsid w:val="00125070"/>
    <w:rsid w:val="00126B1C"/>
    <w:rsid w:val="001330DC"/>
    <w:rsid w:val="0013329D"/>
    <w:rsid w:val="001332E8"/>
    <w:rsid w:val="00133BBC"/>
    <w:rsid w:val="00135DB2"/>
    <w:rsid w:val="00135F4B"/>
    <w:rsid w:val="001365BC"/>
    <w:rsid w:val="00136D5A"/>
    <w:rsid w:val="00136DEA"/>
    <w:rsid w:val="00137475"/>
    <w:rsid w:val="00140530"/>
    <w:rsid w:val="001406C7"/>
    <w:rsid w:val="00142227"/>
    <w:rsid w:val="00143528"/>
    <w:rsid w:val="001452E0"/>
    <w:rsid w:val="00147275"/>
    <w:rsid w:val="001500FD"/>
    <w:rsid w:val="0015039F"/>
    <w:rsid w:val="00150B14"/>
    <w:rsid w:val="00150F1A"/>
    <w:rsid w:val="001514C7"/>
    <w:rsid w:val="00153605"/>
    <w:rsid w:val="001543BD"/>
    <w:rsid w:val="00155040"/>
    <w:rsid w:val="0015598A"/>
    <w:rsid w:val="001562FF"/>
    <w:rsid w:val="00156325"/>
    <w:rsid w:val="00164066"/>
    <w:rsid w:val="00165DCA"/>
    <w:rsid w:val="00166D62"/>
    <w:rsid w:val="001678BE"/>
    <w:rsid w:val="00167D4D"/>
    <w:rsid w:val="00171C5F"/>
    <w:rsid w:val="00172B2F"/>
    <w:rsid w:val="00174846"/>
    <w:rsid w:val="00176F04"/>
    <w:rsid w:val="0017773B"/>
    <w:rsid w:val="001801AC"/>
    <w:rsid w:val="00180491"/>
    <w:rsid w:val="00181CC3"/>
    <w:rsid w:val="001831F6"/>
    <w:rsid w:val="00185EFB"/>
    <w:rsid w:val="00186BBD"/>
    <w:rsid w:val="001905CD"/>
    <w:rsid w:val="00190818"/>
    <w:rsid w:val="00190C14"/>
    <w:rsid w:val="00190CC9"/>
    <w:rsid w:val="00190D1A"/>
    <w:rsid w:val="001913F3"/>
    <w:rsid w:val="0019215A"/>
    <w:rsid w:val="0019246F"/>
    <w:rsid w:val="00193EFE"/>
    <w:rsid w:val="0019479C"/>
    <w:rsid w:val="001963EA"/>
    <w:rsid w:val="001977AB"/>
    <w:rsid w:val="001A2964"/>
    <w:rsid w:val="001A2FEB"/>
    <w:rsid w:val="001A337A"/>
    <w:rsid w:val="001A35A0"/>
    <w:rsid w:val="001A3681"/>
    <w:rsid w:val="001A40C8"/>
    <w:rsid w:val="001A4544"/>
    <w:rsid w:val="001A5AA4"/>
    <w:rsid w:val="001A643E"/>
    <w:rsid w:val="001A7269"/>
    <w:rsid w:val="001A73AF"/>
    <w:rsid w:val="001A76F1"/>
    <w:rsid w:val="001A77B4"/>
    <w:rsid w:val="001B0E68"/>
    <w:rsid w:val="001B18C0"/>
    <w:rsid w:val="001B1BCB"/>
    <w:rsid w:val="001B2A97"/>
    <w:rsid w:val="001B5171"/>
    <w:rsid w:val="001B7E49"/>
    <w:rsid w:val="001B7F45"/>
    <w:rsid w:val="001B7FB1"/>
    <w:rsid w:val="001C0079"/>
    <w:rsid w:val="001C1132"/>
    <w:rsid w:val="001C158F"/>
    <w:rsid w:val="001C2AEC"/>
    <w:rsid w:val="001C343C"/>
    <w:rsid w:val="001C3EA8"/>
    <w:rsid w:val="001C4146"/>
    <w:rsid w:val="001C41EC"/>
    <w:rsid w:val="001C57E6"/>
    <w:rsid w:val="001D0CC4"/>
    <w:rsid w:val="001D20D5"/>
    <w:rsid w:val="001D23AD"/>
    <w:rsid w:val="001D3591"/>
    <w:rsid w:val="001D44AB"/>
    <w:rsid w:val="001D4CE9"/>
    <w:rsid w:val="001D679F"/>
    <w:rsid w:val="001D6D3C"/>
    <w:rsid w:val="001D7D22"/>
    <w:rsid w:val="001E1C17"/>
    <w:rsid w:val="001E2154"/>
    <w:rsid w:val="001E4C68"/>
    <w:rsid w:val="001E59E3"/>
    <w:rsid w:val="001E6F18"/>
    <w:rsid w:val="001E7E61"/>
    <w:rsid w:val="001F3242"/>
    <w:rsid w:val="001F4DE1"/>
    <w:rsid w:val="001F629D"/>
    <w:rsid w:val="001F6518"/>
    <w:rsid w:val="001F6F17"/>
    <w:rsid w:val="001F79FC"/>
    <w:rsid w:val="001F7AF3"/>
    <w:rsid w:val="00200455"/>
    <w:rsid w:val="00202F29"/>
    <w:rsid w:val="00203BE7"/>
    <w:rsid w:val="0020617A"/>
    <w:rsid w:val="00213D9B"/>
    <w:rsid w:val="002148A2"/>
    <w:rsid w:val="00215807"/>
    <w:rsid w:val="00216162"/>
    <w:rsid w:val="002171B2"/>
    <w:rsid w:val="00220535"/>
    <w:rsid w:val="00220562"/>
    <w:rsid w:val="00221CE6"/>
    <w:rsid w:val="002243CA"/>
    <w:rsid w:val="00225572"/>
    <w:rsid w:val="00225CB6"/>
    <w:rsid w:val="00225DBC"/>
    <w:rsid w:val="00225E5B"/>
    <w:rsid w:val="00225F6D"/>
    <w:rsid w:val="00226882"/>
    <w:rsid w:val="002272B2"/>
    <w:rsid w:val="00230FAA"/>
    <w:rsid w:val="00232582"/>
    <w:rsid w:val="002360A2"/>
    <w:rsid w:val="00237916"/>
    <w:rsid w:val="00237D18"/>
    <w:rsid w:val="00240B28"/>
    <w:rsid w:val="00241304"/>
    <w:rsid w:val="00241774"/>
    <w:rsid w:val="002426AE"/>
    <w:rsid w:val="002438B2"/>
    <w:rsid w:val="00244438"/>
    <w:rsid w:val="00244740"/>
    <w:rsid w:val="0024519B"/>
    <w:rsid w:val="0024557A"/>
    <w:rsid w:val="00247C05"/>
    <w:rsid w:val="00253946"/>
    <w:rsid w:val="00253C01"/>
    <w:rsid w:val="00254F1A"/>
    <w:rsid w:val="00256BD5"/>
    <w:rsid w:val="002603B2"/>
    <w:rsid w:val="0026265F"/>
    <w:rsid w:val="0026293B"/>
    <w:rsid w:val="002637A9"/>
    <w:rsid w:val="00267064"/>
    <w:rsid w:val="00267331"/>
    <w:rsid w:val="0027099B"/>
    <w:rsid w:val="002713DE"/>
    <w:rsid w:val="00272782"/>
    <w:rsid w:val="00273295"/>
    <w:rsid w:val="00274A29"/>
    <w:rsid w:val="00274AA7"/>
    <w:rsid w:val="00275458"/>
    <w:rsid w:val="00275B0F"/>
    <w:rsid w:val="002763A0"/>
    <w:rsid w:val="002773C1"/>
    <w:rsid w:val="002774C4"/>
    <w:rsid w:val="0028130D"/>
    <w:rsid w:val="00281B5F"/>
    <w:rsid w:val="00281FD9"/>
    <w:rsid w:val="002822CE"/>
    <w:rsid w:val="00282AED"/>
    <w:rsid w:val="002833DC"/>
    <w:rsid w:val="00284276"/>
    <w:rsid w:val="00284AD4"/>
    <w:rsid w:val="00284C87"/>
    <w:rsid w:val="00284D1C"/>
    <w:rsid w:val="00285FBB"/>
    <w:rsid w:val="00291A42"/>
    <w:rsid w:val="00291FBB"/>
    <w:rsid w:val="002933C1"/>
    <w:rsid w:val="00293639"/>
    <w:rsid w:val="002937B4"/>
    <w:rsid w:val="00296D47"/>
    <w:rsid w:val="00297C13"/>
    <w:rsid w:val="00297E2B"/>
    <w:rsid w:val="00297F8D"/>
    <w:rsid w:val="002A1072"/>
    <w:rsid w:val="002A153E"/>
    <w:rsid w:val="002A28FF"/>
    <w:rsid w:val="002A5449"/>
    <w:rsid w:val="002A547A"/>
    <w:rsid w:val="002A63AD"/>
    <w:rsid w:val="002B0D37"/>
    <w:rsid w:val="002B0D72"/>
    <w:rsid w:val="002B1116"/>
    <w:rsid w:val="002B44B7"/>
    <w:rsid w:val="002B6177"/>
    <w:rsid w:val="002C1330"/>
    <w:rsid w:val="002C1822"/>
    <w:rsid w:val="002C26AF"/>
    <w:rsid w:val="002C377B"/>
    <w:rsid w:val="002C3BA4"/>
    <w:rsid w:val="002C3D93"/>
    <w:rsid w:val="002C3FD4"/>
    <w:rsid w:val="002C7FB1"/>
    <w:rsid w:val="002D142A"/>
    <w:rsid w:val="002D16C8"/>
    <w:rsid w:val="002D196E"/>
    <w:rsid w:val="002D22C0"/>
    <w:rsid w:val="002D4912"/>
    <w:rsid w:val="002D5133"/>
    <w:rsid w:val="002E0E99"/>
    <w:rsid w:val="002E0FF8"/>
    <w:rsid w:val="002E4B6D"/>
    <w:rsid w:val="002E4D61"/>
    <w:rsid w:val="002E50D3"/>
    <w:rsid w:val="002E5712"/>
    <w:rsid w:val="002E5906"/>
    <w:rsid w:val="002F14B4"/>
    <w:rsid w:val="002F2F2C"/>
    <w:rsid w:val="002F33AD"/>
    <w:rsid w:val="002F3975"/>
    <w:rsid w:val="0030065E"/>
    <w:rsid w:val="00300BFD"/>
    <w:rsid w:val="0030355D"/>
    <w:rsid w:val="003038F4"/>
    <w:rsid w:val="00303DD8"/>
    <w:rsid w:val="00305805"/>
    <w:rsid w:val="003066AE"/>
    <w:rsid w:val="00306A71"/>
    <w:rsid w:val="0031063D"/>
    <w:rsid w:val="00310FBA"/>
    <w:rsid w:val="00311330"/>
    <w:rsid w:val="003116DE"/>
    <w:rsid w:val="00311C57"/>
    <w:rsid w:val="00311DFB"/>
    <w:rsid w:val="00313916"/>
    <w:rsid w:val="003139C4"/>
    <w:rsid w:val="00314B62"/>
    <w:rsid w:val="00315868"/>
    <w:rsid w:val="0031600E"/>
    <w:rsid w:val="0031694A"/>
    <w:rsid w:val="00316BB9"/>
    <w:rsid w:val="00316EC6"/>
    <w:rsid w:val="00316F09"/>
    <w:rsid w:val="003209A2"/>
    <w:rsid w:val="003213AC"/>
    <w:rsid w:val="00321A93"/>
    <w:rsid w:val="00323890"/>
    <w:rsid w:val="003248DF"/>
    <w:rsid w:val="00326DD8"/>
    <w:rsid w:val="00327375"/>
    <w:rsid w:val="00333E98"/>
    <w:rsid w:val="0033447B"/>
    <w:rsid w:val="00334ECE"/>
    <w:rsid w:val="00335085"/>
    <w:rsid w:val="003360B4"/>
    <w:rsid w:val="00337718"/>
    <w:rsid w:val="00337B29"/>
    <w:rsid w:val="003405F5"/>
    <w:rsid w:val="00341288"/>
    <w:rsid w:val="00341DA1"/>
    <w:rsid w:val="00341F3D"/>
    <w:rsid w:val="0034334C"/>
    <w:rsid w:val="003435F7"/>
    <w:rsid w:val="00344614"/>
    <w:rsid w:val="00344915"/>
    <w:rsid w:val="00344DD6"/>
    <w:rsid w:val="00345305"/>
    <w:rsid w:val="003467E8"/>
    <w:rsid w:val="00346FCC"/>
    <w:rsid w:val="003479E6"/>
    <w:rsid w:val="00347D23"/>
    <w:rsid w:val="00347ED9"/>
    <w:rsid w:val="00351317"/>
    <w:rsid w:val="003517D0"/>
    <w:rsid w:val="0035200F"/>
    <w:rsid w:val="00353285"/>
    <w:rsid w:val="0035643C"/>
    <w:rsid w:val="00360217"/>
    <w:rsid w:val="00363ED8"/>
    <w:rsid w:val="00364C97"/>
    <w:rsid w:val="0036522F"/>
    <w:rsid w:val="00366127"/>
    <w:rsid w:val="0036630C"/>
    <w:rsid w:val="0036684F"/>
    <w:rsid w:val="00371D0B"/>
    <w:rsid w:val="003730B1"/>
    <w:rsid w:val="00373107"/>
    <w:rsid w:val="00374757"/>
    <w:rsid w:val="00374CF6"/>
    <w:rsid w:val="00375221"/>
    <w:rsid w:val="00375EBC"/>
    <w:rsid w:val="00376848"/>
    <w:rsid w:val="00376948"/>
    <w:rsid w:val="003833FE"/>
    <w:rsid w:val="003858F4"/>
    <w:rsid w:val="00386E3D"/>
    <w:rsid w:val="00386E84"/>
    <w:rsid w:val="00386F1E"/>
    <w:rsid w:val="003903A8"/>
    <w:rsid w:val="003906EA"/>
    <w:rsid w:val="00391132"/>
    <w:rsid w:val="0039140B"/>
    <w:rsid w:val="00391603"/>
    <w:rsid w:val="003922CA"/>
    <w:rsid w:val="003931CA"/>
    <w:rsid w:val="0039337E"/>
    <w:rsid w:val="003937A4"/>
    <w:rsid w:val="003938FD"/>
    <w:rsid w:val="00393AE0"/>
    <w:rsid w:val="00393D46"/>
    <w:rsid w:val="0039413F"/>
    <w:rsid w:val="003943C3"/>
    <w:rsid w:val="0039528A"/>
    <w:rsid w:val="0039750A"/>
    <w:rsid w:val="003A0C46"/>
    <w:rsid w:val="003A1C09"/>
    <w:rsid w:val="003A2299"/>
    <w:rsid w:val="003A393E"/>
    <w:rsid w:val="003A3AE0"/>
    <w:rsid w:val="003A4DCC"/>
    <w:rsid w:val="003A4EAB"/>
    <w:rsid w:val="003A5369"/>
    <w:rsid w:val="003A756B"/>
    <w:rsid w:val="003B01DF"/>
    <w:rsid w:val="003B0D93"/>
    <w:rsid w:val="003B0FAB"/>
    <w:rsid w:val="003B1089"/>
    <w:rsid w:val="003B108B"/>
    <w:rsid w:val="003B12C2"/>
    <w:rsid w:val="003B4705"/>
    <w:rsid w:val="003B49D2"/>
    <w:rsid w:val="003B4A51"/>
    <w:rsid w:val="003B4C3F"/>
    <w:rsid w:val="003B6A36"/>
    <w:rsid w:val="003B6E19"/>
    <w:rsid w:val="003C05F3"/>
    <w:rsid w:val="003C0BE4"/>
    <w:rsid w:val="003C0E34"/>
    <w:rsid w:val="003C0EEF"/>
    <w:rsid w:val="003C279A"/>
    <w:rsid w:val="003C2940"/>
    <w:rsid w:val="003C294B"/>
    <w:rsid w:val="003C3F70"/>
    <w:rsid w:val="003C4848"/>
    <w:rsid w:val="003D00A1"/>
    <w:rsid w:val="003D17B3"/>
    <w:rsid w:val="003D1817"/>
    <w:rsid w:val="003D7ADF"/>
    <w:rsid w:val="003E2C23"/>
    <w:rsid w:val="003E3F7A"/>
    <w:rsid w:val="003E4C28"/>
    <w:rsid w:val="003E5B83"/>
    <w:rsid w:val="003E7130"/>
    <w:rsid w:val="003F0885"/>
    <w:rsid w:val="003F1572"/>
    <w:rsid w:val="003F366F"/>
    <w:rsid w:val="003F3990"/>
    <w:rsid w:val="003F5470"/>
    <w:rsid w:val="003F5C3D"/>
    <w:rsid w:val="003F6B75"/>
    <w:rsid w:val="003F6F2D"/>
    <w:rsid w:val="003F7228"/>
    <w:rsid w:val="003F7DCC"/>
    <w:rsid w:val="003F7F69"/>
    <w:rsid w:val="00400517"/>
    <w:rsid w:val="00400AEE"/>
    <w:rsid w:val="004012D3"/>
    <w:rsid w:val="0040365F"/>
    <w:rsid w:val="00403E80"/>
    <w:rsid w:val="004042BF"/>
    <w:rsid w:val="004046CF"/>
    <w:rsid w:val="0040503A"/>
    <w:rsid w:val="00405396"/>
    <w:rsid w:val="00405616"/>
    <w:rsid w:val="004059F6"/>
    <w:rsid w:val="00406993"/>
    <w:rsid w:val="00407A9C"/>
    <w:rsid w:val="0041005A"/>
    <w:rsid w:val="004109E5"/>
    <w:rsid w:val="00410EC9"/>
    <w:rsid w:val="004119E1"/>
    <w:rsid w:val="004140ED"/>
    <w:rsid w:val="0041441E"/>
    <w:rsid w:val="004145B2"/>
    <w:rsid w:val="0041511D"/>
    <w:rsid w:val="00416860"/>
    <w:rsid w:val="00417692"/>
    <w:rsid w:val="00417BFC"/>
    <w:rsid w:val="00417DD6"/>
    <w:rsid w:val="004209DA"/>
    <w:rsid w:val="00423444"/>
    <w:rsid w:val="00424135"/>
    <w:rsid w:val="004248AC"/>
    <w:rsid w:val="0043047B"/>
    <w:rsid w:val="00431319"/>
    <w:rsid w:val="00432871"/>
    <w:rsid w:val="00432BFA"/>
    <w:rsid w:val="00434EEE"/>
    <w:rsid w:val="00436A07"/>
    <w:rsid w:val="00437DE7"/>
    <w:rsid w:val="004420E2"/>
    <w:rsid w:val="00442609"/>
    <w:rsid w:val="0044299B"/>
    <w:rsid w:val="00444BDC"/>
    <w:rsid w:val="0044738D"/>
    <w:rsid w:val="00447BC6"/>
    <w:rsid w:val="00452066"/>
    <w:rsid w:val="00453D8D"/>
    <w:rsid w:val="004554ED"/>
    <w:rsid w:val="0045562C"/>
    <w:rsid w:val="004606FC"/>
    <w:rsid w:val="00465010"/>
    <w:rsid w:val="00466C6F"/>
    <w:rsid w:val="0046756D"/>
    <w:rsid w:val="00467E3E"/>
    <w:rsid w:val="00471BC2"/>
    <w:rsid w:val="00471E16"/>
    <w:rsid w:val="00472381"/>
    <w:rsid w:val="0047333B"/>
    <w:rsid w:val="004745C2"/>
    <w:rsid w:val="00474D5C"/>
    <w:rsid w:val="00475E04"/>
    <w:rsid w:val="00476C2F"/>
    <w:rsid w:val="004772BA"/>
    <w:rsid w:val="0047741B"/>
    <w:rsid w:val="00480048"/>
    <w:rsid w:val="00480059"/>
    <w:rsid w:val="00480A82"/>
    <w:rsid w:val="00482213"/>
    <w:rsid w:val="004828ED"/>
    <w:rsid w:val="00483101"/>
    <w:rsid w:val="00483B78"/>
    <w:rsid w:val="00485384"/>
    <w:rsid w:val="004878CE"/>
    <w:rsid w:val="004902BF"/>
    <w:rsid w:val="00490AF5"/>
    <w:rsid w:val="00491B8F"/>
    <w:rsid w:val="004927B7"/>
    <w:rsid w:val="00493F60"/>
    <w:rsid w:val="00495019"/>
    <w:rsid w:val="0049552A"/>
    <w:rsid w:val="00496AA8"/>
    <w:rsid w:val="00497681"/>
    <w:rsid w:val="00497823"/>
    <w:rsid w:val="004A1361"/>
    <w:rsid w:val="004A1FA7"/>
    <w:rsid w:val="004A2ED7"/>
    <w:rsid w:val="004A3577"/>
    <w:rsid w:val="004A3B58"/>
    <w:rsid w:val="004B4683"/>
    <w:rsid w:val="004B47A5"/>
    <w:rsid w:val="004B5A67"/>
    <w:rsid w:val="004B5A76"/>
    <w:rsid w:val="004B68A6"/>
    <w:rsid w:val="004B7381"/>
    <w:rsid w:val="004B7CCB"/>
    <w:rsid w:val="004B7D10"/>
    <w:rsid w:val="004B7F42"/>
    <w:rsid w:val="004C3885"/>
    <w:rsid w:val="004C3EA8"/>
    <w:rsid w:val="004C5312"/>
    <w:rsid w:val="004C57DD"/>
    <w:rsid w:val="004C5976"/>
    <w:rsid w:val="004C7719"/>
    <w:rsid w:val="004C7D73"/>
    <w:rsid w:val="004D052D"/>
    <w:rsid w:val="004D0DBB"/>
    <w:rsid w:val="004D1105"/>
    <w:rsid w:val="004D146A"/>
    <w:rsid w:val="004D45BA"/>
    <w:rsid w:val="004E16FE"/>
    <w:rsid w:val="004E1B70"/>
    <w:rsid w:val="004E1DEB"/>
    <w:rsid w:val="004E4ECC"/>
    <w:rsid w:val="004E5944"/>
    <w:rsid w:val="004E6500"/>
    <w:rsid w:val="004E6BC7"/>
    <w:rsid w:val="004E7C6F"/>
    <w:rsid w:val="004F0D27"/>
    <w:rsid w:val="004F17AD"/>
    <w:rsid w:val="004F26A9"/>
    <w:rsid w:val="004F362E"/>
    <w:rsid w:val="004F375F"/>
    <w:rsid w:val="004F397E"/>
    <w:rsid w:val="004F3E5F"/>
    <w:rsid w:val="004F4C75"/>
    <w:rsid w:val="004F4DEE"/>
    <w:rsid w:val="004F53F8"/>
    <w:rsid w:val="004F5EFC"/>
    <w:rsid w:val="004F5FF2"/>
    <w:rsid w:val="004F64F4"/>
    <w:rsid w:val="00500D6B"/>
    <w:rsid w:val="00502176"/>
    <w:rsid w:val="00503818"/>
    <w:rsid w:val="00504A6A"/>
    <w:rsid w:val="00504AD0"/>
    <w:rsid w:val="005054CD"/>
    <w:rsid w:val="00506AD2"/>
    <w:rsid w:val="00507765"/>
    <w:rsid w:val="0050787E"/>
    <w:rsid w:val="00515826"/>
    <w:rsid w:val="00515C1F"/>
    <w:rsid w:val="00516149"/>
    <w:rsid w:val="00517AFC"/>
    <w:rsid w:val="00520F05"/>
    <w:rsid w:val="00523419"/>
    <w:rsid w:val="0052341B"/>
    <w:rsid w:val="00523DCE"/>
    <w:rsid w:val="00524407"/>
    <w:rsid w:val="00524AE3"/>
    <w:rsid w:val="0052514A"/>
    <w:rsid w:val="005274DB"/>
    <w:rsid w:val="00530847"/>
    <w:rsid w:val="00531C9D"/>
    <w:rsid w:val="00531ED1"/>
    <w:rsid w:val="00532706"/>
    <w:rsid w:val="00532935"/>
    <w:rsid w:val="00532C96"/>
    <w:rsid w:val="00533929"/>
    <w:rsid w:val="00533E00"/>
    <w:rsid w:val="00534F95"/>
    <w:rsid w:val="00535808"/>
    <w:rsid w:val="00536883"/>
    <w:rsid w:val="005369B2"/>
    <w:rsid w:val="005373C3"/>
    <w:rsid w:val="0054034E"/>
    <w:rsid w:val="00540439"/>
    <w:rsid w:val="0054067D"/>
    <w:rsid w:val="00542A53"/>
    <w:rsid w:val="00543DCD"/>
    <w:rsid w:val="00544086"/>
    <w:rsid w:val="005450D3"/>
    <w:rsid w:val="005458B7"/>
    <w:rsid w:val="0054604D"/>
    <w:rsid w:val="0055152F"/>
    <w:rsid w:val="0055312C"/>
    <w:rsid w:val="00553CA9"/>
    <w:rsid w:val="00556942"/>
    <w:rsid w:val="00556D1C"/>
    <w:rsid w:val="00557237"/>
    <w:rsid w:val="0056125E"/>
    <w:rsid w:val="005622B7"/>
    <w:rsid w:val="005653C7"/>
    <w:rsid w:val="005657C4"/>
    <w:rsid w:val="005667B6"/>
    <w:rsid w:val="0056753C"/>
    <w:rsid w:val="00567F55"/>
    <w:rsid w:val="00570EBC"/>
    <w:rsid w:val="00570FAE"/>
    <w:rsid w:val="00572729"/>
    <w:rsid w:val="00573593"/>
    <w:rsid w:val="00574161"/>
    <w:rsid w:val="00574331"/>
    <w:rsid w:val="005754AB"/>
    <w:rsid w:val="00575F88"/>
    <w:rsid w:val="00577D4B"/>
    <w:rsid w:val="00582F9E"/>
    <w:rsid w:val="005855F3"/>
    <w:rsid w:val="00585730"/>
    <w:rsid w:val="00591055"/>
    <w:rsid w:val="00591EE7"/>
    <w:rsid w:val="00593A4D"/>
    <w:rsid w:val="00595076"/>
    <w:rsid w:val="00595228"/>
    <w:rsid w:val="005A0C31"/>
    <w:rsid w:val="005A0ECD"/>
    <w:rsid w:val="005A1938"/>
    <w:rsid w:val="005A351F"/>
    <w:rsid w:val="005A3B99"/>
    <w:rsid w:val="005A4570"/>
    <w:rsid w:val="005A4864"/>
    <w:rsid w:val="005A5613"/>
    <w:rsid w:val="005A6162"/>
    <w:rsid w:val="005A79A7"/>
    <w:rsid w:val="005B1689"/>
    <w:rsid w:val="005B1C84"/>
    <w:rsid w:val="005B1CD6"/>
    <w:rsid w:val="005B2714"/>
    <w:rsid w:val="005B2F7E"/>
    <w:rsid w:val="005B3831"/>
    <w:rsid w:val="005B7741"/>
    <w:rsid w:val="005B78E9"/>
    <w:rsid w:val="005C00C4"/>
    <w:rsid w:val="005C047D"/>
    <w:rsid w:val="005C2629"/>
    <w:rsid w:val="005C3874"/>
    <w:rsid w:val="005C3B1B"/>
    <w:rsid w:val="005C5032"/>
    <w:rsid w:val="005C5A2A"/>
    <w:rsid w:val="005C5A73"/>
    <w:rsid w:val="005C726D"/>
    <w:rsid w:val="005C73A7"/>
    <w:rsid w:val="005C73AB"/>
    <w:rsid w:val="005D2289"/>
    <w:rsid w:val="005D2B8A"/>
    <w:rsid w:val="005D2CDE"/>
    <w:rsid w:val="005D322C"/>
    <w:rsid w:val="005D51D0"/>
    <w:rsid w:val="005D6040"/>
    <w:rsid w:val="005D65C0"/>
    <w:rsid w:val="005E00DE"/>
    <w:rsid w:val="005E1266"/>
    <w:rsid w:val="005E2F7A"/>
    <w:rsid w:val="005E3849"/>
    <w:rsid w:val="005E4612"/>
    <w:rsid w:val="005E4826"/>
    <w:rsid w:val="005E4A79"/>
    <w:rsid w:val="005E5E60"/>
    <w:rsid w:val="005E67EC"/>
    <w:rsid w:val="005F2171"/>
    <w:rsid w:val="005F5CA7"/>
    <w:rsid w:val="005F6469"/>
    <w:rsid w:val="005F7830"/>
    <w:rsid w:val="0060005C"/>
    <w:rsid w:val="0060152D"/>
    <w:rsid w:val="0060161A"/>
    <w:rsid w:val="0060231F"/>
    <w:rsid w:val="00602829"/>
    <w:rsid w:val="0060623D"/>
    <w:rsid w:val="0061266E"/>
    <w:rsid w:val="0061345B"/>
    <w:rsid w:val="00613F6C"/>
    <w:rsid w:val="00614C6A"/>
    <w:rsid w:val="00615688"/>
    <w:rsid w:val="00615726"/>
    <w:rsid w:val="0061582A"/>
    <w:rsid w:val="00615A15"/>
    <w:rsid w:val="00615C82"/>
    <w:rsid w:val="00616889"/>
    <w:rsid w:val="00616D53"/>
    <w:rsid w:val="00623476"/>
    <w:rsid w:val="0062416F"/>
    <w:rsid w:val="00624B0F"/>
    <w:rsid w:val="006250FB"/>
    <w:rsid w:val="00625A8A"/>
    <w:rsid w:val="006262D7"/>
    <w:rsid w:val="00626811"/>
    <w:rsid w:val="00631F6D"/>
    <w:rsid w:val="0063255F"/>
    <w:rsid w:val="00632EEC"/>
    <w:rsid w:val="0063378A"/>
    <w:rsid w:val="006339A0"/>
    <w:rsid w:val="00634668"/>
    <w:rsid w:val="0063471D"/>
    <w:rsid w:val="00636683"/>
    <w:rsid w:val="0064060D"/>
    <w:rsid w:val="00641975"/>
    <w:rsid w:val="00643282"/>
    <w:rsid w:val="00645559"/>
    <w:rsid w:val="00647DBA"/>
    <w:rsid w:val="00650B1B"/>
    <w:rsid w:val="00650D25"/>
    <w:rsid w:val="0065126A"/>
    <w:rsid w:val="00651EE4"/>
    <w:rsid w:val="00654B55"/>
    <w:rsid w:val="00655493"/>
    <w:rsid w:val="00655762"/>
    <w:rsid w:val="00655983"/>
    <w:rsid w:val="00655E2D"/>
    <w:rsid w:val="0065738F"/>
    <w:rsid w:val="006607E3"/>
    <w:rsid w:val="00660900"/>
    <w:rsid w:val="0066104B"/>
    <w:rsid w:val="00662DBD"/>
    <w:rsid w:val="006639E5"/>
    <w:rsid w:val="00663E99"/>
    <w:rsid w:val="006647E3"/>
    <w:rsid w:val="00666A94"/>
    <w:rsid w:val="006675D8"/>
    <w:rsid w:val="0066778D"/>
    <w:rsid w:val="006700D0"/>
    <w:rsid w:val="00670376"/>
    <w:rsid w:val="0067058E"/>
    <w:rsid w:val="006737EA"/>
    <w:rsid w:val="00673918"/>
    <w:rsid w:val="006749D9"/>
    <w:rsid w:val="00675966"/>
    <w:rsid w:val="0067645E"/>
    <w:rsid w:val="006802C9"/>
    <w:rsid w:val="00680871"/>
    <w:rsid w:val="00680B26"/>
    <w:rsid w:val="00680F67"/>
    <w:rsid w:val="00684BFA"/>
    <w:rsid w:val="00685390"/>
    <w:rsid w:val="006875A9"/>
    <w:rsid w:val="0069154F"/>
    <w:rsid w:val="00691640"/>
    <w:rsid w:val="00691C19"/>
    <w:rsid w:val="00691CDC"/>
    <w:rsid w:val="00691E67"/>
    <w:rsid w:val="00692AEF"/>
    <w:rsid w:val="00692C0E"/>
    <w:rsid w:val="00693795"/>
    <w:rsid w:val="006944D5"/>
    <w:rsid w:val="0069540A"/>
    <w:rsid w:val="006973FB"/>
    <w:rsid w:val="006A03D4"/>
    <w:rsid w:val="006A048B"/>
    <w:rsid w:val="006A0766"/>
    <w:rsid w:val="006A298E"/>
    <w:rsid w:val="006A36EF"/>
    <w:rsid w:val="006A38E5"/>
    <w:rsid w:val="006A3E19"/>
    <w:rsid w:val="006A3F1C"/>
    <w:rsid w:val="006A4894"/>
    <w:rsid w:val="006A48BB"/>
    <w:rsid w:val="006A5078"/>
    <w:rsid w:val="006A563A"/>
    <w:rsid w:val="006A68AA"/>
    <w:rsid w:val="006A731F"/>
    <w:rsid w:val="006B11C8"/>
    <w:rsid w:val="006B26BE"/>
    <w:rsid w:val="006B4595"/>
    <w:rsid w:val="006B6003"/>
    <w:rsid w:val="006B622A"/>
    <w:rsid w:val="006B6CF0"/>
    <w:rsid w:val="006C0482"/>
    <w:rsid w:val="006C1713"/>
    <w:rsid w:val="006C2AD9"/>
    <w:rsid w:val="006C3F31"/>
    <w:rsid w:val="006C4709"/>
    <w:rsid w:val="006C4E38"/>
    <w:rsid w:val="006C4E70"/>
    <w:rsid w:val="006C5B57"/>
    <w:rsid w:val="006C5C89"/>
    <w:rsid w:val="006C606D"/>
    <w:rsid w:val="006C7494"/>
    <w:rsid w:val="006C7537"/>
    <w:rsid w:val="006D003C"/>
    <w:rsid w:val="006D006D"/>
    <w:rsid w:val="006D169A"/>
    <w:rsid w:val="006D2D57"/>
    <w:rsid w:val="006D310E"/>
    <w:rsid w:val="006D314F"/>
    <w:rsid w:val="006D393C"/>
    <w:rsid w:val="006D3A93"/>
    <w:rsid w:val="006D61A7"/>
    <w:rsid w:val="006D6248"/>
    <w:rsid w:val="006D665C"/>
    <w:rsid w:val="006D710A"/>
    <w:rsid w:val="006D7239"/>
    <w:rsid w:val="006D7B0A"/>
    <w:rsid w:val="006D7E26"/>
    <w:rsid w:val="006E31CA"/>
    <w:rsid w:val="006E341C"/>
    <w:rsid w:val="006E3C6F"/>
    <w:rsid w:val="006E58FB"/>
    <w:rsid w:val="006F2ABE"/>
    <w:rsid w:val="006F3400"/>
    <w:rsid w:val="006F45CF"/>
    <w:rsid w:val="006F66DE"/>
    <w:rsid w:val="006F7424"/>
    <w:rsid w:val="007011AC"/>
    <w:rsid w:val="0070140A"/>
    <w:rsid w:val="007018AE"/>
    <w:rsid w:val="00703F1A"/>
    <w:rsid w:val="0070469E"/>
    <w:rsid w:val="00704EC6"/>
    <w:rsid w:val="007057F4"/>
    <w:rsid w:val="00705C19"/>
    <w:rsid w:val="007078BE"/>
    <w:rsid w:val="0071016F"/>
    <w:rsid w:val="007107BD"/>
    <w:rsid w:val="00710CEF"/>
    <w:rsid w:val="00712583"/>
    <w:rsid w:val="00714300"/>
    <w:rsid w:val="00714D58"/>
    <w:rsid w:val="007160CF"/>
    <w:rsid w:val="007163EF"/>
    <w:rsid w:val="007166E1"/>
    <w:rsid w:val="00716DE4"/>
    <w:rsid w:val="00717020"/>
    <w:rsid w:val="00721686"/>
    <w:rsid w:val="007226ED"/>
    <w:rsid w:val="00725CA5"/>
    <w:rsid w:val="007278DF"/>
    <w:rsid w:val="0073375F"/>
    <w:rsid w:val="00734485"/>
    <w:rsid w:val="00736A08"/>
    <w:rsid w:val="007376F0"/>
    <w:rsid w:val="00737D08"/>
    <w:rsid w:val="00740E2A"/>
    <w:rsid w:val="00742172"/>
    <w:rsid w:val="00743B3E"/>
    <w:rsid w:val="0074609D"/>
    <w:rsid w:val="0074677E"/>
    <w:rsid w:val="00747611"/>
    <w:rsid w:val="00747E23"/>
    <w:rsid w:val="007509FD"/>
    <w:rsid w:val="007514E3"/>
    <w:rsid w:val="007518F6"/>
    <w:rsid w:val="00751AAA"/>
    <w:rsid w:val="00751F51"/>
    <w:rsid w:val="00752313"/>
    <w:rsid w:val="00755A6D"/>
    <w:rsid w:val="00757573"/>
    <w:rsid w:val="00760072"/>
    <w:rsid w:val="007601BC"/>
    <w:rsid w:val="00760D01"/>
    <w:rsid w:val="00760D4C"/>
    <w:rsid w:val="0076199F"/>
    <w:rsid w:val="00764E3C"/>
    <w:rsid w:val="007654C3"/>
    <w:rsid w:val="00765941"/>
    <w:rsid w:val="00765997"/>
    <w:rsid w:val="00766659"/>
    <w:rsid w:val="007666EE"/>
    <w:rsid w:val="007675BE"/>
    <w:rsid w:val="00767739"/>
    <w:rsid w:val="00770267"/>
    <w:rsid w:val="00770D2B"/>
    <w:rsid w:val="00771A75"/>
    <w:rsid w:val="007736E9"/>
    <w:rsid w:val="0077695F"/>
    <w:rsid w:val="00776BE5"/>
    <w:rsid w:val="00776E94"/>
    <w:rsid w:val="00780A7E"/>
    <w:rsid w:val="007840C1"/>
    <w:rsid w:val="007857D8"/>
    <w:rsid w:val="007863FB"/>
    <w:rsid w:val="0079066E"/>
    <w:rsid w:val="00791BA4"/>
    <w:rsid w:val="0079221D"/>
    <w:rsid w:val="007943D5"/>
    <w:rsid w:val="007977B1"/>
    <w:rsid w:val="007A044A"/>
    <w:rsid w:val="007A196A"/>
    <w:rsid w:val="007A240F"/>
    <w:rsid w:val="007A4490"/>
    <w:rsid w:val="007A4AAA"/>
    <w:rsid w:val="007A61F1"/>
    <w:rsid w:val="007A6431"/>
    <w:rsid w:val="007A6466"/>
    <w:rsid w:val="007B17BD"/>
    <w:rsid w:val="007B20DD"/>
    <w:rsid w:val="007B2605"/>
    <w:rsid w:val="007B2DF5"/>
    <w:rsid w:val="007B4416"/>
    <w:rsid w:val="007B5ABD"/>
    <w:rsid w:val="007C0AA9"/>
    <w:rsid w:val="007C0E84"/>
    <w:rsid w:val="007C17DC"/>
    <w:rsid w:val="007C35BE"/>
    <w:rsid w:val="007C6775"/>
    <w:rsid w:val="007D13ED"/>
    <w:rsid w:val="007D1FE2"/>
    <w:rsid w:val="007D322C"/>
    <w:rsid w:val="007D4557"/>
    <w:rsid w:val="007D4659"/>
    <w:rsid w:val="007D66F5"/>
    <w:rsid w:val="007D69B5"/>
    <w:rsid w:val="007E08D9"/>
    <w:rsid w:val="007E1329"/>
    <w:rsid w:val="007E3816"/>
    <w:rsid w:val="007E3A51"/>
    <w:rsid w:val="007E4BEA"/>
    <w:rsid w:val="007E5683"/>
    <w:rsid w:val="007E5CDE"/>
    <w:rsid w:val="007E60DF"/>
    <w:rsid w:val="007E688A"/>
    <w:rsid w:val="007E7007"/>
    <w:rsid w:val="007E700A"/>
    <w:rsid w:val="007E713D"/>
    <w:rsid w:val="007E775C"/>
    <w:rsid w:val="007E7AAD"/>
    <w:rsid w:val="007E7ACC"/>
    <w:rsid w:val="007F1A9F"/>
    <w:rsid w:val="007F1D3C"/>
    <w:rsid w:val="007F35A9"/>
    <w:rsid w:val="007F3FEB"/>
    <w:rsid w:val="007F541E"/>
    <w:rsid w:val="007F598B"/>
    <w:rsid w:val="007F5ACB"/>
    <w:rsid w:val="007F5EC8"/>
    <w:rsid w:val="007F5FA1"/>
    <w:rsid w:val="007F5FAF"/>
    <w:rsid w:val="007F65B1"/>
    <w:rsid w:val="007F65E9"/>
    <w:rsid w:val="007F78F4"/>
    <w:rsid w:val="0080047D"/>
    <w:rsid w:val="0080059A"/>
    <w:rsid w:val="00800A2B"/>
    <w:rsid w:val="00800BEA"/>
    <w:rsid w:val="00802E28"/>
    <w:rsid w:val="00803216"/>
    <w:rsid w:val="008049AB"/>
    <w:rsid w:val="00804CE7"/>
    <w:rsid w:val="00804E08"/>
    <w:rsid w:val="00805E9B"/>
    <w:rsid w:val="00807CA4"/>
    <w:rsid w:val="00810EA6"/>
    <w:rsid w:val="00812A55"/>
    <w:rsid w:val="00815DE9"/>
    <w:rsid w:val="00821101"/>
    <w:rsid w:val="0082365D"/>
    <w:rsid w:val="008252AF"/>
    <w:rsid w:val="00825346"/>
    <w:rsid w:val="00827587"/>
    <w:rsid w:val="0083379D"/>
    <w:rsid w:val="008341E2"/>
    <w:rsid w:val="0083483A"/>
    <w:rsid w:val="00836B13"/>
    <w:rsid w:val="00837281"/>
    <w:rsid w:val="008403BF"/>
    <w:rsid w:val="00840672"/>
    <w:rsid w:val="00840A2C"/>
    <w:rsid w:val="00841B8E"/>
    <w:rsid w:val="0084334D"/>
    <w:rsid w:val="00844949"/>
    <w:rsid w:val="00844EFC"/>
    <w:rsid w:val="00846846"/>
    <w:rsid w:val="008477BF"/>
    <w:rsid w:val="008477C2"/>
    <w:rsid w:val="00847BD7"/>
    <w:rsid w:val="008504ED"/>
    <w:rsid w:val="0085333D"/>
    <w:rsid w:val="008565AB"/>
    <w:rsid w:val="0085676A"/>
    <w:rsid w:val="0086421F"/>
    <w:rsid w:val="008649C5"/>
    <w:rsid w:val="0086557E"/>
    <w:rsid w:val="00865A1F"/>
    <w:rsid w:val="0086621F"/>
    <w:rsid w:val="00870BB8"/>
    <w:rsid w:val="008710B6"/>
    <w:rsid w:val="0087298F"/>
    <w:rsid w:val="008743F3"/>
    <w:rsid w:val="0087681B"/>
    <w:rsid w:val="008771F7"/>
    <w:rsid w:val="0088036A"/>
    <w:rsid w:val="00880524"/>
    <w:rsid w:val="00881CA8"/>
    <w:rsid w:val="00881E73"/>
    <w:rsid w:val="00882FC6"/>
    <w:rsid w:val="0088387E"/>
    <w:rsid w:val="008844E4"/>
    <w:rsid w:val="00885895"/>
    <w:rsid w:val="0088797A"/>
    <w:rsid w:val="008900A3"/>
    <w:rsid w:val="008921A7"/>
    <w:rsid w:val="0089442E"/>
    <w:rsid w:val="00895AB1"/>
    <w:rsid w:val="00895C47"/>
    <w:rsid w:val="008976AD"/>
    <w:rsid w:val="008977E3"/>
    <w:rsid w:val="008978D9"/>
    <w:rsid w:val="008A0C97"/>
    <w:rsid w:val="008A39FA"/>
    <w:rsid w:val="008A41F2"/>
    <w:rsid w:val="008A43C4"/>
    <w:rsid w:val="008A52AC"/>
    <w:rsid w:val="008A5DE4"/>
    <w:rsid w:val="008A6CC8"/>
    <w:rsid w:val="008A7CA2"/>
    <w:rsid w:val="008B04BF"/>
    <w:rsid w:val="008B1452"/>
    <w:rsid w:val="008B374F"/>
    <w:rsid w:val="008B4B56"/>
    <w:rsid w:val="008C0802"/>
    <w:rsid w:val="008C1B88"/>
    <w:rsid w:val="008C48FE"/>
    <w:rsid w:val="008C4926"/>
    <w:rsid w:val="008C7B97"/>
    <w:rsid w:val="008C7E64"/>
    <w:rsid w:val="008D2C8A"/>
    <w:rsid w:val="008D339B"/>
    <w:rsid w:val="008D3CC9"/>
    <w:rsid w:val="008D48D4"/>
    <w:rsid w:val="008D4D4C"/>
    <w:rsid w:val="008D5750"/>
    <w:rsid w:val="008D5F7D"/>
    <w:rsid w:val="008D631A"/>
    <w:rsid w:val="008D6972"/>
    <w:rsid w:val="008D6B9B"/>
    <w:rsid w:val="008D791A"/>
    <w:rsid w:val="008D7A19"/>
    <w:rsid w:val="008E042B"/>
    <w:rsid w:val="008E0F53"/>
    <w:rsid w:val="008E14B6"/>
    <w:rsid w:val="008E1F58"/>
    <w:rsid w:val="008E21DC"/>
    <w:rsid w:val="008E37E6"/>
    <w:rsid w:val="008E3C1A"/>
    <w:rsid w:val="008E5D9C"/>
    <w:rsid w:val="008E6D01"/>
    <w:rsid w:val="008E6FAE"/>
    <w:rsid w:val="008F08C0"/>
    <w:rsid w:val="008F0BA5"/>
    <w:rsid w:val="008F1BA6"/>
    <w:rsid w:val="008F238A"/>
    <w:rsid w:val="008F46E0"/>
    <w:rsid w:val="008F5C21"/>
    <w:rsid w:val="00900B07"/>
    <w:rsid w:val="00903E07"/>
    <w:rsid w:val="00904114"/>
    <w:rsid w:val="00907005"/>
    <w:rsid w:val="009076DD"/>
    <w:rsid w:val="009109D7"/>
    <w:rsid w:val="00910DEF"/>
    <w:rsid w:val="00910F73"/>
    <w:rsid w:val="00912DC5"/>
    <w:rsid w:val="00913AA3"/>
    <w:rsid w:val="00915578"/>
    <w:rsid w:val="00917880"/>
    <w:rsid w:val="00920514"/>
    <w:rsid w:val="00920C04"/>
    <w:rsid w:val="009215D1"/>
    <w:rsid w:val="0092196E"/>
    <w:rsid w:val="0092421E"/>
    <w:rsid w:val="00924F53"/>
    <w:rsid w:val="0092574F"/>
    <w:rsid w:val="00925BA5"/>
    <w:rsid w:val="009260CC"/>
    <w:rsid w:val="00926227"/>
    <w:rsid w:val="00927004"/>
    <w:rsid w:val="00927BF4"/>
    <w:rsid w:val="00932C8C"/>
    <w:rsid w:val="00933252"/>
    <w:rsid w:val="009340CF"/>
    <w:rsid w:val="00934594"/>
    <w:rsid w:val="00936A43"/>
    <w:rsid w:val="00937552"/>
    <w:rsid w:val="0094231D"/>
    <w:rsid w:val="00943244"/>
    <w:rsid w:val="009433CF"/>
    <w:rsid w:val="0094646F"/>
    <w:rsid w:val="00947812"/>
    <w:rsid w:val="009504AE"/>
    <w:rsid w:val="00952F49"/>
    <w:rsid w:val="00952FF0"/>
    <w:rsid w:val="00953F2C"/>
    <w:rsid w:val="00954F0B"/>
    <w:rsid w:val="0095555D"/>
    <w:rsid w:val="0095563F"/>
    <w:rsid w:val="00956038"/>
    <w:rsid w:val="009574CE"/>
    <w:rsid w:val="00957D9E"/>
    <w:rsid w:val="00957F20"/>
    <w:rsid w:val="00962C45"/>
    <w:rsid w:val="00962E62"/>
    <w:rsid w:val="0096308E"/>
    <w:rsid w:val="0096435A"/>
    <w:rsid w:val="00964400"/>
    <w:rsid w:val="009656BF"/>
    <w:rsid w:val="00966D1B"/>
    <w:rsid w:val="0097098E"/>
    <w:rsid w:val="00971702"/>
    <w:rsid w:val="00971F21"/>
    <w:rsid w:val="0097359D"/>
    <w:rsid w:val="00975228"/>
    <w:rsid w:val="009756FA"/>
    <w:rsid w:val="009773DF"/>
    <w:rsid w:val="00977C8E"/>
    <w:rsid w:val="00980527"/>
    <w:rsid w:val="00980BDB"/>
    <w:rsid w:val="00981DF1"/>
    <w:rsid w:val="0098451F"/>
    <w:rsid w:val="00984EFD"/>
    <w:rsid w:val="009851D5"/>
    <w:rsid w:val="00985620"/>
    <w:rsid w:val="00986372"/>
    <w:rsid w:val="00990913"/>
    <w:rsid w:val="009912D9"/>
    <w:rsid w:val="00993FD3"/>
    <w:rsid w:val="00995862"/>
    <w:rsid w:val="00995A42"/>
    <w:rsid w:val="00995D08"/>
    <w:rsid w:val="00996236"/>
    <w:rsid w:val="009978D6"/>
    <w:rsid w:val="009A05E7"/>
    <w:rsid w:val="009A4EE1"/>
    <w:rsid w:val="009A6240"/>
    <w:rsid w:val="009A6AE0"/>
    <w:rsid w:val="009A6D7F"/>
    <w:rsid w:val="009B02A8"/>
    <w:rsid w:val="009B2A5B"/>
    <w:rsid w:val="009B3BA6"/>
    <w:rsid w:val="009B3CBF"/>
    <w:rsid w:val="009B4634"/>
    <w:rsid w:val="009B53AF"/>
    <w:rsid w:val="009B5AF1"/>
    <w:rsid w:val="009B70D4"/>
    <w:rsid w:val="009C11B5"/>
    <w:rsid w:val="009C2501"/>
    <w:rsid w:val="009C42DD"/>
    <w:rsid w:val="009C4866"/>
    <w:rsid w:val="009D0BCE"/>
    <w:rsid w:val="009D379E"/>
    <w:rsid w:val="009D3800"/>
    <w:rsid w:val="009D3980"/>
    <w:rsid w:val="009D3BA6"/>
    <w:rsid w:val="009D4F96"/>
    <w:rsid w:val="009D5567"/>
    <w:rsid w:val="009D662E"/>
    <w:rsid w:val="009D734B"/>
    <w:rsid w:val="009D7557"/>
    <w:rsid w:val="009E115A"/>
    <w:rsid w:val="009E1A78"/>
    <w:rsid w:val="009E3F0D"/>
    <w:rsid w:val="009E3FBB"/>
    <w:rsid w:val="009E4154"/>
    <w:rsid w:val="009E6C4C"/>
    <w:rsid w:val="009E6D9C"/>
    <w:rsid w:val="009E6DF0"/>
    <w:rsid w:val="009E7017"/>
    <w:rsid w:val="009F102A"/>
    <w:rsid w:val="009F1DB6"/>
    <w:rsid w:val="009F2209"/>
    <w:rsid w:val="009F3100"/>
    <w:rsid w:val="009F48D5"/>
    <w:rsid w:val="009F4CCC"/>
    <w:rsid w:val="009F5B48"/>
    <w:rsid w:val="009F72D2"/>
    <w:rsid w:val="00A02791"/>
    <w:rsid w:val="00A02CE2"/>
    <w:rsid w:val="00A02D72"/>
    <w:rsid w:val="00A04103"/>
    <w:rsid w:val="00A078C1"/>
    <w:rsid w:val="00A07C2F"/>
    <w:rsid w:val="00A07D33"/>
    <w:rsid w:val="00A100B7"/>
    <w:rsid w:val="00A11207"/>
    <w:rsid w:val="00A11498"/>
    <w:rsid w:val="00A1152C"/>
    <w:rsid w:val="00A126BD"/>
    <w:rsid w:val="00A13A76"/>
    <w:rsid w:val="00A150C8"/>
    <w:rsid w:val="00A15AA0"/>
    <w:rsid w:val="00A16C45"/>
    <w:rsid w:val="00A20199"/>
    <w:rsid w:val="00A21066"/>
    <w:rsid w:val="00A24250"/>
    <w:rsid w:val="00A242EB"/>
    <w:rsid w:val="00A26427"/>
    <w:rsid w:val="00A26436"/>
    <w:rsid w:val="00A268D2"/>
    <w:rsid w:val="00A26E41"/>
    <w:rsid w:val="00A275B1"/>
    <w:rsid w:val="00A27619"/>
    <w:rsid w:val="00A27653"/>
    <w:rsid w:val="00A301B4"/>
    <w:rsid w:val="00A30323"/>
    <w:rsid w:val="00A30D2C"/>
    <w:rsid w:val="00A322E5"/>
    <w:rsid w:val="00A345AE"/>
    <w:rsid w:val="00A347EB"/>
    <w:rsid w:val="00A35EF3"/>
    <w:rsid w:val="00A36E61"/>
    <w:rsid w:val="00A40839"/>
    <w:rsid w:val="00A4321B"/>
    <w:rsid w:val="00A438E2"/>
    <w:rsid w:val="00A44F2A"/>
    <w:rsid w:val="00A46075"/>
    <w:rsid w:val="00A46E55"/>
    <w:rsid w:val="00A501CE"/>
    <w:rsid w:val="00A509F9"/>
    <w:rsid w:val="00A50FC7"/>
    <w:rsid w:val="00A50FE3"/>
    <w:rsid w:val="00A51678"/>
    <w:rsid w:val="00A51CC8"/>
    <w:rsid w:val="00A52271"/>
    <w:rsid w:val="00A529E7"/>
    <w:rsid w:val="00A539DB"/>
    <w:rsid w:val="00A53F27"/>
    <w:rsid w:val="00A55A27"/>
    <w:rsid w:val="00A577F0"/>
    <w:rsid w:val="00A57956"/>
    <w:rsid w:val="00A57EA6"/>
    <w:rsid w:val="00A6138F"/>
    <w:rsid w:val="00A649BB"/>
    <w:rsid w:val="00A658BB"/>
    <w:rsid w:val="00A6638C"/>
    <w:rsid w:val="00A66DD6"/>
    <w:rsid w:val="00A67F3A"/>
    <w:rsid w:val="00A702CE"/>
    <w:rsid w:val="00A70641"/>
    <w:rsid w:val="00A71975"/>
    <w:rsid w:val="00A72E23"/>
    <w:rsid w:val="00A72E82"/>
    <w:rsid w:val="00A74328"/>
    <w:rsid w:val="00A77455"/>
    <w:rsid w:val="00A80007"/>
    <w:rsid w:val="00A8096D"/>
    <w:rsid w:val="00A81D4B"/>
    <w:rsid w:val="00A82EEA"/>
    <w:rsid w:val="00A82F5B"/>
    <w:rsid w:val="00A848D6"/>
    <w:rsid w:val="00A84EE1"/>
    <w:rsid w:val="00A86292"/>
    <w:rsid w:val="00A87957"/>
    <w:rsid w:val="00A90573"/>
    <w:rsid w:val="00A90DAB"/>
    <w:rsid w:val="00A93681"/>
    <w:rsid w:val="00A96011"/>
    <w:rsid w:val="00A9739F"/>
    <w:rsid w:val="00A979C5"/>
    <w:rsid w:val="00A97D47"/>
    <w:rsid w:val="00A97D68"/>
    <w:rsid w:val="00A97D88"/>
    <w:rsid w:val="00A97F0D"/>
    <w:rsid w:val="00AA05B2"/>
    <w:rsid w:val="00AA0A2D"/>
    <w:rsid w:val="00AA154F"/>
    <w:rsid w:val="00AA21D4"/>
    <w:rsid w:val="00AA233F"/>
    <w:rsid w:val="00AA2CB8"/>
    <w:rsid w:val="00AA4885"/>
    <w:rsid w:val="00AA541B"/>
    <w:rsid w:val="00AA64A2"/>
    <w:rsid w:val="00AA7118"/>
    <w:rsid w:val="00AB1AB5"/>
    <w:rsid w:val="00AB328D"/>
    <w:rsid w:val="00AB337C"/>
    <w:rsid w:val="00AB79AC"/>
    <w:rsid w:val="00AC0E80"/>
    <w:rsid w:val="00AC1691"/>
    <w:rsid w:val="00AC26BD"/>
    <w:rsid w:val="00AC4244"/>
    <w:rsid w:val="00AC453A"/>
    <w:rsid w:val="00AD2419"/>
    <w:rsid w:val="00AD4F61"/>
    <w:rsid w:val="00AD50A2"/>
    <w:rsid w:val="00AD52C3"/>
    <w:rsid w:val="00AD5CFA"/>
    <w:rsid w:val="00AD62FF"/>
    <w:rsid w:val="00AD657C"/>
    <w:rsid w:val="00AD694C"/>
    <w:rsid w:val="00AD6996"/>
    <w:rsid w:val="00AD6CBB"/>
    <w:rsid w:val="00AD7F54"/>
    <w:rsid w:val="00AE077D"/>
    <w:rsid w:val="00AE11D0"/>
    <w:rsid w:val="00AE2A62"/>
    <w:rsid w:val="00AE3CB1"/>
    <w:rsid w:val="00AE7061"/>
    <w:rsid w:val="00AE731C"/>
    <w:rsid w:val="00AE7387"/>
    <w:rsid w:val="00AE7B17"/>
    <w:rsid w:val="00AE7BA3"/>
    <w:rsid w:val="00AF1849"/>
    <w:rsid w:val="00AF1B67"/>
    <w:rsid w:val="00AF265A"/>
    <w:rsid w:val="00AF2A57"/>
    <w:rsid w:val="00AF2F43"/>
    <w:rsid w:val="00AF385C"/>
    <w:rsid w:val="00AF3FC7"/>
    <w:rsid w:val="00AF6190"/>
    <w:rsid w:val="00AF7923"/>
    <w:rsid w:val="00AF7EFC"/>
    <w:rsid w:val="00B011C3"/>
    <w:rsid w:val="00B02C78"/>
    <w:rsid w:val="00B068CD"/>
    <w:rsid w:val="00B075F4"/>
    <w:rsid w:val="00B10860"/>
    <w:rsid w:val="00B11423"/>
    <w:rsid w:val="00B116BD"/>
    <w:rsid w:val="00B11A3D"/>
    <w:rsid w:val="00B13D7C"/>
    <w:rsid w:val="00B13EF8"/>
    <w:rsid w:val="00B147CA"/>
    <w:rsid w:val="00B158BF"/>
    <w:rsid w:val="00B163B4"/>
    <w:rsid w:val="00B16E16"/>
    <w:rsid w:val="00B20BB0"/>
    <w:rsid w:val="00B21990"/>
    <w:rsid w:val="00B21BED"/>
    <w:rsid w:val="00B22652"/>
    <w:rsid w:val="00B22910"/>
    <w:rsid w:val="00B22D46"/>
    <w:rsid w:val="00B2627C"/>
    <w:rsid w:val="00B304A5"/>
    <w:rsid w:val="00B30AE1"/>
    <w:rsid w:val="00B321BB"/>
    <w:rsid w:val="00B339AE"/>
    <w:rsid w:val="00B33CDB"/>
    <w:rsid w:val="00B345FF"/>
    <w:rsid w:val="00B3513E"/>
    <w:rsid w:val="00B353D0"/>
    <w:rsid w:val="00B35756"/>
    <w:rsid w:val="00B35EF2"/>
    <w:rsid w:val="00B360FA"/>
    <w:rsid w:val="00B407C0"/>
    <w:rsid w:val="00B41B15"/>
    <w:rsid w:val="00B42F76"/>
    <w:rsid w:val="00B45611"/>
    <w:rsid w:val="00B45AB3"/>
    <w:rsid w:val="00B470F4"/>
    <w:rsid w:val="00B47417"/>
    <w:rsid w:val="00B47CA5"/>
    <w:rsid w:val="00B51549"/>
    <w:rsid w:val="00B51557"/>
    <w:rsid w:val="00B53A01"/>
    <w:rsid w:val="00B55226"/>
    <w:rsid w:val="00B557AA"/>
    <w:rsid w:val="00B55B8C"/>
    <w:rsid w:val="00B60881"/>
    <w:rsid w:val="00B60952"/>
    <w:rsid w:val="00B63923"/>
    <w:rsid w:val="00B65EE2"/>
    <w:rsid w:val="00B66103"/>
    <w:rsid w:val="00B66234"/>
    <w:rsid w:val="00B66B3F"/>
    <w:rsid w:val="00B70168"/>
    <w:rsid w:val="00B705EB"/>
    <w:rsid w:val="00B7293D"/>
    <w:rsid w:val="00B74447"/>
    <w:rsid w:val="00B75BA9"/>
    <w:rsid w:val="00B77328"/>
    <w:rsid w:val="00B81149"/>
    <w:rsid w:val="00B81DA6"/>
    <w:rsid w:val="00B82713"/>
    <w:rsid w:val="00B8292A"/>
    <w:rsid w:val="00B83852"/>
    <w:rsid w:val="00B84D49"/>
    <w:rsid w:val="00B86E65"/>
    <w:rsid w:val="00B86F95"/>
    <w:rsid w:val="00B916BD"/>
    <w:rsid w:val="00B918CC"/>
    <w:rsid w:val="00B927D6"/>
    <w:rsid w:val="00B928C0"/>
    <w:rsid w:val="00B931C3"/>
    <w:rsid w:val="00B93660"/>
    <w:rsid w:val="00B944CE"/>
    <w:rsid w:val="00BA0003"/>
    <w:rsid w:val="00BA00A8"/>
    <w:rsid w:val="00BA0D5C"/>
    <w:rsid w:val="00BA26B9"/>
    <w:rsid w:val="00BA2B1F"/>
    <w:rsid w:val="00BA301C"/>
    <w:rsid w:val="00BA65D4"/>
    <w:rsid w:val="00BA6A67"/>
    <w:rsid w:val="00BA743C"/>
    <w:rsid w:val="00BA7953"/>
    <w:rsid w:val="00BA7F3B"/>
    <w:rsid w:val="00BB3F5F"/>
    <w:rsid w:val="00BB4803"/>
    <w:rsid w:val="00BB50FF"/>
    <w:rsid w:val="00BB52A5"/>
    <w:rsid w:val="00BB5FF8"/>
    <w:rsid w:val="00BB6554"/>
    <w:rsid w:val="00BB6724"/>
    <w:rsid w:val="00BB702B"/>
    <w:rsid w:val="00BB7947"/>
    <w:rsid w:val="00BC08AF"/>
    <w:rsid w:val="00BC0CAA"/>
    <w:rsid w:val="00BC0F8A"/>
    <w:rsid w:val="00BC1401"/>
    <w:rsid w:val="00BC1551"/>
    <w:rsid w:val="00BC1625"/>
    <w:rsid w:val="00BC1635"/>
    <w:rsid w:val="00BC4EDA"/>
    <w:rsid w:val="00BC5866"/>
    <w:rsid w:val="00BD1868"/>
    <w:rsid w:val="00BD2C8C"/>
    <w:rsid w:val="00BD3D02"/>
    <w:rsid w:val="00BD582C"/>
    <w:rsid w:val="00BD6A52"/>
    <w:rsid w:val="00BE02A7"/>
    <w:rsid w:val="00BE1740"/>
    <w:rsid w:val="00BE1819"/>
    <w:rsid w:val="00BE1A8D"/>
    <w:rsid w:val="00BE2524"/>
    <w:rsid w:val="00BE27CC"/>
    <w:rsid w:val="00BE2FFB"/>
    <w:rsid w:val="00BE6008"/>
    <w:rsid w:val="00BE6022"/>
    <w:rsid w:val="00BE6913"/>
    <w:rsid w:val="00BF01D6"/>
    <w:rsid w:val="00BF308A"/>
    <w:rsid w:val="00BF5907"/>
    <w:rsid w:val="00BF63C7"/>
    <w:rsid w:val="00C0001F"/>
    <w:rsid w:val="00C00201"/>
    <w:rsid w:val="00C005B8"/>
    <w:rsid w:val="00C00D52"/>
    <w:rsid w:val="00C00FCF"/>
    <w:rsid w:val="00C01DCF"/>
    <w:rsid w:val="00C01F88"/>
    <w:rsid w:val="00C041DB"/>
    <w:rsid w:val="00C05EAF"/>
    <w:rsid w:val="00C100BA"/>
    <w:rsid w:val="00C12E81"/>
    <w:rsid w:val="00C1633D"/>
    <w:rsid w:val="00C16DC3"/>
    <w:rsid w:val="00C17ACC"/>
    <w:rsid w:val="00C17BE4"/>
    <w:rsid w:val="00C22B8C"/>
    <w:rsid w:val="00C23B56"/>
    <w:rsid w:val="00C2417C"/>
    <w:rsid w:val="00C24A3C"/>
    <w:rsid w:val="00C255E2"/>
    <w:rsid w:val="00C2774C"/>
    <w:rsid w:val="00C30F02"/>
    <w:rsid w:val="00C31481"/>
    <w:rsid w:val="00C31560"/>
    <w:rsid w:val="00C320D0"/>
    <w:rsid w:val="00C3475B"/>
    <w:rsid w:val="00C34AB9"/>
    <w:rsid w:val="00C40138"/>
    <w:rsid w:val="00C41723"/>
    <w:rsid w:val="00C43246"/>
    <w:rsid w:val="00C43258"/>
    <w:rsid w:val="00C433B9"/>
    <w:rsid w:val="00C4348F"/>
    <w:rsid w:val="00C462AF"/>
    <w:rsid w:val="00C46C75"/>
    <w:rsid w:val="00C51921"/>
    <w:rsid w:val="00C530B3"/>
    <w:rsid w:val="00C57917"/>
    <w:rsid w:val="00C57B4D"/>
    <w:rsid w:val="00C63E5C"/>
    <w:rsid w:val="00C64710"/>
    <w:rsid w:val="00C652A2"/>
    <w:rsid w:val="00C6534F"/>
    <w:rsid w:val="00C67025"/>
    <w:rsid w:val="00C6717E"/>
    <w:rsid w:val="00C6796B"/>
    <w:rsid w:val="00C712E8"/>
    <w:rsid w:val="00C71D96"/>
    <w:rsid w:val="00C756A1"/>
    <w:rsid w:val="00C76890"/>
    <w:rsid w:val="00C82267"/>
    <w:rsid w:val="00C82305"/>
    <w:rsid w:val="00C83B47"/>
    <w:rsid w:val="00C83CFE"/>
    <w:rsid w:val="00C840B9"/>
    <w:rsid w:val="00C84446"/>
    <w:rsid w:val="00C84531"/>
    <w:rsid w:val="00C84FBF"/>
    <w:rsid w:val="00C8705C"/>
    <w:rsid w:val="00C90A1D"/>
    <w:rsid w:val="00C91AC5"/>
    <w:rsid w:val="00C931EB"/>
    <w:rsid w:val="00C93665"/>
    <w:rsid w:val="00C93B33"/>
    <w:rsid w:val="00C94C86"/>
    <w:rsid w:val="00C96B0B"/>
    <w:rsid w:val="00C97C4E"/>
    <w:rsid w:val="00CA1AC7"/>
    <w:rsid w:val="00CA413F"/>
    <w:rsid w:val="00CA4EDC"/>
    <w:rsid w:val="00CA4EE9"/>
    <w:rsid w:val="00CA77C6"/>
    <w:rsid w:val="00CA7FE8"/>
    <w:rsid w:val="00CB022B"/>
    <w:rsid w:val="00CB1777"/>
    <w:rsid w:val="00CB2451"/>
    <w:rsid w:val="00CB309A"/>
    <w:rsid w:val="00CB3924"/>
    <w:rsid w:val="00CB3AED"/>
    <w:rsid w:val="00CC0385"/>
    <w:rsid w:val="00CC6FC2"/>
    <w:rsid w:val="00CD0C67"/>
    <w:rsid w:val="00CD17A5"/>
    <w:rsid w:val="00CD1BCF"/>
    <w:rsid w:val="00CD5E65"/>
    <w:rsid w:val="00CE0990"/>
    <w:rsid w:val="00CE1996"/>
    <w:rsid w:val="00CE296C"/>
    <w:rsid w:val="00CE6975"/>
    <w:rsid w:val="00CE7338"/>
    <w:rsid w:val="00CF0ADD"/>
    <w:rsid w:val="00CF0B79"/>
    <w:rsid w:val="00CF10CA"/>
    <w:rsid w:val="00CF1B61"/>
    <w:rsid w:val="00CF3203"/>
    <w:rsid w:val="00CF3F04"/>
    <w:rsid w:val="00CF5CA3"/>
    <w:rsid w:val="00CF635C"/>
    <w:rsid w:val="00CF6CA7"/>
    <w:rsid w:val="00D0092E"/>
    <w:rsid w:val="00D00FCB"/>
    <w:rsid w:val="00D02035"/>
    <w:rsid w:val="00D023BF"/>
    <w:rsid w:val="00D03485"/>
    <w:rsid w:val="00D0350B"/>
    <w:rsid w:val="00D054FC"/>
    <w:rsid w:val="00D06FAC"/>
    <w:rsid w:val="00D108F0"/>
    <w:rsid w:val="00D12022"/>
    <w:rsid w:val="00D1483F"/>
    <w:rsid w:val="00D15A99"/>
    <w:rsid w:val="00D169A3"/>
    <w:rsid w:val="00D16BE5"/>
    <w:rsid w:val="00D16EAF"/>
    <w:rsid w:val="00D20754"/>
    <w:rsid w:val="00D21098"/>
    <w:rsid w:val="00D229DD"/>
    <w:rsid w:val="00D23D3F"/>
    <w:rsid w:val="00D244D4"/>
    <w:rsid w:val="00D263C2"/>
    <w:rsid w:val="00D26C09"/>
    <w:rsid w:val="00D27C23"/>
    <w:rsid w:val="00D306BB"/>
    <w:rsid w:val="00D31039"/>
    <w:rsid w:val="00D3183A"/>
    <w:rsid w:val="00D31AC6"/>
    <w:rsid w:val="00D32296"/>
    <w:rsid w:val="00D32BD5"/>
    <w:rsid w:val="00D33ACA"/>
    <w:rsid w:val="00D35C7F"/>
    <w:rsid w:val="00D408B6"/>
    <w:rsid w:val="00D40B87"/>
    <w:rsid w:val="00D4246F"/>
    <w:rsid w:val="00D4291C"/>
    <w:rsid w:val="00D4511E"/>
    <w:rsid w:val="00D50060"/>
    <w:rsid w:val="00D50400"/>
    <w:rsid w:val="00D51708"/>
    <w:rsid w:val="00D51720"/>
    <w:rsid w:val="00D53296"/>
    <w:rsid w:val="00D53E41"/>
    <w:rsid w:val="00D55282"/>
    <w:rsid w:val="00D55771"/>
    <w:rsid w:val="00D56FCC"/>
    <w:rsid w:val="00D57148"/>
    <w:rsid w:val="00D57174"/>
    <w:rsid w:val="00D60180"/>
    <w:rsid w:val="00D6131D"/>
    <w:rsid w:val="00D628C3"/>
    <w:rsid w:val="00D62EDA"/>
    <w:rsid w:val="00D7016E"/>
    <w:rsid w:val="00D70F10"/>
    <w:rsid w:val="00D711D1"/>
    <w:rsid w:val="00D712EF"/>
    <w:rsid w:val="00D7345E"/>
    <w:rsid w:val="00D73677"/>
    <w:rsid w:val="00D73726"/>
    <w:rsid w:val="00D74782"/>
    <w:rsid w:val="00D74CD8"/>
    <w:rsid w:val="00D75830"/>
    <w:rsid w:val="00D7631B"/>
    <w:rsid w:val="00D76915"/>
    <w:rsid w:val="00D769DE"/>
    <w:rsid w:val="00D770C6"/>
    <w:rsid w:val="00D771FE"/>
    <w:rsid w:val="00D80093"/>
    <w:rsid w:val="00D80651"/>
    <w:rsid w:val="00D8068A"/>
    <w:rsid w:val="00D813B2"/>
    <w:rsid w:val="00D84A6D"/>
    <w:rsid w:val="00D84D6C"/>
    <w:rsid w:val="00D85667"/>
    <w:rsid w:val="00D85782"/>
    <w:rsid w:val="00D85DE2"/>
    <w:rsid w:val="00D864B4"/>
    <w:rsid w:val="00D86B2B"/>
    <w:rsid w:val="00D8709B"/>
    <w:rsid w:val="00D872A5"/>
    <w:rsid w:val="00D872CD"/>
    <w:rsid w:val="00D8733D"/>
    <w:rsid w:val="00D8775D"/>
    <w:rsid w:val="00D90C40"/>
    <w:rsid w:val="00D91846"/>
    <w:rsid w:val="00D94753"/>
    <w:rsid w:val="00D96CFD"/>
    <w:rsid w:val="00D971FE"/>
    <w:rsid w:val="00DA0193"/>
    <w:rsid w:val="00DA0909"/>
    <w:rsid w:val="00DA224E"/>
    <w:rsid w:val="00DA30A9"/>
    <w:rsid w:val="00DA4FDD"/>
    <w:rsid w:val="00DA627E"/>
    <w:rsid w:val="00DA6EBA"/>
    <w:rsid w:val="00DA7820"/>
    <w:rsid w:val="00DA7F4F"/>
    <w:rsid w:val="00DB16B9"/>
    <w:rsid w:val="00DB16F0"/>
    <w:rsid w:val="00DB20C7"/>
    <w:rsid w:val="00DB23F9"/>
    <w:rsid w:val="00DB24CB"/>
    <w:rsid w:val="00DB352E"/>
    <w:rsid w:val="00DB36E5"/>
    <w:rsid w:val="00DB3AC8"/>
    <w:rsid w:val="00DB4278"/>
    <w:rsid w:val="00DB4704"/>
    <w:rsid w:val="00DB4CA7"/>
    <w:rsid w:val="00DB4DDE"/>
    <w:rsid w:val="00DB52F0"/>
    <w:rsid w:val="00DB6A51"/>
    <w:rsid w:val="00DB75BD"/>
    <w:rsid w:val="00DC03EC"/>
    <w:rsid w:val="00DC30AB"/>
    <w:rsid w:val="00DC384C"/>
    <w:rsid w:val="00DC38BB"/>
    <w:rsid w:val="00DC51F4"/>
    <w:rsid w:val="00DC59B4"/>
    <w:rsid w:val="00DC6A7B"/>
    <w:rsid w:val="00DC6FE1"/>
    <w:rsid w:val="00DD033B"/>
    <w:rsid w:val="00DD04DD"/>
    <w:rsid w:val="00DD16D2"/>
    <w:rsid w:val="00DD3B71"/>
    <w:rsid w:val="00DE0A2B"/>
    <w:rsid w:val="00DE0E22"/>
    <w:rsid w:val="00DE2595"/>
    <w:rsid w:val="00DE3579"/>
    <w:rsid w:val="00DE3FBA"/>
    <w:rsid w:val="00DE57CF"/>
    <w:rsid w:val="00DE58EE"/>
    <w:rsid w:val="00DE596C"/>
    <w:rsid w:val="00DF05CC"/>
    <w:rsid w:val="00DF3D51"/>
    <w:rsid w:val="00DF3F8B"/>
    <w:rsid w:val="00DF4D64"/>
    <w:rsid w:val="00DF52EF"/>
    <w:rsid w:val="00DF5DE3"/>
    <w:rsid w:val="00DF6FD3"/>
    <w:rsid w:val="00E0008F"/>
    <w:rsid w:val="00E00E63"/>
    <w:rsid w:val="00E02014"/>
    <w:rsid w:val="00E024C4"/>
    <w:rsid w:val="00E02E57"/>
    <w:rsid w:val="00E03D93"/>
    <w:rsid w:val="00E0404E"/>
    <w:rsid w:val="00E05148"/>
    <w:rsid w:val="00E06E02"/>
    <w:rsid w:val="00E0774A"/>
    <w:rsid w:val="00E1221D"/>
    <w:rsid w:val="00E13524"/>
    <w:rsid w:val="00E1520E"/>
    <w:rsid w:val="00E16331"/>
    <w:rsid w:val="00E2008A"/>
    <w:rsid w:val="00E21273"/>
    <w:rsid w:val="00E22CCA"/>
    <w:rsid w:val="00E23690"/>
    <w:rsid w:val="00E24777"/>
    <w:rsid w:val="00E249DE"/>
    <w:rsid w:val="00E24C25"/>
    <w:rsid w:val="00E2551B"/>
    <w:rsid w:val="00E275D3"/>
    <w:rsid w:val="00E3149F"/>
    <w:rsid w:val="00E3175C"/>
    <w:rsid w:val="00E31B9D"/>
    <w:rsid w:val="00E32558"/>
    <w:rsid w:val="00E327C2"/>
    <w:rsid w:val="00E35A12"/>
    <w:rsid w:val="00E35BDD"/>
    <w:rsid w:val="00E35D4B"/>
    <w:rsid w:val="00E36927"/>
    <w:rsid w:val="00E36C4E"/>
    <w:rsid w:val="00E378CB"/>
    <w:rsid w:val="00E37F33"/>
    <w:rsid w:val="00E40469"/>
    <w:rsid w:val="00E404E6"/>
    <w:rsid w:val="00E4062D"/>
    <w:rsid w:val="00E40FA5"/>
    <w:rsid w:val="00E422AB"/>
    <w:rsid w:val="00E42842"/>
    <w:rsid w:val="00E438C3"/>
    <w:rsid w:val="00E45268"/>
    <w:rsid w:val="00E45DA3"/>
    <w:rsid w:val="00E46537"/>
    <w:rsid w:val="00E466B6"/>
    <w:rsid w:val="00E46FA0"/>
    <w:rsid w:val="00E50CD0"/>
    <w:rsid w:val="00E516A8"/>
    <w:rsid w:val="00E51F0A"/>
    <w:rsid w:val="00E524AD"/>
    <w:rsid w:val="00E52FF8"/>
    <w:rsid w:val="00E543D6"/>
    <w:rsid w:val="00E55226"/>
    <w:rsid w:val="00E55AF9"/>
    <w:rsid w:val="00E570B5"/>
    <w:rsid w:val="00E6130F"/>
    <w:rsid w:val="00E6149C"/>
    <w:rsid w:val="00E62E54"/>
    <w:rsid w:val="00E649ED"/>
    <w:rsid w:val="00E64BEC"/>
    <w:rsid w:val="00E65178"/>
    <w:rsid w:val="00E652D3"/>
    <w:rsid w:val="00E65B64"/>
    <w:rsid w:val="00E66F76"/>
    <w:rsid w:val="00E6740D"/>
    <w:rsid w:val="00E729B8"/>
    <w:rsid w:val="00E73483"/>
    <w:rsid w:val="00E73CC0"/>
    <w:rsid w:val="00E73E65"/>
    <w:rsid w:val="00E74A4A"/>
    <w:rsid w:val="00E77EF1"/>
    <w:rsid w:val="00E8175A"/>
    <w:rsid w:val="00E81C49"/>
    <w:rsid w:val="00E8531E"/>
    <w:rsid w:val="00E85FC3"/>
    <w:rsid w:val="00E86381"/>
    <w:rsid w:val="00E872C6"/>
    <w:rsid w:val="00E91DF2"/>
    <w:rsid w:val="00E921B9"/>
    <w:rsid w:val="00E94D64"/>
    <w:rsid w:val="00E94E62"/>
    <w:rsid w:val="00E9690B"/>
    <w:rsid w:val="00E97B6A"/>
    <w:rsid w:val="00EA1ED5"/>
    <w:rsid w:val="00EA2591"/>
    <w:rsid w:val="00EA2EFD"/>
    <w:rsid w:val="00EA39B2"/>
    <w:rsid w:val="00EA444D"/>
    <w:rsid w:val="00EA4B54"/>
    <w:rsid w:val="00EA53D6"/>
    <w:rsid w:val="00EA65DD"/>
    <w:rsid w:val="00EA6B77"/>
    <w:rsid w:val="00EA6BE4"/>
    <w:rsid w:val="00EA6CF2"/>
    <w:rsid w:val="00EA77C5"/>
    <w:rsid w:val="00EB08CA"/>
    <w:rsid w:val="00EB1E31"/>
    <w:rsid w:val="00EB4568"/>
    <w:rsid w:val="00EB462C"/>
    <w:rsid w:val="00EB53A9"/>
    <w:rsid w:val="00EB7248"/>
    <w:rsid w:val="00EC0923"/>
    <w:rsid w:val="00EC0CF1"/>
    <w:rsid w:val="00EC1733"/>
    <w:rsid w:val="00EC2209"/>
    <w:rsid w:val="00EC3233"/>
    <w:rsid w:val="00EC3BB1"/>
    <w:rsid w:val="00EC47E4"/>
    <w:rsid w:val="00EC517E"/>
    <w:rsid w:val="00EC6BBB"/>
    <w:rsid w:val="00ED0285"/>
    <w:rsid w:val="00ED10AA"/>
    <w:rsid w:val="00ED200D"/>
    <w:rsid w:val="00ED3652"/>
    <w:rsid w:val="00ED445C"/>
    <w:rsid w:val="00ED5AF6"/>
    <w:rsid w:val="00ED6FE7"/>
    <w:rsid w:val="00EE06D7"/>
    <w:rsid w:val="00EE074B"/>
    <w:rsid w:val="00EE0996"/>
    <w:rsid w:val="00EE0BB3"/>
    <w:rsid w:val="00EE0D09"/>
    <w:rsid w:val="00EE16B0"/>
    <w:rsid w:val="00EE4F57"/>
    <w:rsid w:val="00EE5E30"/>
    <w:rsid w:val="00EE716E"/>
    <w:rsid w:val="00EE75F2"/>
    <w:rsid w:val="00EF071C"/>
    <w:rsid w:val="00EF2567"/>
    <w:rsid w:val="00EF2A96"/>
    <w:rsid w:val="00EF3181"/>
    <w:rsid w:val="00EF400A"/>
    <w:rsid w:val="00EF52B7"/>
    <w:rsid w:val="00EF53A2"/>
    <w:rsid w:val="00EF6D31"/>
    <w:rsid w:val="00EF7C9B"/>
    <w:rsid w:val="00F00271"/>
    <w:rsid w:val="00F00D0A"/>
    <w:rsid w:val="00F00F6D"/>
    <w:rsid w:val="00F01093"/>
    <w:rsid w:val="00F02556"/>
    <w:rsid w:val="00F040FA"/>
    <w:rsid w:val="00F044A5"/>
    <w:rsid w:val="00F05BEB"/>
    <w:rsid w:val="00F070DD"/>
    <w:rsid w:val="00F07653"/>
    <w:rsid w:val="00F10993"/>
    <w:rsid w:val="00F14030"/>
    <w:rsid w:val="00F14FF9"/>
    <w:rsid w:val="00F15631"/>
    <w:rsid w:val="00F15A01"/>
    <w:rsid w:val="00F15E10"/>
    <w:rsid w:val="00F166FD"/>
    <w:rsid w:val="00F17135"/>
    <w:rsid w:val="00F17E6E"/>
    <w:rsid w:val="00F23073"/>
    <w:rsid w:val="00F2371A"/>
    <w:rsid w:val="00F23F7F"/>
    <w:rsid w:val="00F26A05"/>
    <w:rsid w:val="00F26BC2"/>
    <w:rsid w:val="00F32883"/>
    <w:rsid w:val="00F32C55"/>
    <w:rsid w:val="00F33AF4"/>
    <w:rsid w:val="00F34875"/>
    <w:rsid w:val="00F35709"/>
    <w:rsid w:val="00F35D8D"/>
    <w:rsid w:val="00F37606"/>
    <w:rsid w:val="00F37F1D"/>
    <w:rsid w:val="00F4092B"/>
    <w:rsid w:val="00F42A8E"/>
    <w:rsid w:val="00F43A73"/>
    <w:rsid w:val="00F45BB8"/>
    <w:rsid w:val="00F47E03"/>
    <w:rsid w:val="00F50867"/>
    <w:rsid w:val="00F50A1F"/>
    <w:rsid w:val="00F52A41"/>
    <w:rsid w:val="00F5320D"/>
    <w:rsid w:val="00F536B8"/>
    <w:rsid w:val="00F53C71"/>
    <w:rsid w:val="00F56FFD"/>
    <w:rsid w:val="00F57766"/>
    <w:rsid w:val="00F577BB"/>
    <w:rsid w:val="00F57C3B"/>
    <w:rsid w:val="00F64486"/>
    <w:rsid w:val="00F70C68"/>
    <w:rsid w:val="00F711A3"/>
    <w:rsid w:val="00F73D68"/>
    <w:rsid w:val="00F76383"/>
    <w:rsid w:val="00F7760A"/>
    <w:rsid w:val="00F80E61"/>
    <w:rsid w:val="00F818F6"/>
    <w:rsid w:val="00F82129"/>
    <w:rsid w:val="00F8258A"/>
    <w:rsid w:val="00F831DE"/>
    <w:rsid w:val="00F83926"/>
    <w:rsid w:val="00F84F96"/>
    <w:rsid w:val="00F85FEF"/>
    <w:rsid w:val="00F868B1"/>
    <w:rsid w:val="00F86FB4"/>
    <w:rsid w:val="00F87971"/>
    <w:rsid w:val="00F914C6"/>
    <w:rsid w:val="00F927F2"/>
    <w:rsid w:val="00F92E95"/>
    <w:rsid w:val="00FA085F"/>
    <w:rsid w:val="00FA0ECE"/>
    <w:rsid w:val="00FA132F"/>
    <w:rsid w:val="00FA177F"/>
    <w:rsid w:val="00FA2558"/>
    <w:rsid w:val="00FA2C1B"/>
    <w:rsid w:val="00FA34B5"/>
    <w:rsid w:val="00FA5174"/>
    <w:rsid w:val="00FA61EE"/>
    <w:rsid w:val="00FA773D"/>
    <w:rsid w:val="00FB06EC"/>
    <w:rsid w:val="00FB080A"/>
    <w:rsid w:val="00FB1037"/>
    <w:rsid w:val="00FB1698"/>
    <w:rsid w:val="00FB1CBF"/>
    <w:rsid w:val="00FB2153"/>
    <w:rsid w:val="00FB23FC"/>
    <w:rsid w:val="00FB3F6E"/>
    <w:rsid w:val="00FB515C"/>
    <w:rsid w:val="00FB67FC"/>
    <w:rsid w:val="00FB7BA1"/>
    <w:rsid w:val="00FC021F"/>
    <w:rsid w:val="00FC0572"/>
    <w:rsid w:val="00FC259A"/>
    <w:rsid w:val="00FC2CAF"/>
    <w:rsid w:val="00FC38CA"/>
    <w:rsid w:val="00FC65A0"/>
    <w:rsid w:val="00FC668E"/>
    <w:rsid w:val="00FC755B"/>
    <w:rsid w:val="00FD080A"/>
    <w:rsid w:val="00FD109D"/>
    <w:rsid w:val="00FD4E25"/>
    <w:rsid w:val="00FD5465"/>
    <w:rsid w:val="00FD6480"/>
    <w:rsid w:val="00FD715D"/>
    <w:rsid w:val="00FD78E3"/>
    <w:rsid w:val="00FE0668"/>
    <w:rsid w:val="00FE0A87"/>
    <w:rsid w:val="00FE146B"/>
    <w:rsid w:val="00FE190A"/>
    <w:rsid w:val="00FE1C46"/>
    <w:rsid w:val="00FE1FF1"/>
    <w:rsid w:val="00FE263B"/>
    <w:rsid w:val="00FE2743"/>
    <w:rsid w:val="00FE28BF"/>
    <w:rsid w:val="00FE334C"/>
    <w:rsid w:val="00FE3DFD"/>
    <w:rsid w:val="00FE6246"/>
    <w:rsid w:val="00FE64F6"/>
    <w:rsid w:val="00FE729D"/>
    <w:rsid w:val="00FE72CE"/>
    <w:rsid w:val="00FE7684"/>
    <w:rsid w:val="00FF0645"/>
    <w:rsid w:val="00FF0FFD"/>
    <w:rsid w:val="00FF187C"/>
    <w:rsid w:val="00FF1C8D"/>
    <w:rsid w:val="00FF326C"/>
    <w:rsid w:val="00FF3DA0"/>
    <w:rsid w:val="00FF465B"/>
    <w:rsid w:val="00FF49A1"/>
    <w:rsid w:val="00FF4B76"/>
    <w:rsid w:val="00FF5913"/>
    <w:rsid w:val="00FF5981"/>
    <w:rsid w:val="00FF5F79"/>
    <w:rsid w:val="00FF6074"/>
    <w:rsid w:val="00FF67A1"/>
    <w:rsid w:val="00FF6F6B"/>
    <w:rsid w:val="00FF7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3424E"/>
  <w15:chartTrackingRefBased/>
  <w15:docId w15:val="{DDCAA82B-4E9A-4C26-AEB2-1BF13281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688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42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C4325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kapitzlist">
    <w:name w:val="List Paragraph"/>
    <w:basedOn w:val="Normalny"/>
    <w:uiPriority w:val="34"/>
    <w:qFormat/>
    <w:rsid w:val="003A3AE0"/>
    <w:pPr>
      <w:ind w:left="720"/>
      <w:contextualSpacing/>
    </w:pPr>
  </w:style>
  <w:style w:type="paragraph" w:styleId="Tekstdymka">
    <w:name w:val="Balloon Text"/>
    <w:basedOn w:val="Normalny"/>
    <w:link w:val="TekstdymkaZnak"/>
    <w:uiPriority w:val="99"/>
    <w:semiHidden/>
    <w:unhideWhenUsed/>
    <w:rsid w:val="00B45A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5AB3"/>
    <w:rPr>
      <w:rFonts w:ascii="Segoe UI" w:hAnsi="Segoe UI" w:cs="Segoe UI"/>
      <w:sz w:val="18"/>
      <w:szCs w:val="18"/>
    </w:rPr>
  </w:style>
  <w:style w:type="character" w:styleId="Hipercze">
    <w:name w:val="Hyperlink"/>
    <w:basedOn w:val="Domylnaczcionkaakapitu"/>
    <w:uiPriority w:val="99"/>
    <w:unhideWhenUsed/>
    <w:rsid w:val="00A74328"/>
    <w:rPr>
      <w:color w:val="0563C1" w:themeColor="hyperlink"/>
      <w:u w:val="single"/>
    </w:rPr>
  </w:style>
  <w:style w:type="character" w:styleId="Nierozpoznanawzmianka">
    <w:name w:val="Unresolved Mention"/>
    <w:basedOn w:val="Domylnaczcionkaakapitu"/>
    <w:uiPriority w:val="99"/>
    <w:semiHidden/>
    <w:unhideWhenUsed/>
    <w:rsid w:val="006A4894"/>
    <w:rPr>
      <w:color w:val="605E5C"/>
      <w:shd w:val="clear" w:color="auto" w:fill="E1DFDD"/>
    </w:rPr>
  </w:style>
  <w:style w:type="character" w:styleId="UyteHipercze">
    <w:name w:val="FollowedHyperlink"/>
    <w:basedOn w:val="Domylnaczcionkaakapitu"/>
    <w:uiPriority w:val="99"/>
    <w:semiHidden/>
    <w:unhideWhenUsed/>
    <w:rsid w:val="00636683"/>
    <w:rPr>
      <w:color w:val="954F72" w:themeColor="followedHyperlink"/>
      <w:u w:val="single"/>
    </w:rPr>
  </w:style>
  <w:style w:type="character" w:styleId="Uwydatnienie">
    <w:name w:val="Emphasis"/>
    <w:basedOn w:val="Domylnaczcionkaakapitu"/>
    <w:uiPriority w:val="20"/>
    <w:qFormat/>
    <w:rsid w:val="009F102A"/>
    <w:rPr>
      <w:i/>
      <w:iCs/>
    </w:rPr>
  </w:style>
  <w:style w:type="character" w:styleId="Pogrubienie">
    <w:name w:val="Strong"/>
    <w:basedOn w:val="Domylnaczcionkaakapitu"/>
    <w:uiPriority w:val="22"/>
    <w:qFormat/>
    <w:rsid w:val="009215D1"/>
    <w:rPr>
      <w:b/>
      <w:bCs/>
    </w:rPr>
  </w:style>
  <w:style w:type="character" w:customStyle="1" w:styleId="heading3">
    <w:name w:val="heading3"/>
    <w:basedOn w:val="Domylnaczcionkaakapitu"/>
    <w:rsid w:val="003116DE"/>
    <w:rPr>
      <w:b/>
    </w:rPr>
  </w:style>
  <w:style w:type="character" w:customStyle="1" w:styleId="apple-converted-space">
    <w:name w:val="apple-converted-space"/>
    <w:basedOn w:val="Domylnaczcionkaakapitu"/>
    <w:rsid w:val="00FE146B"/>
  </w:style>
  <w:style w:type="character" w:customStyle="1" w:styleId="anchor-text">
    <w:name w:val="anchor-text"/>
    <w:basedOn w:val="Domylnaczcionkaakapitu"/>
    <w:rsid w:val="00FE146B"/>
  </w:style>
  <w:style w:type="character" w:customStyle="1" w:styleId="citationsource-journal">
    <w:name w:val="citation_source-journal"/>
    <w:basedOn w:val="Domylnaczcionkaakapitu"/>
    <w:rsid w:val="00FE146B"/>
  </w:style>
  <w:style w:type="character" w:customStyle="1" w:styleId="html-italic">
    <w:name w:val="html-italic"/>
    <w:basedOn w:val="Domylnaczcionkaakapitu"/>
    <w:rsid w:val="00FE146B"/>
  </w:style>
  <w:style w:type="character" w:customStyle="1" w:styleId="normaltextrun">
    <w:name w:val="normaltextrun"/>
    <w:basedOn w:val="Domylnaczcionkaakapitu"/>
    <w:rsid w:val="00FE146B"/>
  </w:style>
  <w:style w:type="paragraph" w:customStyle="1" w:styleId="p1">
    <w:name w:val="p1"/>
    <w:basedOn w:val="Normalny"/>
    <w:rsid w:val="00046A9A"/>
    <w:pPr>
      <w:spacing w:after="0" w:line="240" w:lineRule="auto"/>
    </w:pPr>
    <w:rPr>
      <w:rFonts w:ascii="Times New Roman" w:eastAsia="Times New Roman" w:hAnsi="Times New Roman" w:cs="Times New Roman"/>
      <w:color w:val="000000"/>
      <w:sz w:val="14"/>
      <w:szCs w:val="14"/>
      <w:lang w:eastAsia="en-GB"/>
    </w:rPr>
  </w:style>
  <w:style w:type="paragraph" w:customStyle="1" w:styleId="Rab1">
    <w:name w:val="R_ab1"/>
    <w:next w:val="Normalny"/>
    <w:autoRedefine/>
    <w:qFormat/>
    <w:rsid w:val="00F80E61"/>
    <w:pPr>
      <w:suppressAutoHyphens/>
      <w:spacing w:before="120" w:after="0" w:line="240" w:lineRule="auto"/>
      <w:ind w:left="567" w:right="567"/>
      <w:jc w:val="both"/>
    </w:pPr>
    <w:rPr>
      <w:rFonts w:ascii="Times New Roman" w:eastAsia="SimSun" w:hAnsi="Times New Roman" w:cs="Times New Roman"/>
      <w:kern w:val="2"/>
      <w:sz w:val="18"/>
      <w:szCs w:val="20"/>
      <w:lang w:val="en-GB" w:eastAsia="pl-PL"/>
      <w14:ligatures w14:val="standardContextual"/>
    </w:rPr>
  </w:style>
  <w:style w:type="paragraph" w:customStyle="1" w:styleId="Rab2">
    <w:name w:val="R_ab2"/>
    <w:basedOn w:val="Rab1"/>
    <w:next w:val="Normalny"/>
    <w:autoRedefine/>
    <w:qFormat/>
    <w:rsid w:val="00F80E61"/>
    <w:pPr>
      <w:spacing w:before="60"/>
    </w:pPr>
  </w:style>
  <w:style w:type="paragraph" w:customStyle="1" w:styleId="Rafiliacja">
    <w:name w:val="R_afiliacja"/>
    <w:basedOn w:val="Normalny"/>
    <w:link w:val="RafiliacjaZnak"/>
    <w:qFormat/>
    <w:rsid w:val="00F80E61"/>
    <w:pPr>
      <w:suppressAutoHyphens/>
      <w:spacing w:after="0" w:line="240" w:lineRule="auto"/>
      <w:jc w:val="center"/>
    </w:pPr>
    <w:rPr>
      <w:rFonts w:ascii="Times New Roman" w:hAnsi="Times New Roman" w:cs="Times New Roman"/>
      <w:i/>
      <w:kern w:val="2"/>
      <w:sz w:val="20"/>
      <w:szCs w:val="28"/>
      <w:lang w:val="pl-PL"/>
      <w14:ligatures w14:val="standardContextual"/>
    </w:rPr>
  </w:style>
  <w:style w:type="character" w:customStyle="1" w:styleId="RafiliacjaZnak">
    <w:name w:val="R_afiliacja Znak"/>
    <w:basedOn w:val="Domylnaczcionkaakapitu"/>
    <w:link w:val="Rafiliacja"/>
    <w:rsid w:val="00F80E61"/>
    <w:rPr>
      <w:rFonts w:ascii="Times New Roman" w:hAnsi="Times New Roman" w:cs="Times New Roman"/>
      <w:i/>
      <w:kern w:val="2"/>
      <w:sz w:val="20"/>
      <w:szCs w:val="28"/>
      <w:lang w:val="pl-PL"/>
      <w14:ligatures w14:val="standardContextual"/>
    </w:rPr>
  </w:style>
  <w:style w:type="paragraph" w:customStyle="1" w:styleId="Rauco">
    <w:name w:val="R_au_co"/>
    <w:basedOn w:val="Rafiliacja"/>
    <w:autoRedefine/>
    <w:qFormat/>
    <w:rsid w:val="00F80E61"/>
    <w:pPr>
      <w:spacing w:before="120"/>
    </w:pPr>
    <w:rPr>
      <w:lang w:val="en-GB"/>
    </w:rPr>
  </w:style>
  <w:style w:type="paragraph" w:customStyle="1" w:styleId="Rn1">
    <w:name w:val="R_n1"/>
    <w:basedOn w:val="Normalny"/>
    <w:link w:val="Rn1Znak"/>
    <w:qFormat/>
    <w:rsid w:val="00F80E61"/>
    <w:pPr>
      <w:suppressAutoHyphens/>
      <w:spacing w:before="240" w:after="120" w:line="240" w:lineRule="auto"/>
      <w:jc w:val="both"/>
    </w:pPr>
    <w:rPr>
      <w:rFonts w:ascii="Times New Roman" w:hAnsi="Times New Roman"/>
      <w:b/>
      <w:kern w:val="2"/>
      <w:sz w:val="24"/>
      <w:lang w:val="pl-PL"/>
      <w14:ligatures w14:val="standardContextual"/>
    </w:rPr>
  </w:style>
  <w:style w:type="character" w:customStyle="1" w:styleId="Rn1Znak">
    <w:name w:val="R_n1 Znak"/>
    <w:basedOn w:val="Domylnaczcionkaakapitu"/>
    <w:link w:val="Rn1"/>
    <w:rsid w:val="00F80E61"/>
    <w:rPr>
      <w:rFonts w:ascii="Times New Roman" w:hAnsi="Times New Roman"/>
      <w:b/>
      <w:kern w:val="2"/>
      <w:sz w:val="24"/>
      <w:lang w:val="pl-PL"/>
      <w14:ligatures w14:val="standardContextual"/>
    </w:rPr>
  </w:style>
  <w:style w:type="paragraph" w:customStyle="1" w:styleId="Rn2">
    <w:name w:val="R_n2"/>
    <w:basedOn w:val="Rn1"/>
    <w:link w:val="Rn2Znak"/>
    <w:qFormat/>
    <w:rsid w:val="00F80E61"/>
    <w:pPr>
      <w:spacing w:before="120"/>
      <w:jc w:val="left"/>
    </w:pPr>
    <w:rPr>
      <w:sz w:val="22"/>
    </w:rPr>
  </w:style>
  <w:style w:type="character" w:customStyle="1" w:styleId="Rn2Znak">
    <w:name w:val="R_n2 Znak"/>
    <w:link w:val="Rn2"/>
    <w:rsid w:val="00F80E61"/>
    <w:rPr>
      <w:rFonts w:ascii="Times New Roman" w:hAnsi="Times New Roman"/>
      <w:b/>
      <w:kern w:val="2"/>
      <w:lang w:val="pl-PL"/>
      <w14:ligatures w14:val="standardContextual"/>
    </w:rPr>
  </w:style>
  <w:style w:type="paragraph" w:customStyle="1" w:styleId="Rtytu">
    <w:name w:val="R_tytuł"/>
    <w:basedOn w:val="Rn2"/>
    <w:link w:val="RtytuZnak"/>
    <w:autoRedefine/>
    <w:qFormat/>
    <w:rsid w:val="00F80E61"/>
    <w:pPr>
      <w:spacing w:before="240" w:after="0"/>
      <w:jc w:val="center"/>
    </w:pPr>
    <w:rPr>
      <w:sz w:val="24"/>
      <w:szCs w:val="28"/>
    </w:rPr>
  </w:style>
  <w:style w:type="character" w:customStyle="1" w:styleId="RtytuZnak">
    <w:name w:val="R_tytuł Znak"/>
    <w:basedOn w:val="Rn2Znak"/>
    <w:link w:val="Rtytu"/>
    <w:rsid w:val="00F80E61"/>
    <w:rPr>
      <w:rFonts w:ascii="Times New Roman" w:hAnsi="Times New Roman"/>
      <w:b/>
      <w:kern w:val="2"/>
      <w:sz w:val="24"/>
      <w:szCs w:val="28"/>
      <w:lang w:val="pl-PL"/>
      <w14:ligatures w14:val="standardContextual"/>
    </w:rPr>
  </w:style>
  <w:style w:type="paragraph" w:customStyle="1" w:styleId="Rautor">
    <w:name w:val="R_autor"/>
    <w:basedOn w:val="Rtytu"/>
    <w:link w:val="RautorZnak"/>
    <w:autoRedefine/>
    <w:qFormat/>
    <w:rsid w:val="00F80E61"/>
    <w:pPr>
      <w:spacing w:before="120"/>
    </w:pPr>
    <w:rPr>
      <w:rFonts w:eastAsia="Calibri" w:cs="Times New Roman"/>
      <w:b w:val="0"/>
      <w:i/>
    </w:rPr>
  </w:style>
  <w:style w:type="character" w:customStyle="1" w:styleId="RautorZnak">
    <w:name w:val="R_autor Znak"/>
    <w:link w:val="Rautor"/>
    <w:rsid w:val="00F80E61"/>
    <w:rPr>
      <w:rFonts w:ascii="Times New Roman" w:eastAsia="Calibri" w:hAnsi="Times New Roman" w:cs="Times New Roman"/>
      <w:i/>
      <w:kern w:val="2"/>
      <w:sz w:val="24"/>
      <w:szCs w:val="28"/>
      <w:lang w:val="pl-PL"/>
      <w14:ligatures w14:val="standardContextual"/>
    </w:rPr>
  </w:style>
  <w:style w:type="paragraph" w:customStyle="1" w:styleId="Rlit">
    <w:name w:val="R_lit"/>
    <w:basedOn w:val="Normalny"/>
    <w:link w:val="RlitZnak"/>
    <w:qFormat/>
    <w:rsid w:val="00F80E61"/>
    <w:pPr>
      <w:spacing w:after="0" w:line="240" w:lineRule="auto"/>
      <w:ind w:left="425" w:hanging="425"/>
      <w:jc w:val="both"/>
    </w:pPr>
    <w:rPr>
      <w:rFonts w:ascii="Times New Roman" w:eastAsia="Times New Roman" w:hAnsi="Times New Roman" w:cs="Times New Roman"/>
      <w:kern w:val="2"/>
      <w:sz w:val="20"/>
      <w:szCs w:val="20"/>
      <w:lang w:val="en-US" w:eastAsia="pl-PL"/>
      <w14:ligatures w14:val="standardContextual"/>
    </w:rPr>
  </w:style>
  <w:style w:type="character" w:customStyle="1" w:styleId="RlitZnak">
    <w:name w:val="R_lit Znak"/>
    <w:basedOn w:val="Domylnaczcionkaakapitu"/>
    <w:link w:val="Rlit"/>
    <w:rsid w:val="00F80E61"/>
    <w:rPr>
      <w:rFonts w:ascii="Times New Roman" w:eastAsia="Times New Roman" w:hAnsi="Times New Roman" w:cs="Times New Roman"/>
      <w:kern w:val="2"/>
      <w:sz w:val="20"/>
      <w:szCs w:val="20"/>
      <w:lang w:val="en-US" w:eastAsia="pl-PL"/>
      <w14:ligatures w14:val="standardContextual"/>
    </w:rPr>
  </w:style>
  <w:style w:type="paragraph" w:customStyle="1" w:styleId="Rtab">
    <w:name w:val="R_tab"/>
    <w:basedOn w:val="Normalny"/>
    <w:link w:val="RtabZnak"/>
    <w:qFormat/>
    <w:rsid w:val="00F80E61"/>
    <w:pPr>
      <w:suppressAutoHyphens/>
      <w:spacing w:after="120" w:line="240" w:lineRule="auto"/>
    </w:pPr>
    <w:rPr>
      <w:rFonts w:ascii="Times New Roman" w:hAnsi="Times New Roman"/>
      <w:kern w:val="2"/>
      <w:sz w:val="20"/>
      <w:lang w:val="pl-PL"/>
      <w14:ligatures w14:val="standardContextual"/>
    </w:rPr>
  </w:style>
  <w:style w:type="character" w:customStyle="1" w:styleId="RtabZnak">
    <w:name w:val="R_tab Znak"/>
    <w:basedOn w:val="Domylnaczcionkaakapitu"/>
    <w:link w:val="Rtab"/>
    <w:rsid w:val="00F80E61"/>
    <w:rPr>
      <w:rFonts w:ascii="Times New Roman" w:hAnsi="Times New Roman"/>
      <w:kern w:val="2"/>
      <w:sz w:val="20"/>
      <w:lang w:val="pl-PL"/>
      <w14:ligatures w14:val="standardContextual"/>
    </w:rPr>
  </w:style>
  <w:style w:type="paragraph" w:customStyle="1" w:styleId="Rn3">
    <w:name w:val="R_n3"/>
    <w:basedOn w:val="Rtab"/>
    <w:link w:val="Rn3Znak"/>
    <w:autoRedefine/>
    <w:qFormat/>
    <w:rsid w:val="00F80E61"/>
    <w:pPr>
      <w:spacing w:before="120"/>
      <w:jc w:val="both"/>
    </w:pPr>
    <w:rPr>
      <w:i/>
    </w:rPr>
  </w:style>
  <w:style w:type="character" w:customStyle="1" w:styleId="Rn3Znak">
    <w:name w:val="R_n3 Znak"/>
    <w:basedOn w:val="RtabZnak"/>
    <w:link w:val="Rn3"/>
    <w:rsid w:val="00F80E61"/>
    <w:rPr>
      <w:rFonts w:ascii="Times New Roman" w:hAnsi="Times New Roman"/>
      <w:i/>
      <w:kern w:val="2"/>
      <w:sz w:val="20"/>
      <w:lang w:val="pl-PL"/>
      <w14:ligatures w14:val="standardContextual"/>
    </w:rPr>
  </w:style>
  <w:style w:type="paragraph" w:customStyle="1" w:styleId="Rrys">
    <w:name w:val="R_rys"/>
    <w:basedOn w:val="Rafiliacja"/>
    <w:link w:val="RrysZnak"/>
    <w:qFormat/>
    <w:rsid w:val="00F80E61"/>
    <w:pPr>
      <w:spacing w:before="120"/>
      <w:jc w:val="left"/>
    </w:pPr>
    <w:rPr>
      <w:i w:val="0"/>
    </w:rPr>
  </w:style>
  <w:style w:type="character" w:customStyle="1" w:styleId="RrysZnak">
    <w:name w:val="R_rys Znak"/>
    <w:basedOn w:val="RafiliacjaZnak"/>
    <w:link w:val="Rrys"/>
    <w:rsid w:val="00F80E61"/>
    <w:rPr>
      <w:rFonts w:ascii="Times New Roman" w:hAnsi="Times New Roman" w:cs="Times New Roman"/>
      <w:i w:val="0"/>
      <w:kern w:val="2"/>
      <w:sz w:val="20"/>
      <w:szCs w:val="28"/>
      <w:lang w:val="pl-PL"/>
      <w14:ligatures w14:val="standardContextual"/>
    </w:rPr>
  </w:style>
  <w:style w:type="paragraph" w:styleId="Nagwek">
    <w:name w:val="header"/>
    <w:basedOn w:val="Normalny"/>
    <w:link w:val="NagwekZnak"/>
    <w:uiPriority w:val="99"/>
    <w:unhideWhenUsed/>
    <w:rsid w:val="007509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09FD"/>
  </w:style>
  <w:style w:type="paragraph" w:styleId="Stopka">
    <w:name w:val="footer"/>
    <w:basedOn w:val="Normalny"/>
    <w:link w:val="StopkaZnak"/>
    <w:uiPriority w:val="99"/>
    <w:unhideWhenUsed/>
    <w:rsid w:val="007509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0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1497">
      <w:bodyDiv w:val="1"/>
      <w:marLeft w:val="0"/>
      <w:marRight w:val="0"/>
      <w:marTop w:val="0"/>
      <w:marBottom w:val="0"/>
      <w:divBdr>
        <w:top w:val="none" w:sz="0" w:space="0" w:color="auto"/>
        <w:left w:val="none" w:sz="0" w:space="0" w:color="auto"/>
        <w:bottom w:val="none" w:sz="0" w:space="0" w:color="auto"/>
        <w:right w:val="none" w:sz="0" w:space="0" w:color="auto"/>
      </w:divBdr>
    </w:div>
    <w:div w:id="148715169">
      <w:bodyDiv w:val="1"/>
      <w:marLeft w:val="0"/>
      <w:marRight w:val="0"/>
      <w:marTop w:val="0"/>
      <w:marBottom w:val="0"/>
      <w:divBdr>
        <w:top w:val="none" w:sz="0" w:space="0" w:color="auto"/>
        <w:left w:val="none" w:sz="0" w:space="0" w:color="auto"/>
        <w:bottom w:val="none" w:sz="0" w:space="0" w:color="auto"/>
        <w:right w:val="none" w:sz="0" w:space="0" w:color="auto"/>
      </w:divBdr>
    </w:div>
    <w:div w:id="210922554">
      <w:bodyDiv w:val="1"/>
      <w:marLeft w:val="0"/>
      <w:marRight w:val="0"/>
      <w:marTop w:val="0"/>
      <w:marBottom w:val="0"/>
      <w:divBdr>
        <w:top w:val="none" w:sz="0" w:space="0" w:color="auto"/>
        <w:left w:val="none" w:sz="0" w:space="0" w:color="auto"/>
        <w:bottom w:val="none" w:sz="0" w:space="0" w:color="auto"/>
        <w:right w:val="none" w:sz="0" w:space="0" w:color="auto"/>
      </w:divBdr>
    </w:div>
    <w:div w:id="359403585">
      <w:bodyDiv w:val="1"/>
      <w:marLeft w:val="0"/>
      <w:marRight w:val="0"/>
      <w:marTop w:val="0"/>
      <w:marBottom w:val="0"/>
      <w:divBdr>
        <w:top w:val="none" w:sz="0" w:space="0" w:color="auto"/>
        <w:left w:val="none" w:sz="0" w:space="0" w:color="auto"/>
        <w:bottom w:val="none" w:sz="0" w:space="0" w:color="auto"/>
        <w:right w:val="none" w:sz="0" w:space="0" w:color="auto"/>
      </w:divBdr>
    </w:div>
    <w:div w:id="379943595">
      <w:bodyDiv w:val="1"/>
      <w:marLeft w:val="0"/>
      <w:marRight w:val="0"/>
      <w:marTop w:val="0"/>
      <w:marBottom w:val="0"/>
      <w:divBdr>
        <w:top w:val="none" w:sz="0" w:space="0" w:color="auto"/>
        <w:left w:val="none" w:sz="0" w:space="0" w:color="auto"/>
        <w:bottom w:val="none" w:sz="0" w:space="0" w:color="auto"/>
        <w:right w:val="none" w:sz="0" w:space="0" w:color="auto"/>
      </w:divBdr>
    </w:div>
    <w:div w:id="401759473">
      <w:bodyDiv w:val="1"/>
      <w:marLeft w:val="0"/>
      <w:marRight w:val="0"/>
      <w:marTop w:val="0"/>
      <w:marBottom w:val="0"/>
      <w:divBdr>
        <w:top w:val="none" w:sz="0" w:space="0" w:color="auto"/>
        <w:left w:val="none" w:sz="0" w:space="0" w:color="auto"/>
        <w:bottom w:val="none" w:sz="0" w:space="0" w:color="auto"/>
        <w:right w:val="none" w:sz="0" w:space="0" w:color="auto"/>
      </w:divBdr>
    </w:div>
    <w:div w:id="527989441">
      <w:bodyDiv w:val="1"/>
      <w:marLeft w:val="0"/>
      <w:marRight w:val="0"/>
      <w:marTop w:val="0"/>
      <w:marBottom w:val="0"/>
      <w:divBdr>
        <w:top w:val="none" w:sz="0" w:space="0" w:color="auto"/>
        <w:left w:val="none" w:sz="0" w:space="0" w:color="auto"/>
        <w:bottom w:val="none" w:sz="0" w:space="0" w:color="auto"/>
        <w:right w:val="none" w:sz="0" w:space="0" w:color="auto"/>
      </w:divBdr>
    </w:div>
    <w:div w:id="644432746">
      <w:bodyDiv w:val="1"/>
      <w:marLeft w:val="0"/>
      <w:marRight w:val="0"/>
      <w:marTop w:val="0"/>
      <w:marBottom w:val="0"/>
      <w:divBdr>
        <w:top w:val="none" w:sz="0" w:space="0" w:color="auto"/>
        <w:left w:val="none" w:sz="0" w:space="0" w:color="auto"/>
        <w:bottom w:val="none" w:sz="0" w:space="0" w:color="auto"/>
        <w:right w:val="none" w:sz="0" w:space="0" w:color="auto"/>
      </w:divBdr>
    </w:div>
    <w:div w:id="675496003">
      <w:bodyDiv w:val="1"/>
      <w:marLeft w:val="0"/>
      <w:marRight w:val="0"/>
      <w:marTop w:val="0"/>
      <w:marBottom w:val="0"/>
      <w:divBdr>
        <w:top w:val="none" w:sz="0" w:space="0" w:color="auto"/>
        <w:left w:val="none" w:sz="0" w:space="0" w:color="auto"/>
        <w:bottom w:val="none" w:sz="0" w:space="0" w:color="auto"/>
        <w:right w:val="none" w:sz="0" w:space="0" w:color="auto"/>
      </w:divBdr>
    </w:div>
    <w:div w:id="752968498">
      <w:bodyDiv w:val="1"/>
      <w:marLeft w:val="0"/>
      <w:marRight w:val="0"/>
      <w:marTop w:val="0"/>
      <w:marBottom w:val="0"/>
      <w:divBdr>
        <w:top w:val="none" w:sz="0" w:space="0" w:color="auto"/>
        <w:left w:val="none" w:sz="0" w:space="0" w:color="auto"/>
        <w:bottom w:val="none" w:sz="0" w:space="0" w:color="auto"/>
        <w:right w:val="none" w:sz="0" w:space="0" w:color="auto"/>
      </w:divBdr>
    </w:div>
    <w:div w:id="980236795">
      <w:bodyDiv w:val="1"/>
      <w:marLeft w:val="0"/>
      <w:marRight w:val="0"/>
      <w:marTop w:val="0"/>
      <w:marBottom w:val="0"/>
      <w:divBdr>
        <w:top w:val="none" w:sz="0" w:space="0" w:color="auto"/>
        <w:left w:val="none" w:sz="0" w:space="0" w:color="auto"/>
        <w:bottom w:val="none" w:sz="0" w:space="0" w:color="auto"/>
        <w:right w:val="none" w:sz="0" w:space="0" w:color="auto"/>
      </w:divBdr>
    </w:div>
    <w:div w:id="1029455431">
      <w:bodyDiv w:val="1"/>
      <w:marLeft w:val="0"/>
      <w:marRight w:val="0"/>
      <w:marTop w:val="0"/>
      <w:marBottom w:val="0"/>
      <w:divBdr>
        <w:top w:val="none" w:sz="0" w:space="0" w:color="auto"/>
        <w:left w:val="none" w:sz="0" w:space="0" w:color="auto"/>
        <w:bottom w:val="none" w:sz="0" w:space="0" w:color="auto"/>
        <w:right w:val="none" w:sz="0" w:space="0" w:color="auto"/>
      </w:divBdr>
    </w:div>
    <w:div w:id="1226834589">
      <w:bodyDiv w:val="1"/>
      <w:marLeft w:val="0"/>
      <w:marRight w:val="0"/>
      <w:marTop w:val="0"/>
      <w:marBottom w:val="0"/>
      <w:divBdr>
        <w:top w:val="none" w:sz="0" w:space="0" w:color="auto"/>
        <w:left w:val="none" w:sz="0" w:space="0" w:color="auto"/>
        <w:bottom w:val="none" w:sz="0" w:space="0" w:color="auto"/>
        <w:right w:val="none" w:sz="0" w:space="0" w:color="auto"/>
      </w:divBdr>
    </w:div>
    <w:div w:id="1256523272">
      <w:bodyDiv w:val="1"/>
      <w:marLeft w:val="0"/>
      <w:marRight w:val="0"/>
      <w:marTop w:val="0"/>
      <w:marBottom w:val="0"/>
      <w:divBdr>
        <w:top w:val="none" w:sz="0" w:space="0" w:color="auto"/>
        <w:left w:val="none" w:sz="0" w:space="0" w:color="auto"/>
        <w:bottom w:val="none" w:sz="0" w:space="0" w:color="auto"/>
        <w:right w:val="none" w:sz="0" w:space="0" w:color="auto"/>
      </w:divBdr>
    </w:div>
    <w:div w:id="1327635552">
      <w:bodyDiv w:val="1"/>
      <w:marLeft w:val="0"/>
      <w:marRight w:val="0"/>
      <w:marTop w:val="0"/>
      <w:marBottom w:val="0"/>
      <w:divBdr>
        <w:top w:val="none" w:sz="0" w:space="0" w:color="auto"/>
        <w:left w:val="none" w:sz="0" w:space="0" w:color="auto"/>
        <w:bottom w:val="none" w:sz="0" w:space="0" w:color="auto"/>
        <w:right w:val="none" w:sz="0" w:space="0" w:color="auto"/>
      </w:divBdr>
    </w:div>
    <w:div w:id="1562525003">
      <w:bodyDiv w:val="1"/>
      <w:marLeft w:val="0"/>
      <w:marRight w:val="0"/>
      <w:marTop w:val="0"/>
      <w:marBottom w:val="0"/>
      <w:divBdr>
        <w:top w:val="none" w:sz="0" w:space="0" w:color="auto"/>
        <w:left w:val="none" w:sz="0" w:space="0" w:color="auto"/>
        <w:bottom w:val="none" w:sz="0" w:space="0" w:color="auto"/>
        <w:right w:val="none" w:sz="0" w:space="0" w:color="auto"/>
      </w:divBdr>
    </w:div>
    <w:div w:id="1581062228">
      <w:bodyDiv w:val="1"/>
      <w:marLeft w:val="0"/>
      <w:marRight w:val="0"/>
      <w:marTop w:val="0"/>
      <w:marBottom w:val="0"/>
      <w:divBdr>
        <w:top w:val="none" w:sz="0" w:space="0" w:color="auto"/>
        <w:left w:val="none" w:sz="0" w:space="0" w:color="auto"/>
        <w:bottom w:val="none" w:sz="0" w:space="0" w:color="auto"/>
        <w:right w:val="none" w:sz="0" w:space="0" w:color="auto"/>
      </w:divBdr>
    </w:div>
    <w:div w:id="1698847468">
      <w:bodyDiv w:val="1"/>
      <w:marLeft w:val="0"/>
      <w:marRight w:val="0"/>
      <w:marTop w:val="0"/>
      <w:marBottom w:val="0"/>
      <w:divBdr>
        <w:top w:val="none" w:sz="0" w:space="0" w:color="auto"/>
        <w:left w:val="none" w:sz="0" w:space="0" w:color="auto"/>
        <w:bottom w:val="none" w:sz="0" w:space="0" w:color="auto"/>
        <w:right w:val="none" w:sz="0" w:space="0" w:color="auto"/>
      </w:divBdr>
    </w:div>
    <w:div w:id="1753232083">
      <w:bodyDiv w:val="1"/>
      <w:marLeft w:val="0"/>
      <w:marRight w:val="0"/>
      <w:marTop w:val="0"/>
      <w:marBottom w:val="0"/>
      <w:divBdr>
        <w:top w:val="none" w:sz="0" w:space="0" w:color="auto"/>
        <w:left w:val="none" w:sz="0" w:space="0" w:color="auto"/>
        <w:bottom w:val="none" w:sz="0" w:space="0" w:color="auto"/>
        <w:right w:val="none" w:sz="0" w:space="0" w:color="auto"/>
      </w:divBdr>
    </w:div>
    <w:div w:id="1768385259">
      <w:bodyDiv w:val="1"/>
      <w:marLeft w:val="0"/>
      <w:marRight w:val="0"/>
      <w:marTop w:val="0"/>
      <w:marBottom w:val="0"/>
      <w:divBdr>
        <w:top w:val="none" w:sz="0" w:space="0" w:color="auto"/>
        <w:left w:val="none" w:sz="0" w:space="0" w:color="auto"/>
        <w:bottom w:val="none" w:sz="0" w:space="0" w:color="auto"/>
        <w:right w:val="none" w:sz="0" w:space="0" w:color="auto"/>
      </w:divBdr>
    </w:div>
    <w:div w:id="1785225421">
      <w:bodyDiv w:val="1"/>
      <w:marLeft w:val="0"/>
      <w:marRight w:val="0"/>
      <w:marTop w:val="0"/>
      <w:marBottom w:val="0"/>
      <w:divBdr>
        <w:top w:val="none" w:sz="0" w:space="0" w:color="auto"/>
        <w:left w:val="none" w:sz="0" w:space="0" w:color="auto"/>
        <w:bottom w:val="none" w:sz="0" w:space="0" w:color="auto"/>
        <w:right w:val="none" w:sz="0" w:space="0" w:color="auto"/>
      </w:divBdr>
    </w:div>
    <w:div w:id="208702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9-0003-7401-1060" TargetMode="External"/><Relationship Id="rId18" Type="http://schemas.openxmlformats.org/officeDocument/2006/relationships/chart" Target="charts/chart5.xml"/><Relationship Id="rId26" Type="http://schemas.openxmlformats.org/officeDocument/2006/relationships/hyperlink" Target="https://www.fao.org/inclusivity-in-agrifood-systems/en?utm_source=chatgpt.com" TargetMode="External"/><Relationship Id="rId39" Type="http://schemas.openxmlformats.org/officeDocument/2006/relationships/hyperlink" Target="https://doi.org/10.32933/ActaInnovations.46.2" TargetMode="External"/><Relationship Id="rId21" Type="http://schemas.openxmlformats.org/officeDocument/2006/relationships/hyperlink" Target="https://doi.org/10.55643/fcaptp.2.55.2024.4170" TargetMode="External"/><Relationship Id="rId34" Type="http://schemas.openxmlformats.org/officeDocument/2006/relationships/hyperlink" Target="https://doi.org/10.18371/fcaptp.v4i27.154221" TargetMode="External"/><Relationship Id="rId42" Type="http://schemas.openxmlformats.org/officeDocument/2006/relationships/hyperlink" Target="https://doi.org/10.7896/j.2833" TargetMode="External"/><Relationship Id="rId47" Type="http://schemas.openxmlformats.org/officeDocument/2006/relationships/hyperlink" Target="https://solidarityfund.org.ua/wp-content/uploads/2023/04/ebrd_ukraine-lm-1.pdf" TargetMode="External"/><Relationship Id="rId50" Type="http://schemas.openxmlformats.org/officeDocument/2006/relationships/hyperlink" Target="https://documents1.worldbank.org/curated/en/099072923124580381/pdf/P1807320fca7960a08a3a0ac96e3c3a2e8.pdf" TargetMode="External"/><Relationship Id="rId55" Type="http://schemas.openxmlformats.org/officeDocument/2006/relationships/hyperlink" Target="https://www.wfp.org/stories/food-security-what-it-means-and-why-it-matters"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yperlink" Target="https://doi.org/10.25140/2410-9576-2017-1-3(11)-54-61" TargetMode="External"/><Relationship Id="rId29" Type="http://schemas.openxmlformats.org/officeDocument/2006/relationships/hyperlink" Target="https://www.globalhungerindex.org/methodology.html" TargetMode="External"/><Relationship Id="rId41" Type="http://schemas.openxmlformats.org/officeDocument/2006/relationships/hyperlink" Target="https://doi.org/10.1007/s43621-025-01348-w" TargetMode="External"/><Relationship Id="rId54" Type="http://schemas.openxmlformats.org/officeDocument/2006/relationships/hyperlink" Target="https://data.worldbank.org/indicator/SN.ITK.DEFC.Z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6126-1747" TargetMode="External"/><Relationship Id="rId24" Type="http://schemas.openxmlformats.org/officeDocument/2006/relationships/hyperlink" Target="https://www.fao.org/hunger/en" TargetMode="External"/><Relationship Id="rId32" Type="http://schemas.openxmlformats.org/officeDocument/2006/relationships/hyperlink" Target="https://doi.org/10.22616/ESRD.2023.57.001" TargetMode="External"/><Relationship Id="rId37" Type="http://schemas.openxmlformats.org/officeDocument/2006/relationships/hyperlink" Target="https://doi.org/10.55643/fcaptp.6.59.2024.4524" TargetMode="External"/><Relationship Id="rId40" Type="http://schemas.openxmlformats.org/officeDocument/2006/relationships/hyperlink" Target="https://doi.org/10.1016/j.worlddev.2024.106647" TargetMode="External"/><Relationship Id="rId45" Type="http://schemas.openxmlformats.org/officeDocument/2006/relationships/hyperlink" Target="https://www.ukrstat.gov.ua" TargetMode="External"/><Relationship Id="rId53" Type="http://schemas.openxmlformats.org/officeDocument/2006/relationships/hyperlink" Target="https://www.worldbank.org/en/topic/agriculture/brief/food-security-update/what-is-food-security" TargetMode="External"/><Relationship Id="rId58"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www.fao.org/4/al936e/al936e00.pdf" TargetMode="External"/><Relationship Id="rId28" Type="http://schemas.openxmlformats.org/officeDocument/2006/relationships/hyperlink" Target="https://www.globalhungerindex.org" TargetMode="External"/><Relationship Id="rId36" Type="http://schemas.openxmlformats.org/officeDocument/2006/relationships/hyperlink" Target="https://doi.org/10.1016/j.heliyon.2024.e39208" TargetMode="External"/><Relationship Id="rId49" Type="http://schemas.openxmlformats.org/officeDocument/2006/relationships/hyperlink" Target="https://apnews.com/article/italy-business-poverty-ed8c925d906b3fc66c8ed78488f6d35d" TargetMode="External"/><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hyperlink" Target="https://orcid.org/0000-0003-2999-7441" TargetMode="External"/><Relationship Id="rId19" Type="http://schemas.openxmlformats.org/officeDocument/2006/relationships/hyperlink" Target="https://doi.org/10.18371/fcaptp.v3i38.237434" TargetMode="External"/><Relationship Id="rId31" Type="http://schemas.openxmlformats.org/officeDocument/2006/relationships/hyperlink" Target="https://doi.org/10.3390/foods12213996" TargetMode="External"/><Relationship Id="rId44" Type="http://schemas.openxmlformats.org/officeDocument/2006/relationships/hyperlink" Target="https://sdg.ukrstat.gov.ua" TargetMode="External"/><Relationship Id="rId52" Type="http://schemas.openxmlformats.org/officeDocument/2006/relationships/hyperlink" Target="https://doi.org/10.1016/j.worlddev.2024.106806"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3-1016-2305" TargetMode="External"/><Relationship Id="rId14" Type="http://schemas.openxmlformats.org/officeDocument/2006/relationships/chart" Target="charts/chart1.xml"/><Relationship Id="rId22" Type="http://schemas.openxmlformats.org/officeDocument/2006/relationships/hyperlink" Target="https://organicinitiative.org.ua/wp-content/uploads/2024/03/Gender-study-in-organic-sector-of-Ukraine-EN.pdf" TargetMode="External"/><Relationship Id="rId27" Type="http://schemas.openxmlformats.org/officeDocument/2006/relationships/hyperlink" Target="https://www.apd-ukraine.de/fileadmin/user_upload/APD_Taras_Gagalyuk_ENG.pdf" TargetMode="External"/><Relationship Id="rId30" Type="http://schemas.openxmlformats.org/officeDocument/2006/relationships/hyperlink" Target="https://doi.org/10.32782/2524-0072/2024-61-26" TargetMode="External"/><Relationship Id="rId35" Type="http://schemas.openxmlformats.org/officeDocument/2006/relationships/hyperlink" Target="https://doi.org/10.54740/ros.2024.051" TargetMode="External"/><Relationship Id="rId43" Type="http://schemas.openxmlformats.org/officeDocument/2006/relationships/hyperlink" Target="https://doi.org/10.55643/fcaptp.4.51.2023.4120" TargetMode="External"/><Relationship Id="rId48" Type="http://schemas.openxmlformats.org/officeDocument/2006/relationships/hyperlink" Target="https://www.rada.gov.ua/uploads/documents/75506.pdf" TargetMode="External"/><Relationship Id="rId56" Type="http://schemas.openxmlformats.org/officeDocument/2006/relationships/hyperlink" Target="https://www.wfp.org/emergencies/ukraine-emergency" TargetMode="External"/><Relationship Id="rId8" Type="http://schemas.openxmlformats.org/officeDocument/2006/relationships/hyperlink" Target="https://orcid.org/0000-0002-7434-1495" TargetMode="External"/><Relationship Id="rId51" Type="http://schemas.openxmlformats.org/officeDocument/2006/relationships/hyperlink" Target="https://doi.org/10.3390/engproc2023040026" TargetMode="External"/><Relationship Id="rId3" Type="http://schemas.openxmlformats.org/officeDocument/2006/relationships/settings" Target="settings.xml"/><Relationship Id="rId12" Type="http://schemas.openxmlformats.org/officeDocument/2006/relationships/hyperlink" Target="https://orcid.org/0009-0002-2209-2703" TargetMode="External"/><Relationship Id="rId17" Type="http://schemas.openxmlformats.org/officeDocument/2006/relationships/chart" Target="charts/chart4.xml"/><Relationship Id="rId25" Type="http://schemas.openxmlformats.org/officeDocument/2006/relationships/hyperlink" Target="https://www.fao.org/gender/learning-center/thematic-areas/gender-and-inclusive-food-systems-and-value-chains/en" TargetMode="External"/><Relationship Id="rId33" Type="http://schemas.openxmlformats.org/officeDocument/2006/relationships/hyperlink" Target="https://doi.org/10.1016/j.gfs.2022.100661" TargetMode="External"/><Relationship Id="rId38" Type="http://schemas.openxmlformats.org/officeDocument/2006/relationships/hyperlink" Target="https://doi.org/10.55643/fcaptp.4.45.2022.3782" TargetMode="External"/><Relationship Id="rId46" Type="http://schemas.openxmlformats.org/officeDocument/2006/relationships/hyperlink" Target="https://doi.org/10.54740/ros.2025.021" TargetMode="External"/><Relationship Id="rId5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Users\kohana\Desktop\&#1053;&#1086;&#1074;&#1110;%20&#1089;&#1090;&#1072;&#1090;&#1090;&#1110;%20&#1090;&#1072;%20&#1082;&#1086;&#1085;&#1092;&#1077;&#1088;&#1077;&#1085;&#1094;&#1110;&#1110;&#776;\&#1057;&#1090;&#1072;&#1090;&#1090;&#1103;_SEMIT_2025\API_SN.ITK.DEFC.ZS_DS2_en_excel_v2_20155.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kohana\Desktop\&#1053;&#1086;&#1074;&#1110;%20&#1089;&#1090;&#1072;&#1090;&#1090;&#1110;%20&#1090;&#1072;%20&#1082;&#1086;&#1085;&#1092;&#1077;&#1088;&#1077;&#1085;&#1094;&#1110;&#1110;&#776;\&#1057;&#1090;&#1072;&#1090;&#1090;&#1103;_SEMIT_2025\dataset_2025-04-28T10_52_05.873408886Z_DEFAULT_INTEGRATION_SSSU_DF_AREA_HARVESTS_CROP_YIELD_18.0.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kohana\Desktop\&#1053;&#1086;&#1074;&#1110;%20&#1089;&#1090;&#1072;&#1090;&#1090;&#1110;%20&#1090;&#1072;%20&#1082;&#1086;&#1085;&#1092;&#1077;&#1088;&#1077;&#1085;&#1094;&#1110;&#1110;&#776;\&#1057;&#1090;&#1072;&#1090;&#1090;&#1103;_SEMIT_2025\dataset_2025-04-28T10_52_05.873408886Z_DEFAULT_INTEGRATION_SSSU_DF_AREA_HARVESTS_CROP_YIELD_18.0.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kohana\Desktop\&#1053;&#1086;&#1074;&#1110;%20&#1089;&#1090;&#1072;&#1090;&#1090;&#1110;%20&#1090;&#1072;%20&#1082;&#1086;&#1085;&#1092;&#1077;&#1088;&#1077;&#1085;&#1094;&#1110;&#1110;&#776;\&#1057;&#1090;&#1072;&#1090;&#1090;&#1103;_SEMIT_2025\dataset_2025-04-28T10_52_05.873408886Z_DEFAULT_INTEGRATION_SSSU_DF_AREA_HARVESTS_CROP_YIELD_18.0.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kohana\Desktop\&#1053;&#1059;&#1041;&#1110;&#1055;\&#1052;&#1086;&#1085;&#1086;%20&#1058;&#1077;&#1084;&#1072;%202023\&#1057;&#1090;&#1072;&#1090;&#1080;&#1089;&#1090;&#1080;&#1082;&#1072;\zn_pgs20_ue.xls"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5.7389140426755643E-2"/>
          <c:y val="3.1609195402298854E-2"/>
          <c:w val="0.8945597560836126"/>
          <c:h val="0.661848131052584"/>
        </c:manualLayout>
      </c:layout>
      <c:lineChart>
        <c:grouping val="standard"/>
        <c:varyColors val="0"/>
        <c:ser>
          <c:idx val="2"/>
          <c:order val="2"/>
          <c:tx>
            <c:strRef>
              <c:f>Sheet3!$D$2</c:f>
              <c:strCache>
                <c:ptCount val="1"/>
                <c:pt idx="0">
                  <c:v>Food production index (2014-2016 = 100)</c:v>
                </c:pt>
              </c:strCache>
            </c:strRef>
          </c:tx>
          <c:spPr>
            <a:ln w="28575" cap="rnd">
              <a:solidFill>
                <a:schemeClr val="accent1">
                  <a:tint val="83000"/>
                </a:schemeClr>
              </a:solidFill>
              <a:round/>
            </a:ln>
            <a:effectLst/>
          </c:spPr>
          <c:marker>
            <c:symbol val="none"/>
          </c:marker>
          <c:cat>
            <c:numRef>
              <c:f>Sheet3!$A$3:$A$12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Sheet3!$D$3:$D$12</c:f>
              <c:numCache>
                <c:formatCode>General</c:formatCode>
                <c:ptCount val="10"/>
                <c:pt idx="0">
                  <c:v>96.82</c:v>
                </c:pt>
                <c:pt idx="1">
                  <c:v>102.07</c:v>
                </c:pt>
                <c:pt idx="2">
                  <c:v>100.01</c:v>
                </c:pt>
                <c:pt idx="3">
                  <c:v>107.23</c:v>
                </c:pt>
                <c:pt idx="4">
                  <c:v>109.33</c:v>
                </c:pt>
                <c:pt idx="5">
                  <c:v>99.24</c:v>
                </c:pt>
                <c:pt idx="6">
                  <c:v>113.92</c:v>
                </c:pt>
                <c:pt idx="7">
                  <c:v>87.83</c:v>
                </c:pt>
              </c:numCache>
            </c:numRef>
          </c:val>
          <c:smooth val="0"/>
          <c:extLst>
            <c:ext xmlns:c16="http://schemas.microsoft.com/office/drawing/2014/chart" uri="{C3380CC4-5D6E-409C-BE32-E72D297353CC}">
              <c16:uniqueId val="{00000000-7CDD-8B42-A698-3485E79E9CDA}"/>
            </c:ext>
          </c:extLst>
        </c:ser>
        <c:ser>
          <c:idx val="3"/>
          <c:order val="3"/>
          <c:tx>
            <c:strRef>
              <c:f>Sheet3!$E$2</c:f>
              <c:strCache>
                <c:ptCount val="1"/>
                <c:pt idx="0">
                  <c:v>The index of food production, %</c:v>
                </c:pt>
              </c:strCache>
            </c:strRef>
          </c:tx>
          <c:spPr>
            <a:ln w="28575" cap="rnd">
              <a:solidFill>
                <a:schemeClr val="accent1"/>
              </a:solidFill>
              <a:round/>
            </a:ln>
            <a:effectLst/>
          </c:spPr>
          <c:marker>
            <c:symbol val="none"/>
          </c:marker>
          <c:cat>
            <c:numRef>
              <c:f>Sheet3!$A$3:$A$12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Sheet3!$E$3:$E$12</c:f>
              <c:numCache>
                <c:formatCode>General</c:formatCode>
                <c:ptCount val="10"/>
                <c:pt idx="0">
                  <c:v>88.6</c:v>
                </c:pt>
                <c:pt idx="1">
                  <c:v>108.9</c:v>
                </c:pt>
                <c:pt idx="2">
                  <c:v>107.1</c:v>
                </c:pt>
                <c:pt idx="3">
                  <c:v>98.5</c:v>
                </c:pt>
                <c:pt idx="4">
                  <c:v>103.9</c:v>
                </c:pt>
                <c:pt idx="5">
                  <c:v>99.5</c:v>
                </c:pt>
                <c:pt idx="6">
                  <c:v>94.1</c:v>
                </c:pt>
                <c:pt idx="7">
                  <c:v>79</c:v>
                </c:pt>
                <c:pt idx="8">
                  <c:v>115.6</c:v>
                </c:pt>
              </c:numCache>
            </c:numRef>
          </c:val>
          <c:smooth val="0"/>
          <c:extLst>
            <c:ext xmlns:c16="http://schemas.microsoft.com/office/drawing/2014/chart" uri="{C3380CC4-5D6E-409C-BE32-E72D297353CC}">
              <c16:uniqueId val="{00000001-7CDD-8B42-A698-3485E79E9CDA}"/>
            </c:ext>
          </c:extLst>
        </c:ser>
        <c:ser>
          <c:idx val="4"/>
          <c:order val="4"/>
          <c:tx>
            <c:strRef>
              <c:f>Sheet3!$F$2</c:f>
              <c:strCache>
                <c:ptCount val="1"/>
                <c:pt idx="0">
                  <c:v>Share of food expenditure in total household spending, %</c:v>
                </c:pt>
              </c:strCache>
            </c:strRef>
          </c:tx>
          <c:spPr>
            <a:ln w="28575" cap="rnd">
              <a:solidFill>
                <a:schemeClr val="accent1">
                  <a:shade val="82000"/>
                </a:schemeClr>
              </a:solidFill>
              <a:round/>
            </a:ln>
            <a:effectLst/>
          </c:spPr>
          <c:marker>
            <c:symbol val="none"/>
          </c:marker>
          <c:cat>
            <c:numRef>
              <c:f>Sheet3!$A$3:$A$12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Sheet3!$F$3:$F$12</c:f>
              <c:numCache>
                <c:formatCode>0.000</c:formatCode>
                <c:ptCount val="10"/>
                <c:pt idx="0">
                  <c:v>54.6</c:v>
                </c:pt>
                <c:pt idx="1">
                  <c:v>51.4</c:v>
                </c:pt>
                <c:pt idx="2">
                  <c:v>49.6</c:v>
                </c:pt>
                <c:pt idx="3">
                  <c:v>49.4</c:v>
                </c:pt>
                <c:pt idx="4">
                  <c:v>48.5</c:v>
                </c:pt>
                <c:pt idx="5">
                  <c:v>49.2</c:v>
                </c:pt>
                <c:pt idx="6">
                  <c:v>47.1</c:v>
                </c:pt>
              </c:numCache>
            </c:numRef>
          </c:val>
          <c:smooth val="0"/>
          <c:extLst>
            <c:ext xmlns:c16="http://schemas.microsoft.com/office/drawing/2014/chart" uri="{C3380CC4-5D6E-409C-BE32-E72D297353CC}">
              <c16:uniqueId val="{00000002-7CDD-8B42-A698-3485E79E9CDA}"/>
            </c:ext>
          </c:extLst>
        </c:ser>
        <c:ser>
          <c:idx val="5"/>
          <c:order val="5"/>
          <c:tx>
            <c:strRef>
              <c:f>Sheet3!$G$2</c:f>
              <c:strCache>
                <c:ptCount val="1"/>
                <c:pt idx="0">
                  <c:v>Consumer price index for food, %</c:v>
                </c:pt>
              </c:strCache>
            </c:strRef>
          </c:tx>
          <c:spPr>
            <a:ln w="28575" cap="rnd">
              <a:solidFill>
                <a:schemeClr val="accent1">
                  <a:shade val="65000"/>
                </a:schemeClr>
              </a:solidFill>
              <a:round/>
            </a:ln>
            <a:effectLst/>
          </c:spPr>
          <c:marker>
            <c:symbol val="none"/>
          </c:marker>
          <c:cat>
            <c:numRef>
              <c:f>Sheet3!$A$3:$A$12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Sheet3!$G$3:$G$12</c:f>
              <c:numCache>
                <c:formatCode>General</c:formatCode>
                <c:ptCount val="10"/>
                <c:pt idx="0">
                  <c:v>144.4</c:v>
                </c:pt>
                <c:pt idx="1">
                  <c:v>108.5</c:v>
                </c:pt>
                <c:pt idx="2">
                  <c:v>113.4</c:v>
                </c:pt>
                <c:pt idx="3">
                  <c:v>111.5</c:v>
                </c:pt>
                <c:pt idx="4">
                  <c:v>108.3</c:v>
                </c:pt>
                <c:pt idx="5">
                  <c:v>102.9</c:v>
                </c:pt>
                <c:pt idx="6">
                  <c:v>111.3</c:v>
                </c:pt>
                <c:pt idx="7">
                  <c:v>127.1</c:v>
                </c:pt>
                <c:pt idx="8">
                  <c:v>114.3</c:v>
                </c:pt>
              </c:numCache>
            </c:numRef>
          </c:val>
          <c:smooth val="0"/>
          <c:extLst>
            <c:ext xmlns:c16="http://schemas.microsoft.com/office/drawing/2014/chart" uri="{C3380CC4-5D6E-409C-BE32-E72D297353CC}">
              <c16:uniqueId val="{00000003-7CDD-8B42-A698-3485E79E9CDA}"/>
            </c:ext>
          </c:extLst>
        </c:ser>
        <c:ser>
          <c:idx val="6"/>
          <c:order val="6"/>
          <c:tx>
            <c:strRef>
              <c:f>Sheet3!$H$2</c:f>
              <c:strCache>
                <c:ptCount val="1"/>
                <c:pt idx="0">
                  <c:v>Prevalence of moderate or severe food insecurity in the population (%)</c:v>
                </c:pt>
              </c:strCache>
            </c:strRef>
          </c:tx>
          <c:spPr>
            <a:ln w="28575" cap="rnd">
              <a:solidFill>
                <a:schemeClr val="accent1">
                  <a:shade val="47000"/>
                </a:schemeClr>
              </a:solidFill>
              <a:round/>
            </a:ln>
            <a:effectLst/>
          </c:spPr>
          <c:marker>
            <c:symbol val="none"/>
          </c:marker>
          <c:cat>
            <c:numRef>
              <c:f>Sheet3!$A$3:$A$12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Sheet3!$H$3:$H$12</c:f>
              <c:numCache>
                <c:formatCode>General</c:formatCode>
                <c:ptCount val="10"/>
                <c:pt idx="0">
                  <c:v>19.8</c:v>
                </c:pt>
                <c:pt idx="1">
                  <c:v>22.3</c:v>
                </c:pt>
                <c:pt idx="2">
                  <c:v>21.5</c:v>
                </c:pt>
                <c:pt idx="3">
                  <c:v>18.3</c:v>
                </c:pt>
                <c:pt idx="4">
                  <c:v>19.899999999999999</c:v>
                </c:pt>
                <c:pt idx="5">
                  <c:v>22.7</c:v>
                </c:pt>
                <c:pt idx="6">
                  <c:v>28.2</c:v>
                </c:pt>
                <c:pt idx="7">
                  <c:v>31</c:v>
                </c:pt>
              </c:numCache>
            </c:numRef>
          </c:val>
          <c:smooth val="0"/>
          <c:extLst>
            <c:ext xmlns:c16="http://schemas.microsoft.com/office/drawing/2014/chart" uri="{C3380CC4-5D6E-409C-BE32-E72D297353CC}">
              <c16:uniqueId val="{00000004-7CDD-8B42-A698-3485E79E9CDA}"/>
            </c:ext>
          </c:extLst>
        </c:ser>
        <c:dLbls>
          <c:showLegendKey val="0"/>
          <c:showVal val="0"/>
          <c:showCatName val="0"/>
          <c:showSerName val="0"/>
          <c:showPercent val="0"/>
          <c:showBubbleSize val="0"/>
        </c:dLbls>
        <c:marker val="1"/>
        <c:smooth val="0"/>
        <c:axId val="2038155488"/>
        <c:axId val="2038282816"/>
      </c:lineChart>
      <c:lineChart>
        <c:grouping val="standard"/>
        <c:varyColors val="0"/>
        <c:ser>
          <c:idx val="0"/>
          <c:order val="0"/>
          <c:tx>
            <c:strRef>
              <c:f>Sheet3!$B$2</c:f>
              <c:strCache>
                <c:ptCount val="1"/>
                <c:pt idx="0">
                  <c:v>Prevalence of undernourishment (% of population)</c:v>
                </c:pt>
              </c:strCache>
            </c:strRef>
          </c:tx>
          <c:spPr>
            <a:ln w="28575" cap="rnd">
              <a:solidFill>
                <a:schemeClr val="accent1">
                  <a:tint val="48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Sheet3!$A$3:$A$12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Sheet3!$B$3:$B$12</c:f>
              <c:numCache>
                <c:formatCode>General</c:formatCode>
                <c:ptCount val="10"/>
                <c:pt idx="0">
                  <c:v>2.5</c:v>
                </c:pt>
                <c:pt idx="1">
                  <c:v>2.5</c:v>
                </c:pt>
                <c:pt idx="2">
                  <c:v>2.6</c:v>
                </c:pt>
                <c:pt idx="3">
                  <c:v>3</c:v>
                </c:pt>
                <c:pt idx="4">
                  <c:v>3.7</c:v>
                </c:pt>
                <c:pt idx="5">
                  <c:v>4.3</c:v>
                </c:pt>
                <c:pt idx="6">
                  <c:v>5.3</c:v>
                </c:pt>
                <c:pt idx="7">
                  <c:v>5.8</c:v>
                </c:pt>
              </c:numCache>
            </c:numRef>
          </c:val>
          <c:smooth val="0"/>
          <c:extLst>
            <c:ext xmlns:c16="http://schemas.microsoft.com/office/drawing/2014/chart" uri="{C3380CC4-5D6E-409C-BE32-E72D297353CC}">
              <c16:uniqueId val="{00000005-7CDD-8B42-A698-3485E79E9CDA}"/>
            </c:ext>
          </c:extLst>
        </c:ser>
        <c:ser>
          <c:idx val="1"/>
          <c:order val="1"/>
          <c:tx>
            <c:strRef>
              <c:f>Sheet3!$C$2</c:f>
              <c:strCache>
                <c:ptCount val="1"/>
                <c:pt idx="0">
                  <c:v>Global Hunger Index</c:v>
                </c:pt>
              </c:strCache>
            </c:strRef>
          </c:tx>
          <c:spPr>
            <a:ln w="28575" cap="rnd">
              <a:solidFill>
                <a:schemeClr val="accent1">
                  <a:tint val="6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Sheet3!$A$3:$A$12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Sheet3!$C$3:$C$12</c:f>
              <c:numCache>
                <c:formatCode>General</c:formatCode>
                <c:ptCount val="10"/>
                <c:pt idx="0">
                  <c:v>7.1</c:v>
                </c:pt>
                <c:pt idx="1">
                  <c:v>6.9</c:v>
                </c:pt>
                <c:pt idx="2">
                  <c:v>5</c:v>
                </c:pt>
                <c:pt idx="3">
                  <c:v>5</c:v>
                </c:pt>
                <c:pt idx="4">
                  <c:v>5</c:v>
                </c:pt>
                <c:pt idx="5">
                  <c:v>5</c:v>
                </c:pt>
                <c:pt idx="6">
                  <c:v>6.8</c:v>
                </c:pt>
                <c:pt idx="7">
                  <c:v>7.5</c:v>
                </c:pt>
                <c:pt idx="8">
                  <c:v>8.1999999999999993</c:v>
                </c:pt>
                <c:pt idx="9">
                  <c:v>8.6</c:v>
                </c:pt>
              </c:numCache>
            </c:numRef>
          </c:val>
          <c:smooth val="0"/>
          <c:extLst>
            <c:ext xmlns:c16="http://schemas.microsoft.com/office/drawing/2014/chart" uri="{C3380CC4-5D6E-409C-BE32-E72D297353CC}">
              <c16:uniqueId val="{00000006-7CDD-8B42-A698-3485E79E9CDA}"/>
            </c:ext>
          </c:extLst>
        </c:ser>
        <c:dLbls>
          <c:showLegendKey val="0"/>
          <c:showVal val="0"/>
          <c:showCatName val="0"/>
          <c:showSerName val="0"/>
          <c:showPercent val="0"/>
          <c:showBubbleSize val="0"/>
        </c:dLbls>
        <c:marker val="1"/>
        <c:smooth val="0"/>
        <c:axId val="1422724320"/>
        <c:axId val="1422298912"/>
      </c:lineChart>
      <c:catAx>
        <c:axId val="2038155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2038282816"/>
        <c:crosses val="autoZero"/>
        <c:auto val="1"/>
        <c:lblAlgn val="ctr"/>
        <c:lblOffset val="100"/>
        <c:noMultiLvlLbl val="0"/>
      </c:catAx>
      <c:valAx>
        <c:axId val="20382828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2038155488"/>
        <c:crosses val="autoZero"/>
        <c:crossBetween val="between"/>
      </c:valAx>
      <c:valAx>
        <c:axId val="142229891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422724320"/>
        <c:crosses val="max"/>
        <c:crossBetween val="between"/>
      </c:valAx>
      <c:catAx>
        <c:axId val="1422724320"/>
        <c:scaling>
          <c:orientation val="minMax"/>
        </c:scaling>
        <c:delete val="1"/>
        <c:axPos val="b"/>
        <c:numFmt formatCode="General" sourceLinked="1"/>
        <c:majorTickMark val="out"/>
        <c:minorTickMark val="none"/>
        <c:tickLblPos val="nextTo"/>
        <c:crossAx val="1422298912"/>
        <c:crosses val="autoZero"/>
        <c:auto val="1"/>
        <c:lblAlgn val="ctr"/>
        <c:lblOffset val="100"/>
        <c:noMultiLvlLbl val="0"/>
      </c:catAx>
      <c:spPr>
        <a:noFill/>
        <a:ln>
          <a:noFill/>
        </a:ln>
        <a:effectLst/>
      </c:spPr>
    </c:plotArea>
    <c:legend>
      <c:legendPos val="b"/>
      <c:layout>
        <c:manualLayout>
          <c:xMode val="edge"/>
          <c:yMode val="edge"/>
          <c:x val="8.3004772774447508E-5"/>
          <c:y val="0.75512919721241745"/>
          <c:w val="0.99991699522722555"/>
          <c:h val="0.2276294234772377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7.6065214301003409E-2"/>
          <c:y val="4.4390637610976592E-2"/>
          <c:w val="0.90110847318602705"/>
          <c:h val="0.65386169949095341"/>
        </c:manualLayout>
      </c:layout>
      <c:lineChart>
        <c:grouping val="standard"/>
        <c:varyColors val="0"/>
        <c:ser>
          <c:idx val="0"/>
          <c:order val="0"/>
          <c:tx>
            <c:strRef>
              <c:f>Sheet0!$O$2</c:f>
              <c:strCache>
                <c:ptCount val="1"/>
                <c:pt idx="0">
                  <c:v>cereal and leguminous crops</c:v>
                </c:pt>
              </c:strCache>
            </c:strRef>
          </c:tx>
          <c:spPr>
            <a:ln w="28575" cap="rnd">
              <a:solidFill>
                <a:schemeClr val="accent1">
                  <a:tint val="46000"/>
                </a:schemeClr>
              </a:solidFill>
              <a:round/>
            </a:ln>
            <a:effectLst/>
          </c:spPr>
          <c:marker>
            <c:symbol val="circle"/>
            <c:size val="5"/>
            <c:spPr>
              <a:solidFill>
                <a:schemeClr val="accent1">
                  <a:tint val="46000"/>
                </a:schemeClr>
              </a:solidFill>
              <a:ln w="9525">
                <a:solidFill>
                  <a:schemeClr val="accent1">
                    <a:tint val="46000"/>
                  </a:schemeClr>
                </a:solidFill>
              </a:ln>
              <a:effectLst/>
            </c:spPr>
          </c:marker>
          <c:cat>
            <c:strRef>
              <c:f>Sheet0!$P$1:$T$1</c:f>
              <c:strCache>
                <c:ptCount val="5"/>
                <c:pt idx="0">
                  <c:v>2019</c:v>
                </c:pt>
                <c:pt idx="1">
                  <c:v>2020</c:v>
                </c:pt>
                <c:pt idx="2">
                  <c:v>2021</c:v>
                </c:pt>
                <c:pt idx="3">
                  <c:v>2022</c:v>
                </c:pt>
                <c:pt idx="4">
                  <c:v>2023</c:v>
                </c:pt>
              </c:strCache>
            </c:strRef>
          </c:cat>
          <c:val>
            <c:numRef>
              <c:f>Sheet0!$P$2:$T$2</c:f>
              <c:numCache>
                <c:formatCode>General</c:formatCode>
                <c:ptCount val="5"/>
                <c:pt idx="0">
                  <c:v>15291.9</c:v>
                </c:pt>
                <c:pt idx="1">
                  <c:v>15282.9</c:v>
                </c:pt>
                <c:pt idx="2">
                  <c:v>15948.4</c:v>
                </c:pt>
                <c:pt idx="3">
                  <c:v>11772.9</c:v>
                </c:pt>
                <c:pt idx="4">
                  <c:v>10835.9</c:v>
                </c:pt>
              </c:numCache>
            </c:numRef>
          </c:val>
          <c:smooth val="0"/>
          <c:extLst>
            <c:ext xmlns:c16="http://schemas.microsoft.com/office/drawing/2014/chart" uri="{C3380CC4-5D6E-409C-BE32-E72D297353CC}">
              <c16:uniqueId val="{00000000-BBFF-F240-99B0-976AFDDF9EA5}"/>
            </c:ext>
          </c:extLst>
        </c:ser>
        <c:ser>
          <c:idx val="1"/>
          <c:order val="1"/>
          <c:tx>
            <c:strRef>
              <c:f>Sheet0!$O$3</c:f>
              <c:strCache>
                <c:ptCount val="1"/>
                <c:pt idx="0">
                  <c:v>wheat</c:v>
                </c:pt>
              </c:strCache>
            </c:strRef>
          </c:tx>
          <c:spPr>
            <a:ln w="28575" cap="rnd">
              <a:solidFill>
                <a:schemeClr val="accent1">
                  <a:tint val="62000"/>
                </a:schemeClr>
              </a:solidFill>
              <a:round/>
            </a:ln>
            <a:effectLst/>
          </c:spPr>
          <c:marker>
            <c:symbol val="circle"/>
            <c:size val="5"/>
            <c:spPr>
              <a:solidFill>
                <a:schemeClr val="accent1">
                  <a:tint val="62000"/>
                </a:schemeClr>
              </a:solidFill>
              <a:ln w="9525">
                <a:solidFill>
                  <a:schemeClr val="accent1">
                    <a:tint val="62000"/>
                  </a:schemeClr>
                </a:solidFill>
              </a:ln>
              <a:effectLst/>
            </c:spPr>
          </c:marker>
          <c:cat>
            <c:strRef>
              <c:f>Sheet0!$P$1:$T$1</c:f>
              <c:strCache>
                <c:ptCount val="5"/>
                <c:pt idx="0">
                  <c:v>2019</c:v>
                </c:pt>
                <c:pt idx="1">
                  <c:v>2020</c:v>
                </c:pt>
                <c:pt idx="2">
                  <c:v>2021</c:v>
                </c:pt>
                <c:pt idx="3">
                  <c:v>2022</c:v>
                </c:pt>
                <c:pt idx="4">
                  <c:v>2023</c:v>
                </c:pt>
              </c:strCache>
            </c:strRef>
          </c:cat>
          <c:val>
            <c:numRef>
              <c:f>Sheet0!$P$3:$T$3</c:f>
              <c:numCache>
                <c:formatCode>General</c:formatCode>
                <c:ptCount val="5"/>
                <c:pt idx="0">
                  <c:v>6812.4</c:v>
                </c:pt>
                <c:pt idx="1">
                  <c:v>6554.5</c:v>
                </c:pt>
                <c:pt idx="2">
                  <c:v>7090.2</c:v>
                </c:pt>
                <c:pt idx="3">
                  <c:v>5281.5</c:v>
                </c:pt>
                <c:pt idx="4">
                  <c:v>4658.3999999999996</c:v>
                </c:pt>
              </c:numCache>
            </c:numRef>
          </c:val>
          <c:smooth val="0"/>
          <c:extLst>
            <c:ext xmlns:c16="http://schemas.microsoft.com/office/drawing/2014/chart" uri="{C3380CC4-5D6E-409C-BE32-E72D297353CC}">
              <c16:uniqueId val="{00000001-BBFF-F240-99B0-976AFDDF9EA5}"/>
            </c:ext>
          </c:extLst>
        </c:ser>
        <c:ser>
          <c:idx val="2"/>
          <c:order val="2"/>
          <c:tx>
            <c:strRef>
              <c:f>Sheet0!$O$4</c:f>
              <c:strCache>
                <c:ptCount val="1"/>
                <c:pt idx="0">
                  <c:v>maize</c:v>
                </c:pt>
              </c:strCache>
            </c:strRef>
          </c:tx>
          <c:spPr>
            <a:ln w="28575" cap="rnd">
              <a:solidFill>
                <a:schemeClr val="accent1">
                  <a:tint val="77000"/>
                </a:schemeClr>
              </a:solidFill>
              <a:round/>
            </a:ln>
            <a:effectLst/>
          </c:spPr>
          <c:marker>
            <c:symbol val="circle"/>
            <c:size val="5"/>
            <c:spPr>
              <a:solidFill>
                <a:schemeClr val="accent1">
                  <a:tint val="77000"/>
                </a:schemeClr>
              </a:solidFill>
              <a:ln w="9525">
                <a:solidFill>
                  <a:schemeClr val="accent1">
                    <a:tint val="77000"/>
                  </a:schemeClr>
                </a:solidFill>
              </a:ln>
              <a:effectLst/>
            </c:spPr>
          </c:marker>
          <c:cat>
            <c:strRef>
              <c:f>Sheet0!$P$1:$T$1</c:f>
              <c:strCache>
                <c:ptCount val="5"/>
                <c:pt idx="0">
                  <c:v>2019</c:v>
                </c:pt>
                <c:pt idx="1">
                  <c:v>2020</c:v>
                </c:pt>
                <c:pt idx="2">
                  <c:v>2021</c:v>
                </c:pt>
                <c:pt idx="3">
                  <c:v>2022</c:v>
                </c:pt>
                <c:pt idx="4">
                  <c:v>2023</c:v>
                </c:pt>
              </c:strCache>
            </c:strRef>
          </c:cat>
          <c:val>
            <c:numRef>
              <c:f>Sheet0!$P$4:$T$4</c:f>
              <c:numCache>
                <c:formatCode>General</c:formatCode>
                <c:ptCount val="5"/>
                <c:pt idx="0">
                  <c:v>4986.8999999999996</c:v>
                </c:pt>
                <c:pt idx="1">
                  <c:v>5392.1</c:v>
                </c:pt>
                <c:pt idx="2">
                  <c:v>5481.8</c:v>
                </c:pt>
                <c:pt idx="3">
                  <c:v>4124.5</c:v>
                </c:pt>
                <c:pt idx="4">
                  <c:v>3975.2</c:v>
                </c:pt>
              </c:numCache>
            </c:numRef>
          </c:val>
          <c:smooth val="0"/>
          <c:extLst>
            <c:ext xmlns:c16="http://schemas.microsoft.com/office/drawing/2014/chart" uri="{C3380CC4-5D6E-409C-BE32-E72D297353CC}">
              <c16:uniqueId val="{00000002-BBFF-F240-99B0-976AFDDF9EA5}"/>
            </c:ext>
          </c:extLst>
        </c:ser>
        <c:ser>
          <c:idx val="3"/>
          <c:order val="3"/>
          <c:tx>
            <c:strRef>
              <c:f>Sheet0!$O$5</c:f>
              <c:strCache>
                <c:ptCount val="1"/>
                <c:pt idx="0">
                  <c:v>barley</c:v>
                </c:pt>
              </c:strCache>
            </c:strRef>
          </c:tx>
          <c:spPr>
            <a:ln w="28575" cap="rnd">
              <a:solidFill>
                <a:schemeClr val="accent1">
                  <a:tint val="93000"/>
                </a:schemeClr>
              </a:solidFill>
              <a:round/>
            </a:ln>
            <a:effectLst/>
          </c:spPr>
          <c:marker>
            <c:symbol val="circle"/>
            <c:size val="5"/>
            <c:spPr>
              <a:solidFill>
                <a:schemeClr val="accent1">
                  <a:tint val="93000"/>
                </a:schemeClr>
              </a:solidFill>
              <a:ln w="9525">
                <a:solidFill>
                  <a:schemeClr val="accent1">
                    <a:tint val="93000"/>
                  </a:schemeClr>
                </a:solidFill>
              </a:ln>
              <a:effectLst/>
            </c:spPr>
          </c:marker>
          <c:cat>
            <c:strRef>
              <c:f>Sheet0!$P$1:$T$1</c:f>
              <c:strCache>
                <c:ptCount val="5"/>
                <c:pt idx="0">
                  <c:v>2019</c:v>
                </c:pt>
                <c:pt idx="1">
                  <c:v>2020</c:v>
                </c:pt>
                <c:pt idx="2">
                  <c:v>2021</c:v>
                </c:pt>
                <c:pt idx="3">
                  <c:v>2022</c:v>
                </c:pt>
                <c:pt idx="4">
                  <c:v>2023</c:v>
                </c:pt>
              </c:strCache>
            </c:strRef>
          </c:cat>
          <c:val>
            <c:numRef>
              <c:f>Sheet0!$P$5:$T$5</c:f>
              <c:numCache>
                <c:formatCode>General</c:formatCode>
                <c:ptCount val="5"/>
                <c:pt idx="0">
                  <c:v>2609.1999999999998</c:v>
                </c:pt>
                <c:pt idx="1">
                  <c:v>2374.5</c:v>
                </c:pt>
                <c:pt idx="2">
                  <c:v>2472.1</c:v>
                </c:pt>
                <c:pt idx="3">
                  <c:v>1740.2</c:v>
                </c:pt>
                <c:pt idx="4">
                  <c:v>1494.3</c:v>
                </c:pt>
              </c:numCache>
            </c:numRef>
          </c:val>
          <c:smooth val="0"/>
          <c:extLst>
            <c:ext xmlns:c16="http://schemas.microsoft.com/office/drawing/2014/chart" uri="{C3380CC4-5D6E-409C-BE32-E72D297353CC}">
              <c16:uniqueId val="{00000003-BBFF-F240-99B0-976AFDDF9EA5}"/>
            </c:ext>
          </c:extLst>
        </c:ser>
        <c:ser>
          <c:idx val="5"/>
          <c:order val="5"/>
          <c:tx>
            <c:strRef>
              <c:f>Sheet0!$O$7</c:f>
              <c:strCache>
                <c:ptCount val="1"/>
                <c:pt idx="0">
                  <c:v>soybeans</c:v>
                </c:pt>
              </c:strCache>
            </c:strRef>
          </c:tx>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cat>
            <c:strRef>
              <c:f>Sheet0!$P$1:$T$1</c:f>
              <c:strCache>
                <c:ptCount val="5"/>
                <c:pt idx="0">
                  <c:v>2019</c:v>
                </c:pt>
                <c:pt idx="1">
                  <c:v>2020</c:v>
                </c:pt>
                <c:pt idx="2">
                  <c:v>2021</c:v>
                </c:pt>
                <c:pt idx="3">
                  <c:v>2022</c:v>
                </c:pt>
                <c:pt idx="4">
                  <c:v>2023</c:v>
                </c:pt>
              </c:strCache>
            </c:strRef>
          </c:cat>
          <c:val>
            <c:numRef>
              <c:f>Sheet0!$P$7:$T$7</c:f>
              <c:numCache>
                <c:formatCode>General</c:formatCode>
                <c:ptCount val="5"/>
                <c:pt idx="0">
                  <c:v>1612.8</c:v>
                </c:pt>
                <c:pt idx="1">
                  <c:v>1364.3</c:v>
                </c:pt>
                <c:pt idx="2">
                  <c:v>1322.9</c:v>
                </c:pt>
                <c:pt idx="3">
                  <c:v>1527.2</c:v>
                </c:pt>
                <c:pt idx="4">
                  <c:v>1834</c:v>
                </c:pt>
              </c:numCache>
            </c:numRef>
          </c:val>
          <c:smooth val="0"/>
          <c:extLst>
            <c:ext xmlns:c16="http://schemas.microsoft.com/office/drawing/2014/chart" uri="{C3380CC4-5D6E-409C-BE32-E72D297353CC}">
              <c16:uniqueId val="{00000004-BBFF-F240-99B0-976AFDDF9EA5}"/>
            </c:ext>
          </c:extLst>
        </c:ser>
        <c:ser>
          <c:idx val="6"/>
          <c:order val="6"/>
          <c:tx>
            <c:strRef>
              <c:f>Sheet0!$O$8</c:f>
              <c:strCache>
                <c:ptCount val="1"/>
                <c:pt idx="0">
                  <c:v>rapeseed (winter and spring)</c:v>
                </c:pt>
              </c:strCache>
            </c:strRef>
          </c:tx>
          <c:spPr>
            <a:ln w="28575" cap="rnd">
              <a:solidFill>
                <a:schemeClr val="accent1">
                  <a:shade val="61000"/>
                </a:schemeClr>
              </a:solidFill>
              <a:round/>
            </a:ln>
            <a:effectLst/>
          </c:spPr>
          <c:marker>
            <c:symbol val="circle"/>
            <c:size val="5"/>
            <c:spPr>
              <a:solidFill>
                <a:schemeClr val="accent1">
                  <a:shade val="61000"/>
                </a:schemeClr>
              </a:solidFill>
              <a:ln w="9525">
                <a:solidFill>
                  <a:schemeClr val="accent1">
                    <a:shade val="61000"/>
                  </a:schemeClr>
                </a:solidFill>
              </a:ln>
              <a:effectLst/>
            </c:spPr>
          </c:marker>
          <c:cat>
            <c:strRef>
              <c:f>Sheet0!$P$1:$T$1</c:f>
              <c:strCache>
                <c:ptCount val="5"/>
                <c:pt idx="0">
                  <c:v>2019</c:v>
                </c:pt>
                <c:pt idx="1">
                  <c:v>2020</c:v>
                </c:pt>
                <c:pt idx="2">
                  <c:v>2021</c:v>
                </c:pt>
                <c:pt idx="3">
                  <c:v>2022</c:v>
                </c:pt>
                <c:pt idx="4">
                  <c:v>2023</c:v>
                </c:pt>
              </c:strCache>
            </c:strRef>
          </c:cat>
          <c:val>
            <c:numRef>
              <c:f>Sheet0!$P$8:$T$8</c:f>
              <c:numCache>
                <c:formatCode>General</c:formatCode>
                <c:ptCount val="5"/>
                <c:pt idx="0">
                  <c:v>1279.2</c:v>
                </c:pt>
                <c:pt idx="1">
                  <c:v>1112.5</c:v>
                </c:pt>
                <c:pt idx="2">
                  <c:v>1004.5</c:v>
                </c:pt>
                <c:pt idx="3">
                  <c:v>1156.2</c:v>
                </c:pt>
                <c:pt idx="4">
                  <c:v>1431.6</c:v>
                </c:pt>
              </c:numCache>
            </c:numRef>
          </c:val>
          <c:smooth val="0"/>
          <c:extLst>
            <c:ext xmlns:c16="http://schemas.microsoft.com/office/drawing/2014/chart" uri="{C3380CC4-5D6E-409C-BE32-E72D297353CC}">
              <c16:uniqueId val="{00000005-BBFF-F240-99B0-976AFDDF9EA5}"/>
            </c:ext>
          </c:extLst>
        </c:ser>
        <c:ser>
          <c:idx val="7"/>
          <c:order val="7"/>
          <c:tx>
            <c:strRef>
              <c:f>Sheet0!$O$9</c:f>
              <c:strCache>
                <c:ptCount val="1"/>
                <c:pt idx="0">
                  <c:v>sunflower</c:v>
                </c:pt>
              </c:strCache>
            </c:strRef>
          </c:tx>
          <c:spPr>
            <a:ln w="28575" cap="rnd">
              <a:solidFill>
                <a:schemeClr val="accent1">
                  <a:shade val="45000"/>
                </a:schemeClr>
              </a:solidFill>
              <a:round/>
            </a:ln>
            <a:effectLst/>
          </c:spPr>
          <c:marker>
            <c:symbol val="circle"/>
            <c:size val="5"/>
            <c:spPr>
              <a:solidFill>
                <a:schemeClr val="accent1">
                  <a:shade val="45000"/>
                </a:schemeClr>
              </a:solidFill>
              <a:ln w="9525">
                <a:solidFill>
                  <a:schemeClr val="accent1">
                    <a:shade val="45000"/>
                  </a:schemeClr>
                </a:solidFill>
              </a:ln>
              <a:effectLst/>
            </c:spPr>
          </c:marker>
          <c:cat>
            <c:strRef>
              <c:f>Sheet0!$P$1:$T$1</c:f>
              <c:strCache>
                <c:ptCount val="5"/>
                <c:pt idx="0">
                  <c:v>2019</c:v>
                </c:pt>
                <c:pt idx="1">
                  <c:v>2020</c:v>
                </c:pt>
                <c:pt idx="2">
                  <c:v>2021</c:v>
                </c:pt>
                <c:pt idx="3">
                  <c:v>2022</c:v>
                </c:pt>
                <c:pt idx="4">
                  <c:v>2023</c:v>
                </c:pt>
              </c:strCache>
            </c:strRef>
          </c:cat>
          <c:val>
            <c:numRef>
              <c:f>Sheet0!$P$9:$T$9</c:f>
              <c:numCache>
                <c:formatCode>General</c:formatCode>
                <c:ptCount val="5"/>
                <c:pt idx="0">
                  <c:v>5958.9</c:v>
                </c:pt>
                <c:pt idx="1">
                  <c:v>6480.9</c:v>
                </c:pt>
                <c:pt idx="2">
                  <c:v>6665.1</c:v>
                </c:pt>
                <c:pt idx="3">
                  <c:v>5238</c:v>
                </c:pt>
                <c:pt idx="4">
                  <c:v>5201.6000000000004</c:v>
                </c:pt>
              </c:numCache>
            </c:numRef>
          </c:val>
          <c:smooth val="0"/>
          <c:extLst>
            <c:ext xmlns:c16="http://schemas.microsoft.com/office/drawing/2014/chart" uri="{C3380CC4-5D6E-409C-BE32-E72D297353CC}">
              <c16:uniqueId val="{00000006-BBFF-F240-99B0-976AFDDF9EA5}"/>
            </c:ext>
          </c:extLst>
        </c:ser>
        <c:dLbls>
          <c:showLegendKey val="0"/>
          <c:showVal val="0"/>
          <c:showCatName val="0"/>
          <c:showSerName val="0"/>
          <c:showPercent val="0"/>
          <c:showBubbleSize val="0"/>
        </c:dLbls>
        <c:marker val="1"/>
        <c:smooth val="0"/>
        <c:axId val="403668191"/>
        <c:axId val="403649871"/>
      </c:lineChart>
      <c:lineChart>
        <c:grouping val="standard"/>
        <c:varyColors val="0"/>
        <c:ser>
          <c:idx val="4"/>
          <c:order val="4"/>
          <c:tx>
            <c:strRef>
              <c:f>Sheet0!$O$6</c:f>
              <c:strCache>
                <c:ptCount val="1"/>
                <c:pt idx="0">
                  <c:v>rye</c:v>
                </c:pt>
              </c:strCache>
            </c:strRef>
          </c:tx>
          <c:spPr>
            <a:ln w="28575" cap="rnd">
              <a:solidFill>
                <a:schemeClr val="accent1">
                  <a:shade val="92000"/>
                </a:schemeClr>
              </a:solidFill>
              <a:round/>
            </a:ln>
            <a:effectLst/>
          </c:spPr>
          <c:marker>
            <c:symbol val="circle"/>
            <c:size val="5"/>
            <c:spPr>
              <a:solidFill>
                <a:schemeClr val="accent1">
                  <a:shade val="92000"/>
                </a:schemeClr>
              </a:solidFill>
              <a:ln w="9525">
                <a:solidFill>
                  <a:schemeClr val="accent1">
                    <a:shade val="92000"/>
                  </a:schemeClr>
                </a:solidFill>
              </a:ln>
              <a:effectLst/>
            </c:spPr>
          </c:marker>
          <c:dLbls>
            <c:dLbl>
              <c:idx val="4"/>
              <c:layout>
                <c:manualLayout>
                  <c:x val="-1.5304086677897365E-2"/>
                  <c:y val="3.22135580510062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BFF-F240-99B0-976AFDDF9E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Sheet0!$P$1:$T$1</c:f>
              <c:strCache>
                <c:ptCount val="5"/>
                <c:pt idx="0">
                  <c:v>2019</c:v>
                </c:pt>
                <c:pt idx="1">
                  <c:v>2020</c:v>
                </c:pt>
                <c:pt idx="2">
                  <c:v>2021</c:v>
                </c:pt>
                <c:pt idx="3">
                  <c:v>2022</c:v>
                </c:pt>
                <c:pt idx="4">
                  <c:v>2023</c:v>
                </c:pt>
              </c:strCache>
            </c:strRef>
          </c:cat>
          <c:val>
            <c:numRef>
              <c:f>Sheet0!$P$6:$T$6</c:f>
              <c:numCache>
                <c:formatCode>General</c:formatCode>
                <c:ptCount val="5"/>
                <c:pt idx="0">
                  <c:v>115.4</c:v>
                </c:pt>
                <c:pt idx="1">
                  <c:v>137.80000000000001</c:v>
                </c:pt>
                <c:pt idx="2">
                  <c:v>171.6</c:v>
                </c:pt>
                <c:pt idx="3">
                  <c:v>101.5</c:v>
                </c:pt>
                <c:pt idx="4">
                  <c:v>78.400000000000006</c:v>
                </c:pt>
              </c:numCache>
            </c:numRef>
          </c:val>
          <c:smooth val="0"/>
          <c:extLst>
            <c:ext xmlns:c16="http://schemas.microsoft.com/office/drawing/2014/chart" uri="{C3380CC4-5D6E-409C-BE32-E72D297353CC}">
              <c16:uniqueId val="{00000008-BBFF-F240-99B0-976AFDDF9EA5}"/>
            </c:ext>
          </c:extLst>
        </c:ser>
        <c:dLbls>
          <c:showLegendKey val="0"/>
          <c:showVal val="0"/>
          <c:showCatName val="0"/>
          <c:showSerName val="0"/>
          <c:showPercent val="0"/>
          <c:showBubbleSize val="0"/>
        </c:dLbls>
        <c:marker val="1"/>
        <c:smooth val="0"/>
        <c:axId val="1665016895"/>
        <c:axId val="1665130095"/>
      </c:lineChart>
      <c:catAx>
        <c:axId val="4036681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403649871"/>
        <c:crosses val="autoZero"/>
        <c:auto val="1"/>
        <c:lblAlgn val="ctr"/>
        <c:lblOffset val="100"/>
        <c:noMultiLvlLbl val="0"/>
      </c:catAx>
      <c:valAx>
        <c:axId val="403649871"/>
        <c:scaling>
          <c:orientation val="minMax"/>
          <c:max val="160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403668191"/>
        <c:crosses val="autoZero"/>
        <c:crossBetween val="between"/>
      </c:valAx>
      <c:valAx>
        <c:axId val="1665130095"/>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665016895"/>
        <c:crosses val="max"/>
        <c:crossBetween val="between"/>
      </c:valAx>
      <c:catAx>
        <c:axId val="1665016895"/>
        <c:scaling>
          <c:orientation val="minMax"/>
        </c:scaling>
        <c:delete val="1"/>
        <c:axPos val="b"/>
        <c:numFmt formatCode="General" sourceLinked="1"/>
        <c:majorTickMark val="out"/>
        <c:minorTickMark val="none"/>
        <c:tickLblPos val="nextTo"/>
        <c:crossAx val="1665130095"/>
        <c:crosses val="autoZero"/>
        <c:auto val="1"/>
        <c:lblAlgn val="ctr"/>
        <c:lblOffset val="100"/>
        <c:noMultiLvlLbl val="0"/>
      </c:catAx>
      <c:spPr>
        <a:noFill/>
        <a:ln>
          <a:noFill/>
        </a:ln>
        <a:effectLst/>
      </c:spPr>
    </c:plotArea>
    <c:legend>
      <c:legendPos val="b"/>
      <c:layout>
        <c:manualLayout>
          <c:xMode val="edge"/>
          <c:yMode val="edge"/>
          <c:x val="3.53392820087155E-2"/>
          <c:y val="0.79030905035175691"/>
          <c:w val="0.94177215189873398"/>
          <c:h val="0.185477874587710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0"/>
          <c:order val="0"/>
          <c:tx>
            <c:strRef>
              <c:f>Sheet0!$O$10</c:f>
              <c:strCache>
                <c:ptCount val="1"/>
                <c:pt idx="0">
                  <c:v>cereal and leguminous crops</c:v>
                </c:pt>
              </c:strCache>
            </c:strRef>
          </c:tx>
          <c:spPr>
            <a:ln w="28575" cap="rnd">
              <a:solidFill>
                <a:schemeClr val="accent1">
                  <a:tint val="46000"/>
                </a:schemeClr>
              </a:solidFill>
              <a:round/>
            </a:ln>
            <a:effectLst/>
          </c:spPr>
          <c:marker>
            <c:symbol val="circle"/>
            <c:size val="5"/>
            <c:spPr>
              <a:solidFill>
                <a:schemeClr val="accent1">
                  <a:tint val="46000"/>
                </a:schemeClr>
              </a:solidFill>
              <a:ln w="9525">
                <a:solidFill>
                  <a:schemeClr val="accent1">
                    <a:tint val="46000"/>
                  </a:schemeClr>
                </a:solidFill>
              </a:ln>
              <a:effectLst/>
            </c:spPr>
          </c:marker>
          <c:cat>
            <c:strRef>
              <c:f>Sheet0!$P$1:$T$1</c:f>
              <c:strCache>
                <c:ptCount val="5"/>
                <c:pt idx="0">
                  <c:v>2019</c:v>
                </c:pt>
                <c:pt idx="1">
                  <c:v>2020</c:v>
                </c:pt>
                <c:pt idx="2">
                  <c:v>2021</c:v>
                </c:pt>
                <c:pt idx="3">
                  <c:v>2022</c:v>
                </c:pt>
                <c:pt idx="4">
                  <c:v>2023</c:v>
                </c:pt>
              </c:strCache>
            </c:strRef>
          </c:cat>
          <c:val>
            <c:numRef>
              <c:f>Sheet0!$P$10:$T$10</c:f>
              <c:numCache>
                <c:formatCode>General</c:formatCode>
                <c:ptCount val="5"/>
                <c:pt idx="0">
                  <c:v>751432</c:v>
                </c:pt>
                <c:pt idx="1">
                  <c:v>649333.9</c:v>
                </c:pt>
                <c:pt idx="2">
                  <c:v>860104.4</c:v>
                </c:pt>
                <c:pt idx="3">
                  <c:v>538637.1</c:v>
                </c:pt>
                <c:pt idx="4">
                  <c:v>597722.19999999995</c:v>
                </c:pt>
              </c:numCache>
            </c:numRef>
          </c:val>
          <c:smooth val="0"/>
          <c:extLst>
            <c:ext xmlns:c16="http://schemas.microsoft.com/office/drawing/2014/chart" uri="{C3380CC4-5D6E-409C-BE32-E72D297353CC}">
              <c16:uniqueId val="{00000000-DC4D-4740-BCE5-2A2C161343E2}"/>
            </c:ext>
          </c:extLst>
        </c:ser>
        <c:ser>
          <c:idx val="1"/>
          <c:order val="1"/>
          <c:tx>
            <c:strRef>
              <c:f>Sheet0!$O$11</c:f>
              <c:strCache>
                <c:ptCount val="1"/>
                <c:pt idx="0">
                  <c:v>wheat</c:v>
                </c:pt>
              </c:strCache>
            </c:strRef>
          </c:tx>
          <c:spPr>
            <a:ln w="28575" cap="rnd">
              <a:solidFill>
                <a:schemeClr val="accent1">
                  <a:tint val="62000"/>
                </a:schemeClr>
              </a:solidFill>
              <a:round/>
            </a:ln>
            <a:effectLst/>
          </c:spPr>
          <c:marker>
            <c:symbol val="circle"/>
            <c:size val="5"/>
            <c:spPr>
              <a:solidFill>
                <a:schemeClr val="accent1">
                  <a:tint val="62000"/>
                </a:schemeClr>
              </a:solidFill>
              <a:ln w="9525">
                <a:solidFill>
                  <a:schemeClr val="accent1">
                    <a:tint val="62000"/>
                  </a:schemeClr>
                </a:solidFill>
              </a:ln>
              <a:effectLst/>
            </c:spPr>
          </c:marker>
          <c:cat>
            <c:strRef>
              <c:f>Sheet0!$P$1:$T$1</c:f>
              <c:strCache>
                <c:ptCount val="5"/>
                <c:pt idx="0">
                  <c:v>2019</c:v>
                </c:pt>
                <c:pt idx="1">
                  <c:v>2020</c:v>
                </c:pt>
                <c:pt idx="2">
                  <c:v>2021</c:v>
                </c:pt>
                <c:pt idx="3">
                  <c:v>2022</c:v>
                </c:pt>
                <c:pt idx="4">
                  <c:v>2023</c:v>
                </c:pt>
              </c:strCache>
            </c:strRef>
          </c:cat>
          <c:val>
            <c:numRef>
              <c:f>Sheet0!$P$11:$T$11</c:f>
              <c:numCache>
                <c:formatCode>General</c:formatCode>
                <c:ptCount val="5"/>
                <c:pt idx="0">
                  <c:v>283278.59999999998</c:v>
                </c:pt>
                <c:pt idx="1">
                  <c:v>248774.2</c:v>
                </c:pt>
                <c:pt idx="2">
                  <c:v>321510.2</c:v>
                </c:pt>
                <c:pt idx="3">
                  <c:v>207292.4</c:v>
                </c:pt>
                <c:pt idx="4">
                  <c:v>216251.7</c:v>
                </c:pt>
              </c:numCache>
            </c:numRef>
          </c:val>
          <c:smooth val="0"/>
          <c:extLst>
            <c:ext xmlns:c16="http://schemas.microsoft.com/office/drawing/2014/chart" uri="{C3380CC4-5D6E-409C-BE32-E72D297353CC}">
              <c16:uniqueId val="{00000001-DC4D-4740-BCE5-2A2C161343E2}"/>
            </c:ext>
          </c:extLst>
        </c:ser>
        <c:ser>
          <c:idx val="2"/>
          <c:order val="2"/>
          <c:tx>
            <c:strRef>
              <c:f>Sheet0!$O$12</c:f>
              <c:strCache>
                <c:ptCount val="1"/>
                <c:pt idx="0">
                  <c:v>maize</c:v>
                </c:pt>
              </c:strCache>
            </c:strRef>
          </c:tx>
          <c:spPr>
            <a:ln w="28575" cap="rnd">
              <a:solidFill>
                <a:schemeClr val="accent1">
                  <a:tint val="77000"/>
                </a:schemeClr>
              </a:solidFill>
              <a:round/>
            </a:ln>
            <a:effectLst/>
          </c:spPr>
          <c:marker>
            <c:symbol val="circle"/>
            <c:size val="5"/>
            <c:spPr>
              <a:solidFill>
                <a:schemeClr val="accent1">
                  <a:tint val="77000"/>
                </a:schemeClr>
              </a:solidFill>
              <a:ln w="9525">
                <a:solidFill>
                  <a:schemeClr val="accent1">
                    <a:tint val="77000"/>
                  </a:schemeClr>
                </a:solidFill>
              </a:ln>
              <a:effectLst/>
            </c:spPr>
          </c:marker>
          <c:cat>
            <c:strRef>
              <c:f>Sheet0!$P$1:$T$1</c:f>
              <c:strCache>
                <c:ptCount val="5"/>
                <c:pt idx="0">
                  <c:v>2019</c:v>
                </c:pt>
                <c:pt idx="1">
                  <c:v>2020</c:v>
                </c:pt>
                <c:pt idx="2">
                  <c:v>2021</c:v>
                </c:pt>
                <c:pt idx="3">
                  <c:v>2022</c:v>
                </c:pt>
                <c:pt idx="4">
                  <c:v>2023</c:v>
                </c:pt>
              </c:strCache>
            </c:strRef>
          </c:cat>
          <c:val>
            <c:numRef>
              <c:f>Sheet0!$P$12:$T$12</c:f>
              <c:numCache>
                <c:formatCode>General</c:formatCode>
                <c:ptCount val="5"/>
                <c:pt idx="0">
                  <c:v>358800.5</c:v>
                </c:pt>
                <c:pt idx="1">
                  <c:v>302903.40000000002</c:v>
                </c:pt>
                <c:pt idx="2">
                  <c:v>421098.5</c:v>
                </c:pt>
                <c:pt idx="3">
                  <c:v>261869.3</c:v>
                </c:pt>
                <c:pt idx="4">
                  <c:v>310304.40000000002</c:v>
                </c:pt>
              </c:numCache>
            </c:numRef>
          </c:val>
          <c:smooth val="0"/>
          <c:extLst>
            <c:ext xmlns:c16="http://schemas.microsoft.com/office/drawing/2014/chart" uri="{C3380CC4-5D6E-409C-BE32-E72D297353CC}">
              <c16:uniqueId val="{00000002-DC4D-4740-BCE5-2A2C161343E2}"/>
            </c:ext>
          </c:extLst>
        </c:ser>
        <c:ser>
          <c:idx val="3"/>
          <c:order val="3"/>
          <c:tx>
            <c:strRef>
              <c:f>Sheet0!$O$13</c:f>
              <c:strCache>
                <c:ptCount val="1"/>
                <c:pt idx="0">
                  <c:v>barley</c:v>
                </c:pt>
              </c:strCache>
            </c:strRef>
          </c:tx>
          <c:spPr>
            <a:ln w="28575" cap="rnd">
              <a:solidFill>
                <a:schemeClr val="accent1">
                  <a:tint val="93000"/>
                </a:schemeClr>
              </a:solidFill>
              <a:round/>
            </a:ln>
            <a:effectLst/>
          </c:spPr>
          <c:marker>
            <c:symbol val="circle"/>
            <c:size val="5"/>
            <c:spPr>
              <a:solidFill>
                <a:schemeClr val="accent1">
                  <a:tint val="93000"/>
                </a:schemeClr>
              </a:solidFill>
              <a:ln w="9525">
                <a:solidFill>
                  <a:schemeClr val="accent1">
                    <a:tint val="93000"/>
                  </a:schemeClr>
                </a:solidFill>
              </a:ln>
              <a:effectLst/>
            </c:spPr>
          </c:marker>
          <c:cat>
            <c:strRef>
              <c:f>Sheet0!$P$1:$T$1</c:f>
              <c:strCache>
                <c:ptCount val="5"/>
                <c:pt idx="0">
                  <c:v>2019</c:v>
                </c:pt>
                <c:pt idx="1">
                  <c:v>2020</c:v>
                </c:pt>
                <c:pt idx="2">
                  <c:v>2021</c:v>
                </c:pt>
                <c:pt idx="3">
                  <c:v>2022</c:v>
                </c:pt>
                <c:pt idx="4">
                  <c:v>2023</c:v>
                </c:pt>
              </c:strCache>
            </c:strRef>
          </c:cat>
          <c:val>
            <c:numRef>
              <c:f>Sheet0!$P$13:$T$13</c:f>
              <c:numCache>
                <c:formatCode>General</c:formatCode>
                <c:ptCount val="5"/>
                <c:pt idx="0">
                  <c:v>89167.8</c:v>
                </c:pt>
                <c:pt idx="1">
                  <c:v>76363.399999999994</c:v>
                </c:pt>
                <c:pt idx="2">
                  <c:v>94370.2</c:v>
                </c:pt>
                <c:pt idx="3">
                  <c:v>56081.7</c:v>
                </c:pt>
                <c:pt idx="4">
                  <c:v>55071.9</c:v>
                </c:pt>
              </c:numCache>
            </c:numRef>
          </c:val>
          <c:smooth val="0"/>
          <c:extLst>
            <c:ext xmlns:c16="http://schemas.microsoft.com/office/drawing/2014/chart" uri="{C3380CC4-5D6E-409C-BE32-E72D297353CC}">
              <c16:uniqueId val="{00000003-DC4D-4740-BCE5-2A2C161343E2}"/>
            </c:ext>
          </c:extLst>
        </c:ser>
        <c:ser>
          <c:idx val="5"/>
          <c:order val="5"/>
          <c:tx>
            <c:strRef>
              <c:f>Sheet0!$O$15</c:f>
              <c:strCache>
                <c:ptCount val="1"/>
                <c:pt idx="0">
                  <c:v>soybeans</c:v>
                </c:pt>
              </c:strCache>
            </c:strRef>
          </c:tx>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cat>
            <c:strRef>
              <c:f>Sheet0!$P$1:$T$1</c:f>
              <c:strCache>
                <c:ptCount val="5"/>
                <c:pt idx="0">
                  <c:v>2019</c:v>
                </c:pt>
                <c:pt idx="1">
                  <c:v>2020</c:v>
                </c:pt>
                <c:pt idx="2">
                  <c:v>2021</c:v>
                </c:pt>
                <c:pt idx="3">
                  <c:v>2022</c:v>
                </c:pt>
                <c:pt idx="4">
                  <c:v>2023</c:v>
                </c:pt>
              </c:strCache>
            </c:strRef>
          </c:cat>
          <c:val>
            <c:numRef>
              <c:f>Sheet0!$P$15:$T$15</c:f>
              <c:numCache>
                <c:formatCode>General</c:formatCode>
                <c:ptCount val="5"/>
                <c:pt idx="0">
                  <c:v>36987.1</c:v>
                </c:pt>
                <c:pt idx="1">
                  <c:v>27976.7</c:v>
                </c:pt>
                <c:pt idx="2">
                  <c:v>34932</c:v>
                </c:pt>
                <c:pt idx="3">
                  <c:v>34438</c:v>
                </c:pt>
                <c:pt idx="4">
                  <c:v>47425.5</c:v>
                </c:pt>
              </c:numCache>
            </c:numRef>
          </c:val>
          <c:smooth val="0"/>
          <c:extLst>
            <c:ext xmlns:c16="http://schemas.microsoft.com/office/drawing/2014/chart" uri="{C3380CC4-5D6E-409C-BE32-E72D297353CC}">
              <c16:uniqueId val="{00000004-DC4D-4740-BCE5-2A2C161343E2}"/>
            </c:ext>
          </c:extLst>
        </c:ser>
        <c:ser>
          <c:idx val="6"/>
          <c:order val="6"/>
          <c:tx>
            <c:strRef>
              <c:f>Sheet0!$O$16</c:f>
              <c:strCache>
                <c:ptCount val="1"/>
                <c:pt idx="0">
                  <c:v>rapeseed (winter and spring)</c:v>
                </c:pt>
              </c:strCache>
            </c:strRef>
          </c:tx>
          <c:spPr>
            <a:ln w="28575" cap="rnd">
              <a:solidFill>
                <a:schemeClr val="accent1">
                  <a:shade val="61000"/>
                </a:schemeClr>
              </a:solidFill>
              <a:round/>
            </a:ln>
            <a:effectLst/>
          </c:spPr>
          <c:marker>
            <c:symbol val="circle"/>
            <c:size val="5"/>
            <c:spPr>
              <a:solidFill>
                <a:schemeClr val="accent1">
                  <a:shade val="61000"/>
                </a:schemeClr>
              </a:solidFill>
              <a:ln w="9525">
                <a:solidFill>
                  <a:schemeClr val="accent1">
                    <a:shade val="61000"/>
                  </a:schemeClr>
                </a:solidFill>
              </a:ln>
              <a:effectLst/>
            </c:spPr>
          </c:marker>
          <c:cat>
            <c:strRef>
              <c:f>Sheet0!$P$1:$T$1</c:f>
              <c:strCache>
                <c:ptCount val="5"/>
                <c:pt idx="0">
                  <c:v>2019</c:v>
                </c:pt>
                <c:pt idx="1">
                  <c:v>2020</c:v>
                </c:pt>
                <c:pt idx="2">
                  <c:v>2021</c:v>
                </c:pt>
                <c:pt idx="3">
                  <c:v>2022</c:v>
                </c:pt>
                <c:pt idx="4">
                  <c:v>2023</c:v>
                </c:pt>
              </c:strCache>
            </c:strRef>
          </c:cat>
          <c:val>
            <c:numRef>
              <c:f>Sheet0!$P$16:$T$16</c:f>
              <c:numCache>
                <c:formatCode>General</c:formatCode>
                <c:ptCount val="5"/>
                <c:pt idx="0">
                  <c:v>32803.199999999997</c:v>
                </c:pt>
                <c:pt idx="1">
                  <c:v>25572</c:v>
                </c:pt>
                <c:pt idx="2">
                  <c:v>29389.4</c:v>
                </c:pt>
                <c:pt idx="3">
                  <c:v>33179.800000000003</c:v>
                </c:pt>
                <c:pt idx="4">
                  <c:v>41836.5</c:v>
                </c:pt>
              </c:numCache>
            </c:numRef>
          </c:val>
          <c:smooth val="0"/>
          <c:extLst>
            <c:ext xmlns:c16="http://schemas.microsoft.com/office/drawing/2014/chart" uri="{C3380CC4-5D6E-409C-BE32-E72D297353CC}">
              <c16:uniqueId val="{00000005-DC4D-4740-BCE5-2A2C161343E2}"/>
            </c:ext>
          </c:extLst>
        </c:ser>
        <c:ser>
          <c:idx val="7"/>
          <c:order val="7"/>
          <c:tx>
            <c:strRef>
              <c:f>Sheet0!$O$17</c:f>
              <c:strCache>
                <c:ptCount val="1"/>
                <c:pt idx="0">
                  <c:v>sunflower</c:v>
                </c:pt>
              </c:strCache>
            </c:strRef>
          </c:tx>
          <c:spPr>
            <a:ln w="28575" cap="rnd">
              <a:solidFill>
                <a:schemeClr val="accent1">
                  <a:shade val="45000"/>
                </a:schemeClr>
              </a:solidFill>
              <a:round/>
            </a:ln>
            <a:effectLst/>
          </c:spPr>
          <c:marker>
            <c:symbol val="circle"/>
            <c:size val="5"/>
            <c:spPr>
              <a:solidFill>
                <a:schemeClr val="accent1">
                  <a:shade val="45000"/>
                </a:schemeClr>
              </a:solidFill>
              <a:ln w="9525">
                <a:solidFill>
                  <a:schemeClr val="accent1">
                    <a:shade val="45000"/>
                  </a:schemeClr>
                </a:solidFill>
              </a:ln>
              <a:effectLst/>
            </c:spPr>
          </c:marker>
          <c:cat>
            <c:strRef>
              <c:f>Sheet0!$P$1:$T$1</c:f>
              <c:strCache>
                <c:ptCount val="5"/>
                <c:pt idx="0">
                  <c:v>2019</c:v>
                </c:pt>
                <c:pt idx="1">
                  <c:v>2020</c:v>
                </c:pt>
                <c:pt idx="2">
                  <c:v>2021</c:v>
                </c:pt>
                <c:pt idx="3">
                  <c:v>2022</c:v>
                </c:pt>
                <c:pt idx="4">
                  <c:v>2023</c:v>
                </c:pt>
              </c:strCache>
            </c:strRef>
          </c:cat>
          <c:val>
            <c:numRef>
              <c:f>Sheet0!$P$17:$T$17</c:f>
              <c:numCache>
                <c:formatCode>General</c:formatCode>
                <c:ptCount val="5"/>
                <c:pt idx="0">
                  <c:v>152541.20000000001</c:v>
                </c:pt>
                <c:pt idx="1">
                  <c:v>131104.29999999999</c:v>
                </c:pt>
                <c:pt idx="2">
                  <c:v>163924.1</c:v>
                </c:pt>
                <c:pt idx="3">
                  <c:v>113287.4</c:v>
                </c:pt>
                <c:pt idx="4">
                  <c:v>127596.9</c:v>
                </c:pt>
              </c:numCache>
            </c:numRef>
          </c:val>
          <c:smooth val="0"/>
          <c:extLst>
            <c:ext xmlns:c16="http://schemas.microsoft.com/office/drawing/2014/chart" uri="{C3380CC4-5D6E-409C-BE32-E72D297353CC}">
              <c16:uniqueId val="{00000006-DC4D-4740-BCE5-2A2C161343E2}"/>
            </c:ext>
          </c:extLst>
        </c:ser>
        <c:dLbls>
          <c:showLegendKey val="0"/>
          <c:showVal val="0"/>
          <c:showCatName val="0"/>
          <c:showSerName val="0"/>
          <c:showPercent val="0"/>
          <c:showBubbleSize val="0"/>
        </c:dLbls>
        <c:marker val="1"/>
        <c:smooth val="0"/>
        <c:axId val="403668191"/>
        <c:axId val="403649871"/>
      </c:lineChart>
      <c:lineChart>
        <c:grouping val="standard"/>
        <c:varyColors val="0"/>
        <c:ser>
          <c:idx val="4"/>
          <c:order val="4"/>
          <c:tx>
            <c:strRef>
              <c:f>Sheet0!$O$14</c:f>
              <c:strCache>
                <c:ptCount val="1"/>
                <c:pt idx="0">
                  <c:v>rye</c:v>
                </c:pt>
              </c:strCache>
            </c:strRef>
          </c:tx>
          <c:spPr>
            <a:ln w="28575" cap="rnd">
              <a:solidFill>
                <a:schemeClr val="accent1">
                  <a:shade val="92000"/>
                </a:schemeClr>
              </a:solidFill>
              <a:round/>
            </a:ln>
            <a:effectLst/>
          </c:spPr>
          <c:marker>
            <c:symbol val="circle"/>
            <c:size val="5"/>
            <c:spPr>
              <a:solidFill>
                <a:schemeClr val="accent1">
                  <a:shade val="92000"/>
                </a:schemeClr>
              </a:solidFill>
              <a:ln w="9525">
                <a:solidFill>
                  <a:schemeClr val="accent1">
                    <a:shade val="92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Sheet0!$P$1:$T$1</c:f>
              <c:strCache>
                <c:ptCount val="5"/>
                <c:pt idx="0">
                  <c:v>2019</c:v>
                </c:pt>
                <c:pt idx="1">
                  <c:v>2020</c:v>
                </c:pt>
                <c:pt idx="2">
                  <c:v>2021</c:v>
                </c:pt>
                <c:pt idx="3">
                  <c:v>2022</c:v>
                </c:pt>
                <c:pt idx="4">
                  <c:v>2023</c:v>
                </c:pt>
              </c:strCache>
            </c:strRef>
          </c:cat>
          <c:val>
            <c:numRef>
              <c:f>Sheet0!$P$14:$T$14</c:f>
              <c:numCache>
                <c:formatCode>General</c:formatCode>
                <c:ptCount val="5"/>
                <c:pt idx="0">
                  <c:v>3346.8</c:v>
                </c:pt>
                <c:pt idx="1">
                  <c:v>4567.8</c:v>
                </c:pt>
                <c:pt idx="2">
                  <c:v>5931.5</c:v>
                </c:pt>
                <c:pt idx="3">
                  <c:v>3140.3</c:v>
                </c:pt>
                <c:pt idx="4">
                  <c:v>2311.8000000000002</c:v>
                </c:pt>
              </c:numCache>
            </c:numRef>
          </c:val>
          <c:smooth val="0"/>
          <c:extLst>
            <c:ext xmlns:c16="http://schemas.microsoft.com/office/drawing/2014/chart" uri="{C3380CC4-5D6E-409C-BE32-E72D297353CC}">
              <c16:uniqueId val="{00000007-DC4D-4740-BCE5-2A2C161343E2}"/>
            </c:ext>
          </c:extLst>
        </c:ser>
        <c:dLbls>
          <c:showLegendKey val="0"/>
          <c:showVal val="0"/>
          <c:showCatName val="0"/>
          <c:showSerName val="0"/>
          <c:showPercent val="0"/>
          <c:showBubbleSize val="0"/>
        </c:dLbls>
        <c:marker val="1"/>
        <c:smooth val="0"/>
        <c:axId val="1848186079"/>
        <c:axId val="548771807"/>
      </c:lineChart>
      <c:catAx>
        <c:axId val="4036681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403649871"/>
        <c:crosses val="autoZero"/>
        <c:auto val="1"/>
        <c:lblAlgn val="ctr"/>
        <c:lblOffset val="100"/>
        <c:noMultiLvlLbl val="0"/>
      </c:catAx>
      <c:valAx>
        <c:axId val="40364987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403668191"/>
        <c:crosses val="autoZero"/>
        <c:crossBetween val="between"/>
      </c:valAx>
      <c:valAx>
        <c:axId val="548771807"/>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848186079"/>
        <c:crosses val="max"/>
        <c:crossBetween val="between"/>
      </c:valAx>
      <c:catAx>
        <c:axId val="1848186079"/>
        <c:scaling>
          <c:orientation val="minMax"/>
        </c:scaling>
        <c:delete val="1"/>
        <c:axPos val="b"/>
        <c:numFmt formatCode="General" sourceLinked="1"/>
        <c:majorTickMark val="out"/>
        <c:minorTickMark val="none"/>
        <c:tickLblPos val="nextTo"/>
        <c:crossAx val="548771807"/>
        <c:crosses val="autoZero"/>
        <c:auto val="1"/>
        <c:lblAlgn val="ctr"/>
        <c:lblOffset val="100"/>
        <c:noMultiLvlLbl val="0"/>
      </c:catAx>
      <c:spPr>
        <a:noFill/>
        <a:ln>
          <a:noFill/>
        </a:ln>
        <a:effectLst/>
      </c:spPr>
    </c:plotArea>
    <c:legend>
      <c:legendPos val="b"/>
      <c:layout>
        <c:manualLayout>
          <c:xMode val="edge"/>
          <c:yMode val="edge"/>
          <c:x val="2.081344677318946E-2"/>
          <c:y val="0.82965127911600312"/>
          <c:w val="0.93969703257937331"/>
          <c:h val="0.151049910977274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4.8051103489631757E-2"/>
          <c:y val="3.5381151495657764E-2"/>
          <c:w val="0.92912258399739878"/>
          <c:h val="0.74019597662868519"/>
        </c:manualLayout>
      </c:layout>
      <c:lineChart>
        <c:grouping val="standard"/>
        <c:varyColors val="0"/>
        <c:ser>
          <c:idx val="0"/>
          <c:order val="0"/>
          <c:tx>
            <c:strRef>
              <c:f>Sheet0!$O$18</c:f>
              <c:strCache>
                <c:ptCount val="1"/>
                <c:pt idx="0">
                  <c:v>cereal and leguminous crops</c:v>
                </c:pt>
              </c:strCache>
            </c:strRef>
          </c:tx>
          <c:spPr>
            <a:ln w="28575" cap="rnd">
              <a:solidFill>
                <a:schemeClr val="accent1">
                  <a:tint val="46000"/>
                </a:schemeClr>
              </a:solidFill>
              <a:round/>
            </a:ln>
            <a:effectLst/>
          </c:spPr>
          <c:marker>
            <c:symbol val="circle"/>
            <c:size val="5"/>
            <c:spPr>
              <a:solidFill>
                <a:schemeClr val="accent1">
                  <a:tint val="46000"/>
                </a:schemeClr>
              </a:solidFill>
              <a:ln w="9525">
                <a:solidFill>
                  <a:schemeClr val="accent1">
                    <a:tint val="46000"/>
                  </a:schemeClr>
                </a:solidFill>
              </a:ln>
              <a:effectLst/>
            </c:spPr>
          </c:marker>
          <c:cat>
            <c:strRef>
              <c:f>Sheet0!$P$1:$T$1</c:f>
              <c:strCache>
                <c:ptCount val="5"/>
                <c:pt idx="0">
                  <c:v>2019</c:v>
                </c:pt>
                <c:pt idx="1">
                  <c:v>2020</c:v>
                </c:pt>
                <c:pt idx="2">
                  <c:v>2021</c:v>
                </c:pt>
                <c:pt idx="3">
                  <c:v>2022</c:v>
                </c:pt>
                <c:pt idx="4">
                  <c:v>2023</c:v>
                </c:pt>
              </c:strCache>
            </c:strRef>
          </c:cat>
          <c:val>
            <c:numRef>
              <c:f>Sheet0!$P$18:$T$18</c:f>
              <c:numCache>
                <c:formatCode>General</c:formatCode>
                <c:ptCount val="5"/>
                <c:pt idx="0">
                  <c:v>49.1</c:v>
                </c:pt>
                <c:pt idx="1">
                  <c:v>42.5</c:v>
                </c:pt>
                <c:pt idx="2">
                  <c:v>53.9</c:v>
                </c:pt>
                <c:pt idx="3">
                  <c:v>45.8</c:v>
                </c:pt>
                <c:pt idx="4">
                  <c:v>55.2</c:v>
                </c:pt>
              </c:numCache>
            </c:numRef>
          </c:val>
          <c:smooth val="0"/>
          <c:extLst>
            <c:ext xmlns:c16="http://schemas.microsoft.com/office/drawing/2014/chart" uri="{C3380CC4-5D6E-409C-BE32-E72D297353CC}">
              <c16:uniqueId val="{00000000-D055-9C4F-BC3B-C705BBD1416E}"/>
            </c:ext>
          </c:extLst>
        </c:ser>
        <c:ser>
          <c:idx val="1"/>
          <c:order val="1"/>
          <c:tx>
            <c:strRef>
              <c:f>Sheet0!$O$19</c:f>
              <c:strCache>
                <c:ptCount val="1"/>
                <c:pt idx="0">
                  <c:v>wheat</c:v>
                </c:pt>
              </c:strCache>
            </c:strRef>
          </c:tx>
          <c:spPr>
            <a:ln w="28575" cap="rnd">
              <a:solidFill>
                <a:schemeClr val="accent1">
                  <a:tint val="62000"/>
                </a:schemeClr>
              </a:solidFill>
              <a:round/>
            </a:ln>
            <a:effectLst/>
          </c:spPr>
          <c:marker>
            <c:symbol val="circle"/>
            <c:size val="5"/>
            <c:spPr>
              <a:solidFill>
                <a:schemeClr val="accent1">
                  <a:tint val="62000"/>
                </a:schemeClr>
              </a:solidFill>
              <a:ln w="9525">
                <a:solidFill>
                  <a:schemeClr val="accent1">
                    <a:tint val="62000"/>
                  </a:schemeClr>
                </a:solidFill>
              </a:ln>
              <a:effectLst/>
            </c:spPr>
          </c:marker>
          <c:cat>
            <c:strRef>
              <c:f>Sheet0!$P$1:$T$1</c:f>
              <c:strCache>
                <c:ptCount val="5"/>
                <c:pt idx="0">
                  <c:v>2019</c:v>
                </c:pt>
                <c:pt idx="1">
                  <c:v>2020</c:v>
                </c:pt>
                <c:pt idx="2">
                  <c:v>2021</c:v>
                </c:pt>
                <c:pt idx="3">
                  <c:v>2022</c:v>
                </c:pt>
                <c:pt idx="4">
                  <c:v>2023</c:v>
                </c:pt>
              </c:strCache>
            </c:strRef>
          </c:cat>
          <c:val>
            <c:numRef>
              <c:f>Sheet0!$P$19:$T$19</c:f>
              <c:numCache>
                <c:formatCode>General</c:formatCode>
                <c:ptCount val="5"/>
                <c:pt idx="0">
                  <c:v>41.6</c:v>
                </c:pt>
                <c:pt idx="1">
                  <c:v>38</c:v>
                </c:pt>
                <c:pt idx="2">
                  <c:v>45.3</c:v>
                </c:pt>
                <c:pt idx="3">
                  <c:v>39.299999999999997</c:v>
                </c:pt>
                <c:pt idx="4">
                  <c:v>46.4</c:v>
                </c:pt>
              </c:numCache>
            </c:numRef>
          </c:val>
          <c:smooth val="0"/>
          <c:extLst>
            <c:ext xmlns:c16="http://schemas.microsoft.com/office/drawing/2014/chart" uri="{C3380CC4-5D6E-409C-BE32-E72D297353CC}">
              <c16:uniqueId val="{00000001-D055-9C4F-BC3B-C705BBD1416E}"/>
            </c:ext>
          </c:extLst>
        </c:ser>
        <c:ser>
          <c:idx val="2"/>
          <c:order val="2"/>
          <c:tx>
            <c:strRef>
              <c:f>Sheet0!$O$20</c:f>
              <c:strCache>
                <c:ptCount val="1"/>
                <c:pt idx="0">
                  <c:v>maize</c:v>
                </c:pt>
              </c:strCache>
            </c:strRef>
          </c:tx>
          <c:spPr>
            <a:ln w="28575" cap="rnd">
              <a:solidFill>
                <a:schemeClr val="accent1">
                  <a:tint val="77000"/>
                </a:schemeClr>
              </a:solidFill>
              <a:round/>
            </a:ln>
            <a:effectLst/>
          </c:spPr>
          <c:marker>
            <c:symbol val="circle"/>
            <c:size val="5"/>
            <c:spPr>
              <a:solidFill>
                <a:schemeClr val="accent1">
                  <a:tint val="77000"/>
                </a:schemeClr>
              </a:solidFill>
              <a:ln w="9525">
                <a:solidFill>
                  <a:schemeClr val="accent1">
                    <a:tint val="77000"/>
                  </a:schemeClr>
                </a:solidFill>
              </a:ln>
              <a:effectLst/>
            </c:spPr>
          </c:marker>
          <c:cat>
            <c:strRef>
              <c:f>Sheet0!$P$1:$T$1</c:f>
              <c:strCache>
                <c:ptCount val="5"/>
                <c:pt idx="0">
                  <c:v>2019</c:v>
                </c:pt>
                <c:pt idx="1">
                  <c:v>2020</c:v>
                </c:pt>
                <c:pt idx="2">
                  <c:v>2021</c:v>
                </c:pt>
                <c:pt idx="3">
                  <c:v>2022</c:v>
                </c:pt>
                <c:pt idx="4">
                  <c:v>2023</c:v>
                </c:pt>
              </c:strCache>
            </c:strRef>
          </c:cat>
          <c:val>
            <c:numRef>
              <c:f>Sheet0!$P$20:$T$20</c:f>
              <c:numCache>
                <c:formatCode>General</c:formatCode>
                <c:ptCount val="5"/>
                <c:pt idx="0">
                  <c:v>71.900000000000006</c:v>
                </c:pt>
                <c:pt idx="1">
                  <c:v>56.2</c:v>
                </c:pt>
                <c:pt idx="2">
                  <c:v>76.8</c:v>
                </c:pt>
                <c:pt idx="3">
                  <c:v>63.5</c:v>
                </c:pt>
                <c:pt idx="4">
                  <c:v>78.099999999999994</c:v>
                </c:pt>
              </c:numCache>
            </c:numRef>
          </c:val>
          <c:smooth val="0"/>
          <c:extLst>
            <c:ext xmlns:c16="http://schemas.microsoft.com/office/drawing/2014/chart" uri="{C3380CC4-5D6E-409C-BE32-E72D297353CC}">
              <c16:uniqueId val="{00000002-D055-9C4F-BC3B-C705BBD1416E}"/>
            </c:ext>
          </c:extLst>
        </c:ser>
        <c:ser>
          <c:idx val="3"/>
          <c:order val="3"/>
          <c:tx>
            <c:strRef>
              <c:f>Sheet0!$O$21</c:f>
              <c:strCache>
                <c:ptCount val="1"/>
                <c:pt idx="0">
                  <c:v>barley</c:v>
                </c:pt>
              </c:strCache>
            </c:strRef>
          </c:tx>
          <c:spPr>
            <a:ln w="28575" cap="rnd">
              <a:solidFill>
                <a:schemeClr val="accent1">
                  <a:tint val="93000"/>
                </a:schemeClr>
              </a:solidFill>
              <a:round/>
            </a:ln>
            <a:effectLst/>
          </c:spPr>
          <c:marker>
            <c:symbol val="circle"/>
            <c:size val="5"/>
            <c:spPr>
              <a:solidFill>
                <a:schemeClr val="accent1">
                  <a:tint val="93000"/>
                </a:schemeClr>
              </a:solidFill>
              <a:ln w="9525">
                <a:solidFill>
                  <a:schemeClr val="accent1">
                    <a:tint val="93000"/>
                  </a:schemeClr>
                </a:solidFill>
              </a:ln>
              <a:effectLst/>
            </c:spPr>
          </c:marker>
          <c:cat>
            <c:strRef>
              <c:f>Sheet0!$P$1:$T$1</c:f>
              <c:strCache>
                <c:ptCount val="5"/>
                <c:pt idx="0">
                  <c:v>2019</c:v>
                </c:pt>
                <c:pt idx="1">
                  <c:v>2020</c:v>
                </c:pt>
                <c:pt idx="2">
                  <c:v>2021</c:v>
                </c:pt>
                <c:pt idx="3">
                  <c:v>2022</c:v>
                </c:pt>
                <c:pt idx="4">
                  <c:v>2023</c:v>
                </c:pt>
              </c:strCache>
            </c:strRef>
          </c:cat>
          <c:val>
            <c:numRef>
              <c:f>Sheet0!$P$21:$T$21</c:f>
              <c:numCache>
                <c:formatCode>General</c:formatCode>
                <c:ptCount val="5"/>
                <c:pt idx="0">
                  <c:v>34.200000000000003</c:v>
                </c:pt>
                <c:pt idx="1">
                  <c:v>32.200000000000003</c:v>
                </c:pt>
                <c:pt idx="2">
                  <c:v>38.200000000000003</c:v>
                </c:pt>
                <c:pt idx="3">
                  <c:v>32.200000000000003</c:v>
                </c:pt>
                <c:pt idx="4">
                  <c:v>36.9</c:v>
                </c:pt>
              </c:numCache>
            </c:numRef>
          </c:val>
          <c:smooth val="0"/>
          <c:extLst>
            <c:ext xmlns:c16="http://schemas.microsoft.com/office/drawing/2014/chart" uri="{C3380CC4-5D6E-409C-BE32-E72D297353CC}">
              <c16:uniqueId val="{00000003-D055-9C4F-BC3B-C705BBD1416E}"/>
            </c:ext>
          </c:extLst>
        </c:ser>
        <c:ser>
          <c:idx val="4"/>
          <c:order val="4"/>
          <c:tx>
            <c:strRef>
              <c:f>Sheet0!$O$22</c:f>
              <c:strCache>
                <c:ptCount val="1"/>
                <c:pt idx="0">
                  <c:v>rye</c:v>
                </c:pt>
              </c:strCache>
            </c:strRef>
          </c:tx>
          <c:spPr>
            <a:ln w="28575" cap="rnd">
              <a:solidFill>
                <a:schemeClr val="accent1">
                  <a:shade val="92000"/>
                </a:schemeClr>
              </a:solidFill>
              <a:round/>
            </a:ln>
            <a:effectLst/>
          </c:spPr>
          <c:marker>
            <c:symbol val="circle"/>
            <c:size val="5"/>
            <c:spPr>
              <a:solidFill>
                <a:schemeClr val="accent1">
                  <a:shade val="92000"/>
                </a:schemeClr>
              </a:solidFill>
              <a:ln w="9525">
                <a:solidFill>
                  <a:schemeClr val="accent1">
                    <a:shade val="92000"/>
                  </a:schemeClr>
                </a:solidFill>
              </a:ln>
              <a:effectLst/>
            </c:spPr>
          </c:marker>
          <c:cat>
            <c:strRef>
              <c:f>Sheet0!$P$1:$T$1</c:f>
              <c:strCache>
                <c:ptCount val="5"/>
                <c:pt idx="0">
                  <c:v>2019</c:v>
                </c:pt>
                <c:pt idx="1">
                  <c:v>2020</c:v>
                </c:pt>
                <c:pt idx="2">
                  <c:v>2021</c:v>
                </c:pt>
                <c:pt idx="3">
                  <c:v>2022</c:v>
                </c:pt>
                <c:pt idx="4">
                  <c:v>2023</c:v>
                </c:pt>
              </c:strCache>
            </c:strRef>
          </c:cat>
          <c:val>
            <c:numRef>
              <c:f>Sheet0!$P$22:$T$22</c:f>
              <c:numCache>
                <c:formatCode>General</c:formatCode>
                <c:ptCount val="5"/>
                <c:pt idx="0">
                  <c:v>28.9</c:v>
                </c:pt>
                <c:pt idx="1">
                  <c:v>33.200000000000003</c:v>
                </c:pt>
                <c:pt idx="2">
                  <c:v>34.5</c:v>
                </c:pt>
                <c:pt idx="3">
                  <c:v>30.9</c:v>
                </c:pt>
                <c:pt idx="4">
                  <c:v>29.4</c:v>
                </c:pt>
              </c:numCache>
            </c:numRef>
          </c:val>
          <c:smooth val="0"/>
          <c:extLst>
            <c:ext xmlns:c16="http://schemas.microsoft.com/office/drawing/2014/chart" uri="{C3380CC4-5D6E-409C-BE32-E72D297353CC}">
              <c16:uniqueId val="{00000004-D055-9C4F-BC3B-C705BBD1416E}"/>
            </c:ext>
          </c:extLst>
        </c:ser>
        <c:ser>
          <c:idx val="5"/>
          <c:order val="5"/>
          <c:tx>
            <c:strRef>
              <c:f>Sheet0!$O$23</c:f>
              <c:strCache>
                <c:ptCount val="1"/>
                <c:pt idx="0">
                  <c:v>soybeans</c:v>
                </c:pt>
              </c:strCache>
            </c:strRef>
          </c:tx>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cat>
            <c:strRef>
              <c:f>Sheet0!$P$1:$T$1</c:f>
              <c:strCache>
                <c:ptCount val="5"/>
                <c:pt idx="0">
                  <c:v>2019</c:v>
                </c:pt>
                <c:pt idx="1">
                  <c:v>2020</c:v>
                </c:pt>
                <c:pt idx="2">
                  <c:v>2021</c:v>
                </c:pt>
                <c:pt idx="3">
                  <c:v>2022</c:v>
                </c:pt>
                <c:pt idx="4">
                  <c:v>2023</c:v>
                </c:pt>
              </c:strCache>
            </c:strRef>
          </c:cat>
          <c:val>
            <c:numRef>
              <c:f>Sheet0!$P$23:$T$23</c:f>
              <c:numCache>
                <c:formatCode>General</c:formatCode>
                <c:ptCount val="5"/>
                <c:pt idx="0">
                  <c:v>22.9</c:v>
                </c:pt>
                <c:pt idx="1">
                  <c:v>20.5</c:v>
                </c:pt>
                <c:pt idx="2">
                  <c:v>26.4</c:v>
                </c:pt>
                <c:pt idx="3">
                  <c:v>22.6</c:v>
                </c:pt>
                <c:pt idx="4">
                  <c:v>25.9</c:v>
                </c:pt>
              </c:numCache>
            </c:numRef>
          </c:val>
          <c:smooth val="0"/>
          <c:extLst>
            <c:ext xmlns:c16="http://schemas.microsoft.com/office/drawing/2014/chart" uri="{C3380CC4-5D6E-409C-BE32-E72D297353CC}">
              <c16:uniqueId val="{00000005-D055-9C4F-BC3B-C705BBD1416E}"/>
            </c:ext>
          </c:extLst>
        </c:ser>
        <c:ser>
          <c:idx val="6"/>
          <c:order val="6"/>
          <c:tx>
            <c:strRef>
              <c:f>Sheet0!$O$24</c:f>
              <c:strCache>
                <c:ptCount val="1"/>
                <c:pt idx="0">
                  <c:v>rapeseed (winter and spring)</c:v>
                </c:pt>
              </c:strCache>
            </c:strRef>
          </c:tx>
          <c:spPr>
            <a:ln w="28575" cap="rnd">
              <a:solidFill>
                <a:schemeClr val="accent1">
                  <a:shade val="61000"/>
                </a:schemeClr>
              </a:solidFill>
              <a:round/>
            </a:ln>
            <a:effectLst/>
          </c:spPr>
          <c:marker>
            <c:symbol val="circle"/>
            <c:size val="5"/>
            <c:spPr>
              <a:solidFill>
                <a:schemeClr val="accent1">
                  <a:shade val="61000"/>
                </a:schemeClr>
              </a:solidFill>
              <a:ln w="9525">
                <a:solidFill>
                  <a:schemeClr val="accent1">
                    <a:shade val="61000"/>
                  </a:schemeClr>
                </a:solidFill>
              </a:ln>
              <a:effectLst/>
            </c:spPr>
          </c:marker>
          <c:cat>
            <c:strRef>
              <c:f>Sheet0!$P$1:$T$1</c:f>
              <c:strCache>
                <c:ptCount val="5"/>
                <c:pt idx="0">
                  <c:v>2019</c:v>
                </c:pt>
                <c:pt idx="1">
                  <c:v>2020</c:v>
                </c:pt>
                <c:pt idx="2">
                  <c:v>2021</c:v>
                </c:pt>
                <c:pt idx="3">
                  <c:v>2022</c:v>
                </c:pt>
                <c:pt idx="4">
                  <c:v>2023</c:v>
                </c:pt>
              </c:strCache>
            </c:strRef>
          </c:cat>
          <c:val>
            <c:numRef>
              <c:f>Sheet0!$P$24:$T$24</c:f>
              <c:numCache>
                <c:formatCode>General</c:formatCode>
                <c:ptCount val="5"/>
                <c:pt idx="0">
                  <c:v>25.6</c:v>
                </c:pt>
                <c:pt idx="1">
                  <c:v>23</c:v>
                </c:pt>
                <c:pt idx="2">
                  <c:v>29.3</c:v>
                </c:pt>
                <c:pt idx="3">
                  <c:v>28.7</c:v>
                </c:pt>
                <c:pt idx="4">
                  <c:v>29.2</c:v>
                </c:pt>
              </c:numCache>
            </c:numRef>
          </c:val>
          <c:smooth val="0"/>
          <c:extLst>
            <c:ext xmlns:c16="http://schemas.microsoft.com/office/drawing/2014/chart" uri="{C3380CC4-5D6E-409C-BE32-E72D297353CC}">
              <c16:uniqueId val="{00000006-D055-9C4F-BC3B-C705BBD1416E}"/>
            </c:ext>
          </c:extLst>
        </c:ser>
        <c:ser>
          <c:idx val="7"/>
          <c:order val="7"/>
          <c:tx>
            <c:strRef>
              <c:f>Sheet0!$O$25</c:f>
              <c:strCache>
                <c:ptCount val="1"/>
                <c:pt idx="0">
                  <c:v>sunflower</c:v>
                </c:pt>
              </c:strCache>
            </c:strRef>
          </c:tx>
          <c:spPr>
            <a:ln w="28575" cap="rnd">
              <a:solidFill>
                <a:schemeClr val="accent1">
                  <a:shade val="45000"/>
                </a:schemeClr>
              </a:solidFill>
              <a:round/>
            </a:ln>
            <a:effectLst/>
          </c:spPr>
          <c:marker>
            <c:symbol val="circle"/>
            <c:size val="5"/>
            <c:spPr>
              <a:solidFill>
                <a:schemeClr val="accent1">
                  <a:shade val="45000"/>
                </a:schemeClr>
              </a:solidFill>
              <a:ln w="9525">
                <a:solidFill>
                  <a:schemeClr val="accent1">
                    <a:shade val="45000"/>
                  </a:schemeClr>
                </a:solidFill>
              </a:ln>
              <a:effectLst/>
            </c:spPr>
          </c:marker>
          <c:cat>
            <c:strRef>
              <c:f>Sheet0!$P$1:$T$1</c:f>
              <c:strCache>
                <c:ptCount val="5"/>
                <c:pt idx="0">
                  <c:v>2019</c:v>
                </c:pt>
                <c:pt idx="1">
                  <c:v>2020</c:v>
                </c:pt>
                <c:pt idx="2">
                  <c:v>2021</c:v>
                </c:pt>
                <c:pt idx="3">
                  <c:v>2022</c:v>
                </c:pt>
                <c:pt idx="4">
                  <c:v>2023</c:v>
                </c:pt>
              </c:strCache>
            </c:strRef>
          </c:cat>
          <c:val>
            <c:numRef>
              <c:f>Sheet0!$P$25:$T$25</c:f>
              <c:numCache>
                <c:formatCode>General</c:formatCode>
                <c:ptCount val="5"/>
                <c:pt idx="0">
                  <c:v>25.6</c:v>
                </c:pt>
                <c:pt idx="1">
                  <c:v>20.2</c:v>
                </c:pt>
                <c:pt idx="2">
                  <c:v>24.6</c:v>
                </c:pt>
                <c:pt idx="3">
                  <c:v>21.6</c:v>
                </c:pt>
                <c:pt idx="4">
                  <c:v>24.5</c:v>
                </c:pt>
              </c:numCache>
            </c:numRef>
          </c:val>
          <c:smooth val="0"/>
          <c:extLst>
            <c:ext xmlns:c16="http://schemas.microsoft.com/office/drawing/2014/chart" uri="{C3380CC4-5D6E-409C-BE32-E72D297353CC}">
              <c16:uniqueId val="{00000007-D055-9C4F-BC3B-C705BBD1416E}"/>
            </c:ext>
          </c:extLst>
        </c:ser>
        <c:dLbls>
          <c:showLegendKey val="0"/>
          <c:showVal val="0"/>
          <c:showCatName val="0"/>
          <c:showSerName val="0"/>
          <c:showPercent val="0"/>
          <c:showBubbleSize val="0"/>
        </c:dLbls>
        <c:marker val="1"/>
        <c:smooth val="0"/>
        <c:axId val="403668191"/>
        <c:axId val="403649871"/>
      </c:lineChart>
      <c:catAx>
        <c:axId val="4036681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403649871"/>
        <c:crosses val="autoZero"/>
        <c:auto val="1"/>
        <c:lblAlgn val="ctr"/>
        <c:lblOffset val="100"/>
        <c:noMultiLvlLbl val="0"/>
      </c:catAx>
      <c:valAx>
        <c:axId val="403649871"/>
        <c:scaling>
          <c:orientation val="minMax"/>
          <c:max val="85"/>
          <c:min val="1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403668191"/>
        <c:crosses val="autoZero"/>
        <c:crossBetween val="between"/>
      </c:valAx>
      <c:spPr>
        <a:noFill/>
        <a:ln>
          <a:noFill/>
        </a:ln>
        <a:effectLst/>
      </c:spPr>
    </c:plotArea>
    <c:legend>
      <c:legendPos val="b"/>
      <c:layout>
        <c:manualLayout>
          <c:xMode val="edge"/>
          <c:yMode val="edge"/>
          <c:x val="1.6663208134467734E-2"/>
          <c:y val="0.83608421575157721"/>
          <c:w val="0.98119941896659058"/>
          <c:h val="0.144616974341700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6.3860081403499594E-2"/>
          <c:y val="3.9625360230547552E-2"/>
          <c:w val="0.91331360608353096"/>
          <c:h val="0.6504861694161429"/>
        </c:manualLayout>
      </c:layout>
      <c:lineChart>
        <c:grouping val="standard"/>
        <c:varyColors val="0"/>
        <c:ser>
          <c:idx val="2"/>
          <c:order val="0"/>
          <c:tx>
            <c:strRef>
              <c:f>Sheet1!$A$5</c:f>
              <c:strCache>
                <c:ptCount val="1"/>
                <c:pt idx="0">
                  <c:v>Share in the total employed population, total</c:v>
                </c:pt>
              </c:strCache>
            </c:strRef>
          </c:tx>
          <c:spPr>
            <a:ln w="19050" cap="rnd" cmpd="sng" algn="ctr">
              <a:solidFill>
                <a:schemeClr val="accent1">
                  <a:tint val="72000"/>
                </a:schemeClr>
              </a:solidFill>
              <a:prstDash val="solid"/>
              <a:round/>
            </a:ln>
            <a:effectLst/>
          </c:spPr>
          <c:marker>
            <c:symbol val="circle"/>
            <c:size val="5"/>
            <c:spPr>
              <a:solidFill>
                <a:schemeClr val="accent1">
                  <a:tint val="72000"/>
                </a:schemeClr>
              </a:solidFill>
              <a:ln w="6350" cap="flat" cmpd="sng" algn="ctr">
                <a:solidFill>
                  <a:schemeClr val="accent1">
                    <a:tint val="72000"/>
                  </a:schemeClr>
                </a:solidFill>
                <a:prstDash val="solid"/>
                <a:round/>
              </a:ln>
              <a:effectLst/>
            </c:spPr>
          </c:marker>
          <c:cat>
            <c:numRef>
              <c:f>Sheet1!$B$2:$M$2</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Sheet1!$B$5:$M$5</c:f>
              <c:numCache>
                <c:formatCode>0.00</c:formatCode>
                <c:ptCount val="12"/>
                <c:pt idx="0">
                  <c:v>1.0406565103596415</c:v>
                </c:pt>
                <c:pt idx="1">
                  <c:v>0.97082330183920829</c:v>
                </c:pt>
                <c:pt idx="2">
                  <c:v>0.91011037619280011</c:v>
                </c:pt>
                <c:pt idx="3">
                  <c:v>0.85532923962680296</c:v>
                </c:pt>
                <c:pt idx="4">
                  <c:v>0.96108624324279457</c:v>
                </c:pt>
                <c:pt idx="5">
                  <c:v>0.94750413544808809</c:v>
                </c:pt>
                <c:pt idx="6">
                  <c:v>0.85212786218505976</c:v>
                </c:pt>
                <c:pt idx="7">
                  <c:v>0.8405337822782305</c:v>
                </c:pt>
                <c:pt idx="8">
                  <c:v>0.73895690334883779</c:v>
                </c:pt>
                <c:pt idx="9">
                  <c:v>0.96933943769867836</c:v>
                </c:pt>
                <c:pt idx="10">
                  <c:v>1.2107845909282262</c:v>
                </c:pt>
                <c:pt idx="11">
                  <c:v>1.409993593850096</c:v>
                </c:pt>
              </c:numCache>
            </c:numRef>
          </c:val>
          <c:smooth val="0"/>
          <c:extLst>
            <c:ext xmlns:c16="http://schemas.microsoft.com/office/drawing/2014/chart" uri="{C3380CC4-5D6E-409C-BE32-E72D297353CC}">
              <c16:uniqueId val="{00000000-A29E-BE4C-8F1F-2A211B1D29BB}"/>
            </c:ext>
          </c:extLst>
        </c:ser>
        <c:ser>
          <c:idx val="5"/>
          <c:order val="1"/>
          <c:tx>
            <c:strRef>
              <c:f>Sheet1!$A$8</c:f>
              <c:strCache>
                <c:ptCount val="1"/>
                <c:pt idx="0">
                  <c:v>Share in the total employed female population, females</c:v>
                </c:pt>
              </c:strCache>
            </c:strRef>
          </c:tx>
          <c:spPr>
            <a:ln w="19050" cap="rnd" cmpd="sng" algn="ctr">
              <a:solidFill>
                <a:schemeClr val="accent1">
                  <a:shade val="86000"/>
                </a:schemeClr>
              </a:solidFill>
              <a:prstDash val="solid"/>
              <a:round/>
            </a:ln>
            <a:effectLst/>
          </c:spPr>
          <c:marker>
            <c:symbol val="circle"/>
            <c:size val="5"/>
            <c:spPr>
              <a:solidFill>
                <a:schemeClr val="accent1">
                  <a:shade val="86000"/>
                </a:schemeClr>
              </a:solidFill>
              <a:ln w="6350" cap="flat" cmpd="sng" algn="ctr">
                <a:solidFill>
                  <a:schemeClr val="accent1">
                    <a:shade val="86000"/>
                  </a:schemeClr>
                </a:solidFill>
                <a:prstDash val="solid"/>
                <a:round/>
              </a:ln>
              <a:effectLst/>
            </c:spPr>
          </c:marker>
          <c:cat>
            <c:numRef>
              <c:f>Sheet1!$B$2:$M$2</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Sheet1!$B$8:$M$8</c:f>
              <c:numCache>
                <c:formatCode>0.00</c:formatCode>
                <c:ptCount val="12"/>
                <c:pt idx="0">
                  <c:v>0.90023300148273677</c:v>
                </c:pt>
                <c:pt idx="1">
                  <c:v>0.85342277004582223</c:v>
                </c:pt>
                <c:pt idx="2">
                  <c:v>0.79591224612220401</c:v>
                </c:pt>
                <c:pt idx="3">
                  <c:v>0.74280508065812745</c:v>
                </c:pt>
                <c:pt idx="4">
                  <c:v>0.74550688733670534</c:v>
                </c:pt>
                <c:pt idx="5">
                  <c:v>0.75199430923225452</c:v>
                </c:pt>
                <c:pt idx="6">
                  <c:v>0.64516953266729693</c:v>
                </c:pt>
                <c:pt idx="7">
                  <c:v>0.71546221947704347</c:v>
                </c:pt>
                <c:pt idx="8">
                  <c:v>0.61056543668701879</c:v>
                </c:pt>
                <c:pt idx="9">
                  <c:v>0.8607741919198294</c:v>
                </c:pt>
                <c:pt idx="10">
                  <c:v>1.1964553367167163</c:v>
                </c:pt>
                <c:pt idx="11">
                  <c:v>1.5162152674641536</c:v>
                </c:pt>
              </c:numCache>
            </c:numRef>
          </c:val>
          <c:smooth val="0"/>
          <c:extLst>
            <c:ext xmlns:c16="http://schemas.microsoft.com/office/drawing/2014/chart" uri="{C3380CC4-5D6E-409C-BE32-E72D297353CC}">
              <c16:uniqueId val="{00000001-A29E-BE4C-8F1F-2A211B1D29BB}"/>
            </c:ext>
          </c:extLst>
        </c:ser>
        <c:ser>
          <c:idx val="8"/>
          <c:order val="2"/>
          <c:tx>
            <c:strRef>
              <c:f>Sheet1!$A$12</c:f>
              <c:strCache>
                <c:ptCount val="1"/>
                <c:pt idx="0">
                  <c:v>Share in the total employed male population, males</c:v>
                </c:pt>
              </c:strCache>
            </c:strRef>
          </c:tx>
          <c:spPr>
            <a:ln w="19050" cap="rnd" cmpd="sng" algn="ctr">
              <a:solidFill>
                <a:schemeClr val="accent1">
                  <a:shade val="44000"/>
                </a:schemeClr>
              </a:solidFill>
              <a:prstDash val="solid"/>
              <a:round/>
            </a:ln>
            <a:effectLst/>
          </c:spPr>
          <c:marker>
            <c:symbol val="circle"/>
            <c:size val="5"/>
            <c:spPr>
              <a:solidFill>
                <a:schemeClr val="accent1">
                  <a:shade val="44000"/>
                </a:schemeClr>
              </a:solidFill>
              <a:ln w="6350" cap="flat" cmpd="sng" algn="ctr">
                <a:solidFill>
                  <a:schemeClr val="accent1">
                    <a:shade val="44000"/>
                  </a:schemeClr>
                </a:solidFill>
                <a:prstDash val="solid"/>
                <a:round/>
              </a:ln>
              <a:effectLst/>
            </c:spPr>
          </c:marker>
          <c:cat>
            <c:numRef>
              <c:f>Sheet1!$B$2:$M$2</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Sheet1!$B$12:$M$12</c:f>
              <c:numCache>
                <c:formatCode>0.00</c:formatCode>
                <c:ptCount val="12"/>
                <c:pt idx="0">
                  <c:v>1.1768088558460494</c:v>
                </c:pt>
                <c:pt idx="1">
                  <c:v>1.0821984435797665</c:v>
                </c:pt>
                <c:pt idx="2">
                  <c:v>1.0175092180290544</c:v>
                </c:pt>
                <c:pt idx="3">
                  <c:v>0.96046951836309558</c:v>
                </c:pt>
                <c:pt idx="4">
                  <c:v>1.1620200119729753</c:v>
                </c:pt>
                <c:pt idx="5">
                  <c:v>1.1270826527278668</c:v>
                </c:pt>
                <c:pt idx="6">
                  <c:v>1.0438487484466537</c:v>
                </c:pt>
                <c:pt idx="7">
                  <c:v>0.95644707341506452</c:v>
                </c:pt>
                <c:pt idx="8">
                  <c:v>0.85915126269200726</c:v>
                </c:pt>
                <c:pt idx="9">
                  <c:v>1.068721693317312</c:v>
                </c:pt>
                <c:pt idx="10">
                  <c:v>1.2239003550153438</c:v>
                </c:pt>
                <c:pt idx="11">
                  <c:v>1.3140892800546116</c:v>
                </c:pt>
              </c:numCache>
            </c:numRef>
          </c:val>
          <c:smooth val="0"/>
          <c:extLst>
            <c:ext xmlns:c16="http://schemas.microsoft.com/office/drawing/2014/chart" uri="{C3380CC4-5D6E-409C-BE32-E72D297353CC}">
              <c16:uniqueId val="{00000002-A29E-BE4C-8F1F-2A211B1D29BB}"/>
            </c:ext>
          </c:extLst>
        </c:ser>
        <c:ser>
          <c:idx val="0"/>
          <c:order val="3"/>
          <c:tx>
            <c:strRef>
              <c:f>Sheet1!$A$9</c:f>
              <c:strCache>
                <c:ptCount val="1"/>
                <c:pt idx="0">
                  <c:v>Share in the total employed population, females</c:v>
                </c:pt>
              </c:strCache>
            </c:strRef>
          </c:tx>
          <c:spPr>
            <a:ln w="19050" cap="rnd" cmpd="sng" algn="ctr">
              <a:solidFill>
                <a:schemeClr val="accent1">
                  <a:tint val="44000"/>
                </a:schemeClr>
              </a:solidFill>
              <a:prstDash val="solid"/>
              <a:round/>
            </a:ln>
            <a:effectLst/>
          </c:spPr>
          <c:marker>
            <c:spPr>
              <a:solidFill>
                <a:schemeClr val="accent1">
                  <a:tint val="44000"/>
                </a:schemeClr>
              </a:solidFill>
              <a:ln w="6350" cap="flat" cmpd="sng" algn="ctr">
                <a:solidFill>
                  <a:schemeClr val="accent1">
                    <a:tint val="44000"/>
                  </a:schemeClr>
                </a:solidFill>
                <a:prstDash val="solid"/>
                <a:round/>
              </a:ln>
              <a:effectLst/>
            </c:spPr>
          </c:marker>
          <c:val>
            <c:numRef>
              <c:f>Sheet1!$B$9:$M$9</c:f>
              <c:numCache>
                <c:formatCode>0.00</c:formatCode>
                <c:ptCount val="12"/>
                <c:pt idx="0">
                  <c:v>0.44316534759804382</c:v>
                </c:pt>
                <c:pt idx="1">
                  <c:v>0.41547285386691352</c:v>
                </c:pt>
                <c:pt idx="2">
                  <c:v>0.38574558443311491</c:v>
                </c:pt>
                <c:pt idx="3">
                  <c:v>0.35880336747056568</c:v>
                </c:pt>
                <c:pt idx="4">
                  <c:v>0.35964655043627897</c:v>
                </c:pt>
                <c:pt idx="5">
                  <c:v>0.36002724530505009</c:v>
                </c:pt>
                <c:pt idx="6">
                  <c:v>0.31025563835865549</c:v>
                </c:pt>
                <c:pt idx="7">
                  <c:v>0.34413606991656559</c:v>
                </c:pt>
                <c:pt idx="8">
                  <c:v>0.29521603334779872</c:v>
                </c:pt>
                <c:pt idx="9">
                  <c:v>0.41138114281922761</c:v>
                </c:pt>
                <c:pt idx="10">
                  <c:v>0.57177684366615777</c:v>
                </c:pt>
                <c:pt idx="11">
                  <c:v>0.71941063420884044</c:v>
                </c:pt>
              </c:numCache>
            </c:numRef>
          </c:val>
          <c:smooth val="0"/>
          <c:extLst>
            <c:ext xmlns:c16="http://schemas.microsoft.com/office/drawing/2014/chart" uri="{C3380CC4-5D6E-409C-BE32-E72D297353CC}">
              <c16:uniqueId val="{00000003-A29E-BE4C-8F1F-2A211B1D29BB}"/>
            </c:ext>
          </c:extLst>
        </c:ser>
        <c:ser>
          <c:idx val="1"/>
          <c:order val="4"/>
          <c:tx>
            <c:strRef>
              <c:f>Sheet1!$A$13</c:f>
              <c:strCache>
                <c:ptCount val="1"/>
                <c:pt idx="0">
                  <c:v>Share in the total employed population, males</c:v>
                </c:pt>
              </c:strCache>
            </c:strRef>
          </c:tx>
          <c:spPr>
            <a:ln w="19050" cap="rnd" cmpd="sng" algn="ctr">
              <a:solidFill>
                <a:schemeClr val="accent1">
                  <a:tint val="58000"/>
                </a:schemeClr>
              </a:solidFill>
              <a:prstDash val="solid"/>
              <a:round/>
            </a:ln>
            <a:effectLst/>
          </c:spPr>
          <c:marker>
            <c:spPr>
              <a:solidFill>
                <a:schemeClr val="accent1">
                  <a:tint val="58000"/>
                </a:schemeClr>
              </a:solidFill>
              <a:ln w="6350" cap="flat" cmpd="sng" algn="ctr">
                <a:solidFill>
                  <a:schemeClr val="accent1">
                    <a:tint val="58000"/>
                  </a:schemeClr>
                </a:solidFill>
                <a:prstDash val="solid"/>
                <a:round/>
              </a:ln>
              <a:effectLst/>
            </c:spPr>
          </c:marker>
          <c:val>
            <c:numRef>
              <c:f>Sheet1!$B$13:$M$13</c:f>
              <c:numCache>
                <c:formatCode>0.00</c:formatCode>
                <c:ptCount val="12"/>
                <c:pt idx="0">
                  <c:v>0.59749116276159786</c:v>
                </c:pt>
                <c:pt idx="1">
                  <c:v>0.55535044797229483</c:v>
                </c:pt>
                <c:pt idx="2">
                  <c:v>0.5243647917596852</c:v>
                </c:pt>
                <c:pt idx="3">
                  <c:v>0.49652587215623745</c:v>
                </c:pt>
                <c:pt idx="4">
                  <c:v>0.60143969280651577</c:v>
                </c:pt>
                <c:pt idx="5">
                  <c:v>0.58747689014303783</c:v>
                </c:pt>
                <c:pt idx="6">
                  <c:v>0.54187222382640432</c:v>
                </c:pt>
                <c:pt idx="7">
                  <c:v>0.4963977123616648</c:v>
                </c:pt>
                <c:pt idx="8">
                  <c:v>0.44374087000103901</c:v>
                </c:pt>
                <c:pt idx="9">
                  <c:v>0.55795829487945092</c:v>
                </c:pt>
                <c:pt idx="10">
                  <c:v>0.63900774726206866</c:v>
                </c:pt>
                <c:pt idx="11">
                  <c:v>0.6905829596412556</c:v>
                </c:pt>
              </c:numCache>
            </c:numRef>
          </c:val>
          <c:smooth val="0"/>
          <c:extLst>
            <c:ext xmlns:c16="http://schemas.microsoft.com/office/drawing/2014/chart" uri="{C3380CC4-5D6E-409C-BE32-E72D297353CC}">
              <c16:uniqueId val="{00000004-A29E-BE4C-8F1F-2A211B1D29BB}"/>
            </c:ext>
          </c:extLst>
        </c:ser>
        <c:dLbls>
          <c:showLegendKey val="0"/>
          <c:showVal val="0"/>
          <c:showCatName val="0"/>
          <c:showSerName val="0"/>
          <c:showPercent val="0"/>
          <c:showBubbleSize val="0"/>
        </c:dLbls>
        <c:marker val="1"/>
        <c:smooth val="0"/>
        <c:axId val="798790703"/>
        <c:axId val="1"/>
      </c:lineChart>
      <c:catAx>
        <c:axId val="798790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crossAx val="798790703"/>
        <c:crosses val="autoZero"/>
        <c:crossBetween val="between"/>
      </c:valAx>
      <c:spPr>
        <a:noFill/>
        <a:ln w="25400">
          <a:noFill/>
        </a:ln>
        <a:effectLst/>
      </c:spPr>
    </c:plotArea>
    <c:legend>
      <c:legendPos val="b"/>
      <c:layout>
        <c:manualLayout>
          <c:xMode val="edge"/>
          <c:yMode val="edge"/>
          <c:x val="2.4836073743531593E-5"/>
          <c:y val="0.7976509799592808"/>
          <c:w val="0.98542449261698695"/>
          <c:h val="0.16869802781661639"/>
        </c:manualLayout>
      </c:layout>
      <c:overlay val="0"/>
      <c:spPr>
        <a:noFill/>
        <a:ln w="25400">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colors3.xml><?xml version="1.0" encoding="utf-8"?>
<cs:colorStyle xmlns:cs="http://schemas.microsoft.com/office/drawing/2012/chartStyle" xmlns:a="http://schemas.openxmlformats.org/drawingml/2006/main" meth="withinLinearReversed" id="21">
  <a:schemeClr val="accent1"/>
</cs:colorStyle>
</file>

<file path=word/charts/colors4.xml><?xml version="1.0" encoding="utf-8"?>
<cs:colorStyle xmlns:cs="http://schemas.microsoft.com/office/drawing/2012/chartStyle" xmlns:a="http://schemas.openxmlformats.org/drawingml/2006/main" meth="withinLinearReversed" id="21">
  <a:schemeClr val="accent1"/>
</cs:colorStyle>
</file>

<file path=word/charts/colors5.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18</Pages>
  <Words>11216</Words>
  <Characters>67301</Characters>
  <Application>Microsoft Office Word</Application>
  <DocSecurity>0</DocSecurity>
  <Lines>560</Lines>
  <Paragraphs>156</Paragraphs>
  <ScaleCrop>false</ScaleCrop>
  <HeadingPairs>
    <vt:vector size="6" baseType="variant">
      <vt:variant>
        <vt:lpstr>Tytuł</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Janusz Dabrowski NA</cp:lastModifiedBy>
  <cp:revision>30</cp:revision>
  <cp:lastPrinted>2025-10-08T07:34:00Z</cp:lastPrinted>
  <dcterms:created xsi:type="dcterms:W3CDTF">2025-09-30T08:28:00Z</dcterms:created>
  <dcterms:modified xsi:type="dcterms:W3CDTF">2025-10-08T07:40:00Z</dcterms:modified>
</cp:coreProperties>
</file>