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DF18F3" w:rsidRPr="00DF18F3" w14:paraId="2C29490F" w14:textId="77777777" w:rsidTr="00534B05">
        <w:trPr>
          <w:trHeight w:hRule="exact" w:val="142"/>
        </w:trPr>
        <w:tc>
          <w:tcPr>
            <w:tcW w:w="709" w:type="dxa"/>
            <w:vMerge w:val="restart"/>
            <w:vAlign w:val="center"/>
          </w:tcPr>
          <w:p w14:paraId="6BA4047A" w14:textId="77777777" w:rsidR="00DF18F3" w:rsidRPr="00DF18F3" w:rsidRDefault="00DF18F3" w:rsidP="00DF18F3">
            <w:pPr>
              <w:ind w:firstLine="0"/>
              <w:rPr>
                <w:rFonts w:ascii="Times New Roman" w:hAnsi="Times New Roman" w:cs="Times New Roman"/>
                <w:lang w:val="en-GB"/>
              </w:rPr>
            </w:pPr>
            <w:bookmarkStart w:id="0" w:name="_Hlk191369917"/>
            <w:bookmarkStart w:id="1" w:name="_Hlk145412337"/>
            <w:bookmarkStart w:id="2" w:name="_Hlk103340665"/>
            <w:bookmarkStart w:id="3" w:name="_Hlk24804592"/>
            <w:bookmarkStart w:id="4" w:name="_Hlk204774218"/>
            <w:bookmarkEnd w:id="0"/>
            <w:bookmarkEnd w:id="1"/>
            <w:bookmarkEnd w:id="2"/>
            <w:r w:rsidRPr="00DF18F3">
              <w:rPr>
                <w:rFonts w:ascii="Times New Roman" w:hAnsi="Times New Roman" w:cs="Times New Roman"/>
                <w:noProof/>
                <w:lang w:val="en-GB"/>
              </w:rPr>
              <w:drawing>
                <wp:anchor distT="0" distB="0" distL="114300" distR="114300" simplePos="0" relativeHeight="251659264" behindDoc="0" locked="0" layoutInCell="1" allowOverlap="1" wp14:anchorId="5E661B0C" wp14:editId="0E288DEE">
                  <wp:simplePos x="0" y="0"/>
                  <wp:positionH relativeFrom="column">
                    <wp:posOffset>-635</wp:posOffset>
                  </wp:positionH>
                  <wp:positionV relativeFrom="paragraph">
                    <wp:posOffset>351155</wp:posOffset>
                  </wp:positionV>
                  <wp:extent cx="438084" cy="432000"/>
                  <wp:effectExtent l="0" t="0" r="635" b="6350"/>
                  <wp:wrapNone/>
                  <wp:docPr id="1408409996" name="Obraz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084" cy="432000"/>
                          </a:xfrm>
                          <a:prstGeom prst="rect">
                            <a:avLst/>
                          </a:prstGeom>
                          <a:noFill/>
                        </pic:spPr>
                      </pic:pic>
                    </a:graphicData>
                  </a:graphic>
                </wp:anchor>
              </w:drawing>
            </w:r>
          </w:p>
        </w:tc>
        <w:tc>
          <w:tcPr>
            <w:tcW w:w="8930" w:type="dxa"/>
            <w:gridSpan w:val="3"/>
            <w:vAlign w:val="center"/>
          </w:tcPr>
          <w:p w14:paraId="0E4C9CD5" w14:textId="77777777" w:rsidR="00DF18F3" w:rsidRPr="00DF18F3" w:rsidRDefault="00DF18F3" w:rsidP="00DF18F3">
            <w:pPr>
              <w:ind w:firstLine="0"/>
              <w:rPr>
                <w:rFonts w:ascii="Times New Roman" w:hAnsi="Times New Roman" w:cs="Times New Roman"/>
                <w:lang w:val="en-GB"/>
              </w:rPr>
            </w:pPr>
          </w:p>
        </w:tc>
      </w:tr>
      <w:tr w:rsidR="00DF18F3" w:rsidRPr="00DF18F3" w14:paraId="1CD04503" w14:textId="77777777" w:rsidTr="00534B05">
        <w:trPr>
          <w:trHeight w:hRule="exact" w:val="283"/>
        </w:trPr>
        <w:tc>
          <w:tcPr>
            <w:tcW w:w="709" w:type="dxa"/>
            <w:vMerge/>
          </w:tcPr>
          <w:p w14:paraId="46E48856" w14:textId="77777777" w:rsidR="00DF18F3" w:rsidRPr="00DF18F3" w:rsidRDefault="00DF18F3" w:rsidP="00DF18F3">
            <w:pPr>
              <w:ind w:firstLine="0"/>
              <w:rPr>
                <w:rFonts w:ascii="Times New Roman" w:hAnsi="Times New Roman" w:cs="Times New Roman"/>
                <w:lang w:val="en-GB"/>
              </w:rPr>
            </w:pPr>
          </w:p>
        </w:tc>
        <w:tc>
          <w:tcPr>
            <w:tcW w:w="8930" w:type="dxa"/>
            <w:gridSpan w:val="3"/>
            <w:tcBorders>
              <w:bottom w:val="single" w:sz="2" w:space="0" w:color="auto"/>
            </w:tcBorders>
            <w:vAlign w:val="center"/>
          </w:tcPr>
          <w:p w14:paraId="484F1472" w14:textId="77777777" w:rsidR="00DF18F3" w:rsidRPr="00DF18F3" w:rsidRDefault="00DF18F3" w:rsidP="00DF18F3">
            <w:pPr>
              <w:ind w:firstLine="0"/>
              <w:jc w:val="center"/>
              <w:rPr>
                <w:rFonts w:ascii="Times New Roman" w:hAnsi="Times New Roman" w:cs="Times New Roman"/>
                <w:lang w:val="en-GB"/>
              </w:rPr>
            </w:pPr>
            <w:proofErr w:type="spellStart"/>
            <w:r w:rsidRPr="00DF18F3">
              <w:rPr>
                <w:rFonts w:ascii="Times New Roman" w:hAnsi="Times New Roman" w:cs="Times New Roman"/>
                <w:b/>
                <w:sz w:val="20"/>
                <w:szCs w:val="20"/>
                <w:lang w:val="en-GB"/>
              </w:rPr>
              <w:t>Rocznik</w:t>
            </w:r>
            <w:proofErr w:type="spellEnd"/>
            <w:r w:rsidRPr="00DF18F3">
              <w:rPr>
                <w:rFonts w:ascii="Times New Roman" w:hAnsi="Times New Roman" w:cs="Times New Roman"/>
                <w:b/>
                <w:sz w:val="20"/>
                <w:szCs w:val="20"/>
                <w:lang w:val="en-GB"/>
              </w:rPr>
              <w:t xml:space="preserve"> </w:t>
            </w:r>
            <w:proofErr w:type="spellStart"/>
            <w:r w:rsidRPr="00DF18F3">
              <w:rPr>
                <w:rFonts w:ascii="Times New Roman" w:hAnsi="Times New Roman" w:cs="Times New Roman"/>
                <w:b/>
                <w:sz w:val="20"/>
                <w:szCs w:val="20"/>
                <w:lang w:val="en-GB"/>
              </w:rPr>
              <w:t>Ochrona</w:t>
            </w:r>
            <w:proofErr w:type="spellEnd"/>
            <w:r w:rsidRPr="00DF18F3">
              <w:rPr>
                <w:rFonts w:ascii="Times New Roman" w:hAnsi="Times New Roman" w:cs="Times New Roman"/>
                <w:b/>
                <w:sz w:val="20"/>
                <w:szCs w:val="20"/>
                <w:lang w:val="en-GB"/>
              </w:rPr>
              <w:t xml:space="preserve"> </w:t>
            </w:r>
            <w:proofErr w:type="spellStart"/>
            <w:r w:rsidRPr="00DF18F3">
              <w:rPr>
                <w:rFonts w:ascii="Times New Roman" w:hAnsi="Times New Roman" w:cs="Times New Roman"/>
                <w:b/>
                <w:sz w:val="20"/>
                <w:szCs w:val="20"/>
                <w:lang w:val="en-GB"/>
              </w:rPr>
              <w:t>Środowiska</w:t>
            </w:r>
            <w:proofErr w:type="spellEnd"/>
          </w:p>
        </w:tc>
      </w:tr>
      <w:tr w:rsidR="00DF18F3" w:rsidRPr="00DF18F3" w14:paraId="2A25E8CA" w14:textId="77777777" w:rsidTr="00534B05">
        <w:trPr>
          <w:trHeight w:hRule="exact" w:val="283"/>
        </w:trPr>
        <w:tc>
          <w:tcPr>
            <w:tcW w:w="709" w:type="dxa"/>
            <w:vMerge/>
          </w:tcPr>
          <w:p w14:paraId="7CF457A2" w14:textId="77777777" w:rsidR="00DF18F3" w:rsidRPr="00DF18F3" w:rsidRDefault="00DF18F3" w:rsidP="00DF18F3">
            <w:pPr>
              <w:ind w:firstLine="0"/>
              <w:rPr>
                <w:rFonts w:ascii="Times New Roman" w:hAnsi="Times New Roman" w:cs="Times New Roman"/>
                <w:lang w:val="en-GB"/>
              </w:rPr>
            </w:pPr>
          </w:p>
        </w:tc>
        <w:tc>
          <w:tcPr>
            <w:tcW w:w="992" w:type="dxa"/>
            <w:tcBorders>
              <w:top w:val="single" w:sz="2" w:space="0" w:color="auto"/>
              <w:bottom w:val="single" w:sz="2" w:space="0" w:color="auto"/>
            </w:tcBorders>
            <w:vAlign w:val="center"/>
          </w:tcPr>
          <w:p w14:paraId="44D2CFFF" w14:textId="77777777" w:rsidR="00DF18F3" w:rsidRPr="00DF18F3" w:rsidRDefault="00DF18F3" w:rsidP="00DF18F3">
            <w:pPr>
              <w:ind w:firstLine="0"/>
              <w:rPr>
                <w:rFonts w:ascii="Times New Roman" w:hAnsi="Times New Roman" w:cs="Times New Roman"/>
                <w:sz w:val="18"/>
                <w:szCs w:val="18"/>
                <w:lang w:val="en-GB"/>
              </w:rPr>
            </w:pPr>
            <w:r w:rsidRPr="00DF18F3">
              <w:rPr>
                <w:rFonts w:ascii="Times New Roman" w:hAnsi="Times New Roman" w:cs="Times New Roman"/>
                <w:sz w:val="18"/>
                <w:szCs w:val="18"/>
                <w:lang w:val="en-GB"/>
              </w:rPr>
              <w:t>Volume 27</w:t>
            </w:r>
          </w:p>
        </w:tc>
        <w:tc>
          <w:tcPr>
            <w:tcW w:w="6304" w:type="dxa"/>
            <w:tcBorders>
              <w:top w:val="single" w:sz="2" w:space="0" w:color="auto"/>
              <w:bottom w:val="single" w:sz="2" w:space="0" w:color="auto"/>
            </w:tcBorders>
            <w:vAlign w:val="center"/>
          </w:tcPr>
          <w:p w14:paraId="66824413" w14:textId="77777777" w:rsidR="00DF18F3" w:rsidRPr="00DF18F3" w:rsidRDefault="00DF18F3" w:rsidP="00DF18F3">
            <w:pPr>
              <w:tabs>
                <w:tab w:val="left" w:pos="3057"/>
              </w:tabs>
              <w:ind w:left="142" w:firstLine="0"/>
              <w:rPr>
                <w:rFonts w:ascii="Times New Roman" w:hAnsi="Times New Roman" w:cs="Times New Roman"/>
                <w:sz w:val="18"/>
                <w:szCs w:val="18"/>
                <w:lang w:val="en-GB"/>
              </w:rPr>
            </w:pPr>
            <w:r w:rsidRPr="00DF18F3">
              <w:rPr>
                <w:rFonts w:ascii="Times New Roman" w:hAnsi="Times New Roman" w:cs="Times New Roman"/>
                <w:sz w:val="18"/>
                <w:szCs w:val="18"/>
                <w:lang w:val="en-GB"/>
              </w:rPr>
              <w:t>Year 2025</w:t>
            </w:r>
            <w:r w:rsidRPr="00DF18F3">
              <w:rPr>
                <w:rFonts w:ascii="Times New Roman" w:hAnsi="Times New Roman" w:cs="Times New Roman"/>
                <w:sz w:val="18"/>
                <w:szCs w:val="18"/>
                <w:lang w:val="en-GB"/>
              </w:rPr>
              <w:tab/>
              <w:t>ISSN 2720-7501</w:t>
            </w:r>
          </w:p>
        </w:tc>
        <w:tc>
          <w:tcPr>
            <w:tcW w:w="1634" w:type="dxa"/>
            <w:tcBorders>
              <w:top w:val="single" w:sz="2" w:space="0" w:color="auto"/>
              <w:bottom w:val="single" w:sz="2" w:space="0" w:color="auto"/>
            </w:tcBorders>
            <w:vAlign w:val="center"/>
          </w:tcPr>
          <w:p w14:paraId="2E7A6FF5" w14:textId="5B1DD4E4" w:rsidR="00DF18F3" w:rsidRPr="00DF18F3" w:rsidRDefault="00DF18F3" w:rsidP="00DF18F3">
            <w:pPr>
              <w:ind w:firstLine="0"/>
              <w:jc w:val="right"/>
              <w:rPr>
                <w:rFonts w:ascii="Times New Roman" w:hAnsi="Times New Roman" w:cs="Times New Roman"/>
                <w:sz w:val="18"/>
                <w:szCs w:val="18"/>
                <w:lang w:val="en-GB"/>
              </w:rPr>
            </w:pPr>
            <w:r w:rsidRPr="00DF18F3">
              <w:rPr>
                <w:rFonts w:ascii="Times New Roman" w:hAnsi="Times New Roman" w:cs="Times New Roman"/>
                <w:sz w:val="18"/>
                <w:szCs w:val="18"/>
                <w:lang w:val="en-GB"/>
              </w:rPr>
              <w:t xml:space="preserve">pp. </w:t>
            </w:r>
            <w:r w:rsidR="000E3E43">
              <w:rPr>
                <w:rFonts w:ascii="Times New Roman" w:hAnsi="Times New Roman" w:cs="Times New Roman"/>
                <w:sz w:val="18"/>
                <w:szCs w:val="18"/>
                <w:lang w:val="en-GB"/>
              </w:rPr>
              <w:t>541</w:t>
            </w:r>
            <w:r w:rsidRPr="00DF18F3">
              <w:rPr>
                <w:rFonts w:ascii="Times New Roman" w:hAnsi="Times New Roman" w:cs="Times New Roman"/>
                <w:sz w:val="18"/>
                <w:szCs w:val="18"/>
                <w:lang w:val="en-GB"/>
              </w:rPr>
              <w:t>-</w:t>
            </w:r>
            <w:r w:rsidR="000E3E43">
              <w:rPr>
                <w:rFonts w:ascii="Times New Roman" w:hAnsi="Times New Roman" w:cs="Times New Roman"/>
                <w:sz w:val="18"/>
                <w:szCs w:val="18"/>
                <w:lang w:val="en-GB"/>
              </w:rPr>
              <w:t>552</w:t>
            </w:r>
          </w:p>
        </w:tc>
      </w:tr>
      <w:tr w:rsidR="00DF18F3" w:rsidRPr="004A67C8" w14:paraId="07A01C35" w14:textId="77777777" w:rsidTr="00534B05">
        <w:trPr>
          <w:trHeight w:hRule="exact" w:val="283"/>
        </w:trPr>
        <w:tc>
          <w:tcPr>
            <w:tcW w:w="709" w:type="dxa"/>
          </w:tcPr>
          <w:p w14:paraId="0B605E9C" w14:textId="77777777" w:rsidR="00DF18F3" w:rsidRPr="00DF18F3" w:rsidRDefault="00DF18F3" w:rsidP="00DF18F3">
            <w:pPr>
              <w:ind w:firstLine="0"/>
              <w:rPr>
                <w:rFonts w:ascii="Times New Roman" w:hAnsi="Times New Roman" w:cs="Times New Roman"/>
                <w:lang w:val="en-GB"/>
              </w:rPr>
            </w:pPr>
          </w:p>
        </w:tc>
        <w:tc>
          <w:tcPr>
            <w:tcW w:w="8930" w:type="dxa"/>
            <w:gridSpan w:val="3"/>
            <w:tcBorders>
              <w:top w:val="single" w:sz="2" w:space="0" w:color="auto"/>
              <w:bottom w:val="single" w:sz="2" w:space="0" w:color="auto"/>
            </w:tcBorders>
            <w:vAlign w:val="center"/>
          </w:tcPr>
          <w:p w14:paraId="0B1A3641" w14:textId="7C4A89DD" w:rsidR="00DF18F3" w:rsidRPr="00DF18F3" w:rsidRDefault="00DF18F3" w:rsidP="00DF18F3">
            <w:pPr>
              <w:tabs>
                <w:tab w:val="right" w:pos="8928"/>
              </w:tabs>
              <w:ind w:firstLine="0"/>
              <w:rPr>
                <w:rFonts w:ascii="Times New Roman" w:hAnsi="Times New Roman" w:cs="Times New Roman"/>
                <w:sz w:val="18"/>
                <w:szCs w:val="18"/>
                <w:lang w:val="en-GB"/>
              </w:rPr>
            </w:pPr>
            <w:r w:rsidRPr="00DF18F3">
              <w:rPr>
                <w:rFonts w:ascii="Times New Roman" w:hAnsi="Times New Roman" w:cs="Times New Roman"/>
                <w:sz w:val="18"/>
                <w:szCs w:val="18"/>
                <w:lang w:val="en-GB"/>
              </w:rPr>
              <w:t>https://doi.org/10.54740/ros.2025.0</w:t>
            </w:r>
            <w:r w:rsidR="006425DA">
              <w:rPr>
                <w:rFonts w:ascii="Times New Roman" w:hAnsi="Times New Roman" w:cs="Times New Roman"/>
                <w:sz w:val="18"/>
                <w:szCs w:val="18"/>
                <w:lang w:val="en-GB"/>
              </w:rPr>
              <w:t>44</w:t>
            </w:r>
            <w:r w:rsidRPr="00DF18F3">
              <w:rPr>
                <w:rFonts w:ascii="Times New Roman" w:hAnsi="Times New Roman" w:cs="Times New Roman"/>
                <w:sz w:val="18"/>
                <w:szCs w:val="18"/>
                <w:lang w:val="en-GB"/>
              </w:rPr>
              <w:tab/>
              <w:t>open access</w:t>
            </w:r>
          </w:p>
        </w:tc>
      </w:tr>
      <w:tr w:rsidR="00DF18F3" w:rsidRPr="004A67C8" w14:paraId="4D375288" w14:textId="77777777" w:rsidTr="00534B05">
        <w:trPr>
          <w:trHeight w:hRule="exact" w:val="283"/>
        </w:trPr>
        <w:tc>
          <w:tcPr>
            <w:tcW w:w="709" w:type="dxa"/>
          </w:tcPr>
          <w:p w14:paraId="2466C066" w14:textId="77777777" w:rsidR="00DF18F3" w:rsidRPr="00DF18F3" w:rsidRDefault="00DF18F3" w:rsidP="00DF18F3">
            <w:pPr>
              <w:ind w:firstLine="0"/>
              <w:rPr>
                <w:rFonts w:ascii="Times New Roman" w:hAnsi="Times New Roman" w:cs="Times New Roman"/>
                <w:lang w:val="en-GB"/>
              </w:rPr>
            </w:pPr>
          </w:p>
        </w:tc>
        <w:tc>
          <w:tcPr>
            <w:tcW w:w="8930" w:type="dxa"/>
            <w:gridSpan w:val="3"/>
            <w:tcBorders>
              <w:top w:val="single" w:sz="2" w:space="0" w:color="auto"/>
            </w:tcBorders>
            <w:vAlign w:val="center"/>
          </w:tcPr>
          <w:p w14:paraId="14EFC3CD" w14:textId="32F73B25" w:rsidR="00DF18F3" w:rsidRPr="00DF18F3" w:rsidRDefault="00DF18F3" w:rsidP="00DF18F3">
            <w:pPr>
              <w:tabs>
                <w:tab w:val="left" w:pos="3683"/>
                <w:tab w:val="right" w:pos="8928"/>
              </w:tabs>
              <w:ind w:firstLine="0"/>
              <w:rPr>
                <w:rFonts w:ascii="Times New Roman" w:hAnsi="Times New Roman" w:cs="Times New Roman"/>
                <w:sz w:val="18"/>
                <w:szCs w:val="18"/>
                <w:lang w:val="en-GB"/>
              </w:rPr>
            </w:pPr>
            <w:r w:rsidRPr="00DF18F3">
              <w:rPr>
                <w:rFonts w:ascii="Times New Roman" w:hAnsi="Times New Roman" w:cs="Times New Roman"/>
                <w:sz w:val="18"/>
                <w:szCs w:val="18"/>
                <w:lang w:val="en-GB"/>
              </w:rPr>
              <w:t xml:space="preserve">Received: </w:t>
            </w:r>
            <w:r w:rsidR="00EC5367">
              <w:rPr>
                <w:rFonts w:ascii="Times New Roman" w:hAnsi="Times New Roman" w:cs="Times New Roman"/>
                <w:sz w:val="18"/>
                <w:szCs w:val="18"/>
                <w:lang w:val="en-GB"/>
              </w:rPr>
              <w:t>August</w:t>
            </w:r>
            <w:r w:rsidRPr="00DF18F3">
              <w:rPr>
                <w:rFonts w:ascii="Times New Roman" w:hAnsi="Times New Roman" w:cs="Times New Roman"/>
                <w:sz w:val="18"/>
                <w:szCs w:val="18"/>
                <w:lang w:val="en-GB"/>
              </w:rPr>
              <w:t xml:space="preserve"> 2025</w:t>
            </w:r>
            <w:r w:rsidRPr="00DF18F3">
              <w:rPr>
                <w:rFonts w:ascii="Times New Roman" w:hAnsi="Times New Roman" w:cs="Times New Roman"/>
                <w:sz w:val="18"/>
                <w:szCs w:val="18"/>
                <w:lang w:val="en-GB"/>
              </w:rPr>
              <w:tab/>
              <w:t>Accepted: September 2025</w:t>
            </w:r>
            <w:r w:rsidRPr="00DF18F3">
              <w:rPr>
                <w:rFonts w:ascii="Times New Roman" w:hAnsi="Times New Roman" w:cs="Times New Roman"/>
                <w:sz w:val="18"/>
                <w:szCs w:val="18"/>
                <w:lang w:val="en-GB"/>
              </w:rPr>
              <w:tab/>
              <w:t xml:space="preserve">Published: </w:t>
            </w:r>
            <w:r w:rsidR="006425DA">
              <w:rPr>
                <w:rFonts w:ascii="Times New Roman" w:hAnsi="Times New Roman" w:cs="Times New Roman"/>
                <w:sz w:val="18"/>
                <w:szCs w:val="18"/>
                <w:lang w:val="en-GB"/>
              </w:rPr>
              <w:t>October</w:t>
            </w:r>
            <w:r w:rsidRPr="00DF18F3">
              <w:rPr>
                <w:rFonts w:ascii="Times New Roman" w:hAnsi="Times New Roman" w:cs="Times New Roman"/>
                <w:sz w:val="18"/>
                <w:szCs w:val="18"/>
                <w:lang w:val="en-GB"/>
              </w:rPr>
              <w:t xml:space="preserve"> 2025</w:t>
            </w:r>
          </w:p>
        </w:tc>
      </w:tr>
    </w:tbl>
    <w:bookmarkEnd w:id="3"/>
    <w:p w14:paraId="25F8F88A" w14:textId="00F66E0A" w:rsidR="00994A45" w:rsidRPr="00F65288" w:rsidRDefault="00994A45" w:rsidP="00CC75C2">
      <w:pPr>
        <w:pStyle w:val="Rtytu"/>
        <w:rPr>
          <w:lang w:val="en-GB"/>
        </w:rPr>
      </w:pPr>
      <w:r w:rsidRPr="00F65288">
        <w:rPr>
          <w:lang w:val="en-GB"/>
        </w:rPr>
        <w:t>An Evaluation of the Effectiveness of Legal Instruments for the Protection of Agricultural Land in Poland</w:t>
      </w:r>
    </w:p>
    <w:p w14:paraId="5E27B55C" w14:textId="246992EF" w:rsidR="008702F5" w:rsidRPr="00F65288" w:rsidRDefault="009A36B2" w:rsidP="00CC75C2">
      <w:pPr>
        <w:pStyle w:val="Rautor"/>
        <w:rPr>
          <w:lang w:val="en-GB"/>
        </w:rPr>
      </w:pPr>
      <w:r w:rsidRPr="00F65288">
        <w:rPr>
          <w:lang w:val="en-GB"/>
        </w:rPr>
        <w:t>Agnieszka Czajka</w:t>
      </w:r>
      <w:r w:rsidR="00CC75C2" w:rsidRPr="00CC75C2">
        <w:rPr>
          <w:vertAlign w:val="superscript"/>
          <w:lang w:val="en-GB"/>
        </w:rPr>
        <w:t>1*</w:t>
      </w:r>
      <w:r w:rsidR="00994A45" w:rsidRPr="00F65288">
        <w:rPr>
          <w:lang w:val="en-GB"/>
        </w:rPr>
        <w:t xml:space="preserve">, </w:t>
      </w:r>
      <w:r w:rsidR="008702F5" w:rsidRPr="00F65288">
        <w:rPr>
          <w:lang w:val="en-GB"/>
        </w:rPr>
        <w:t>Krystyna Kurowska</w:t>
      </w:r>
      <w:r w:rsidR="00CC75C2" w:rsidRPr="00CC75C2">
        <w:rPr>
          <w:vertAlign w:val="superscript"/>
          <w:lang w:val="en-GB"/>
        </w:rPr>
        <w:t>2</w:t>
      </w:r>
    </w:p>
    <w:p w14:paraId="306D4FEB" w14:textId="23725177" w:rsidR="009A36B2" w:rsidRPr="00F65288" w:rsidRDefault="00CC75C2" w:rsidP="00CC75C2">
      <w:pPr>
        <w:pStyle w:val="Rafiliacja"/>
        <w:rPr>
          <w:lang w:val="en-GB"/>
        </w:rPr>
      </w:pPr>
      <w:r w:rsidRPr="00DF18F3">
        <w:rPr>
          <w:vertAlign w:val="superscript"/>
          <w:lang w:val="en-GB"/>
        </w:rPr>
        <w:t>1</w:t>
      </w:r>
      <w:r w:rsidR="008702F5" w:rsidRPr="00F65288">
        <w:rPr>
          <w:lang w:val="en-GB"/>
        </w:rPr>
        <w:t xml:space="preserve">Department of Geodesy and Geoinformatics, Faculty of Civil Engineering, Environmental and Geodetic Sciences, </w:t>
      </w:r>
      <w:proofErr w:type="spellStart"/>
      <w:r w:rsidR="00994A45" w:rsidRPr="00F65288">
        <w:rPr>
          <w:lang w:val="en-GB"/>
        </w:rPr>
        <w:t>Koszalin</w:t>
      </w:r>
      <w:proofErr w:type="spellEnd"/>
      <w:r w:rsidR="00994A45" w:rsidRPr="00F65288">
        <w:rPr>
          <w:lang w:val="en-GB"/>
        </w:rPr>
        <w:t xml:space="preserve"> University of Technology</w:t>
      </w:r>
      <w:r w:rsidR="009A36B2" w:rsidRPr="00F65288">
        <w:rPr>
          <w:lang w:val="en-GB"/>
        </w:rPr>
        <w:t xml:space="preserve">, </w:t>
      </w:r>
      <w:r w:rsidR="008702F5" w:rsidRPr="00F65288">
        <w:rPr>
          <w:lang w:val="en-GB"/>
        </w:rPr>
        <w:t>Poland</w:t>
      </w:r>
      <w:r w:rsidR="00994A45" w:rsidRPr="00F65288">
        <w:rPr>
          <w:lang w:val="en-GB"/>
        </w:rPr>
        <w:t xml:space="preserve"> </w:t>
      </w:r>
      <w:r w:rsidR="00DF18F3">
        <w:rPr>
          <w:lang w:val="en-GB"/>
        </w:rPr>
        <w:br/>
      </w:r>
      <w:hyperlink r:id="rId9" w:history="1">
        <w:bookmarkStart w:id="5" w:name="_Hlk205203697"/>
        <w:r w:rsidR="009A36B2" w:rsidRPr="00F65288">
          <w:rPr>
            <w:rStyle w:val="Hipercze"/>
            <w:iCs/>
            <w:color w:val="auto"/>
            <w:szCs w:val="20"/>
            <w:u w:val="none"/>
            <w:lang w:val="en-GB"/>
          </w:rPr>
          <w:t>https://orcid.org/</w:t>
        </w:r>
        <w:bookmarkEnd w:id="5"/>
        <w:r w:rsidR="009A36B2" w:rsidRPr="00F65288">
          <w:rPr>
            <w:rStyle w:val="Hipercze"/>
            <w:iCs/>
            <w:color w:val="auto"/>
            <w:szCs w:val="20"/>
            <w:u w:val="none"/>
            <w:lang w:val="en-GB"/>
          </w:rPr>
          <w:t>0000-0001-6036-7451</w:t>
        </w:r>
      </w:hyperlink>
    </w:p>
    <w:p w14:paraId="349384BA" w14:textId="564E661B" w:rsidR="009A36B2" w:rsidRDefault="00CC75C2" w:rsidP="00CC75C2">
      <w:pPr>
        <w:pStyle w:val="Rafiliacja"/>
        <w:rPr>
          <w:lang w:val="en-GB"/>
        </w:rPr>
      </w:pPr>
      <w:r w:rsidRPr="00DF18F3">
        <w:rPr>
          <w:vertAlign w:val="superscript"/>
          <w:lang w:val="en-GB"/>
        </w:rPr>
        <w:t>2</w:t>
      </w:r>
      <w:r w:rsidR="008702F5" w:rsidRPr="00F65288">
        <w:rPr>
          <w:lang w:val="en-GB"/>
        </w:rPr>
        <w:t xml:space="preserve">Department of </w:t>
      </w:r>
      <w:r w:rsidR="006425DA" w:rsidRPr="006425DA">
        <w:rPr>
          <w:lang w:val="en-GB"/>
        </w:rPr>
        <w:t>Land Management,</w:t>
      </w:r>
      <w:r w:rsidR="008702F5" w:rsidRPr="00F65288">
        <w:rPr>
          <w:lang w:val="en-GB"/>
        </w:rPr>
        <w:t xml:space="preserve"> Faculty of Geoengineering, </w:t>
      </w:r>
      <w:r w:rsidR="00DF18F3">
        <w:rPr>
          <w:lang w:val="en-GB"/>
        </w:rPr>
        <w:br/>
      </w:r>
      <w:r w:rsidR="0096135E" w:rsidRPr="00F65288">
        <w:rPr>
          <w:lang w:val="en-GB"/>
        </w:rPr>
        <w:t xml:space="preserve">University of Warmia and </w:t>
      </w:r>
      <w:proofErr w:type="spellStart"/>
      <w:r w:rsidR="0096135E" w:rsidRPr="00F65288">
        <w:rPr>
          <w:lang w:val="en-GB"/>
        </w:rPr>
        <w:t>Mazury</w:t>
      </w:r>
      <w:proofErr w:type="spellEnd"/>
      <w:r w:rsidR="0096135E" w:rsidRPr="00F65288">
        <w:rPr>
          <w:lang w:val="en-GB"/>
        </w:rPr>
        <w:t xml:space="preserve"> in Olsztyn, </w:t>
      </w:r>
      <w:r w:rsidR="008702F5" w:rsidRPr="00F65288">
        <w:rPr>
          <w:lang w:val="en-GB"/>
        </w:rPr>
        <w:t>Poland</w:t>
      </w:r>
      <w:r w:rsidR="0096135E" w:rsidRPr="00F65288">
        <w:rPr>
          <w:lang w:val="en-GB"/>
        </w:rPr>
        <w:t xml:space="preserve"> </w:t>
      </w:r>
      <w:r w:rsidR="00DF18F3">
        <w:rPr>
          <w:lang w:val="en-GB"/>
        </w:rPr>
        <w:br/>
      </w:r>
      <w:hyperlink r:id="rId10" w:history="1">
        <w:r w:rsidR="00E955DC" w:rsidRPr="00F65288">
          <w:rPr>
            <w:rStyle w:val="Hipercze"/>
            <w:iCs/>
            <w:color w:val="auto"/>
            <w:szCs w:val="20"/>
            <w:u w:val="none"/>
            <w:lang w:val="en-GB"/>
          </w:rPr>
          <w:t>https://orcid.org/0000-0002-1517-7402</w:t>
        </w:r>
      </w:hyperlink>
    </w:p>
    <w:p w14:paraId="0ADC01E0" w14:textId="2A5439CA" w:rsidR="00CC75C2" w:rsidRPr="00F65288" w:rsidRDefault="00CC75C2" w:rsidP="00CC75C2">
      <w:pPr>
        <w:pStyle w:val="Rauco"/>
        <w:rPr>
          <w:i w:val="0"/>
          <w:iCs/>
          <w:szCs w:val="20"/>
        </w:rPr>
      </w:pPr>
      <w:r w:rsidRPr="00FE40B9">
        <w:t>*corresponding author</w:t>
      </w:r>
      <w:r>
        <w:t>'</w:t>
      </w:r>
      <w:r w:rsidRPr="00FE40B9">
        <w:t xml:space="preserve">s e-mail: </w:t>
      </w:r>
      <w:r w:rsidRPr="00CC75C2">
        <w:t>agnieszka.czajka@tu.koszalin.pl</w:t>
      </w:r>
    </w:p>
    <w:p w14:paraId="4F1A5DE2" w14:textId="2520E54A" w:rsidR="00994A45" w:rsidRPr="00F65288" w:rsidRDefault="00994A45" w:rsidP="00CC75C2">
      <w:pPr>
        <w:pStyle w:val="Rab1"/>
      </w:pPr>
      <w:r w:rsidRPr="00F65288">
        <w:rPr>
          <w:b/>
          <w:bCs/>
        </w:rPr>
        <w:t>Abstract</w:t>
      </w:r>
      <w:r w:rsidR="009A36B2" w:rsidRPr="00CC75C2">
        <w:rPr>
          <w:b/>
          <w:bCs/>
        </w:rPr>
        <w:t>:</w:t>
      </w:r>
      <w:r w:rsidR="009A36B2" w:rsidRPr="00F65288">
        <w:t xml:space="preserve"> </w:t>
      </w:r>
      <w:r w:rsidR="00EA08CD" w:rsidRPr="00F65288">
        <w:t>Legal protection of agricultural land is a fundamental element of the State</w:t>
      </w:r>
      <w:r w:rsidR="004A67C8">
        <w:t>'s</w:t>
      </w:r>
      <w:r w:rsidR="00EA08CD" w:rsidRPr="00F65288">
        <w:t xml:space="preserve"> strategy for nature conservation, food security, and sustainable spatial planning. Th</w:t>
      </w:r>
      <w:r w:rsidR="004A67C8">
        <w:t>is article aimed</w:t>
      </w:r>
      <w:r w:rsidR="00EA08CD" w:rsidRPr="00F65288">
        <w:t xml:space="preserve"> to </w:t>
      </w:r>
      <w:r w:rsidR="005605C0" w:rsidRPr="00F65288">
        <w:t xml:space="preserve">conduct a comprehensive </w:t>
      </w:r>
      <w:r w:rsidR="00E04746" w:rsidRPr="00F65288">
        <w:t>assessment</w:t>
      </w:r>
      <w:r w:rsidR="005605C0" w:rsidRPr="00F65288">
        <w:t xml:space="preserve"> of</w:t>
      </w:r>
      <w:r w:rsidR="00EA08CD" w:rsidRPr="00F65288">
        <w:t xml:space="preserve"> the effectiveness of legal instruments </w:t>
      </w:r>
      <w:r w:rsidR="004A67C8">
        <w:t>in protecting</w:t>
      </w:r>
      <w:r w:rsidR="005605C0" w:rsidRPr="00F65288">
        <w:t xml:space="preserve"> agricultural land in Poland. The analysis </w:t>
      </w:r>
      <w:r w:rsidR="004A67C8">
        <w:t>primarily focused on the provisions of the Act of 3 February 1995 regarding</w:t>
      </w:r>
      <w:r w:rsidR="005605C0" w:rsidRPr="00F65288">
        <w:t xml:space="preserve"> the protection of agricultural</w:t>
      </w:r>
      <w:r w:rsidR="00ED17BC" w:rsidRPr="00F65288">
        <w:t xml:space="preserve"> and forest</w:t>
      </w:r>
      <w:r w:rsidR="005605C0" w:rsidRPr="00F65288">
        <w:t xml:space="preserve"> land, the relevant planning regulations, and administrative decisions. The evaluation relied on </w:t>
      </w:r>
      <w:r w:rsidR="005605C0" w:rsidRPr="00F65288">
        <w:rPr>
          <w:i/>
          <w:iCs/>
        </w:rPr>
        <w:t>Statistics Poland</w:t>
      </w:r>
      <w:r w:rsidR="005605C0" w:rsidRPr="00F65288">
        <w:t xml:space="preserve"> data for 2003-2024 concerning the area of </w:t>
      </w:r>
      <w:r w:rsidR="00293C0D" w:rsidRPr="00F65288">
        <w:t>agricultural land</w:t>
      </w:r>
      <w:r w:rsidR="003E09FA" w:rsidRPr="00F65288">
        <w:t xml:space="preserve"> taken out of agricultural production and</w:t>
      </w:r>
      <w:r w:rsidR="005605C0" w:rsidRPr="00F65288">
        <w:t xml:space="preserve"> voivodeships experiencing high development pressure. The analysis revealed that</w:t>
      </w:r>
      <w:r w:rsidR="003E09FA" w:rsidRPr="00F65288">
        <w:t>,</w:t>
      </w:r>
      <w:r w:rsidR="005605C0" w:rsidRPr="00F65288">
        <w:t xml:space="preserve"> </w:t>
      </w:r>
      <w:r w:rsidR="006D45F8" w:rsidRPr="00F65288">
        <w:t xml:space="preserve">although </w:t>
      </w:r>
      <w:r w:rsidR="003E09FA" w:rsidRPr="00F65288">
        <w:t xml:space="preserve">Poland has an extensive legal framework for </w:t>
      </w:r>
      <w:r w:rsidR="004A67C8">
        <w:t>protecting agricultural land, its effectiveness is limited by the liberalization of procedures, the</w:t>
      </w:r>
      <w:r w:rsidR="00670C95" w:rsidRPr="00F65288">
        <w:t xml:space="preserve"> low </w:t>
      </w:r>
      <w:r w:rsidR="003E09FA" w:rsidRPr="00F65288">
        <w:t xml:space="preserve">spatial </w:t>
      </w:r>
      <w:r w:rsidR="00670C95" w:rsidRPr="00F65288">
        <w:t>coverage of zoning plans, and the prioritization of economic goals over environmental objectives.</w:t>
      </w:r>
      <w:r w:rsidR="006D45F8" w:rsidRPr="00F65288">
        <w:t xml:space="preserve"> </w:t>
      </w:r>
      <w:r w:rsidR="00670C95" w:rsidRPr="00F65288">
        <w:t xml:space="preserve">The </w:t>
      </w:r>
      <w:r w:rsidR="004A67C8">
        <w:t>study's results confirmed that agricultural land conversion to non-agricultural uses should be closely monitored, and that spatial planning policies</w:t>
      </w:r>
      <w:r w:rsidR="00670C95" w:rsidRPr="00F65288">
        <w:t xml:space="preserve"> should be better aligned with soil protection goals.</w:t>
      </w:r>
    </w:p>
    <w:p w14:paraId="0909FAD4" w14:textId="32450E1B" w:rsidR="00670C95" w:rsidRPr="00F65288" w:rsidRDefault="00670C95" w:rsidP="00CC75C2">
      <w:pPr>
        <w:pStyle w:val="Rab2"/>
      </w:pPr>
      <w:r w:rsidRPr="00F65288">
        <w:rPr>
          <w:b/>
          <w:bCs/>
        </w:rPr>
        <w:t>Keywords</w:t>
      </w:r>
      <w:r w:rsidRPr="00CC75C2">
        <w:rPr>
          <w:b/>
          <w:bCs/>
        </w:rPr>
        <w:t>:</w:t>
      </w:r>
      <w:r w:rsidRPr="00F65288">
        <w:t xml:space="preserve"> legal protection, agricultural land, Act on the protection of agricultural </w:t>
      </w:r>
      <w:r w:rsidR="00ED17BC" w:rsidRPr="00F65288">
        <w:t xml:space="preserve">and forest </w:t>
      </w:r>
      <w:r w:rsidRPr="00F65288">
        <w:t xml:space="preserve">land, </w:t>
      </w:r>
      <w:r w:rsidR="00293C0D" w:rsidRPr="00F65288">
        <w:t>agricultural land</w:t>
      </w:r>
      <w:r w:rsidR="00BF1820" w:rsidRPr="00F65288">
        <w:t xml:space="preserve"> conversion to non-agricultural uses</w:t>
      </w:r>
      <w:r w:rsidRPr="00F65288">
        <w:t>, spatial planning</w:t>
      </w:r>
    </w:p>
    <w:p w14:paraId="0B07E096" w14:textId="58FD4EAA" w:rsidR="0011100A" w:rsidRPr="00F65288" w:rsidRDefault="00CC75C2" w:rsidP="00CC75C2">
      <w:pPr>
        <w:pStyle w:val="Rn1"/>
        <w:rPr>
          <w:lang w:val="en-GB"/>
        </w:rPr>
      </w:pPr>
      <w:r>
        <w:rPr>
          <w:lang w:val="en-GB"/>
        </w:rPr>
        <w:t xml:space="preserve">1. </w:t>
      </w:r>
      <w:r w:rsidR="00670C95" w:rsidRPr="00F65288">
        <w:rPr>
          <w:lang w:val="en-GB"/>
        </w:rPr>
        <w:t>Introduction</w:t>
      </w:r>
    </w:p>
    <w:p w14:paraId="2EAD5F48" w14:textId="638A116A" w:rsidR="00670C95" w:rsidRPr="00F65288" w:rsidRDefault="00670C95" w:rsidP="00AA5E0E">
      <w:pPr>
        <w:pStyle w:val="Akapitzlist"/>
        <w:ind w:left="0"/>
        <w:rPr>
          <w:rFonts w:ascii="Times New Roman" w:hAnsi="Times New Roman" w:cs="Times New Roman"/>
          <w:lang w:val="en-GB"/>
        </w:rPr>
      </w:pPr>
      <w:r w:rsidRPr="00F65288">
        <w:rPr>
          <w:rFonts w:ascii="Times New Roman" w:hAnsi="Times New Roman" w:cs="Times New Roman"/>
          <w:lang w:val="en-GB"/>
        </w:rPr>
        <w:t>Agricultural land should be regarded as a strategic and non-re</w:t>
      </w:r>
      <w:r w:rsidR="004A67C8">
        <w:rPr>
          <w:rFonts w:ascii="Times New Roman" w:hAnsi="Times New Roman" w:cs="Times New Roman"/>
          <w:lang w:val="en-GB"/>
        </w:rPr>
        <w:t>newable resource that is of fundamental importance for maintaining ecological balance, ensuring food security, regulating the climate, and protecting landscapes</w:t>
      </w:r>
      <w:r w:rsidR="009A6795" w:rsidRPr="00F65288">
        <w:rPr>
          <w:rFonts w:ascii="Times New Roman" w:hAnsi="Times New Roman" w:cs="Times New Roman"/>
          <w:lang w:val="en-GB"/>
        </w:rPr>
        <w:t xml:space="preserve"> (Kurowska et al. 2020). </w:t>
      </w:r>
      <w:r w:rsidR="00293C0D" w:rsidRPr="00F65288">
        <w:rPr>
          <w:rFonts w:ascii="Times New Roman" w:hAnsi="Times New Roman" w:cs="Times New Roman"/>
          <w:lang w:val="en-GB"/>
        </w:rPr>
        <w:t>Agricultural land</w:t>
      </w:r>
      <w:r w:rsidR="009A6795" w:rsidRPr="00F65288">
        <w:rPr>
          <w:rFonts w:ascii="Times New Roman" w:hAnsi="Times New Roman" w:cs="Times New Roman"/>
          <w:lang w:val="en-GB"/>
        </w:rPr>
        <w:t xml:space="preserve"> conversion</w:t>
      </w:r>
      <w:r w:rsidR="004A67C8">
        <w:rPr>
          <w:rFonts w:ascii="Times New Roman" w:hAnsi="Times New Roman" w:cs="Times New Roman"/>
          <w:lang w:val="en-GB"/>
        </w:rPr>
        <w:t>, resulting from growing urbanization pressure, the development of technical infrastructure, and planning decisions,</w:t>
      </w:r>
      <w:r w:rsidR="009A6795" w:rsidRPr="00F65288">
        <w:rPr>
          <w:rFonts w:ascii="Times New Roman" w:hAnsi="Times New Roman" w:cs="Times New Roman"/>
          <w:lang w:val="en-GB"/>
        </w:rPr>
        <w:t xml:space="preserve"> leads to </w:t>
      </w:r>
      <w:r w:rsidR="00BF1820" w:rsidRPr="00F65288">
        <w:rPr>
          <w:rFonts w:ascii="Times New Roman" w:hAnsi="Times New Roman" w:cs="Times New Roman"/>
          <w:lang w:val="en-GB"/>
        </w:rPr>
        <w:t>a</w:t>
      </w:r>
      <w:r w:rsidR="009A6795" w:rsidRPr="00F65288">
        <w:rPr>
          <w:rFonts w:ascii="Times New Roman" w:hAnsi="Times New Roman" w:cs="Times New Roman"/>
          <w:lang w:val="en-GB"/>
        </w:rPr>
        <w:t xml:space="preserve"> gradual</w:t>
      </w:r>
      <w:r w:rsidR="00BF1820" w:rsidRPr="00F65288">
        <w:rPr>
          <w:rFonts w:ascii="Times New Roman" w:hAnsi="Times New Roman" w:cs="Times New Roman"/>
          <w:lang w:val="en-GB"/>
        </w:rPr>
        <w:t xml:space="preserve"> reduction in agricultural land area</w:t>
      </w:r>
      <w:r w:rsidR="009A6795" w:rsidRPr="00F65288">
        <w:rPr>
          <w:rFonts w:ascii="Times New Roman" w:hAnsi="Times New Roman" w:cs="Times New Roman"/>
          <w:lang w:val="en-GB"/>
        </w:rPr>
        <w:t xml:space="preserve">. To </w:t>
      </w:r>
      <w:r w:rsidR="00BF1820" w:rsidRPr="00F65288">
        <w:rPr>
          <w:rFonts w:ascii="Times New Roman" w:hAnsi="Times New Roman" w:cs="Times New Roman"/>
          <w:lang w:val="en-GB"/>
        </w:rPr>
        <w:t>address these challenges</w:t>
      </w:r>
      <w:r w:rsidR="009A6795" w:rsidRPr="00F65288">
        <w:rPr>
          <w:rFonts w:ascii="Times New Roman" w:hAnsi="Times New Roman" w:cs="Times New Roman"/>
          <w:lang w:val="en-GB"/>
        </w:rPr>
        <w:t>, an effective and cohesive legal protection system is needed to reconcile environmental protection with socio</w:t>
      </w:r>
      <w:r w:rsidR="004A67C8">
        <w:rPr>
          <w:rFonts w:ascii="Times New Roman" w:hAnsi="Times New Roman" w:cs="Times New Roman"/>
          <w:lang w:val="en-GB"/>
        </w:rPr>
        <w:t>-</w:t>
      </w:r>
      <w:r w:rsidR="009A6795" w:rsidRPr="00F65288">
        <w:rPr>
          <w:rFonts w:ascii="Times New Roman" w:hAnsi="Times New Roman" w:cs="Times New Roman"/>
          <w:lang w:val="en-GB"/>
        </w:rPr>
        <w:t xml:space="preserve">economic needs. This issue is </w:t>
      </w:r>
      <w:r w:rsidR="004A67C8">
        <w:rPr>
          <w:rFonts w:ascii="Times New Roman" w:hAnsi="Times New Roman" w:cs="Times New Roman"/>
          <w:lang w:val="en-GB"/>
        </w:rPr>
        <w:t xml:space="preserve">particularly concerning in Poland, where agricultural land comprises a significant </w:t>
      </w:r>
      <w:r w:rsidR="009A6795" w:rsidRPr="00F65288">
        <w:rPr>
          <w:rFonts w:ascii="Times New Roman" w:hAnsi="Times New Roman" w:cs="Times New Roman"/>
          <w:lang w:val="en-GB"/>
        </w:rPr>
        <w:t>portion of the country</w:t>
      </w:r>
      <w:r w:rsidR="004A67C8">
        <w:rPr>
          <w:rFonts w:ascii="Times New Roman" w:hAnsi="Times New Roman" w:cs="Times New Roman"/>
          <w:lang w:val="en-GB"/>
        </w:rPr>
        <w:t>'</w:t>
      </w:r>
      <w:r w:rsidR="009A6795" w:rsidRPr="00F65288">
        <w:rPr>
          <w:rFonts w:ascii="Times New Roman" w:hAnsi="Times New Roman" w:cs="Times New Roman"/>
          <w:lang w:val="en-GB"/>
        </w:rPr>
        <w:t>s total land area.</w:t>
      </w:r>
      <w:r w:rsidR="00DC5D2E" w:rsidRPr="00F65288">
        <w:rPr>
          <w:rFonts w:ascii="Times New Roman" w:hAnsi="Times New Roman" w:cs="Times New Roman"/>
          <w:lang w:val="en-GB"/>
        </w:rPr>
        <w:t xml:space="preserve"> Land use management can also be examined from the perspective of institutional theory and policy-mix approaches, which emphasize the interplay between formal regulations, market-based instruments, and voluntary mechanisms (</w:t>
      </w:r>
      <w:proofErr w:type="spellStart"/>
      <w:r w:rsidR="00DC5D2E" w:rsidRPr="00F65288">
        <w:rPr>
          <w:rFonts w:ascii="Times New Roman" w:hAnsi="Times New Roman" w:cs="Times New Roman"/>
          <w:lang w:val="en-GB"/>
        </w:rPr>
        <w:t>Kryszk</w:t>
      </w:r>
      <w:proofErr w:type="spellEnd"/>
      <w:r w:rsidR="00DC5D2E" w:rsidRPr="00F65288">
        <w:rPr>
          <w:rFonts w:ascii="Times New Roman" w:hAnsi="Times New Roman" w:cs="Times New Roman"/>
          <w:lang w:val="en-GB"/>
        </w:rPr>
        <w:t xml:space="preserve"> et al. 2022</w:t>
      </w:r>
      <w:r w:rsidR="00B80363">
        <w:rPr>
          <w:rFonts w:ascii="Times New Roman" w:hAnsi="Times New Roman" w:cs="Times New Roman"/>
          <w:lang w:val="en-GB"/>
        </w:rPr>
        <w:t>,</w:t>
      </w:r>
      <w:r w:rsidR="00DC5D2E" w:rsidRPr="00F65288">
        <w:rPr>
          <w:rFonts w:ascii="Times New Roman" w:hAnsi="Times New Roman" w:cs="Times New Roman"/>
          <w:lang w:val="en-GB"/>
        </w:rPr>
        <w:t xml:space="preserve"> Liang 2024). In the European Union, agricultural land protection is strongly embedded in multilevel governance structures, where spatial planning instruments interact with agricultural, environmental, and climate policies. This theoretical framework allows </w:t>
      </w:r>
      <w:r w:rsidR="004A67C8">
        <w:rPr>
          <w:rFonts w:ascii="Times New Roman" w:hAnsi="Times New Roman" w:cs="Times New Roman"/>
          <w:lang w:val="en-GB"/>
        </w:rPr>
        <w:t>for</w:t>
      </w:r>
      <w:r w:rsidR="00DC5D2E" w:rsidRPr="00F65288">
        <w:rPr>
          <w:rFonts w:ascii="Times New Roman" w:hAnsi="Times New Roman" w:cs="Times New Roman"/>
          <w:lang w:val="en-GB"/>
        </w:rPr>
        <w:t xml:space="preserve"> better interpret</w:t>
      </w:r>
      <w:r w:rsidR="004A67C8">
        <w:rPr>
          <w:rFonts w:ascii="Times New Roman" w:hAnsi="Times New Roman" w:cs="Times New Roman"/>
          <w:lang w:val="en-GB"/>
        </w:rPr>
        <w:t>ation of</w:t>
      </w:r>
      <w:r w:rsidR="00DC5D2E" w:rsidRPr="00F65288">
        <w:rPr>
          <w:rFonts w:ascii="Times New Roman" w:hAnsi="Times New Roman" w:cs="Times New Roman"/>
          <w:lang w:val="en-GB"/>
        </w:rPr>
        <w:t xml:space="preserve"> the effectiveness of Polish regulations in comparison with broader European experiences. </w:t>
      </w:r>
    </w:p>
    <w:p w14:paraId="6F4E7320" w14:textId="29805A9A" w:rsidR="009A6795" w:rsidRPr="00F65288" w:rsidRDefault="009A6795" w:rsidP="00AA5E0E">
      <w:pPr>
        <w:pStyle w:val="Akapitzlist"/>
        <w:ind w:left="0"/>
        <w:rPr>
          <w:rFonts w:ascii="Times New Roman" w:hAnsi="Times New Roman" w:cs="Times New Roman"/>
          <w:lang w:val="en-GB"/>
        </w:rPr>
      </w:pPr>
      <w:r w:rsidRPr="00F65288">
        <w:rPr>
          <w:rFonts w:ascii="Times New Roman" w:hAnsi="Times New Roman" w:cs="Times New Roman"/>
          <w:lang w:val="en-GB"/>
        </w:rPr>
        <w:t xml:space="preserve">Poland is currently at the nexus of developmental and environmental challenges, and </w:t>
      </w:r>
      <w:r w:rsidR="00F518B7" w:rsidRPr="00F65288">
        <w:rPr>
          <w:rFonts w:ascii="Times New Roman" w:hAnsi="Times New Roman" w:cs="Times New Roman"/>
          <w:lang w:val="en-GB"/>
        </w:rPr>
        <w:t xml:space="preserve">due to </w:t>
      </w:r>
      <w:r w:rsidR="007750D5" w:rsidRPr="00F65288">
        <w:rPr>
          <w:rFonts w:ascii="Times New Roman" w:hAnsi="Times New Roman" w:cs="Times New Roman"/>
          <w:lang w:val="en-GB"/>
        </w:rPr>
        <w:t>growing development pressure, particular</w:t>
      </w:r>
      <w:r w:rsidR="00B73D9F" w:rsidRPr="00F65288">
        <w:rPr>
          <w:rFonts w:ascii="Times New Roman" w:hAnsi="Times New Roman" w:cs="Times New Roman"/>
          <w:lang w:val="en-GB"/>
        </w:rPr>
        <w:t>ly</w:t>
      </w:r>
      <w:r w:rsidR="007750D5" w:rsidRPr="00F65288">
        <w:rPr>
          <w:rFonts w:ascii="Times New Roman" w:hAnsi="Times New Roman" w:cs="Times New Roman"/>
          <w:lang w:val="en-GB"/>
        </w:rPr>
        <w:t xml:space="preserve"> in suburban areas, more agricultural land</w:t>
      </w:r>
      <w:r w:rsidR="00F518B7" w:rsidRPr="00F65288">
        <w:rPr>
          <w:rFonts w:ascii="Times New Roman" w:hAnsi="Times New Roman" w:cs="Times New Roman"/>
          <w:lang w:val="en-GB"/>
        </w:rPr>
        <w:t xml:space="preserve"> is</w:t>
      </w:r>
      <w:r w:rsidR="007750D5" w:rsidRPr="00F65288">
        <w:rPr>
          <w:rFonts w:ascii="Times New Roman" w:hAnsi="Times New Roman" w:cs="Times New Roman"/>
          <w:lang w:val="en-GB"/>
        </w:rPr>
        <w:t xml:space="preserve"> being taken out of production. According to </w:t>
      </w:r>
      <w:proofErr w:type="spellStart"/>
      <w:r w:rsidR="007750D5" w:rsidRPr="00F65288">
        <w:rPr>
          <w:rFonts w:ascii="Times New Roman" w:hAnsi="Times New Roman" w:cs="Times New Roman"/>
          <w:lang w:val="en-GB"/>
        </w:rPr>
        <w:t>Śleszyński</w:t>
      </w:r>
      <w:proofErr w:type="spellEnd"/>
      <w:r w:rsidR="007750D5" w:rsidRPr="00F65288">
        <w:rPr>
          <w:rFonts w:ascii="Times New Roman" w:hAnsi="Times New Roman" w:cs="Times New Roman"/>
          <w:lang w:val="en-GB"/>
        </w:rPr>
        <w:t xml:space="preserve"> et al. (2024), </w:t>
      </w:r>
      <w:r w:rsidR="00F518B7" w:rsidRPr="00F65288">
        <w:rPr>
          <w:rFonts w:ascii="Times New Roman" w:hAnsi="Times New Roman" w:cs="Times New Roman"/>
          <w:lang w:val="en-GB"/>
        </w:rPr>
        <w:t>most land conversion decisions are</w:t>
      </w:r>
      <w:r w:rsidR="007750D5" w:rsidRPr="00F65288">
        <w:rPr>
          <w:rFonts w:ascii="Times New Roman" w:hAnsi="Times New Roman" w:cs="Times New Roman"/>
          <w:lang w:val="en-GB"/>
        </w:rPr>
        <w:t xml:space="preserve"> made for economic reasons</w:t>
      </w:r>
      <w:r w:rsidR="004A67C8">
        <w:rPr>
          <w:rFonts w:ascii="Times New Roman" w:hAnsi="Times New Roman" w:cs="Times New Roman"/>
          <w:lang w:val="en-GB"/>
        </w:rPr>
        <w:t>,</w:t>
      </w:r>
      <w:r w:rsidR="007750D5" w:rsidRPr="00F65288">
        <w:rPr>
          <w:rFonts w:ascii="Times New Roman" w:hAnsi="Times New Roman" w:cs="Times New Roman"/>
          <w:lang w:val="en-GB"/>
        </w:rPr>
        <w:t xml:space="preserve"> which are prioritized over environmental and planning concerns in administrative practice. In this context, the land protection system should be assessed not only i</w:t>
      </w:r>
      <w:r w:rsidR="00E67B3A" w:rsidRPr="00F65288">
        <w:rPr>
          <w:rFonts w:ascii="Times New Roman" w:hAnsi="Times New Roman" w:cs="Times New Roman"/>
          <w:lang w:val="en-GB"/>
        </w:rPr>
        <w:t>n</w:t>
      </w:r>
      <w:r w:rsidR="007750D5" w:rsidRPr="00F65288">
        <w:rPr>
          <w:rFonts w:ascii="Times New Roman" w:hAnsi="Times New Roman" w:cs="Times New Roman"/>
          <w:lang w:val="en-GB"/>
        </w:rPr>
        <w:t xml:space="preserve"> terms of </w:t>
      </w:r>
      <w:r w:rsidR="00E67B3A" w:rsidRPr="00F65288">
        <w:rPr>
          <w:rFonts w:ascii="Times New Roman" w:hAnsi="Times New Roman" w:cs="Times New Roman"/>
          <w:lang w:val="en-GB"/>
        </w:rPr>
        <w:t>its</w:t>
      </w:r>
      <w:r w:rsidR="007750D5" w:rsidRPr="00F65288">
        <w:rPr>
          <w:rFonts w:ascii="Times New Roman" w:hAnsi="Times New Roman" w:cs="Times New Roman"/>
          <w:lang w:val="en-GB"/>
        </w:rPr>
        <w:t xml:space="preserve"> effectiveness</w:t>
      </w:r>
      <w:r w:rsidR="00F518B7" w:rsidRPr="00F65288">
        <w:rPr>
          <w:rFonts w:ascii="Times New Roman" w:hAnsi="Times New Roman" w:cs="Times New Roman"/>
          <w:lang w:val="en-GB"/>
        </w:rPr>
        <w:t>,</w:t>
      </w:r>
      <w:r w:rsidR="007750D5" w:rsidRPr="00F65288">
        <w:rPr>
          <w:rFonts w:ascii="Times New Roman" w:hAnsi="Times New Roman" w:cs="Times New Roman"/>
          <w:lang w:val="en-GB"/>
        </w:rPr>
        <w:t xml:space="preserve"> but also in relation to its alignment with spatial planning mechanisms and the </w:t>
      </w:r>
      <w:r w:rsidR="00E67B3A" w:rsidRPr="00F65288">
        <w:rPr>
          <w:rFonts w:ascii="Times New Roman" w:hAnsi="Times New Roman" w:cs="Times New Roman"/>
          <w:lang w:val="en-GB"/>
        </w:rPr>
        <w:t>implementation</w:t>
      </w:r>
      <w:r w:rsidR="007750D5" w:rsidRPr="00F65288">
        <w:rPr>
          <w:rFonts w:ascii="Times New Roman" w:hAnsi="Times New Roman" w:cs="Times New Roman"/>
          <w:lang w:val="en-GB"/>
        </w:rPr>
        <w:t xml:space="preserve"> of the relevant regulations at the local level. </w:t>
      </w:r>
    </w:p>
    <w:p w14:paraId="36934F46" w14:textId="3A067020" w:rsidR="007750D5" w:rsidRPr="00F65288" w:rsidRDefault="007750D5" w:rsidP="00AA5E0E">
      <w:pPr>
        <w:pStyle w:val="Akapitzlist"/>
        <w:ind w:left="0"/>
        <w:rPr>
          <w:rFonts w:ascii="Times New Roman" w:hAnsi="Times New Roman" w:cs="Times New Roman"/>
          <w:lang w:val="en-GB"/>
        </w:rPr>
      </w:pPr>
      <w:r w:rsidRPr="00F65288">
        <w:rPr>
          <w:rFonts w:ascii="Times New Roman" w:hAnsi="Times New Roman" w:cs="Times New Roman"/>
          <w:lang w:val="en-GB"/>
        </w:rPr>
        <w:t xml:space="preserve">In Poland, the first legal regulations for the protection of agricultural land </w:t>
      </w:r>
      <w:r w:rsidR="00F518B7" w:rsidRPr="00F65288">
        <w:rPr>
          <w:rFonts w:ascii="Times New Roman" w:hAnsi="Times New Roman" w:cs="Times New Roman"/>
          <w:lang w:val="en-GB"/>
        </w:rPr>
        <w:t>were</w:t>
      </w:r>
      <w:r w:rsidRPr="00F65288">
        <w:rPr>
          <w:rFonts w:ascii="Times New Roman" w:hAnsi="Times New Roman" w:cs="Times New Roman"/>
          <w:lang w:val="en-GB"/>
        </w:rPr>
        <w:t xml:space="preserve"> introduced in the 1960s. Initially,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protection laws were applied selectively and were limited to agricultural policy instruments, including Regulation No. 198 of the Council of Ministers of </w:t>
      </w:r>
      <w:r w:rsidR="004A67C8">
        <w:rPr>
          <w:rFonts w:ascii="Times New Roman" w:hAnsi="Times New Roman" w:cs="Times New Roman"/>
          <w:lang w:val="en-GB"/>
        </w:rPr>
        <w:t>July 12, 1966,</w:t>
      </w:r>
      <w:r w:rsidRPr="00F65288">
        <w:rPr>
          <w:rFonts w:ascii="Times New Roman" w:hAnsi="Times New Roman" w:cs="Times New Roman"/>
          <w:lang w:val="en-GB"/>
        </w:rPr>
        <w:t xml:space="preserve"> on the protection of agricultural land (Official Gazette of the Republic of Poland, 1966, </w:t>
      </w:r>
      <w:r w:rsidR="00E67B3A" w:rsidRPr="00F65288">
        <w:rPr>
          <w:rFonts w:ascii="Times New Roman" w:hAnsi="Times New Roman" w:cs="Times New Roman"/>
          <w:lang w:val="en-GB"/>
        </w:rPr>
        <w:t>N</w:t>
      </w:r>
      <w:r w:rsidRPr="00F65288">
        <w:rPr>
          <w:rFonts w:ascii="Times New Roman" w:hAnsi="Times New Roman" w:cs="Times New Roman"/>
          <w:lang w:val="en-GB"/>
        </w:rPr>
        <w:t xml:space="preserve">o. 40, item 200). </w:t>
      </w:r>
      <w:r w:rsidR="00744BEB" w:rsidRPr="00F65288">
        <w:rPr>
          <w:rFonts w:ascii="Times New Roman" w:hAnsi="Times New Roman" w:cs="Times New Roman"/>
          <w:lang w:val="en-GB"/>
        </w:rPr>
        <w:t xml:space="preserve">A more systematic approach to </w:t>
      </w:r>
      <w:r w:rsidR="00A21AB6" w:rsidRPr="00F65288">
        <w:rPr>
          <w:rFonts w:ascii="Times New Roman" w:hAnsi="Times New Roman" w:cs="Times New Roman"/>
          <w:lang w:val="en-GB"/>
        </w:rPr>
        <w:t>the protection of soil</w:t>
      </w:r>
      <w:r w:rsidR="00744BEB" w:rsidRPr="00F65288">
        <w:rPr>
          <w:rFonts w:ascii="Times New Roman" w:hAnsi="Times New Roman" w:cs="Times New Roman"/>
          <w:lang w:val="en-GB"/>
        </w:rPr>
        <w:t xml:space="preserve"> resources was developed in the following decades, which gave rise to the Act of 26 October 1971 on the protection of agricultural</w:t>
      </w:r>
      <w:r w:rsidR="00ED17BC" w:rsidRPr="00F65288">
        <w:rPr>
          <w:rFonts w:ascii="Times New Roman" w:hAnsi="Times New Roman" w:cs="Times New Roman"/>
          <w:lang w:val="en-GB"/>
        </w:rPr>
        <w:t xml:space="preserve"> and forest</w:t>
      </w:r>
      <w:r w:rsidR="00744BEB" w:rsidRPr="00F65288">
        <w:rPr>
          <w:rFonts w:ascii="Times New Roman" w:hAnsi="Times New Roman" w:cs="Times New Roman"/>
          <w:lang w:val="en-GB"/>
        </w:rPr>
        <w:t xml:space="preserve"> land and land reclamation (Journal of Laws, No. 27, item 249), the first legislative instrument to introduce land reclamation and </w:t>
      </w:r>
      <w:r w:rsidR="00F518B7" w:rsidRPr="00F65288">
        <w:rPr>
          <w:rFonts w:ascii="Times New Roman" w:hAnsi="Times New Roman" w:cs="Times New Roman"/>
          <w:lang w:val="en-GB"/>
        </w:rPr>
        <w:t xml:space="preserve">soil </w:t>
      </w:r>
      <w:r w:rsidR="00744BEB" w:rsidRPr="00F65288">
        <w:rPr>
          <w:rFonts w:ascii="Times New Roman" w:hAnsi="Times New Roman" w:cs="Times New Roman"/>
          <w:lang w:val="en-GB"/>
        </w:rPr>
        <w:t>classification guidelines. In turn, the Act of 26 March 19</w:t>
      </w:r>
      <w:r w:rsidR="00F518B7" w:rsidRPr="00F65288">
        <w:rPr>
          <w:rFonts w:ascii="Times New Roman" w:hAnsi="Times New Roman" w:cs="Times New Roman"/>
          <w:lang w:val="en-GB"/>
        </w:rPr>
        <w:t>8</w:t>
      </w:r>
      <w:r w:rsidR="00744BEB" w:rsidRPr="00F65288">
        <w:rPr>
          <w:rFonts w:ascii="Times New Roman" w:hAnsi="Times New Roman" w:cs="Times New Roman"/>
          <w:lang w:val="en-GB"/>
        </w:rPr>
        <w:t>2 on the protection of agricultural</w:t>
      </w:r>
      <w:r w:rsidR="00ED17BC" w:rsidRPr="00F65288">
        <w:rPr>
          <w:rFonts w:ascii="Times New Roman" w:hAnsi="Times New Roman" w:cs="Times New Roman"/>
          <w:lang w:val="en-GB"/>
        </w:rPr>
        <w:t xml:space="preserve"> and forest</w:t>
      </w:r>
      <w:r w:rsidR="00744BEB" w:rsidRPr="00F65288">
        <w:rPr>
          <w:rFonts w:ascii="Times New Roman" w:hAnsi="Times New Roman" w:cs="Times New Roman"/>
          <w:lang w:val="en-GB"/>
        </w:rPr>
        <w:t xml:space="preserve"> land (Journal of Laws, </w:t>
      </w:r>
      <w:r w:rsidR="00744BEB" w:rsidRPr="00F65288">
        <w:rPr>
          <w:rFonts w:ascii="Times New Roman" w:hAnsi="Times New Roman" w:cs="Times New Roman"/>
          <w:lang w:val="en-GB"/>
        </w:rPr>
        <w:lastRenderedPageBreak/>
        <w:t>No.</w:t>
      </w:r>
      <w:r w:rsidR="00EC5367">
        <w:rPr>
          <w:rFonts w:ascii="Times New Roman" w:hAnsi="Times New Roman" w:cs="Times New Roman"/>
          <w:lang w:val="en-GB"/>
        </w:rPr>
        <w:t> </w:t>
      </w:r>
      <w:r w:rsidR="00744BEB" w:rsidRPr="00F65288">
        <w:rPr>
          <w:rFonts w:ascii="Times New Roman" w:hAnsi="Times New Roman" w:cs="Times New Roman"/>
          <w:lang w:val="en-GB"/>
        </w:rPr>
        <w:t xml:space="preserve">11, item 79) was an important milestone in strengthening administrative tools and introducing a more formalized system for land registration and soil quality assessment. </w:t>
      </w:r>
    </w:p>
    <w:p w14:paraId="73418436" w14:textId="01EB8525" w:rsidR="007750D5" w:rsidRPr="00F65288" w:rsidRDefault="00744BEB" w:rsidP="00AA5E0E">
      <w:pPr>
        <w:pStyle w:val="Akapitzlist"/>
        <w:ind w:left="0"/>
        <w:rPr>
          <w:rFonts w:ascii="Times New Roman" w:hAnsi="Times New Roman" w:cs="Times New Roman"/>
          <w:lang w:val="en-GB"/>
        </w:rPr>
      </w:pPr>
      <w:r w:rsidRPr="00F65288">
        <w:rPr>
          <w:rFonts w:ascii="Times New Roman" w:hAnsi="Times New Roman" w:cs="Times New Roman"/>
          <w:lang w:val="en-GB"/>
        </w:rPr>
        <w:t xml:space="preserve">The Act of 3 February 1995 on the </w:t>
      </w:r>
      <w:r w:rsidR="004A67C8">
        <w:rPr>
          <w:rFonts w:ascii="Times New Roman" w:hAnsi="Times New Roman" w:cs="Times New Roman"/>
          <w:lang w:val="en-GB"/>
        </w:rPr>
        <w:t>Protection of Agricultural and Forest Land (Journal of Laws, 1995, No. 16, item 78, as amended) was a pivotal legal act that remains</w:t>
      </w:r>
      <w:r w:rsidRPr="00F65288">
        <w:rPr>
          <w:rFonts w:ascii="Times New Roman" w:hAnsi="Times New Roman" w:cs="Times New Roman"/>
          <w:lang w:val="en-GB"/>
        </w:rPr>
        <w:t xml:space="preserve"> in force. </w:t>
      </w:r>
      <w:r w:rsidR="008328D9" w:rsidRPr="00F65288">
        <w:rPr>
          <w:rFonts w:ascii="Times New Roman" w:hAnsi="Times New Roman" w:cs="Times New Roman"/>
          <w:lang w:val="en-GB"/>
        </w:rPr>
        <w:t xml:space="preserve">This legislation </w:t>
      </w:r>
      <w:r w:rsidR="004A67C8">
        <w:rPr>
          <w:rFonts w:ascii="Times New Roman" w:hAnsi="Times New Roman" w:cs="Times New Roman"/>
          <w:lang w:val="en-GB"/>
        </w:rPr>
        <w:t>outlined the requirements for removing land from</w:t>
      </w:r>
      <w:r w:rsidR="00955392" w:rsidRPr="00F65288">
        <w:rPr>
          <w:rFonts w:ascii="Times New Roman" w:hAnsi="Times New Roman" w:cs="Times New Roman"/>
          <w:lang w:val="en-GB"/>
        </w:rPr>
        <w:t xml:space="preserve"> agricultural and forestry production</w:t>
      </w:r>
      <w:r w:rsidR="008328D9" w:rsidRPr="00F65288">
        <w:rPr>
          <w:rFonts w:ascii="Times New Roman" w:hAnsi="Times New Roman" w:cs="Times New Roman"/>
          <w:lang w:val="en-GB"/>
        </w:rPr>
        <w:t>, introduced payment mechanisms for land conversion</w:t>
      </w:r>
      <w:r w:rsidR="004A67C8">
        <w:rPr>
          <w:rFonts w:ascii="Times New Roman" w:hAnsi="Times New Roman" w:cs="Times New Roman"/>
          <w:lang w:val="en-GB"/>
        </w:rPr>
        <w:t>,</w:t>
      </w:r>
      <w:r w:rsidR="008328D9" w:rsidRPr="00F65288">
        <w:rPr>
          <w:rFonts w:ascii="Times New Roman" w:hAnsi="Times New Roman" w:cs="Times New Roman"/>
          <w:lang w:val="en-GB"/>
        </w:rPr>
        <w:t xml:space="preserve"> and </w:t>
      </w:r>
      <w:r w:rsidR="004A67C8">
        <w:rPr>
          <w:rFonts w:ascii="Times New Roman" w:hAnsi="Times New Roman" w:cs="Times New Roman"/>
          <w:lang w:val="en-GB"/>
        </w:rPr>
        <w:t xml:space="preserve">established </w:t>
      </w:r>
      <w:r w:rsidR="008328D9" w:rsidRPr="00F65288">
        <w:rPr>
          <w:rFonts w:ascii="Times New Roman" w:hAnsi="Times New Roman" w:cs="Times New Roman"/>
          <w:lang w:val="en-GB"/>
        </w:rPr>
        <w:t>the procedure for integrating land-use plans into planning documents (</w:t>
      </w:r>
      <w:proofErr w:type="spellStart"/>
      <w:r w:rsidR="008328D9" w:rsidRPr="00F65288">
        <w:rPr>
          <w:rFonts w:ascii="Times New Roman" w:hAnsi="Times New Roman" w:cs="Times New Roman"/>
          <w:lang w:val="en-GB"/>
        </w:rPr>
        <w:t>Karpiuk</w:t>
      </w:r>
      <w:proofErr w:type="spellEnd"/>
      <w:r w:rsidR="008328D9" w:rsidRPr="00F65288">
        <w:rPr>
          <w:rFonts w:ascii="Times New Roman" w:hAnsi="Times New Roman" w:cs="Times New Roman"/>
          <w:lang w:val="en-GB"/>
        </w:rPr>
        <w:t xml:space="preserve"> 2013). Since its adoption, the act has undergone numerous amendments regarding the scope of land protection and the </w:t>
      </w:r>
      <w:r w:rsidR="00955392" w:rsidRPr="00F65288">
        <w:rPr>
          <w:rFonts w:ascii="Times New Roman" w:hAnsi="Times New Roman" w:cs="Times New Roman"/>
          <w:lang w:val="en-GB"/>
        </w:rPr>
        <w:t>deployment</w:t>
      </w:r>
      <w:r w:rsidR="008328D9" w:rsidRPr="00F65288">
        <w:rPr>
          <w:rFonts w:ascii="Times New Roman" w:hAnsi="Times New Roman" w:cs="Times New Roman"/>
          <w:lang w:val="en-GB"/>
        </w:rPr>
        <w:t xml:space="preserve"> of financial and administrative instruments.</w:t>
      </w:r>
    </w:p>
    <w:p w14:paraId="5DE4A8B1" w14:textId="6D746D86" w:rsidR="00E82DF9" w:rsidRPr="00F65288" w:rsidRDefault="008328D9" w:rsidP="00AA5E0E">
      <w:pPr>
        <w:pStyle w:val="Akapitzlist"/>
        <w:ind w:left="0"/>
        <w:rPr>
          <w:rFonts w:ascii="Times New Roman" w:hAnsi="Times New Roman" w:cs="Times New Roman"/>
          <w:lang w:val="en-GB"/>
        </w:rPr>
      </w:pPr>
      <w:r w:rsidRPr="00F65288">
        <w:rPr>
          <w:rFonts w:ascii="Times New Roman" w:hAnsi="Times New Roman" w:cs="Times New Roman"/>
          <w:lang w:val="en-GB"/>
        </w:rPr>
        <w:t>Land protection is also an integral part of many related legal acts, including the Act of 27 March 2003 on</w:t>
      </w:r>
      <w:r w:rsidR="00EC5367">
        <w:rPr>
          <w:rFonts w:ascii="Times New Roman" w:hAnsi="Times New Roman" w:cs="Times New Roman"/>
          <w:lang w:val="en-GB"/>
        </w:rPr>
        <w:t> </w:t>
      </w:r>
      <w:r w:rsidRPr="00F65288">
        <w:rPr>
          <w:rFonts w:ascii="Times New Roman" w:hAnsi="Times New Roman" w:cs="Times New Roman"/>
          <w:lang w:val="en-GB"/>
        </w:rPr>
        <w:t>spatial planning and development (Journal of Laws, 2003, No. 80, item 717)</w:t>
      </w:r>
      <w:r w:rsidR="00B86BD7" w:rsidRPr="00F65288">
        <w:rPr>
          <w:rFonts w:ascii="Times New Roman" w:hAnsi="Times New Roman" w:cs="Times New Roman"/>
          <w:lang w:val="en-GB"/>
        </w:rPr>
        <w:t>,</w:t>
      </w:r>
      <w:r w:rsidRPr="00F65288">
        <w:rPr>
          <w:rFonts w:ascii="Times New Roman" w:hAnsi="Times New Roman" w:cs="Times New Roman"/>
          <w:lang w:val="en-GB"/>
        </w:rPr>
        <w:t xml:space="preserve"> which created a framework for Poland</w:t>
      </w:r>
      <w:r w:rsidR="004A67C8">
        <w:rPr>
          <w:rFonts w:ascii="Times New Roman" w:hAnsi="Times New Roman" w:cs="Times New Roman"/>
          <w:lang w:val="en-GB"/>
        </w:rPr>
        <w:t>'</w:t>
      </w:r>
      <w:r w:rsidRPr="00F65288">
        <w:rPr>
          <w:rFonts w:ascii="Times New Roman" w:hAnsi="Times New Roman" w:cs="Times New Roman"/>
          <w:lang w:val="en-GB"/>
        </w:rPr>
        <w:t>s spatial planning policy</w:t>
      </w:r>
      <w:r w:rsidR="00955392" w:rsidRPr="00F65288">
        <w:rPr>
          <w:rFonts w:ascii="Times New Roman" w:hAnsi="Times New Roman" w:cs="Times New Roman"/>
          <w:lang w:val="en-GB"/>
        </w:rPr>
        <w:t xml:space="preserve"> and</w:t>
      </w:r>
      <w:r w:rsidRPr="00F65288">
        <w:rPr>
          <w:rFonts w:ascii="Times New Roman" w:hAnsi="Times New Roman" w:cs="Times New Roman"/>
          <w:lang w:val="en-GB"/>
        </w:rPr>
        <w:t xml:space="preserve"> </w:t>
      </w:r>
      <w:r w:rsidR="00955392" w:rsidRPr="00F65288">
        <w:rPr>
          <w:rFonts w:ascii="Times New Roman" w:hAnsi="Times New Roman" w:cs="Times New Roman"/>
          <w:lang w:val="en-GB"/>
        </w:rPr>
        <w:t>rules for siting new</w:t>
      </w:r>
      <w:r w:rsidRPr="00F65288">
        <w:rPr>
          <w:rFonts w:ascii="Times New Roman" w:hAnsi="Times New Roman" w:cs="Times New Roman"/>
          <w:lang w:val="en-GB"/>
        </w:rPr>
        <w:t xml:space="preserve"> development </w:t>
      </w:r>
      <w:r w:rsidR="00955392" w:rsidRPr="00F65288">
        <w:rPr>
          <w:rFonts w:ascii="Times New Roman" w:hAnsi="Times New Roman" w:cs="Times New Roman"/>
          <w:lang w:val="en-GB"/>
        </w:rPr>
        <w:t xml:space="preserve">projects </w:t>
      </w:r>
      <w:r w:rsidRPr="00F65288">
        <w:rPr>
          <w:rFonts w:ascii="Times New Roman" w:hAnsi="Times New Roman" w:cs="Times New Roman"/>
          <w:lang w:val="en-GB"/>
        </w:rPr>
        <w:t>on agricultural and forest land</w:t>
      </w:r>
      <w:r w:rsidR="00ED17BC" w:rsidRPr="00F65288">
        <w:rPr>
          <w:rFonts w:ascii="Times New Roman" w:hAnsi="Times New Roman" w:cs="Times New Roman"/>
          <w:lang w:val="en-GB"/>
        </w:rPr>
        <w:t xml:space="preserve">. </w:t>
      </w:r>
      <w:r w:rsidR="007058A9" w:rsidRPr="00F65288">
        <w:rPr>
          <w:rFonts w:ascii="Times New Roman" w:hAnsi="Times New Roman" w:cs="Times New Roman"/>
          <w:lang w:val="en-GB"/>
        </w:rPr>
        <w:t xml:space="preserve">As of 2003, Polish municipalities are no longer legally obligated to cover their entire territory with local zoning plans. Most planning permissions are </w:t>
      </w:r>
      <w:r w:rsidR="00955392" w:rsidRPr="00F65288">
        <w:rPr>
          <w:rFonts w:ascii="Times New Roman" w:hAnsi="Times New Roman" w:cs="Times New Roman"/>
          <w:lang w:val="en-GB"/>
        </w:rPr>
        <w:t>issued</w:t>
      </w:r>
      <w:r w:rsidR="007058A9" w:rsidRPr="00F65288">
        <w:rPr>
          <w:rFonts w:ascii="Times New Roman" w:hAnsi="Times New Roman" w:cs="Times New Roman"/>
          <w:lang w:val="en-GB"/>
        </w:rPr>
        <w:t xml:space="preserve"> based on a decision on development conditions (issued on</w:t>
      </w:r>
      <w:r w:rsidR="00EC5367">
        <w:rPr>
          <w:rFonts w:ascii="Times New Roman" w:hAnsi="Times New Roman" w:cs="Times New Roman"/>
          <w:lang w:val="en-GB"/>
        </w:rPr>
        <w:t> </w:t>
      </w:r>
      <w:r w:rsidR="007058A9" w:rsidRPr="00F65288">
        <w:rPr>
          <w:rFonts w:ascii="Times New Roman" w:hAnsi="Times New Roman" w:cs="Times New Roman"/>
          <w:lang w:val="en-GB"/>
        </w:rPr>
        <w:t xml:space="preserve">a case-by-case basis), which considerably decreased the </w:t>
      </w:r>
      <w:r w:rsidR="00955392" w:rsidRPr="00F65288">
        <w:rPr>
          <w:rFonts w:ascii="Times New Roman" w:hAnsi="Times New Roman" w:cs="Times New Roman"/>
          <w:lang w:val="en-GB"/>
        </w:rPr>
        <w:t>efficacy</w:t>
      </w:r>
      <w:r w:rsidR="007058A9" w:rsidRPr="00F65288">
        <w:rPr>
          <w:rFonts w:ascii="Times New Roman" w:hAnsi="Times New Roman" w:cs="Times New Roman"/>
          <w:lang w:val="en-GB"/>
        </w:rPr>
        <w:t xml:space="preserve"> of </w:t>
      </w:r>
      <w:r w:rsidR="00293C0D" w:rsidRPr="00F65288">
        <w:rPr>
          <w:rFonts w:ascii="Times New Roman" w:hAnsi="Times New Roman" w:cs="Times New Roman"/>
          <w:lang w:val="en-GB"/>
        </w:rPr>
        <w:t>agricultural land</w:t>
      </w:r>
      <w:r w:rsidR="007058A9" w:rsidRPr="00F65288">
        <w:rPr>
          <w:rFonts w:ascii="Times New Roman" w:hAnsi="Times New Roman" w:cs="Times New Roman"/>
          <w:lang w:val="en-GB"/>
        </w:rPr>
        <w:t xml:space="preserve"> protection</w:t>
      </w:r>
      <w:r w:rsidR="00955392" w:rsidRPr="00F65288">
        <w:rPr>
          <w:rFonts w:ascii="Times New Roman" w:hAnsi="Times New Roman" w:cs="Times New Roman"/>
          <w:lang w:val="en-GB"/>
        </w:rPr>
        <w:t xml:space="preserve"> regulations</w:t>
      </w:r>
      <w:r w:rsidR="007058A9" w:rsidRPr="00F65288">
        <w:rPr>
          <w:rFonts w:ascii="Times New Roman" w:hAnsi="Times New Roman" w:cs="Times New Roman"/>
          <w:lang w:val="en-GB"/>
        </w:rPr>
        <w:t xml:space="preserve"> </w:t>
      </w:r>
      <w:r w:rsidR="00E82DF9" w:rsidRPr="00F65288">
        <w:rPr>
          <w:rFonts w:ascii="Times New Roman" w:hAnsi="Times New Roman" w:cs="Times New Roman"/>
          <w:lang w:val="en-GB"/>
        </w:rPr>
        <w:t>(G</w:t>
      </w:r>
      <w:r w:rsidR="00E14899" w:rsidRPr="00F65288">
        <w:rPr>
          <w:rFonts w:ascii="Times New Roman" w:hAnsi="Times New Roman" w:cs="Times New Roman"/>
          <w:lang w:val="en-GB"/>
        </w:rPr>
        <w:t>órski</w:t>
      </w:r>
      <w:r w:rsidR="00E82DF9" w:rsidRPr="00F65288">
        <w:rPr>
          <w:rFonts w:ascii="Times New Roman" w:hAnsi="Times New Roman" w:cs="Times New Roman"/>
          <w:lang w:val="en-GB"/>
        </w:rPr>
        <w:t xml:space="preserve"> 20</w:t>
      </w:r>
      <w:r w:rsidR="00E14899" w:rsidRPr="00F65288">
        <w:rPr>
          <w:rFonts w:ascii="Times New Roman" w:hAnsi="Times New Roman" w:cs="Times New Roman"/>
          <w:lang w:val="en-GB"/>
        </w:rPr>
        <w:t>19</w:t>
      </w:r>
      <w:r w:rsidR="00E82DF9" w:rsidRPr="00F65288">
        <w:rPr>
          <w:rFonts w:ascii="Times New Roman" w:hAnsi="Times New Roman" w:cs="Times New Roman"/>
          <w:lang w:val="en-GB"/>
        </w:rPr>
        <w:t>).</w:t>
      </w:r>
    </w:p>
    <w:p w14:paraId="07A1E5B6" w14:textId="349A4A1F" w:rsidR="007058A9" w:rsidRPr="00F65288" w:rsidRDefault="007058A9" w:rsidP="00AA5E0E">
      <w:pPr>
        <w:pStyle w:val="Akapitzlist"/>
        <w:ind w:left="0"/>
        <w:rPr>
          <w:rFonts w:ascii="Times New Roman" w:hAnsi="Times New Roman" w:cs="Times New Roman"/>
          <w:lang w:val="en-GB"/>
        </w:rPr>
      </w:pPr>
      <w:r w:rsidRPr="00F65288">
        <w:rPr>
          <w:rFonts w:ascii="Times New Roman" w:hAnsi="Times New Roman" w:cs="Times New Roman"/>
          <w:lang w:val="en-GB"/>
        </w:rPr>
        <w:t>In addition, the productive, ecological, and social role</w:t>
      </w:r>
      <w:r w:rsidR="00955392" w:rsidRPr="00F65288">
        <w:rPr>
          <w:rFonts w:ascii="Times New Roman" w:hAnsi="Times New Roman" w:cs="Times New Roman"/>
          <w:lang w:val="en-GB"/>
        </w:rPr>
        <w:t>s</w:t>
      </w:r>
      <w:r w:rsidRPr="00F65288">
        <w:rPr>
          <w:rFonts w:ascii="Times New Roman" w:hAnsi="Times New Roman" w:cs="Times New Roman"/>
          <w:lang w:val="en-GB"/>
        </w:rPr>
        <w:t xml:space="preserve"> of agricultural and forest land </w:t>
      </w:r>
      <w:r w:rsidR="00955392" w:rsidRPr="00F65288">
        <w:rPr>
          <w:rFonts w:ascii="Times New Roman" w:hAnsi="Times New Roman" w:cs="Times New Roman"/>
          <w:lang w:val="en-GB"/>
        </w:rPr>
        <w:t>are</w:t>
      </w:r>
      <w:r w:rsidRPr="00F65288">
        <w:rPr>
          <w:rFonts w:ascii="Times New Roman" w:hAnsi="Times New Roman" w:cs="Times New Roman"/>
          <w:lang w:val="en-GB"/>
        </w:rPr>
        <w:t xml:space="preserve"> protected and </w:t>
      </w:r>
      <w:r w:rsidR="00955392" w:rsidRPr="00F65288">
        <w:rPr>
          <w:rFonts w:ascii="Times New Roman" w:hAnsi="Times New Roman" w:cs="Times New Roman"/>
          <w:lang w:val="en-GB"/>
        </w:rPr>
        <w:t>supported</w:t>
      </w:r>
      <w:r w:rsidRPr="00F65288">
        <w:rPr>
          <w:rFonts w:ascii="Times New Roman" w:hAnsi="Times New Roman" w:cs="Times New Roman"/>
          <w:lang w:val="en-GB"/>
        </w:rPr>
        <w:t xml:space="preserve"> by other legal acts, including the Nature Conservation Act of 2004 (Journal of Laws, 2004, No. 92, item 880), the Environmental Protection Law of 2001 (Journal of Laws, 2001, No. 62, item 627), the Forest Act of 1991 (Journal of Laws, 1991, No. 101, item 444), and the provisions of the Civil Code Act of 23 April 1964 (Journal of Laws, 1964, No. 16, item 93). These legal acts regulate land ownership and </w:t>
      </w:r>
      <w:r w:rsidR="00D36BF2" w:rsidRPr="00F65288">
        <w:rPr>
          <w:rFonts w:ascii="Times New Roman" w:hAnsi="Times New Roman" w:cs="Times New Roman"/>
          <w:lang w:val="en-GB"/>
        </w:rPr>
        <w:t>safeguard landholders</w:t>
      </w:r>
      <w:r w:rsidR="004A67C8">
        <w:rPr>
          <w:rFonts w:ascii="Times New Roman" w:hAnsi="Times New Roman" w:cs="Times New Roman"/>
          <w:lang w:val="en-GB"/>
        </w:rPr>
        <w:t>'</w:t>
      </w:r>
      <w:r w:rsidR="00D36BF2" w:rsidRPr="00F65288">
        <w:rPr>
          <w:rFonts w:ascii="Times New Roman" w:hAnsi="Times New Roman" w:cs="Times New Roman"/>
          <w:lang w:val="en-GB"/>
        </w:rPr>
        <w:t xml:space="preserve"> rights to own and use land</w:t>
      </w:r>
      <w:r w:rsidRPr="00F65288">
        <w:rPr>
          <w:rFonts w:ascii="Times New Roman" w:hAnsi="Times New Roman" w:cs="Times New Roman"/>
          <w:lang w:val="en-GB"/>
        </w:rPr>
        <w:t xml:space="preserve">. They also introduce environmental constraints on land use, which implies that property rights can be </w:t>
      </w:r>
      <w:r w:rsidR="00696570" w:rsidRPr="00F65288">
        <w:rPr>
          <w:rFonts w:ascii="Times New Roman" w:hAnsi="Times New Roman" w:cs="Times New Roman"/>
          <w:lang w:val="en-GB"/>
        </w:rPr>
        <w:t>restricted to protect public interests, for example, by prohibiting land development in protected areas, placing property owners under the obligation to reclaim degraded land</w:t>
      </w:r>
      <w:r w:rsidR="004A67C8">
        <w:rPr>
          <w:rFonts w:ascii="Times New Roman" w:hAnsi="Times New Roman" w:cs="Times New Roman"/>
          <w:lang w:val="en-GB"/>
        </w:rPr>
        <w:t>,</w:t>
      </w:r>
      <w:r w:rsidR="00696570" w:rsidRPr="00F65288">
        <w:rPr>
          <w:rFonts w:ascii="Times New Roman" w:hAnsi="Times New Roman" w:cs="Times New Roman"/>
          <w:lang w:val="en-GB"/>
        </w:rPr>
        <w:t xml:space="preserve"> or acquir</w:t>
      </w:r>
      <w:r w:rsidR="004A67C8">
        <w:rPr>
          <w:rFonts w:ascii="Times New Roman" w:hAnsi="Times New Roman" w:cs="Times New Roman"/>
          <w:lang w:val="en-GB"/>
        </w:rPr>
        <w:t>ing</w:t>
      </w:r>
      <w:r w:rsidR="00696570" w:rsidRPr="00F65288">
        <w:rPr>
          <w:rFonts w:ascii="Times New Roman" w:hAnsi="Times New Roman" w:cs="Times New Roman"/>
          <w:lang w:val="en-GB"/>
        </w:rPr>
        <w:t xml:space="preserve"> a permit for the </w:t>
      </w:r>
      <w:r w:rsidR="00114492" w:rsidRPr="00F65288">
        <w:rPr>
          <w:rFonts w:ascii="Times New Roman" w:hAnsi="Times New Roman" w:cs="Times New Roman"/>
          <w:lang w:val="en-GB"/>
        </w:rPr>
        <w:t>conversion</w:t>
      </w:r>
      <w:r w:rsidR="00696570" w:rsidRPr="00F65288">
        <w:rPr>
          <w:rFonts w:ascii="Times New Roman" w:hAnsi="Times New Roman" w:cs="Times New Roman"/>
          <w:lang w:val="en-GB"/>
        </w:rPr>
        <w:t xml:space="preserve"> of agricultural and forest land. These regulations have been introduced to reconcile property rights with environmental protection and sustainable development goals.</w:t>
      </w:r>
    </w:p>
    <w:p w14:paraId="3A3D9BC3" w14:textId="387EF476" w:rsidR="00E82DF9" w:rsidRPr="00F65288" w:rsidRDefault="00696570" w:rsidP="00AA5E0E">
      <w:pPr>
        <w:pStyle w:val="Akapitzlist"/>
        <w:ind w:left="0"/>
        <w:rPr>
          <w:rFonts w:ascii="Times New Roman" w:hAnsi="Times New Roman" w:cs="Times New Roman"/>
          <w:lang w:val="en-GB"/>
        </w:rPr>
      </w:pPr>
      <w:r w:rsidRPr="00F65288">
        <w:rPr>
          <w:rFonts w:ascii="Times New Roman" w:hAnsi="Times New Roman" w:cs="Times New Roman"/>
          <w:lang w:val="en-GB"/>
        </w:rPr>
        <w:t xml:space="preserve">According to </w:t>
      </w:r>
      <w:proofErr w:type="spellStart"/>
      <w:r w:rsidRPr="00F65288">
        <w:rPr>
          <w:rFonts w:ascii="Times New Roman" w:hAnsi="Times New Roman" w:cs="Times New Roman"/>
          <w:lang w:val="en-GB"/>
        </w:rPr>
        <w:t>Karpiuk</w:t>
      </w:r>
      <w:proofErr w:type="spellEnd"/>
      <w:r w:rsidRPr="00F65288">
        <w:rPr>
          <w:rFonts w:ascii="Times New Roman" w:hAnsi="Times New Roman" w:cs="Times New Roman"/>
          <w:lang w:val="en-GB"/>
        </w:rPr>
        <w:t xml:space="preserve"> (2013), legal instruments should be supported by a prevention policy, environmental education, and systemic control mechanisms. The absence of clear land protection </w:t>
      </w:r>
      <w:r w:rsidR="00D36BF2" w:rsidRPr="00F65288">
        <w:rPr>
          <w:rFonts w:ascii="Times New Roman" w:hAnsi="Times New Roman" w:cs="Times New Roman"/>
          <w:lang w:val="en-GB"/>
        </w:rPr>
        <w:t xml:space="preserve">regulations </w:t>
      </w:r>
      <w:r w:rsidRPr="00F65288">
        <w:rPr>
          <w:rFonts w:ascii="Times New Roman" w:hAnsi="Times New Roman" w:cs="Times New Roman"/>
          <w:lang w:val="en-GB"/>
        </w:rPr>
        <w:t>in planning documents</w:t>
      </w:r>
      <w:r w:rsidR="004A67C8">
        <w:rPr>
          <w:rFonts w:ascii="Times New Roman" w:hAnsi="Times New Roman" w:cs="Times New Roman"/>
          <w:lang w:val="en-GB"/>
        </w:rPr>
        <w:t>, combined with the prioritization of development goals, often leads</w:t>
      </w:r>
      <w:r w:rsidRPr="00F65288">
        <w:rPr>
          <w:rFonts w:ascii="Times New Roman" w:hAnsi="Times New Roman" w:cs="Times New Roman"/>
          <w:lang w:val="en-GB"/>
        </w:rPr>
        <w:t xml:space="preserve"> to uncontrolled land conversion (Górski 2018). In the long term, these processes can decrease the </w:t>
      </w:r>
      <w:r w:rsidR="0004766E" w:rsidRPr="00F65288">
        <w:rPr>
          <w:rFonts w:ascii="Times New Roman" w:hAnsi="Times New Roman" w:cs="Times New Roman"/>
          <w:lang w:val="en-GB"/>
        </w:rPr>
        <w:t xml:space="preserve">functional value and productive potential of </w:t>
      </w:r>
      <w:r w:rsidR="00293C0D" w:rsidRPr="00F65288">
        <w:rPr>
          <w:rFonts w:ascii="Times New Roman" w:hAnsi="Times New Roman" w:cs="Times New Roman"/>
          <w:lang w:val="en-GB"/>
        </w:rPr>
        <w:t>agricultural land</w:t>
      </w:r>
      <w:r w:rsidR="004A67C8">
        <w:rPr>
          <w:rFonts w:ascii="Times New Roman" w:hAnsi="Times New Roman" w:cs="Times New Roman"/>
          <w:lang w:val="en-GB"/>
        </w:rPr>
        <w:t>, contributing</w:t>
      </w:r>
      <w:r w:rsidR="0004766E" w:rsidRPr="00F65288">
        <w:rPr>
          <w:rFonts w:ascii="Times New Roman" w:hAnsi="Times New Roman" w:cs="Times New Roman"/>
          <w:lang w:val="en-GB"/>
        </w:rPr>
        <w:t xml:space="preserve"> to the degradation of </w:t>
      </w:r>
      <w:r w:rsidR="004A67C8">
        <w:rPr>
          <w:rFonts w:ascii="Times New Roman" w:hAnsi="Times New Roman" w:cs="Times New Roman"/>
          <w:lang w:val="en-GB"/>
        </w:rPr>
        <w:t xml:space="preserve">the </w:t>
      </w:r>
      <w:r w:rsidR="0004766E" w:rsidRPr="00F65288">
        <w:rPr>
          <w:rFonts w:ascii="Times New Roman" w:hAnsi="Times New Roman" w:cs="Times New Roman"/>
          <w:lang w:val="en-GB"/>
        </w:rPr>
        <w:t>landscape and the natural environment (Kijowski 2012). Therefore, the importance of protecting agricultural and farm land extends beyond environmental concerns</w:t>
      </w:r>
      <w:r w:rsidR="00535F3C" w:rsidRPr="00F65288">
        <w:rPr>
          <w:rFonts w:ascii="Times New Roman" w:hAnsi="Times New Roman" w:cs="Times New Roman"/>
          <w:lang w:val="en-GB"/>
        </w:rPr>
        <w:t xml:space="preserve">. </w:t>
      </w:r>
      <w:r w:rsidR="00293C0D" w:rsidRPr="00F65288">
        <w:rPr>
          <w:rFonts w:ascii="Times New Roman" w:hAnsi="Times New Roman" w:cs="Times New Roman"/>
          <w:lang w:val="en-GB"/>
        </w:rPr>
        <w:t>Agricultural land</w:t>
      </w:r>
      <w:r w:rsidR="00535F3C" w:rsidRPr="00F65288">
        <w:rPr>
          <w:rFonts w:ascii="Times New Roman" w:hAnsi="Times New Roman" w:cs="Times New Roman"/>
          <w:lang w:val="en-GB"/>
        </w:rPr>
        <w:t xml:space="preserve"> and forests influence the spatial structure, quality of rural life, and long-term regional development policy. Within the framework of harmonious spatial development, agricultural land and forests </w:t>
      </w:r>
      <w:r w:rsidR="004A67C8">
        <w:rPr>
          <w:rFonts w:ascii="Times New Roman" w:hAnsi="Times New Roman" w:cs="Times New Roman"/>
          <w:lang w:val="en-GB"/>
        </w:rPr>
        <w:t>serve as climatic, hydrological, and landscape buffer zones, playing a crucial role in preserving ecological continuity and mitigating urban sprawl (Marks-Bielska &amp; Bieniek</w:t>
      </w:r>
      <w:r w:rsidR="00E14899" w:rsidRPr="00F65288">
        <w:rPr>
          <w:rFonts w:ascii="Times New Roman" w:hAnsi="Times New Roman" w:cs="Times New Roman"/>
          <w:lang w:val="en-GB"/>
        </w:rPr>
        <w:t xml:space="preserve"> 2018</w:t>
      </w:r>
      <w:r w:rsidR="00E82DF9" w:rsidRPr="00F65288">
        <w:rPr>
          <w:rFonts w:ascii="Times New Roman" w:hAnsi="Times New Roman" w:cs="Times New Roman"/>
          <w:lang w:val="en-GB"/>
        </w:rPr>
        <w:t>).</w:t>
      </w:r>
    </w:p>
    <w:p w14:paraId="07C1CF4F" w14:textId="32167501" w:rsidR="004212C9" w:rsidRPr="00F65288" w:rsidRDefault="00535F3C" w:rsidP="00AA5E0E">
      <w:pPr>
        <w:pStyle w:val="Akapitzlist"/>
        <w:ind w:left="0"/>
        <w:rPr>
          <w:rFonts w:ascii="Times New Roman" w:hAnsi="Times New Roman" w:cs="Times New Roman"/>
          <w:lang w:val="en-GB"/>
        </w:rPr>
      </w:pPr>
      <w:r w:rsidRPr="00F65288">
        <w:rPr>
          <w:rFonts w:ascii="Times New Roman" w:hAnsi="Times New Roman" w:cs="Times New Roman"/>
          <w:lang w:val="en-GB"/>
        </w:rPr>
        <w:t xml:space="preserve">The Act of 3 February 1993 on the protection of agricultural and forest land (Journal of Laws, 1995, No. 16, item 78, as amended) remains in force. It sets forth the rules for quantitative and qualitative protection (Article 3), </w:t>
      </w:r>
      <w:r w:rsidR="00D36BF2" w:rsidRPr="00F65288">
        <w:rPr>
          <w:rFonts w:ascii="Times New Roman" w:hAnsi="Times New Roman" w:cs="Times New Roman"/>
          <w:lang w:val="en-GB"/>
        </w:rPr>
        <w:t>the conversion procedure</w:t>
      </w:r>
      <w:r w:rsidR="004223DC" w:rsidRPr="00F65288">
        <w:rPr>
          <w:rFonts w:ascii="Times New Roman" w:hAnsi="Times New Roman" w:cs="Times New Roman"/>
          <w:lang w:val="en-GB"/>
        </w:rPr>
        <w:t xml:space="preserve"> (Articles 6 and 7), the applicable fees (Article 22b), and financing mechanisms (Agricultural Land Protection Fund). The </w:t>
      </w:r>
      <w:r w:rsidR="00D36BF2" w:rsidRPr="00F65288">
        <w:rPr>
          <w:rFonts w:ascii="Times New Roman" w:hAnsi="Times New Roman" w:cs="Times New Roman"/>
          <w:lang w:val="en-GB"/>
        </w:rPr>
        <w:t xml:space="preserve">discussed </w:t>
      </w:r>
      <w:r w:rsidR="004223DC" w:rsidRPr="00F65288">
        <w:rPr>
          <w:rFonts w:ascii="Times New Roman" w:hAnsi="Times New Roman" w:cs="Times New Roman"/>
          <w:lang w:val="en-GB"/>
        </w:rPr>
        <w:t>act introduced the criteria for soil quality classification</w:t>
      </w:r>
      <w:r w:rsidR="004A67C8">
        <w:rPr>
          <w:rFonts w:ascii="Times New Roman" w:hAnsi="Times New Roman" w:cs="Times New Roman"/>
          <w:lang w:val="en-GB"/>
        </w:rPr>
        <w:t>. Still,</w:t>
      </w:r>
      <w:r w:rsidR="004223DC" w:rsidRPr="00F65288">
        <w:rPr>
          <w:rFonts w:ascii="Times New Roman" w:hAnsi="Times New Roman" w:cs="Times New Roman"/>
          <w:lang w:val="en-GB"/>
        </w:rPr>
        <w:t xml:space="preserve"> its effectiveness was compromised when </w:t>
      </w:r>
      <w:r w:rsidR="00293C0D" w:rsidRPr="00F65288">
        <w:rPr>
          <w:rFonts w:ascii="Times New Roman" w:hAnsi="Times New Roman" w:cs="Times New Roman"/>
          <w:lang w:val="en-GB"/>
        </w:rPr>
        <w:t>agricultural land</w:t>
      </w:r>
      <w:r w:rsidR="006F099C" w:rsidRPr="00F65288">
        <w:rPr>
          <w:rFonts w:ascii="Times New Roman" w:hAnsi="Times New Roman" w:cs="Times New Roman"/>
          <w:lang w:val="en-GB"/>
        </w:rPr>
        <w:t xml:space="preserve"> located within city limits was exempt</w:t>
      </w:r>
      <w:r w:rsidR="00D36BF2" w:rsidRPr="00F65288">
        <w:rPr>
          <w:rFonts w:ascii="Times New Roman" w:hAnsi="Times New Roman" w:cs="Times New Roman"/>
          <w:lang w:val="en-GB"/>
        </w:rPr>
        <w:t>ed</w:t>
      </w:r>
      <w:r w:rsidR="006F099C" w:rsidRPr="00F65288">
        <w:rPr>
          <w:rFonts w:ascii="Times New Roman" w:hAnsi="Times New Roman" w:cs="Times New Roman"/>
          <w:lang w:val="en-GB"/>
        </w:rPr>
        <w:t xml:space="preserve"> from the requirement to acquire a land conversion permit</w:t>
      </w:r>
      <w:r w:rsidR="004212C9" w:rsidRPr="00F65288">
        <w:rPr>
          <w:rFonts w:ascii="Times New Roman" w:hAnsi="Times New Roman" w:cs="Times New Roman"/>
          <w:lang w:val="en-GB"/>
        </w:rPr>
        <w:t xml:space="preserve"> (</w:t>
      </w:r>
      <w:proofErr w:type="spellStart"/>
      <w:r w:rsidR="004212C9" w:rsidRPr="00F65288">
        <w:rPr>
          <w:rFonts w:ascii="Times New Roman" w:hAnsi="Times New Roman" w:cs="Times New Roman"/>
          <w:lang w:val="en-GB"/>
        </w:rPr>
        <w:t>Śleszyński</w:t>
      </w:r>
      <w:proofErr w:type="spellEnd"/>
      <w:r w:rsidR="004212C9" w:rsidRPr="00F65288">
        <w:rPr>
          <w:rFonts w:ascii="Times New Roman" w:hAnsi="Times New Roman" w:cs="Times New Roman"/>
          <w:lang w:val="en-GB"/>
        </w:rPr>
        <w:t xml:space="preserve"> et al. 2024).</w:t>
      </w:r>
    </w:p>
    <w:p w14:paraId="2183E2AB" w14:textId="12871CE5" w:rsidR="006F099C" w:rsidRPr="00F65288" w:rsidRDefault="006F099C" w:rsidP="00AA5E0E">
      <w:pPr>
        <w:pStyle w:val="Akapitzlist"/>
        <w:ind w:left="0"/>
        <w:rPr>
          <w:rFonts w:ascii="Times New Roman" w:hAnsi="Times New Roman" w:cs="Times New Roman"/>
          <w:lang w:val="en-GB"/>
        </w:rPr>
      </w:pPr>
      <w:r w:rsidRPr="00F65288">
        <w:rPr>
          <w:rFonts w:ascii="Times New Roman" w:hAnsi="Times New Roman" w:cs="Times New Roman"/>
          <w:lang w:val="en-GB"/>
        </w:rPr>
        <w:t xml:space="preserve">The present study was undertaken to </w:t>
      </w:r>
      <w:proofErr w:type="spellStart"/>
      <w:r w:rsidRPr="00F65288">
        <w:rPr>
          <w:rFonts w:ascii="Times New Roman" w:hAnsi="Times New Roman" w:cs="Times New Roman"/>
          <w:lang w:val="en-GB"/>
        </w:rPr>
        <w:t>analyze</w:t>
      </w:r>
      <w:proofErr w:type="spellEnd"/>
      <w:r w:rsidRPr="00F65288">
        <w:rPr>
          <w:rFonts w:ascii="Times New Roman" w:hAnsi="Times New Roman" w:cs="Times New Roman"/>
          <w:lang w:val="en-GB"/>
        </w:rPr>
        <w:t xml:space="preserve"> the legal framework for the protection of agricultural land in</w:t>
      </w:r>
      <w:r w:rsidR="00EC5367">
        <w:rPr>
          <w:rFonts w:ascii="Times New Roman" w:hAnsi="Times New Roman" w:cs="Times New Roman"/>
          <w:lang w:val="en-GB"/>
        </w:rPr>
        <w:t> </w:t>
      </w:r>
      <w:r w:rsidRPr="00F65288">
        <w:rPr>
          <w:rFonts w:ascii="Times New Roman" w:hAnsi="Times New Roman" w:cs="Times New Roman"/>
          <w:lang w:val="en-GB"/>
        </w:rPr>
        <w:t xml:space="preserve">Poland, with special emphasis on the relationship between legislative changes and the area of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taken out of agricultural production. The effectiveness of legal instruments was evaluated </w:t>
      </w:r>
      <w:r w:rsidR="004A67C8">
        <w:rPr>
          <w:rFonts w:ascii="Times New Roman" w:hAnsi="Times New Roman" w:cs="Times New Roman"/>
          <w:lang w:val="en-GB"/>
        </w:rPr>
        <w:t>using spatial and statistical data, employing</w:t>
      </w:r>
      <w:r w:rsidRPr="00F65288">
        <w:rPr>
          <w:rFonts w:ascii="Times New Roman" w:hAnsi="Times New Roman" w:cs="Times New Roman"/>
          <w:lang w:val="en-GB"/>
        </w:rPr>
        <w:t xml:space="preserve"> empirical and comparative research methods.</w:t>
      </w:r>
      <w:r w:rsidR="00517F67" w:rsidRPr="00F65288">
        <w:rPr>
          <w:rFonts w:ascii="Times New Roman" w:hAnsi="Times New Roman" w:cs="Times New Roman"/>
          <w:lang w:val="en-GB"/>
        </w:rPr>
        <w:t xml:space="preserve"> Th</w:t>
      </w:r>
      <w:r w:rsidR="004A67C8">
        <w:rPr>
          <w:rFonts w:ascii="Times New Roman" w:hAnsi="Times New Roman" w:cs="Times New Roman"/>
          <w:lang w:val="en-GB"/>
        </w:rPr>
        <w:t>is article aim</w:t>
      </w:r>
      <w:r w:rsidR="00517F67" w:rsidRPr="00F65288">
        <w:rPr>
          <w:rFonts w:ascii="Times New Roman" w:hAnsi="Times New Roman" w:cs="Times New Roman"/>
          <w:lang w:val="en-GB"/>
        </w:rPr>
        <w:t xml:space="preserve">s to comprehensively evaluate the effectiveness of legal instruments </w:t>
      </w:r>
      <w:r w:rsidR="004A67C8">
        <w:rPr>
          <w:rFonts w:ascii="Times New Roman" w:hAnsi="Times New Roman" w:cs="Times New Roman"/>
          <w:lang w:val="en-GB"/>
        </w:rPr>
        <w:t>in protecting agricultural land in Poland, with a</w:t>
      </w:r>
      <w:r w:rsidR="00517F67" w:rsidRPr="00F65288">
        <w:rPr>
          <w:rFonts w:ascii="Times New Roman" w:hAnsi="Times New Roman" w:cs="Times New Roman"/>
          <w:lang w:val="en-GB"/>
        </w:rPr>
        <w:t xml:space="preserve"> particular emphasis on the impact of legislative changes and spatial planning on the scale of land conversion between 2003 and 2023.</w:t>
      </w:r>
      <w:r w:rsidRPr="00F65288">
        <w:rPr>
          <w:rFonts w:ascii="Times New Roman" w:hAnsi="Times New Roman" w:cs="Times New Roman"/>
          <w:lang w:val="en-GB"/>
        </w:rPr>
        <w:t xml:space="preserve"> </w:t>
      </w:r>
    </w:p>
    <w:p w14:paraId="6DECA1B3" w14:textId="727072ED" w:rsidR="006F1767" w:rsidRPr="004A67C8" w:rsidRDefault="00CC75C2" w:rsidP="00CC75C2">
      <w:pPr>
        <w:pStyle w:val="Rn1"/>
        <w:rPr>
          <w:lang w:val="en-GB"/>
        </w:rPr>
      </w:pPr>
      <w:r>
        <w:rPr>
          <w:lang w:val="en-GB"/>
        </w:rPr>
        <w:t xml:space="preserve">2. </w:t>
      </w:r>
      <w:r w:rsidR="00BB76E1" w:rsidRPr="00F65288">
        <w:rPr>
          <w:lang w:val="en-GB"/>
        </w:rPr>
        <w:t>Materials an</w:t>
      </w:r>
      <w:r w:rsidR="00114492" w:rsidRPr="00F65288">
        <w:rPr>
          <w:lang w:val="en-GB"/>
        </w:rPr>
        <w:t>d</w:t>
      </w:r>
      <w:r w:rsidR="00BB76E1" w:rsidRPr="00F65288">
        <w:rPr>
          <w:lang w:val="en-GB"/>
        </w:rPr>
        <w:t xml:space="preserve"> Methods</w:t>
      </w:r>
    </w:p>
    <w:p w14:paraId="24EE0246" w14:textId="57D925BF" w:rsidR="006F099C" w:rsidRPr="00F65288" w:rsidRDefault="00517F67" w:rsidP="004C293E">
      <w:pPr>
        <w:rPr>
          <w:rFonts w:ascii="Times New Roman" w:hAnsi="Times New Roman" w:cs="Times New Roman"/>
          <w:lang w:val="en-GB"/>
        </w:rPr>
      </w:pPr>
      <w:r w:rsidRPr="00F65288">
        <w:rPr>
          <w:rFonts w:ascii="Times New Roman" w:hAnsi="Times New Roman" w:cs="Times New Roman"/>
          <w:lang w:val="en-GB"/>
        </w:rPr>
        <w:t xml:space="preserve">This study employed an interdisciplinary approach, combining </w:t>
      </w:r>
      <w:r w:rsidR="004A67C8">
        <w:rPr>
          <w:rFonts w:ascii="Times New Roman" w:hAnsi="Times New Roman" w:cs="Times New Roman"/>
          <w:lang w:val="en-GB"/>
        </w:rPr>
        <w:t>legal analysis with quantitative analysis of statistical data, to examine the impact of changes in legal acts and spatial planning regulations on the area of agricultural land withdrawn from production in Poland between 2003 and 2023</w:t>
      </w:r>
      <w:r w:rsidRPr="00F65288">
        <w:rPr>
          <w:rFonts w:ascii="Times New Roman" w:hAnsi="Times New Roman" w:cs="Times New Roman"/>
          <w:lang w:val="en-GB"/>
        </w:rPr>
        <w:t xml:space="preserve">. </w:t>
      </w:r>
      <w:r w:rsidR="00FF3579" w:rsidRPr="00F65288">
        <w:rPr>
          <w:rFonts w:ascii="Times New Roman" w:hAnsi="Times New Roman" w:cs="Times New Roman"/>
          <w:lang w:val="en-GB"/>
        </w:rPr>
        <w:t xml:space="preserve">The study employed an interdisciplinary approach, combining </w:t>
      </w:r>
      <w:r w:rsidR="00D36BF2" w:rsidRPr="00F65288">
        <w:rPr>
          <w:rFonts w:ascii="Times New Roman" w:hAnsi="Times New Roman" w:cs="Times New Roman"/>
          <w:lang w:val="en-GB"/>
        </w:rPr>
        <w:t xml:space="preserve">a </w:t>
      </w:r>
      <w:r w:rsidR="00FF3579" w:rsidRPr="00F65288">
        <w:rPr>
          <w:rFonts w:ascii="Times New Roman" w:hAnsi="Times New Roman" w:cs="Times New Roman"/>
          <w:lang w:val="en-GB"/>
        </w:rPr>
        <w:t xml:space="preserve">legal analysis with </w:t>
      </w:r>
      <w:r w:rsidR="00D36BF2" w:rsidRPr="00F65288">
        <w:rPr>
          <w:rFonts w:ascii="Times New Roman" w:hAnsi="Times New Roman" w:cs="Times New Roman"/>
          <w:lang w:val="en-GB"/>
        </w:rPr>
        <w:t xml:space="preserve">a </w:t>
      </w:r>
      <w:r w:rsidR="00FF3579" w:rsidRPr="00F65288">
        <w:rPr>
          <w:rFonts w:ascii="Times New Roman" w:hAnsi="Times New Roman" w:cs="Times New Roman"/>
          <w:lang w:val="en-GB"/>
        </w:rPr>
        <w:t>quantitative analysis of statistical data.</w:t>
      </w:r>
    </w:p>
    <w:p w14:paraId="62F286DB" w14:textId="77777777" w:rsidR="00CC7C85" w:rsidRDefault="00CC7C85">
      <w:pPr>
        <w:rPr>
          <w:rFonts w:ascii="Times New Roman" w:hAnsi="Times New Roman" w:cs="Times New Roman"/>
          <w:lang w:val="en-GB"/>
        </w:rPr>
      </w:pPr>
      <w:r>
        <w:rPr>
          <w:rFonts w:ascii="Times New Roman" w:hAnsi="Times New Roman" w:cs="Times New Roman"/>
          <w:lang w:val="en-GB"/>
        </w:rPr>
        <w:br w:type="page"/>
      </w:r>
    </w:p>
    <w:p w14:paraId="172CD03D" w14:textId="67487D0F" w:rsidR="004C293E" w:rsidRPr="00F65288" w:rsidRDefault="00FF3579" w:rsidP="004C293E">
      <w:pPr>
        <w:rPr>
          <w:rFonts w:ascii="Times New Roman" w:hAnsi="Times New Roman" w:cs="Times New Roman"/>
          <w:lang w:val="en-GB"/>
        </w:rPr>
      </w:pPr>
      <w:r w:rsidRPr="00F65288">
        <w:rPr>
          <w:rFonts w:ascii="Times New Roman" w:hAnsi="Times New Roman" w:cs="Times New Roman"/>
          <w:lang w:val="en-GB"/>
        </w:rPr>
        <w:lastRenderedPageBreak/>
        <w:t>The first stage of the study involved a</w:t>
      </w:r>
      <w:r w:rsidR="00061BDD" w:rsidRPr="00F65288">
        <w:rPr>
          <w:rFonts w:ascii="Times New Roman" w:hAnsi="Times New Roman" w:cs="Times New Roman"/>
          <w:lang w:val="en-GB"/>
        </w:rPr>
        <w:t xml:space="preserve"> detailed </w:t>
      </w:r>
      <w:r w:rsidRPr="00F65288">
        <w:rPr>
          <w:rFonts w:ascii="Times New Roman" w:hAnsi="Times New Roman" w:cs="Times New Roman"/>
          <w:lang w:val="en-GB"/>
        </w:rPr>
        <w:t>analysis of the legal acts</w:t>
      </w:r>
      <w:r w:rsidR="00061BDD" w:rsidRPr="00F65288">
        <w:rPr>
          <w:rFonts w:ascii="Times New Roman" w:hAnsi="Times New Roman" w:cs="Times New Roman"/>
          <w:lang w:val="en-GB"/>
        </w:rPr>
        <w:t xml:space="preserve"> binding </w:t>
      </w:r>
      <w:r w:rsidR="001F6C0D" w:rsidRPr="00F65288">
        <w:rPr>
          <w:rFonts w:ascii="Times New Roman" w:hAnsi="Times New Roman" w:cs="Times New Roman"/>
          <w:lang w:val="en-GB"/>
        </w:rPr>
        <w:t>during</w:t>
      </w:r>
      <w:r w:rsidR="00061BDD" w:rsidRPr="00F65288">
        <w:rPr>
          <w:rFonts w:ascii="Times New Roman" w:hAnsi="Times New Roman" w:cs="Times New Roman"/>
          <w:lang w:val="en-GB"/>
        </w:rPr>
        <w:t xml:space="preserve"> the examined period</w:t>
      </w:r>
      <w:r w:rsidRPr="00F65288">
        <w:rPr>
          <w:rFonts w:ascii="Times New Roman" w:hAnsi="Times New Roman" w:cs="Times New Roman"/>
          <w:lang w:val="en-GB"/>
        </w:rPr>
        <w:t>, in particular:</w:t>
      </w:r>
    </w:p>
    <w:p w14:paraId="2275C25C" w14:textId="272EEF4D" w:rsidR="004C293E" w:rsidRPr="00F65288" w:rsidRDefault="00FF3579" w:rsidP="00CC7C85">
      <w:pPr>
        <w:pStyle w:val="Akapitzlist"/>
        <w:numPr>
          <w:ilvl w:val="0"/>
          <w:numId w:val="15"/>
        </w:numPr>
        <w:ind w:left="709"/>
        <w:rPr>
          <w:rFonts w:ascii="Times New Roman" w:hAnsi="Times New Roman" w:cs="Times New Roman"/>
          <w:lang w:val="en-GB"/>
        </w:rPr>
      </w:pPr>
      <w:r w:rsidRPr="00F65288">
        <w:rPr>
          <w:rFonts w:ascii="Times New Roman" w:hAnsi="Times New Roman" w:cs="Times New Roman"/>
          <w:lang w:val="en-GB"/>
        </w:rPr>
        <w:t>Act of 3 February 1995 on the protection of agricultural and forest land (Journal of Laws, 1995, No.</w:t>
      </w:r>
      <w:r w:rsidR="00EC5367">
        <w:rPr>
          <w:rFonts w:ascii="Times New Roman" w:hAnsi="Times New Roman" w:cs="Times New Roman"/>
          <w:lang w:val="en-GB"/>
        </w:rPr>
        <w:t> </w:t>
      </w:r>
      <w:r w:rsidRPr="00F65288">
        <w:rPr>
          <w:rFonts w:ascii="Times New Roman" w:hAnsi="Times New Roman" w:cs="Times New Roman"/>
          <w:lang w:val="en-GB"/>
        </w:rPr>
        <w:t>16, item 78, as amended),</w:t>
      </w:r>
    </w:p>
    <w:p w14:paraId="3B86B1C0" w14:textId="77777777" w:rsidR="004C293E" w:rsidRPr="00F65288" w:rsidRDefault="00FF3579" w:rsidP="00CC7C85">
      <w:pPr>
        <w:pStyle w:val="Akapitzlist"/>
        <w:numPr>
          <w:ilvl w:val="0"/>
          <w:numId w:val="15"/>
        </w:numPr>
        <w:ind w:left="709"/>
        <w:rPr>
          <w:rFonts w:ascii="Times New Roman" w:hAnsi="Times New Roman" w:cs="Times New Roman"/>
          <w:lang w:val="en-GB"/>
        </w:rPr>
      </w:pPr>
      <w:r w:rsidRPr="00F65288">
        <w:rPr>
          <w:rFonts w:ascii="Times New Roman" w:hAnsi="Times New Roman" w:cs="Times New Roman"/>
          <w:lang w:val="en-GB"/>
        </w:rPr>
        <w:t>Act of 27 March 2003 on spatial planning and development (Journal of Laws, 2003, No. 80, item 717, as amended),</w:t>
      </w:r>
    </w:p>
    <w:p w14:paraId="64F95B20" w14:textId="77777777" w:rsidR="004C293E" w:rsidRPr="00F65288" w:rsidRDefault="00FF3579" w:rsidP="00CC7C85">
      <w:pPr>
        <w:pStyle w:val="Akapitzlist"/>
        <w:numPr>
          <w:ilvl w:val="0"/>
          <w:numId w:val="15"/>
        </w:numPr>
        <w:ind w:left="709"/>
        <w:rPr>
          <w:rFonts w:ascii="Times New Roman" w:hAnsi="Times New Roman" w:cs="Times New Roman"/>
          <w:lang w:val="en-GB"/>
        </w:rPr>
      </w:pPr>
      <w:r w:rsidRPr="00F65288">
        <w:rPr>
          <w:rFonts w:ascii="Times New Roman" w:hAnsi="Times New Roman" w:cs="Times New Roman"/>
          <w:lang w:val="en-GB"/>
        </w:rPr>
        <w:t xml:space="preserve">and </w:t>
      </w:r>
      <w:r w:rsidR="00D36BF2" w:rsidRPr="00F65288">
        <w:rPr>
          <w:rFonts w:ascii="Times New Roman" w:hAnsi="Times New Roman" w:cs="Times New Roman"/>
          <w:lang w:val="en-GB"/>
        </w:rPr>
        <w:t>the subsequent</w:t>
      </w:r>
      <w:r w:rsidRPr="00F65288">
        <w:rPr>
          <w:rFonts w:ascii="Times New Roman" w:hAnsi="Times New Roman" w:cs="Times New Roman"/>
          <w:lang w:val="en-GB"/>
        </w:rPr>
        <w:t xml:space="preserve"> amendments to the above legal acts in 2003, 2008, 2015, 2021, and 2023. </w:t>
      </w:r>
    </w:p>
    <w:p w14:paraId="7E6AB64D" w14:textId="77777777" w:rsidR="00CC7C85" w:rsidRDefault="00CC7C85" w:rsidP="004C293E">
      <w:pPr>
        <w:rPr>
          <w:rFonts w:ascii="Times New Roman" w:hAnsi="Times New Roman" w:cs="Times New Roman"/>
          <w:lang w:val="en-GB"/>
        </w:rPr>
      </w:pPr>
    </w:p>
    <w:p w14:paraId="79275323" w14:textId="0D2C7AAB" w:rsidR="00BB76E1" w:rsidRPr="00F65288" w:rsidRDefault="00FF3579" w:rsidP="004C293E">
      <w:pPr>
        <w:rPr>
          <w:rFonts w:ascii="Times New Roman" w:hAnsi="Times New Roman" w:cs="Times New Roman"/>
          <w:lang w:val="en-GB"/>
        </w:rPr>
      </w:pPr>
      <w:r w:rsidRPr="00F65288">
        <w:rPr>
          <w:rFonts w:ascii="Times New Roman" w:hAnsi="Times New Roman" w:cs="Times New Roman"/>
          <w:lang w:val="en-GB"/>
        </w:rPr>
        <w:t xml:space="preserve">The decisions of administrative courts (Supreme Administrative Court, </w:t>
      </w:r>
      <w:r w:rsidR="006E3DE9" w:rsidRPr="00F65288">
        <w:rPr>
          <w:rFonts w:ascii="Times New Roman" w:hAnsi="Times New Roman" w:cs="Times New Roman"/>
          <w:lang w:val="en-GB"/>
        </w:rPr>
        <w:t>Voivodeship Administrative Court</w:t>
      </w:r>
      <w:r w:rsidR="00D36BF2" w:rsidRPr="00F65288">
        <w:rPr>
          <w:rFonts w:ascii="Times New Roman" w:hAnsi="Times New Roman" w:cs="Times New Roman"/>
          <w:lang w:val="en-GB"/>
        </w:rPr>
        <w:t>s</w:t>
      </w:r>
      <w:r w:rsidR="006E3DE9" w:rsidRPr="00F65288">
        <w:rPr>
          <w:rFonts w:ascii="Times New Roman" w:hAnsi="Times New Roman" w:cs="Times New Roman"/>
          <w:lang w:val="en-GB"/>
        </w:rPr>
        <w:t xml:space="preserve">, 2024) and legal commentaries were also considered in the analysis. </w:t>
      </w:r>
    </w:p>
    <w:p w14:paraId="66F3BD76" w14:textId="08B5C116" w:rsidR="006E3DE9" w:rsidRPr="00F65288" w:rsidRDefault="006E3DE9" w:rsidP="004C293E">
      <w:pPr>
        <w:rPr>
          <w:rFonts w:ascii="Times New Roman" w:hAnsi="Times New Roman" w:cs="Times New Roman"/>
          <w:lang w:val="en-GB"/>
        </w:rPr>
      </w:pPr>
      <w:r w:rsidRPr="00F65288">
        <w:rPr>
          <w:rFonts w:ascii="Times New Roman" w:hAnsi="Times New Roman" w:cs="Times New Roman"/>
          <w:lang w:val="en-GB"/>
        </w:rPr>
        <w:t>A qua</w:t>
      </w:r>
      <w:r w:rsidR="00942829" w:rsidRPr="00F65288">
        <w:rPr>
          <w:rFonts w:ascii="Times New Roman" w:hAnsi="Times New Roman" w:cs="Times New Roman"/>
          <w:lang w:val="en-GB"/>
        </w:rPr>
        <w:t>ntitative</w:t>
      </w:r>
      <w:r w:rsidRPr="00F65288">
        <w:rPr>
          <w:rFonts w:ascii="Times New Roman" w:hAnsi="Times New Roman" w:cs="Times New Roman"/>
          <w:lang w:val="en-GB"/>
        </w:rPr>
        <w:t xml:space="preserve"> analysis of statistical data </w:t>
      </w:r>
      <w:r w:rsidR="004A67C8">
        <w:rPr>
          <w:rFonts w:ascii="Times New Roman" w:hAnsi="Times New Roman" w:cs="Times New Roman"/>
          <w:lang w:val="en-GB"/>
        </w:rPr>
        <w:t>regarding the area of agricultural land removed from</w:t>
      </w:r>
      <w:r w:rsidRPr="00F65288">
        <w:rPr>
          <w:rFonts w:ascii="Times New Roman" w:hAnsi="Times New Roman" w:cs="Times New Roman"/>
          <w:lang w:val="en-GB"/>
        </w:rPr>
        <w:t xml:space="preserve"> agricultural production was also conducted. Statistical data were obtained from </w:t>
      </w:r>
      <w:r w:rsidRPr="00F65288">
        <w:rPr>
          <w:rFonts w:ascii="Times New Roman" w:hAnsi="Times New Roman" w:cs="Times New Roman"/>
          <w:i/>
          <w:iCs/>
          <w:lang w:val="en-GB"/>
        </w:rPr>
        <w:t>Statistics Poland</w:t>
      </w:r>
      <w:r w:rsidRPr="00F65288">
        <w:rPr>
          <w:rFonts w:ascii="Times New Roman" w:hAnsi="Times New Roman" w:cs="Times New Roman"/>
          <w:lang w:val="en-GB"/>
        </w:rPr>
        <w:t xml:space="preserve"> (Statistical Yearbook of Agriculture, </w:t>
      </w:r>
      <w:r w:rsidRPr="00F65288">
        <w:rPr>
          <w:rFonts w:ascii="Times New Roman" w:hAnsi="Times New Roman" w:cs="Times New Roman"/>
          <w:i/>
          <w:iCs/>
          <w:lang w:val="en-GB"/>
        </w:rPr>
        <w:t>Statistics Poland</w:t>
      </w:r>
      <w:r w:rsidRPr="00F65288">
        <w:rPr>
          <w:rFonts w:ascii="Times New Roman" w:hAnsi="Times New Roman" w:cs="Times New Roman"/>
          <w:lang w:val="en-GB"/>
        </w:rPr>
        <w:t xml:space="preserve"> 2023; Local Data Bank of </w:t>
      </w:r>
      <w:r w:rsidRPr="00F65288">
        <w:rPr>
          <w:rFonts w:ascii="Times New Roman" w:hAnsi="Times New Roman" w:cs="Times New Roman"/>
          <w:i/>
          <w:iCs/>
          <w:lang w:val="en-GB"/>
        </w:rPr>
        <w:t>Statistics Poland</w:t>
      </w:r>
      <w:r w:rsidRPr="00F65288">
        <w:rPr>
          <w:rFonts w:ascii="Times New Roman" w:hAnsi="Times New Roman" w:cs="Times New Roman"/>
          <w:lang w:val="en-GB"/>
        </w:rPr>
        <w:t xml:space="preserve">, accessed on 22 July 2025). The </w:t>
      </w:r>
      <w:proofErr w:type="spellStart"/>
      <w:r w:rsidRPr="00F65288">
        <w:rPr>
          <w:rFonts w:ascii="Times New Roman" w:hAnsi="Times New Roman" w:cs="Times New Roman"/>
          <w:lang w:val="en-GB"/>
        </w:rPr>
        <w:t>analyzed</w:t>
      </w:r>
      <w:proofErr w:type="spellEnd"/>
      <w:r w:rsidRPr="00F65288">
        <w:rPr>
          <w:rFonts w:ascii="Times New Roman" w:hAnsi="Times New Roman" w:cs="Times New Roman"/>
          <w:lang w:val="en-GB"/>
        </w:rPr>
        <w:t xml:space="preserve"> dataset </w:t>
      </w:r>
      <w:r w:rsidR="004A67C8">
        <w:rPr>
          <w:rFonts w:ascii="Times New Roman" w:hAnsi="Times New Roman" w:cs="Times New Roman"/>
          <w:lang w:val="en-GB"/>
        </w:rPr>
        <w:t xml:space="preserve">spanned a twenty-year period and was examined to identify potential correlations between market trends, anomalies, and changes, as well as the dates on which the </w:t>
      </w:r>
      <w:proofErr w:type="spellStart"/>
      <w:r w:rsidR="004A67C8">
        <w:rPr>
          <w:rFonts w:ascii="Times New Roman" w:hAnsi="Times New Roman" w:cs="Times New Roman"/>
          <w:lang w:val="en-GB"/>
        </w:rPr>
        <w:t>analyzed</w:t>
      </w:r>
      <w:proofErr w:type="spellEnd"/>
      <w:r w:rsidR="004A67C8">
        <w:rPr>
          <w:rFonts w:ascii="Times New Roman" w:hAnsi="Times New Roman" w:cs="Times New Roman"/>
          <w:lang w:val="en-GB"/>
        </w:rPr>
        <w:t xml:space="preserve"> legal acts and amendments came</w:t>
      </w:r>
      <w:r w:rsidR="00D36BF2" w:rsidRPr="00F65288">
        <w:rPr>
          <w:rFonts w:ascii="Times New Roman" w:hAnsi="Times New Roman" w:cs="Times New Roman"/>
          <w:lang w:val="en-GB"/>
        </w:rPr>
        <w:t xml:space="preserve"> into force</w:t>
      </w:r>
      <w:r w:rsidRPr="00F65288">
        <w:rPr>
          <w:rFonts w:ascii="Times New Roman" w:hAnsi="Times New Roman" w:cs="Times New Roman"/>
          <w:lang w:val="en-GB"/>
        </w:rPr>
        <w:t xml:space="preserve">. In this study, the term </w:t>
      </w:r>
      <w:r w:rsidR="004A67C8">
        <w:rPr>
          <w:rFonts w:ascii="Times New Roman" w:hAnsi="Times New Roman" w:cs="Times New Roman"/>
          <w:lang w:val="en-GB"/>
        </w:rPr>
        <w:t>"</w:t>
      </w:r>
      <w:r w:rsidRPr="00F65288">
        <w:rPr>
          <w:rFonts w:ascii="Times New Roman" w:hAnsi="Times New Roman" w:cs="Times New Roman"/>
          <w:lang w:val="en-GB"/>
        </w:rPr>
        <w:t>agricultural land</w:t>
      </w:r>
      <w:r w:rsidR="004A67C8">
        <w:rPr>
          <w:rFonts w:ascii="Times New Roman" w:hAnsi="Times New Roman" w:cs="Times New Roman"/>
          <w:lang w:val="en-GB"/>
        </w:rPr>
        <w:t>"</w:t>
      </w:r>
      <w:r w:rsidRPr="00F65288">
        <w:rPr>
          <w:rFonts w:ascii="Times New Roman" w:hAnsi="Times New Roman" w:cs="Times New Roman"/>
          <w:lang w:val="en-GB"/>
        </w:rPr>
        <w:t xml:space="preserve"> </w:t>
      </w:r>
      <w:r w:rsidR="00AF1DFC" w:rsidRPr="00F65288">
        <w:rPr>
          <w:rFonts w:ascii="Times New Roman" w:hAnsi="Times New Roman" w:cs="Times New Roman"/>
          <w:lang w:val="en-GB"/>
        </w:rPr>
        <w:t>follows the definition</w:t>
      </w:r>
      <w:r w:rsidRPr="00F65288">
        <w:rPr>
          <w:rFonts w:ascii="Times New Roman" w:hAnsi="Times New Roman" w:cs="Times New Roman"/>
          <w:lang w:val="en-GB"/>
        </w:rPr>
        <w:t xml:space="preserve"> </w:t>
      </w:r>
      <w:r w:rsidR="00AF1DFC" w:rsidRPr="00F65288">
        <w:rPr>
          <w:rFonts w:ascii="Times New Roman" w:hAnsi="Times New Roman" w:cs="Times New Roman"/>
          <w:lang w:val="en-GB"/>
        </w:rPr>
        <w:t>provided</w:t>
      </w:r>
      <w:r w:rsidRPr="00F65288">
        <w:rPr>
          <w:rFonts w:ascii="Times New Roman" w:hAnsi="Times New Roman" w:cs="Times New Roman"/>
          <w:lang w:val="en-GB"/>
        </w:rPr>
        <w:t xml:space="preserve"> in Article 2 of the Act on the </w:t>
      </w:r>
      <w:r w:rsidR="004A67C8">
        <w:rPr>
          <w:rFonts w:ascii="Times New Roman" w:hAnsi="Times New Roman" w:cs="Times New Roman"/>
          <w:lang w:val="en-GB"/>
        </w:rPr>
        <w:t>Protection of Agricultural and Forest L</w:t>
      </w:r>
      <w:r w:rsidRPr="00F65288">
        <w:rPr>
          <w:rFonts w:ascii="Times New Roman" w:hAnsi="Times New Roman" w:cs="Times New Roman"/>
          <w:lang w:val="en-GB"/>
        </w:rPr>
        <w:t>and.</w:t>
      </w:r>
      <w:r w:rsidR="00AF1DFC" w:rsidRPr="00F65288">
        <w:rPr>
          <w:rFonts w:ascii="Times New Roman" w:hAnsi="Times New Roman" w:cs="Times New Roman"/>
          <w:lang w:val="en-GB"/>
        </w:rPr>
        <w:t xml:space="preserve"> </w:t>
      </w:r>
      <w:r w:rsidR="00DC5D2E" w:rsidRPr="00F65288">
        <w:rPr>
          <w:rFonts w:ascii="Times New Roman" w:hAnsi="Times New Roman" w:cs="Times New Roman"/>
          <w:lang w:val="en-GB"/>
        </w:rPr>
        <w:t xml:space="preserve">In this study, </w:t>
      </w:r>
      <w:r w:rsidR="004A67C8">
        <w:rPr>
          <w:rFonts w:ascii="Times New Roman" w:hAnsi="Times New Roman" w:cs="Times New Roman"/>
          <w:lang w:val="en-GB"/>
        </w:rPr>
        <w:t>"</w:t>
      </w:r>
      <w:r w:rsidR="00DC5D2E" w:rsidRPr="00F65288">
        <w:rPr>
          <w:rFonts w:ascii="Times New Roman" w:hAnsi="Times New Roman" w:cs="Times New Roman"/>
          <w:lang w:val="en-GB"/>
        </w:rPr>
        <w:t>effectiveness of agricultural land protection</w:t>
      </w:r>
      <w:r w:rsidR="004A67C8">
        <w:rPr>
          <w:rFonts w:ascii="Times New Roman" w:hAnsi="Times New Roman" w:cs="Times New Roman"/>
          <w:lang w:val="en-GB"/>
        </w:rPr>
        <w:t>"</w:t>
      </w:r>
      <w:r w:rsidR="00DC5D2E" w:rsidRPr="00F65288">
        <w:rPr>
          <w:rFonts w:ascii="Times New Roman" w:hAnsi="Times New Roman" w:cs="Times New Roman"/>
          <w:lang w:val="en-GB"/>
        </w:rPr>
        <w:t xml:space="preserve"> is understood as the extent to which the legal framework prevents the irreversible conversion of soils with defined quality classes to non-agricultural uses. Effectiveness was assessed in three dimensions: (1) legal coverage (formal scope of protection), (2) administrative enforcement (implementation and control mechanisms), and (3) environmental outcomes (changes in the area and quality of agricultural land over time). </w:t>
      </w:r>
      <w:r w:rsidR="00AF1DFC" w:rsidRPr="00F65288">
        <w:rPr>
          <w:rFonts w:ascii="Times New Roman" w:hAnsi="Times New Roman" w:cs="Times New Roman"/>
          <w:lang w:val="en-GB"/>
        </w:rPr>
        <w:t xml:space="preserve">It should be noted that according to the above definition, agricultural land includes not only </w:t>
      </w:r>
      <w:r w:rsidR="00293C0D" w:rsidRPr="00F65288">
        <w:rPr>
          <w:rFonts w:ascii="Times New Roman" w:hAnsi="Times New Roman" w:cs="Times New Roman"/>
          <w:lang w:val="en-GB"/>
        </w:rPr>
        <w:t>agricultural land</w:t>
      </w:r>
      <w:r w:rsidR="00AF1DFC" w:rsidRPr="00F65288">
        <w:rPr>
          <w:rFonts w:ascii="Times New Roman" w:hAnsi="Times New Roman" w:cs="Times New Roman"/>
          <w:lang w:val="en-GB"/>
        </w:rPr>
        <w:t xml:space="preserve"> that has been entered into the Land and Building Register, but also other </w:t>
      </w:r>
      <w:r w:rsidR="00D36BF2" w:rsidRPr="00F65288">
        <w:rPr>
          <w:rFonts w:ascii="Times New Roman" w:hAnsi="Times New Roman" w:cs="Times New Roman"/>
          <w:lang w:val="en-GB"/>
        </w:rPr>
        <w:t xml:space="preserve">types of </w:t>
      </w:r>
      <w:r w:rsidR="00AF1DFC" w:rsidRPr="00F65288">
        <w:rPr>
          <w:rFonts w:ascii="Times New Roman" w:hAnsi="Times New Roman" w:cs="Times New Roman"/>
          <w:lang w:val="en-GB"/>
        </w:rPr>
        <w:t xml:space="preserve">land (occupied by housing, fishing ponds, </w:t>
      </w:r>
      <w:r w:rsidR="009F7967" w:rsidRPr="00F65288">
        <w:rPr>
          <w:rFonts w:ascii="Times New Roman" w:hAnsi="Times New Roman" w:cs="Times New Roman"/>
          <w:lang w:val="en-GB"/>
        </w:rPr>
        <w:t xml:space="preserve">family </w:t>
      </w:r>
      <w:r w:rsidR="00AF1DFC" w:rsidRPr="00F65288">
        <w:rPr>
          <w:rFonts w:ascii="Times New Roman" w:hAnsi="Times New Roman" w:cs="Times New Roman"/>
          <w:lang w:val="en-GB"/>
        </w:rPr>
        <w:t>allotment gardens, and</w:t>
      </w:r>
      <w:r w:rsidR="00D36BF2" w:rsidRPr="00F65288">
        <w:rPr>
          <w:rFonts w:ascii="Times New Roman" w:hAnsi="Times New Roman" w:cs="Times New Roman"/>
          <w:lang w:val="en-GB"/>
        </w:rPr>
        <w:t xml:space="preserve"> farm</w:t>
      </w:r>
      <w:r w:rsidR="00AF1DFC" w:rsidRPr="00F65288">
        <w:rPr>
          <w:rFonts w:ascii="Times New Roman" w:hAnsi="Times New Roman" w:cs="Times New Roman"/>
          <w:lang w:val="en-GB"/>
        </w:rPr>
        <w:t xml:space="preserve"> access roads)</w:t>
      </w:r>
      <w:r w:rsidR="00F8513C" w:rsidRPr="00F65288">
        <w:rPr>
          <w:rFonts w:ascii="Times New Roman" w:hAnsi="Times New Roman" w:cs="Times New Roman"/>
          <w:lang w:val="en-GB"/>
        </w:rPr>
        <w:t>.</w:t>
      </w:r>
    </w:p>
    <w:p w14:paraId="0B7DBD05" w14:textId="53EEA54B" w:rsidR="006E3DE9" w:rsidRPr="00F65288" w:rsidRDefault="006E3DE9" w:rsidP="004C293E">
      <w:pPr>
        <w:rPr>
          <w:rFonts w:ascii="Times New Roman" w:hAnsi="Times New Roman" w:cs="Times New Roman"/>
          <w:lang w:val="en-GB"/>
        </w:rPr>
      </w:pPr>
      <w:r w:rsidRPr="00F65288">
        <w:rPr>
          <w:rFonts w:ascii="Times New Roman" w:hAnsi="Times New Roman" w:cs="Times New Roman"/>
          <w:lang w:val="en-GB"/>
        </w:rPr>
        <w:t xml:space="preserve"> </w:t>
      </w:r>
      <w:r w:rsidR="00F8513C" w:rsidRPr="00F65288">
        <w:rPr>
          <w:rFonts w:ascii="Times New Roman" w:hAnsi="Times New Roman" w:cs="Times New Roman"/>
          <w:lang w:val="en-GB"/>
        </w:rPr>
        <w:t>Data were processed using descriptive statistics (</w:t>
      </w:r>
      <w:r w:rsidR="00D36BF2" w:rsidRPr="00F65288">
        <w:rPr>
          <w:rFonts w:ascii="Times New Roman" w:hAnsi="Times New Roman" w:cs="Times New Roman"/>
          <w:lang w:val="en-GB"/>
        </w:rPr>
        <w:t xml:space="preserve">analysis of </w:t>
      </w:r>
      <w:r w:rsidR="00F8513C" w:rsidRPr="00F65288">
        <w:rPr>
          <w:rFonts w:ascii="Times New Roman" w:hAnsi="Times New Roman" w:cs="Times New Roman"/>
          <w:lang w:val="en-GB"/>
        </w:rPr>
        <w:t xml:space="preserve">annual fluctuations, outliers, linear trends) and </w:t>
      </w:r>
      <w:r w:rsidR="00030178" w:rsidRPr="00F65288">
        <w:rPr>
          <w:rFonts w:ascii="Times New Roman" w:hAnsi="Times New Roman" w:cs="Times New Roman"/>
          <w:lang w:val="en-GB"/>
        </w:rPr>
        <w:t xml:space="preserve">elements of </w:t>
      </w:r>
      <w:r w:rsidR="00F8513C" w:rsidRPr="00F65288">
        <w:rPr>
          <w:rFonts w:ascii="Times New Roman" w:hAnsi="Times New Roman" w:cs="Times New Roman"/>
          <w:lang w:val="en-GB"/>
        </w:rPr>
        <w:t xml:space="preserve">comparative analysis (comparison of data before and after legislative changes). A cause-and-effect analysis was also conducted to identify the relationships between legislative acts and the area of </w:t>
      </w:r>
      <w:r w:rsidR="00293C0D" w:rsidRPr="00F65288">
        <w:rPr>
          <w:rFonts w:ascii="Times New Roman" w:hAnsi="Times New Roman" w:cs="Times New Roman"/>
          <w:lang w:val="en-GB"/>
        </w:rPr>
        <w:t>agricultural land</w:t>
      </w:r>
      <w:r w:rsidR="00F8513C" w:rsidRPr="00F65288">
        <w:rPr>
          <w:rFonts w:ascii="Times New Roman" w:hAnsi="Times New Roman" w:cs="Times New Roman"/>
          <w:lang w:val="en-GB"/>
        </w:rPr>
        <w:t xml:space="preserve"> taken out of production. The literature on the protection of agricultural land and the procedure of rezoning agricultural land for development purposes was reviewed. The applied research </w:t>
      </w:r>
      <w:r w:rsidR="00030178" w:rsidRPr="00F65288">
        <w:rPr>
          <w:rFonts w:ascii="Times New Roman" w:hAnsi="Times New Roman" w:cs="Times New Roman"/>
          <w:lang w:val="en-GB"/>
        </w:rPr>
        <w:t xml:space="preserve">approach </w:t>
      </w:r>
      <w:r w:rsidR="00F8513C" w:rsidRPr="00F65288">
        <w:rPr>
          <w:rFonts w:ascii="Times New Roman" w:hAnsi="Times New Roman" w:cs="Times New Roman"/>
          <w:lang w:val="en-GB"/>
        </w:rPr>
        <w:t xml:space="preserve">supported an assessment of the </w:t>
      </w:r>
      <w:r w:rsidR="00030178" w:rsidRPr="00F65288">
        <w:rPr>
          <w:rFonts w:ascii="Times New Roman" w:hAnsi="Times New Roman" w:cs="Times New Roman"/>
          <w:lang w:val="en-GB"/>
        </w:rPr>
        <w:t xml:space="preserve">actual </w:t>
      </w:r>
      <w:r w:rsidR="00F8513C" w:rsidRPr="00F65288">
        <w:rPr>
          <w:rFonts w:ascii="Times New Roman" w:hAnsi="Times New Roman" w:cs="Times New Roman"/>
          <w:lang w:val="en-GB"/>
        </w:rPr>
        <w:t xml:space="preserve">effectiveness of the legal framework for </w:t>
      </w:r>
      <w:r w:rsidR="00293C0D" w:rsidRPr="00F65288">
        <w:rPr>
          <w:rFonts w:ascii="Times New Roman" w:hAnsi="Times New Roman" w:cs="Times New Roman"/>
          <w:lang w:val="en-GB"/>
        </w:rPr>
        <w:t>agricultural land</w:t>
      </w:r>
      <w:r w:rsidR="00F8513C" w:rsidRPr="00F65288">
        <w:rPr>
          <w:rFonts w:ascii="Times New Roman" w:hAnsi="Times New Roman" w:cs="Times New Roman"/>
          <w:lang w:val="en-GB"/>
        </w:rPr>
        <w:t xml:space="preserve"> protection</w:t>
      </w:r>
      <w:r w:rsidR="004A67C8">
        <w:rPr>
          <w:rFonts w:ascii="Times New Roman" w:hAnsi="Times New Roman" w:cs="Times New Roman"/>
          <w:lang w:val="en-GB"/>
        </w:rPr>
        <w:t>, facilitating</w:t>
      </w:r>
      <w:r w:rsidR="00F8513C" w:rsidRPr="00F65288">
        <w:rPr>
          <w:rFonts w:ascii="Times New Roman" w:hAnsi="Times New Roman" w:cs="Times New Roman"/>
          <w:lang w:val="en-GB"/>
        </w:rPr>
        <w:t xml:space="preserve"> the identification of areas that require further monitoring and analysis.</w:t>
      </w:r>
    </w:p>
    <w:p w14:paraId="5EED1D45" w14:textId="0CACFC41" w:rsidR="00BB76E1" w:rsidRPr="00F65288" w:rsidRDefault="00CC75C2" w:rsidP="00CC75C2">
      <w:pPr>
        <w:pStyle w:val="Rn1"/>
        <w:rPr>
          <w:lang w:val="en-GB"/>
        </w:rPr>
      </w:pPr>
      <w:r>
        <w:rPr>
          <w:lang w:val="en-GB"/>
        </w:rPr>
        <w:t xml:space="preserve">3. </w:t>
      </w:r>
      <w:r w:rsidR="00BB76E1" w:rsidRPr="00F65288">
        <w:rPr>
          <w:lang w:val="en-GB"/>
        </w:rPr>
        <w:t>Results and Discussion</w:t>
      </w:r>
    </w:p>
    <w:p w14:paraId="3FA9368E" w14:textId="374B6716" w:rsidR="00D1491B" w:rsidRPr="00F65288" w:rsidRDefault="004A67C8" w:rsidP="004C293E">
      <w:pPr>
        <w:rPr>
          <w:rFonts w:ascii="Times New Roman" w:eastAsia="Times New Roman" w:hAnsi="Times New Roman" w:cs="Times New Roman"/>
          <w:kern w:val="0"/>
          <w:lang w:val="en-GB" w:eastAsia="pl-PL"/>
          <w14:ligatures w14:val="none"/>
        </w:rPr>
      </w:pPr>
      <w:r>
        <w:rPr>
          <w:rFonts w:ascii="Times New Roman" w:eastAsia="Times New Roman" w:hAnsi="Times New Roman" w:cs="Times New Roman"/>
          <w:kern w:val="0"/>
          <w:lang w:val="en-GB" w:eastAsia="pl-PL"/>
          <w14:ligatures w14:val="none"/>
        </w:rPr>
        <w:t>Over the last three decades, the 1995 Act on the protection of agricultural and forest land has been amended numerous times in response to changing economic and social needs and development pressures</w:t>
      </w:r>
      <w:r w:rsidR="00D1491B" w:rsidRPr="00F65288">
        <w:rPr>
          <w:rFonts w:ascii="Times New Roman" w:eastAsia="Times New Roman" w:hAnsi="Times New Roman" w:cs="Times New Roman"/>
          <w:kern w:val="0"/>
          <w:lang w:val="en-GB" w:eastAsia="pl-PL"/>
          <w14:ligatures w14:val="none"/>
        </w:rPr>
        <w:t xml:space="preserve">. The introduced legislative changes affected not only the scope and </w:t>
      </w:r>
      <w:r w:rsidR="00DD2E2A" w:rsidRPr="00F65288">
        <w:rPr>
          <w:rFonts w:ascii="Times New Roman" w:eastAsia="Times New Roman" w:hAnsi="Times New Roman" w:cs="Times New Roman"/>
          <w:kern w:val="0"/>
          <w:lang w:val="en-GB" w:eastAsia="pl-PL"/>
          <w14:ligatures w14:val="none"/>
        </w:rPr>
        <w:t>method</w:t>
      </w:r>
      <w:r w:rsidR="00D1491B" w:rsidRPr="00F65288">
        <w:rPr>
          <w:rFonts w:ascii="Times New Roman" w:eastAsia="Times New Roman" w:hAnsi="Times New Roman" w:cs="Times New Roman"/>
          <w:kern w:val="0"/>
          <w:lang w:val="en-GB" w:eastAsia="pl-PL"/>
          <w14:ligatures w14:val="none"/>
        </w:rPr>
        <w:t xml:space="preserve"> of </w:t>
      </w:r>
      <w:r w:rsidR="00293C0D" w:rsidRPr="00F65288">
        <w:rPr>
          <w:rFonts w:ascii="Times New Roman" w:eastAsia="Times New Roman" w:hAnsi="Times New Roman" w:cs="Times New Roman"/>
          <w:kern w:val="0"/>
          <w:lang w:val="en-GB" w:eastAsia="pl-PL"/>
          <w14:ligatures w14:val="none"/>
        </w:rPr>
        <w:t>agricultural land</w:t>
      </w:r>
      <w:r w:rsidR="00D1491B" w:rsidRPr="00F65288">
        <w:rPr>
          <w:rFonts w:ascii="Times New Roman" w:eastAsia="Times New Roman" w:hAnsi="Times New Roman" w:cs="Times New Roman"/>
          <w:kern w:val="0"/>
          <w:lang w:val="en-GB" w:eastAsia="pl-PL"/>
          <w14:ligatures w14:val="none"/>
        </w:rPr>
        <w:t xml:space="preserve"> protection, but also the rate and scale of land conversion processes.</w:t>
      </w:r>
    </w:p>
    <w:p w14:paraId="1025D25F" w14:textId="44C121CD" w:rsidR="00D1491B" w:rsidRPr="00F65288" w:rsidRDefault="00D1491B" w:rsidP="004C293E">
      <w:pPr>
        <w:rPr>
          <w:rFonts w:ascii="Times New Roman" w:eastAsia="Times New Roman" w:hAnsi="Times New Roman" w:cs="Times New Roman"/>
          <w:kern w:val="0"/>
          <w:lang w:val="en-GB" w:eastAsia="pl-PL"/>
          <w14:ligatures w14:val="none"/>
        </w:rPr>
      </w:pPr>
      <w:r w:rsidRPr="00F65288">
        <w:rPr>
          <w:rFonts w:ascii="Times New Roman" w:eastAsia="Times New Roman" w:hAnsi="Times New Roman" w:cs="Times New Roman"/>
          <w:kern w:val="0"/>
          <w:lang w:val="en-GB" w:eastAsia="pl-PL"/>
          <w14:ligatures w14:val="none"/>
        </w:rPr>
        <w:t xml:space="preserve">An analysis of subsequent amendments to the above act </w:t>
      </w:r>
      <w:r w:rsidR="004A67C8">
        <w:rPr>
          <w:rFonts w:ascii="Times New Roman" w:eastAsia="Times New Roman" w:hAnsi="Times New Roman" w:cs="Times New Roman"/>
          <w:kern w:val="0"/>
          <w:lang w:val="en-GB" w:eastAsia="pl-PL"/>
          <w14:ligatures w14:val="none"/>
        </w:rPr>
        <w:t>reveals that the legislative approach has evolved from a strict protection model to a more flexible system that is open to exceptions and aligns</w:t>
      </w:r>
      <w:r w:rsidRPr="00F65288">
        <w:rPr>
          <w:rFonts w:ascii="Times New Roman" w:eastAsia="Times New Roman" w:hAnsi="Times New Roman" w:cs="Times New Roman"/>
          <w:kern w:val="0"/>
          <w:lang w:val="en-GB" w:eastAsia="pl-PL"/>
          <w14:ligatures w14:val="none"/>
        </w:rPr>
        <w:t xml:space="preserve"> with the developmental goals of municipalities. The key </w:t>
      </w:r>
      <w:r w:rsidR="00114492" w:rsidRPr="00F65288">
        <w:rPr>
          <w:rFonts w:ascii="Times New Roman" w:eastAsia="Times New Roman" w:hAnsi="Times New Roman" w:cs="Times New Roman"/>
          <w:kern w:val="0"/>
          <w:lang w:val="en-GB" w:eastAsia="pl-PL"/>
          <w14:ligatures w14:val="none"/>
        </w:rPr>
        <w:t>amendments</w:t>
      </w:r>
      <w:r w:rsidRPr="00F65288">
        <w:rPr>
          <w:rFonts w:ascii="Times New Roman" w:eastAsia="Times New Roman" w:hAnsi="Times New Roman" w:cs="Times New Roman"/>
          <w:kern w:val="0"/>
          <w:lang w:val="en-GB" w:eastAsia="pl-PL"/>
          <w14:ligatures w14:val="none"/>
        </w:rPr>
        <w:t xml:space="preserve"> to the Act on the protection of agricultural and forest land and other regulations relat</w:t>
      </w:r>
      <w:r w:rsidR="006C0A3D" w:rsidRPr="00F65288">
        <w:rPr>
          <w:rFonts w:ascii="Times New Roman" w:eastAsia="Times New Roman" w:hAnsi="Times New Roman" w:cs="Times New Roman"/>
          <w:kern w:val="0"/>
          <w:lang w:val="en-GB" w:eastAsia="pl-PL"/>
          <w14:ligatures w14:val="none"/>
        </w:rPr>
        <w:t>ed</w:t>
      </w:r>
      <w:r w:rsidRPr="00F65288">
        <w:rPr>
          <w:rFonts w:ascii="Times New Roman" w:eastAsia="Times New Roman" w:hAnsi="Times New Roman" w:cs="Times New Roman"/>
          <w:kern w:val="0"/>
          <w:lang w:val="en-GB" w:eastAsia="pl-PL"/>
          <w14:ligatures w14:val="none"/>
        </w:rPr>
        <w:t xml:space="preserve"> to </w:t>
      </w:r>
      <w:r w:rsidR="00293C0D" w:rsidRPr="00F65288">
        <w:rPr>
          <w:rFonts w:ascii="Times New Roman" w:eastAsia="Times New Roman" w:hAnsi="Times New Roman" w:cs="Times New Roman"/>
          <w:kern w:val="0"/>
          <w:lang w:val="en-GB" w:eastAsia="pl-PL"/>
          <w14:ligatures w14:val="none"/>
        </w:rPr>
        <w:t>agricultural land</w:t>
      </w:r>
      <w:r w:rsidRPr="00F65288">
        <w:rPr>
          <w:rFonts w:ascii="Times New Roman" w:eastAsia="Times New Roman" w:hAnsi="Times New Roman" w:cs="Times New Roman"/>
          <w:kern w:val="0"/>
          <w:lang w:val="en-GB" w:eastAsia="pl-PL"/>
          <w14:ligatures w14:val="none"/>
        </w:rPr>
        <w:t xml:space="preserve"> conversion, in particular the Act on spatial planning and development, are listed in chronological order in Table 1. The developed list </w:t>
      </w:r>
      <w:r w:rsidR="00D677B9" w:rsidRPr="00F65288">
        <w:rPr>
          <w:rFonts w:ascii="Times New Roman" w:eastAsia="Times New Roman" w:hAnsi="Times New Roman" w:cs="Times New Roman"/>
          <w:kern w:val="0"/>
          <w:lang w:val="en-GB" w:eastAsia="pl-PL"/>
          <w14:ligatures w14:val="none"/>
        </w:rPr>
        <w:t xml:space="preserve">was used to evaluate the effectiveness of </w:t>
      </w:r>
      <w:r w:rsidR="00293C0D" w:rsidRPr="00F65288">
        <w:rPr>
          <w:rFonts w:ascii="Times New Roman" w:eastAsia="Times New Roman" w:hAnsi="Times New Roman" w:cs="Times New Roman"/>
          <w:kern w:val="0"/>
          <w:lang w:val="en-GB" w:eastAsia="pl-PL"/>
          <w14:ligatures w14:val="none"/>
        </w:rPr>
        <w:t>agricultural land</w:t>
      </w:r>
      <w:r w:rsidR="00D677B9" w:rsidRPr="00F65288">
        <w:rPr>
          <w:rFonts w:ascii="Times New Roman" w:eastAsia="Times New Roman" w:hAnsi="Times New Roman" w:cs="Times New Roman"/>
          <w:kern w:val="0"/>
          <w:lang w:val="en-GB" w:eastAsia="pl-PL"/>
          <w14:ligatures w14:val="none"/>
        </w:rPr>
        <w:t xml:space="preserve"> protection instruments in the context of </w:t>
      </w:r>
      <w:r w:rsidR="00DD2E2A" w:rsidRPr="00F65288">
        <w:rPr>
          <w:rFonts w:ascii="Times New Roman" w:eastAsia="Times New Roman" w:hAnsi="Times New Roman" w:cs="Times New Roman"/>
          <w:kern w:val="0"/>
          <w:lang w:val="en-GB" w:eastAsia="pl-PL"/>
          <w14:ligatures w14:val="none"/>
        </w:rPr>
        <w:t>changes in spatial planning</w:t>
      </w:r>
      <w:r w:rsidR="00D677B9" w:rsidRPr="00F65288">
        <w:rPr>
          <w:rFonts w:ascii="Times New Roman" w:eastAsia="Times New Roman" w:hAnsi="Times New Roman" w:cs="Times New Roman"/>
          <w:kern w:val="0"/>
          <w:lang w:val="en-GB" w:eastAsia="pl-PL"/>
          <w14:ligatures w14:val="none"/>
        </w:rPr>
        <w:t xml:space="preserve"> and rapid economic growth.</w:t>
      </w:r>
    </w:p>
    <w:p w14:paraId="72ADA90D" w14:textId="77777777" w:rsidR="004C293E" w:rsidRPr="00F65288" w:rsidRDefault="004C293E" w:rsidP="004C293E">
      <w:pPr>
        <w:rPr>
          <w:rFonts w:ascii="Times New Roman" w:eastAsia="Times New Roman" w:hAnsi="Times New Roman" w:cs="Times New Roman"/>
          <w:kern w:val="0"/>
          <w:lang w:val="en-GB" w:eastAsia="pl-PL"/>
          <w14:ligatures w14:val="none"/>
        </w:rPr>
      </w:pPr>
    </w:p>
    <w:p w14:paraId="5EE16E04" w14:textId="3CBB6306" w:rsidR="00122BCE" w:rsidRPr="00F65288" w:rsidRDefault="00D677B9" w:rsidP="00CC75C2">
      <w:pPr>
        <w:pStyle w:val="Rtab"/>
        <w:rPr>
          <w:lang w:val="en-GB"/>
        </w:rPr>
      </w:pPr>
      <w:r w:rsidRPr="00F65288">
        <w:rPr>
          <w:b/>
          <w:bCs/>
          <w:lang w:val="en-GB"/>
        </w:rPr>
        <w:t>Table</w:t>
      </w:r>
      <w:r w:rsidR="00E82DF9" w:rsidRPr="00F65288">
        <w:rPr>
          <w:b/>
          <w:bCs/>
          <w:lang w:val="en-GB"/>
        </w:rPr>
        <w:t xml:space="preserve"> 1.</w:t>
      </w:r>
      <w:r w:rsidR="0013162F" w:rsidRPr="00F65288">
        <w:rPr>
          <w:lang w:val="en-GB"/>
        </w:rPr>
        <w:t xml:space="preserve"> </w:t>
      </w:r>
      <w:r w:rsidRPr="00F65288">
        <w:rPr>
          <w:lang w:val="en-GB"/>
        </w:rPr>
        <w:t>Key amendments to the Act on the protection of agricultural and forest land introduced 1997</w:t>
      </w:r>
      <w:r w:rsidR="00CC75C2">
        <w:rPr>
          <w:lang w:val="en-GB"/>
        </w:rPr>
        <w:t>-</w:t>
      </w:r>
      <w:r w:rsidRPr="00F65288">
        <w:rPr>
          <w:lang w:val="en-GB"/>
        </w:rPr>
        <w:t xml:space="preserve">2023 in the context of spatial </w:t>
      </w:r>
      <w:r w:rsidRPr="004A67C8">
        <w:rPr>
          <w:lang w:val="en-GB"/>
        </w:rPr>
        <w:t>planning</w:t>
      </w:r>
      <w:r w:rsidRPr="00F65288">
        <w:rPr>
          <w:lang w:val="en-GB"/>
        </w:rPr>
        <w:t xml:space="preserve"> and development</w:t>
      </w:r>
      <w:r w:rsidR="00DB2BBB" w:rsidRPr="00F65288">
        <w:rPr>
          <w:lang w:val="en-GB"/>
        </w:rPr>
        <w:t xml:space="preserve"> by </w:t>
      </w:r>
      <w:r w:rsidR="00DB2BBB" w:rsidRPr="00F65288">
        <w:rPr>
          <w:szCs w:val="20"/>
          <w:lang w:val="en-GB"/>
        </w:rPr>
        <w:t>Kurowska (2017), www.sejm.gov.pl (accessed on 25 July 2025)</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229"/>
      </w:tblGrid>
      <w:tr w:rsidR="00AF3BE7" w:rsidRPr="00F65288" w14:paraId="31442876" w14:textId="77777777" w:rsidTr="00CC7C85">
        <w:tc>
          <w:tcPr>
            <w:tcW w:w="2410" w:type="dxa"/>
          </w:tcPr>
          <w:p w14:paraId="4D14EA93" w14:textId="4A7D6C26" w:rsidR="00F526A0" w:rsidRPr="00CC75C2" w:rsidRDefault="00D677B9" w:rsidP="00CC75C2">
            <w:pPr>
              <w:autoSpaceDE w:val="0"/>
              <w:autoSpaceDN w:val="0"/>
              <w:adjustRightInd w:val="0"/>
              <w:ind w:firstLine="0"/>
              <w:jc w:val="center"/>
              <w:rPr>
                <w:rFonts w:ascii="Times New Roman" w:eastAsia="Calibri" w:hAnsi="Times New Roman" w:cs="Times New Roman"/>
                <w:bCs/>
                <w:kern w:val="0"/>
                <w:sz w:val="20"/>
                <w:szCs w:val="20"/>
                <w:lang w:val="en-GB"/>
                <w14:ligatures w14:val="none"/>
              </w:rPr>
            </w:pPr>
            <w:r w:rsidRPr="00CC75C2">
              <w:rPr>
                <w:rFonts w:ascii="Times New Roman" w:eastAsia="Calibri" w:hAnsi="Times New Roman" w:cs="Times New Roman"/>
                <w:bCs/>
                <w:kern w:val="0"/>
                <w:sz w:val="20"/>
                <w:szCs w:val="20"/>
                <w:lang w:val="en-GB"/>
                <w14:ligatures w14:val="none"/>
              </w:rPr>
              <w:t>Amendment</w:t>
            </w:r>
          </w:p>
        </w:tc>
        <w:tc>
          <w:tcPr>
            <w:tcW w:w="7229" w:type="dxa"/>
          </w:tcPr>
          <w:p w14:paraId="3677E976" w14:textId="6E754BA9" w:rsidR="00F526A0" w:rsidRPr="00CC75C2" w:rsidRDefault="00D677B9" w:rsidP="00CC75C2">
            <w:pPr>
              <w:autoSpaceDE w:val="0"/>
              <w:autoSpaceDN w:val="0"/>
              <w:adjustRightInd w:val="0"/>
              <w:ind w:firstLine="0"/>
              <w:jc w:val="center"/>
              <w:rPr>
                <w:rFonts w:ascii="Times New Roman" w:eastAsia="Calibri" w:hAnsi="Times New Roman" w:cs="Times New Roman"/>
                <w:bCs/>
                <w:kern w:val="0"/>
                <w:sz w:val="20"/>
                <w:szCs w:val="20"/>
                <w:lang w:val="en-GB"/>
                <w14:ligatures w14:val="none"/>
              </w:rPr>
            </w:pPr>
            <w:r w:rsidRPr="00CC75C2">
              <w:rPr>
                <w:rFonts w:ascii="Times New Roman" w:eastAsia="Calibri" w:hAnsi="Times New Roman" w:cs="Times New Roman"/>
                <w:bCs/>
                <w:kern w:val="0"/>
                <w:sz w:val="20"/>
                <w:szCs w:val="20"/>
                <w:lang w:val="en-GB"/>
                <w14:ligatures w14:val="none"/>
              </w:rPr>
              <w:t>Key provisions</w:t>
            </w:r>
          </w:p>
        </w:tc>
      </w:tr>
      <w:tr w:rsidR="00AF3BE7" w:rsidRPr="00F65288" w14:paraId="17BA31A0" w14:textId="77777777" w:rsidTr="00CC7C85">
        <w:trPr>
          <w:trHeight w:val="2140"/>
        </w:trPr>
        <w:tc>
          <w:tcPr>
            <w:tcW w:w="2410" w:type="dxa"/>
          </w:tcPr>
          <w:p w14:paraId="6BB1392D" w14:textId="5FC8EE5C" w:rsidR="00D677B9" w:rsidRPr="00F65288" w:rsidRDefault="00D677B9"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Act of 22 May 1997 amending the Act on the protection of agricultural and forest land (Journal of Laws, No. 60, item 370).</w:t>
            </w:r>
          </w:p>
          <w:p w14:paraId="55E51CA4" w14:textId="52FED702" w:rsidR="00F526A0" w:rsidRPr="00346F69" w:rsidRDefault="00D677B9" w:rsidP="00DB2BBB">
            <w:pPr>
              <w:autoSpaceDE w:val="0"/>
              <w:autoSpaceDN w:val="0"/>
              <w:adjustRightInd w:val="0"/>
              <w:ind w:firstLine="0"/>
              <w:rPr>
                <w:rFonts w:ascii="Times New Roman" w:eastAsia="Calibri" w:hAnsi="Times New Roman" w:cs="Times New Roman"/>
                <w:spacing w:val="-4"/>
                <w:kern w:val="0"/>
                <w:sz w:val="20"/>
                <w:szCs w:val="20"/>
                <w:lang w:val="en-GB"/>
                <w14:ligatures w14:val="none"/>
              </w:rPr>
            </w:pPr>
            <w:r w:rsidRPr="00346F69">
              <w:rPr>
                <w:rFonts w:ascii="Times New Roman" w:eastAsia="Calibri" w:hAnsi="Times New Roman" w:cs="Times New Roman"/>
                <w:spacing w:val="-4"/>
                <w:kern w:val="0"/>
                <w:sz w:val="20"/>
                <w:szCs w:val="20"/>
                <w:lang w:val="en-GB"/>
                <w14:ligatures w14:val="none"/>
              </w:rPr>
              <w:t>Entered into force on 29 June 1997</w:t>
            </w:r>
            <w:r w:rsidR="002D5F63" w:rsidRPr="00346F69">
              <w:rPr>
                <w:rFonts w:ascii="Times New Roman" w:eastAsia="Calibri" w:hAnsi="Times New Roman" w:cs="Times New Roman"/>
                <w:spacing w:val="-4"/>
                <w:kern w:val="0"/>
                <w:sz w:val="20"/>
                <w:szCs w:val="20"/>
                <w:lang w:val="en-GB"/>
                <w14:ligatures w14:val="none"/>
              </w:rPr>
              <w:t>.</w:t>
            </w:r>
          </w:p>
        </w:tc>
        <w:tc>
          <w:tcPr>
            <w:tcW w:w="7229" w:type="dxa"/>
          </w:tcPr>
          <w:p w14:paraId="05E670A8" w14:textId="243A7E0C" w:rsidR="00D677B9"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1) </w:t>
            </w:r>
            <w:r w:rsidR="00FD6188" w:rsidRPr="00F65288">
              <w:rPr>
                <w:rFonts w:ascii="Times New Roman" w:eastAsia="Calibri" w:hAnsi="Times New Roman" w:cs="Times New Roman"/>
                <w:kern w:val="0"/>
                <w:sz w:val="20"/>
                <w:szCs w:val="20"/>
                <w:lang w:val="en-GB"/>
                <w14:ligatures w14:val="none"/>
              </w:rPr>
              <w:t>Agricultural and forest land</w:t>
            </w:r>
            <w:r w:rsidR="00D677B9" w:rsidRPr="00F65288">
              <w:rPr>
                <w:rFonts w:ascii="Times New Roman" w:eastAsia="Calibri" w:hAnsi="Times New Roman" w:cs="Times New Roman"/>
                <w:kern w:val="0"/>
                <w:sz w:val="20"/>
                <w:szCs w:val="20"/>
                <w:lang w:val="en-GB"/>
                <w14:ligatures w14:val="none"/>
              </w:rPr>
              <w:t xml:space="preserve"> may be exempt from </w:t>
            </w:r>
            <w:r w:rsidR="00DD2E2A" w:rsidRPr="00F65288">
              <w:rPr>
                <w:rFonts w:ascii="Times New Roman" w:eastAsia="Calibri" w:hAnsi="Times New Roman" w:cs="Times New Roman"/>
                <w:kern w:val="0"/>
                <w:sz w:val="20"/>
                <w:szCs w:val="20"/>
                <w:lang w:val="en-GB"/>
                <w14:ligatures w14:val="none"/>
              </w:rPr>
              <w:t>lump-sum</w:t>
            </w:r>
            <w:r w:rsidR="00D677B9" w:rsidRPr="00F65288">
              <w:rPr>
                <w:rFonts w:ascii="Times New Roman" w:eastAsia="Calibri" w:hAnsi="Times New Roman" w:cs="Times New Roman"/>
                <w:kern w:val="0"/>
                <w:sz w:val="20"/>
                <w:szCs w:val="20"/>
                <w:lang w:val="en-GB"/>
                <w14:ligatures w14:val="none"/>
              </w:rPr>
              <w:t xml:space="preserve"> fees and annual fees, and </w:t>
            </w:r>
            <w:r w:rsidR="00FD6188" w:rsidRPr="00F65288">
              <w:rPr>
                <w:rFonts w:ascii="Times New Roman" w:eastAsia="Calibri" w:hAnsi="Times New Roman" w:cs="Times New Roman"/>
                <w:kern w:val="0"/>
                <w:sz w:val="20"/>
                <w:szCs w:val="20"/>
                <w:lang w:val="en-GB"/>
                <w14:ligatures w14:val="none"/>
              </w:rPr>
              <w:t xml:space="preserve">owners of </w:t>
            </w:r>
            <w:r w:rsidR="00D677B9" w:rsidRPr="00F65288">
              <w:rPr>
                <w:rFonts w:ascii="Times New Roman" w:eastAsia="Calibri" w:hAnsi="Times New Roman" w:cs="Times New Roman"/>
                <w:kern w:val="0"/>
                <w:sz w:val="20"/>
                <w:szCs w:val="20"/>
                <w:lang w:val="en-GB"/>
                <w14:ligatures w14:val="none"/>
              </w:rPr>
              <w:t xml:space="preserve">forest land may be entitled to lump-sum compensation for premature tree harvesting for the needs of public projects, if </w:t>
            </w:r>
            <w:r w:rsidR="00FD6188" w:rsidRPr="00F65288">
              <w:rPr>
                <w:rFonts w:ascii="Times New Roman" w:eastAsia="Calibri" w:hAnsi="Times New Roman" w:cs="Times New Roman"/>
                <w:kern w:val="0"/>
                <w:sz w:val="20"/>
                <w:szCs w:val="20"/>
                <w:lang w:val="en-GB"/>
                <w14:ligatures w14:val="none"/>
              </w:rPr>
              <w:t>the area of land designated for development did not exceed 1 ha and the project could not be developed on unprotected land;</w:t>
            </w:r>
          </w:p>
          <w:p w14:paraId="7C20F0A1" w14:textId="1A892BEB" w:rsidR="00FD6188"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2) </w:t>
            </w:r>
            <w:r w:rsidR="00FD6188" w:rsidRPr="00F65288">
              <w:rPr>
                <w:rFonts w:ascii="Times New Roman" w:eastAsia="Calibri" w:hAnsi="Times New Roman" w:cs="Times New Roman"/>
                <w:kern w:val="0"/>
                <w:sz w:val="20"/>
                <w:szCs w:val="20"/>
                <w:lang w:val="en-GB"/>
                <w14:ligatures w14:val="none"/>
              </w:rPr>
              <w:t>Agricultural and forest land that is taken out of production and converted to residential use is exempt from conversion fees:</w:t>
            </w:r>
          </w:p>
          <w:p w14:paraId="4821F73C" w14:textId="5A015069" w:rsidR="00FD6188" w:rsidRPr="00F65288" w:rsidRDefault="00FD6188" w:rsidP="00DB2BBB">
            <w:pPr>
              <w:numPr>
                <w:ilvl w:val="0"/>
                <w:numId w:val="20"/>
              </w:numPr>
              <w:autoSpaceDE w:val="0"/>
              <w:autoSpaceDN w:val="0"/>
              <w:adjustRightInd w:val="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up to 0.05 ha for a single-family house,</w:t>
            </w:r>
          </w:p>
          <w:p w14:paraId="451AE61F" w14:textId="6B9029E7" w:rsidR="00F526A0" w:rsidRPr="00F65288" w:rsidRDefault="00FD6188" w:rsidP="00DB2BBB">
            <w:pPr>
              <w:numPr>
                <w:ilvl w:val="0"/>
                <w:numId w:val="20"/>
              </w:numPr>
              <w:autoSpaceDE w:val="0"/>
              <w:autoSpaceDN w:val="0"/>
              <w:adjustRightInd w:val="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up to 0.02 ha per apartment for a multi-dwelling unit.</w:t>
            </w:r>
          </w:p>
          <w:p w14:paraId="3FD98B1A" w14:textId="18114DE1" w:rsidR="00F526A0" w:rsidRPr="00F65288" w:rsidRDefault="00FD6188" w:rsidP="00DB2BBB">
            <w:pPr>
              <w:autoSpaceDE w:val="0"/>
              <w:autoSpaceDN w:val="0"/>
              <w:adjustRightInd w:val="0"/>
              <w:ind w:firstLine="0"/>
              <w:rPr>
                <w:rFonts w:ascii="Times New Roman" w:eastAsia="Calibri" w:hAnsi="Times New Roman" w:cs="Times New Roman"/>
                <w:i/>
                <w:kern w:val="0"/>
                <w:sz w:val="20"/>
                <w:szCs w:val="20"/>
                <w:lang w:val="en-GB"/>
                <w14:ligatures w14:val="none"/>
              </w:rPr>
            </w:pPr>
            <w:r w:rsidRPr="00F65288">
              <w:rPr>
                <w:rFonts w:ascii="Times New Roman" w:eastAsia="Calibri" w:hAnsi="Times New Roman" w:cs="Times New Roman"/>
                <w:i/>
                <w:kern w:val="0"/>
                <w:sz w:val="20"/>
                <w:szCs w:val="20"/>
                <w:lang w:val="en-GB"/>
                <w14:ligatures w14:val="none"/>
              </w:rPr>
              <w:t>Point 2 remains in force.</w:t>
            </w:r>
          </w:p>
        </w:tc>
      </w:tr>
    </w:tbl>
    <w:p w14:paraId="538D5A2C" w14:textId="77C8780E" w:rsidR="00CC7C85" w:rsidRPr="00F65288" w:rsidRDefault="00CC7C85" w:rsidP="00CC7C85">
      <w:pPr>
        <w:pStyle w:val="Rtab"/>
        <w:rPr>
          <w:lang w:val="en-GB"/>
        </w:rPr>
      </w:pPr>
      <w:r w:rsidRPr="00F65288">
        <w:rPr>
          <w:b/>
          <w:bCs/>
          <w:lang w:val="en-GB"/>
        </w:rPr>
        <w:lastRenderedPageBreak/>
        <w:t>Table 1.</w:t>
      </w:r>
      <w:r w:rsidRPr="00F65288">
        <w:rPr>
          <w:lang w:val="en-GB"/>
        </w:rPr>
        <w:t xml:space="preserve"> </w:t>
      </w:r>
      <w:r>
        <w:rPr>
          <w:lang w:val="en-GB"/>
        </w:rPr>
        <w:t>cont.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229"/>
      </w:tblGrid>
      <w:tr w:rsidR="00CC7C85" w:rsidRPr="00F65288" w14:paraId="6977F80C" w14:textId="77777777" w:rsidTr="00534B05">
        <w:tc>
          <w:tcPr>
            <w:tcW w:w="2410" w:type="dxa"/>
          </w:tcPr>
          <w:p w14:paraId="70C93607" w14:textId="77777777" w:rsidR="00CC7C85" w:rsidRPr="00CC75C2" w:rsidRDefault="00CC7C85" w:rsidP="00534B05">
            <w:pPr>
              <w:autoSpaceDE w:val="0"/>
              <w:autoSpaceDN w:val="0"/>
              <w:adjustRightInd w:val="0"/>
              <w:ind w:firstLine="0"/>
              <w:jc w:val="center"/>
              <w:rPr>
                <w:rFonts w:ascii="Times New Roman" w:eastAsia="Calibri" w:hAnsi="Times New Roman" w:cs="Times New Roman"/>
                <w:bCs/>
                <w:kern w:val="0"/>
                <w:sz w:val="20"/>
                <w:szCs w:val="20"/>
                <w:lang w:val="en-GB"/>
                <w14:ligatures w14:val="none"/>
              </w:rPr>
            </w:pPr>
            <w:r w:rsidRPr="00CC75C2">
              <w:rPr>
                <w:rFonts w:ascii="Times New Roman" w:eastAsia="Calibri" w:hAnsi="Times New Roman" w:cs="Times New Roman"/>
                <w:bCs/>
                <w:kern w:val="0"/>
                <w:sz w:val="20"/>
                <w:szCs w:val="20"/>
                <w:lang w:val="en-GB"/>
                <w14:ligatures w14:val="none"/>
              </w:rPr>
              <w:t>Amendment</w:t>
            </w:r>
          </w:p>
        </w:tc>
        <w:tc>
          <w:tcPr>
            <w:tcW w:w="7229" w:type="dxa"/>
          </w:tcPr>
          <w:p w14:paraId="722AA7E5" w14:textId="77777777" w:rsidR="00CC7C85" w:rsidRPr="00CC75C2" w:rsidRDefault="00CC7C85" w:rsidP="00534B05">
            <w:pPr>
              <w:autoSpaceDE w:val="0"/>
              <w:autoSpaceDN w:val="0"/>
              <w:adjustRightInd w:val="0"/>
              <w:ind w:firstLine="0"/>
              <w:jc w:val="center"/>
              <w:rPr>
                <w:rFonts w:ascii="Times New Roman" w:eastAsia="Calibri" w:hAnsi="Times New Roman" w:cs="Times New Roman"/>
                <w:bCs/>
                <w:kern w:val="0"/>
                <w:sz w:val="20"/>
                <w:szCs w:val="20"/>
                <w:lang w:val="en-GB"/>
                <w14:ligatures w14:val="none"/>
              </w:rPr>
            </w:pPr>
            <w:r w:rsidRPr="00CC75C2">
              <w:rPr>
                <w:rFonts w:ascii="Times New Roman" w:eastAsia="Calibri" w:hAnsi="Times New Roman" w:cs="Times New Roman"/>
                <w:bCs/>
                <w:kern w:val="0"/>
                <w:sz w:val="20"/>
                <w:szCs w:val="20"/>
                <w:lang w:val="en-GB"/>
                <w14:ligatures w14:val="none"/>
              </w:rPr>
              <w:t>Key provisions</w:t>
            </w:r>
          </w:p>
        </w:tc>
      </w:tr>
      <w:tr w:rsidR="00AF3BE7" w:rsidRPr="004A67C8" w14:paraId="16D89346" w14:textId="77777777" w:rsidTr="00CC7C85">
        <w:trPr>
          <w:trHeight w:val="2337"/>
        </w:trPr>
        <w:tc>
          <w:tcPr>
            <w:tcW w:w="2410" w:type="dxa"/>
          </w:tcPr>
          <w:p w14:paraId="626D27EF" w14:textId="6D98C74A" w:rsidR="00FD6188" w:rsidRPr="00F65288" w:rsidRDefault="00FD6188"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Act of 27 March 2003 on spatial planning and development (Journal of Laws, No. 80, item 717)</w:t>
            </w:r>
            <w:r w:rsidR="003E32E6" w:rsidRPr="00F65288">
              <w:rPr>
                <w:rFonts w:ascii="Times New Roman" w:eastAsia="Calibri" w:hAnsi="Times New Roman" w:cs="Times New Roman"/>
                <w:kern w:val="0"/>
                <w:sz w:val="20"/>
                <w:szCs w:val="20"/>
                <w:lang w:val="en-GB"/>
                <w14:ligatures w14:val="none"/>
              </w:rPr>
              <w:t>.</w:t>
            </w:r>
          </w:p>
          <w:p w14:paraId="624388C2" w14:textId="409A321E" w:rsidR="00F526A0" w:rsidRPr="00346F69" w:rsidRDefault="00FD6188" w:rsidP="00DB2BBB">
            <w:pPr>
              <w:autoSpaceDE w:val="0"/>
              <w:autoSpaceDN w:val="0"/>
              <w:adjustRightInd w:val="0"/>
              <w:ind w:firstLine="0"/>
              <w:rPr>
                <w:rFonts w:ascii="Times New Roman" w:eastAsia="Calibri" w:hAnsi="Times New Roman" w:cs="Times New Roman"/>
                <w:spacing w:val="-4"/>
                <w:kern w:val="0"/>
                <w:sz w:val="20"/>
                <w:szCs w:val="20"/>
                <w:lang w:val="en-GB"/>
                <w14:ligatures w14:val="none"/>
              </w:rPr>
            </w:pPr>
            <w:r w:rsidRPr="00346F69">
              <w:rPr>
                <w:rFonts w:ascii="Times New Roman" w:eastAsia="Calibri" w:hAnsi="Times New Roman" w:cs="Times New Roman"/>
                <w:spacing w:val="-4"/>
                <w:kern w:val="0"/>
                <w:sz w:val="20"/>
                <w:szCs w:val="20"/>
                <w:lang w:val="en-GB"/>
                <w14:ligatures w14:val="none"/>
              </w:rPr>
              <w:t>Entered into force on 11 July 2003</w:t>
            </w:r>
            <w:r w:rsidR="001C01B6" w:rsidRPr="00346F69">
              <w:rPr>
                <w:rFonts w:ascii="Times New Roman" w:eastAsia="Calibri" w:hAnsi="Times New Roman" w:cs="Times New Roman"/>
                <w:spacing w:val="-4"/>
                <w:kern w:val="0"/>
                <w:sz w:val="20"/>
                <w:szCs w:val="20"/>
                <w:lang w:val="en-GB"/>
                <w14:ligatures w14:val="none"/>
              </w:rPr>
              <w:t>.</w:t>
            </w:r>
          </w:p>
        </w:tc>
        <w:tc>
          <w:tcPr>
            <w:tcW w:w="7229" w:type="dxa"/>
          </w:tcPr>
          <w:p w14:paraId="5E0E53BF" w14:textId="3CB8B13A" w:rsidR="00F55168" w:rsidRPr="00F65288" w:rsidRDefault="00C84CC9"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Amendments to Articles 7, 9, and 11. The amendment modified the procedure of </w:t>
            </w:r>
            <w:r w:rsidR="00DD2E2A" w:rsidRPr="00F65288">
              <w:rPr>
                <w:rFonts w:ascii="Times New Roman" w:eastAsia="Calibri" w:hAnsi="Times New Roman" w:cs="Times New Roman"/>
                <w:kern w:val="0"/>
                <w:sz w:val="20"/>
                <w:szCs w:val="20"/>
                <w:lang w:val="en-GB"/>
                <w14:ligatures w14:val="none"/>
              </w:rPr>
              <w:t xml:space="preserve">withdrawing </w:t>
            </w:r>
            <w:r w:rsidR="00293C0D" w:rsidRPr="00F65288">
              <w:rPr>
                <w:rFonts w:ascii="Times New Roman" w:eastAsia="Calibri" w:hAnsi="Times New Roman" w:cs="Times New Roman"/>
                <w:kern w:val="0"/>
                <w:sz w:val="20"/>
                <w:szCs w:val="20"/>
                <w:lang w:val="en-GB"/>
                <w14:ligatures w14:val="none"/>
              </w:rPr>
              <w:t>agricultural land</w:t>
            </w:r>
            <w:r w:rsidR="00DD2E2A" w:rsidRPr="00F65288">
              <w:rPr>
                <w:rFonts w:ascii="Times New Roman" w:eastAsia="Calibri" w:hAnsi="Times New Roman" w:cs="Times New Roman"/>
                <w:kern w:val="0"/>
                <w:sz w:val="20"/>
                <w:szCs w:val="20"/>
                <w:lang w:val="en-GB"/>
                <w14:ligatures w14:val="none"/>
              </w:rPr>
              <w:t xml:space="preserve"> from</w:t>
            </w:r>
            <w:r w:rsidRPr="00F65288">
              <w:rPr>
                <w:rFonts w:ascii="Times New Roman" w:eastAsia="Calibri" w:hAnsi="Times New Roman" w:cs="Times New Roman"/>
                <w:kern w:val="0"/>
                <w:sz w:val="20"/>
                <w:szCs w:val="20"/>
                <w:lang w:val="en-GB"/>
                <w14:ligatures w14:val="none"/>
              </w:rPr>
              <w:t xml:space="preserve"> production when its conversion to non-agricultural use does not require statutory permission from a voivodeship governor (applies to low-quality </w:t>
            </w:r>
            <w:r w:rsidR="00293C0D" w:rsidRPr="00F65288">
              <w:rPr>
                <w:rFonts w:ascii="Times New Roman" w:eastAsia="Calibri" w:hAnsi="Times New Roman" w:cs="Times New Roman"/>
                <w:kern w:val="0"/>
                <w:sz w:val="20"/>
                <w:szCs w:val="20"/>
                <w:lang w:val="en-GB"/>
                <w14:ligatures w14:val="none"/>
              </w:rPr>
              <w:t>agricultural land</w:t>
            </w:r>
            <w:r w:rsidRPr="00F65288">
              <w:rPr>
                <w:rFonts w:ascii="Times New Roman" w:eastAsia="Calibri" w:hAnsi="Times New Roman" w:cs="Times New Roman"/>
                <w:kern w:val="0"/>
                <w:sz w:val="20"/>
                <w:szCs w:val="20"/>
                <w:lang w:val="en-GB"/>
                <w14:ligatures w14:val="none"/>
              </w:rPr>
              <w:t xml:space="preserve"> and small parcels). In these cases, a local zoning plan does not have to be developed before </w:t>
            </w:r>
            <w:r w:rsidR="00293C0D" w:rsidRPr="00F65288">
              <w:rPr>
                <w:rFonts w:ascii="Times New Roman" w:eastAsia="Calibri" w:hAnsi="Times New Roman" w:cs="Times New Roman"/>
                <w:kern w:val="0"/>
                <w:sz w:val="20"/>
                <w:szCs w:val="20"/>
                <w:lang w:val="en-GB"/>
                <w14:ligatures w14:val="none"/>
              </w:rPr>
              <w:t>agricultural land</w:t>
            </w:r>
            <w:r w:rsidRPr="00F65288">
              <w:rPr>
                <w:rFonts w:ascii="Times New Roman" w:eastAsia="Calibri" w:hAnsi="Times New Roman" w:cs="Times New Roman"/>
                <w:kern w:val="0"/>
                <w:sz w:val="20"/>
                <w:szCs w:val="20"/>
                <w:lang w:val="en-GB"/>
                <w14:ligatures w14:val="none"/>
              </w:rPr>
              <w:t xml:space="preserve"> is </w:t>
            </w:r>
            <w:r w:rsidR="00F55168" w:rsidRPr="00F65288">
              <w:rPr>
                <w:rFonts w:ascii="Times New Roman" w:eastAsia="Calibri" w:hAnsi="Times New Roman" w:cs="Times New Roman"/>
                <w:kern w:val="0"/>
                <w:sz w:val="20"/>
                <w:szCs w:val="20"/>
                <w:lang w:val="en-GB"/>
                <w14:ligatures w14:val="none"/>
              </w:rPr>
              <w:t xml:space="preserve">taken </w:t>
            </w:r>
            <w:r w:rsidR="00DD2E2A" w:rsidRPr="00F65288">
              <w:rPr>
                <w:rFonts w:ascii="Times New Roman" w:eastAsia="Calibri" w:hAnsi="Times New Roman" w:cs="Times New Roman"/>
                <w:kern w:val="0"/>
                <w:sz w:val="20"/>
                <w:szCs w:val="20"/>
                <w:lang w:val="en-GB"/>
                <w14:ligatures w14:val="none"/>
              </w:rPr>
              <w:t>out of</w:t>
            </w:r>
            <w:r w:rsidR="00F55168" w:rsidRPr="00F65288">
              <w:rPr>
                <w:rFonts w:ascii="Times New Roman" w:eastAsia="Calibri" w:hAnsi="Times New Roman" w:cs="Times New Roman"/>
                <w:kern w:val="0"/>
                <w:sz w:val="20"/>
                <w:szCs w:val="20"/>
                <w:lang w:val="en-GB"/>
                <w14:ligatures w14:val="none"/>
              </w:rPr>
              <w:t xml:space="preserve"> production. At the same time, more stringent requirements were introduced for low-quality soils (consolidated </w:t>
            </w:r>
            <w:r w:rsidR="00293C0D" w:rsidRPr="00F65288">
              <w:rPr>
                <w:rFonts w:ascii="Times New Roman" w:eastAsia="Calibri" w:hAnsi="Times New Roman" w:cs="Times New Roman"/>
                <w:kern w:val="0"/>
                <w:sz w:val="20"/>
                <w:szCs w:val="20"/>
                <w:lang w:val="en-GB"/>
                <w14:ligatures w14:val="none"/>
              </w:rPr>
              <w:t>agricultural land</w:t>
            </w:r>
            <w:r w:rsidR="00F55168" w:rsidRPr="00F65288">
              <w:rPr>
                <w:rFonts w:ascii="Times New Roman" w:eastAsia="Calibri" w:hAnsi="Times New Roman" w:cs="Times New Roman"/>
                <w:kern w:val="0"/>
                <w:sz w:val="20"/>
                <w:szCs w:val="20"/>
                <w:lang w:val="en-GB"/>
                <w14:ligatures w14:val="none"/>
              </w:rPr>
              <w:t xml:space="preserve"> with an area greater than 1 ha).</w:t>
            </w:r>
          </w:p>
          <w:p w14:paraId="2DA10F66" w14:textId="1F8AB967" w:rsidR="00F526A0" w:rsidRPr="00F65288" w:rsidRDefault="00F55168"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Before the amendment, Article 7</w:t>
            </w:r>
            <w:r w:rsidR="004A67C8">
              <w:rPr>
                <w:rFonts w:ascii="Times New Roman" w:eastAsia="Calibri" w:hAnsi="Times New Roman" w:cs="Times New Roman"/>
                <w:kern w:val="0"/>
                <w:sz w:val="20"/>
                <w:szCs w:val="20"/>
                <w:lang w:val="en-GB"/>
                <w14:ligatures w14:val="none"/>
              </w:rPr>
              <w:t>,</w:t>
            </w:r>
            <w:r w:rsidRPr="00F65288">
              <w:rPr>
                <w:rFonts w:ascii="Times New Roman" w:eastAsia="Calibri" w:hAnsi="Times New Roman" w:cs="Times New Roman"/>
                <w:kern w:val="0"/>
                <w:sz w:val="20"/>
                <w:szCs w:val="20"/>
                <w:lang w:val="en-GB"/>
                <w14:ligatures w14:val="none"/>
              </w:rPr>
              <w:t xml:space="preserve"> </w:t>
            </w:r>
            <w:r w:rsidR="004A67C8">
              <w:rPr>
                <w:rFonts w:ascii="Times New Roman" w:eastAsia="Calibri" w:hAnsi="Times New Roman" w:cs="Times New Roman"/>
                <w:kern w:val="0"/>
                <w:sz w:val="20"/>
                <w:szCs w:val="20"/>
                <w:lang w:val="en-GB"/>
                <w14:ligatures w14:val="none"/>
              </w:rPr>
              <w:t xml:space="preserve">Section 4 concerned agricultural land designated for the construction of water reservoirs, mines, public roads, and railway lines – </w:t>
            </w:r>
            <w:r w:rsidR="004A67C8" w:rsidRPr="001B5BFC">
              <w:rPr>
                <w:rFonts w:ascii="Times New Roman" w:eastAsia="Calibri" w:hAnsi="Times New Roman" w:cs="Times New Roman"/>
                <w:i/>
                <w:iCs/>
                <w:kern w:val="0"/>
                <w:sz w:val="20"/>
                <w:szCs w:val="20"/>
                <w:lang w:val="en-GB"/>
                <w14:ligatures w14:val="none"/>
              </w:rPr>
              <w:t>these provisions remained in force until December 31,</w:t>
            </w:r>
            <w:r w:rsidRPr="00F65288">
              <w:rPr>
                <w:rFonts w:ascii="Times New Roman" w:eastAsia="Calibri" w:hAnsi="Times New Roman" w:cs="Times New Roman"/>
                <w:i/>
                <w:kern w:val="0"/>
                <w:sz w:val="20"/>
                <w:szCs w:val="20"/>
                <w:lang w:val="en-GB"/>
                <w14:ligatures w14:val="none"/>
              </w:rPr>
              <w:t xml:space="preserve"> 2008</w:t>
            </w:r>
            <w:r w:rsidRPr="00F65288">
              <w:rPr>
                <w:rFonts w:ascii="Times New Roman" w:eastAsia="Calibri" w:hAnsi="Times New Roman" w:cs="Times New Roman"/>
                <w:kern w:val="0"/>
                <w:sz w:val="20"/>
                <w:szCs w:val="20"/>
                <w:lang w:val="en-GB"/>
                <w14:ligatures w14:val="none"/>
              </w:rPr>
              <w:t xml:space="preserve">. </w:t>
            </w:r>
          </w:p>
        </w:tc>
      </w:tr>
      <w:tr w:rsidR="00AF3BE7" w:rsidRPr="004A67C8" w14:paraId="0DA3D686" w14:textId="77777777" w:rsidTr="00CC7C85">
        <w:trPr>
          <w:trHeight w:val="2141"/>
        </w:trPr>
        <w:tc>
          <w:tcPr>
            <w:tcW w:w="2410" w:type="dxa"/>
            <w:shd w:val="clear" w:color="auto" w:fill="FFFFFF"/>
          </w:tcPr>
          <w:p w14:paraId="7885C8FB" w14:textId="19224FE1" w:rsidR="00F55168" w:rsidRPr="00F65288" w:rsidRDefault="00F55168"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Act of 19 December 2008 amending the Act on the protection of agricultural and forest land (Journal of Laws, No. 237, item 1657)</w:t>
            </w:r>
            <w:r w:rsidR="003E32E6" w:rsidRPr="00F65288">
              <w:rPr>
                <w:rFonts w:ascii="Times New Roman" w:eastAsia="Calibri" w:hAnsi="Times New Roman" w:cs="Times New Roman"/>
                <w:kern w:val="0"/>
                <w:sz w:val="20"/>
                <w:szCs w:val="20"/>
                <w:lang w:val="en-GB"/>
                <w14:ligatures w14:val="none"/>
              </w:rPr>
              <w:t>.</w:t>
            </w:r>
          </w:p>
          <w:p w14:paraId="67C6D480" w14:textId="7521802A" w:rsidR="00F526A0" w:rsidRPr="00F65288" w:rsidRDefault="00F55168"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Entered into force on 1 January 2009</w:t>
            </w:r>
            <w:r w:rsidR="00533A0E" w:rsidRPr="00F65288">
              <w:rPr>
                <w:rFonts w:ascii="Times New Roman" w:eastAsia="Calibri" w:hAnsi="Times New Roman" w:cs="Times New Roman"/>
                <w:kern w:val="0"/>
                <w:sz w:val="20"/>
                <w:szCs w:val="20"/>
                <w:lang w:val="en-GB"/>
                <w14:ligatures w14:val="none"/>
              </w:rPr>
              <w:t>.</w:t>
            </w:r>
          </w:p>
        </w:tc>
        <w:tc>
          <w:tcPr>
            <w:tcW w:w="7229" w:type="dxa"/>
          </w:tcPr>
          <w:p w14:paraId="040D8718" w14:textId="7E841E07" w:rsidR="00F55168" w:rsidRPr="00F65288" w:rsidRDefault="00F55168"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Amended: Article 7 section 3, Article 11 sections 1</w:t>
            </w:r>
            <w:r w:rsidR="00790A4D">
              <w:rPr>
                <w:rFonts w:ascii="Times New Roman" w:eastAsia="Calibri" w:hAnsi="Times New Roman" w:cs="Times New Roman"/>
                <w:kern w:val="0"/>
                <w:sz w:val="20"/>
                <w:szCs w:val="20"/>
                <w:lang w:val="en-GB"/>
                <w14:ligatures w14:val="none"/>
              </w:rPr>
              <w:t>-</w:t>
            </w:r>
            <w:r w:rsidRPr="00F65288">
              <w:rPr>
                <w:rFonts w:ascii="Times New Roman" w:eastAsia="Calibri" w:hAnsi="Times New Roman" w:cs="Times New Roman"/>
                <w:kern w:val="0"/>
                <w:sz w:val="20"/>
                <w:szCs w:val="20"/>
                <w:lang w:val="en-GB"/>
                <w14:ligatures w14:val="none"/>
              </w:rPr>
              <w:t>6, Article 12 section 3, Article 28 section 4 point 1;</w:t>
            </w:r>
          </w:p>
          <w:p w14:paraId="51D319FA" w14:textId="60995971" w:rsidR="00F526A0" w:rsidRPr="00F65288" w:rsidRDefault="00F55168"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Added: Article 5b, Article 11 sections 1a and 1b;</w:t>
            </w:r>
          </w:p>
          <w:p w14:paraId="2A985FBE" w14:textId="13F5583B" w:rsidR="00F526A0" w:rsidRPr="00F65288" w:rsidRDefault="00F55168"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Repealed: Article 7</w:t>
            </w:r>
            <w:r w:rsidR="004A67C8">
              <w:rPr>
                <w:rFonts w:ascii="Times New Roman" w:eastAsia="Calibri" w:hAnsi="Times New Roman" w:cs="Times New Roman"/>
                <w:kern w:val="0"/>
                <w:sz w:val="20"/>
                <w:szCs w:val="20"/>
                <w:lang w:val="en-GB"/>
                <w14:ligatures w14:val="none"/>
              </w:rPr>
              <w:t>,</w:t>
            </w:r>
            <w:r w:rsidRPr="00F65288">
              <w:rPr>
                <w:rFonts w:ascii="Times New Roman" w:eastAsia="Calibri" w:hAnsi="Times New Roman" w:cs="Times New Roman"/>
                <w:kern w:val="0"/>
                <w:sz w:val="20"/>
                <w:szCs w:val="20"/>
                <w:lang w:val="en-GB"/>
                <w14:ligatures w14:val="none"/>
              </w:rPr>
              <w:t xml:space="preserve"> section 2</w:t>
            </w:r>
            <w:r w:rsidR="004A67C8">
              <w:rPr>
                <w:rFonts w:ascii="Times New Roman" w:eastAsia="Calibri" w:hAnsi="Times New Roman" w:cs="Times New Roman"/>
                <w:kern w:val="0"/>
                <w:sz w:val="20"/>
                <w:szCs w:val="20"/>
                <w:lang w:val="en-GB"/>
                <w14:ligatures w14:val="none"/>
              </w:rPr>
              <w:t>,</w:t>
            </w:r>
            <w:r w:rsidRPr="00F65288">
              <w:rPr>
                <w:rFonts w:ascii="Times New Roman" w:eastAsia="Calibri" w:hAnsi="Times New Roman" w:cs="Times New Roman"/>
                <w:kern w:val="0"/>
                <w:sz w:val="20"/>
                <w:szCs w:val="20"/>
                <w:lang w:val="en-GB"/>
                <w14:ligatures w14:val="none"/>
              </w:rPr>
              <w:t xml:space="preserve"> points 3 and 4, section 6</w:t>
            </w:r>
            <w:r w:rsidR="00875A12" w:rsidRPr="00F65288">
              <w:rPr>
                <w:rFonts w:ascii="Times New Roman" w:eastAsia="Calibri" w:hAnsi="Times New Roman" w:cs="Times New Roman"/>
                <w:kern w:val="0"/>
                <w:sz w:val="20"/>
                <w:szCs w:val="20"/>
                <w:lang w:val="en-GB"/>
                <w14:ligatures w14:val="none"/>
              </w:rPr>
              <w:t>, Article 12</w:t>
            </w:r>
            <w:r w:rsidR="004A67C8">
              <w:rPr>
                <w:rFonts w:ascii="Times New Roman" w:eastAsia="Calibri" w:hAnsi="Times New Roman" w:cs="Times New Roman"/>
                <w:kern w:val="0"/>
                <w:sz w:val="20"/>
                <w:szCs w:val="20"/>
                <w:lang w:val="en-GB"/>
                <w14:ligatures w14:val="none"/>
              </w:rPr>
              <w:t>,</w:t>
            </w:r>
            <w:r w:rsidR="00875A12" w:rsidRPr="00F65288">
              <w:rPr>
                <w:rFonts w:ascii="Times New Roman" w:eastAsia="Calibri" w:hAnsi="Times New Roman" w:cs="Times New Roman"/>
                <w:kern w:val="0"/>
                <w:sz w:val="20"/>
                <w:szCs w:val="20"/>
                <w:lang w:val="en-GB"/>
                <w14:ligatures w14:val="none"/>
              </w:rPr>
              <w:t xml:space="preserve"> section 15.</w:t>
            </w:r>
          </w:p>
          <w:p w14:paraId="69A6FAFA" w14:textId="57481FF0" w:rsidR="00875A12" w:rsidRPr="00F65288" w:rsidRDefault="00875A12"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Agricultural land assigned to soil quality class</w:t>
            </w:r>
            <w:r w:rsidR="00534EDE" w:rsidRPr="00F65288">
              <w:rPr>
                <w:rFonts w:ascii="Times New Roman" w:eastAsia="Calibri" w:hAnsi="Times New Roman" w:cs="Times New Roman"/>
                <w:kern w:val="0"/>
                <w:sz w:val="20"/>
                <w:szCs w:val="20"/>
                <w:lang w:val="en-GB"/>
                <w14:ligatures w14:val="none"/>
              </w:rPr>
              <w:t>es</w:t>
            </w:r>
            <w:r w:rsidRPr="00F65288">
              <w:rPr>
                <w:rFonts w:ascii="Times New Roman" w:eastAsia="Calibri" w:hAnsi="Times New Roman" w:cs="Times New Roman"/>
                <w:kern w:val="0"/>
                <w:sz w:val="20"/>
                <w:szCs w:val="20"/>
                <w:lang w:val="en-GB"/>
                <w14:ligatures w14:val="none"/>
              </w:rPr>
              <w:t xml:space="preserve"> IV-VI and located within the administrative boundaries of cities was deprived of statutory protection and made available for development purposes.</w:t>
            </w:r>
          </w:p>
          <w:p w14:paraId="6C517FE1" w14:textId="04FE2244" w:rsidR="00F526A0" w:rsidRPr="00F65288" w:rsidRDefault="00875A12"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The amendment stipulates that the provisions of the act do not apply to agricultural land within the administrative boundaries of cities.</w:t>
            </w:r>
          </w:p>
        </w:tc>
      </w:tr>
      <w:tr w:rsidR="00AF3BE7" w:rsidRPr="004A67C8" w14:paraId="241336A4" w14:textId="77777777" w:rsidTr="00CC7C85">
        <w:trPr>
          <w:trHeight w:val="1665"/>
        </w:trPr>
        <w:tc>
          <w:tcPr>
            <w:tcW w:w="2410" w:type="dxa"/>
          </w:tcPr>
          <w:p w14:paraId="08665A2F" w14:textId="545F3717" w:rsidR="00875A12" w:rsidRPr="00F65288" w:rsidRDefault="00875A12"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Act of 25 June 2009 amending the Act on the protection of agricultural and forest land (Journal of Laws, No. 115, item 967)</w:t>
            </w:r>
            <w:r w:rsidR="003E32E6" w:rsidRPr="00F65288">
              <w:rPr>
                <w:rFonts w:ascii="Times New Roman" w:eastAsia="Calibri" w:hAnsi="Times New Roman" w:cs="Times New Roman"/>
                <w:kern w:val="0"/>
                <w:sz w:val="20"/>
                <w:szCs w:val="20"/>
                <w:lang w:val="en-GB"/>
                <w14:ligatures w14:val="none"/>
              </w:rPr>
              <w:t>.</w:t>
            </w:r>
          </w:p>
          <w:p w14:paraId="28B3F98D" w14:textId="0533287D" w:rsidR="00F526A0" w:rsidRPr="00F65288" w:rsidRDefault="00875A12"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Entered into force on 1 January 2010</w:t>
            </w:r>
            <w:r w:rsidR="002D73AD" w:rsidRPr="00F65288">
              <w:rPr>
                <w:rFonts w:ascii="Times New Roman" w:eastAsia="Calibri" w:hAnsi="Times New Roman" w:cs="Times New Roman"/>
                <w:kern w:val="0"/>
                <w:sz w:val="20"/>
                <w:szCs w:val="20"/>
                <w:lang w:val="en-GB"/>
                <w14:ligatures w14:val="none"/>
              </w:rPr>
              <w:t>.</w:t>
            </w:r>
          </w:p>
        </w:tc>
        <w:tc>
          <w:tcPr>
            <w:tcW w:w="7229" w:type="dxa"/>
          </w:tcPr>
          <w:p w14:paraId="65F08913" w14:textId="46468AB4" w:rsidR="00217A47" w:rsidRPr="00F65288" w:rsidRDefault="00F526A0" w:rsidP="00DB2BBB">
            <w:pPr>
              <w:autoSpaceDE w:val="0"/>
              <w:autoSpaceDN w:val="0"/>
              <w:adjustRightInd w:val="0"/>
              <w:ind w:left="40"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1) </w:t>
            </w:r>
            <w:r w:rsidR="00875A12" w:rsidRPr="00F65288">
              <w:rPr>
                <w:rFonts w:ascii="Times New Roman" w:eastAsia="Calibri" w:hAnsi="Times New Roman" w:cs="Times New Roman"/>
                <w:kern w:val="0"/>
                <w:sz w:val="20"/>
                <w:szCs w:val="20"/>
                <w:lang w:val="en-GB"/>
                <w14:ligatures w14:val="none"/>
              </w:rPr>
              <w:t>Article 12</w:t>
            </w:r>
            <w:r w:rsidR="004A67C8">
              <w:rPr>
                <w:rFonts w:ascii="Times New Roman" w:eastAsia="Calibri" w:hAnsi="Times New Roman" w:cs="Times New Roman"/>
                <w:kern w:val="0"/>
                <w:sz w:val="20"/>
                <w:szCs w:val="20"/>
                <w:lang w:val="en-GB"/>
                <w14:ligatures w14:val="none"/>
              </w:rPr>
              <w:t>,</w:t>
            </w:r>
            <w:r w:rsidR="00875A12" w:rsidRPr="00F65288">
              <w:rPr>
                <w:rFonts w:ascii="Times New Roman" w:eastAsia="Calibri" w:hAnsi="Times New Roman" w:cs="Times New Roman"/>
                <w:kern w:val="0"/>
                <w:sz w:val="20"/>
                <w:szCs w:val="20"/>
                <w:lang w:val="en-GB"/>
                <w14:ligatures w14:val="none"/>
              </w:rPr>
              <w:t xml:space="preserve"> section</w:t>
            </w:r>
            <w:r w:rsidR="00217A47" w:rsidRPr="00F65288">
              <w:rPr>
                <w:rFonts w:ascii="Times New Roman" w:eastAsia="Calibri" w:hAnsi="Times New Roman" w:cs="Times New Roman"/>
                <w:kern w:val="0"/>
                <w:sz w:val="20"/>
                <w:szCs w:val="20"/>
                <w:lang w:val="en-GB"/>
                <w14:ligatures w14:val="none"/>
              </w:rPr>
              <w:t xml:space="preserve"> </w:t>
            </w:r>
            <w:r w:rsidR="00BC36C7" w:rsidRPr="00F65288">
              <w:rPr>
                <w:rFonts w:ascii="Times New Roman" w:eastAsia="Calibri" w:hAnsi="Times New Roman" w:cs="Times New Roman"/>
                <w:kern w:val="0"/>
                <w:sz w:val="20"/>
                <w:szCs w:val="20"/>
                <w:lang w:val="en-GB"/>
                <w14:ligatures w14:val="none"/>
              </w:rPr>
              <w:t xml:space="preserve">7 was modified </w:t>
            </w:r>
            <w:r w:rsidR="00217A47" w:rsidRPr="00F65288">
              <w:rPr>
                <w:rFonts w:ascii="Times New Roman" w:eastAsia="Calibri" w:hAnsi="Times New Roman" w:cs="Times New Roman"/>
                <w:kern w:val="0"/>
                <w:sz w:val="20"/>
                <w:szCs w:val="20"/>
                <w:lang w:val="en-GB"/>
                <w14:ligatures w14:val="none"/>
              </w:rPr>
              <w:t xml:space="preserve">– fees that were previously calculated in tons of </w:t>
            </w:r>
            <w:r w:rsidR="002D73AD" w:rsidRPr="00F65288">
              <w:rPr>
                <w:rFonts w:ascii="Times New Roman" w:eastAsia="Calibri" w:hAnsi="Times New Roman" w:cs="Times New Roman"/>
                <w:kern w:val="0"/>
                <w:sz w:val="20"/>
                <w:szCs w:val="20"/>
                <w:lang w:val="en-GB"/>
                <w14:ligatures w14:val="none"/>
              </w:rPr>
              <w:t>rye</w:t>
            </w:r>
            <w:r w:rsidR="00217A47" w:rsidRPr="00F65288">
              <w:rPr>
                <w:rFonts w:ascii="Times New Roman" w:eastAsia="Calibri" w:hAnsi="Times New Roman" w:cs="Times New Roman"/>
                <w:kern w:val="0"/>
                <w:sz w:val="20"/>
                <w:szCs w:val="20"/>
                <w:lang w:val="en-GB"/>
                <w14:ligatures w14:val="none"/>
              </w:rPr>
              <w:t xml:space="preserve"> grain were replaced with monetary fees, depending on the type of land and soil quality class; </w:t>
            </w:r>
          </w:p>
          <w:p w14:paraId="17BF61AF" w14:textId="1B43E8DE" w:rsidR="00F526A0"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2) </w:t>
            </w:r>
            <w:r w:rsidR="00217A47" w:rsidRPr="00F65288">
              <w:rPr>
                <w:rFonts w:ascii="Times New Roman" w:eastAsia="Calibri" w:hAnsi="Times New Roman" w:cs="Times New Roman"/>
                <w:kern w:val="0"/>
                <w:sz w:val="20"/>
                <w:szCs w:val="20"/>
                <w:lang w:val="en-GB"/>
                <w14:ligatures w14:val="none"/>
              </w:rPr>
              <w:t xml:space="preserve">Article 12 section 17 was added – payments and annual fees </w:t>
            </w:r>
            <w:r w:rsidR="00192EAB" w:rsidRPr="00F65288">
              <w:rPr>
                <w:rFonts w:ascii="Times New Roman" w:eastAsia="Calibri" w:hAnsi="Times New Roman" w:cs="Times New Roman"/>
                <w:kern w:val="0"/>
                <w:sz w:val="20"/>
                <w:szCs w:val="20"/>
                <w:lang w:val="en-GB"/>
                <w14:ligatures w14:val="none"/>
              </w:rPr>
              <w:t>in virtue of</w:t>
            </w:r>
            <w:r w:rsidR="00217A47" w:rsidRPr="00F65288">
              <w:rPr>
                <w:rFonts w:ascii="Times New Roman" w:eastAsia="Calibri" w:hAnsi="Times New Roman" w:cs="Times New Roman"/>
                <w:kern w:val="0"/>
                <w:sz w:val="20"/>
                <w:szCs w:val="20"/>
                <w:lang w:val="en-GB"/>
                <w14:ligatures w14:val="none"/>
              </w:rPr>
              <w:t xml:space="preserve"> land designated for public projects</w:t>
            </w:r>
            <w:r w:rsidR="00192EAB" w:rsidRPr="00F65288">
              <w:rPr>
                <w:rFonts w:ascii="Times New Roman" w:eastAsia="Calibri" w:hAnsi="Times New Roman" w:cs="Times New Roman"/>
                <w:kern w:val="0"/>
                <w:sz w:val="20"/>
                <w:szCs w:val="20"/>
                <w:lang w:val="en-GB"/>
                <w14:ligatures w14:val="none"/>
              </w:rPr>
              <w:t xml:space="preserve"> (as defined in Article 6 of the Act on real estate management)</w:t>
            </w:r>
            <w:r w:rsidR="00217A47" w:rsidRPr="00F65288">
              <w:rPr>
                <w:rFonts w:ascii="Times New Roman" w:eastAsia="Calibri" w:hAnsi="Times New Roman" w:cs="Times New Roman"/>
                <w:kern w:val="0"/>
                <w:sz w:val="20"/>
                <w:szCs w:val="20"/>
                <w:lang w:val="en-GB"/>
                <w14:ligatures w14:val="none"/>
              </w:rPr>
              <w:t xml:space="preserve"> can be written off in whole or in part</w:t>
            </w:r>
            <w:r w:rsidR="00192EAB" w:rsidRPr="00F65288">
              <w:rPr>
                <w:rFonts w:ascii="Times New Roman" w:eastAsia="Calibri" w:hAnsi="Times New Roman" w:cs="Times New Roman"/>
                <w:kern w:val="0"/>
                <w:sz w:val="20"/>
                <w:szCs w:val="20"/>
                <w:lang w:val="en-GB"/>
                <w14:ligatures w14:val="none"/>
              </w:rPr>
              <w:t xml:space="preserve"> if </w:t>
            </w:r>
            <w:r w:rsidR="004A67C8">
              <w:rPr>
                <w:rFonts w:ascii="Times New Roman" w:eastAsia="Calibri" w:hAnsi="Times New Roman" w:cs="Times New Roman"/>
                <w:kern w:val="0"/>
                <w:sz w:val="20"/>
                <w:szCs w:val="20"/>
                <w:lang w:val="en-GB"/>
                <w14:ligatures w14:val="none"/>
              </w:rPr>
              <w:t xml:space="preserve">the </w:t>
            </w:r>
            <w:r w:rsidR="00192EAB" w:rsidRPr="00F65288">
              <w:rPr>
                <w:rFonts w:ascii="Times New Roman" w:eastAsia="Calibri" w:hAnsi="Times New Roman" w:cs="Times New Roman"/>
                <w:kern w:val="0"/>
                <w:sz w:val="20"/>
                <w:szCs w:val="20"/>
                <w:lang w:val="en-GB"/>
                <w14:ligatures w14:val="none"/>
              </w:rPr>
              <w:t>land area does not exceed 1 ha and the project cannot be developed on unprotected land.</w:t>
            </w:r>
          </w:p>
        </w:tc>
      </w:tr>
      <w:tr w:rsidR="00AF3BE7" w:rsidRPr="004A67C8" w14:paraId="2392344E" w14:textId="77777777" w:rsidTr="00CC7C85">
        <w:trPr>
          <w:trHeight w:val="1427"/>
        </w:trPr>
        <w:tc>
          <w:tcPr>
            <w:tcW w:w="2410" w:type="dxa"/>
          </w:tcPr>
          <w:p w14:paraId="135B7902" w14:textId="63D14AB7" w:rsidR="00192EAB" w:rsidRPr="00F65288" w:rsidRDefault="00192EAB"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Geological and Mining Law of 9 June 2011 (Journal of Laws, No. 163, item 981)</w:t>
            </w:r>
            <w:r w:rsidR="003E32E6" w:rsidRPr="00F65288">
              <w:rPr>
                <w:rFonts w:ascii="Times New Roman" w:eastAsia="Calibri" w:hAnsi="Times New Roman" w:cs="Times New Roman"/>
                <w:kern w:val="0"/>
                <w:sz w:val="20"/>
                <w:szCs w:val="20"/>
                <w:lang w:val="en-GB"/>
                <w14:ligatures w14:val="none"/>
              </w:rPr>
              <w:t>.</w:t>
            </w:r>
          </w:p>
          <w:p w14:paraId="4DD4A7B6" w14:textId="6D1BB888" w:rsidR="00F526A0" w:rsidRPr="00F65288" w:rsidRDefault="00192EAB"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Entered into force on 1 January 2012</w:t>
            </w:r>
            <w:r w:rsidR="002D73AD" w:rsidRPr="00F65288">
              <w:rPr>
                <w:rFonts w:ascii="Times New Roman" w:eastAsia="Calibri" w:hAnsi="Times New Roman" w:cs="Times New Roman"/>
                <w:kern w:val="0"/>
                <w:sz w:val="20"/>
                <w:szCs w:val="20"/>
                <w:lang w:val="en-GB"/>
                <w14:ligatures w14:val="none"/>
              </w:rPr>
              <w:t>.</w:t>
            </w:r>
          </w:p>
        </w:tc>
        <w:tc>
          <w:tcPr>
            <w:tcW w:w="7229" w:type="dxa"/>
          </w:tcPr>
          <w:p w14:paraId="7232D7EB" w14:textId="17495F72" w:rsidR="00F526A0" w:rsidRPr="00F65288" w:rsidRDefault="00192EAB"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The provisions of Article 8 were aligned with the</w:t>
            </w:r>
            <w:r w:rsidR="00343B2F" w:rsidRPr="00F65288">
              <w:rPr>
                <w:rFonts w:ascii="Times New Roman" w:eastAsia="Calibri" w:hAnsi="Times New Roman" w:cs="Times New Roman"/>
                <w:kern w:val="0"/>
                <w:sz w:val="20"/>
                <w:szCs w:val="20"/>
                <w:lang w:val="en-GB"/>
                <w14:ligatures w14:val="none"/>
              </w:rPr>
              <w:t xml:space="preserve"> </w:t>
            </w:r>
            <w:r w:rsidRPr="00F65288">
              <w:rPr>
                <w:rFonts w:ascii="Times New Roman" w:eastAsia="Calibri" w:hAnsi="Times New Roman" w:cs="Times New Roman"/>
                <w:kern w:val="0"/>
                <w:sz w:val="20"/>
                <w:szCs w:val="20"/>
                <w:lang w:val="en-GB"/>
                <w14:ligatures w14:val="none"/>
              </w:rPr>
              <w:t xml:space="preserve">Geological and Mining Law (the conversion of agricultural and forest land to non-agricultural and non-forestry use, </w:t>
            </w:r>
            <w:r w:rsidR="0020625F" w:rsidRPr="00F65288">
              <w:rPr>
                <w:rFonts w:ascii="Times New Roman" w:eastAsia="Calibri" w:hAnsi="Times New Roman" w:cs="Times New Roman"/>
                <w:kern w:val="0"/>
                <w:sz w:val="20"/>
                <w:szCs w:val="20"/>
                <w:lang w:val="en-GB"/>
                <w14:ligatures w14:val="none"/>
              </w:rPr>
              <w:t>where</w:t>
            </w:r>
            <w:r w:rsidRPr="00F65288">
              <w:rPr>
                <w:rFonts w:ascii="Times New Roman" w:eastAsia="Calibri" w:hAnsi="Times New Roman" w:cs="Times New Roman"/>
                <w:kern w:val="0"/>
                <w:sz w:val="20"/>
                <w:szCs w:val="20"/>
                <w:lang w:val="en-GB"/>
                <w14:ligatures w14:val="none"/>
              </w:rPr>
              <w:t xml:space="preserve"> </w:t>
            </w:r>
            <w:r w:rsidR="00343B2F" w:rsidRPr="00F65288">
              <w:rPr>
                <w:rFonts w:ascii="Times New Roman" w:eastAsia="Calibri" w:hAnsi="Times New Roman" w:cs="Times New Roman"/>
                <w:kern w:val="0"/>
                <w:sz w:val="20"/>
                <w:szCs w:val="20"/>
                <w:lang w:val="en-GB"/>
                <w14:ligatures w14:val="none"/>
              </w:rPr>
              <w:t>such conversion</w:t>
            </w:r>
            <w:r w:rsidRPr="00F65288">
              <w:rPr>
                <w:rFonts w:ascii="Times New Roman" w:eastAsia="Calibri" w:hAnsi="Times New Roman" w:cs="Times New Roman"/>
                <w:kern w:val="0"/>
                <w:sz w:val="20"/>
                <w:szCs w:val="20"/>
                <w:lang w:val="en-GB"/>
                <w14:ligatures w14:val="none"/>
              </w:rPr>
              <w:t xml:space="preserve"> requires </w:t>
            </w:r>
            <w:r w:rsidR="0020625F" w:rsidRPr="00F65288">
              <w:rPr>
                <w:rFonts w:ascii="Times New Roman" w:eastAsia="Calibri" w:hAnsi="Times New Roman" w:cs="Times New Roman"/>
                <w:kern w:val="0"/>
                <w:sz w:val="20"/>
                <w:szCs w:val="20"/>
                <w:lang w:val="en-GB"/>
                <w14:ligatures w14:val="none"/>
              </w:rPr>
              <w:t>the consent of</w:t>
            </w:r>
            <w:r w:rsidRPr="00F65288">
              <w:rPr>
                <w:rFonts w:ascii="Times New Roman" w:eastAsia="Calibri" w:hAnsi="Times New Roman" w:cs="Times New Roman"/>
                <w:kern w:val="0"/>
                <w:sz w:val="20"/>
                <w:szCs w:val="20"/>
                <w:lang w:val="en-GB"/>
                <w14:ligatures w14:val="none"/>
              </w:rPr>
              <w:t xml:space="preserve"> the voivodship governor</w:t>
            </w:r>
            <w:r w:rsidR="00343B2F" w:rsidRPr="00F65288">
              <w:rPr>
                <w:rFonts w:ascii="Times New Roman" w:eastAsia="Calibri" w:hAnsi="Times New Roman" w:cs="Times New Roman"/>
                <w:kern w:val="0"/>
                <w:sz w:val="20"/>
                <w:szCs w:val="20"/>
                <w:lang w:val="en-GB"/>
                <w14:ligatures w14:val="none"/>
              </w:rPr>
              <w:t xml:space="preserve">, </w:t>
            </w:r>
            <w:r w:rsidR="0020625F" w:rsidRPr="00F65288">
              <w:rPr>
                <w:rFonts w:ascii="Times New Roman" w:eastAsia="Calibri" w:hAnsi="Times New Roman" w:cs="Times New Roman"/>
                <w:kern w:val="0"/>
                <w:sz w:val="20"/>
                <w:szCs w:val="20"/>
                <w:lang w:val="en-GB"/>
                <w14:ligatures w14:val="none"/>
              </w:rPr>
              <w:t>must</w:t>
            </w:r>
            <w:r w:rsidR="00343B2F" w:rsidRPr="00F65288">
              <w:rPr>
                <w:rFonts w:ascii="Times New Roman" w:eastAsia="Calibri" w:hAnsi="Times New Roman" w:cs="Times New Roman"/>
                <w:kern w:val="0"/>
                <w:sz w:val="20"/>
                <w:szCs w:val="20"/>
                <w:lang w:val="en-GB"/>
                <w14:ligatures w14:val="none"/>
              </w:rPr>
              <w:t xml:space="preserve"> be indicated in the local zoning plan. The above does not apply to </w:t>
            </w:r>
            <w:r w:rsidR="0020625F" w:rsidRPr="00F65288">
              <w:rPr>
                <w:rFonts w:ascii="Times New Roman" w:eastAsia="Calibri" w:hAnsi="Times New Roman" w:cs="Times New Roman"/>
                <w:kern w:val="0"/>
                <w:sz w:val="20"/>
                <w:szCs w:val="20"/>
                <w:lang w:val="en-GB"/>
                <w14:ligatures w14:val="none"/>
              </w:rPr>
              <w:t>land that is temporarily (for a period of up to 10 years) withdrawn from production for the purpose of prospecting for or identifying mineral deposits.</w:t>
            </w:r>
            <w:r w:rsidR="00343B2F" w:rsidRPr="00F65288">
              <w:rPr>
                <w:rFonts w:ascii="Times New Roman" w:eastAsia="Calibri" w:hAnsi="Times New Roman" w:cs="Times New Roman"/>
                <w:kern w:val="0"/>
                <w:sz w:val="20"/>
                <w:szCs w:val="20"/>
                <w:lang w:val="en-GB"/>
                <w14:ligatures w14:val="none"/>
              </w:rPr>
              <w:t xml:space="preserve"> </w:t>
            </w:r>
          </w:p>
        </w:tc>
      </w:tr>
      <w:tr w:rsidR="00AF3BE7" w:rsidRPr="004A67C8" w14:paraId="1E3A8D2F" w14:textId="77777777" w:rsidTr="00CC7C85">
        <w:tc>
          <w:tcPr>
            <w:tcW w:w="2410" w:type="dxa"/>
          </w:tcPr>
          <w:p w14:paraId="344C4B71" w14:textId="3F546707" w:rsidR="0020625F" w:rsidRPr="00F65288" w:rsidRDefault="0020625F"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Act of 8 March 2013 amending the Act on the protection of agricultural and forest land (Journal of Laws, 2013, item 503).</w:t>
            </w:r>
          </w:p>
          <w:p w14:paraId="3E3EAD56" w14:textId="0FE5472E" w:rsidR="00F526A0" w:rsidRPr="00346F69" w:rsidRDefault="0020625F" w:rsidP="00DB2BBB">
            <w:pPr>
              <w:autoSpaceDE w:val="0"/>
              <w:autoSpaceDN w:val="0"/>
              <w:adjustRightInd w:val="0"/>
              <w:ind w:firstLine="0"/>
              <w:rPr>
                <w:rFonts w:ascii="Times New Roman" w:eastAsia="Calibri" w:hAnsi="Times New Roman" w:cs="Times New Roman"/>
                <w:spacing w:val="-4"/>
                <w:kern w:val="0"/>
                <w:sz w:val="20"/>
                <w:szCs w:val="20"/>
                <w:lang w:val="en-GB"/>
                <w14:ligatures w14:val="none"/>
              </w:rPr>
            </w:pPr>
            <w:r w:rsidRPr="00346F69">
              <w:rPr>
                <w:rFonts w:ascii="Times New Roman" w:eastAsia="Calibri" w:hAnsi="Times New Roman" w:cs="Times New Roman"/>
                <w:spacing w:val="-4"/>
                <w:kern w:val="0"/>
                <w:sz w:val="20"/>
                <w:szCs w:val="20"/>
                <w:lang w:val="en-GB"/>
                <w14:ligatures w14:val="none"/>
              </w:rPr>
              <w:t>Entered into force on 26 May 2013</w:t>
            </w:r>
            <w:r w:rsidR="00B16330" w:rsidRPr="00346F69">
              <w:rPr>
                <w:rFonts w:ascii="Times New Roman" w:eastAsia="Calibri" w:hAnsi="Times New Roman" w:cs="Times New Roman"/>
                <w:spacing w:val="-4"/>
                <w:kern w:val="0"/>
                <w:sz w:val="20"/>
                <w:szCs w:val="20"/>
                <w:lang w:val="en-GB"/>
                <w14:ligatures w14:val="none"/>
              </w:rPr>
              <w:t>.</w:t>
            </w:r>
          </w:p>
        </w:tc>
        <w:tc>
          <w:tcPr>
            <w:tcW w:w="7229" w:type="dxa"/>
          </w:tcPr>
          <w:p w14:paraId="4D31608E" w14:textId="39886C4C" w:rsidR="0020625F"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1) </w:t>
            </w:r>
            <w:r w:rsidR="0020625F" w:rsidRPr="00F65288">
              <w:rPr>
                <w:rFonts w:ascii="Times New Roman" w:eastAsia="Calibri" w:hAnsi="Times New Roman" w:cs="Times New Roman"/>
                <w:kern w:val="0"/>
                <w:sz w:val="20"/>
                <w:szCs w:val="20"/>
                <w:lang w:val="en-GB"/>
                <w14:ligatures w14:val="none"/>
              </w:rPr>
              <w:t>Article 7</w:t>
            </w:r>
            <w:r w:rsidR="004A67C8">
              <w:rPr>
                <w:rFonts w:ascii="Times New Roman" w:eastAsia="Calibri" w:hAnsi="Times New Roman" w:cs="Times New Roman"/>
                <w:kern w:val="0"/>
                <w:sz w:val="20"/>
                <w:szCs w:val="20"/>
                <w:lang w:val="en-GB"/>
                <w14:ligatures w14:val="none"/>
              </w:rPr>
              <w:t>,</w:t>
            </w:r>
            <w:r w:rsidR="0020625F" w:rsidRPr="00F65288">
              <w:rPr>
                <w:rFonts w:ascii="Times New Roman" w:eastAsia="Calibri" w:hAnsi="Times New Roman" w:cs="Times New Roman"/>
                <w:kern w:val="0"/>
                <w:sz w:val="20"/>
                <w:szCs w:val="20"/>
                <w:lang w:val="en-GB"/>
                <w14:ligatures w14:val="none"/>
              </w:rPr>
              <w:t xml:space="preserve"> section 2</w:t>
            </w:r>
            <w:r w:rsidR="004A67C8">
              <w:rPr>
                <w:rFonts w:ascii="Times New Roman" w:eastAsia="Calibri" w:hAnsi="Times New Roman" w:cs="Times New Roman"/>
                <w:kern w:val="0"/>
                <w:sz w:val="20"/>
                <w:szCs w:val="20"/>
                <w:lang w:val="en-GB"/>
                <w14:ligatures w14:val="none"/>
              </w:rPr>
              <w:t>,</w:t>
            </w:r>
            <w:r w:rsidR="0020625F" w:rsidRPr="00F65288">
              <w:rPr>
                <w:rFonts w:ascii="Times New Roman" w:eastAsia="Calibri" w:hAnsi="Times New Roman" w:cs="Times New Roman"/>
                <w:kern w:val="0"/>
                <w:sz w:val="20"/>
                <w:szCs w:val="20"/>
                <w:lang w:val="en-GB"/>
                <w14:ligatures w14:val="none"/>
              </w:rPr>
              <w:t xml:space="preserve"> point 1</w:t>
            </w:r>
            <w:r w:rsidR="00BC36C7" w:rsidRPr="00F65288">
              <w:rPr>
                <w:rFonts w:ascii="Times New Roman" w:eastAsia="Calibri" w:hAnsi="Times New Roman" w:cs="Times New Roman"/>
                <w:kern w:val="0"/>
                <w:sz w:val="20"/>
                <w:szCs w:val="20"/>
                <w:lang w:val="en-GB"/>
                <w14:ligatures w14:val="none"/>
              </w:rPr>
              <w:t xml:space="preserve"> was modified</w:t>
            </w:r>
            <w:r w:rsidR="0020625F" w:rsidRPr="00F65288">
              <w:rPr>
                <w:rFonts w:ascii="Times New Roman" w:eastAsia="Calibri" w:hAnsi="Times New Roman" w:cs="Times New Roman"/>
                <w:kern w:val="0"/>
                <w:sz w:val="20"/>
                <w:szCs w:val="20"/>
                <w:lang w:val="en-GB"/>
                <w14:ligatures w14:val="none"/>
              </w:rPr>
              <w:t xml:space="preserve"> – the conversion of </w:t>
            </w:r>
            <w:r w:rsidR="00293C0D" w:rsidRPr="00F65288">
              <w:rPr>
                <w:rFonts w:ascii="Times New Roman" w:eastAsia="Calibri" w:hAnsi="Times New Roman" w:cs="Times New Roman"/>
                <w:kern w:val="0"/>
                <w:sz w:val="20"/>
                <w:szCs w:val="20"/>
                <w:lang w:val="en-GB"/>
                <w14:ligatures w14:val="none"/>
              </w:rPr>
              <w:t>agricultural land</w:t>
            </w:r>
            <w:r w:rsidR="0020625F" w:rsidRPr="00F65288">
              <w:rPr>
                <w:rFonts w:ascii="Times New Roman" w:eastAsia="Calibri" w:hAnsi="Times New Roman" w:cs="Times New Roman"/>
                <w:kern w:val="0"/>
                <w:sz w:val="20"/>
                <w:szCs w:val="20"/>
                <w:lang w:val="en-GB"/>
                <w14:ligatures w14:val="none"/>
              </w:rPr>
              <w:t xml:space="preserve"> </w:t>
            </w:r>
            <w:r w:rsidR="00C34EC1" w:rsidRPr="00F65288">
              <w:rPr>
                <w:rFonts w:ascii="Times New Roman" w:eastAsia="Calibri" w:hAnsi="Times New Roman" w:cs="Times New Roman"/>
                <w:kern w:val="0"/>
                <w:sz w:val="20"/>
                <w:szCs w:val="20"/>
                <w:lang w:val="en-GB"/>
                <w14:ligatures w14:val="none"/>
              </w:rPr>
              <w:t>assigned to</w:t>
            </w:r>
            <w:r w:rsidR="0020625F" w:rsidRPr="00F65288">
              <w:rPr>
                <w:rFonts w:ascii="Times New Roman" w:eastAsia="Calibri" w:hAnsi="Times New Roman" w:cs="Times New Roman"/>
                <w:kern w:val="0"/>
                <w:sz w:val="20"/>
                <w:szCs w:val="20"/>
                <w:lang w:val="en-GB"/>
                <w14:ligatures w14:val="none"/>
              </w:rPr>
              <w:t xml:space="preserve"> soil quality class</w:t>
            </w:r>
            <w:r w:rsidR="007C5102" w:rsidRPr="00F65288">
              <w:rPr>
                <w:rFonts w:ascii="Times New Roman" w:eastAsia="Calibri" w:hAnsi="Times New Roman" w:cs="Times New Roman"/>
                <w:kern w:val="0"/>
                <w:sz w:val="20"/>
                <w:szCs w:val="20"/>
                <w:lang w:val="en-GB"/>
                <w14:ligatures w14:val="none"/>
              </w:rPr>
              <w:t>es</w:t>
            </w:r>
            <w:r w:rsidR="0020625F" w:rsidRPr="00F65288">
              <w:rPr>
                <w:rFonts w:ascii="Times New Roman" w:eastAsia="Calibri" w:hAnsi="Times New Roman" w:cs="Times New Roman"/>
                <w:kern w:val="0"/>
                <w:sz w:val="20"/>
                <w:szCs w:val="20"/>
                <w:lang w:val="en-GB"/>
                <w14:ligatures w14:val="none"/>
              </w:rPr>
              <w:t xml:space="preserve"> I-III to non-agricultural use requires the consent of the voivodship governor, </w:t>
            </w:r>
            <w:r w:rsidR="007C5102" w:rsidRPr="00F65288">
              <w:rPr>
                <w:rFonts w:ascii="Times New Roman" w:eastAsia="Calibri" w:hAnsi="Times New Roman" w:cs="Times New Roman"/>
                <w:kern w:val="0"/>
                <w:sz w:val="20"/>
                <w:szCs w:val="20"/>
                <w:lang w:val="en-GB"/>
                <w14:ligatures w14:val="none"/>
              </w:rPr>
              <w:t>irrespective of</w:t>
            </w:r>
            <w:r w:rsidR="0020625F" w:rsidRPr="00F65288">
              <w:rPr>
                <w:rFonts w:ascii="Times New Roman" w:eastAsia="Calibri" w:hAnsi="Times New Roman" w:cs="Times New Roman"/>
                <w:kern w:val="0"/>
                <w:sz w:val="20"/>
                <w:szCs w:val="20"/>
                <w:lang w:val="en-GB"/>
                <w14:ligatures w14:val="none"/>
              </w:rPr>
              <w:t xml:space="preserve"> land area;</w:t>
            </w:r>
          </w:p>
          <w:p w14:paraId="789F9C42" w14:textId="715F8510" w:rsidR="00F526A0"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2) </w:t>
            </w:r>
            <w:r w:rsidR="0020625F" w:rsidRPr="00F65288">
              <w:rPr>
                <w:rFonts w:ascii="Times New Roman" w:eastAsia="Calibri" w:hAnsi="Times New Roman" w:cs="Times New Roman"/>
                <w:kern w:val="0"/>
                <w:sz w:val="20"/>
                <w:szCs w:val="20"/>
                <w:lang w:val="en-GB"/>
                <w14:ligatures w14:val="none"/>
              </w:rPr>
              <w:t>Article 7</w:t>
            </w:r>
            <w:r w:rsidR="004A67C8">
              <w:rPr>
                <w:rFonts w:ascii="Times New Roman" w:eastAsia="Calibri" w:hAnsi="Times New Roman" w:cs="Times New Roman"/>
                <w:kern w:val="0"/>
                <w:sz w:val="20"/>
                <w:szCs w:val="20"/>
                <w:lang w:val="en-GB"/>
                <w14:ligatures w14:val="none"/>
              </w:rPr>
              <w:t>,</w:t>
            </w:r>
            <w:r w:rsidR="0020625F" w:rsidRPr="00F65288">
              <w:rPr>
                <w:rFonts w:ascii="Times New Roman" w:eastAsia="Calibri" w:hAnsi="Times New Roman" w:cs="Times New Roman"/>
                <w:kern w:val="0"/>
                <w:sz w:val="20"/>
                <w:szCs w:val="20"/>
                <w:lang w:val="en-GB"/>
                <w14:ligatures w14:val="none"/>
              </w:rPr>
              <w:t xml:space="preserve"> section 3a was added – the voivodeship governor (town or city mayor) is a</w:t>
            </w:r>
            <w:r w:rsidR="00346F69">
              <w:rPr>
                <w:rFonts w:ascii="Times New Roman" w:eastAsia="Calibri" w:hAnsi="Times New Roman" w:cs="Times New Roman"/>
                <w:kern w:val="0"/>
                <w:sz w:val="20"/>
                <w:szCs w:val="20"/>
                <w:lang w:val="en-GB"/>
                <w14:ligatures w14:val="none"/>
              </w:rPr>
              <w:t> </w:t>
            </w:r>
            <w:r w:rsidR="0020625F" w:rsidRPr="00F65288">
              <w:rPr>
                <w:rFonts w:ascii="Times New Roman" w:eastAsia="Calibri" w:hAnsi="Times New Roman" w:cs="Times New Roman"/>
                <w:kern w:val="0"/>
                <w:sz w:val="20"/>
                <w:szCs w:val="20"/>
                <w:lang w:val="en-GB"/>
                <w14:ligatures w14:val="none"/>
              </w:rPr>
              <w:t>party to land conversion proceedings.</w:t>
            </w:r>
          </w:p>
        </w:tc>
      </w:tr>
      <w:tr w:rsidR="00AF3BE7" w:rsidRPr="004A67C8" w14:paraId="3F5F9AB4" w14:textId="77777777" w:rsidTr="00CC7C85">
        <w:tc>
          <w:tcPr>
            <w:tcW w:w="2410" w:type="dxa"/>
          </w:tcPr>
          <w:p w14:paraId="2FEEF271" w14:textId="6F2C34C1" w:rsidR="0020625F" w:rsidRPr="00F65288" w:rsidRDefault="0020625F"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Act of 13 December 2013 on </w:t>
            </w:r>
            <w:r w:rsidR="008126F3" w:rsidRPr="00F65288">
              <w:rPr>
                <w:rFonts w:ascii="Times New Roman" w:eastAsia="Calibri" w:hAnsi="Times New Roman" w:cs="Times New Roman"/>
                <w:kern w:val="0"/>
                <w:sz w:val="20"/>
                <w:szCs w:val="20"/>
                <w:lang w:val="en-GB"/>
                <w14:ligatures w14:val="none"/>
              </w:rPr>
              <w:t xml:space="preserve">family </w:t>
            </w:r>
            <w:r w:rsidRPr="00F65288">
              <w:rPr>
                <w:rFonts w:ascii="Times New Roman" w:eastAsia="Calibri" w:hAnsi="Times New Roman" w:cs="Times New Roman"/>
                <w:kern w:val="0"/>
                <w:sz w:val="20"/>
                <w:szCs w:val="20"/>
                <w:lang w:val="en-GB"/>
                <w14:ligatures w14:val="none"/>
              </w:rPr>
              <w:t>allotment gardens (Journal of Laws, 2014, item 40)</w:t>
            </w:r>
            <w:r w:rsidR="003E32E6" w:rsidRPr="00F65288">
              <w:rPr>
                <w:rFonts w:ascii="Times New Roman" w:eastAsia="Calibri" w:hAnsi="Times New Roman" w:cs="Times New Roman"/>
                <w:kern w:val="0"/>
                <w:sz w:val="20"/>
                <w:szCs w:val="20"/>
                <w:lang w:val="en-GB"/>
                <w14:ligatures w14:val="none"/>
              </w:rPr>
              <w:t>.</w:t>
            </w:r>
          </w:p>
          <w:p w14:paraId="0B960B3D" w14:textId="029110F0" w:rsidR="00F526A0" w:rsidRPr="00346F69" w:rsidRDefault="0020625F" w:rsidP="00DB2BBB">
            <w:pPr>
              <w:autoSpaceDE w:val="0"/>
              <w:autoSpaceDN w:val="0"/>
              <w:adjustRightInd w:val="0"/>
              <w:ind w:firstLine="0"/>
              <w:rPr>
                <w:rFonts w:ascii="Times New Roman" w:eastAsia="Calibri" w:hAnsi="Times New Roman" w:cs="Times New Roman"/>
                <w:spacing w:val="-4"/>
                <w:kern w:val="0"/>
                <w:sz w:val="20"/>
                <w:szCs w:val="20"/>
                <w:lang w:val="en-GB"/>
                <w14:ligatures w14:val="none"/>
              </w:rPr>
            </w:pPr>
            <w:r w:rsidRPr="00346F69">
              <w:rPr>
                <w:rFonts w:ascii="Times New Roman" w:eastAsia="Calibri" w:hAnsi="Times New Roman" w:cs="Times New Roman"/>
                <w:spacing w:val="-4"/>
                <w:kern w:val="0"/>
                <w:sz w:val="20"/>
                <w:szCs w:val="20"/>
                <w:lang w:val="en-GB"/>
                <w14:ligatures w14:val="none"/>
              </w:rPr>
              <w:t>Entered into force on 19 January 2014</w:t>
            </w:r>
            <w:r w:rsidR="009B3888" w:rsidRPr="00346F69">
              <w:rPr>
                <w:rFonts w:ascii="Times New Roman" w:eastAsia="Calibri" w:hAnsi="Times New Roman" w:cs="Times New Roman"/>
                <w:spacing w:val="-4"/>
                <w:kern w:val="0"/>
                <w:sz w:val="20"/>
                <w:szCs w:val="20"/>
                <w:lang w:val="en-GB"/>
                <w14:ligatures w14:val="none"/>
              </w:rPr>
              <w:t>.</w:t>
            </w:r>
          </w:p>
        </w:tc>
        <w:tc>
          <w:tcPr>
            <w:tcW w:w="7229" w:type="dxa"/>
          </w:tcPr>
          <w:p w14:paraId="45112FB2" w14:textId="41E25C24" w:rsidR="00F526A0" w:rsidRPr="00F65288" w:rsidRDefault="0020625F"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Article 2</w:t>
            </w:r>
            <w:r w:rsidR="004A67C8">
              <w:rPr>
                <w:rFonts w:ascii="Times New Roman" w:eastAsia="Calibri" w:hAnsi="Times New Roman" w:cs="Times New Roman"/>
                <w:kern w:val="0"/>
                <w:sz w:val="20"/>
                <w:szCs w:val="20"/>
                <w:lang w:val="en-GB"/>
                <w14:ligatures w14:val="none"/>
              </w:rPr>
              <w:t>,</w:t>
            </w:r>
            <w:r w:rsidRPr="00F65288">
              <w:rPr>
                <w:rFonts w:ascii="Times New Roman" w:eastAsia="Calibri" w:hAnsi="Times New Roman" w:cs="Times New Roman"/>
                <w:kern w:val="0"/>
                <w:sz w:val="20"/>
                <w:szCs w:val="20"/>
                <w:lang w:val="en-GB"/>
                <w14:ligatures w14:val="none"/>
              </w:rPr>
              <w:t xml:space="preserve"> section 1</w:t>
            </w:r>
            <w:r w:rsidR="004A67C8">
              <w:rPr>
                <w:rFonts w:ascii="Times New Roman" w:eastAsia="Calibri" w:hAnsi="Times New Roman" w:cs="Times New Roman"/>
                <w:kern w:val="0"/>
                <w:sz w:val="20"/>
                <w:szCs w:val="20"/>
                <w:lang w:val="en-GB"/>
                <w14:ligatures w14:val="none"/>
              </w:rPr>
              <w:t>,</w:t>
            </w:r>
            <w:r w:rsidRPr="00F65288">
              <w:rPr>
                <w:rFonts w:ascii="Times New Roman" w:eastAsia="Calibri" w:hAnsi="Times New Roman" w:cs="Times New Roman"/>
                <w:kern w:val="0"/>
                <w:sz w:val="20"/>
                <w:szCs w:val="20"/>
                <w:lang w:val="en-GB"/>
                <w14:ligatures w14:val="none"/>
              </w:rPr>
              <w:t xml:space="preserve"> point 6 </w:t>
            </w:r>
            <w:r w:rsidR="00C34EC1" w:rsidRPr="00F65288">
              <w:rPr>
                <w:rFonts w:ascii="Times New Roman" w:eastAsia="Calibri" w:hAnsi="Times New Roman" w:cs="Times New Roman"/>
                <w:kern w:val="0"/>
                <w:sz w:val="20"/>
                <w:szCs w:val="20"/>
                <w:lang w:val="en-GB"/>
                <w14:ligatures w14:val="none"/>
              </w:rPr>
              <w:t xml:space="preserve">was modified </w:t>
            </w:r>
            <w:r w:rsidRPr="00F65288">
              <w:rPr>
                <w:rFonts w:ascii="Times New Roman" w:eastAsia="Calibri" w:hAnsi="Times New Roman" w:cs="Times New Roman"/>
                <w:kern w:val="0"/>
                <w:sz w:val="20"/>
                <w:szCs w:val="20"/>
                <w:lang w:val="en-GB"/>
                <w14:ligatures w14:val="none"/>
              </w:rPr>
              <w:t xml:space="preserve">– </w:t>
            </w:r>
            <w:r w:rsidR="009F7967" w:rsidRPr="00F65288">
              <w:rPr>
                <w:rFonts w:ascii="Times New Roman" w:eastAsia="Calibri" w:hAnsi="Times New Roman" w:cs="Times New Roman"/>
                <w:kern w:val="0"/>
                <w:sz w:val="20"/>
                <w:szCs w:val="20"/>
                <w:lang w:val="en-GB"/>
                <w14:ligatures w14:val="none"/>
              </w:rPr>
              <w:t xml:space="preserve">family </w:t>
            </w:r>
            <w:r w:rsidRPr="00F65288">
              <w:rPr>
                <w:rFonts w:ascii="Times New Roman" w:eastAsia="Calibri" w:hAnsi="Times New Roman" w:cs="Times New Roman"/>
                <w:kern w:val="0"/>
                <w:sz w:val="20"/>
                <w:szCs w:val="20"/>
                <w:lang w:val="en-GB"/>
                <w14:ligatures w14:val="none"/>
              </w:rPr>
              <w:t xml:space="preserve">allotment gardens and botanical gardens </w:t>
            </w:r>
            <w:r w:rsidR="008126F3" w:rsidRPr="00F65288">
              <w:rPr>
                <w:rFonts w:ascii="Times New Roman" w:eastAsia="Calibri" w:hAnsi="Times New Roman" w:cs="Times New Roman"/>
                <w:kern w:val="0"/>
                <w:sz w:val="20"/>
                <w:szCs w:val="20"/>
                <w:lang w:val="en-GB"/>
                <w14:ligatures w14:val="none"/>
              </w:rPr>
              <w:t>were included in the definition of</w:t>
            </w:r>
            <w:r w:rsidRPr="00F65288">
              <w:rPr>
                <w:rFonts w:ascii="Times New Roman" w:eastAsia="Calibri" w:hAnsi="Times New Roman" w:cs="Times New Roman"/>
                <w:kern w:val="0"/>
                <w:sz w:val="20"/>
                <w:szCs w:val="20"/>
                <w:lang w:val="en-GB"/>
                <w14:ligatures w14:val="none"/>
              </w:rPr>
              <w:t xml:space="preserve"> agricultural land. </w:t>
            </w:r>
          </w:p>
        </w:tc>
      </w:tr>
      <w:tr w:rsidR="00AF3BE7" w:rsidRPr="004A67C8" w14:paraId="4632D851" w14:textId="77777777" w:rsidTr="00CC7C85">
        <w:tc>
          <w:tcPr>
            <w:tcW w:w="2410" w:type="dxa"/>
          </w:tcPr>
          <w:p w14:paraId="40D0661D" w14:textId="0DF0CDFF" w:rsidR="0020625F" w:rsidRPr="00F65288" w:rsidRDefault="0020625F"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Act of 11 July 2014 amending the </w:t>
            </w:r>
            <w:r w:rsidR="00BC36C7" w:rsidRPr="00F65288">
              <w:rPr>
                <w:rFonts w:ascii="Times New Roman" w:eastAsia="Calibri" w:hAnsi="Times New Roman" w:cs="Times New Roman"/>
                <w:kern w:val="0"/>
                <w:sz w:val="20"/>
                <w:szCs w:val="20"/>
                <w:lang w:val="en-GB"/>
                <w14:ligatures w14:val="none"/>
              </w:rPr>
              <w:t>Environmental Protection Law and other legal acts (Journal of Laws, 2014, item 1101)</w:t>
            </w:r>
            <w:r w:rsidR="003E32E6" w:rsidRPr="00F65288">
              <w:rPr>
                <w:rFonts w:ascii="Times New Roman" w:eastAsia="Calibri" w:hAnsi="Times New Roman" w:cs="Times New Roman"/>
                <w:kern w:val="0"/>
                <w:sz w:val="20"/>
                <w:szCs w:val="20"/>
                <w:lang w:val="en-GB"/>
                <w14:ligatures w14:val="none"/>
              </w:rPr>
              <w:t>.</w:t>
            </w:r>
          </w:p>
          <w:p w14:paraId="1CDDEE69" w14:textId="310D5DA1" w:rsidR="00F526A0" w:rsidRPr="00346F69" w:rsidRDefault="00BC36C7" w:rsidP="00DB2BBB">
            <w:pPr>
              <w:autoSpaceDE w:val="0"/>
              <w:autoSpaceDN w:val="0"/>
              <w:adjustRightInd w:val="0"/>
              <w:ind w:firstLine="0"/>
              <w:rPr>
                <w:rFonts w:ascii="Times New Roman" w:eastAsia="Calibri" w:hAnsi="Times New Roman" w:cs="Times New Roman"/>
                <w:spacing w:val="-4"/>
                <w:kern w:val="0"/>
                <w:sz w:val="20"/>
                <w:szCs w:val="20"/>
                <w:lang w:val="en-GB"/>
                <w14:ligatures w14:val="none"/>
              </w:rPr>
            </w:pPr>
            <w:r w:rsidRPr="00346F69">
              <w:rPr>
                <w:rFonts w:ascii="Times New Roman" w:eastAsia="Calibri" w:hAnsi="Times New Roman" w:cs="Times New Roman"/>
                <w:spacing w:val="-4"/>
                <w:kern w:val="0"/>
                <w:sz w:val="20"/>
                <w:szCs w:val="20"/>
                <w:lang w:val="en-GB"/>
                <w14:ligatures w14:val="none"/>
              </w:rPr>
              <w:t>Entered into force on 5 September 2014</w:t>
            </w:r>
            <w:r w:rsidR="006659F1" w:rsidRPr="00346F69">
              <w:rPr>
                <w:rFonts w:ascii="Times New Roman" w:eastAsia="Calibri" w:hAnsi="Times New Roman" w:cs="Times New Roman"/>
                <w:spacing w:val="-4"/>
                <w:kern w:val="0"/>
                <w:sz w:val="20"/>
                <w:szCs w:val="20"/>
                <w:lang w:val="en-GB"/>
                <w14:ligatures w14:val="none"/>
              </w:rPr>
              <w:t>.</w:t>
            </w:r>
          </w:p>
        </w:tc>
        <w:tc>
          <w:tcPr>
            <w:tcW w:w="7229" w:type="dxa"/>
          </w:tcPr>
          <w:p w14:paraId="180CD303" w14:textId="004DC1AB" w:rsidR="00BC36C7"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1) </w:t>
            </w:r>
            <w:r w:rsidR="00BC36C7" w:rsidRPr="00F65288">
              <w:rPr>
                <w:rFonts w:ascii="Times New Roman" w:eastAsia="Calibri" w:hAnsi="Times New Roman" w:cs="Times New Roman"/>
                <w:kern w:val="0"/>
                <w:sz w:val="20"/>
                <w:szCs w:val="20"/>
                <w:lang w:val="en-GB"/>
                <w14:ligatures w14:val="none"/>
              </w:rPr>
              <w:t xml:space="preserve">The </w:t>
            </w:r>
            <w:r w:rsidR="00114492" w:rsidRPr="00F65288">
              <w:rPr>
                <w:rFonts w:ascii="Times New Roman" w:eastAsia="Calibri" w:hAnsi="Times New Roman" w:cs="Times New Roman"/>
                <w:kern w:val="0"/>
                <w:sz w:val="20"/>
                <w:szCs w:val="20"/>
                <w:lang w:val="en-GB"/>
                <w14:ligatures w14:val="none"/>
              </w:rPr>
              <w:t>amendment</w:t>
            </w:r>
            <w:r w:rsidR="00BC36C7" w:rsidRPr="00F65288">
              <w:rPr>
                <w:rFonts w:ascii="Times New Roman" w:eastAsia="Calibri" w:hAnsi="Times New Roman" w:cs="Times New Roman"/>
                <w:kern w:val="0"/>
                <w:sz w:val="20"/>
                <w:szCs w:val="20"/>
                <w:lang w:val="en-GB"/>
                <w14:ligatures w14:val="none"/>
              </w:rPr>
              <w:t xml:space="preserve"> repealed Article 5b</w:t>
            </w:r>
            <w:r w:rsidR="006659F1" w:rsidRPr="00F65288">
              <w:rPr>
                <w:rFonts w:ascii="Times New Roman" w:eastAsia="Calibri" w:hAnsi="Times New Roman" w:cs="Times New Roman"/>
                <w:kern w:val="0"/>
                <w:sz w:val="20"/>
                <w:szCs w:val="20"/>
                <w:lang w:val="en-GB"/>
                <w14:ligatures w14:val="none"/>
              </w:rPr>
              <w:t>,</w:t>
            </w:r>
            <w:r w:rsidR="00BC36C7" w:rsidRPr="00F65288">
              <w:rPr>
                <w:rFonts w:ascii="Times New Roman" w:eastAsia="Calibri" w:hAnsi="Times New Roman" w:cs="Times New Roman"/>
                <w:kern w:val="0"/>
                <w:sz w:val="20"/>
                <w:szCs w:val="20"/>
                <w:lang w:val="en-GB"/>
                <w14:ligatures w14:val="none"/>
              </w:rPr>
              <w:t xml:space="preserve"> which exempted agricultural land located within city limits from the provisions of the </w:t>
            </w:r>
            <w:r w:rsidR="006659F1" w:rsidRPr="00F65288">
              <w:rPr>
                <w:rFonts w:ascii="Times New Roman" w:eastAsia="Calibri" w:hAnsi="Times New Roman" w:cs="Times New Roman"/>
                <w:kern w:val="0"/>
                <w:sz w:val="20"/>
                <w:szCs w:val="20"/>
                <w:lang w:val="en-GB"/>
                <w14:ligatures w14:val="none"/>
              </w:rPr>
              <w:t>A</w:t>
            </w:r>
            <w:r w:rsidR="00BC36C7" w:rsidRPr="00F65288">
              <w:rPr>
                <w:rFonts w:ascii="Times New Roman" w:eastAsia="Calibri" w:hAnsi="Times New Roman" w:cs="Times New Roman"/>
                <w:kern w:val="0"/>
                <w:sz w:val="20"/>
                <w:szCs w:val="20"/>
                <w:lang w:val="en-GB"/>
                <w14:ligatures w14:val="none"/>
              </w:rPr>
              <w:t>ct;</w:t>
            </w:r>
          </w:p>
          <w:p w14:paraId="5AA9FBEF" w14:textId="1FDF0B3F" w:rsidR="00F526A0"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2) </w:t>
            </w:r>
            <w:r w:rsidR="00BC36C7" w:rsidRPr="00F65288">
              <w:rPr>
                <w:rFonts w:ascii="Times New Roman" w:eastAsia="Calibri" w:hAnsi="Times New Roman" w:cs="Times New Roman"/>
                <w:kern w:val="0"/>
                <w:sz w:val="20"/>
                <w:szCs w:val="20"/>
                <w:lang w:val="en-GB"/>
                <w14:ligatures w14:val="none"/>
              </w:rPr>
              <w:t xml:space="preserve">The </w:t>
            </w:r>
            <w:r w:rsidR="00114492" w:rsidRPr="00F65288">
              <w:rPr>
                <w:rFonts w:ascii="Times New Roman" w:eastAsia="Calibri" w:hAnsi="Times New Roman" w:cs="Times New Roman"/>
                <w:kern w:val="0"/>
                <w:sz w:val="20"/>
                <w:szCs w:val="20"/>
                <w:lang w:val="en-GB"/>
                <w14:ligatures w14:val="none"/>
              </w:rPr>
              <w:t>amendment</w:t>
            </w:r>
            <w:r w:rsidR="00BC36C7" w:rsidRPr="00F65288">
              <w:rPr>
                <w:rFonts w:ascii="Times New Roman" w:eastAsia="Calibri" w:hAnsi="Times New Roman" w:cs="Times New Roman"/>
                <w:kern w:val="0"/>
                <w:sz w:val="20"/>
                <w:szCs w:val="20"/>
                <w:lang w:val="en-GB"/>
                <w14:ligatures w14:val="none"/>
              </w:rPr>
              <w:t xml:space="preserve"> added Article 10a</w:t>
            </w:r>
            <w:r w:rsidR="006659F1" w:rsidRPr="00F65288">
              <w:rPr>
                <w:rFonts w:ascii="Times New Roman" w:eastAsia="Calibri" w:hAnsi="Times New Roman" w:cs="Times New Roman"/>
                <w:kern w:val="0"/>
                <w:sz w:val="20"/>
                <w:szCs w:val="20"/>
                <w:lang w:val="en-GB"/>
                <w14:ligatures w14:val="none"/>
              </w:rPr>
              <w:t>,</w:t>
            </w:r>
            <w:r w:rsidR="00BC36C7" w:rsidRPr="00F65288">
              <w:rPr>
                <w:rFonts w:ascii="Times New Roman" w:eastAsia="Calibri" w:hAnsi="Times New Roman" w:cs="Times New Roman"/>
                <w:kern w:val="0"/>
                <w:sz w:val="20"/>
                <w:szCs w:val="20"/>
                <w:lang w:val="en-GB"/>
                <w14:ligatures w14:val="none"/>
              </w:rPr>
              <w:t xml:space="preserve"> which exempted agricultural land located within city limits from the provisions of </w:t>
            </w:r>
            <w:r w:rsidR="004A67C8">
              <w:rPr>
                <w:rFonts w:ascii="Times New Roman" w:eastAsia="Calibri" w:hAnsi="Times New Roman" w:cs="Times New Roman"/>
                <w:kern w:val="0"/>
                <w:sz w:val="20"/>
                <w:szCs w:val="20"/>
                <w:lang w:val="en-GB"/>
                <w14:ligatures w14:val="none"/>
              </w:rPr>
              <w:t>C</w:t>
            </w:r>
            <w:r w:rsidR="00BC36C7" w:rsidRPr="00F65288">
              <w:rPr>
                <w:rFonts w:ascii="Times New Roman" w:eastAsia="Calibri" w:hAnsi="Times New Roman" w:cs="Times New Roman"/>
                <w:kern w:val="0"/>
                <w:sz w:val="20"/>
                <w:szCs w:val="20"/>
                <w:lang w:val="en-GB"/>
                <w14:ligatures w14:val="none"/>
              </w:rPr>
              <w:t xml:space="preserve">hapter 2 of the act (the conversion of </w:t>
            </w:r>
            <w:r w:rsidR="00293C0D" w:rsidRPr="00F65288">
              <w:rPr>
                <w:rFonts w:ascii="Times New Roman" w:eastAsia="Calibri" w:hAnsi="Times New Roman" w:cs="Times New Roman"/>
                <w:kern w:val="0"/>
                <w:sz w:val="20"/>
                <w:szCs w:val="20"/>
                <w:lang w:val="en-GB"/>
                <w14:ligatures w14:val="none"/>
              </w:rPr>
              <w:t>agricultural land</w:t>
            </w:r>
            <w:r w:rsidR="00BC36C7" w:rsidRPr="00F65288">
              <w:rPr>
                <w:rFonts w:ascii="Times New Roman" w:eastAsia="Calibri" w:hAnsi="Times New Roman" w:cs="Times New Roman"/>
                <w:kern w:val="0"/>
                <w:sz w:val="20"/>
                <w:szCs w:val="20"/>
                <w:lang w:val="en-GB"/>
                <w14:ligatures w14:val="none"/>
              </w:rPr>
              <w:t xml:space="preserve"> to non-agricultural use requires </w:t>
            </w:r>
            <w:r w:rsidR="008126F3" w:rsidRPr="00F65288">
              <w:rPr>
                <w:rFonts w:ascii="Times New Roman" w:eastAsia="Calibri" w:hAnsi="Times New Roman" w:cs="Times New Roman"/>
                <w:kern w:val="0"/>
                <w:sz w:val="20"/>
                <w:szCs w:val="20"/>
                <w:lang w:val="en-GB"/>
                <w14:ligatures w14:val="none"/>
              </w:rPr>
              <w:t>a formal permit</w:t>
            </w:r>
            <w:r w:rsidR="00BC36C7" w:rsidRPr="00F65288">
              <w:rPr>
                <w:rFonts w:ascii="Times New Roman" w:eastAsia="Calibri" w:hAnsi="Times New Roman" w:cs="Times New Roman"/>
                <w:kern w:val="0"/>
                <w:sz w:val="20"/>
                <w:szCs w:val="20"/>
                <w:lang w:val="en-GB"/>
                <w14:ligatures w14:val="none"/>
              </w:rPr>
              <w:t>).</w:t>
            </w:r>
          </w:p>
        </w:tc>
      </w:tr>
      <w:tr w:rsidR="00AF3BE7" w:rsidRPr="004A67C8" w14:paraId="36A95AD0" w14:textId="77777777" w:rsidTr="00CC7C85">
        <w:trPr>
          <w:trHeight w:val="1679"/>
        </w:trPr>
        <w:tc>
          <w:tcPr>
            <w:tcW w:w="2410" w:type="dxa"/>
          </w:tcPr>
          <w:p w14:paraId="5EA3A55B" w14:textId="124BFFF4" w:rsidR="00BC36C7" w:rsidRPr="00F65288" w:rsidRDefault="00BC36C7"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Act of 10 July 2015 amending the Act on the protection of agricultural and forest </w:t>
            </w:r>
            <w:r w:rsidR="008126F3" w:rsidRPr="00F65288">
              <w:rPr>
                <w:rFonts w:ascii="Times New Roman" w:eastAsia="Calibri" w:hAnsi="Times New Roman" w:cs="Times New Roman"/>
                <w:kern w:val="0"/>
                <w:sz w:val="20"/>
                <w:szCs w:val="20"/>
                <w:lang w:val="en-GB"/>
                <w14:ligatures w14:val="none"/>
              </w:rPr>
              <w:t>l</w:t>
            </w:r>
            <w:r w:rsidRPr="00F65288">
              <w:rPr>
                <w:rFonts w:ascii="Times New Roman" w:eastAsia="Calibri" w:hAnsi="Times New Roman" w:cs="Times New Roman"/>
                <w:kern w:val="0"/>
                <w:sz w:val="20"/>
                <w:szCs w:val="20"/>
                <w:lang w:val="en-GB"/>
                <w14:ligatures w14:val="none"/>
              </w:rPr>
              <w:t>and (Journal of Laws, 2015, item 1338)</w:t>
            </w:r>
            <w:r w:rsidR="00140FE2" w:rsidRPr="00F65288">
              <w:rPr>
                <w:rFonts w:ascii="Times New Roman" w:eastAsia="Calibri" w:hAnsi="Times New Roman" w:cs="Times New Roman"/>
                <w:kern w:val="0"/>
                <w:sz w:val="20"/>
                <w:szCs w:val="20"/>
                <w:lang w:val="en-GB"/>
                <w14:ligatures w14:val="none"/>
              </w:rPr>
              <w:t>.</w:t>
            </w:r>
          </w:p>
          <w:p w14:paraId="75568351" w14:textId="389C16DD" w:rsidR="00F526A0" w:rsidRPr="00346F69" w:rsidRDefault="00BC36C7" w:rsidP="00DB2BBB">
            <w:pPr>
              <w:autoSpaceDE w:val="0"/>
              <w:autoSpaceDN w:val="0"/>
              <w:adjustRightInd w:val="0"/>
              <w:ind w:firstLine="0"/>
              <w:rPr>
                <w:rFonts w:ascii="Times New Roman" w:eastAsia="Calibri" w:hAnsi="Times New Roman" w:cs="Times New Roman"/>
                <w:spacing w:val="-4"/>
                <w:kern w:val="0"/>
                <w:sz w:val="20"/>
                <w:szCs w:val="20"/>
                <w:lang w:val="en-GB"/>
                <w14:ligatures w14:val="none"/>
              </w:rPr>
            </w:pPr>
            <w:r w:rsidRPr="00346F69">
              <w:rPr>
                <w:rFonts w:ascii="Times New Roman" w:eastAsia="Calibri" w:hAnsi="Times New Roman" w:cs="Times New Roman"/>
                <w:spacing w:val="-4"/>
                <w:kern w:val="0"/>
                <w:sz w:val="20"/>
                <w:szCs w:val="20"/>
                <w:lang w:val="en-GB"/>
                <w14:ligatures w14:val="none"/>
              </w:rPr>
              <w:t>Entered into force on 10 October 2015</w:t>
            </w:r>
            <w:r w:rsidR="003E32E6" w:rsidRPr="00346F69">
              <w:rPr>
                <w:rFonts w:ascii="Times New Roman" w:eastAsia="Calibri" w:hAnsi="Times New Roman" w:cs="Times New Roman"/>
                <w:spacing w:val="-4"/>
                <w:kern w:val="0"/>
                <w:sz w:val="20"/>
                <w:szCs w:val="20"/>
                <w:lang w:val="en-GB"/>
                <w14:ligatures w14:val="none"/>
              </w:rPr>
              <w:t>.</w:t>
            </w:r>
          </w:p>
        </w:tc>
        <w:tc>
          <w:tcPr>
            <w:tcW w:w="7229" w:type="dxa"/>
          </w:tcPr>
          <w:p w14:paraId="1B27094E" w14:textId="2580A5D8" w:rsidR="00C34EC1"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1) </w:t>
            </w:r>
            <w:r w:rsidR="00C34EC1" w:rsidRPr="00F65288">
              <w:rPr>
                <w:rFonts w:ascii="Times New Roman" w:eastAsia="Calibri" w:hAnsi="Times New Roman" w:cs="Times New Roman"/>
                <w:kern w:val="0"/>
                <w:sz w:val="20"/>
                <w:szCs w:val="20"/>
                <w:lang w:val="en-GB"/>
                <w14:ligatures w14:val="none"/>
              </w:rPr>
              <w:t>Article 7 was modified – the conversion of agricultural land with an area of up to 0.5 ha, assigned to soil quality class</w:t>
            </w:r>
            <w:r w:rsidR="00751B5B" w:rsidRPr="00F65288">
              <w:rPr>
                <w:rFonts w:ascii="Times New Roman" w:eastAsia="Calibri" w:hAnsi="Times New Roman" w:cs="Times New Roman"/>
                <w:kern w:val="0"/>
                <w:sz w:val="20"/>
                <w:szCs w:val="20"/>
                <w:lang w:val="en-GB"/>
                <w14:ligatures w14:val="none"/>
              </w:rPr>
              <w:t>es</w:t>
            </w:r>
            <w:r w:rsidR="00C34EC1" w:rsidRPr="00F65288">
              <w:rPr>
                <w:rFonts w:ascii="Times New Roman" w:eastAsia="Calibri" w:hAnsi="Times New Roman" w:cs="Times New Roman"/>
                <w:kern w:val="0"/>
                <w:sz w:val="20"/>
                <w:szCs w:val="20"/>
                <w:lang w:val="en-GB"/>
                <w14:ligatures w14:val="none"/>
              </w:rPr>
              <w:t xml:space="preserve"> I-III, to non-agricultural use does not have to be indicated in the zoning plan if at least one-half of each consolidated land plot is </w:t>
            </w:r>
            <w:r w:rsidR="008126F3" w:rsidRPr="00F65288">
              <w:rPr>
                <w:rFonts w:ascii="Times New Roman" w:eastAsia="Calibri" w:hAnsi="Times New Roman" w:cs="Times New Roman"/>
                <w:kern w:val="0"/>
                <w:sz w:val="20"/>
                <w:szCs w:val="20"/>
                <w:lang w:val="en-GB"/>
                <w14:ligatures w14:val="none"/>
              </w:rPr>
              <w:t>situated</w:t>
            </w:r>
            <w:r w:rsidR="00C34EC1" w:rsidRPr="00F65288">
              <w:rPr>
                <w:rFonts w:ascii="Times New Roman" w:eastAsia="Calibri" w:hAnsi="Times New Roman" w:cs="Times New Roman"/>
                <w:kern w:val="0"/>
                <w:sz w:val="20"/>
                <w:szCs w:val="20"/>
                <w:lang w:val="en-GB"/>
                <w14:ligatures w14:val="none"/>
              </w:rPr>
              <w:t xml:space="preserve"> in a densely developed area and if the land in question is separated from the boundary of the nearest land plot and a public road by a distance of up to 50 m;</w:t>
            </w:r>
          </w:p>
          <w:p w14:paraId="685C43FE" w14:textId="7C92B0DB" w:rsidR="00F526A0" w:rsidRPr="00F65288" w:rsidRDefault="00F526A0"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2) </w:t>
            </w:r>
            <w:r w:rsidR="00C34EC1" w:rsidRPr="00F65288">
              <w:rPr>
                <w:rFonts w:ascii="Times New Roman" w:eastAsia="Calibri" w:hAnsi="Times New Roman" w:cs="Times New Roman"/>
                <w:kern w:val="0"/>
                <w:sz w:val="20"/>
                <w:szCs w:val="20"/>
                <w:lang w:val="en-GB"/>
                <w14:ligatures w14:val="none"/>
              </w:rPr>
              <w:t>Article 4</w:t>
            </w:r>
            <w:r w:rsidR="004A67C8">
              <w:rPr>
                <w:rFonts w:ascii="Times New Roman" w:eastAsia="Calibri" w:hAnsi="Times New Roman" w:cs="Times New Roman"/>
                <w:kern w:val="0"/>
                <w:sz w:val="20"/>
                <w:szCs w:val="20"/>
                <w:lang w:val="en-GB"/>
                <w14:ligatures w14:val="none"/>
              </w:rPr>
              <w:t>,</w:t>
            </w:r>
            <w:r w:rsidR="00C34EC1" w:rsidRPr="00F65288">
              <w:rPr>
                <w:rFonts w:ascii="Times New Roman" w:eastAsia="Calibri" w:hAnsi="Times New Roman" w:cs="Times New Roman"/>
                <w:kern w:val="0"/>
                <w:sz w:val="20"/>
                <w:szCs w:val="20"/>
                <w:lang w:val="en-GB"/>
                <w14:ligatures w14:val="none"/>
              </w:rPr>
              <w:t xml:space="preserve"> point 29</w:t>
            </w:r>
            <w:r w:rsidR="004A67C8">
              <w:rPr>
                <w:rFonts w:ascii="Times New Roman" w:eastAsia="Calibri" w:hAnsi="Times New Roman" w:cs="Times New Roman"/>
                <w:kern w:val="0"/>
                <w:sz w:val="20"/>
                <w:szCs w:val="20"/>
                <w:lang w:val="en-GB"/>
                <w14:ligatures w14:val="none"/>
              </w:rPr>
              <w:t>,</w:t>
            </w:r>
            <w:r w:rsidR="00C34EC1" w:rsidRPr="00F65288">
              <w:rPr>
                <w:rFonts w:ascii="Times New Roman" w:eastAsia="Calibri" w:hAnsi="Times New Roman" w:cs="Times New Roman"/>
                <w:kern w:val="0"/>
                <w:sz w:val="20"/>
                <w:szCs w:val="20"/>
                <w:lang w:val="en-GB"/>
                <w14:ligatures w14:val="none"/>
              </w:rPr>
              <w:t xml:space="preserve"> defining the term </w:t>
            </w:r>
            <w:r w:rsidR="004A67C8">
              <w:rPr>
                <w:rFonts w:ascii="Times New Roman" w:eastAsia="Calibri" w:hAnsi="Times New Roman" w:cs="Times New Roman"/>
                <w:kern w:val="0"/>
                <w:sz w:val="20"/>
                <w:szCs w:val="20"/>
                <w:lang w:val="en-GB"/>
                <w14:ligatures w14:val="none"/>
              </w:rPr>
              <w:t>"</w:t>
            </w:r>
            <w:r w:rsidR="00C34EC1" w:rsidRPr="00F65288">
              <w:rPr>
                <w:rFonts w:ascii="Times New Roman" w:eastAsia="Calibri" w:hAnsi="Times New Roman" w:cs="Times New Roman"/>
                <w:kern w:val="0"/>
                <w:sz w:val="20"/>
                <w:szCs w:val="20"/>
                <w:lang w:val="en-GB"/>
                <w14:ligatures w14:val="none"/>
              </w:rPr>
              <w:t>dense development</w:t>
            </w:r>
            <w:r w:rsidR="004A67C8">
              <w:rPr>
                <w:rFonts w:ascii="Times New Roman" w:eastAsia="Calibri" w:hAnsi="Times New Roman" w:cs="Times New Roman"/>
                <w:kern w:val="0"/>
                <w:sz w:val="20"/>
                <w:szCs w:val="20"/>
                <w:lang w:val="en-GB"/>
                <w14:ligatures w14:val="none"/>
              </w:rPr>
              <w:t>,"</w:t>
            </w:r>
            <w:r w:rsidR="00C34EC1" w:rsidRPr="00F65288">
              <w:rPr>
                <w:rFonts w:ascii="Times New Roman" w:eastAsia="Calibri" w:hAnsi="Times New Roman" w:cs="Times New Roman"/>
                <w:kern w:val="0"/>
                <w:sz w:val="20"/>
                <w:szCs w:val="20"/>
                <w:lang w:val="en-GB"/>
                <w14:ligatures w14:val="none"/>
              </w:rPr>
              <w:t xml:space="preserve"> and point 30 defining the term </w:t>
            </w:r>
            <w:r w:rsidR="004A67C8">
              <w:rPr>
                <w:rFonts w:ascii="Times New Roman" w:eastAsia="Calibri" w:hAnsi="Times New Roman" w:cs="Times New Roman"/>
                <w:kern w:val="0"/>
                <w:sz w:val="20"/>
                <w:szCs w:val="20"/>
                <w:lang w:val="en-GB"/>
                <w14:ligatures w14:val="none"/>
              </w:rPr>
              <w:t>"</w:t>
            </w:r>
            <w:r w:rsidR="00C34EC1" w:rsidRPr="00F65288">
              <w:rPr>
                <w:rFonts w:ascii="Times New Roman" w:eastAsia="Calibri" w:hAnsi="Times New Roman" w:cs="Times New Roman"/>
                <w:kern w:val="0"/>
                <w:sz w:val="20"/>
                <w:szCs w:val="20"/>
                <w:lang w:val="en-GB"/>
                <w14:ligatures w14:val="none"/>
              </w:rPr>
              <w:t>densely developed area</w:t>
            </w:r>
            <w:r w:rsidR="004A67C8">
              <w:rPr>
                <w:rFonts w:ascii="Times New Roman" w:eastAsia="Calibri" w:hAnsi="Times New Roman" w:cs="Times New Roman"/>
                <w:kern w:val="0"/>
                <w:sz w:val="20"/>
                <w:szCs w:val="20"/>
                <w:lang w:val="en-GB"/>
                <w14:ligatures w14:val="none"/>
              </w:rPr>
              <w:t>,"</w:t>
            </w:r>
            <w:r w:rsidR="00C34EC1" w:rsidRPr="00F65288">
              <w:rPr>
                <w:rFonts w:ascii="Times New Roman" w:eastAsia="Calibri" w:hAnsi="Times New Roman" w:cs="Times New Roman"/>
                <w:kern w:val="0"/>
                <w:sz w:val="20"/>
                <w:szCs w:val="20"/>
                <w:lang w:val="en-GB"/>
                <w14:ligatures w14:val="none"/>
              </w:rPr>
              <w:t xml:space="preserve"> were added.</w:t>
            </w:r>
          </w:p>
        </w:tc>
      </w:tr>
    </w:tbl>
    <w:p w14:paraId="42E5BB46" w14:textId="239481DC" w:rsidR="00CC7C85" w:rsidRPr="00F65288" w:rsidRDefault="00CC7C85" w:rsidP="00CC7C85">
      <w:pPr>
        <w:pStyle w:val="Rtab"/>
        <w:rPr>
          <w:lang w:val="en-GB"/>
        </w:rPr>
      </w:pPr>
      <w:r w:rsidRPr="00F65288">
        <w:rPr>
          <w:b/>
          <w:bCs/>
          <w:lang w:val="en-GB"/>
        </w:rPr>
        <w:lastRenderedPageBreak/>
        <w:t>Table 1.</w:t>
      </w:r>
      <w:r w:rsidRPr="00F65288">
        <w:rPr>
          <w:lang w:val="en-GB"/>
        </w:rPr>
        <w:t xml:space="preserve"> </w:t>
      </w:r>
      <w:r>
        <w:rPr>
          <w:lang w:val="en-GB"/>
        </w:rPr>
        <w:t>cont.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229"/>
      </w:tblGrid>
      <w:tr w:rsidR="00CC7C85" w:rsidRPr="00F65288" w14:paraId="45B69650" w14:textId="77777777" w:rsidTr="00534B05">
        <w:tc>
          <w:tcPr>
            <w:tcW w:w="2410" w:type="dxa"/>
          </w:tcPr>
          <w:p w14:paraId="024E39C3" w14:textId="77777777" w:rsidR="00CC7C85" w:rsidRPr="00CC75C2" w:rsidRDefault="00CC7C85" w:rsidP="00534B05">
            <w:pPr>
              <w:autoSpaceDE w:val="0"/>
              <w:autoSpaceDN w:val="0"/>
              <w:adjustRightInd w:val="0"/>
              <w:ind w:firstLine="0"/>
              <w:jc w:val="center"/>
              <w:rPr>
                <w:rFonts w:ascii="Times New Roman" w:eastAsia="Calibri" w:hAnsi="Times New Roman" w:cs="Times New Roman"/>
                <w:bCs/>
                <w:kern w:val="0"/>
                <w:sz w:val="20"/>
                <w:szCs w:val="20"/>
                <w:lang w:val="en-GB"/>
                <w14:ligatures w14:val="none"/>
              </w:rPr>
            </w:pPr>
            <w:r w:rsidRPr="00CC75C2">
              <w:rPr>
                <w:rFonts w:ascii="Times New Roman" w:eastAsia="Calibri" w:hAnsi="Times New Roman" w:cs="Times New Roman"/>
                <w:bCs/>
                <w:kern w:val="0"/>
                <w:sz w:val="20"/>
                <w:szCs w:val="20"/>
                <w:lang w:val="en-GB"/>
                <w14:ligatures w14:val="none"/>
              </w:rPr>
              <w:t>Amendment</w:t>
            </w:r>
          </w:p>
        </w:tc>
        <w:tc>
          <w:tcPr>
            <w:tcW w:w="7229" w:type="dxa"/>
          </w:tcPr>
          <w:p w14:paraId="0E0A8C57" w14:textId="77777777" w:rsidR="00CC7C85" w:rsidRPr="00CC75C2" w:rsidRDefault="00CC7C85" w:rsidP="00534B05">
            <w:pPr>
              <w:autoSpaceDE w:val="0"/>
              <w:autoSpaceDN w:val="0"/>
              <w:adjustRightInd w:val="0"/>
              <w:ind w:firstLine="0"/>
              <w:jc w:val="center"/>
              <w:rPr>
                <w:rFonts w:ascii="Times New Roman" w:eastAsia="Calibri" w:hAnsi="Times New Roman" w:cs="Times New Roman"/>
                <w:bCs/>
                <w:kern w:val="0"/>
                <w:sz w:val="20"/>
                <w:szCs w:val="20"/>
                <w:lang w:val="en-GB"/>
                <w14:ligatures w14:val="none"/>
              </w:rPr>
            </w:pPr>
            <w:r w:rsidRPr="00CC75C2">
              <w:rPr>
                <w:rFonts w:ascii="Times New Roman" w:eastAsia="Calibri" w:hAnsi="Times New Roman" w:cs="Times New Roman"/>
                <w:bCs/>
                <w:kern w:val="0"/>
                <w:sz w:val="20"/>
                <w:szCs w:val="20"/>
                <w:lang w:val="en-GB"/>
                <w14:ligatures w14:val="none"/>
              </w:rPr>
              <w:t>Key provisions</w:t>
            </w:r>
          </w:p>
        </w:tc>
      </w:tr>
      <w:tr w:rsidR="00AF3BE7" w:rsidRPr="004A67C8" w14:paraId="2555B1F1" w14:textId="77777777" w:rsidTr="00CC7C85">
        <w:trPr>
          <w:trHeight w:val="1485"/>
        </w:trPr>
        <w:tc>
          <w:tcPr>
            <w:tcW w:w="2410" w:type="dxa"/>
          </w:tcPr>
          <w:p w14:paraId="04BDA8FA" w14:textId="4C9BFD38" w:rsidR="00C34EC1" w:rsidRPr="00346F69" w:rsidRDefault="00C34EC1" w:rsidP="00DB2BBB">
            <w:pPr>
              <w:autoSpaceDE w:val="0"/>
              <w:autoSpaceDN w:val="0"/>
              <w:adjustRightInd w:val="0"/>
              <w:ind w:firstLine="0"/>
              <w:rPr>
                <w:rFonts w:ascii="Times New Roman" w:hAnsi="Times New Roman" w:cs="Times New Roman"/>
                <w:spacing w:val="-4"/>
                <w:kern w:val="0"/>
                <w:sz w:val="20"/>
                <w:szCs w:val="20"/>
                <w:lang w:val="en-GB"/>
              </w:rPr>
            </w:pPr>
            <w:r w:rsidRPr="00346F69">
              <w:rPr>
                <w:rFonts w:ascii="Times New Roman" w:hAnsi="Times New Roman" w:cs="Times New Roman"/>
                <w:spacing w:val="-4"/>
                <w:kern w:val="0"/>
                <w:sz w:val="20"/>
                <w:szCs w:val="20"/>
                <w:lang w:val="en-GB"/>
              </w:rPr>
              <w:t>Anti-Terrorism Act of 10 June 2016 (Journal of Laws, 2016, item 904)</w:t>
            </w:r>
            <w:r w:rsidR="00B53E7C" w:rsidRPr="00346F69">
              <w:rPr>
                <w:rFonts w:ascii="Times New Roman" w:hAnsi="Times New Roman" w:cs="Times New Roman"/>
                <w:spacing w:val="-4"/>
                <w:kern w:val="0"/>
                <w:sz w:val="20"/>
                <w:szCs w:val="20"/>
                <w:lang w:val="en-GB"/>
              </w:rPr>
              <w:t>.</w:t>
            </w:r>
          </w:p>
          <w:p w14:paraId="1BC5F625" w14:textId="2EDA09E0" w:rsidR="00F526A0" w:rsidRPr="00F65288" w:rsidRDefault="00C34EC1"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hAnsi="Times New Roman" w:cs="Times New Roman"/>
                <w:sz w:val="20"/>
                <w:szCs w:val="20"/>
                <w:lang w:val="en-GB"/>
              </w:rPr>
              <w:t>Entered into force on 2 July 2016</w:t>
            </w:r>
            <w:r w:rsidR="00B53E7C" w:rsidRPr="00F65288">
              <w:rPr>
                <w:rFonts w:ascii="Times New Roman" w:hAnsi="Times New Roman" w:cs="Times New Roman"/>
                <w:sz w:val="20"/>
                <w:szCs w:val="20"/>
                <w:lang w:val="en-GB"/>
              </w:rPr>
              <w:t>.</w:t>
            </w:r>
          </w:p>
        </w:tc>
        <w:tc>
          <w:tcPr>
            <w:tcW w:w="7229" w:type="dxa"/>
          </w:tcPr>
          <w:p w14:paraId="14809EB8" w14:textId="2297C2BD" w:rsidR="00F526A0" w:rsidRPr="00F65288" w:rsidRDefault="007C201D" w:rsidP="00DB2BBB">
            <w:pPr>
              <w:autoSpaceDE w:val="0"/>
              <w:autoSpaceDN w:val="0"/>
              <w:adjustRightInd w:val="0"/>
              <w:ind w:firstLine="0"/>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Article 7</w:t>
            </w:r>
            <w:r w:rsidR="004A67C8">
              <w:rPr>
                <w:rFonts w:ascii="Times New Roman" w:eastAsia="Calibri" w:hAnsi="Times New Roman" w:cs="Times New Roman"/>
                <w:kern w:val="0"/>
                <w:sz w:val="20"/>
                <w:szCs w:val="20"/>
                <w:lang w:val="en-GB"/>
                <w14:ligatures w14:val="none"/>
              </w:rPr>
              <w:t>,</w:t>
            </w:r>
            <w:r w:rsidRPr="00F65288">
              <w:rPr>
                <w:rFonts w:ascii="Times New Roman" w:eastAsia="Calibri" w:hAnsi="Times New Roman" w:cs="Times New Roman"/>
                <w:kern w:val="0"/>
                <w:sz w:val="20"/>
                <w:szCs w:val="20"/>
                <w:lang w:val="en-GB"/>
                <w14:ligatures w14:val="none"/>
              </w:rPr>
              <w:t xml:space="preserve"> section 1a was added – the conversion of agricultural and forest land to non-agricultural and non-forestry use, when it requires the consent of the voivodeship marshal</w:t>
            </w:r>
            <w:r w:rsidRPr="00F65288">
              <w:rPr>
                <w:rFonts w:ascii="Times New Roman" w:hAnsi="Times New Roman" w:cs="Times New Roman"/>
                <w:lang w:val="en-GB"/>
              </w:rPr>
              <w:t>—</w:t>
            </w:r>
            <w:r w:rsidRPr="00F65288">
              <w:rPr>
                <w:rFonts w:ascii="Times New Roman" w:hAnsi="Times New Roman" w:cs="Times New Roman"/>
                <w:sz w:val="20"/>
                <w:szCs w:val="20"/>
                <w:lang w:val="en-GB"/>
              </w:rPr>
              <w:t>issued</w:t>
            </w:r>
            <w:r w:rsidRPr="00F65288">
              <w:rPr>
                <w:rFonts w:ascii="Times New Roman" w:eastAsia="Calibri" w:hAnsi="Times New Roman" w:cs="Times New Roman"/>
                <w:kern w:val="0"/>
                <w:sz w:val="20"/>
                <w:szCs w:val="20"/>
                <w:lang w:val="en-GB"/>
                <w14:ligatures w14:val="none"/>
              </w:rPr>
              <w:t xml:space="preserve"> after obtaining the opinion of the chamber of </w:t>
            </w:r>
            <w:r w:rsidR="00E77183" w:rsidRPr="00F65288">
              <w:rPr>
                <w:rFonts w:ascii="Times New Roman" w:eastAsia="Calibri" w:hAnsi="Times New Roman" w:cs="Times New Roman"/>
                <w:kern w:val="0"/>
                <w:sz w:val="20"/>
                <w:szCs w:val="20"/>
                <w:lang w:val="en-GB"/>
                <w14:ligatures w14:val="none"/>
              </w:rPr>
              <w:t>agriculture</w:t>
            </w:r>
            <w:r w:rsidRPr="00F65288">
              <w:rPr>
                <w:rFonts w:ascii="Times New Roman" w:hAnsi="Times New Roman" w:cs="Times New Roman"/>
                <w:sz w:val="20"/>
                <w:szCs w:val="20"/>
                <w:lang w:val="en-GB"/>
              </w:rPr>
              <w:t xml:space="preserve">—must </w:t>
            </w:r>
            <w:r w:rsidRPr="00F65288">
              <w:rPr>
                <w:rFonts w:ascii="Times New Roman" w:eastAsia="Calibri" w:hAnsi="Times New Roman" w:cs="Times New Roman"/>
                <w:kern w:val="0"/>
                <w:sz w:val="20"/>
                <w:szCs w:val="20"/>
                <w:lang w:val="en-GB"/>
                <w14:ligatures w14:val="none"/>
              </w:rPr>
              <w:t xml:space="preserve">be indicated in the local zoning plan prepared in accordance with spatial planning and development regulations. </w:t>
            </w:r>
            <w:r w:rsidR="008126F3" w:rsidRPr="00F65288">
              <w:rPr>
                <w:rFonts w:ascii="Times New Roman" w:eastAsia="Calibri" w:hAnsi="Times New Roman" w:cs="Times New Roman"/>
                <w:kern w:val="0"/>
                <w:sz w:val="20"/>
                <w:szCs w:val="20"/>
                <w:lang w:val="en-GB"/>
                <w14:ligatures w14:val="none"/>
              </w:rPr>
              <w:t>These provisions do</w:t>
            </w:r>
            <w:r w:rsidRPr="00F65288">
              <w:rPr>
                <w:rFonts w:ascii="Times New Roman" w:eastAsia="Calibri" w:hAnsi="Times New Roman" w:cs="Times New Roman"/>
                <w:kern w:val="0"/>
                <w:sz w:val="20"/>
                <w:szCs w:val="20"/>
                <w:lang w:val="en-GB"/>
                <w14:ligatures w14:val="none"/>
              </w:rPr>
              <w:t xml:space="preserve"> not apply to areas where local zoning plans are not prepared.</w:t>
            </w:r>
          </w:p>
        </w:tc>
      </w:tr>
      <w:tr w:rsidR="00AF3BE7" w:rsidRPr="004A67C8" w14:paraId="67FA1451" w14:textId="77777777" w:rsidTr="00CC7C85">
        <w:trPr>
          <w:trHeight w:val="1441"/>
        </w:trPr>
        <w:tc>
          <w:tcPr>
            <w:tcW w:w="2410" w:type="dxa"/>
          </w:tcPr>
          <w:p w14:paraId="63982DC2" w14:textId="14250F79" w:rsidR="00F526A0" w:rsidRPr="00F65288" w:rsidRDefault="007C201D"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Act of 27 March 2003 on spatial planning and development (Journal of Laws </w:t>
            </w:r>
            <w:r w:rsidR="00F526A0" w:rsidRPr="00F65288">
              <w:rPr>
                <w:rFonts w:ascii="Times New Roman" w:eastAsia="Calibri" w:hAnsi="Times New Roman" w:cs="Times New Roman"/>
                <w:kern w:val="0"/>
                <w:sz w:val="20"/>
                <w:szCs w:val="20"/>
                <w:lang w:val="en-GB"/>
                <w14:ligatures w14:val="none"/>
              </w:rPr>
              <w:t>2021.1873)</w:t>
            </w:r>
            <w:r w:rsidR="000B3901" w:rsidRPr="00F65288">
              <w:rPr>
                <w:rFonts w:ascii="Times New Roman" w:eastAsia="Calibri" w:hAnsi="Times New Roman" w:cs="Times New Roman"/>
                <w:kern w:val="0"/>
                <w:sz w:val="20"/>
                <w:szCs w:val="20"/>
                <w:lang w:val="en-GB"/>
                <w14:ligatures w14:val="none"/>
              </w:rPr>
              <w:t>.</w:t>
            </w:r>
          </w:p>
        </w:tc>
        <w:tc>
          <w:tcPr>
            <w:tcW w:w="7229" w:type="dxa"/>
          </w:tcPr>
          <w:p w14:paraId="566B2868" w14:textId="5AAB330E" w:rsidR="00F526A0" w:rsidRPr="00F65288" w:rsidRDefault="00410A72"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Areas intended for renewable energy generation facilities (and their buffer zones) with a power output </w:t>
            </w:r>
            <w:r w:rsidR="004A67C8">
              <w:rPr>
                <w:rFonts w:ascii="Times New Roman" w:eastAsia="Calibri" w:hAnsi="Times New Roman" w:cs="Times New Roman"/>
                <w:kern w:val="0"/>
                <w:sz w:val="20"/>
                <w:szCs w:val="20"/>
                <w:lang w:val="en-GB"/>
                <w14:ligatures w14:val="none"/>
              </w:rPr>
              <w:t>exceeding 500 kW (previously 100 kW) must</w:t>
            </w:r>
            <w:r w:rsidRPr="00F65288">
              <w:rPr>
                <w:rFonts w:ascii="Times New Roman" w:eastAsia="Calibri" w:hAnsi="Times New Roman" w:cs="Times New Roman"/>
                <w:kern w:val="0"/>
                <w:sz w:val="20"/>
                <w:szCs w:val="20"/>
                <w:lang w:val="en-GB"/>
                <w14:ligatures w14:val="none"/>
              </w:rPr>
              <w:t xml:space="preserve"> be indicated in the municipal spatial development framework. Two exceptions were introduced: the above provisions do not apply to ground-mounted photovoltaic systems with </w:t>
            </w:r>
            <w:r w:rsidR="004A67C8">
              <w:rPr>
                <w:rFonts w:ascii="Times New Roman" w:eastAsia="Calibri" w:hAnsi="Times New Roman" w:cs="Times New Roman"/>
                <w:kern w:val="0"/>
                <w:sz w:val="20"/>
                <w:szCs w:val="20"/>
                <w:lang w:val="en-GB"/>
                <w14:ligatures w14:val="none"/>
              </w:rPr>
              <w:t xml:space="preserve">an </w:t>
            </w:r>
            <w:r w:rsidRPr="00F65288">
              <w:rPr>
                <w:rFonts w:ascii="Times New Roman" w:eastAsia="Calibri" w:hAnsi="Times New Roman" w:cs="Times New Roman"/>
                <w:kern w:val="0"/>
                <w:sz w:val="20"/>
                <w:szCs w:val="20"/>
                <w:lang w:val="en-GB"/>
                <w14:ligatures w14:val="none"/>
              </w:rPr>
              <w:t>installed capacity of more than 1000 kW, situated on agricultural land assigned to soil quality class</w:t>
            </w:r>
            <w:r w:rsidR="008126F3" w:rsidRPr="00F65288">
              <w:rPr>
                <w:rFonts w:ascii="Times New Roman" w:eastAsia="Calibri" w:hAnsi="Times New Roman" w:cs="Times New Roman"/>
                <w:kern w:val="0"/>
                <w:sz w:val="20"/>
                <w:szCs w:val="20"/>
                <w:lang w:val="en-GB"/>
                <w14:ligatures w14:val="none"/>
              </w:rPr>
              <w:t xml:space="preserve">es </w:t>
            </w:r>
            <w:r w:rsidRPr="00F65288">
              <w:rPr>
                <w:rFonts w:ascii="Times New Roman" w:eastAsia="Calibri" w:hAnsi="Times New Roman" w:cs="Times New Roman"/>
                <w:kern w:val="0"/>
                <w:sz w:val="20"/>
                <w:szCs w:val="20"/>
                <w:lang w:val="en-GB"/>
                <w14:ligatures w14:val="none"/>
              </w:rPr>
              <w:t xml:space="preserve">V, VI, </w:t>
            </w:r>
            <w:proofErr w:type="spellStart"/>
            <w:r w:rsidRPr="00F65288">
              <w:rPr>
                <w:rFonts w:ascii="Times New Roman" w:eastAsia="Calibri" w:hAnsi="Times New Roman" w:cs="Times New Roman"/>
                <w:kern w:val="0"/>
                <w:sz w:val="20"/>
                <w:szCs w:val="20"/>
                <w:lang w:val="en-GB"/>
                <w14:ligatures w14:val="none"/>
              </w:rPr>
              <w:t>VIz</w:t>
            </w:r>
            <w:proofErr w:type="spellEnd"/>
            <w:r w:rsidRPr="00F65288">
              <w:rPr>
                <w:rFonts w:ascii="Times New Roman" w:eastAsia="Calibri" w:hAnsi="Times New Roman" w:cs="Times New Roman"/>
                <w:kern w:val="0"/>
                <w:sz w:val="20"/>
                <w:szCs w:val="20"/>
                <w:lang w:val="en-GB"/>
                <w14:ligatures w14:val="none"/>
              </w:rPr>
              <w:t>, and unproductive</w:t>
            </w:r>
            <w:r w:rsidR="00B70D96" w:rsidRPr="00F65288">
              <w:rPr>
                <w:rFonts w:ascii="Times New Roman" w:eastAsia="Calibri" w:hAnsi="Times New Roman" w:cs="Times New Roman"/>
                <w:kern w:val="0"/>
                <w:sz w:val="20"/>
                <w:szCs w:val="20"/>
                <w:lang w:val="en-GB"/>
                <w14:ligatures w14:val="none"/>
              </w:rPr>
              <w:t>/uncultivated</w:t>
            </w:r>
            <w:r w:rsidRPr="00F65288">
              <w:rPr>
                <w:rFonts w:ascii="Times New Roman" w:eastAsia="Calibri" w:hAnsi="Times New Roman" w:cs="Times New Roman"/>
                <w:kern w:val="0"/>
                <w:sz w:val="20"/>
                <w:szCs w:val="20"/>
                <w:lang w:val="en-GB"/>
                <w14:ligatures w14:val="none"/>
              </w:rPr>
              <w:t xml:space="preserve"> land. </w:t>
            </w:r>
          </w:p>
        </w:tc>
      </w:tr>
      <w:tr w:rsidR="00AF3BE7" w:rsidRPr="004A67C8" w14:paraId="17CF4400" w14:textId="77777777" w:rsidTr="00CC7C85">
        <w:trPr>
          <w:trHeight w:val="1917"/>
        </w:trPr>
        <w:tc>
          <w:tcPr>
            <w:tcW w:w="2410" w:type="dxa"/>
          </w:tcPr>
          <w:p w14:paraId="7FEA4EE6" w14:textId="690905C0" w:rsidR="00F526A0" w:rsidRPr="00F65288" w:rsidRDefault="00410A72"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Act of 27 March 2003 on spatial planning and development (Journal of Laws 2023.977)</w:t>
            </w:r>
            <w:r w:rsidR="000B3901" w:rsidRPr="00F65288">
              <w:rPr>
                <w:rFonts w:ascii="Times New Roman" w:eastAsia="Calibri" w:hAnsi="Times New Roman" w:cs="Times New Roman"/>
                <w:kern w:val="0"/>
                <w:sz w:val="20"/>
                <w:szCs w:val="20"/>
                <w:lang w:val="en-GB"/>
                <w14:ligatures w14:val="none"/>
              </w:rPr>
              <w:t>.</w:t>
            </w:r>
          </w:p>
        </w:tc>
        <w:tc>
          <w:tcPr>
            <w:tcW w:w="7229" w:type="dxa"/>
          </w:tcPr>
          <w:p w14:paraId="489BCC7B" w14:textId="5C1CE8CA" w:rsidR="00410A72" w:rsidRPr="00F65288" w:rsidRDefault="00410A72"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Spatial planning reform;</w:t>
            </w:r>
          </w:p>
          <w:p w14:paraId="5AE1C7D6" w14:textId="35978B97" w:rsidR="00F526A0" w:rsidRPr="00F65288" w:rsidRDefault="00410A72"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The </w:t>
            </w:r>
            <w:r w:rsidR="00114492" w:rsidRPr="00F65288">
              <w:rPr>
                <w:rFonts w:ascii="Times New Roman" w:eastAsia="Calibri" w:hAnsi="Times New Roman" w:cs="Times New Roman"/>
                <w:kern w:val="0"/>
                <w:sz w:val="20"/>
                <w:szCs w:val="20"/>
                <w:lang w:val="en-GB"/>
                <w14:ligatures w14:val="none"/>
              </w:rPr>
              <w:t>amendment</w:t>
            </w:r>
            <w:r w:rsidRPr="00F65288">
              <w:rPr>
                <w:rFonts w:ascii="Times New Roman" w:eastAsia="Calibri" w:hAnsi="Times New Roman" w:cs="Times New Roman"/>
                <w:kern w:val="0"/>
                <w:sz w:val="20"/>
                <w:szCs w:val="20"/>
                <w:lang w:val="en-GB"/>
                <w14:ligatures w14:val="none"/>
              </w:rPr>
              <w:t xml:space="preserve"> introduced a municipal general plan </w:t>
            </w:r>
            <w:r w:rsidR="008A44D5" w:rsidRPr="00F65288">
              <w:rPr>
                <w:rFonts w:ascii="Times New Roman" w:eastAsia="Calibri" w:hAnsi="Times New Roman" w:cs="Times New Roman"/>
                <w:kern w:val="0"/>
                <w:sz w:val="20"/>
                <w:szCs w:val="20"/>
                <w:lang w:val="en-GB"/>
                <w14:ligatures w14:val="none"/>
              </w:rPr>
              <w:t>that is binding for the preparation of local zoning plans;</w:t>
            </w:r>
          </w:p>
          <w:p w14:paraId="20D6D565" w14:textId="3DB0994F" w:rsidR="008A44D5" w:rsidRPr="00F65288" w:rsidRDefault="008A44D5"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Local zoning plans were aligned with the general plan to account for functional zones, urban planning parameters, and green permeable area;</w:t>
            </w:r>
          </w:p>
          <w:p w14:paraId="2C0AA6D5" w14:textId="7825516E" w:rsidR="00F526A0" w:rsidRPr="00F65288" w:rsidRDefault="008A44D5"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A decision on development conditions can be issued only when infill development areas have been specified in the general plan.</w:t>
            </w:r>
          </w:p>
          <w:p w14:paraId="6A13E1ED" w14:textId="4C178E30" w:rsidR="00F526A0" w:rsidRPr="00F65288" w:rsidRDefault="008A44D5" w:rsidP="00DB2BBB">
            <w:pPr>
              <w:ind w:firstLine="0"/>
              <w:contextualSpacing/>
              <w:jc w:val="left"/>
              <w:rPr>
                <w:rFonts w:ascii="Times New Roman" w:eastAsia="Calibri" w:hAnsi="Times New Roman" w:cs="Times New Roman"/>
                <w:kern w:val="0"/>
                <w:sz w:val="20"/>
                <w:szCs w:val="20"/>
                <w:lang w:val="en-GB"/>
                <w14:ligatures w14:val="none"/>
              </w:rPr>
            </w:pPr>
            <w:r w:rsidRPr="00F65288">
              <w:rPr>
                <w:rFonts w:ascii="Times New Roman" w:eastAsia="Calibri" w:hAnsi="Times New Roman" w:cs="Times New Roman"/>
                <w:kern w:val="0"/>
                <w:sz w:val="20"/>
                <w:szCs w:val="20"/>
                <w:lang w:val="en-GB"/>
                <w14:ligatures w14:val="none"/>
              </w:rPr>
              <w:t xml:space="preserve">The amendment will </w:t>
            </w:r>
            <w:r w:rsidR="004A67C8">
              <w:rPr>
                <w:rFonts w:ascii="Times New Roman" w:eastAsia="Calibri" w:hAnsi="Times New Roman" w:cs="Times New Roman"/>
                <w:kern w:val="0"/>
                <w:sz w:val="20"/>
                <w:szCs w:val="20"/>
                <w:lang w:val="en-GB"/>
                <w14:ligatures w14:val="none"/>
              </w:rPr>
              <w:t>take effect</w:t>
            </w:r>
            <w:r w:rsidRPr="00F65288">
              <w:rPr>
                <w:rFonts w:ascii="Times New Roman" w:eastAsia="Calibri" w:hAnsi="Times New Roman" w:cs="Times New Roman"/>
                <w:kern w:val="0"/>
                <w:sz w:val="20"/>
                <w:szCs w:val="20"/>
                <w:lang w:val="en-GB"/>
                <w14:ligatures w14:val="none"/>
              </w:rPr>
              <w:t xml:space="preserve"> on 1 July 2026.</w:t>
            </w:r>
          </w:p>
        </w:tc>
      </w:tr>
    </w:tbl>
    <w:p w14:paraId="356B12D3" w14:textId="77777777" w:rsidR="00DB2BBB" w:rsidRPr="00F65288" w:rsidRDefault="00DB2BBB" w:rsidP="00DB2BBB">
      <w:pPr>
        <w:pStyle w:val="Akapitzlist"/>
        <w:ind w:left="0"/>
        <w:rPr>
          <w:rFonts w:ascii="Times New Roman" w:hAnsi="Times New Roman" w:cs="Times New Roman"/>
          <w:lang w:val="en-GB"/>
        </w:rPr>
      </w:pPr>
    </w:p>
    <w:p w14:paraId="68E2A953" w14:textId="256AF3F2" w:rsidR="00AF0316" w:rsidRPr="00F65288" w:rsidRDefault="00AF0316" w:rsidP="00DB2BBB">
      <w:pPr>
        <w:pStyle w:val="Akapitzlist"/>
        <w:ind w:left="0"/>
        <w:rPr>
          <w:rFonts w:ascii="Times New Roman" w:hAnsi="Times New Roman" w:cs="Times New Roman"/>
          <w:lang w:val="en-GB"/>
        </w:rPr>
      </w:pPr>
      <w:r w:rsidRPr="00F65288">
        <w:rPr>
          <w:rFonts w:ascii="Times New Roman" w:hAnsi="Times New Roman" w:cs="Times New Roman"/>
          <w:lang w:val="en-GB"/>
        </w:rPr>
        <w:t xml:space="preserve">Table 1 lists the changes </w:t>
      </w:r>
      <w:r w:rsidR="004A67C8">
        <w:rPr>
          <w:rFonts w:ascii="Times New Roman" w:hAnsi="Times New Roman" w:cs="Times New Roman"/>
          <w:lang w:val="en-GB"/>
        </w:rPr>
        <w:t>introduced to Polish legal acts regard</w:t>
      </w:r>
      <w:r w:rsidR="008301EF" w:rsidRPr="00F65288">
        <w:rPr>
          <w:rFonts w:ascii="Times New Roman" w:hAnsi="Times New Roman" w:cs="Times New Roman"/>
          <w:lang w:val="en-GB"/>
        </w:rPr>
        <w:t xml:space="preserve">ing the withdrawal of agricultural land from production between 1997 and 2023. The analysis revealed that land </w:t>
      </w:r>
      <w:r w:rsidR="00114492" w:rsidRPr="00F65288">
        <w:rPr>
          <w:rFonts w:ascii="Times New Roman" w:hAnsi="Times New Roman" w:cs="Times New Roman"/>
          <w:lang w:val="en-GB"/>
        </w:rPr>
        <w:t>conversion</w:t>
      </w:r>
      <w:r w:rsidR="008301EF" w:rsidRPr="00F65288">
        <w:rPr>
          <w:rFonts w:ascii="Times New Roman" w:hAnsi="Times New Roman" w:cs="Times New Roman"/>
          <w:lang w:val="en-GB"/>
        </w:rPr>
        <w:t xml:space="preserve"> procedures were gradually liberalized, </w:t>
      </w:r>
      <w:r w:rsidR="004A67C8">
        <w:rPr>
          <w:rFonts w:ascii="Times New Roman" w:hAnsi="Times New Roman" w:cs="Times New Roman"/>
          <w:lang w:val="en-GB"/>
        </w:rPr>
        <w:t>particularly regarding</w:t>
      </w:r>
      <w:r w:rsidR="008301EF" w:rsidRPr="00F65288">
        <w:rPr>
          <w:rFonts w:ascii="Times New Roman" w:hAnsi="Times New Roman" w:cs="Times New Roman"/>
          <w:lang w:val="en-GB"/>
        </w:rPr>
        <w:t xml:space="preserve"> low-quality </w:t>
      </w:r>
      <w:r w:rsidR="00293C0D" w:rsidRPr="00F65288">
        <w:rPr>
          <w:rFonts w:ascii="Times New Roman" w:hAnsi="Times New Roman" w:cs="Times New Roman"/>
          <w:lang w:val="en-GB"/>
        </w:rPr>
        <w:t>agricultural land</w:t>
      </w:r>
      <w:r w:rsidR="008301EF" w:rsidRPr="00F65288">
        <w:rPr>
          <w:rFonts w:ascii="Times New Roman" w:hAnsi="Times New Roman" w:cs="Times New Roman"/>
          <w:lang w:val="en-GB"/>
        </w:rPr>
        <w:t xml:space="preserve"> and land within the administrative boundaries of cities.</w:t>
      </w:r>
    </w:p>
    <w:p w14:paraId="4352AC62" w14:textId="4F441BF1" w:rsidR="00EF2C81" w:rsidRPr="00F65288" w:rsidRDefault="008301EF" w:rsidP="002C46A0">
      <w:pPr>
        <w:pStyle w:val="Akapitzlist"/>
        <w:spacing w:line="360" w:lineRule="auto"/>
        <w:ind w:left="0"/>
        <w:rPr>
          <w:rFonts w:ascii="Times New Roman" w:hAnsi="Times New Roman" w:cs="Times New Roman"/>
          <w:lang w:val="en-GB"/>
        </w:rPr>
      </w:pPr>
      <w:r w:rsidRPr="00F65288">
        <w:rPr>
          <w:rFonts w:ascii="Times New Roman" w:hAnsi="Times New Roman" w:cs="Times New Roman"/>
          <w:lang w:val="en-GB"/>
        </w:rPr>
        <w:t xml:space="preserve">Special attention was paid to </w:t>
      </w:r>
      <w:r w:rsidR="008126F3" w:rsidRPr="00F65288">
        <w:rPr>
          <w:rFonts w:ascii="Times New Roman" w:hAnsi="Times New Roman" w:cs="Times New Roman"/>
          <w:lang w:val="en-GB"/>
        </w:rPr>
        <w:t>the</w:t>
      </w:r>
      <w:r w:rsidRPr="00F65288">
        <w:rPr>
          <w:rFonts w:ascii="Times New Roman" w:hAnsi="Times New Roman" w:cs="Times New Roman"/>
          <w:lang w:val="en-GB"/>
        </w:rPr>
        <w:t xml:space="preserve"> amendments introduced in:</w:t>
      </w:r>
    </w:p>
    <w:p w14:paraId="65AB9F60" w14:textId="64FAA7F9" w:rsidR="008301EF" w:rsidRPr="00F65288" w:rsidRDefault="00F526A0" w:rsidP="00CC75C2">
      <w:pPr>
        <w:pStyle w:val="Akapitzlist"/>
        <w:numPr>
          <w:ilvl w:val="0"/>
          <w:numId w:val="21"/>
        </w:numPr>
        <w:ind w:left="644" w:hanging="292"/>
        <w:rPr>
          <w:rFonts w:ascii="Times New Roman" w:hAnsi="Times New Roman" w:cs="Times New Roman"/>
          <w:lang w:val="en-GB"/>
        </w:rPr>
      </w:pPr>
      <w:r w:rsidRPr="00F65288">
        <w:rPr>
          <w:rFonts w:ascii="Times New Roman" w:hAnsi="Times New Roman" w:cs="Times New Roman"/>
          <w:lang w:val="en-GB"/>
        </w:rPr>
        <w:t xml:space="preserve">2003 – </w:t>
      </w:r>
      <w:r w:rsidR="004A67C8">
        <w:rPr>
          <w:rFonts w:ascii="Times New Roman" w:hAnsi="Times New Roman" w:cs="Times New Roman"/>
          <w:lang w:val="en-GB"/>
        </w:rPr>
        <w:t>The Act on Spatial Planning and Development introduced exceptions under</w:t>
      </w:r>
      <w:r w:rsidR="003443DE" w:rsidRPr="00F65288">
        <w:rPr>
          <w:rFonts w:ascii="Times New Roman" w:hAnsi="Times New Roman" w:cs="Times New Roman"/>
          <w:lang w:val="en-GB"/>
        </w:rPr>
        <w:t xml:space="preserve"> which</w:t>
      </w:r>
      <w:r w:rsidR="008301EF" w:rsidRPr="00F65288">
        <w:rPr>
          <w:rFonts w:ascii="Times New Roman" w:hAnsi="Times New Roman" w:cs="Times New Roman"/>
          <w:lang w:val="en-GB"/>
        </w:rPr>
        <w:t xml:space="preserve"> </w:t>
      </w:r>
      <w:r w:rsidR="00293C0D" w:rsidRPr="00F65288">
        <w:rPr>
          <w:rFonts w:ascii="Times New Roman" w:hAnsi="Times New Roman" w:cs="Times New Roman"/>
          <w:lang w:val="en-GB"/>
        </w:rPr>
        <w:t>agricultural land</w:t>
      </w:r>
      <w:r w:rsidR="008301EF" w:rsidRPr="00F65288">
        <w:rPr>
          <w:rFonts w:ascii="Times New Roman" w:hAnsi="Times New Roman" w:cs="Times New Roman"/>
          <w:lang w:val="en-GB"/>
        </w:rPr>
        <w:t xml:space="preserve"> can be taken out of production without the need </w:t>
      </w:r>
      <w:r w:rsidR="003443DE" w:rsidRPr="00F65288">
        <w:rPr>
          <w:rFonts w:ascii="Times New Roman" w:hAnsi="Times New Roman" w:cs="Times New Roman"/>
          <w:lang w:val="en-GB"/>
        </w:rPr>
        <w:t>to adopt a</w:t>
      </w:r>
      <w:r w:rsidR="008301EF" w:rsidRPr="00F65288">
        <w:rPr>
          <w:rFonts w:ascii="Times New Roman" w:hAnsi="Times New Roman" w:cs="Times New Roman"/>
          <w:lang w:val="en-GB"/>
        </w:rPr>
        <w:t xml:space="preserve"> local zoning plan. </w:t>
      </w:r>
      <w:r w:rsidR="003443DE" w:rsidRPr="00F65288">
        <w:rPr>
          <w:rFonts w:ascii="Times New Roman" w:hAnsi="Times New Roman" w:cs="Times New Roman"/>
          <w:lang w:val="en-GB"/>
        </w:rPr>
        <w:t>This reform introduced more flexibility to decision</w:t>
      </w:r>
      <w:r w:rsidR="004A67C8">
        <w:rPr>
          <w:rFonts w:ascii="Times New Roman" w:hAnsi="Times New Roman" w:cs="Times New Roman"/>
          <w:lang w:val="en-GB"/>
        </w:rPr>
        <w:t>-</w:t>
      </w:r>
      <w:r w:rsidR="003443DE" w:rsidRPr="00F65288">
        <w:rPr>
          <w:rFonts w:ascii="Times New Roman" w:hAnsi="Times New Roman" w:cs="Times New Roman"/>
          <w:lang w:val="en-GB"/>
        </w:rPr>
        <w:t>making, but also weakened the land protection framework</w:t>
      </w:r>
      <w:r w:rsidR="00CC75C2">
        <w:rPr>
          <w:rFonts w:ascii="Times New Roman" w:hAnsi="Times New Roman" w:cs="Times New Roman"/>
          <w:lang w:val="en-GB"/>
        </w:rPr>
        <w:t>;</w:t>
      </w:r>
    </w:p>
    <w:p w14:paraId="061D54EC" w14:textId="4652221E" w:rsidR="003443DE" w:rsidRPr="00F65288" w:rsidRDefault="00F526A0" w:rsidP="00CC75C2">
      <w:pPr>
        <w:pStyle w:val="Akapitzlist"/>
        <w:numPr>
          <w:ilvl w:val="0"/>
          <w:numId w:val="21"/>
        </w:numPr>
        <w:ind w:left="644" w:hanging="292"/>
        <w:rPr>
          <w:rFonts w:ascii="Times New Roman" w:hAnsi="Times New Roman" w:cs="Times New Roman"/>
          <w:lang w:val="en-GB"/>
        </w:rPr>
      </w:pPr>
      <w:r w:rsidRPr="00F65288">
        <w:rPr>
          <w:rFonts w:ascii="Times New Roman" w:hAnsi="Times New Roman" w:cs="Times New Roman"/>
          <w:lang w:val="en-GB"/>
        </w:rPr>
        <w:t xml:space="preserve">2008/2009 – </w:t>
      </w:r>
      <w:r w:rsidR="00293C0D" w:rsidRPr="00F65288">
        <w:rPr>
          <w:rFonts w:ascii="Times New Roman" w:hAnsi="Times New Roman" w:cs="Times New Roman"/>
          <w:lang w:val="en-GB"/>
        </w:rPr>
        <w:t>agricultural land</w:t>
      </w:r>
      <w:r w:rsidR="003443DE" w:rsidRPr="00F65288">
        <w:rPr>
          <w:rFonts w:ascii="Times New Roman" w:hAnsi="Times New Roman" w:cs="Times New Roman"/>
          <w:lang w:val="en-GB"/>
        </w:rPr>
        <w:t xml:space="preserve"> located within city limits and assigned to soil quality class</w:t>
      </w:r>
      <w:r w:rsidR="008126F3" w:rsidRPr="00F65288">
        <w:rPr>
          <w:rFonts w:ascii="Times New Roman" w:hAnsi="Times New Roman" w:cs="Times New Roman"/>
          <w:lang w:val="en-GB"/>
        </w:rPr>
        <w:t>es</w:t>
      </w:r>
      <w:r w:rsidR="003443DE" w:rsidRPr="00F65288">
        <w:rPr>
          <w:rFonts w:ascii="Times New Roman" w:hAnsi="Times New Roman" w:cs="Times New Roman"/>
          <w:lang w:val="en-GB"/>
        </w:rPr>
        <w:t xml:space="preserve"> IV</w:t>
      </w:r>
      <w:r w:rsidR="00790A4D">
        <w:rPr>
          <w:rFonts w:ascii="Times New Roman" w:hAnsi="Times New Roman" w:cs="Times New Roman"/>
          <w:lang w:val="en-GB"/>
        </w:rPr>
        <w:t>-</w:t>
      </w:r>
      <w:r w:rsidR="003443DE" w:rsidRPr="00F65288">
        <w:rPr>
          <w:rFonts w:ascii="Times New Roman" w:hAnsi="Times New Roman" w:cs="Times New Roman"/>
          <w:lang w:val="en-GB"/>
        </w:rPr>
        <w:t>VI was deprived of protection, which made some areas highly vulnerable to development pressure and contributed to urbanization and suburbanization</w:t>
      </w:r>
      <w:r w:rsidR="00CC75C2">
        <w:rPr>
          <w:rFonts w:ascii="Times New Roman" w:hAnsi="Times New Roman" w:cs="Times New Roman"/>
          <w:lang w:val="en-GB"/>
        </w:rPr>
        <w:t>;</w:t>
      </w:r>
    </w:p>
    <w:p w14:paraId="773B8294" w14:textId="3AF1B046" w:rsidR="003443DE" w:rsidRPr="00F65288" w:rsidRDefault="00F526A0" w:rsidP="00CC75C2">
      <w:pPr>
        <w:pStyle w:val="Akapitzlist"/>
        <w:numPr>
          <w:ilvl w:val="0"/>
          <w:numId w:val="21"/>
        </w:numPr>
        <w:ind w:left="644" w:hanging="292"/>
        <w:rPr>
          <w:rFonts w:ascii="Times New Roman" w:hAnsi="Times New Roman" w:cs="Times New Roman"/>
          <w:lang w:val="en-GB"/>
        </w:rPr>
      </w:pPr>
      <w:r w:rsidRPr="00F65288">
        <w:rPr>
          <w:rFonts w:ascii="Times New Roman" w:hAnsi="Times New Roman" w:cs="Times New Roman"/>
          <w:lang w:val="en-GB"/>
        </w:rPr>
        <w:t xml:space="preserve">2015 – </w:t>
      </w:r>
      <w:r w:rsidR="003443DE" w:rsidRPr="00F65288">
        <w:rPr>
          <w:rFonts w:ascii="Times New Roman" w:hAnsi="Times New Roman" w:cs="Times New Roman"/>
          <w:lang w:val="en-GB"/>
        </w:rPr>
        <w:t>th</w:t>
      </w:r>
      <w:r w:rsidR="00A17841" w:rsidRPr="00F65288">
        <w:rPr>
          <w:rFonts w:ascii="Times New Roman" w:hAnsi="Times New Roman" w:cs="Times New Roman"/>
          <w:lang w:val="en-GB"/>
        </w:rPr>
        <w:t xml:space="preserve">is amendment introduced the option of </w:t>
      </w:r>
      <w:r w:rsidR="008126F3" w:rsidRPr="00F65288">
        <w:rPr>
          <w:rFonts w:ascii="Times New Roman" w:hAnsi="Times New Roman" w:cs="Times New Roman"/>
          <w:lang w:val="en-GB"/>
        </w:rPr>
        <w:t>changing the designation of</w:t>
      </w:r>
      <w:r w:rsidR="003443DE" w:rsidRPr="00F65288">
        <w:rPr>
          <w:rFonts w:ascii="Times New Roman" w:hAnsi="Times New Roman" w:cs="Times New Roman"/>
          <w:lang w:val="en-GB"/>
        </w:rPr>
        <w:t xml:space="preserve"> </w:t>
      </w:r>
      <w:r w:rsidR="00293C0D" w:rsidRPr="00F65288">
        <w:rPr>
          <w:rFonts w:ascii="Times New Roman" w:hAnsi="Times New Roman" w:cs="Times New Roman"/>
          <w:lang w:val="en-GB"/>
        </w:rPr>
        <w:t>agricultural land</w:t>
      </w:r>
      <w:r w:rsidR="003443DE" w:rsidRPr="00F65288">
        <w:rPr>
          <w:rFonts w:ascii="Times New Roman" w:hAnsi="Times New Roman" w:cs="Times New Roman"/>
          <w:lang w:val="en-GB"/>
        </w:rPr>
        <w:t xml:space="preserve"> </w:t>
      </w:r>
      <w:r w:rsidR="005C1DA6" w:rsidRPr="00F65288">
        <w:rPr>
          <w:rFonts w:ascii="Times New Roman" w:hAnsi="Times New Roman" w:cs="Times New Roman"/>
          <w:lang w:val="en-GB"/>
        </w:rPr>
        <w:t xml:space="preserve">without </w:t>
      </w:r>
      <w:r w:rsidR="004453B0" w:rsidRPr="00F65288">
        <w:rPr>
          <w:rFonts w:ascii="Times New Roman" w:hAnsi="Times New Roman" w:cs="Times New Roman"/>
          <w:lang w:val="en-GB"/>
        </w:rPr>
        <w:t xml:space="preserve">indicating </w:t>
      </w:r>
      <w:r w:rsidR="005C1DA6" w:rsidRPr="00F65288">
        <w:rPr>
          <w:rFonts w:ascii="Times New Roman" w:hAnsi="Times New Roman" w:cs="Times New Roman"/>
          <w:lang w:val="en-GB"/>
        </w:rPr>
        <w:t xml:space="preserve">it </w:t>
      </w:r>
      <w:r w:rsidR="005C1DA6" w:rsidRPr="00F65288">
        <w:rPr>
          <w:rFonts w:ascii="Times New Roman" w:eastAsia="Calibri" w:hAnsi="Times New Roman" w:cs="Times New Roman"/>
          <w:kern w:val="0"/>
          <w:lang w:val="en-GB"/>
          <w14:ligatures w14:val="none"/>
        </w:rPr>
        <w:t>in the local zoning plan</w:t>
      </w:r>
      <w:r w:rsidR="004A67C8">
        <w:rPr>
          <w:rFonts w:ascii="Times New Roman" w:eastAsia="Calibri" w:hAnsi="Times New Roman" w:cs="Times New Roman"/>
          <w:kern w:val="0"/>
          <w:lang w:val="en-GB"/>
          <w14:ligatures w14:val="none"/>
        </w:rPr>
        <w:t>,</w:t>
      </w:r>
      <w:r w:rsidR="005C1DA6" w:rsidRPr="00F65288">
        <w:rPr>
          <w:rFonts w:ascii="Times New Roman" w:hAnsi="Times New Roman" w:cs="Times New Roman"/>
          <w:lang w:val="en-GB"/>
        </w:rPr>
        <w:t xml:space="preserve"> </w:t>
      </w:r>
      <w:r w:rsidR="00314D3B" w:rsidRPr="00F65288">
        <w:rPr>
          <w:rFonts w:ascii="Times New Roman" w:hAnsi="Times New Roman" w:cs="Times New Roman"/>
          <w:lang w:val="en-GB"/>
        </w:rPr>
        <w:t xml:space="preserve">provided that </w:t>
      </w:r>
      <w:r w:rsidR="004453B0" w:rsidRPr="00F65288">
        <w:rPr>
          <w:rFonts w:ascii="Times New Roman" w:hAnsi="Times New Roman" w:cs="Times New Roman"/>
          <w:lang w:val="en-GB"/>
        </w:rPr>
        <w:t>the land is</w:t>
      </w:r>
      <w:r w:rsidR="008126F3" w:rsidRPr="00F65288">
        <w:rPr>
          <w:rFonts w:ascii="Times New Roman" w:hAnsi="Times New Roman" w:cs="Times New Roman"/>
          <w:lang w:val="en-GB"/>
        </w:rPr>
        <w:t xml:space="preserve"> </w:t>
      </w:r>
      <w:r w:rsidR="003443DE" w:rsidRPr="00F65288">
        <w:rPr>
          <w:rFonts w:ascii="Times New Roman" w:hAnsi="Times New Roman" w:cs="Times New Roman"/>
          <w:lang w:val="en-GB"/>
        </w:rPr>
        <w:t>assigned to soil quality class</w:t>
      </w:r>
      <w:r w:rsidR="008126F3" w:rsidRPr="00F65288">
        <w:rPr>
          <w:rFonts w:ascii="Times New Roman" w:hAnsi="Times New Roman" w:cs="Times New Roman"/>
          <w:lang w:val="en-GB"/>
        </w:rPr>
        <w:t>es</w:t>
      </w:r>
      <w:r w:rsidR="003443DE" w:rsidRPr="00F65288">
        <w:rPr>
          <w:rFonts w:ascii="Times New Roman" w:hAnsi="Times New Roman" w:cs="Times New Roman"/>
          <w:lang w:val="en-GB"/>
        </w:rPr>
        <w:t xml:space="preserve"> I</w:t>
      </w:r>
      <w:r w:rsidR="00790A4D">
        <w:rPr>
          <w:rFonts w:ascii="Times New Roman" w:hAnsi="Times New Roman" w:cs="Times New Roman"/>
          <w:lang w:val="en-GB"/>
        </w:rPr>
        <w:t>-</w:t>
      </w:r>
      <w:r w:rsidR="003443DE" w:rsidRPr="00F65288">
        <w:rPr>
          <w:rFonts w:ascii="Times New Roman" w:hAnsi="Times New Roman" w:cs="Times New Roman"/>
          <w:lang w:val="en-GB"/>
        </w:rPr>
        <w:t>III</w:t>
      </w:r>
      <w:r w:rsidR="00314D3B" w:rsidRPr="00F65288">
        <w:rPr>
          <w:rFonts w:ascii="Times New Roman" w:hAnsi="Times New Roman" w:cs="Times New Roman"/>
          <w:lang w:val="en-GB"/>
        </w:rPr>
        <w:t xml:space="preserve"> and</w:t>
      </w:r>
      <w:r w:rsidR="003443DE" w:rsidRPr="00F65288">
        <w:rPr>
          <w:rFonts w:ascii="Times New Roman" w:hAnsi="Times New Roman" w:cs="Times New Roman"/>
          <w:lang w:val="en-GB"/>
        </w:rPr>
        <w:t xml:space="preserve"> </w:t>
      </w:r>
      <w:r w:rsidR="004453B0" w:rsidRPr="00F65288">
        <w:rPr>
          <w:rFonts w:ascii="Times New Roman" w:hAnsi="Times New Roman" w:cs="Times New Roman"/>
          <w:lang w:val="en-GB"/>
        </w:rPr>
        <w:t xml:space="preserve">is </w:t>
      </w:r>
      <w:r w:rsidR="003443DE" w:rsidRPr="00F65288">
        <w:rPr>
          <w:rFonts w:ascii="Times New Roman" w:hAnsi="Times New Roman" w:cs="Times New Roman"/>
          <w:lang w:val="en-GB"/>
        </w:rPr>
        <w:t>located in a densely developed area</w:t>
      </w:r>
      <w:r w:rsidR="008126F3" w:rsidRPr="00F65288">
        <w:rPr>
          <w:rFonts w:ascii="Times New Roman" w:hAnsi="Times New Roman" w:cs="Times New Roman"/>
          <w:lang w:val="en-GB"/>
        </w:rPr>
        <w:t>,</w:t>
      </w:r>
      <w:r w:rsidR="00314D3B" w:rsidRPr="00F65288">
        <w:rPr>
          <w:rFonts w:ascii="Times New Roman" w:hAnsi="Times New Roman" w:cs="Times New Roman"/>
          <w:lang w:val="en-GB"/>
        </w:rPr>
        <w:t xml:space="preserve"> </w:t>
      </w:r>
      <w:r w:rsidR="00A17841" w:rsidRPr="00F65288">
        <w:rPr>
          <w:rFonts w:ascii="Times New Roman" w:hAnsi="Times New Roman" w:cs="Times New Roman"/>
          <w:lang w:val="en-GB"/>
        </w:rPr>
        <w:t xml:space="preserve">which made valuable </w:t>
      </w:r>
      <w:r w:rsidR="004453B0" w:rsidRPr="00F65288">
        <w:rPr>
          <w:rFonts w:ascii="Times New Roman" w:hAnsi="Times New Roman" w:cs="Times New Roman"/>
          <w:lang w:val="en-GB"/>
        </w:rPr>
        <w:t>soils</w:t>
      </w:r>
      <w:r w:rsidR="00A17841" w:rsidRPr="00F65288">
        <w:rPr>
          <w:rFonts w:ascii="Times New Roman" w:hAnsi="Times New Roman" w:cs="Times New Roman"/>
          <w:lang w:val="en-GB"/>
        </w:rPr>
        <w:t xml:space="preserve"> more susceptible to urban sprawl</w:t>
      </w:r>
      <w:r w:rsidR="004A67C8">
        <w:rPr>
          <w:rFonts w:ascii="Times New Roman" w:hAnsi="Times New Roman" w:cs="Times New Roman"/>
          <w:lang w:val="en-GB"/>
        </w:rPr>
        <w:t>;</w:t>
      </w:r>
    </w:p>
    <w:p w14:paraId="22BD7A31" w14:textId="463CB7BB" w:rsidR="00A17841" w:rsidRPr="00F65288" w:rsidRDefault="00AA48CB" w:rsidP="00CC75C2">
      <w:pPr>
        <w:pStyle w:val="Akapitzlist"/>
        <w:numPr>
          <w:ilvl w:val="0"/>
          <w:numId w:val="21"/>
        </w:numPr>
        <w:ind w:left="644" w:hanging="292"/>
        <w:rPr>
          <w:rFonts w:ascii="Times New Roman" w:hAnsi="Times New Roman" w:cs="Times New Roman"/>
          <w:lang w:val="en-GB"/>
        </w:rPr>
      </w:pPr>
      <w:r w:rsidRPr="00F65288">
        <w:rPr>
          <w:rFonts w:ascii="Times New Roman" w:hAnsi="Times New Roman" w:cs="Times New Roman"/>
          <w:lang w:val="en-GB"/>
        </w:rPr>
        <w:t xml:space="preserve">2023 </w:t>
      </w:r>
      <w:r w:rsidR="00A17841" w:rsidRPr="00F65288">
        <w:rPr>
          <w:rFonts w:ascii="Times New Roman" w:hAnsi="Times New Roman" w:cs="Times New Roman"/>
          <w:lang w:val="en-GB"/>
        </w:rPr>
        <w:t xml:space="preserve">– </w:t>
      </w:r>
      <w:r w:rsidR="004A67C8">
        <w:rPr>
          <w:rFonts w:ascii="Times New Roman" w:hAnsi="Times New Roman" w:cs="Times New Roman"/>
          <w:lang w:val="en-GB"/>
        </w:rPr>
        <w:t>This amendment introduced several systemic changes to enhance the transparency and predictability of the planning process, as well as</w:t>
      </w:r>
      <w:r w:rsidR="00A17841" w:rsidRPr="00F65288">
        <w:rPr>
          <w:rFonts w:ascii="Times New Roman" w:hAnsi="Times New Roman" w:cs="Times New Roman"/>
          <w:lang w:val="en-GB"/>
        </w:rPr>
        <w:t xml:space="preserve"> promote its </w:t>
      </w:r>
      <w:r w:rsidR="00114492" w:rsidRPr="00F65288">
        <w:rPr>
          <w:rFonts w:ascii="Times New Roman" w:hAnsi="Times New Roman" w:cs="Times New Roman"/>
          <w:lang w:val="en-GB"/>
        </w:rPr>
        <w:t>digitalization</w:t>
      </w:r>
      <w:r w:rsidR="00A17841" w:rsidRPr="00F65288">
        <w:rPr>
          <w:rFonts w:ascii="Times New Roman" w:hAnsi="Times New Roman" w:cs="Times New Roman"/>
          <w:lang w:val="en-GB"/>
        </w:rPr>
        <w:t xml:space="preserve">. Most importantly, this amendment replaced the </w:t>
      </w:r>
      <w:r w:rsidR="00E552C4" w:rsidRPr="00F65288">
        <w:rPr>
          <w:rFonts w:ascii="Times New Roman" w:eastAsia="Calibri" w:hAnsi="Times New Roman" w:cs="Times New Roman"/>
          <w:kern w:val="0"/>
          <w:lang w:val="en-GB"/>
          <w14:ligatures w14:val="none"/>
        </w:rPr>
        <w:t xml:space="preserve">municipal spatial development framework </w:t>
      </w:r>
      <w:r w:rsidR="00A17841" w:rsidRPr="00F65288">
        <w:rPr>
          <w:rFonts w:ascii="Times New Roman" w:eastAsia="Calibri" w:hAnsi="Times New Roman" w:cs="Times New Roman"/>
          <w:kern w:val="0"/>
          <w:lang w:val="en-GB"/>
          <w14:ligatures w14:val="none"/>
        </w:rPr>
        <w:t>with the general plan</w:t>
      </w:r>
      <w:r w:rsidR="004A67C8">
        <w:rPr>
          <w:rFonts w:ascii="Times New Roman" w:eastAsia="Calibri" w:hAnsi="Times New Roman" w:cs="Times New Roman"/>
          <w:kern w:val="0"/>
          <w:lang w:val="en-GB"/>
          <w14:ligatures w14:val="none"/>
        </w:rPr>
        <w:t>,</w:t>
      </w:r>
      <w:r w:rsidR="00A17841" w:rsidRPr="00F65288">
        <w:rPr>
          <w:rFonts w:ascii="Times New Roman" w:eastAsia="Calibri" w:hAnsi="Times New Roman" w:cs="Times New Roman"/>
          <w:kern w:val="0"/>
          <w:lang w:val="en-GB"/>
          <w14:ligatures w14:val="none"/>
        </w:rPr>
        <w:t xml:space="preserve"> which became obligatory for all municipalities and </w:t>
      </w:r>
      <w:r w:rsidR="00CF79AA" w:rsidRPr="00F65288">
        <w:rPr>
          <w:rFonts w:ascii="Times New Roman" w:eastAsia="Calibri" w:hAnsi="Times New Roman" w:cs="Times New Roman"/>
          <w:kern w:val="0"/>
          <w:lang w:val="en-GB"/>
          <w14:ligatures w14:val="none"/>
        </w:rPr>
        <w:t>may</w:t>
      </w:r>
      <w:r w:rsidR="00A17841" w:rsidRPr="00F65288">
        <w:rPr>
          <w:rFonts w:ascii="Times New Roman" w:eastAsia="Calibri" w:hAnsi="Times New Roman" w:cs="Times New Roman"/>
          <w:kern w:val="0"/>
          <w:lang w:val="en-GB"/>
          <w14:ligatures w14:val="none"/>
        </w:rPr>
        <w:t xml:space="preserve"> be adopted as a local law</w:t>
      </w:r>
      <w:r w:rsidR="00CC75C2">
        <w:rPr>
          <w:rFonts w:ascii="Times New Roman" w:eastAsia="Calibri" w:hAnsi="Times New Roman" w:cs="Times New Roman"/>
          <w:kern w:val="0"/>
          <w:lang w:val="en-GB"/>
          <w14:ligatures w14:val="none"/>
        </w:rPr>
        <w:t>.</w:t>
      </w:r>
    </w:p>
    <w:p w14:paraId="5B880639" w14:textId="77777777" w:rsidR="00CC75C2" w:rsidRDefault="00CC75C2" w:rsidP="00DB2BBB">
      <w:pPr>
        <w:pStyle w:val="Akapitzlist"/>
        <w:ind w:left="0"/>
        <w:rPr>
          <w:rFonts w:ascii="Times New Roman" w:hAnsi="Times New Roman" w:cs="Times New Roman"/>
          <w:lang w:val="en-GB"/>
        </w:rPr>
      </w:pPr>
    </w:p>
    <w:p w14:paraId="5A803154" w14:textId="0B239845" w:rsidR="00CF6C36" w:rsidRPr="00F65288" w:rsidRDefault="00A17841" w:rsidP="00DB2BBB">
      <w:pPr>
        <w:pStyle w:val="Akapitzlist"/>
        <w:ind w:left="0"/>
        <w:rPr>
          <w:rFonts w:ascii="Times New Roman" w:hAnsi="Times New Roman" w:cs="Times New Roman"/>
          <w:lang w:val="en-GB"/>
        </w:rPr>
      </w:pPr>
      <w:r w:rsidRPr="00F65288">
        <w:rPr>
          <w:rFonts w:ascii="Times New Roman" w:hAnsi="Times New Roman" w:cs="Times New Roman"/>
          <w:lang w:val="en-GB"/>
        </w:rPr>
        <w:t xml:space="preserve">From </w:t>
      </w:r>
      <w:r w:rsidR="004A67C8">
        <w:rPr>
          <w:rFonts w:ascii="Times New Roman" w:hAnsi="Times New Roman" w:cs="Times New Roman"/>
          <w:lang w:val="en-GB"/>
        </w:rPr>
        <w:t>a legal perspective, successive amendments to the 1995 Act</w:t>
      </w:r>
      <w:r w:rsidRPr="00F65288">
        <w:rPr>
          <w:rFonts w:ascii="Times New Roman" w:hAnsi="Times New Roman" w:cs="Times New Roman"/>
          <w:lang w:val="en-GB"/>
        </w:rPr>
        <w:t xml:space="preserve"> have </w:t>
      </w:r>
      <w:r w:rsidR="00CF6C36" w:rsidRPr="00F65288">
        <w:rPr>
          <w:rFonts w:ascii="Times New Roman" w:hAnsi="Times New Roman" w:cs="Times New Roman"/>
          <w:lang w:val="en-GB"/>
        </w:rPr>
        <w:t xml:space="preserve">gradually </w:t>
      </w:r>
      <w:r w:rsidRPr="00F65288">
        <w:rPr>
          <w:rFonts w:ascii="Times New Roman" w:hAnsi="Times New Roman" w:cs="Times New Roman"/>
          <w:lang w:val="en-GB"/>
        </w:rPr>
        <w:t>shifted the balance from environmental protection to</w:t>
      </w:r>
      <w:r w:rsidR="00CF6C36" w:rsidRPr="00F65288">
        <w:rPr>
          <w:rFonts w:ascii="Times New Roman" w:hAnsi="Times New Roman" w:cs="Times New Roman"/>
          <w:lang w:val="en-GB"/>
        </w:rPr>
        <w:t>wards</w:t>
      </w:r>
      <w:r w:rsidRPr="00F65288">
        <w:rPr>
          <w:rFonts w:ascii="Times New Roman" w:hAnsi="Times New Roman" w:cs="Times New Roman"/>
          <w:lang w:val="en-GB"/>
        </w:rPr>
        <w:t xml:space="preserve"> </w:t>
      </w:r>
      <w:r w:rsidR="00CF6C36" w:rsidRPr="00F65288">
        <w:rPr>
          <w:rFonts w:ascii="Times New Roman" w:hAnsi="Times New Roman" w:cs="Times New Roman"/>
          <w:lang w:val="en-GB"/>
        </w:rPr>
        <w:t xml:space="preserve">the interests of investors and local development. According to the legislator, these changes were necessary to promote the construction of housing and </w:t>
      </w:r>
      <w:r w:rsidR="00E552C4" w:rsidRPr="00F65288">
        <w:rPr>
          <w:rFonts w:ascii="Times New Roman" w:hAnsi="Times New Roman" w:cs="Times New Roman"/>
          <w:lang w:val="en-GB"/>
        </w:rPr>
        <w:t>power</w:t>
      </w:r>
      <w:r w:rsidR="00CF6C36" w:rsidRPr="00F65288">
        <w:rPr>
          <w:rFonts w:ascii="Times New Roman" w:hAnsi="Times New Roman" w:cs="Times New Roman"/>
          <w:lang w:val="en-GB"/>
        </w:rPr>
        <w:t xml:space="preserve"> infrastructure, which is why </w:t>
      </w:r>
      <w:r w:rsidR="00293C0D" w:rsidRPr="00F65288">
        <w:rPr>
          <w:rFonts w:ascii="Times New Roman" w:hAnsi="Times New Roman" w:cs="Times New Roman"/>
          <w:lang w:val="en-GB"/>
        </w:rPr>
        <w:t>agricultural land</w:t>
      </w:r>
      <w:r w:rsidR="00CF6C36" w:rsidRPr="00F65288">
        <w:rPr>
          <w:rFonts w:ascii="Times New Roman" w:hAnsi="Times New Roman" w:cs="Times New Roman"/>
          <w:lang w:val="en-GB"/>
        </w:rPr>
        <w:t xml:space="preserve"> conversion to residential development </w:t>
      </w:r>
      <w:r w:rsidR="007E34B3" w:rsidRPr="00F65288">
        <w:rPr>
          <w:rFonts w:ascii="Times New Roman" w:hAnsi="Times New Roman" w:cs="Times New Roman"/>
          <w:lang w:val="en-GB"/>
        </w:rPr>
        <w:t xml:space="preserve">(single-family housing) </w:t>
      </w:r>
      <w:r w:rsidR="00CF6C36" w:rsidRPr="00F65288">
        <w:rPr>
          <w:rFonts w:ascii="Times New Roman" w:hAnsi="Times New Roman" w:cs="Times New Roman"/>
          <w:lang w:val="en-GB"/>
        </w:rPr>
        <w:t>(1997) or renewable energy development (2021) was exempt from conversion fees.</w:t>
      </w:r>
    </w:p>
    <w:p w14:paraId="53A6805B" w14:textId="35F9C373" w:rsidR="00A17841" w:rsidRDefault="00CF6C36" w:rsidP="00DB2BBB">
      <w:pPr>
        <w:pStyle w:val="Akapitzlist"/>
        <w:ind w:left="0"/>
        <w:rPr>
          <w:rFonts w:ascii="Times New Roman" w:hAnsi="Times New Roman" w:cs="Times New Roman"/>
          <w:lang w:val="en-GB"/>
        </w:rPr>
      </w:pPr>
      <w:r w:rsidRPr="00F65288">
        <w:rPr>
          <w:rFonts w:ascii="Times New Roman" w:hAnsi="Times New Roman" w:cs="Times New Roman"/>
          <w:lang w:val="en-GB"/>
        </w:rPr>
        <w:t xml:space="preserve">The 2023 </w:t>
      </w:r>
      <w:r w:rsidR="00114492" w:rsidRPr="00F65288">
        <w:rPr>
          <w:rFonts w:ascii="Times New Roman" w:hAnsi="Times New Roman" w:cs="Times New Roman"/>
          <w:lang w:val="en-GB"/>
        </w:rPr>
        <w:t>amendment</w:t>
      </w:r>
      <w:r w:rsidRPr="00F65288">
        <w:rPr>
          <w:rFonts w:ascii="Times New Roman" w:hAnsi="Times New Roman" w:cs="Times New Roman"/>
          <w:lang w:val="en-GB"/>
        </w:rPr>
        <w:t xml:space="preserve"> to the Act on </w:t>
      </w:r>
      <w:r w:rsidR="004A67C8">
        <w:rPr>
          <w:rFonts w:ascii="Times New Roman" w:hAnsi="Times New Roman" w:cs="Times New Roman"/>
          <w:lang w:val="en-GB"/>
        </w:rPr>
        <w:t>Spatial Planning and Development can have</w:t>
      </w:r>
      <w:r w:rsidRPr="00F65288">
        <w:rPr>
          <w:rFonts w:ascii="Times New Roman" w:hAnsi="Times New Roman" w:cs="Times New Roman"/>
          <w:lang w:val="en-GB"/>
        </w:rPr>
        <w:t xml:space="preserve"> both positive and negative effects on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protection. On the one hand, the replacement of the </w:t>
      </w:r>
      <w:r w:rsidR="00E552C4" w:rsidRPr="00F65288">
        <w:rPr>
          <w:rFonts w:ascii="Times New Roman" w:hAnsi="Times New Roman" w:cs="Times New Roman"/>
          <w:lang w:val="en-GB"/>
        </w:rPr>
        <w:t xml:space="preserve">municipal spatial development framework with the general plan promotes the incorporation of </w:t>
      </w:r>
      <w:r w:rsidR="00293C0D" w:rsidRPr="00F65288">
        <w:rPr>
          <w:rFonts w:ascii="Times New Roman" w:hAnsi="Times New Roman" w:cs="Times New Roman"/>
          <w:lang w:val="en-GB"/>
        </w:rPr>
        <w:t>agricultural land</w:t>
      </w:r>
      <w:r w:rsidR="00E552C4" w:rsidRPr="00F65288">
        <w:rPr>
          <w:rFonts w:ascii="Times New Roman" w:hAnsi="Times New Roman" w:cs="Times New Roman"/>
          <w:lang w:val="en-GB"/>
        </w:rPr>
        <w:t xml:space="preserve"> protection principles into municipal planning documents. General plans are obligatory and more detailed, which </w:t>
      </w:r>
      <w:r w:rsidR="00CF79AA" w:rsidRPr="00F65288">
        <w:rPr>
          <w:rFonts w:ascii="Times New Roman" w:hAnsi="Times New Roman" w:cs="Times New Roman"/>
          <w:lang w:val="en-GB"/>
        </w:rPr>
        <w:t>contributes to</w:t>
      </w:r>
      <w:r w:rsidR="00E552C4" w:rsidRPr="00F65288">
        <w:rPr>
          <w:rFonts w:ascii="Times New Roman" w:hAnsi="Times New Roman" w:cs="Times New Roman"/>
          <w:lang w:val="en-GB"/>
        </w:rPr>
        <w:t xml:space="preserve"> the harmonization of land development rules in the entire municipality. </w:t>
      </w:r>
      <w:r w:rsidR="004A67C8">
        <w:rPr>
          <w:rFonts w:ascii="Times New Roman" w:hAnsi="Times New Roman" w:cs="Times New Roman"/>
          <w:lang w:val="en-GB"/>
        </w:rPr>
        <w:t>Additionally, the creation of a digital Register of Zoning Plans and the obligation to maintain a Register of Development Applications with</w:t>
      </w:r>
      <w:r w:rsidR="00430965" w:rsidRPr="00F65288">
        <w:rPr>
          <w:rFonts w:ascii="Times New Roman" w:hAnsi="Times New Roman" w:cs="Times New Roman"/>
          <w:lang w:val="en-GB"/>
        </w:rPr>
        <w:t xml:space="preserve">in the ICT system can contribute to more transparent planning decisions and effective monitoring of </w:t>
      </w:r>
      <w:r w:rsidR="00293C0D" w:rsidRPr="00F65288">
        <w:rPr>
          <w:rFonts w:ascii="Times New Roman" w:hAnsi="Times New Roman" w:cs="Times New Roman"/>
          <w:lang w:val="en-GB"/>
        </w:rPr>
        <w:t>agricultural land</w:t>
      </w:r>
      <w:r w:rsidR="00430965" w:rsidRPr="00F65288">
        <w:rPr>
          <w:rFonts w:ascii="Times New Roman" w:hAnsi="Times New Roman" w:cs="Times New Roman"/>
          <w:lang w:val="en-GB"/>
        </w:rPr>
        <w:t xml:space="preserve"> conversion processes.</w:t>
      </w:r>
    </w:p>
    <w:p w14:paraId="305EA601" w14:textId="77777777" w:rsidR="00CC7C85" w:rsidRPr="00F65288" w:rsidRDefault="00CC7C85" w:rsidP="00DB2BBB">
      <w:pPr>
        <w:pStyle w:val="Akapitzlist"/>
        <w:ind w:left="0"/>
        <w:rPr>
          <w:rFonts w:ascii="Times New Roman" w:hAnsi="Times New Roman" w:cs="Times New Roman"/>
          <w:lang w:val="en-GB"/>
        </w:rPr>
      </w:pPr>
    </w:p>
    <w:p w14:paraId="359FC832" w14:textId="6DE1AE3F" w:rsidR="00CF6C36" w:rsidRPr="00F65288" w:rsidRDefault="00430965" w:rsidP="00DB2BBB">
      <w:pPr>
        <w:pStyle w:val="Akapitzlist"/>
        <w:ind w:left="0"/>
        <w:rPr>
          <w:rFonts w:ascii="Times New Roman" w:hAnsi="Times New Roman" w:cs="Times New Roman"/>
          <w:lang w:val="en-GB"/>
        </w:rPr>
      </w:pPr>
      <w:r w:rsidRPr="00F65288">
        <w:rPr>
          <w:rFonts w:ascii="Times New Roman" w:hAnsi="Times New Roman" w:cs="Times New Roman"/>
          <w:lang w:val="en-GB"/>
        </w:rPr>
        <w:lastRenderedPageBreak/>
        <w:t xml:space="preserve">On the other hand, this reform also entails significant risks. </w:t>
      </w:r>
      <w:r w:rsidR="00AE4E4B" w:rsidRPr="00F65288">
        <w:rPr>
          <w:rFonts w:ascii="Times New Roman" w:hAnsi="Times New Roman" w:cs="Times New Roman"/>
          <w:lang w:val="en-GB"/>
        </w:rPr>
        <w:t xml:space="preserve">General plans do not have to be consulted with the authorities responsible for </w:t>
      </w:r>
      <w:r w:rsidR="00293C0D" w:rsidRPr="00F65288">
        <w:rPr>
          <w:rFonts w:ascii="Times New Roman" w:hAnsi="Times New Roman" w:cs="Times New Roman"/>
          <w:lang w:val="en-GB"/>
        </w:rPr>
        <w:t>agricultural land</w:t>
      </w:r>
      <w:r w:rsidR="00AE4E4B" w:rsidRPr="00F65288">
        <w:rPr>
          <w:rFonts w:ascii="Times New Roman" w:hAnsi="Times New Roman" w:cs="Times New Roman"/>
          <w:lang w:val="en-GB"/>
        </w:rPr>
        <w:t xml:space="preserve"> protection</w:t>
      </w:r>
      <w:r w:rsidR="0076170F" w:rsidRPr="00F65288">
        <w:rPr>
          <w:rFonts w:ascii="Times New Roman" w:hAnsi="Times New Roman" w:cs="Times New Roman"/>
          <w:lang w:val="en-GB"/>
        </w:rPr>
        <w:t xml:space="preserve">, which undermines their protective effects, in particular </w:t>
      </w:r>
      <w:r w:rsidR="004A67C8">
        <w:rPr>
          <w:rFonts w:ascii="Times New Roman" w:hAnsi="Times New Roman" w:cs="Times New Roman"/>
          <w:lang w:val="en-GB"/>
        </w:rPr>
        <w:t>concerning</w:t>
      </w:r>
      <w:r w:rsidR="0076170F" w:rsidRPr="00F65288">
        <w:rPr>
          <w:rFonts w:ascii="Times New Roman" w:hAnsi="Times New Roman" w:cs="Times New Roman"/>
          <w:lang w:val="en-GB"/>
        </w:rPr>
        <w:t xml:space="preserve"> low-quality </w:t>
      </w:r>
      <w:r w:rsidR="00293C0D" w:rsidRPr="00F65288">
        <w:rPr>
          <w:rFonts w:ascii="Times New Roman" w:hAnsi="Times New Roman" w:cs="Times New Roman"/>
          <w:lang w:val="en-GB"/>
        </w:rPr>
        <w:t>agricultural land</w:t>
      </w:r>
      <w:r w:rsidR="0076170F" w:rsidRPr="00F65288">
        <w:rPr>
          <w:rFonts w:ascii="Times New Roman" w:hAnsi="Times New Roman" w:cs="Times New Roman"/>
          <w:lang w:val="en-GB"/>
        </w:rPr>
        <w:t xml:space="preserve"> (soil quality class</w:t>
      </w:r>
      <w:r w:rsidR="00CF79AA" w:rsidRPr="00F65288">
        <w:rPr>
          <w:rFonts w:ascii="Times New Roman" w:hAnsi="Times New Roman" w:cs="Times New Roman"/>
          <w:lang w:val="en-GB"/>
        </w:rPr>
        <w:t>es</w:t>
      </w:r>
      <w:r w:rsidR="00AE4E4B" w:rsidRPr="00F65288">
        <w:rPr>
          <w:rFonts w:ascii="Times New Roman" w:hAnsi="Times New Roman" w:cs="Times New Roman"/>
          <w:lang w:val="en-GB"/>
        </w:rPr>
        <w:t xml:space="preserve"> </w:t>
      </w:r>
      <w:r w:rsidR="0076170F" w:rsidRPr="00F65288">
        <w:rPr>
          <w:rFonts w:ascii="Times New Roman" w:hAnsi="Times New Roman" w:cs="Times New Roman"/>
          <w:lang w:val="en-GB"/>
        </w:rPr>
        <w:t>IV</w:t>
      </w:r>
      <w:r w:rsidR="00790A4D">
        <w:rPr>
          <w:rFonts w:ascii="Times New Roman" w:hAnsi="Times New Roman" w:cs="Times New Roman"/>
          <w:lang w:val="en-GB"/>
        </w:rPr>
        <w:t>-</w:t>
      </w:r>
      <w:r w:rsidR="0076170F" w:rsidRPr="00F65288">
        <w:rPr>
          <w:rFonts w:ascii="Times New Roman" w:hAnsi="Times New Roman" w:cs="Times New Roman"/>
          <w:lang w:val="en-GB"/>
        </w:rPr>
        <w:t>VI)</w:t>
      </w:r>
      <w:r w:rsidR="004A67C8">
        <w:rPr>
          <w:rFonts w:ascii="Times New Roman" w:hAnsi="Times New Roman" w:cs="Times New Roman"/>
          <w:lang w:val="en-GB"/>
        </w:rPr>
        <w:t>,</w:t>
      </w:r>
      <w:r w:rsidR="0076170F" w:rsidRPr="00F65288">
        <w:rPr>
          <w:rFonts w:ascii="Times New Roman" w:hAnsi="Times New Roman" w:cs="Times New Roman"/>
          <w:lang w:val="en-GB"/>
        </w:rPr>
        <w:t xml:space="preserve"> which is most often converted to non-agricultural use</w:t>
      </w:r>
      <w:r w:rsidR="00A71F39" w:rsidRPr="00F65288">
        <w:rPr>
          <w:rFonts w:ascii="Times New Roman" w:hAnsi="Times New Roman" w:cs="Times New Roman"/>
          <w:lang w:val="en-GB"/>
        </w:rPr>
        <w:t xml:space="preserve"> such as housing development</w:t>
      </w:r>
      <w:r w:rsidR="0076170F" w:rsidRPr="00F65288">
        <w:rPr>
          <w:rFonts w:ascii="Times New Roman" w:hAnsi="Times New Roman" w:cs="Times New Roman"/>
          <w:lang w:val="en-GB"/>
        </w:rPr>
        <w:t xml:space="preserve">. Local zoning plans can be replaced with an Integrated Development Plan (IDP), a new tool that </w:t>
      </w:r>
      <w:r w:rsidR="00CF79AA" w:rsidRPr="00F65288">
        <w:rPr>
          <w:rFonts w:ascii="Times New Roman" w:hAnsi="Times New Roman" w:cs="Times New Roman"/>
          <w:lang w:val="en-GB"/>
        </w:rPr>
        <w:t>may</w:t>
      </w:r>
      <w:r w:rsidR="0076170F" w:rsidRPr="00F65288">
        <w:rPr>
          <w:rFonts w:ascii="Times New Roman" w:hAnsi="Times New Roman" w:cs="Times New Roman"/>
          <w:lang w:val="en-GB"/>
        </w:rPr>
        <w:t xml:space="preserve"> facilitate </w:t>
      </w:r>
      <w:r w:rsidR="00293C0D" w:rsidRPr="00F65288">
        <w:rPr>
          <w:rFonts w:ascii="Times New Roman" w:hAnsi="Times New Roman" w:cs="Times New Roman"/>
          <w:lang w:val="en-GB"/>
        </w:rPr>
        <w:t>agricultural land</w:t>
      </w:r>
      <w:r w:rsidR="0076170F" w:rsidRPr="00F65288">
        <w:rPr>
          <w:rFonts w:ascii="Times New Roman" w:hAnsi="Times New Roman" w:cs="Times New Roman"/>
          <w:lang w:val="en-GB"/>
        </w:rPr>
        <w:t xml:space="preserve"> conversion outside the rigid and time-consuming planning procedure. The provisions of the IDP are negotiated </w:t>
      </w:r>
      <w:r w:rsidR="00624426" w:rsidRPr="00F65288">
        <w:rPr>
          <w:rFonts w:ascii="Times New Roman" w:hAnsi="Times New Roman" w:cs="Times New Roman"/>
          <w:lang w:val="en-GB"/>
        </w:rPr>
        <w:t xml:space="preserve">directly between the developer and municipal authorities. In practice, the IDP can </w:t>
      </w:r>
      <w:proofErr w:type="spellStart"/>
      <w:r w:rsidR="00624426" w:rsidRPr="00F65288">
        <w:rPr>
          <w:rFonts w:ascii="Times New Roman" w:hAnsi="Times New Roman" w:cs="Times New Roman"/>
          <w:lang w:val="en-GB"/>
        </w:rPr>
        <w:t>favor</w:t>
      </w:r>
      <w:proofErr w:type="spellEnd"/>
      <w:r w:rsidR="00624426" w:rsidRPr="00F65288">
        <w:rPr>
          <w:rFonts w:ascii="Times New Roman" w:hAnsi="Times New Roman" w:cs="Times New Roman"/>
          <w:lang w:val="en-GB"/>
        </w:rPr>
        <w:t xml:space="preserve"> large development projects, even if they conflict with the municipality</w:t>
      </w:r>
      <w:r w:rsidR="004A67C8">
        <w:rPr>
          <w:rFonts w:ascii="Times New Roman" w:hAnsi="Times New Roman" w:cs="Times New Roman"/>
          <w:lang w:val="en-GB"/>
        </w:rPr>
        <w:t>'</w:t>
      </w:r>
      <w:r w:rsidR="00624426" w:rsidRPr="00F65288">
        <w:rPr>
          <w:rFonts w:ascii="Times New Roman" w:hAnsi="Times New Roman" w:cs="Times New Roman"/>
          <w:lang w:val="en-GB"/>
        </w:rPr>
        <w:t xml:space="preserve">s long-term strategy for nature conservation and </w:t>
      </w:r>
      <w:r w:rsidR="004A67C8">
        <w:rPr>
          <w:rFonts w:ascii="Times New Roman" w:hAnsi="Times New Roman" w:cs="Times New Roman"/>
          <w:lang w:val="en-GB"/>
        </w:rPr>
        <w:t>the protection of agricultural land</w:t>
      </w:r>
      <w:r w:rsidR="00624426" w:rsidRPr="00F65288">
        <w:rPr>
          <w:rFonts w:ascii="Times New Roman" w:hAnsi="Times New Roman" w:cs="Times New Roman"/>
          <w:lang w:val="en-GB"/>
        </w:rPr>
        <w:t>.</w:t>
      </w:r>
      <w:r w:rsidR="00DC5D2E" w:rsidRPr="00F65288">
        <w:rPr>
          <w:rFonts w:ascii="Times New Roman" w:hAnsi="Times New Roman" w:cs="Times New Roman"/>
          <w:lang w:val="en-GB"/>
        </w:rPr>
        <w:t xml:space="preserve"> The interaction between different acts has played a significant role in shaping the effectiveness of farmland protection. For example, the 2021 amendment to the Act on </w:t>
      </w:r>
      <w:r w:rsidR="004A67C8">
        <w:rPr>
          <w:rFonts w:ascii="Times New Roman" w:hAnsi="Times New Roman" w:cs="Times New Roman"/>
          <w:lang w:val="en-GB"/>
        </w:rPr>
        <w:t>Spatial Planning and Development, which facilitated the location of renewable energy facilities, coincided with changes to the Act on the Protection of Agricultural and Forest L</w:t>
      </w:r>
      <w:r w:rsidR="00DC5D2E" w:rsidRPr="00F65288">
        <w:rPr>
          <w:rFonts w:ascii="Times New Roman" w:hAnsi="Times New Roman" w:cs="Times New Roman"/>
          <w:lang w:val="en-GB"/>
        </w:rPr>
        <w:t xml:space="preserve">and. This overlap effectively reduced the scope of statutory protection for </w:t>
      </w:r>
      <w:r w:rsidR="004A67C8">
        <w:rPr>
          <w:rFonts w:ascii="Times New Roman" w:hAnsi="Times New Roman" w:cs="Times New Roman"/>
          <w:lang w:val="en-GB"/>
        </w:rPr>
        <w:t>specific</w:t>
      </w:r>
      <w:r w:rsidR="00DC5D2E" w:rsidRPr="00F65288">
        <w:rPr>
          <w:rFonts w:ascii="Times New Roman" w:hAnsi="Times New Roman" w:cs="Times New Roman"/>
          <w:lang w:val="en-GB"/>
        </w:rPr>
        <w:t xml:space="preserve"> soil categories</w:t>
      </w:r>
      <w:r w:rsidR="004A67C8">
        <w:rPr>
          <w:rFonts w:ascii="Times New Roman" w:hAnsi="Times New Roman" w:cs="Times New Roman"/>
          <w:lang w:val="en-GB"/>
        </w:rPr>
        <w:t>, demonstrating that sectoral reforms may undermine land protection if not coordinated with</w:t>
      </w:r>
      <w:r w:rsidR="00DC5D2E" w:rsidRPr="00F65288">
        <w:rPr>
          <w:rFonts w:ascii="Times New Roman" w:hAnsi="Times New Roman" w:cs="Times New Roman"/>
          <w:lang w:val="en-GB"/>
        </w:rPr>
        <w:t>in an integrated policy framework.</w:t>
      </w:r>
    </w:p>
    <w:p w14:paraId="1901BE3F" w14:textId="4094F459" w:rsidR="00430965" w:rsidRPr="00F65288" w:rsidRDefault="00114492" w:rsidP="00DB2BBB">
      <w:pPr>
        <w:pStyle w:val="Akapitzlist"/>
        <w:ind w:left="0"/>
        <w:rPr>
          <w:rFonts w:ascii="Times New Roman" w:hAnsi="Times New Roman" w:cs="Times New Roman"/>
          <w:lang w:val="en-GB"/>
        </w:rPr>
      </w:pPr>
      <w:r w:rsidRPr="00F65288">
        <w:rPr>
          <w:rFonts w:ascii="Times New Roman" w:hAnsi="Times New Roman" w:cs="Times New Roman"/>
          <w:lang w:val="en-GB"/>
        </w:rPr>
        <w:t>Therefore</w:t>
      </w:r>
      <w:r w:rsidR="00624426" w:rsidRPr="00F65288">
        <w:rPr>
          <w:rFonts w:ascii="Times New Roman" w:hAnsi="Times New Roman" w:cs="Times New Roman"/>
          <w:lang w:val="en-GB"/>
        </w:rPr>
        <w:t xml:space="preserve">, the </w:t>
      </w:r>
      <w:r w:rsidR="00CF79AA" w:rsidRPr="00F65288">
        <w:rPr>
          <w:rFonts w:ascii="Times New Roman" w:hAnsi="Times New Roman" w:cs="Times New Roman"/>
          <w:lang w:val="en-GB"/>
        </w:rPr>
        <w:t>efficacy</w:t>
      </w:r>
      <w:r w:rsidR="00624426" w:rsidRPr="00F65288">
        <w:rPr>
          <w:rFonts w:ascii="Times New Roman" w:hAnsi="Times New Roman" w:cs="Times New Roman"/>
          <w:lang w:val="en-GB"/>
        </w:rPr>
        <w:t xml:space="preserve"> of the discussed reform will be </w:t>
      </w:r>
      <w:r w:rsidR="004A67C8">
        <w:rPr>
          <w:rFonts w:ascii="Times New Roman" w:hAnsi="Times New Roman" w:cs="Times New Roman"/>
          <w:lang w:val="en-GB"/>
        </w:rPr>
        <w:t>primari</w:t>
      </w:r>
      <w:r w:rsidR="00624426" w:rsidRPr="00F65288">
        <w:rPr>
          <w:rFonts w:ascii="Times New Roman" w:hAnsi="Times New Roman" w:cs="Times New Roman"/>
          <w:lang w:val="en-GB"/>
        </w:rPr>
        <w:t>ly determined by the municipal authorities</w:t>
      </w:r>
      <w:r w:rsidR="004A67C8">
        <w:rPr>
          <w:rFonts w:ascii="Times New Roman" w:hAnsi="Times New Roman" w:cs="Times New Roman"/>
          <w:lang w:val="en-GB"/>
        </w:rPr>
        <w:t>'</w:t>
      </w:r>
      <w:r w:rsidR="00624426" w:rsidRPr="00F65288">
        <w:rPr>
          <w:rFonts w:ascii="Times New Roman" w:hAnsi="Times New Roman" w:cs="Times New Roman"/>
          <w:lang w:val="en-GB"/>
        </w:rPr>
        <w:t xml:space="preserve"> </w:t>
      </w:r>
      <w:r w:rsidRPr="00F65288">
        <w:rPr>
          <w:rFonts w:ascii="Times New Roman" w:hAnsi="Times New Roman" w:cs="Times New Roman"/>
          <w:lang w:val="en-GB"/>
        </w:rPr>
        <w:t>commitment</w:t>
      </w:r>
      <w:r w:rsidR="00624426" w:rsidRPr="00F65288">
        <w:rPr>
          <w:rFonts w:ascii="Times New Roman" w:hAnsi="Times New Roman" w:cs="Times New Roman"/>
          <w:lang w:val="en-GB"/>
        </w:rPr>
        <w:t xml:space="preserve">, the quality of general plans, and the involvement of the institutions responsible for </w:t>
      </w:r>
      <w:r w:rsidR="00293C0D" w:rsidRPr="00F65288">
        <w:rPr>
          <w:rFonts w:ascii="Times New Roman" w:hAnsi="Times New Roman" w:cs="Times New Roman"/>
          <w:lang w:val="en-GB"/>
        </w:rPr>
        <w:t>agricultural land</w:t>
      </w:r>
      <w:r w:rsidR="00624426" w:rsidRPr="00F65288">
        <w:rPr>
          <w:rFonts w:ascii="Times New Roman" w:hAnsi="Times New Roman" w:cs="Times New Roman"/>
          <w:lang w:val="en-GB"/>
        </w:rPr>
        <w:t xml:space="preserve"> protection in the consultation process and planning supervision.</w:t>
      </w:r>
    </w:p>
    <w:p w14:paraId="73FECC11" w14:textId="298D6916" w:rsidR="00F526A0" w:rsidRPr="00F65288" w:rsidRDefault="00624426" w:rsidP="00DC5D2E">
      <w:pPr>
        <w:pStyle w:val="Akapitzlist"/>
        <w:ind w:left="0"/>
        <w:rPr>
          <w:rFonts w:ascii="Times New Roman" w:hAnsi="Times New Roman" w:cs="Times New Roman"/>
          <w:lang w:val="en-GB"/>
        </w:rPr>
      </w:pPr>
      <w:r w:rsidRPr="00F65288">
        <w:rPr>
          <w:rFonts w:ascii="Times New Roman" w:hAnsi="Times New Roman" w:cs="Times New Roman"/>
          <w:lang w:val="en-GB"/>
        </w:rPr>
        <w:t>The municipal general plan has the potential to pro</w:t>
      </w:r>
      <w:r w:rsidR="004A67C8">
        <w:rPr>
          <w:rFonts w:ascii="Times New Roman" w:hAnsi="Times New Roman" w:cs="Times New Roman"/>
          <w:lang w:val="en-GB"/>
        </w:rPr>
        <w:t>tect</w:t>
      </w:r>
      <w:r w:rsidRPr="00F65288">
        <w:rPr>
          <w:rFonts w:ascii="Times New Roman" w:hAnsi="Times New Roman" w:cs="Times New Roman"/>
          <w:lang w:val="en-GB"/>
        </w:rPr>
        <w:t xml:space="preserve"> agricultural land, in particular by introducing planning zones (</w:t>
      </w:r>
      <w:r w:rsidR="00D03D15" w:rsidRPr="00F65288">
        <w:rPr>
          <w:rFonts w:ascii="Times New Roman" w:hAnsi="Times New Roman" w:cs="Times New Roman"/>
          <w:lang w:val="en-GB"/>
        </w:rPr>
        <w:t xml:space="preserve">agricultural, homestead, </w:t>
      </w:r>
      <w:r w:rsidR="004A67C8">
        <w:rPr>
          <w:rFonts w:ascii="Times New Roman" w:hAnsi="Times New Roman" w:cs="Times New Roman"/>
          <w:lang w:val="en-GB"/>
        </w:rPr>
        <w:t xml:space="preserve">and </w:t>
      </w:r>
      <w:r w:rsidR="00D03D15" w:rsidRPr="00F65288">
        <w:rPr>
          <w:rFonts w:ascii="Times New Roman" w:hAnsi="Times New Roman" w:cs="Times New Roman"/>
          <w:lang w:val="en-GB"/>
        </w:rPr>
        <w:t xml:space="preserve">infill zones), eliminating highly arbitrary decisions on development conditions, and increasing the transparency of planning procedures. According to </w:t>
      </w:r>
      <w:proofErr w:type="spellStart"/>
      <w:r w:rsidR="00D03D15" w:rsidRPr="00F65288">
        <w:rPr>
          <w:rFonts w:ascii="Times New Roman" w:hAnsi="Times New Roman" w:cs="Times New Roman"/>
          <w:lang w:val="en-GB"/>
        </w:rPr>
        <w:t>Koliński</w:t>
      </w:r>
      <w:proofErr w:type="spellEnd"/>
      <w:r w:rsidR="00D03D15" w:rsidRPr="00F65288">
        <w:rPr>
          <w:rFonts w:ascii="Times New Roman" w:hAnsi="Times New Roman" w:cs="Times New Roman"/>
          <w:lang w:val="en-GB"/>
        </w:rPr>
        <w:t xml:space="preserve"> (2024), the effectiveness of new solutions will depend </w:t>
      </w:r>
      <w:r w:rsidR="004A67C8">
        <w:rPr>
          <w:rFonts w:ascii="Times New Roman" w:hAnsi="Times New Roman" w:cs="Times New Roman"/>
          <w:lang w:val="en-GB"/>
        </w:rPr>
        <w:t>primarily on the commitment of municipal authorities to agricultural land protection and the quality of analytical and cartographic tools used</w:t>
      </w:r>
      <w:r w:rsidR="00D03D15" w:rsidRPr="00F65288">
        <w:rPr>
          <w:rFonts w:ascii="Times New Roman" w:hAnsi="Times New Roman" w:cs="Times New Roman"/>
          <w:lang w:val="en-GB"/>
        </w:rPr>
        <w:t xml:space="preserve"> in the planning process. The area of </w:t>
      </w:r>
      <w:r w:rsidR="00293C0D" w:rsidRPr="00F65288">
        <w:rPr>
          <w:rFonts w:ascii="Times New Roman" w:hAnsi="Times New Roman" w:cs="Times New Roman"/>
          <w:lang w:val="en-GB"/>
        </w:rPr>
        <w:t>agricultural land</w:t>
      </w:r>
      <w:r w:rsidR="00D03D15" w:rsidRPr="00F65288">
        <w:rPr>
          <w:rFonts w:ascii="Times New Roman" w:hAnsi="Times New Roman" w:cs="Times New Roman"/>
          <w:lang w:val="en-GB"/>
        </w:rPr>
        <w:t xml:space="preserve"> taken out of agricultural production in Poland between 2003 and 2023 (Fig</w:t>
      </w:r>
      <w:r w:rsidR="00B77AA2" w:rsidRPr="00F65288">
        <w:rPr>
          <w:rFonts w:ascii="Times New Roman" w:hAnsi="Times New Roman" w:cs="Times New Roman"/>
          <w:lang w:val="en-GB"/>
        </w:rPr>
        <w:t>.</w:t>
      </w:r>
      <w:r w:rsidR="00D03D15" w:rsidRPr="00F65288">
        <w:rPr>
          <w:rFonts w:ascii="Times New Roman" w:hAnsi="Times New Roman" w:cs="Times New Roman"/>
          <w:lang w:val="en-GB"/>
        </w:rPr>
        <w:t xml:space="preserve"> 1) illustrates </w:t>
      </w:r>
      <w:r w:rsidR="004A67C8">
        <w:rPr>
          <w:rFonts w:ascii="Times New Roman" w:hAnsi="Times New Roman" w:cs="Times New Roman"/>
          <w:lang w:val="en-GB"/>
        </w:rPr>
        <w:t>the scale of the problem well</w:t>
      </w:r>
      <w:r w:rsidR="00D03D15" w:rsidRPr="00F65288">
        <w:rPr>
          <w:rFonts w:ascii="Times New Roman" w:hAnsi="Times New Roman" w:cs="Times New Roman"/>
          <w:lang w:val="en-GB"/>
        </w:rPr>
        <w:t>.</w:t>
      </w:r>
    </w:p>
    <w:p w14:paraId="74773AF6" w14:textId="77777777" w:rsidR="00F526A0" w:rsidRPr="00F65288" w:rsidRDefault="00F526A0" w:rsidP="002C46A0">
      <w:pPr>
        <w:pStyle w:val="Akapitzlist"/>
        <w:spacing w:line="360" w:lineRule="auto"/>
        <w:ind w:left="0"/>
        <w:rPr>
          <w:rFonts w:ascii="Times New Roman" w:hAnsi="Times New Roman" w:cs="Times New Roman"/>
          <w:lang w:val="en-GB"/>
        </w:rPr>
      </w:pPr>
    </w:p>
    <w:p w14:paraId="696D19A2" w14:textId="267DBF11" w:rsidR="0013162F" w:rsidRPr="00F65288" w:rsidRDefault="00643AA3" w:rsidP="002C46A0">
      <w:pPr>
        <w:spacing w:line="360" w:lineRule="auto"/>
        <w:ind w:firstLine="0"/>
        <w:rPr>
          <w:rFonts w:ascii="Times New Roman" w:hAnsi="Times New Roman" w:cs="Times New Roman"/>
          <w:lang w:val="en-GB"/>
        </w:rPr>
      </w:pPr>
      <w:r w:rsidRPr="00F65288">
        <w:rPr>
          <w:rFonts w:ascii="Times New Roman" w:hAnsi="Times New Roman" w:cs="Times New Roman"/>
          <w:noProof/>
          <w:lang w:val="en-GB"/>
        </w:rPr>
        <w:drawing>
          <wp:inline distT="0" distB="0" distL="0" distR="0" wp14:anchorId="4117B981" wp14:editId="101268EA">
            <wp:extent cx="6120130" cy="3602990"/>
            <wp:effectExtent l="0" t="0" r="13970" b="16510"/>
            <wp:docPr id="222928750" name="Wykres 1">
              <a:extLst xmlns:a="http://schemas.openxmlformats.org/drawingml/2006/main">
                <a:ext uri="{FF2B5EF4-FFF2-40B4-BE49-F238E27FC236}">
                  <a16:creationId xmlns:a16="http://schemas.microsoft.com/office/drawing/2014/main" id="{BF7D6A1D-1656-5B37-238E-587EFC38D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DFA932" w14:textId="2D65DD88" w:rsidR="00D03D15" w:rsidRPr="00F65288" w:rsidRDefault="00D03D15" w:rsidP="00CC75C2">
      <w:pPr>
        <w:pStyle w:val="Rrys"/>
        <w:rPr>
          <w:lang w:val="en-GB"/>
        </w:rPr>
      </w:pPr>
      <w:r w:rsidRPr="00F65288">
        <w:rPr>
          <w:b/>
          <w:bCs/>
          <w:lang w:val="en-GB"/>
        </w:rPr>
        <w:t>Fig</w:t>
      </w:r>
      <w:r w:rsidR="00CC75C2">
        <w:rPr>
          <w:b/>
          <w:bCs/>
          <w:lang w:val="en-GB"/>
        </w:rPr>
        <w:t>.</w:t>
      </w:r>
      <w:r w:rsidR="0013162F" w:rsidRPr="00F65288">
        <w:rPr>
          <w:b/>
          <w:bCs/>
          <w:lang w:val="en-GB"/>
        </w:rPr>
        <w:t xml:space="preserve"> 1.</w:t>
      </w:r>
      <w:r w:rsidR="0013162F" w:rsidRPr="00790A4D">
        <w:rPr>
          <w:lang w:val="en-GB"/>
        </w:rPr>
        <w:t xml:space="preserve"> </w:t>
      </w:r>
      <w:r w:rsidR="006B04E2" w:rsidRPr="00F65288">
        <w:rPr>
          <w:lang w:val="en-GB"/>
        </w:rPr>
        <w:t>Agricultural l</w:t>
      </w:r>
      <w:r w:rsidRPr="00F65288">
        <w:rPr>
          <w:lang w:val="en-GB"/>
        </w:rPr>
        <w:t>and taken out of production in Poland between 2003 and 2023</w:t>
      </w:r>
      <w:r w:rsidR="00DB2BBB" w:rsidRPr="00F65288">
        <w:rPr>
          <w:lang w:val="en-GB"/>
        </w:rPr>
        <w:t xml:space="preserve"> </w:t>
      </w:r>
      <w:r w:rsidR="00CE3DDE" w:rsidRPr="00F65288">
        <w:rPr>
          <w:lang w:val="en-GB"/>
        </w:rPr>
        <w:t>(</w:t>
      </w:r>
      <w:r w:rsidR="00DB2BBB" w:rsidRPr="00F65288">
        <w:rPr>
          <w:lang w:val="en-GB"/>
        </w:rPr>
        <w:t>Statistics Poland</w:t>
      </w:r>
      <w:r w:rsidR="00CE3DDE" w:rsidRPr="00F65288">
        <w:rPr>
          <w:lang w:val="en-GB"/>
        </w:rPr>
        <w:t>)</w:t>
      </w:r>
    </w:p>
    <w:p w14:paraId="188A1E73" w14:textId="77777777" w:rsidR="00CC75C2" w:rsidRDefault="00CC75C2" w:rsidP="00DB2BBB">
      <w:pPr>
        <w:pStyle w:val="Akapitzlist"/>
        <w:ind w:left="0"/>
        <w:rPr>
          <w:rFonts w:ascii="Times New Roman" w:hAnsi="Times New Roman" w:cs="Times New Roman"/>
          <w:lang w:val="en-GB"/>
        </w:rPr>
      </w:pPr>
    </w:p>
    <w:p w14:paraId="53EF55BA" w14:textId="75EF3AE0" w:rsidR="00142615" w:rsidRPr="00F65288" w:rsidRDefault="00D03D15" w:rsidP="00DB2BBB">
      <w:pPr>
        <w:pStyle w:val="Akapitzlist"/>
        <w:ind w:left="0"/>
        <w:rPr>
          <w:rFonts w:ascii="Times New Roman" w:hAnsi="Times New Roman" w:cs="Times New Roman"/>
          <w:lang w:val="en-GB"/>
        </w:rPr>
      </w:pPr>
      <w:r w:rsidRPr="00F65288">
        <w:rPr>
          <w:rFonts w:ascii="Times New Roman" w:hAnsi="Times New Roman" w:cs="Times New Roman"/>
          <w:lang w:val="en-GB"/>
        </w:rPr>
        <w:t xml:space="preserve">An analysis of </w:t>
      </w:r>
      <w:r w:rsidRPr="00F65288">
        <w:rPr>
          <w:rFonts w:ascii="Times New Roman" w:hAnsi="Times New Roman" w:cs="Times New Roman"/>
          <w:i/>
          <w:iCs/>
          <w:lang w:val="en-GB"/>
        </w:rPr>
        <w:t>Statistics Poland</w:t>
      </w:r>
      <w:r w:rsidRPr="00F65288">
        <w:rPr>
          <w:rFonts w:ascii="Times New Roman" w:hAnsi="Times New Roman" w:cs="Times New Roman"/>
          <w:lang w:val="en-GB"/>
        </w:rPr>
        <w:t xml:space="preserve"> data (</w:t>
      </w:r>
      <w:r w:rsidRPr="00F65288">
        <w:rPr>
          <w:rFonts w:ascii="Times New Roman" w:hAnsi="Times New Roman" w:cs="Times New Roman"/>
          <w:i/>
          <w:iCs/>
          <w:lang w:val="en-GB"/>
        </w:rPr>
        <w:t>Statistics Poland</w:t>
      </w:r>
      <w:r w:rsidRPr="00F65288">
        <w:rPr>
          <w:rFonts w:ascii="Times New Roman" w:hAnsi="Times New Roman" w:cs="Times New Roman"/>
          <w:lang w:val="en-GB"/>
        </w:rPr>
        <w:t xml:space="preserve">, 2025) concerning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w:t>
      </w:r>
      <w:r w:rsidR="00CF79AA" w:rsidRPr="00F65288">
        <w:rPr>
          <w:rFonts w:ascii="Times New Roman" w:hAnsi="Times New Roman" w:cs="Times New Roman"/>
          <w:lang w:val="en-GB"/>
        </w:rPr>
        <w:t xml:space="preserve">that was </w:t>
      </w:r>
      <w:r w:rsidRPr="00F65288">
        <w:rPr>
          <w:rFonts w:ascii="Times New Roman" w:hAnsi="Times New Roman" w:cs="Times New Roman"/>
          <w:lang w:val="en-GB"/>
        </w:rPr>
        <w:t xml:space="preserve">taken out of agricultural production between 2003 and 2023 revealed </w:t>
      </w:r>
      <w:r w:rsidR="004A67C8">
        <w:rPr>
          <w:rFonts w:ascii="Times New Roman" w:hAnsi="Times New Roman" w:cs="Times New Roman"/>
          <w:lang w:val="en-GB"/>
        </w:rPr>
        <w:t>apparent</w:t>
      </w:r>
      <w:r w:rsidRPr="00F65288">
        <w:rPr>
          <w:rFonts w:ascii="Times New Roman" w:hAnsi="Times New Roman" w:cs="Times New Roman"/>
          <w:lang w:val="en-GB"/>
        </w:rPr>
        <w:t xml:space="preserve"> variations in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conversion trends across years, suggesting that these processes are influenced by legal, social, and economic factors</w:t>
      </w:r>
      <w:r w:rsidR="00142615" w:rsidRPr="00F65288">
        <w:rPr>
          <w:rFonts w:ascii="Times New Roman" w:hAnsi="Times New Roman" w:cs="Times New Roman"/>
          <w:lang w:val="en-GB"/>
        </w:rPr>
        <w:t xml:space="preserve"> (</w:t>
      </w:r>
      <w:proofErr w:type="spellStart"/>
      <w:r w:rsidR="00142615" w:rsidRPr="00F65288">
        <w:rPr>
          <w:rFonts w:ascii="Times New Roman" w:hAnsi="Times New Roman" w:cs="Times New Roman"/>
          <w:lang w:val="en-GB"/>
        </w:rPr>
        <w:t>Ciechanowicz</w:t>
      </w:r>
      <w:proofErr w:type="spellEnd"/>
      <w:r w:rsidR="00142615" w:rsidRPr="00F65288">
        <w:rPr>
          <w:rFonts w:ascii="Times New Roman" w:hAnsi="Times New Roman" w:cs="Times New Roman"/>
          <w:lang w:val="en-GB"/>
        </w:rPr>
        <w:t xml:space="preserve">-McLean &amp; </w:t>
      </w:r>
      <w:proofErr w:type="spellStart"/>
      <w:r w:rsidR="00142615" w:rsidRPr="00F65288">
        <w:rPr>
          <w:rFonts w:ascii="Times New Roman" w:hAnsi="Times New Roman" w:cs="Times New Roman"/>
          <w:lang w:val="en-GB"/>
        </w:rPr>
        <w:t>Wysokińska</w:t>
      </w:r>
      <w:proofErr w:type="spellEnd"/>
      <w:r w:rsidR="00142615" w:rsidRPr="00F65288">
        <w:rPr>
          <w:rFonts w:ascii="Times New Roman" w:hAnsi="Times New Roman" w:cs="Times New Roman"/>
          <w:lang w:val="en-GB"/>
        </w:rPr>
        <w:t xml:space="preserve"> 2018</w:t>
      </w:r>
      <w:r w:rsidR="000F17E5">
        <w:rPr>
          <w:rFonts w:ascii="Times New Roman" w:hAnsi="Times New Roman" w:cs="Times New Roman"/>
          <w:lang w:val="en-GB"/>
        </w:rPr>
        <w:t>,</w:t>
      </w:r>
      <w:r w:rsidR="00142615" w:rsidRPr="00F65288">
        <w:rPr>
          <w:rFonts w:ascii="Times New Roman" w:hAnsi="Times New Roman" w:cs="Times New Roman"/>
          <w:lang w:val="en-GB"/>
        </w:rPr>
        <w:t xml:space="preserve"> Kwartnik-</w:t>
      </w:r>
      <w:proofErr w:type="spellStart"/>
      <w:r w:rsidR="00142615" w:rsidRPr="00F65288">
        <w:rPr>
          <w:rFonts w:ascii="Times New Roman" w:hAnsi="Times New Roman" w:cs="Times New Roman"/>
          <w:lang w:val="en-GB"/>
        </w:rPr>
        <w:t>Pruc</w:t>
      </w:r>
      <w:proofErr w:type="spellEnd"/>
      <w:r w:rsidR="000F17E5">
        <w:rPr>
          <w:rFonts w:ascii="Times New Roman" w:hAnsi="Times New Roman" w:cs="Times New Roman"/>
          <w:lang w:val="en-GB"/>
        </w:rPr>
        <w:t xml:space="preserve"> et al.</w:t>
      </w:r>
      <w:r w:rsidR="00142615" w:rsidRPr="00F65288">
        <w:rPr>
          <w:rFonts w:ascii="Times New Roman" w:hAnsi="Times New Roman" w:cs="Times New Roman"/>
          <w:lang w:val="en-GB"/>
        </w:rPr>
        <w:t xml:space="preserve"> 2011).</w:t>
      </w:r>
    </w:p>
    <w:p w14:paraId="75E00431" w14:textId="7CB34E61" w:rsidR="00100938" w:rsidRPr="00F65288" w:rsidRDefault="00D03D15" w:rsidP="00DB2BBB">
      <w:pPr>
        <w:pStyle w:val="Akapitzlist"/>
        <w:ind w:left="0"/>
        <w:rPr>
          <w:rFonts w:ascii="Times New Roman" w:hAnsi="Times New Roman" w:cs="Times New Roman"/>
          <w:lang w:val="en-GB"/>
        </w:rPr>
      </w:pPr>
      <w:r w:rsidRPr="00F65288">
        <w:rPr>
          <w:rFonts w:ascii="Times New Roman" w:hAnsi="Times New Roman" w:cs="Times New Roman"/>
          <w:lang w:val="en-GB"/>
        </w:rPr>
        <w:t xml:space="preserve">Between 2003 and 2008, the area of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co</w:t>
      </w:r>
      <w:r w:rsidR="00CF79AA" w:rsidRPr="00F65288">
        <w:rPr>
          <w:rFonts w:ascii="Times New Roman" w:hAnsi="Times New Roman" w:cs="Times New Roman"/>
          <w:lang w:val="en-GB"/>
        </w:rPr>
        <w:t>n</w:t>
      </w:r>
      <w:r w:rsidRPr="00F65288">
        <w:rPr>
          <w:rFonts w:ascii="Times New Roman" w:hAnsi="Times New Roman" w:cs="Times New Roman"/>
          <w:lang w:val="en-GB"/>
        </w:rPr>
        <w:t xml:space="preserve">verted to non-agricultural use increased from 2725 ha in 2003 to 5514 ha in 2007. This period </w:t>
      </w:r>
      <w:r w:rsidR="00CF79AA" w:rsidRPr="00F65288">
        <w:rPr>
          <w:rFonts w:ascii="Times New Roman" w:hAnsi="Times New Roman" w:cs="Times New Roman"/>
          <w:lang w:val="en-GB"/>
        </w:rPr>
        <w:t>witnessed</w:t>
      </w:r>
      <w:r w:rsidRPr="00F65288">
        <w:rPr>
          <w:rFonts w:ascii="Times New Roman" w:hAnsi="Times New Roman" w:cs="Times New Roman"/>
          <w:lang w:val="en-GB"/>
        </w:rPr>
        <w:t xml:space="preserve"> rapid urbanization</w:t>
      </w:r>
      <w:r w:rsidR="00F615FC" w:rsidRPr="00F65288">
        <w:rPr>
          <w:rFonts w:ascii="Times New Roman" w:hAnsi="Times New Roman" w:cs="Times New Roman"/>
          <w:lang w:val="en-GB"/>
        </w:rPr>
        <w:t xml:space="preserve">, and </w:t>
      </w:r>
      <w:r w:rsidR="00293C0D" w:rsidRPr="00F65288">
        <w:rPr>
          <w:rFonts w:ascii="Times New Roman" w:hAnsi="Times New Roman" w:cs="Times New Roman"/>
          <w:lang w:val="en-GB"/>
        </w:rPr>
        <w:t>agricultural land</w:t>
      </w:r>
      <w:r w:rsidR="00F615FC" w:rsidRPr="00F65288">
        <w:rPr>
          <w:rFonts w:ascii="Times New Roman" w:hAnsi="Times New Roman" w:cs="Times New Roman"/>
          <w:lang w:val="en-GB"/>
        </w:rPr>
        <w:t xml:space="preserve"> protection </w:t>
      </w:r>
      <w:r w:rsidR="00F615FC" w:rsidRPr="00F65288">
        <w:rPr>
          <w:rFonts w:ascii="Times New Roman" w:hAnsi="Times New Roman" w:cs="Times New Roman"/>
          <w:lang w:val="en-GB"/>
        </w:rPr>
        <w:lastRenderedPageBreak/>
        <w:t>mechanisms were not yet firmly grounded in the legislative framework (</w:t>
      </w:r>
      <w:proofErr w:type="spellStart"/>
      <w:r w:rsidR="00F615FC" w:rsidRPr="00F65288">
        <w:rPr>
          <w:rFonts w:ascii="Times New Roman" w:hAnsi="Times New Roman" w:cs="Times New Roman"/>
          <w:lang w:val="en-GB"/>
        </w:rPr>
        <w:t>Karpiuk</w:t>
      </w:r>
      <w:proofErr w:type="spellEnd"/>
      <w:r w:rsidR="00F615FC" w:rsidRPr="00F65288">
        <w:rPr>
          <w:rFonts w:ascii="Times New Roman" w:hAnsi="Times New Roman" w:cs="Times New Roman"/>
          <w:lang w:val="en-GB"/>
        </w:rPr>
        <w:t xml:space="preserve"> 2013</w:t>
      </w:r>
      <w:r w:rsidR="000F17E5">
        <w:rPr>
          <w:rFonts w:ascii="Times New Roman" w:hAnsi="Times New Roman" w:cs="Times New Roman"/>
          <w:lang w:val="en-GB"/>
        </w:rPr>
        <w:t>,</w:t>
      </w:r>
      <w:r w:rsidR="00F615FC" w:rsidRPr="00F65288">
        <w:rPr>
          <w:rFonts w:ascii="Times New Roman" w:hAnsi="Times New Roman" w:cs="Times New Roman"/>
          <w:lang w:val="en-GB"/>
        </w:rPr>
        <w:t xml:space="preserve"> </w:t>
      </w:r>
      <w:proofErr w:type="spellStart"/>
      <w:r w:rsidR="00F615FC" w:rsidRPr="00F65288">
        <w:rPr>
          <w:rFonts w:ascii="Times New Roman" w:hAnsi="Times New Roman" w:cs="Times New Roman"/>
          <w:lang w:val="en-GB"/>
        </w:rPr>
        <w:t>Bieluk</w:t>
      </w:r>
      <w:proofErr w:type="spellEnd"/>
      <w:r w:rsidR="00F615FC" w:rsidRPr="00F65288">
        <w:rPr>
          <w:rFonts w:ascii="Times New Roman" w:hAnsi="Times New Roman" w:cs="Times New Roman"/>
          <w:lang w:val="en-GB"/>
        </w:rPr>
        <w:t xml:space="preserve"> 2015). This trend clearly declined in the following years</w:t>
      </w:r>
      <w:r w:rsidR="00CF79AA" w:rsidRPr="00F65288">
        <w:rPr>
          <w:rFonts w:ascii="Times New Roman" w:hAnsi="Times New Roman" w:cs="Times New Roman"/>
          <w:lang w:val="en-GB"/>
        </w:rPr>
        <w:t xml:space="preserve"> </w:t>
      </w:r>
      <w:r w:rsidR="00F615FC" w:rsidRPr="00F65288">
        <w:rPr>
          <w:rFonts w:ascii="Times New Roman" w:hAnsi="Times New Roman" w:cs="Times New Roman"/>
          <w:lang w:val="en-GB"/>
        </w:rPr>
        <w:t>(2009</w:t>
      </w:r>
      <w:r w:rsidR="00790A4D">
        <w:rPr>
          <w:rFonts w:ascii="Times New Roman" w:hAnsi="Times New Roman" w:cs="Times New Roman"/>
          <w:lang w:val="en-GB"/>
        </w:rPr>
        <w:t>-</w:t>
      </w:r>
      <w:r w:rsidR="00F615FC" w:rsidRPr="00F65288">
        <w:rPr>
          <w:rFonts w:ascii="Times New Roman" w:hAnsi="Times New Roman" w:cs="Times New Roman"/>
          <w:lang w:val="en-GB"/>
        </w:rPr>
        <w:t xml:space="preserve">2014), and only 1994 ha of agricultural </w:t>
      </w:r>
      <w:r w:rsidR="004A67C8">
        <w:rPr>
          <w:rFonts w:ascii="Times New Roman" w:hAnsi="Times New Roman" w:cs="Times New Roman"/>
          <w:lang w:val="en-GB"/>
        </w:rPr>
        <w:t xml:space="preserve">land </w:t>
      </w:r>
      <w:r w:rsidR="00F615FC" w:rsidRPr="00F65288">
        <w:rPr>
          <w:rFonts w:ascii="Times New Roman" w:hAnsi="Times New Roman" w:cs="Times New Roman"/>
          <w:lang w:val="en-GB"/>
        </w:rPr>
        <w:t xml:space="preserve">was withdrawn from production in 2013. According to </w:t>
      </w:r>
      <w:proofErr w:type="spellStart"/>
      <w:r w:rsidR="00F615FC" w:rsidRPr="00F65288">
        <w:rPr>
          <w:rFonts w:ascii="Times New Roman" w:hAnsi="Times New Roman" w:cs="Times New Roman"/>
          <w:lang w:val="en-GB"/>
        </w:rPr>
        <w:t>Świtalska</w:t>
      </w:r>
      <w:proofErr w:type="spellEnd"/>
      <w:r w:rsidR="00F615FC" w:rsidRPr="00F65288">
        <w:rPr>
          <w:rFonts w:ascii="Times New Roman" w:hAnsi="Times New Roman" w:cs="Times New Roman"/>
          <w:lang w:val="en-GB"/>
        </w:rPr>
        <w:t xml:space="preserve"> (2016) and Górski et al. (2019), this decline could be attributed to the strengthening of planning procedures and growing awareness of the need to protect land resources. The area of converted </w:t>
      </w:r>
      <w:r w:rsidR="00293C0D" w:rsidRPr="00F65288">
        <w:rPr>
          <w:rFonts w:ascii="Times New Roman" w:hAnsi="Times New Roman" w:cs="Times New Roman"/>
          <w:lang w:val="en-GB"/>
        </w:rPr>
        <w:t>agricultural land</w:t>
      </w:r>
      <w:r w:rsidR="00F615FC" w:rsidRPr="00F65288">
        <w:rPr>
          <w:rFonts w:ascii="Times New Roman" w:hAnsi="Times New Roman" w:cs="Times New Roman"/>
          <w:lang w:val="en-GB"/>
        </w:rPr>
        <w:t xml:space="preserve"> increased </w:t>
      </w:r>
      <w:r w:rsidR="00CF79AA" w:rsidRPr="00F65288">
        <w:rPr>
          <w:rFonts w:ascii="Times New Roman" w:hAnsi="Times New Roman" w:cs="Times New Roman"/>
          <w:lang w:val="en-GB"/>
        </w:rPr>
        <w:t>after</w:t>
      </w:r>
      <w:r w:rsidR="00F615FC" w:rsidRPr="00F65288">
        <w:rPr>
          <w:rFonts w:ascii="Times New Roman" w:hAnsi="Times New Roman" w:cs="Times New Roman"/>
          <w:lang w:val="en-GB"/>
        </w:rPr>
        <w:t xml:space="preserve"> 2015 and peaked in 2021 at 6038 ha. This trend has been exacerbated by the growing demand for development land and the implementation of renewable energy projects, </w:t>
      </w:r>
      <w:r w:rsidR="004A67C8">
        <w:rPr>
          <w:rFonts w:ascii="Times New Roman" w:hAnsi="Times New Roman" w:cs="Times New Roman"/>
          <w:lang w:val="en-GB"/>
        </w:rPr>
        <w:t>particularly photovoltaic farms, on low-quality agricultural land (Marks-Bielska &amp; Bieniek 2018</w:t>
      </w:r>
      <w:r w:rsidR="00790A4D">
        <w:rPr>
          <w:rFonts w:ascii="Times New Roman" w:hAnsi="Times New Roman" w:cs="Times New Roman"/>
          <w:lang w:val="en-GB"/>
        </w:rPr>
        <w:t>,</w:t>
      </w:r>
      <w:r w:rsidR="004A67C8">
        <w:rPr>
          <w:rFonts w:ascii="Times New Roman" w:hAnsi="Times New Roman" w:cs="Times New Roman"/>
          <w:lang w:val="en-GB"/>
        </w:rPr>
        <w:t xml:space="preserve"> Kurowska et al.</w:t>
      </w:r>
      <w:r w:rsidR="00F615FC" w:rsidRPr="00F65288">
        <w:rPr>
          <w:rFonts w:ascii="Times New Roman" w:hAnsi="Times New Roman" w:cs="Times New Roman"/>
          <w:lang w:val="en-GB"/>
        </w:rPr>
        <w:t xml:space="preserve"> 2020). The amendments of 2021 (Journal of Laws, 2021, item 1873) facilitated the construction of renewable energy facilities on </w:t>
      </w:r>
      <w:r w:rsidR="003A63DC" w:rsidRPr="00F65288">
        <w:rPr>
          <w:rFonts w:ascii="Times New Roman" w:hAnsi="Times New Roman" w:cs="Times New Roman"/>
          <w:lang w:val="en-GB"/>
        </w:rPr>
        <w:t>low-quality soils (</w:t>
      </w:r>
      <w:r w:rsidR="00F615FC" w:rsidRPr="00F65288">
        <w:rPr>
          <w:rFonts w:ascii="Times New Roman" w:hAnsi="Times New Roman" w:cs="Times New Roman"/>
          <w:lang w:val="en-GB"/>
        </w:rPr>
        <w:t>class</w:t>
      </w:r>
      <w:r w:rsidR="00CF79AA" w:rsidRPr="00F65288">
        <w:rPr>
          <w:rFonts w:ascii="Times New Roman" w:hAnsi="Times New Roman" w:cs="Times New Roman"/>
          <w:lang w:val="en-GB"/>
        </w:rPr>
        <w:t>es</w:t>
      </w:r>
      <w:r w:rsidR="00F615FC" w:rsidRPr="00F65288">
        <w:rPr>
          <w:rFonts w:ascii="Times New Roman" w:hAnsi="Times New Roman" w:cs="Times New Roman"/>
          <w:lang w:val="en-GB"/>
        </w:rPr>
        <w:t xml:space="preserve"> V and VI</w:t>
      </w:r>
      <w:r w:rsidR="003A63DC" w:rsidRPr="00F65288">
        <w:rPr>
          <w:rFonts w:ascii="Times New Roman" w:hAnsi="Times New Roman" w:cs="Times New Roman"/>
          <w:lang w:val="en-GB"/>
        </w:rPr>
        <w:t>)</w:t>
      </w:r>
      <w:r w:rsidR="006B04E2" w:rsidRPr="00F65288">
        <w:rPr>
          <w:rFonts w:ascii="Times New Roman" w:hAnsi="Times New Roman" w:cs="Times New Roman"/>
          <w:lang w:val="en-GB"/>
        </w:rPr>
        <w:t xml:space="preserve"> and unproductive/uncultivated land</w:t>
      </w:r>
      <w:r w:rsidR="00F615FC" w:rsidRPr="00F65288">
        <w:rPr>
          <w:rFonts w:ascii="Times New Roman" w:hAnsi="Times New Roman" w:cs="Times New Roman"/>
          <w:lang w:val="en-GB"/>
        </w:rPr>
        <w:t xml:space="preserve">, which could </w:t>
      </w:r>
      <w:r w:rsidR="003A63DC" w:rsidRPr="00F65288">
        <w:rPr>
          <w:rFonts w:ascii="Times New Roman" w:hAnsi="Times New Roman" w:cs="Times New Roman"/>
          <w:lang w:val="en-GB"/>
        </w:rPr>
        <w:t xml:space="preserve">have directly contributed to the rise in the area of </w:t>
      </w:r>
      <w:r w:rsidR="00293C0D" w:rsidRPr="00F65288">
        <w:rPr>
          <w:rFonts w:ascii="Times New Roman" w:hAnsi="Times New Roman" w:cs="Times New Roman"/>
          <w:lang w:val="en-GB"/>
        </w:rPr>
        <w:t>agricultural land</w:t>
      </w:r>
      <w:r w:rsidR="003A63DC" w:rsidRPr="00F65288">
        <w:rPr>
          <w:rFonts w:ascii="Times New Roman" w:hAnsi="Times New Roman" w:cs="Times New Roman"/>
          <w:lang w:val="en-GB"/>
        </w:rPr>
        <w:t xml:space="preserve"> converted to non-agricultural uses</w:t>
      </w:r>
      <w:r w:rsidR="00142615" w:rsidRPr="00F65288">
        <w:rPr>
          <w:rFonts w:ascii="Times New Roman" w:hAnsi="Times New Roman" w:cs="Times New Roman"/>
          <w:lang w:val="en-GB"/>
        </w:rPr>
        <w:t xml:space="preserve"> (Milczarek-Andrzejewska et al. 2020</w:t>
      </w:r>
      <w:r w:rsidR="000F17E5">
        <w:rPr>
          <w:rFonts w:ascii="Times New Roman" w:hAnsi="Times New Roman" w:cs="Times New Roman"/>
          <w:lang w:val="en-GB"/>
        </w:rPr>
        <w:t>,</w:t>
      </w:r>
      <w:r w:rsidR="00142615" w:rsidRPr="00F65288">
        <w:rPr>
          <w:rFonts w:ascii="Times New Roman" w:hAnsi="Times New Roman" w:cs="Times New Roman"/>
          <w:lang w:val="en-GB"/>
        </w:rPr>
        <w:t xml:space="preserve"> Andrzejewska 2025).</w:t>
      </w:r>
    </w:p>
    <w:p w14:paraId="401CEE21" w14:textId="3A133F84" w:rsidR="003A63DC" w:rsidRDefault="003A63DC" w:rsidP="00DB2BBB">
      <w:pPr>
        <w:pStyle w:val="Akapitzlist"/>
        <w:ind w:left="0"/>
        <w:rPr>
          <w:rFonts w:ascii="Times New Roman" w:hAnsi="Times New Roman" w:cs="Times New Roman"/>
          <w:lang w:val="en-GB"/>
        </w:rPr>
      </w:pPr>
      <w:r w:rsidRPr="00F65288">
        <w:rPr>
          <w:rFonts w:ascii="Times New Roman" w:hAnsi="Times New Roman" w:cs="Times New Roman"/>
          <w:lang w:val="en-GB"/>
        </w:rPr>
        <w:t xml:space="preserve">The influence of changes in the key legislative acts on the area of </w:t>
      </w:r>
      <w:r w:rsidR="006B04E2" w:rsidRPr="00F65288">
        <w:rPr>
          <w:rFonts w:ascii="Times New Roman" w:hAnsi="Times New Roman" w:cs="Times New Roman"/>
          <w:lang w:val="en-GB"/>
        </w:rPr>
        <w:t>agricultural l</w:t>
      </w:r>
      <w:r w:rsidRPr="00F65288">
        <w:rPr>
          <w:rFonts w:ascii="Times New Roman" w:hAnsi="Times New Roman" w:cs="Times New Roman"/>
          <w:lang w:val="en-GB"/>
        </w:rPr>
        <w:t xml:space="preserve">and </w:t>
      </w:r>
      <w:r w:rsidR="00CF79AA" w:rsidRPr="00F65288">
        <w:rPr>
          <w:rFonts w:ascii="Times New Roman" w:hAnsi="Times New Roman" w:cs="Times New Roman"/>
          <w:lang w:val="en-GB"/>
        </w:rPr>
        <w:t>withdrawn from</w:t>
      </w:r>
      <w:r w:rsidRPr="00F65288">
        <w:rPr>
          <w:rFonts w:ascii="Times New Roman" w:hAnsi="Times New Roman" w:cs="Times New Roman"/>
          <w:lang w:val="en-GB"/>
        </w:rPr>
        <w:t xml:space="preserve"> production is presented in Figure 2.</w:t>
      </w:r>
    </w:p>
    <w:p w14:paraId="1E9C4522" w14:textId="77777777" w:rsidR="00CC7C85" w:rsidRPr="00F65288" w:rsidRDefault="00CC7C85" w:rsidP="00DB2BBB">
      <w:pPr>
        <w:pStyle w:val="Akapitzlist"/>
        <w:ind w:left="0"/>
        <w:rPr>
          <w:rFonts w:ascii="Times New Roman" w:hAnsi="Times New Roman" w:cs="Times New Roman"/>
          <w:lang w:val="en-GB"/>
        </w:rPr>
      </w:pPr>
    </w:p>
    <w:p w14:paraId="492FB7E4" w14:textId="7D8F010E" w:rsidR="00AD370A" w:rsidRPr="00F65288" w:rsidRDefault="000279CE" w:rsidP="0065459E">
      <w:pPr>
        <w:pStyle w:val="Akapitzlist"/>
        <w:spacing w:line="360" w:lineRule="auto"/>
        <w:ind w:left="0" w:firstLine="0"/>
        <w:rPr>
          <w:rFonts w:ascii="Times New Roman" w:hAnsi="Times New Roman" w:cs="Times New Roman"/>
          <w:lang w:val="en-GB"/>
        </w:rPr>
      </w:pPr>
      <w:r w:rsidRPr="00F65288">
        <w:rPr>
          <w:rFonts w:ascii="Times New Roman" w:hAnsi="Times New Roman" w:cs="Times New Roman"/>
          <w:noProof/>
          <w:lang w:val="en-GB"/>
        </w:rPr>
        <w:drawing>
          <wp:inline distT="0" distB="0" distL="0" distR="0" wp14:anchorId="04AEE7DD" wp14:editId="011F0807">
            <wp:extent cx="6111240" cy="2621280"/>
            <wp:effectExtent l="0" t="0" r="3810" b="7620"/>
            <wp:docPr id="49180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1240" cy="2621280"/>
                    </a:xfrm>
                    <a:prstGeom prst="rect">
                      <a:avLst/>
                    </a:prstGeom>
                    <a:noFill/>
                    <a:ln>
                      <a:noFill/>
                    </a:ln>
                  </pic:spPr>
                </pic:pic>
              </a:graphicData>
            </a:graphic>
          </wp:inline>
        </w:drawing>
      </w:r>
    </w:p>
    <w:p w14:paraId="17E208EC" w14:textId="00EF71CE" w:rsidR="003A63DC" w:rsidRPr="00CC75C2" w:rsidRDefault="003A63DC" w:rsidP="00CC75C2">
      <w:pPr>
        <w:pStyle w:val="Rrys"/>
        <w:rPr>
          <w:spacing w:val="-2"/>
          <w:lang w:val="en-GB"/>
        </w:rPr>
      </w:pPr>
      <w:r w:rsidRPr="00CC75C2">
        <w:rPr>
          <w:b/>
          <w:bCs/>
          <w:spacing w:val="-2"/>
          <w:lang w:val="en-GB"/>
        </w:rPr>
        <w:t>Fig</w:t>
      </w:r>
      <w:r w:rsidR="00CC75C2" w:rsidRPr="00CC75C2">
        <w:rPr>
          <w:b/>
          <w:bCs/>
          <w:spacing w:val="-2"/>
          <w:lang w:val="en-GB"/>
        </w:rPr>
        <w:t>.</w:t>
      </w:r>
      <w:r w:rsidR="00AD370A" w:rsidRPr="00CC75C2">
        <w:rPr>
          <w:b/>
          <w:bCs/>
          <w:spacing w:val="-2"/>
          <w:lang w:val="en-GB"/>
        </w:rPr>
        <w:t xml:space="preserve"> 2</w:t>
      </w:r>
      <w:r w:rsidR="00AD370A" w:rsidRPr="00346F69">
        <w:rPr>
          <w:b/>
          <w:bCs/>
          <w:spacing w:val="-2"/>
          <w:lang w:val="en-GB"/>
        </w:rPr>
        <w:t>.</w:t>
      </w:r>
      <w:r w:rsidR="00AD370A" w:rsidRPr="00CC75C2">
        <w:rPr>
          <w:spacing w:val="-2"/>
          <w:lang w:val="en-GB"/>
        </w:rPr>
        <w:t xml:space="preserve"> </w:t>
      </w:r>
      <w:r w:rsidRPr="00CC75C2">
        <w:rPr>
          <w:spacing w:val="-2"/>
          <w:lang w:val="en-GB"/>
        </w:rPr>
        <w:t xml:space="preserve">The impact of legislative changes on the area of </w:t>
      </w:r>
      <w:r w:rsidR="006B04E2" w:rsidRPr="00CC75C2">
        <w:rPr>
          <w:spacing w:val="-2"/>
          <w:lang w:val="en-GB"/>
        </w:rPr>
        <w:t xml:space="preserve">agricultural </w:t>
      </w:r>
      <w:r w:rsidRPr="00CC75C2">
        <w:rPr>
          <w:spacing w:val="-2"/>
          <w:lang w:val="en-GB"/>
        </w:rPr>
        <w:t xml:space="preserve">land </w:t>
      </w:r>
      <w:r w:rsidR="001E2965" w:rsidRPr="00CC75C2">
        <w:rPr>
          <w:spacing w:val="-2"/>
          <w:lang w:val="en-GB"/>
        </w:rPr>
        <w:t xml:space="preserve">taken out of </w:t>
      </w:r>
      <w:r w:rsidRPr="00CC75C2">
        <w:rPr>
          <w:spacing w:val="-2"/>
          <w:lang w:val="en-GB"/>
        </w:rPr>
        <w:t>production</w:t>
      </w:r>
      <w:r w:rsidR="0065459E" w:rsidRPr="00CC75C2">
        <w:rPr>
          <w:spacing w:val="-2"/>
          <w:lang w:val="en-GB"/>
        </w:rPr>
        <w:t xml:space="preserve"> </w:t>
      </w:r>
      <w:r w:rsidR="004A67C8">
        <w:rPr>
          <w:spacing w:val="-2"/>
          <w:lang w:val="en-GB"/>
        </w:rPr>
        <w:t>according to</w:t>
      </w:r>
      <w:r w:rsidR="0065459E" w:rsidRPr="00CC75C2">
        <w:rPr>
          <w:spacing w:val="-2"/>
          <w:lang w:val="en-GB"/>
        </w:rPr>
        <w:t xml:space="preserve"> </w:t>
      </w:r>
      <w:r w:rsidR="0065459E" w:rsidRPr="00CC75C2">
        <w:rPr>
          <w:i/>
          <w:iCs/>
          <w:spacing w:val="-2"/>
          <w:lang w:val="en-GB"/>
        </w:rPr>
        <w:t>Statistics Poland</w:t>
      </w:r>
      <w:r w:rsidR="0065459E" w:rsidRPr="00CC75C2">
        <w:rPr>
          <w:spacing w:val="-2"/>
          <w:lang w:val="en-GB"/>
        </w:rPr>
        <w:t xml:space="preserve"> data</w:t>
      </w:r>
    </w:p>
    <w:p w14:paraId="201701AF" w14:textId="77777777" w:rsidR="00CC75C2" w:rsidRDefault="00CC75C2" w:rsidP="0065459E">
      <w:pPr>
        <w:rPr>
          <w:rFonts w:ascii="Times New Roman" w:hAnsi="Times New Roman" w:cs="Times New Roman"/>
          <w:lang w:val="en-GB"/>
        </w:rPr>
      </w:pPr>
    </w:p>
    <w:p w14:paraId="30262723" w14:textId="14F772CC" w:rsidR="00E77183" w:rsidRPr="00F65288" w:rsidRDefault="00E77183" w:rsidP="0065459E">
      <w:pPr>
        <w:rPr>
          <w:rFonts w:ascii="Times New Roman" w:hAnsi="Times New Roman" w:cs="Times New Roman"/>
          <w:lang w:val="en-GB"/>
        </w:rPr>
      </w:pPr>
      <w:r w:rsidRPr="00F65288">
        <w:rPr>
          <w:rFonts w:ascii="Times New Roman" w:hAnsi="Times New Roman" w:cs="Times New Roman"/>
          <w:lang w:val="en-GB"/>
        </w:rPr>
        <w:t xml:space="preserve">On 1 January 2010, the financial instruments for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protection were significantly modified. The system</w:t>
      </w:r>
      <w:r w:rsidR="004A67C8">
        <w:rPr>
          <w:rFonts w:ascii="Times New Roman" w:hAnsi="Times New Roman" w:cs="Times New Roman"/>
          <w:lang w:val="en-GB"/>
        </w:rPr>
        <w:t>,</w:t>
      </w:r>
      <w:r w:rsidRPr="00F65288">
        <w:rPr>
          <w:rFonts w:ascii="Times New Roman" w:hAnsi="Times New Roman" w:cs="Times New Roman"/>
          <w:lang w:val="en-GB"/>
        </w:rPr>
        <w:t xml:space="preserve"> wh</w:t>
      </w:r>
      <w:r w:rsidR="004A67C8">
        <w:rPr>
          <w:rFonts w:ascii="Times New Roman" w:hAnsi="Times New Roman" w:cs="Times New Roman"/>
          <w:lang w:val="en-GB"/>
        </w:rPr>
        <w:t>ich calculated fees for irreversible agricultural land conversion</w:t>
      </w:r>
      <w:r w:rsidRPr="00F65288">
        <w:rPr>
          <w:rFonts w:ascii="Times New Roman" w:hAnsi="Times New Roman" w:cs="Times New Roman"/>
          <w:lang w:val="en-GB"/>
        </w:rPr>
        <w:t xml:space="preserve"> </w:t>
      </w:r>
      <w:r w:rsidR="000845A5" w:rsidRPr="00F65288">
        <w:rPr>
          <w:rFonts w:ascii="Times New Roman" w:hAnsi="Times New Roman" w:cs="Times New Roman"/>
          <w:lang w:val="en-GB"/>
        </w:rPr>
        <w:t xml:space="preserve">based on </w:t>
      </w:r>
      <w:r w:rsidR="00A3297F" w:rsidRPr="00F65288">
        <w:rPr>
          <w:rFonts w:ascii="Times New Roman" w:hAnsi="Times New Roman" w:cs="Times New Roman"/>
          <w:lang w:val="en-GB"/>
        </w:rPr>
        <w:t>rye grain</w:t>
      </w:r>
      <w:r w:rsidR="000845A5" w:rsidRPr="00F65288">
        <w:rPr>
          <w:rFonts w:ascii="Times New Roman" w:hAnsi="Times New Roman" w:cs="Times New Roman"/>
          <w:lang w:val="en-GB"/>
        </w:rPr>
        <w:t xml:space="preserve"> prices</w:t>
      </w:r>
      <w:r w:rsidR="004A67C8">
        <w:rPr>
          <w:rFonts w:ascii="Times New Roman" w:hAnsi="Times New Roman" w:cs="Times New Roman"/>
          <w:lang w:val="en-GB"/>
        </w:rPr>
        <w:t>,</w:t>
      </w:r>
      <w:r w:rsidR="000845A5" w:rsidRPr="00F65288">
        <w:rPr>
          <w:rFonts w:ascii="Times New Roman" w:hAnsi="Times New Roman" w:cs="Times New Roman"/>
          <w:lang w:val="en-GB"/>
        </w:rPr>
        <w:t xml:space="preserve"> was abandoned. In the amendment to the Act on the protection of agricultural and forest land</w:t>
      </w:r>
      <w:r w:rsidRPr="00F65288">
        <w:rPr>
          <w:rFonts w:ascii="Times New Roman" w:hAnsi="Times New Roman" w:cs="Times New Roman"/>
          <w:lang w:val="en-GB"/>
        </w:rPr>
        <w:t xml:space="preserve"> </w:t>
      </w:r>
      <w:r w:rsidR="000845A5" w:rsidRPr="00F65288">
        <w:rPr>
          <w:rFonts w:ascii="Times New Roman" w:hAnsi="Times New Roman" w:cs="Times New Roman"/>
          <w:lang w:val="en-GB"/>
        </w:rPr>
        <w:t xml:space="preserve">(Journal of Laws, 1995, No. 16, item 78, as amended), </w:t>
      </w:r>
      <w:r w:rsidR="00663A08" w:rsidRPr="00F65288">
        <w:rPr>
          <w:rFonts w:ascii="Times New Roman" w:hAnsi="Times New Roman" w:cs="Times New Roman"/>
          <w:lang w:val="en-GB"/>
        </w:rPr>
        <w:t xml:space="preserve">fees calculated based on </w:t>
      </w:r>
      <w:r w:rsidR="00A3297F" w:rsidRPr="00F65288">
        <w:rPr>
          <w:rFonts w:ascii="Times New Roman" w:hAnsi="Times New Roman" w:cs="Times New Roman"/>
          <w:lang w:val="en-GB"/>
        </w:rPr>
        <w:t>rye grain</w:t>
      </w:r>
      <w:r w:rsidR="00663A08" w:rsidRPr="00F65288">
        <w:rPr>
          <w:rFonts w:ascii="Times New Roman" w:hAnsi="Times New Roman" w:cs="Times New Roman"/>
          <w:lang w:val="en-GB"/>
        </w:rPr>
        <w:t xml:space="preserve"> prices were</w:t>
      </w:r>
      <w:r w:rsidR="000845A5" w:rsidRPr="00F65288">
        <w:rPr>
          <w:rFonts w:ascii="Times New Roman" w:hAnsi="Times New Roman" w:cs="Times New Roman"/>
          <w:lang w:val="en-GB"/>
        </w:rPr>
        <w:t xml:space="preserve"> replaced with lump-sum fees (listed in the appendix to the </w:t>
      </w:r>
      <w:r w:rsidR="00A3297F" w:rsidRPr="00F65288">
        <w:rPr>
          <w:rFonts w:ascii="Times New Roman" w:hAnsi="Times New Roman" w:cs="Times New Roman"/>
          <w:lang w:val="en-GB"/>
        </w:rPr>
        <w:t>A</w:t>
      </w:r>
      <w:r w:rsidR="000845A5" w:rsidRPr="00F65288">
        <w:rPr>
          <w:rFonts w:ascii="Times New Roman" w:hAnsi="Times New Roman" w:cs="Times New Roman"/>
          <w:lang w:val="en-GB"/>
        </w:rPr>
        <w:t xml:space="preserve">ct). This change was introduced to simplify administrative procedures and increase their transparency, but in practice, it resulted in the </w:t>
      </w:r>
      <w:r w:rsidR="00663A08" w:rsidRPr="00F65288">
        <w:rPr>
          <w:rFonts w:ascii="Times New Roman" w:hAnsi="Times New Roman" w:cs="Times New Roman"/>
          <w:lang w:val="en-GB"/>
        </w:rPr>
        <w:t xml:space="preserve">gradual </w:t>
      </w:r>
      <w:r w:rsidR="000845A5" w:rsidRPr="00F65288">
        <w:rPr>
          <w:rFonts w:ascii="Times New Roman" w:hAnsi="Times New Roman" w:cs="Times New Roman"/>
          <w:lang w:val="en-GB"/>
        </w:rPr>
        <w:t>liberalization of legal provisions.</w:t>
      </w:r>
    </w:p>
    <w:p w14:paraId="62256C72" w14:textId="3017600C" w:rsidR="00E77183" w:rsidRPr="00F65288" w:rsidRDefault="000845A5" w:rsidP="0065459E">
      <w:pPr>
        <w:rPr>
          <w:rFonts w:ascii="Times New Roman" w:hAnsi="Times New Roman" w:cs="Times New Roman"/>
          <w:lang w:val="en-GB"/>
        </w:rPr>
      </w:pPr>
      <w:r w:rsidRPr="00F65288">
        <w:rPr>
          <w:rFonts w:ascii="Times New Roman" w:hAnsi="Times New Roman" w:cs="Times New Roman"/>
          <w:lang w:val="en-GB"/>
        </w:rPr>
        <w:t xml:space="preserve">The </w:t>
      </w:r>
      <w:r w:rsidR="00C27798" w:rsidRPr="00F65288">
        <w:rPr>
          <w:rFonts w:ascii="Times New Roman" w:hAnsi="Times New Roman" w:cs="Times New Roman"/>
          <w:lang w:val="en-GB"/>
        </w:rPr>
        <w:t xml:space="preserve">mechanism </w:t>
      </w:r>
      <w:r w:rsidR="00007379" w:rsidRPr="00F65288">
        <w:rPr>
          <w:rFonts w:ascii="Times New Roman" w:hAnsi="Times New Roman" w:cs="Times New Roman"/>
          <w:lang w:val="en-GB"/>
        </w:rPr>
        <w:t>allowing</w:t>
      </w:r>
      <w:r w:rsidR="00C27798" w:rsidRPr="00F65288">
        <w:rPr>
          <w:rFonts w:ascii="Times New Roman" w:hAnsi="Times New Roman" w:cs="Times New Roman"/>
          <w:lang w:val="en-GB"/>
        </w:rPr>
        <w:t xml:space="preserve"> </w:t>
      </w:r>
      <w:r w:rsidR="00007379" w:rsidRPr="00F65288">
        <w:rPr>
          <w:rFonts w:ascii="Times New Roman" w:hAnsi="Times New Roman" w:cs="Times New Roman"/>
          <w:lang w:val="en-GB"/>
        </w:rPr>
        <w:t>land</w:t>
      </w:r>
      <w:r w:rsidR="00C27798" w:rsidRPr="00F65288">
        <w:rPr>
          <w:rFonts w:ascii="Times New Roman" w:hAnsi="Times New Roman" w:cs="Times New Roman"/>
          <w:lang w:val="en-GB"/>
        </w:rPr>
        <w:t>owners to deduct the market value of land from the conversion fee (Article 12</w:t>
      </w:r>
      <w:r w:rsidR="004A67C8">
        <w:rPr>
          <w:rFonts w:ascii="Times New Roman" w:hAnsi="Times New Roman" w:cs="Times New Roman"/>
          <w:lang w:val="en-GB"/>
        </w:rPr>
        <w:t>,</w:t>
      </w:r>
      <w:r w:rsidR="00C27798" w:rsidRPr="00F65288">
        <w:rPr>
          <w:rFonts w:ascii="Times New Roman" w:hAnsi="Times New Roman" w:cs="Times New Roman"/>
          <w:lang w:val="en-GB"/>
        </w:rPr>
        <w:t xml:space="preserve"> section 6) was </w:t>
      </w:r>
      <w:r w:rsidR="00007379" w:rsidRPr="00F65288">
        <w:rPr>
          <w:rFonts w:ascii="Times New Roman" w:hAnsi="Times New Roman" w:cs="Times New Roman"/>
          <w:lang w:val="en-GB"/>
        </w:rPr>
        <w:t>retained</w:t>
      </w:r>
      <w:r w:rsidR="00C27798" w:rsidRPr="00F65288">
        <w:rPr>
          <w:rFonts w:ascii="Times New Roman" w:hAnsi="Times New Roman" w:cs="Times New Roman"/>
          <w:lang w:val="en-GB"/>
        </w:rPr>
        <w:t xml:space="preserve">, </w:t>
      </w:r>
      <w:r w:rsidR="00007379" w:rsidRPr="00F65288">
        <w:rPr>
          <w:rFonts w:ascii="Times New Roman" w:hAnsi="Times New Roman" w:cs="Times New Roman"/>
          <w:lang w:val="en-GB"/>
        </w:rPr>
        <w:t>effectively eliminating the obligation</w:t>
      </w:r>
      <w:r w:rsidR="00C27798" w:rsidRPr="00F65288">
        <w:rPr>
          <w:rFonts w:ascii="Times New Roman" w:hAnsi="Times New Roman" w:cs="Times New Roman"/>
          <w:lang w:val="en-GB"/>
        </w:rPr>
        <w:t xml:space="preserve"> to pay </w:t>
      </w:r>
      <w:r w:rsidR="00007379" w:rsidRPr="00F65288">
        <w:rPr>
          <w:rFonts w:ascii="Times New Roman" w:hAnsi="Times New Roman" w:cs="Times New Roman"/>
          <w:lang w:val="en-GB"/>
        </w:rPr>
        <w:t>the</w:t>
      </w:r>
      <w:r w:rsidR="00C27798" w:rsidRPr="00F65288">
        <w:rPr>
          <w:rFonts w:ascii="Times New Roman" w:hAnsi="Times New Roman" w:cs="Times New Roman"/>
          <w:lang w:val="en-GB"/>
        </w:rPr>
        <w:t xml:space="preserve"> </w:t>
      </w:r>
      <w:r w:rsidR="003C0071" w:rsidRPr="00F65288">
        <w:rPr>
          <w:rFonts w:ascii="Times New Roman" w:hAnsi="Times New Roman" w:cs="Times New Roman"/>
          <w:lang w:val="en-GB"/>
        </w:rPr>
        <w:t xml:space="preserve">lump-sum </w:t>
      </w:r>
      <w:r w:rsidR="00C27798" w:rsidRPr="00F65288">
        <w:rPr>
          <w:rFonts w:ascii="Times New Roman" w:hAnsi="Times New Roman" w:cs="Times New Roman"/>
          <w:lang w:val="en-GB"/>
        </w:rPr>
        <w:t>fee in many cases.</w:t>
      </w:r>
      <w:r w:rsidRPr="00F65288">
        <w:rPr>
          <w:rFonts w:ascii="Times New Roman" w:hAnsi="Times New Roman" w:cs="Times New Roman"/>
          <w:lang w:val="en-GB"/>
        </w:rPr>
        <w:t xml:space="preserve"> </w:t>
      </w:r>
      <w:r w:rsidR="004A67C8">
        <w:rPr>
          <w:rFonts w:ascii="Times New Roman" w:hAnsi="Times New Roman" w:cs="Times New Roman"/>
          <w:lang w:val="en-GB"/>
        </w:rPr>
        <w:t>Additionally, conversion fees were not systemat</w:t>
      </w:r>
      <w:r w:rsidR="003C0071" w:rsidRPr="00F65288">
        <w:rPr>
          <w:rFonts w:ascii="Times New Roman" w:hAnsi="Times New Roman" w:cs="Times New Roman"/>
          <w:lang w:val="en-GB"/>
        </w:rPr>
        <w:t xml:space="preserve">ically </w:t>
      </w:r>
      <w:r w:rsidR="00007379" w:rsidRPr="00F65288">
        <w:rPr>
          <w:rFonts w:ascii="Times New Roman" w:hAnsi="Times New Roman" w:cs="Times New Roman"/>
          <w:lang w:val="en-GB"/>
        </w:rPr>
        <w:t>indexed in successive years, which decreased their real value</w:t>
      </w:r>
      <w:r w:rsidR="003C0071" w:rsidRPr="00F65288">
        <w:rPr>
          <w:rFonts w:ascii="Times New Roman" w:hAnsi="Times New Roman" w:cs="Times New Roman"/>
          <w:lang w:val="en-GB"/>
        </w:rPr>
        <w:t xml:space="preserve"> in financial terms</w:t>
      </w:r>
      <w:r w:rsidR="00007379" w:rsidRPr="00F65288">
        <w:rPr>
          <w:rFonts w:ascii="Times New Roman" w:hAnsi="Times New Roman" w:cs="Times New Roman"/>
          <w:lang w:val="en-GB"/>
        </w:rPr>
        <w:t xml:space="preserve">. </w:t>
      </w:r>
      <w:r w:rsidR="004A67C8">
        <w:rPr>
          <w:rFonts w:ascii="Times New Roman" w:hAnsi="Times New Roman" w:cs="Times New Roman"/>
          <w:lang w:val="en-GB"/>
        </w:rPr>
        <w:t>Consequently, conversion fees were initially introduced as an economic barrier to discourage the uncontrolled conversion of agricultural land to non-agricultural uses. Still,</w:t>
      </w:r>
      <w:r w:rsidR="00663A08" w:rsidRPr="00F65288">
        <w:rPr>
          <w:rFonts w:ascii="Times New Roman" w:hAnsi="Times New Roman" w:cs="Times New Roman"/>
          <w:lang w:val="en-GB"/>
        </w:rPr>
        <w:t xml:space="preserve"> their role in preventing land degradation gradually declined over the years</w:t>
      </w:r>
      <w:r w:rsidR="00DC5D2E" w:rsidRPr="00F65288">
        <w:rPr>
          <w:rFonts w:ascii="Times New Roman" w:hAnsi="Times New Roman" w:cs="Times New Roman"/>
          <w:lang w:val="en-GB"/>
        </w:rPr>
        <w:t xml:space="preserve">. Conversion fees, </w:t>
      </w:r>
      <w:r w:rsidR="004A67C8">
        <w:rPr>
          <w:rFonts w:ascii="Times New Roman" w:hAnsi="Times New Roman" w:cs="Times New Roman"/>
          <w:lang w:val="en-GB"/>
        </w:rPr>
        <w:t>intended initially</w:t>
      </w:r>
      <w:r w:rsidR="00DC5D2E" w:rsidRPr="00F65288">
        <w:rPr>
          <w:rFonts w:ascii="Times New Roman" w:hAnsi="Times New Roman" w:cs="Times New Roman"/>
          <w:lang w:val="en-GB"/>
        </w:rPr>
        <w:t xml:space="preserve"> as a strong economic barrier, gradually lost their real value. After 2010, lump-sum payments replaced fees indexed to </w:t>
      </w:r>
      <w:r w:rsidR="004A67C8">
        <w:rPr>
          <w:rFonts w:ascii="Times New Roman" w:hAnsi="Times New Roman" w:cs="Times New Roman"/>
          <w:lang w:val="en-GB"/>
        </w:rPr>
        <w:t>the price of rye grain</w:t>
      </w:r>
      <w:r w:rsidR="00DC5D2E" w:rsidRPr="00F65288">
        <w:rPr>
          <w:rFonts w:ascii="Times New Roman" w:hAnsi="Times New Roman" w:cs="Times New Roman"/>
          <w:lang w:val="en-GB"/>
        </w:rPr>
        <w:t>. As these lump-sum values were not regularly adjusted for inflation, their deterrent effect decreased considerably (</w:t>
      </w:r>
      <w:proofErr w:type="spellStart"/>
      <w:r w:rsidR="00DC5D2E" w:rsidRPr="00F65288">
        <w:rPr>
          <w:rFonts w:ascii="Times New Roman" w:hAnsi="Times New Roman" w:cs="Times New Roman"/>
          <w:lang w:val="en-GB"/>
        </w:rPr>
        <w:t>Bieluk</w:t>
      </w:r>
      <w:proofErr w:type="spellEnd"/>
      <w:r w:rsidR="00DC5D2E" w:rsidRPr="00F65288">
        <w:rPr>
          <w:rFonts w:ascii="Times New Roman" w:hAnsi="Times New Roman" w:cs="Times New Roman"/>
          <w:lang w:val="en-GB"/>
        </w:rPr>
        <w:t xml:space="preserve"> 2015). Empirical analyses indicate that the effectiveness of these instruments now depends more on transaction terms and property appraisal methods than on their statutory level.</w:t>
      </w:r>
    </w:p>
    <w:p w14:paraId="3BBA59B9" w14:textId="40BDDEC5" w:rsidR="000845A5" w:rsidRPr="00F65288" w:rsidRDefault="00007379" w:rsidP="0065459E">
      <w:pPr>
        <w:rPr>
          <w:rFonts w:ascii="Times New Roman" w:hAnsi="Times New Roman" w:cs="Times New Roman"/>
          <w:lang w:val="en-GB"/>
        </w:rPr>
      </w:pPr>
      <w:r w:rsidRPr="00F65288">
        <w:rPr>
          <w:rFonts w:ascii="Times New Roman" w:hAnsi="Times New Roman" w:cs="Times New Roman"/>
          <w:lang w:val="en-GB"/>
        </w:rPr>
        <w:t xml:space="preserve">According to </w:t>
      </w:r>
      <w:proofErr w:type="spellStart"/>
      <w:r w:rsidRPr="00F65288">
        <w:rPr>
          <w:rFonts w:ascii="Times New Roman" w:hAnsi="Times New Roman" w:cs="Times New Roman"/>
          <w:lang w:val="en-GB"/>
        </w:rPr>
        <w:t>Bieluk</w:t>
      </w:r>
      <w:proofErr w:type="spellEnd"/>
      <w:r w:rsidRPr="00F65288">
        <w:rPr>
          <w:rFonts w:ascii="Times New Roman" w:hAnsi="Times New Roman" w:cs="Times New Roman"/>
          <w:lang w:val="en-GB"/>
        </w:rPr>
        <w:t xml:space="preserve"> (2015), </w:t>
      </w:r>
      <w:r w:rsidR="004A67C8">
        <w:rPr>
          <w:rFonts w:ascii="Times New Roman" w:hAnsi="Times New Roman" w:cs="Times New Roman"/>
          <w:lang w:val="en-GB"/>
        </w:rPr>
        <w:t>the effectiveness of financial instruments is more likely to be determined by transaction terms and the appraisal method used for property valuation</w:t>
      </w:r>
      <w:r w:rsidR="00B51691" w:rsidRPr="00F65288">
        <w:rPr>
          <w:rFonts w:ascii="Times New Roman" w:hAnsi="Times New Roman" w:cs="Times New Roman"/>
          <w:lang w:val="en-GB"/>
        </w:rPr>
        <w:t xml:space="preserve"> than by the wording of legal provisions. This observation raises significant concerns regarding the cohesion of the </w:t>
      </w:r>
      <w:r w:rsidR="00293C0D" w:rsidRPr="00F65288">
        <w:rPr>
          <w:rFonts w:ascii="Times New Roman" w:hAnsi="Times New Roman" w:cs="Times New Roman"/>
          <w:lang w:val="en-GB"/>
        </w:rPr>
        <w:t>agricultural land</w:t>
      </w:r>
      <w:r w:rsidR="00B51691" w:rsidRPr="00F65288">
        <w:rPr>
          <w:rFonts w:ascii="Times New Roman" w:hAnsi="Times New Roman" w:cs="Times New Roman"/>
          <w:lang w:val="en-GB"/>
        </w:rPr>
        <w:t xml:space="preserve"> protection framework and its resilience to development pressure, especially in suburban areas. </w:t>
      </w:r>
    </w:p>
    <w:p w14:paraId="569723B3" w14:textId="1C56785D" w:rsidR="00007379" w:rsidRPr="00F65288" w:rsidRDefault="00B51691" w:rsidP="0065459E">
      <w:pPr>
        <w:rPr>
          <w:rFonts w:ascii="Times New Roman" w:hAnsi="Times New Roman" w:cs="Times New Roman"/>
          <w:lang w:val="en-GB"/>
        </w:rPr>
      </w:pPr>
      <w:r w:rsidRPr="00F65288">
        <w:rPr>
          <w:rFonts w:ascii="Times New Roman" w:hAnsi="Times New Roman" w:cs="Times New Roman"/>
          <w:lang w:val="en-GB"/>
        </w:rPr>
        <w:t xml:space="preserve">There is empirical evidence to indicate that the legal framework for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protection is not highly effective </w:t>
      </w:r>
      <w:r w:rsidR="00663A08" w:rsidRPr="00F65288">
        <w:rPr>
          <w:rFonts w:ascii="Times New Roman" w:hAnsi="Times New Roman" w:cs="Times New Roman"/>
          <w:lang w:val="en-GB"/>
        </w:rPr>
        <w:t>under</w:t>
      </w:r>
      <w:r w:rsidRPr="00F65288">
        <w:rPr>
          <w:rFonts w:ascii="Times New Roman" w:hAnsi="Times New Roman" w:cs="Times New Roman"/>
          <w:lang w:val="en-GB"/>
        </w:rPr>
        <w:t xml:space="preserve"> growing development pressure. Due to the dispersal of administrative powers, </w:t>
      </w:r>
      <w:r w:rsidR="004A67C8">
        <w:rPr>
          <w:rFonts w:ascii="Times New Roman" w:hAnsi="Times New Roman" w:cs="Times New Roman"/>
          <w:lang w:val="en-GB"/>
        </w:rPr>
        <w:t>a lack of coherence in planning policy at the local level, and difficulties in interpretation</w:t>
      </w:r>
      <w:r w:rsidRPr="00F65288">
        <w:rPr>
          <w:rFonts w:ascii="Times New Roman" w:hAnsi="Times New Roman" w:cs="Times New Roman"/>
          <w:lang w:val="en-GB"/>
        </w:rPr>
        <w:t xml:space="preserve">, current planning practice does not </w:t>
      </w:r>
      <w:r w:rsidRPr="00F65288">
        <w:rPr>
          <w:rFonts w:ascii="Times New Roman" w:hAnsi="Times New Roman" w:cs="Times New Roman"/>
          <w:lang w:val="en-GB"/>
        </w:rPr>
        <w:lastRenderedPageBreak/>
        <w:t xml:space="preserve">provide sufficient protection for agricultural land </w:t>
      </w:r>
      <w:r w:rsidR="00212D21" w:rsidRPr="00F65288">
        <w:rPr>
          <w:rFonts w:ascii="Times New Roman" w:hAnsi="Times New Roman" w:cs="Times New Roman"/>
          <w:lang w:val="en-GB"/>
        </w:rPr>
        <w:t>(Cymerman 2010</w:t>
      </w:r>
      <w:r w:rsidR="000F17E5">
        <w:rPr>
          <w:rFonts w:ascii="Times New Roman" w:hAnsi="Times New Roman" w:cs="Times New Roman"/>
          <w:lang w:val="en-GB"/>
        </w:rPr>
        <w:t>,</w:t>
      </w:r>
      <w:r w:rsidR="00212D21" w:rsidRPr="00F65288">
        <w:rPr>
          <w:rFonts w:ascii="Times New Roman" w:hAnsi="Times New Roman" w:cs="Times New Roman"/>
          <w:lang w:val="en-GB"/>
        </w:rPr>
        <w:t xml:space="preserve"> </w:t>
      </w:r>
      <w:proofErr w:type="spellStart"/>
      <w:r w:rsidR="00212D21" w:rsidRPr="00F65288">
        <w:rPr>
          <w:rFonts w:ascii="Times New Roman" w:hAnsi="Times New Roman" w:cs="Times New Roman"/>
          <w:lang w:val="en-GB"/>
        </w:rPr>
        <w:t>Błażewski</w:t>
      </w:r>
      <w:proofErr w:type="spellEnd"/>
      <w:r w:rsidR="00212D21" w:rsidRPr="00F65288">
        <w:rPr>
          <w:rFonts w:ascii="Times New Roman" w:hAnsi="Times New Roman" w:cs="Times New Roman"/>
          <w:lang w:val="en-GB"/>
        </w:rPr>
        <w:t xml:space="preserve"> 2024</w:t>
      </w:r>
      <w:r w:rsidR="000F17E5">
        <w:rPr>
          <w:rFonts w:ascii="Times New Roman" w:hAnsi="Times New Roman" w:cs="Times New Roman"/>
          <w:lang w:val="en-GB"/>
        </w:rPr>
        <w:t>,</w:t>
      </w:r>
      <w:r w:rsidR="00212D21" w:rsidRPr="00F65288">
        <w:rPr>
          <w:rFonts w:ascii="Times New Roman" w:hAnsi="Times New Roman" w:cs="Times New Roman"/>
          <w:lang w:val="en-GB"/>
        </w:rPr>
        <w:t xml:space="preserve"> </w:t>
      </w:r>
      <w:proofErr w:type="spellStart"/>
      <w:r w:rsidR="00212D21" w:rsidRPr="00F65288">
        <w:rPr>
          <w:rFonts w:ascii="Times New Roman" w:hAnsi="Times New Roman" w:cs="Times New Roman"/>
          <w:lang w:val="en-GB"/>
        </w:rPr>
        <w:t>Orłowski</w:t>
      </w:r>
      <w:proofErr w:type="spellEnd"/>
      <w:r w:rsidR="00212D21" w:rsidRPr="00F65288">
        <w:rPr>
          <w:rFonts w:ascii="Times New Roman" w:hAnsi="Times New Roman" w:cs="Times New Roman"/>
          <w:lang w:val="en-GB"/>
        </w:rPr>
        <w:t xml:space="preserve"> 2024). These </w:t>
      </w:r>
      <w:r w:rsidR="00212D21" w:rsidRPr="00346F69">
        <w:rPr>
          <w:rFonts w:ascii="Times New Roman" w:hAnsi="Times New Roman" w:cs="Times New Roman"/>
          <w:spacing w:val="-2"/>
          <w:lang w:val="en-GB"/>
        </w:rPr>
        <w:t xml:space="preserve">problems may exacerbate the fragmentation of </w:t>
      </w:r>
      <w:r w:rsidR="00293C0D" w:rsidRPr="00346F69">
        <w:rPr>
          <w:rFonts w:ascii="Times New Roman" w:hAnsi="Times New Roman" w:cs="Times New Roman"/>
          <w:spacing w:val="-2"/>
          <w:lang w:val="en-GB"/>
        </w:rPr>
        <w:t>agricultural land</w:t>
      </w:r>
      <w:r w:rsidR="00212D21" w:rsidRPr="00346F69">
        <w:rPr>
          <w:rFonts w:ascii="Times New Roman" w:hAnsi="Times New Roman" w:cs="Times New Roman"/>
          <w:spacing w:val="-2"/>
          <w:lang w:val="en-GB"/>
        </w:rPr>
        <w:t xml:space="preserve"> and, in the long-term perspective, </w:t>
      </w:r>
      <w:r w:rsidR="004A67C8" w:rsidRPr="00346F69">
        <w:rPr>
          <w:rFonts w:ascii="Times New Roman" w:hAnsi="Times New Roman" w:cs="Times New Roman"/>
          <w:spacing w:val="-2"/>
          <w:lang w:val="en-GB"/>
        </w:rPr>
        <w:t xml:space="preserve">lead </w:t>
      </w:r>
      <w:r w:rsidR="00212D21" w:rsidRPr="00346F69">
        <w:rPr>
          <w:rFonts w:ascii="Times New Roman" w:hAnsi="Times New Roman" w:cs="Times New Roman"/>
          <w:spacing w:val="-2"/>
          <w:lang w:val="en-GB"/>
        </w:rPr>
        <w:t>to a deterioration</w:t>
      </w:r>
      <w:r w:rsidR="00212D21" w:rsidRPr="00F65288">
        <w:rPr>
          <w:rFonts w:ascii="Times New Roman" w:hAnsi="Times New Roman" w:cs="Times New Roman"/>
          <w:lang w:val="en-GB"/>
        </w:rPr>
        <w:t xml:space="preserve"> in </w:t>
      </w:r>
      <w:r w:rsidR="00663A08" w:rsidRPr="00F65288">
        <w:rPr>
          <w:rFonts w:ascii="Times New Roman" w:hAnsi="Times New Roman" w:cs="Times New Roman"/>
          <w:lang w:val="en-GB"/>
        </w:rPr>
        <w:t>its</w:t>
      </w:r>
      <w:r w:rsidR="00212D21" w:rsidRPr="00F65288">
        <w:rPr>
          <w:rFonts w:ascii="Times New Roman" w:hAnsi="Times New Roman" w:cs="Times New Roman"/>
          <w:lang w:val="en-GB"/>
        </w:rPr>
        <w:t xml:space="preserve"> functional and environmental integrity (Roszkowska-</w:t>
      </w:r>
      <w:proofErr w:type="spellStart"/>
      <w:r w:rsidR="00212D21" w:rsidRPr="00F65288">
        <w:rPr>
          <w:rFonts w:ascii="Times New Roman" w:hAnsi="Times New Roman" w:cs="Times New Roman"/>
          <w:lang w:val="en-GB"/>
        </w:rPr>
        <w:t>Mądra</w:t>
      </w:r>
      <w:proofErr w:type="spellEnd"/>
      <w:r w:rsidR="00212D21" w:rsidRPr="00F65288">
        <w:rPr>
          <w:rFonts w:ascii="Times New Roman" w:hAnsi="Times New Roman" w:cs="Times New Roman"/>
          <w:lang w:val="en-GB"/>
        </w:rPr>
        <w:t xml:space="preserve"> 2020</w:t>
      </w:r>
      <w:r w:rsidR="000F17E5">
        <w:rPr>
          <w:rFonts w:ascii="Times New Roman" w:hAnsi="Times New Roman" w:cs="Times New Roman"/>
          <w:lang w:val="en-GB"/>
        </w:rPr>
        <w:t>,</w:t>
      </w:r>
      <w:r w:rsidR="00212D21" w:rsidRPr="00F65288">
        <w:rPr>
          <w:rFonts w:ascii="Times New Roman" w:hAnsi="Times New Roman" w:cs="Times New Roman"/>
          <w:lang w:val="en-GB"/>
        </w:rPr>
        <w:t xml:space="preserve"> </w:t>
      </w:r>
      <w:proofErr w:type="spellStart"/>
      <w:r w:rsidR="00212D21" w:rsidRPr="00F65288">
        <w:rPr>
          <w:rFonts w:ascii="Times New Roman" w:hAnsi="Times New Roman" w:cs="Times New Roman"/>
          <w:lang w:val="en-GB"/>
        </w:rPr>
        <w:t>Śleszyński</w:t>
      </w:r>
      <w:proofErr w:type="spellEnd"/>
      <w:r w:rsidR="00212D21" w:rsidRPr="00F65288">
        <w:rPr>
          <w:rFonts w:ascii="Times New Roman" w:hAnsi="Times New Roman" w:cs="Times New Roman"/>
          <w:lang w:val="en-GB"/>
        </w:rPr>
        <w:t xml:space="preserve"> et al. 2024). Therefore, the analysis of </w:t>
      </w:r>
      <w:r w:rsidR="004A67C8">
        <w:rPr>
          <w:rFonts w:ascii="Times New Roman" w:hAnsi="Times New Roman" w:cs="Times New Roman"/>
          <w:lang w:val="en-GB"/>
        </w:rPr>
        <w:t>data from 2003 to 2023 indicates that</w:t>
      </w:r>
      <w:r w:rsidR="00212D21" w:rsidRPr="00F65288">
        <w:rPr>
          <w:rFonts w:ascii="Times New Roman" w:hAnsi="Times New Roman" w:cs="Times New Roman"/>
          <w:lang w:val="en-GB"/>
        </w:rPr>
        <w:t xml:space="preserve"> existing protective mechanisms should be strengthened and that spatial planning systems should be </w:t>
      </w:r>
      <w:r w:rsidR="007B3A81" w:rsidRPr="00F65288">
        <w:rPr>
          <w:rFonts w:ascii="Times New Roman" w:hAnsi="Times New Roman" w:cs="Times New Roman"/>
          <w:lang w:val="en-GB"/>
        </w:rPr>
        <w:t xml:space="preserve">integrated </w:t>
      </w:r>
      <w:r w:rsidR="00212D21" w:rsidRPr="00F65288">
        <w:rPr>
          <w:rFonts w:ascii="Times New Roman" w:hAnsi="Times New Roman" w:cs="Times New Roman"/>
          <w:lang w:val="en-GB"/>
        </w:rPr>
        <w:t xml:space="preserve">with land protection goals. A sustainable planning policy should prioritize rational land-use planning </w:t>
      </w:r>
      <w:r w:rsidR="004A67C8">
        <w:rPr>
          <w:rFonts w:ascii="Times New Roman" w:hAnsi="Times New Roman" w:cs="Times New Roman"/>
          <w:lang w:val="en-GB"/>
        </w:rPr>
        <w:t>based on comprehensive and integrated legal and planning instruments (</w:t>
      </w:r>
      <w:proofErr w:type="spellStart"/>
      <w:r w:rsidR="004A67C8">
        <w:rPr>
          <w:rFonts w:ascii="Times New Roman" w:hAnsi="Times New Roman" w:cs="Times New Roman"/>
          <w:lang w:val="en-GB"/>
        </w:rPr>
        <w:t>Marciniuk</w:t>
      </w:r>
      <w:proofErr w:type="spellEnd"/>
      <w:r w:rsidR="004A67C8">
        <w:rPr>
          <w:rFonts w:ascii="Times New Roman" w:hAnsi="Times New Roman" w:cs="Times New Roman"/>
          <w:lang w:val="en-GB"/>
        </w:rPr>
        <w:t xml:space="preserve"> 2020</w:t>
      </w:r>
      <w:r w:rsidR="00790A4D">
        <w:rPr>
          <w:rFonts w:ascii="Times New Roman" w:hAnsi="Times New Roman" w:cs="Times New Roman"/>
          <w:lang w:val="en-GB"/>
        </w:rPr>
        <w:t>,</w:t>
      </w:r>
      <w:r w:rsidR="004A67C8">
        <w:rPr>
          <w:rFonts w:ascii="Times New Roman" w:hAnsi="Times New Roman" w:cs="Times New Roman"/>
          <w:lang w:val="en-GB"/>
        </w:rPr>
        <w:t xml:space="preserve"> </w:t>
      </w:r>
      <w:proofErr w:type="spellStart"/>
      <w:r w:rsidR="004A67C8">
        <w:rPr>
          <w:rFonts w:ascii="Times New Roman" w:hAnsi="Times New Roman" w:cs="Times New Roman"/>
          <w:lang w:val="en-GB"/>
        </w:rPr>
        <w:t>Kryszk</w:t>
      </w:r>
      <w:proofErr w:type="spellEnd"/>
      <w:r w:rsidR="004A67C8">
        <w:rPr>
          <w:rFonts w:ascii="Times New Roman" w:hAnsi="Times New Roman" w:cs="Times New Roman"/>
          <w:lang w:val="en-GB"/>
        </w:rPr>
        <w:t xml:space="preserve"> et al. 2022), while considering the interests of local communitie</w:t>
      </w:r>
      <w:r w:rsidR="00663A08" w:rsidRPr="00F65288">
        <w:rPr>
          <w:rFonts w:ascii="Times New Roman" w:hAnsi="Times New Roman" w:cs="Times New Roman"/>
          <w:lang w:val="en-GB"/>
        </w:rPr>
        <w:t>s</w:t>
      </w:r>
      <w:r w:rsidR="00212D21" w:rsidRPr="00F65288">
        <w:rPr>
          <w:rFonts w:ascii="Times New Roman" w:hAnsi="Times New Roman" w:cs="Times New Roman"/>
          <w:lang w:val="en-GB"/>
        </w:rPr>
        <w:t xml:space="preserve"> and the need to safeguard the productive capacity of </w:t>
      </w:r>
      <w:r w:rsidR="00293C0D" w:rsidRPr="00F65288">
        <w:rPr>
          <w:rFonts w:ascii="Times New Roman" w:hAnsi="Times New Roman" w:cs="Times New Roman"/>
          <w:lang w:val="en-GB"/>
        </w:rPr>
        <w:t>agricultural land</w:t>
      </w:r>
      <w:r w:rsidR="00212D21" w:rsidRPr="00F65288">
        <w:rPr>
          <w:rFonts w:ascii="Times New Roman" w:hAnsi="Times New Roman" w:cs="Times New Roman"/>
          <w:lang w:val="en-GB"/>
        </w:rPr>
        <w:t xml:space="preserve"> for future generations.</w:t>
      </w:r>
    </w:p>
    <w:p w14:paraId="639E618C" w14:textId="55467314" w:rsidR="00B51691" w:rsidRPr="00F65288" w:rsidRDefault="00212D21" w:rsidP="0065459E">
      <w:pPr>
        <w:pStyle w:val="Akapitzlist"/>
        <w:ind w:left="0"/>
        <w:rPr>
          <w:rFonts w:ascii="Times New Roman" w:hAnsi="Times New Roman" w:cs="Times New Roman"/>
          <w:lang w:val="en-GB"/>
        </w:rPr>
      </w:pPr>
      <w:proofErr w:type="spellStart"/>
      <w:r w:rsidRPr="004A67C8">
        <w:rPr>
          <w:rFonts w:ascii="Times New Roman" w:hAnsi="Times New Roman" w:cs="Times New Roman"/>
        </w:rPr>
        <w:t>Bieluk</w:t>
      </w:r>
      <w:proofErr w:type="spellEnd"/>
      <w:r w:rsidRPr="004A67C8">
        <w:rPr>
          <w:rFonts w:ascii="Times New Roman" w:hAnsi="Times New Roman" w:cs="Times New Roman"/>
        </w:rPr>
        <w:t xml:space="preserve"> (2015) and Śleszyński et al. </w:t>
      </w:r>
      <w:r w:rsidRPr="00F65288">
        <w:rPr>
          <w:rFonts w:ascii="Times New Roman" w:hAnsi="Times New Roman" w:cs="Times New Roman"/>
          <w:lang w:val="en-GB"/>
        </w:rPr>
        <w:t xml:space="preserve">(2024) have argued that the </w:t>
      </w:r>
      <w:r w:rsidR="00C224E4" w:rsidRPr="00F65288">
        <w:rPr>
          <w:rFonts w:ascii="Times New Roman" w:hAnsi="Times New Roman" w:cs="Times New Roman"/>
          <w:lang w:val="en-GB"/>
        </w:rPr>
        <w:t>A</w:t>
      </w:r>
      <w:r w:rsidRPr="00F65288">
        <w:rPr>
          <w:rFonts w:ascii="Times New Roman" w:hAnsi="Times New Roman" w:cs="Times New Roman"/>
          <w:lang w:val="en-GB"/>
        </w:rPr>
        <w:t xml:space="preserve">ct of 1995 created a comprehensive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protection system by </w:t>
      </w:r>
      <w:r w:rsidR="00663A08" w:rsidRPr="00F65288">
        <w:rPr>
          <w:rFonts w:ascii="Times New Roman" w:hAnsi="Times New Roman" w:cs="Times New Roman"/>
          <w:lang w:val="en-GB"/>
        </w:rPr>
        <w:t>aligning the</w:t>
      </w:r>
      <w:r w:rsidRPr="00F65288">
        <w:rPr>
          <w:rFonts w:ascii="Times New Roman" w:hAnsi="Times New Roman" w:cs="Times New Roman"/>
          <w:lang w:val="en-GB"/>
        </w:rPr>
        <w:t xml:space="preserve"> quantitative and qualitative aspects of land protection</w:t>
      </w:r>
      <w:r w:rsidR="00663A08" w:rsidRPr="00F65288">
        <w:rPr>
          <w:rFonts w:ascii="Times New Roman" w:hAnsi="Times New Roman" w:cs="Times New Roman"/>
          <w:lang w:val="en-GB"/>
        </w:rPr>
        <w:t xml:space="preserve"> with</w:t>
      </w:r>
      <w:r w:rsidRPr="00F65288">
        <w:rPr>
          <w:rFonts w:ascii="Times New Roman" w:hAnsi="Times New Roman" w:cs="Times New Roman"/>
          <w:lang w:val="en-GB"/>
        </w:rPr>
        <w:t xml:space="preserve"> financial instruments and administrative procedures. These regulations can be used to evaluate the effectiveness of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conversion decisions </w:t>
      </w:r>
      <w:r w:rsidR="006B6286" w:rsidRPr="00F65288">
        <w:rPr>
          <w:rFonts w:ascii="Times New Roman" w:hAnsi="Times New Roman" w:cs="Times New Roman"/>
          <w:lang w:val="en-GB"/>
        </w:rPr>
        <w:t xml:space="preserve">and their implications for coherent spatial planning. According to Kurowska et al. (2020), land protection regulations are the </w:t>
      </w:r>
      <w:r w:rsidR="007F2DB7" w:rsidRPr="00F65288">
        <w:rPr>
          <w:rFonts w:ascii="Times New Roman" w:hAnsi="Times New Roman" w:cs="Times New Roman"/>
          <w:lang w:val="en-GB"/>
        </w:rPr>
        <w:t>essential elements</w:t>
      </w:r>
      <w:r w:rsidR="006B6286" w:rsidRPr="00F65288">
        <w:rPr>
          <w:rFonts w:ascii="Times New Roman" w:hAnsi="Times New Roman" w:cs="Times New Roman"/>
          <w:lang w:val="en-GB"/>
        </w:rPr>
        <w:t xml:space="preserve"> of the spatial planning </w:t>
      </w:r>
      <w:r w:rsidR="007F2DB7" w:rsidRPr="00F65288">
        <w:rPr>
          <w:rFonts w:ascii="Times New Roman" w:hAnsi="Times New Roman" w:cs="Times New Roman"/>
          <w:lang w:val="en-GB"/>
        </w:rPr>
        <w:t>framework, aimed at minimizing</w:t>
      </w:r>
      <w:r w:rsidR="006B6286" w:rsidRPr="00F65288">
        <w:rPr>
          <w:rFonts w:ascii="Times New Roman" w:hAnsi="Times New Roman" w:cs="Times New Roman"/>
          <w:lang w:val="en-GB"/>
        </w:rPr>
        <w:t xml:space="preserve"> </w:t>
      </w:r>
      <w:r w:rsidR="007F2DB7" w:rsidRPr="00F65288">
        <w:rPr>
          <w:rFonts w:ascii="Times New Roman" w:hAnsi="Times New Roman" w:cs="Times New Roman"/>
          <w:lang w:val="en-GB"/>
        </w:rPr>
        <w:t>the adverse effects of urbanization pressure and the ongoing environmental crisis.</w:t>
      </w:r>
    </w:p>
    <w:p w14:paraId="6A2933F8" w14:textId="2831E69B" w:rsidR="007F2DB7" w:rsidRPr="00F65288" w:rsidRDefault="007F2DB7" w:rsidP="00CE3DDE">
      <w:pPr>
        <w:rPr>
          <w:rFonts w:ascii="Times New Roman" w:hAnsi="Times New Roman" w:cs="Times New Roman"/>
          <w:lang w:val="en-GB"/>
        </w:rPr>
      </w:pPr>
      <w:r w:rsidRPr="00F65288">
        <w:rPr>
          <w:rFonts w:ascii="Times New Roman" w:hAnsi="Times New Roman" w:cs="Times New Roman"/>
          <w:lang w:val="en-GB"/>
        </w:rPr>
        <w:t xml:space="preserve">Article 10 of the </w:t>
      </w:r>
      <w:r w:rsidR="004A67C8">
        <w:rPr>
          <w:rFonts w:ascii="Times New Roman" w:hAnsi="Times New Roman" w:cs="Times New Roman"/>
          <w:lang w:val="en-GB"/>
        </w:rPr>
        <w:t>Spatial P</w:t>
      </w:r>
      <w:r w:rsidRPr="00F65288">
        <w:rPr>
          <w:rFonts w:ascii="Times New Roman" w:hAnsi="Times New Roman" w:cs="Times New Roman"/>
          <w:lang w:val="en-GB"/>
        </w:rPr>
        <w:t xml:space="preserve">lanning </w:t>
      </w:r>
      <w:r w:rsidR="00C224E4" w:rsidRPr="00F65288">
        <w:rPr>
          <w:rFonts w:ascii="Times New Roman" w:hAnsi="Times New Roman" w:cs="Times New Roman"/>
          <w:lang w:val="en-GB"/>
        </w:rPr>
        <w:t>A</w:t>
      </w:r>
      <w:r w:rsidRPr="00F65288">
        <w:rPr>
          <w:rFonts w:ascii="Times New Roman" w:hAnsi="Times New Roman" w:cs="Times New Roman"/>
          <w:lang w:val="en-GB"/>
        </w:rPr>
        <w:t xml:space="preserve">ct of 2003 </w:t>
      </w:r>
      <w:r w:rsidR="00663A08" w:rsidRPr="00F65288">
        <w:rPr>
          <w:rFonts w:ascii="Times New Roman" w:hAnsi="Times New Roman" w:cs="Times New Roman"/>
          <w:lang w:val="en-GB"/>
        </w:rPr>
        <w:t>aligns</w:t>
      </w:r>
      <w:r w:rsidR="001D3AD7" w:rsidRPr="00F65288">
        <w:rPr>
          <w:rFonts w:ascii="Times New Roman" w:hAnsi="Times New Roman" w:cs="Times New Roman"/>
          <w:lang w:val="en-GB"/>
        </w:rPr>
        <w:t xml:space="preserve"> the provisions of this act with the spatial planning system</w:t>
      </w:r>
      <w:r w:rsidR="00663A08" w:rsidRPr="00F65288">
        <w:rPr>
          <w:rFonts w:ascii="Times New Roman" w:hAnsi="Times New Roman" w:cs="Times New Roman"/>
          <w:lang w:val="en-GB"/>
        </w:rPr>
        <w:t>. Pursuant to Article 10,</w:t>
      </w:r>
      <w:r w:rsidR="001D3AD7" w:rsidRPr="00F65288">
        <w:rPr>
          <w:rFonts w:ascii="Times New Roman" w:hAnsi="Times New Roman" w:cs="Times New Roman"/>
          <w:lang w:val="en-GB"/>
        </w:rPr>
        <w:t xml:space="preserve"> the decision on the conversion of </w:t>
      </w:r>
      <w:r w:rsidR="00293C0D" w:rsidRPr="00F65288">
        <w:rPr>
          <w:rFonts w:ascii="Times New Roman" w:hAnsi="Times New Roman" w:cs="Times New Roman"/>
          <w:lang w:val="en-GB"/>
        </w:rPr>
        <w:t>agricultural land</w:t>
      </w:r>
      <w:r w:rsidR="001D3AD7" w:rsidRPr="00F65288">
        <w:rPr>
          <w:rFonts w:ascii="Times New Roman" w:hAnsi="Times New Roman" w:cs="Times New Roman"/>
          <w:lang w:val="en-GB"/>
        </w:rPr>
        <w:t xml:space="preserve"> to non-agricultural use </w:t>
      </w:r>
      <w:r w:rsidR="00663A08" w:rsidRPr="00F65288">
        <w:rPr>
          <w:rFonts w:ascii="Times New Roman" w:hAnsi="Times New Roman" w:cs="Times New Roman"/>
          <w:lang w:val="en-GB"/>
        </w:rPr>
        <w:t>became</w:t>
      </w:r>
      <w:r w:rsidR="001D3AD7" w:rsidRPr="00F65288">
        <w:rPr>
          <w:rFonts w:ascii="Times New Roman" w:hAnsi="Times New Roman" w:cs="Times New Roman"/>
          <w:lang w:val="en-GB"/>
        </w:rPr>
        <w:t xml:space="preserve"> an act of local law. However, Roszkowska-</w:t>
      </w:r>
      <w:proofErr w:type="spellStart"/>
      <w:r w:rsidR="001D3AD7" w:rsidRPr="00F65288">
        <w:rPr>
          <w:rFonts w:ascii="Times New Roman" w:hAnsi="Times New Roman" w:cs="Times New Roman"/>
          <w:lang w:val="en-GB"/>
        </w:rPr>
        <w:t>Mądra</w:t>
      </w:r>
      <w:proofErr w:type="spellEnd"/>
      <w:r w:rsidR="001D3AD7" w:rsidRPr="00F65288">
        <w:rPr>
          <w:rFonts w:ascii="Times New Roman" w:hAnsi="Times New Roman" w:cs="Times New Roman"/>
          <w:lang w:val="en-GB"/>
        </w:rPr>
        <w:t xml:space="preserve"> (2020) noted that decisions on development conditions are often arbitrary because only a small proportion of Poland</w:t>
      </w:r>
      <w:r w:rsidR="004A67C8">
        <w:rPr>
          <w:rFonts w:ascii="Times New Roman" w:hAnsi="Times New Roman" w:cs="Times New Roman"/>
          <w:lang w:val="en-GB"/>
        </w:rPr>
        <w:t>'</w:t>
      </w:r>
      <w:r w:rsidR="001D3AD7" w:rsidRPr="00F65288">
        <w:rPr>
          <w:rFonts w:ascii="Times New Roman" w:hAnsi="Times New Roman" w:cs="Times New Roman"/>
          <w:lang w:val="en-GB"/>
        </w:rPr>
        <w:t>s territory is covered by zoning plans, particular</w:t>
      </w:r>
      <w:r w:rsidR="00FF1BB6" w:rsidRPr="00F65288">
        <w:rPr>
          <w:rFonts w:ascii="Times New Roman" w:hAnsi="Times New Roman" w:cs="Times New Roman"/>
          <w:lang w:val="en-GB"/>
        </w:rPr>
        <w:t>ly</w:t>
      </w:r>
      <w:r w:rsidR="001D3AD7" w:rsidRPr="00F65288">
        <w:rPr>
          <w:rFonts w:ascii="Times New Roman" w:hAnsi="Times New Roman" w:cs="Times New Roman"/>
          <w:lang w:val="en-GB"/>
        </w:rPr>
        <w:t xml:space="preserve"> in rural municipalities. A review of the relevant jurisdiction and literature (</w:t>
      </w:r>
      <w:proofErr w:type="spellStart"/>
      <w:r w:rsidR="001D3AD7" w:rsidRPr="00F65288">
        <w:rPr>
          <w:rFonts w:ascii="Times New Roman" w:hAnsi="Times New Roman" w:cs="Times New Roman"/>
          <w:lang w:val="en-GB"/>
        </w:rPr>
        <w:t>Marciniuk</w:t>
      </w:r>
      <w:proofErr w:type="spellEnd"/>
      <w:r w:rsidR="001D3AD7" w:rsidRPr="00F65288">
        <w:rPr>
          <w:rFonts w:ascii="Times New Roman" w:hAnsi="Times New Roman" w:cs="Times New Roman"/>
          <w:lang w:val="en-GB"/>
        </w:rPr>
        <w:t xml:space="preserve"> 2020</w:t>
      </w:r>
      <w:r w:rsidR="000F17E5">
        <w:rPr>
          <w:rFonts w:ascii="Times New Roman" w:hAnsi="Times New Roman" w:cs="Times New Roman"/>
          <w:lang w:val="en-GB"/>
        </w:rPr>
        <w:t>,</w:t>
      </w:r>
      <w:r w:rsidR="001D3AD7" w:rsidRPr="00F65288">
        <w:rPr>
          <w:rFonts w:ascii="Times New Roman" w:hAnsi="Times New Roman" w:cs="Times New Roman"/>
          <w:lang w:val="en-GB"/>
        </w:rPr>
        <w:t xml:space="preserve"> Kurowska et al. 2020) indicates that the 2008 reform significantly weakened land protection mechanisms by exempting urban land and infrastructure projects from </w:t>
      </w:r>
      <w:r w:rsidR="00F50E05" w:rsidRPr="00F65288">
        <w:rPr>
          <w:rFonts w:ascii="Times New Roman" w:hAnsi="Times New Roman" w:cs="Times New Roman"/>
          <w:lang w:val="en-GB"/>
        </w:rPr>
        <w:t xml:space="preserve">the requirement to obtain a conversion permit. </w:t>
      </w:r>
      <w:r w:rsidR="00663A08" w:rsidRPr="00F65288">
        <w:rPr>
          <w:rFonts w:ascii="Times New Roman" w:hAnsi="Times New Roman" w:cs="Times New Roman"/>
          <w:lang w:val="en-GB"/>
        </w:rPr>
        <w:t>The trends in agricultural land conversion</w:t>
      </w:r>
      <w:r w:rsidR="00F50E05" w:rsidRPr="00F65288">
        <w:rPr>
          <w:rFonts w:ascii="Times New Roman" w:hAnsi="Times New Roman" w:cs="Times New Roman"/>
          <w:lang w:val="en-GB"/>
        </w:rPr>
        <w:t xml:space="preserve"> in the examined period are presented in Figure 3.</w:t>
      </w:r>
    </w:p>
    <w:p w14:paraId="00F2C27A" w14:textId="77777777" w:rsidR="0001206D" w:rsidRPr="00F65288" w:rsidRDefault="0001206D" w:rsidP="002C46A0">
      <w:pPr>
        <w:spacing w:line="360" w:lineRule="auto"/>
        <w:rPr>
          <w:rFonts w:ascii="Times New Roman" w:hAnsi="Times New Roman" w:cs="Times New Roman"/>
          <w:lang w:val="en-GB"/>
        </w:rPr>
      </w:pPr>
    </w:p>
    <w:p w14:paraId="23A26415" w14:textId="2EFFFEE9" w:rsidR="0001206D" w:rsidRPr="00F65288" w:rsidRDefault="00482051" w:rsidP="002C46A0">
      <w:pPr>
        <w:spacing w:line="360" w:lineRule="auto"/>
        <w:rPr>
          <w:rFonts w:ascii="Times New Roman" w:hAnsi="Times New Roman" w:cs="Times New Roman"/>
          <w:lang w:val="en-GB"/>
        </w:rPr>
      </w:pPr>
      <w:r w:rsidRPr="00F65288">
        <w:rPr>
          <w:rFonts w:ascii="Times New Roman" w:hAnsi="Times New Roman" w:cs="Times New Roman"/>
          <w:noProof/>
          <w:lang w:val="en-GB"/>
        </w:rPr>
        <w:drawing>
          <wp:inline distT="0" distB="0" distL="0" distR="0" wp14:anchorId="2DE30BAF" wp14:editId="3BE3BCC0">
            <wp:extent cx="5648325" cy="2833687"/>
            <wp:effectExtent l="0" t="0" r="9525" b="5080"/>
            <wp:docPr id="2074971900" name="Wykres 1">
              <a:extLst xmlns:a="http://schemas.openxmlformats.org/drawingml/2006/main">
                <a:ext uri="{FF2B5EF4-FFF2-40B4-BE49-F238E27FC236}">
                  <a16:creationId xmlns:a16="http://schemas.microsoft.com/office/drawing/2014/main" id="{9389A957-B74E-DEF4-395F-CF345C91EA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F6371B1" w14:textId="0C318616" w:rsidR="00F50E05" w:rsidRPr="00F65288" w:rsidRDefault="00F50E05" w:rsidP="00CC75C2">
      <w:pPr>
        <w:pStyle w:val="Rrys"/>
        <w:rPr>
          <w:lang w:val="en-GB"/>
        </w:rPr>
      </w:pPr>
      <w:r w:rsidRPr="00F65288">
        <w:rPr>
          <w:b/>
          <w:lang w:val="en-GB"/>
        </w:rPr>
        <w:t>Fig</w:t>
      </w:r>
      <w:r w:rsidR="00CC75C2">
        <w:rPr>
          <w:b/>
          <w:lang w:val="en-GB"/>
        </w:rPr>
        <w:t>.</w:t>
      </w:r>
      <w:r w:rsidR="00482051" w:rsidRPr="00F65288">
        <w:rPr>
          <w:b/>
          <w:lang w:val="en-GB"/>
        </w:rPr>
        <w:t xml:space="preserve"> 3</w:t>
      </w:r>
      <w:r w:rsidR="00CC75C2">
        <w:rPr>
          <w:b/>
          <w:lang w:val="en-GB"/>
        </w:rPr>
        <w:t>.</w:t>
      </w:r>
      <w:r w:rsidR="00482051" w:rsidRPr="00F65288">
        <w:rPr>
          <w:lang w:val="en-GB"/>
        </w:rPr>
        <w:t xml:space="preserve"> </w:t>
      </w:r>
      <w:r w:rsidRPr="00F65288">
        <w:rPr>
          <w:lang w:val="en-GB"/>
        </w:rPr>
        <w:t xml:space="preserve">Trends in </w:t>
      </w:r>
      <w:r w:rsidR="007456EF" w:rsidRPr="00F65288">
        <w:rPr>
          <w:lang w:val="en-GB"/>
        </w:rPr>
        <w:t>agricultural land conversion in Poland</w:t>
      </w:r>
      <w:r w:rsidRPr="00F65288">
        <w:rPr>
          <w:lang w:val="en-GB"/>
        </w:rPr>
        <w:t xml:space="preserve"> between 2003 and 2024 (as at 2025)</w:t>
      </w:r>
    </w:p>
    <w:p w14:paraId="6E30D3E6" w14:textId="77777777" w:rsidR="00CC75C2" w:rsidRDefault="00CC75C2" w:rsidP="004B25BD">
      <w:pPr>
        <w:rPr>
          <w:rFonts w:ascii="Times New Roman" w:hAnsi="Times New Roman" w:cs="Times New Roman"/>
          <w:lang w:val="en-GB"/>
        </w:rPr>
      </w:pPr>
    </w:p>
    <w:p w14:paraId="0C248199" w14:textId="62F1B81B" w:rsidR="00F50E05" w:rsidRPr="00F65288" w:rsidRDefault="00F50E05" w:rsidP="004B25BD">
      <w:pPr>
        <w:rPr>
          <w:rFonts w:ascii="Times New Roman" w:hAnsi="Times New Roman" w:cs="Times New Roman"/>
          <w:lang w:val="en-GB"/>
        </w:rPr>
      </w:pPr>
      <w:r w:rsidRPr="00F65288">
        <w:rPr>
          <w:rFonts w:ascii="Times New Roman" w:hAnsi="Times New Roman" w:cs="Times New Roman"/>
          <w:lang w:val="en-GB"/>
        </w:rPr>
        <w:t xml:space="preserve">During the study period,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was converted </w:t>
      </w:r>
      <w:r w:rsidR="00F20244" w:rsidRPr="00F65288">
        <w:rPr>
          <w:rFonts w:ascii="Times New Roman" w:hAnsi="Times New Roman" w:cs="Times New Roman"/>
          <w:lang w:val="en-GB"/>
        </w:rPr>
        <w:t>mainly</w:t>
      </w:r>
      <w:r w:rsidRPr="00F65288">
        <w:rPr>
          <w:rFonts w:ascii="Times New Roman" w:hAnsi="Times New Roman" w:cs="Times New Roman"/>
          <w:lang w:val="en-GB"/>
        </w:rPr>
        <w:t xml:space="preserve"> to residential use. The share of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w:t>
      </w:r>
      <w:r w:rsidR="007456EF" w:rsidRPr="00F65288">
        <w:rPr>
          <w:rFonts w:ascii="Times New Roman" w:hAnsi="Times New Roman" w:cs="Times New Roman"/>
          <w:lang w:val="en-GB"/>
        </w:rPr>
        <w:t>designated</w:t>
      </w:r>
      <w:r w:rsidR="00F20244" w:rsidRPr="00F65288">
        <w:rPr>
          <w:rFonts w:ascii="Times New Roman" w:hAnsi="Times New Roman" w:cs="Times New Roman"/>
          <w:lang w:val="en-GB"/>
        </w:rPr>
        <w:t xml:space="preserve"> for residential purposes ranged from 36.8% to 55.9%, peaking in 2018 at 55.9%. The share of </w:t>
      </w:r>
      <w:r w:rsidR="00293C0D" w:rsidRPr="00F65288">
        <w:rPr>
          <w:rFonts w:ascii="Times New Roman" w:hAnsi="Times New Roman" w:cs="Times New Roman"/>
          <w:lang w:val="en-GB"/>
        </w:rPr>
        <w:t>agricultural land</w:t>
      </w:r>
      <w:r w:rsidR="00F20244" w:rsidRPr="00F65288">
        <w:rPr>
          <w:rFonts w:ascii="Times New Roman" w:hAnsi="Times New Roman" w:cs="Times New Roman"/>
          <w:lang w:val="en-GB"/>
        </w:rPr>
        <w:t xml:space="preserve"> converted to industrial use also increased in the </w:t>
      </w:r>
      <w:proofErr w:type="spellStart"/>
      <w:r w:rsidR="00F20244" w:rsidRPr="00F65288">
        <w:rPr>
          <w:rFonts w:ascii="Times New Roman" w:hAnsi="Times New Roman" w:cs="Times New Roman"/>
          <w:lang w:val="en-GB"/>
        </w:rPr>
        <w:t>analyzed</w:t>
      </w:r>
      <w:proofErr w:type="spellEnd"/>
      <w:r w:rsidR="00F20244" w:rsidRPr="00F65288">
        <w:rPr>
          <w:rFonts w:ascii="Times New Roman" w:hAnsi="Times New Roman" w:cs="Times New Roman"/>
          <w:lang w:val="en-GB"/>
        </w:rPr>
        <w:t xml:space="preserve"> period, reaching 32.7% in 2024 (Fig. 3). </w:t>
      </w:r>
    </w:p>
    <w:p w14:paraId="577323BD" w14:textId="082AAF8D" w:rsidR="00F50E05" w:rsidRDefault="00F20244" w:rsidP="00CC75C2">
      <w:pPr>
        <w:rPr>
          <w:rFonts w:ascii="Times New Roman" w:hAnsi="Times New Roman" w:cs="Times New Roman"/>
          <w:lang w:val="en-GB"/>
        </w:rPr>
      </w:pPr>
      <w:r w:rsidRPr="00F65288">
        <w:rPr>
          <w:rFonts w:ascii="Times New Roman" w:hAnsi="Times New Roman" w:cs="Times New Roman"/>
          <w:lang w:val="en-GB"/>
        </w:rPr>
        <w:t xml:space="preserve">These trends clearly </w:t>
      </w:r>
      <w:r w:rsidR="004A67C8">
        <w:rPr>
          <w:rFonts w:ascii="Times New Roman" w:hAnsi="Times New Roman" w:cs="Times New Roman"/>
          <w:lang w:val="en-GB"/>
        </w:rPr>
        <w:t>indicate a rise in development pressure, particular</w:t>
      </w:r>
      <w:r w:rsidR="007456EF" w:rsidRPr="00F65288">
        <w:rPr>
          <w:rFonts w:ascii="Times New Roman" w:hAnsi="Times New Roman" w:cs="Times New Roman"/>
          <w:lang w:val="en-GB"/>
        </w:rPr>
        <w:t>ly</w:t>
      </w:r>
      <w:r w:rsidRPr="00F65288">
        <w:rPr>
          <w:rFonts w:ascii="Times New Roman" w:hAnsi="Times New Roman" w:cs="Times New Roman"/>
          <w:lang w:val="en-GB"/>
        </w:rPr>
        <w:t xml:space="preserve"> in the residential and industrial sectors.</w:t>
      </w:r>
      <w:r w:rsidR="00B76C68" w:rsidRPr="00F65288">
        <w:rPr>
          <w:rFonts w:ascii="Times New Roman" w:hAnsi="Times New Roman" w:cs="Times New Roman"/>
          <w:lang w:val="en-GB"/>
        </w:rPr>
        <w:t xml:space="preserve"> The percentage of </w:t>
      </w:r>
      <w:r w:rsidR="007D25BD" w:rsidRPr="00F65288">
        <w:rPr>
          <w:rFonts w:ascii="Times New Roman" w:hAnsi="Times New Roman" w:cs="Times New Roman"/>
          <w:lang w:val="en-GB"/>
        </w:rPr>
        <w:t xml:space="preserve">agricultural </w:t>
      </w:r>
      <w:r w:rsidR="00B76C68" w:rsidRPr="00F65288">
        <w:rPr>
          <w:rFonts w:ascii="Times New Roman" w:hAnsi="Times New Roman" w:cs="Times New Roman"/>
          <w:lang w:val="en-GB"/>
        </w:rPr>
        <w:t xml:space="preserve">land of different soil quality classes that was permanently </w:t>
      </w:r>
      <w:r w:rsidR="007D25BD" w:rsidRPr="00F65288">
        <w:rPr>
          <w:rFonts w:ascii="Times New Roman" w:hAnsi="Times New Roman" w:cs="Times New Roman"/>
          <w:lang w:val="en-GB"/>
        </w:rPr>
        <w:t xml:space="preserve">taken out of </w:t>
      </w:r>
      <w:r w:rsidR="00B76C68" w:rsidRPr="00F65288">
        <w:rPr>
          <w:rFonts w:ascii="Times New Roman" w:hAnsi="Times New Roman" w:cs="Times New Roman"/>
          <w:lang w:val="en-GB"/>
        </w:rPr>
        <w:t>production during the study period (2003-2023) is shown in Figure 4.</w:t>
      </w:r>
    </w:p>
    <w:p w14:paraId="7CA88BEE" w14:textId="77777777" w:rsidR="00CC75C2" w:rsidRPr="00F65288" w:rsidRDefault="00CC75C2" w:rsidP="00CC75C2">
      <w:pPr>
        <w:rPr>
          <w:rFonts w:ascii="Times New Roman" w:hAnsi="Times New Roman" w:cs="Times New Roman"/>
          <w:lang w:val="en-GB"/>
        </w:rPr>
      </w:pPr>
    </w:p>
    <w:p w14:paraId="33283B5F" w14:textId="1DEA6353" w:rsidR="00C475EF" w:rsidRPr="00F65288" w:rsidRDefault="00CE3DDE" w:rsidP="00B30E1B">
      <w:pPr>
        <w:ind w:firstLine="0"/>
        <w:jc w:val="center"/>
        <w:rPr>
          <w:rFonts w:ascii="Times New Roman" w:hAnsi="Times New Roman" w:cs="Times New Roman"/>
          <w:lang w:val="en-GB"/>
        </w:rPr>
      </w:pPr>
      <w:r w:rsidRPr="00F65288">
        <w:rPr>
          <w:rFonts w:ascii="Times New Roman" w:hAnsi="Times New Roman" w:cs="Times New Roman"/>
          <w:noProof/>
          <w:lang w:val="en-GB"/>
        </w:rPr>
        <w:lastRenderedPageBreak/>
        <w:drawing>
          <wp:inline distT="0" distB="0" distL="0" distR="0" wp14:anchorId="2BF22753" wp14:editId="0DF87B2C">
            <wp:extent cx="5342467" cy="3074793"/>
            <wp:effectExtent l="0" t="0" r="0" b="0"/>
            <wp:docPr id="211632079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3376" cy="3115604"/>
                    </a:xfrm>
                    <a:prstGeom prst="rect">
                      <a:avLst/>
                    </a:prstGeom>
                    <a:noFill/>
                  </pic:spPr>
                </pic:pic>
              </a:graphicData>
            </a:graphic>
          </wp:inline>
        </w:drawing>
      </w:r>
    </w:p>
    <w:p w14:paraId="2E5CA0A0" w14:textId="299D8FD3" w:rsidR="00B76C68" w:rsidRPr="00F65288" w:rsidRDefault="00C475EF" w:rsidP="00CC75C2">
      <w:pPr>
        <w:pStyle w:val="Rrys"/>
        <w:rPr>
          <w:lang w:val="en-GB"/>
        </w:rPr>
      </w:pPr>
      <w:r w:rsidRPr="00F65288">
        <w:rPr>
          <w:b/>
          <w:bCs/>
          <w:lang w:val="en-GB"/>
        </w:rPr>
        <w:t>Fi</w:t>
      </w:r>
      <w:r w:rsidR="00B76C68" w:rsidRPr="00F65288">
        <w:rPr>
          <w:b/>
          <w:bCs/>
          <w:lang w:val="en-GB"/>
        </w:rPr>
        <w:t>g</w:t>
      </w:r>
      <w:r w:rsidR="00CC75C2">
        <w:rPr>
          <w:b/>
          <w:bCs/>
          <w:lang w:val="en-GB"/>
        </w:rPr>
        <w:t>.</w:t>
      </w:r>
      <w:r w:rsidR="004D2A1B" w:rsidRPr="00F65288">
        <w:rPr>
          <w:b/>
          <w:bCs/>
          <w:lang w:val="en-GB"/>
        </w:rPr>
        <w:t xml:space="preserve"> 4.</w:t>
      </w:r>
      <w:r w:rsidR="004D2A1B" w:rsidRPr="00F65288">
        <w:rPr>
          <w:lang w:val="en-GB"/>
        </w:rPr>
        <w:t xml:space="preserve"> </w:t>
      </w:r>
      <w:r w:rsidR="00B76C68" w:rsidRPr="00F65288">
        <w:rPr>
          <w:lang w:val="en-GB"/>
        </w:rPr>
        <w:t xml:space="preserve">The percentage share of </w:t>
      </w:r>
      <w:r w:rsidR="00A955E4" w:rsidRPr="00F65288">
        <w:rPr>
          <w:lang w:val="en-GB"/>
        </w:rPr>
        <w:t xml:space="preserve">agricultural land </w:t>
      </w:r>
      <w:r w:rsidR="00B76C68" w:rsidRPr="00F65288">
        <w:rPr>
          <w:lang w:val="en-GB"/>
        </w:rPr>
        <w:t xml:space="preserve">characterized by different soil types and soil quality </w:t>
      </w:r>
      <w:r w:rsidR="007456EF" w:rsidRPr="00F65288">
        <w:rPr>
          <w:lang w:val="en-GB"/>
        </w:rPr>
        <w:t xml:space="preserve">classes </w:t>
      </w:r>
      <w:r w:rsidR="00B76C68" w:rsidRPr="00F65288">
        <w:rPr>
          <w:lang w:val="en-GB"/>
        </w:rPr>
        <w:t xml:space="preserve">that was </w:t>
      </w:r>
      <w:r w:rsidR="00420BE3" w:rsidRPr="00F65288">
        <w:rPr>
          <w:lang w:val="en-GB"/>
        </w:rPr>
        <w:t xml:space="preserve">taken out of </w:t>
      </w:r>
      <w:r w:rsidR="00B76C68" w:rsidRPr="00F65288">
        <w:rPr>
          <w:lang w:val="en-GB"/>
        </w:rPr>
        <w:t>production in Poland between 2003 and 2023 (as at 2025)</w:t>
      </w:r>
      <w:r w:rsidR="004B25BD" w:rsidRPr="00F65288">
        <w:rPr>
          <w:lang w:val="en-GB"/>
        </w:rPr>
        <w:t xml:space="preserve"> </w:t>
      </w:r>
      <w:r w:rsidR="00CE3DDE" w:rsidRPr="00F65288">
        <w:rPr>
          <w:lang w:val="en-GB"/>
        </w:rPr>
        <w:t>(</w:t>
      </w:r>
      <w:r w:rsidR="004B25BD" w:rsidRPr="00F65288">
        <w:rPr>
          <w:lang w:val="en-GB"/>
        </w:rPr>
        <w:t>Statistics Poland</w:t>
      </w:r>
      <w:r w:rsidR="00CE3DDE" w:rsidRPr="00F65288">
        <w:rPr>
          <w:lang w:val="en-GB"/>
        </w:rPr>
        <w:t>)</w:t>
      </w:r>
    </w:p>
    <w:p w14:paraId="3951A455" w14:textId="77777777" w:rsidR="00B76C68" w:rsidRPr="00F65288" w:rsidRDefault="00B76C68" w:rsidP="00CC75C2">
      <w:pPr>
        <w:rPr>
          <w:rFonts w:ascii="Times New Roman" w:hAnsi="Times New Roman" w:cs="Times New Roman"/>
          <w:lang w:val="en-GB"/>
        </w:rPr>
      </w:pPr>
    </w:p>
    <w:p w14:paraId="616197F9" w14:textId="776CA90B" w:rsidR="00B76C68" w:rsidRPr="00F65288" w:rsidRDefault="00B76C68" w:rsidP="00CC75C2">
      <w:pPr>
        <w:rPr>
          <w:rFonts w:ascii="Times New Roman" w:hAnsi="Times New Roman" w:cs="Times New Roman"/>
          <w:lang w:val="en-GB"/>
        </w:rPr>
      </w:pPr>
      <w:r w:rsidRPr="00F65288">
        <w:rPr>
          <w:rFonts w:ascii="Times New Roman" w:hAnsi="Times New Roman" w:cs="Times New Roman"/>
          <w:lang w:val="en-GB"/>
        </w:rPr>
        <w:t xml:space="preserve">The majority of </w:t>
      </w:r>
      <w:r w:rsidR="00293C0D" w:rsidRPr="00F65288">
        <w:rPr>
          <w:rFonts w:ascii="Times New Roman" w:hAnsi="Times New Roman" w:cs="Times New Roman"/>
          <w:lang w:val="en-GB"/>
        </w:rPr>
        <w:t>agricultural land</w:t>
      </w:r>
      <w:r w:rsidR="004D0A17" w:rsidRPr="00F65288">
        <w:rPr>
          <w:rFonts w:ascii="Times New Roman" w:hAnsi="Times New Roman" w:cs="Times New Roman"/>
          <w:lang w:val="en-GB"/>
        </w:rPr>
        <w:t>s</w:t>
      </w:r>
      <w:r w:rsidRPr="00F65288">
        <w:rPr>
          <w:rFonts w:ascii="Times New Roman" w:hAnsi="Times New Roman" w:cs="Times New Roman"/>
          <w:lang w:val="en-GB"/>
        </w:rPr>
        <w:t xml:space="preserve"> converted to non-agricultural use in the </w:t>
      </w:r>
      <w:proofErr w:type="spellStart"/>
      <w:r w:rsidRPr="00F65288">
        <w:rPr>
          <w:rFonts w:ascii="Times New Roman" w:hAnsi="Times New Roman" w:cs="Times New Roman"/>
          <w:lang w:val="en-GB"/>
        </w:rPr>
        <w:t>analyzed</w:t>
      </w:r>
      <w:proofErr w:type="spellEnd"/>
      <w:r w:rsidRPr="00F65288">
        <w:rPr>
          <w:rFonts w:ascii="Times New Roman" w:hAnsi="Times New Roman" w:cs="Times New Roman"/>
          <w:lang w:val="en-GB"/>
        </w:rPr>
        <w:t xml:space="preserve"> period </w:t>
      </w:r>
      <w:r w:rsidR="007456EF" w:rsidRPr="00F65288">
        <w:rPr>
          <w:rFonts w:ascii="Times New Roman" w:hAnsi="Times New Roman" w:cs="Times New Roman"/>
          <w:lang w:val="en-GB"/>
        </w:rPr>
        <w:t>were</w:t>
      </w:r>
      <w:r w:rsidR="004D34F4" w:rsidRPr="00F65288">
        <w:rPr>
          <w:rFonts w:ascii="Times New Roman" w:hAnsi="Times New Roman" w:cs="Times New Roman"/>
          <w:lang w:val="en-GB"/>
        </w:rPr>
        <w:t xml:space="preserve"> mineral soils of quality class III. These soils accounted for a</w:t>
      </w:r>
      <w:r w:rsidR="004D0A17" w:rsidRPr="00F65288">
        <w:rPr>
          <w:rFonts w:ascii="Times New Roman" w:hAnsi="Times New Roman" w:cs="Times New Roman"/>
          <w:lang w:val="en-GB"/>
        </w:rPr>
        <w:t>pproximately</w:t>
      </w:r>
      <w:r w:rsidR="004D34F4" w:rsidRPr="00F65288">
        <w:rPr>
          <w:rFonts w:ascii="Times New Roman" w:hAnsi="Times New Roman" w:cs="Times New Roman"/>
          <w:lang w:val="en-GB"/>
        </w:rPr>
        <w:t xml:space="preserve"> 41% to 56% of all </w:t>
      </w:r>
      <w:r w:rsidR="00293C0D" w:rsidRPr="00F65288">
        <w:rPr>
          <w:rFonts w:ascii="Times New Roman" w:hAnsi="Times New Roman" w:cs="Times New Roman"/>
          <w:lang w:val="en-GB"/>
        </w:rPr>
        <w:t>agricultural land</w:t>
      </w:r>
      <w:r w:rsidR="004D34F4" w:rsidRPr="00F65288">
        <w:rPr>
          <w:rFonts w:ascii="Times New Roman" w:hAnsi="Times New Roman" w:cs="Times New Roman"/>
          <w:lang w:val="en-GB"/>
        </w:rPr>
        <w:t xml:space="preserve"> conversions, and their share was particularly high after 2010, which could suggest that th</w:t>
      </w:r>
      <w:r w:rsidR="004D0A17" w:rsidRPr="00F65288">
        <w:rPr>
          <w:rFonts w:ascii="Times New Roman" w:hAnsi="Times New Roman" w:cs="Times New Roman"/>
          <w:lang w:val="en-GB"/>
        </w:rPr>
        <w:t>is</w:t>
      </w:r>
      <w:r w:rsidR="004D34F4" w:rsidRPr="00F65288">
        <w:rPr>
          <w:rFonts w:ascii="Times New Roman" w:hAnsi="Times New Roman" w:cs="Times New Roman"/>
          <w:lang w:val="en-GB"/>
        </w:rPr>
        <w:t xml:space="preserve"> </w:t>
      </w:r>
      <w:r w:rsidR="007456EF" w:rsidRPr="00F65288">
        <w:rPr>
          <w:rFonts w:ascii="Times New Roman" w:hAnsi="Times New Roman" w:cs="Times New Roman"/>
          <w:lang w:val="en-GB"/>
        </w:rPr>
        <w:t>categor</w:t>
      </w:r>
      <w:r w:rsidR="004D0A17" w:rsidRPr="00F65288">
        <w:rPr>
          <w:rFonts w:ascii="Times New Roman" w:hAnsi="Times New Roman" w:cs="Times New Roman"/>
          <w:lang w:val="en-GB"/>
        </w:rPr>
        <w:t>y</w:t>
      </w:r>
      <w:r w:rsidR="004D34F4" w:rsidRPr="00F65288">
        <w:rPr>
          <w:rFonts w:ascii="Times New Roman" w:hAnsi="Times New Roman" w:cs="Times New Roman"/>
          <w:lang w:val="en-GB"/>
        </w:rPr>
        <w:t xml:space="preserve"> of </w:t>
      </w:r>
      <w:r w:rsidR="00293C0D" w:rsidRPr="00F65288">
        <w:rPr>
          <w:rFonts w:ascii="Times New Roman" w:hAnsi="Times New Roman" w:cs="Times New Roman"/>
          <w:lang w:val="en-GB"/>
        </w:rPr>
        <w:t>agricultural land</w:t>
      </w:r>
      <w:r w:rsidR="004D34F4" w:rsidRPr="00F65288">
        <w:rPr>
          <w:rFonts w:ascii="Times New Roman" w:hAnsi="Times New Roman" w:cs="Times New Roman"/>
          <w:lang w:val="en-GB"/>
        </w:rPr>
        <w:t xml:space="preserve"> w</w:t>
      </w:r>
      <w:r w:rsidR="004D0A17" w:rsidRPr="00F65288">
        <w:rPr>
          <w:rFonts w:ascii="Times New Roman" w:hAnsi="Times New Roman" w:cs="Times New Roman"/>
          <w:lang w:val="en-GB"/>
        </w:rPr>
        <w:t>as</w:t>
      </w:r>
      <w:r w:rsidR="004D34F4" w:rsidRPr="00F65288">
        <w:rPr>
          <w:rFonts w:ascii="Times New Roman" w:hAnsi="Times New Roman" w:cs="Times New Roman"/>
          <w:lang w:val="en-GB"/>
        </w:rPr>
        <w:t xml:space="preserve"> particularly susceptible to </w:t>
      </w:r>
      <w:r w:rsidR="002653BA" w:rsidRPr="00F65288">
        <w:rPr>
          <w:rFonts w:ascii="Times New Roman" w:hAnsi="Times New Roman" w:cs="Times New Roman"/>
          <w:lang w:val="en-GB"/>
        </w:rPr>
        <w:t xml:space="preserve">development </w:t>
      </w:r>
      <w:r w:rsidR="004D34F4" w:rsidRPr="00F65288">
        <w:rPr>
          <w:rFonts w:ascii="Times New Roman" w:hAnsi="Times New Roman" w:cs="Times New Roman"/>
          <w:lang w:val="en-GB"/>
        </w:rPr>
        <w:t>pressure</w:t>
      </w:r>
      <w:r w:rsidR="002653BA" w:rsidRPr="00F65288">
        <w:rPr>
          <w:rFonts w:ascii="Times New Roman" w:hAnsi="Times New Roman" w:cs="Times New Roman"/>
          <w:lang w:val="en-GB"/>
        </w:rPr>
        <w:t>s</w:t>
      </w:r>
      <w:r w:rsidR="004D0A17" w:rsidRPr="00F65288">
        <w:rPr>
          <w:rFonts w:ascii="Times New Roman" w:hAnsi="Times New Roman" w:cs="Times New Roman"/>
          <w:lang w:val="en-GB"/>
        </w:rPr>
        <w:t xml:space="preserve"> due to </w:t>
      </w:r>
      <w:r w:rsidR="004D34F4" w:rsidRPr="00F65288">
        <w:rPr>
          <w:rFonts w:ascii="Times New Roman" w:hAnsi="Times New Roman" w:cs="Times New Roman"/>
          <w:lang w:val="en-GB"/>
        </w:rPr>
        <w:t xml:space="preserve">residential, industrial, and logistic </w:t>
      </w:r>
      <w:r w:rsidR="002653BA" w:rsidRPr="00F65288">
        <w:rPr>
          <w:rFonts w:ascii="Times New Roman" w:hAnsi="Times New Roman" w:cs="Times New Roman"/>
          <w:lang w:val="en-GB"/>
        </w:rPr>
        <w:t>projects</w:t>
      </w:r>
      <w:r w:rsidR="004D34F4" w:rsidRPr="00F65288">
        <w:rPr>
          <w:rFonts w:ascii="Times New Roman" w:hAnsi="Times New Roman" w:cs="Times New Roman"/>
          <w:lang w:val="en-GB"/>
        </w:rPr>
        <w:t xml:space="preserve">. </w:t>
      </w:r>
      <w:r w:rsidR="002653BA" w:rsidRPr="00F65288">
        <w:rPr>
          <w:rFonts w:ascii="Times New Roman" w:hAnsi="Times New Roman" w:cs="Times New Roman"/>
          <w:lang w:val="en-GB"/>
        </w:rPr>
        <w:t xml:space="preserve">The high </w:t>
      </w:r>
      <w:r w:rsidR="007456EF" w:rsidRPr="00F65288">
        <w:rPr>
          <w:rFonts w:ascii="Times New Roman" w:hAnsi="Times New Roman" w:cs="Times New Roman"/>
          <w:lang w:val="en-GB"/>
        </w:rPr>
        <w:t>quality</w:t>
      </w:r>
      <w:r w:rsidR="002653BA" w:rsidRPr="00F65288">
        <w:rPr>
          <w:rFonts w:ascii="Times New Roman" w:hAnsi="Times New Roman" w:cs="Times New Roman"/>
          <w:lang w:val="en-GB"/>
        </w:rPr>
        <w:t xml:space="preserve"> of converted </w:t>
      </w:r>
      <w:r w:rsidR="00293C0D" w:rsidRPr="00F65288">
        <w:rPr>
          <w:rFonts w:ascii="Times New Roman" w:hAnsi="Times New Roman" w:cs="Times New Roman"/>
          <w:lang w:val="en-GB"/>
        </w:rPr>
        <w:t>agricultural land</w:t>
      </w:r>
      <w:r w:rsidR="002653BA" w:rsidRPr="00F65288">
        <w:rPr>
          <w:rFonts w:ascii="Times New Roman" w:hAnsi="Times New Roman" w:cs="Times New Roman"/>
          <w:lang w:val="en-GB"/>
        </w:rPr>
        <w:t xml:space="preserve"> </w:t>
      </w:r>
      <w:r w:rsidR="004A67C8">
        <w:rPr>
          <w:rFonts w:ascii="Times New Roman" w:hAnsi="Times New Roman" w:cs="Times New Roman"/>
          <w:lang w:val="en-GB"/>
        </w:rPr>
        <w:t>suggests that existing mechanisms are failing</w:t>
      </w:r>
      <w:r w:rsidR="002653BA" w:rsidRPr="00F65288">
        <w:rPr>
          <w:rFonts w:ascii="Times New Roman" w:hAnsi="Times New Roman" w:cs="Times New Roman"/>
          <w:lang w:val="en-GB"/>
        </w:rPr>
        <w:t xml:space="preserve"> to provide effective protection for land with high productive capacity.</w:t>
      </w:r>
    </w:p>
    <w:p w14:paraId="21627A1B" w14:textId="3C54F622" w:rsidR="004B7A2B" w:rsidRPr="00F65288" w:rsidRDefault="004B7A2B" w:rsidP="00367C5A">
      <w:pPr>
        <w:rPr>
          <w:rFonts w:ascii="Times New Roman" w:hAnsi="Times New Roman" w:cs="Times New Roman"/>
          <w:lang w:val="en-GB"/>
        </w:rPr>
      </w:pPr>
      <w:r w:rsidRPr="00F65288">
        <w:rPr>
          <w:rFonts w:ascii="Times New Roman" w:hAnsi="Times New Roman" w:cs="Times New Roman"/>
          <w:lang w:val="en-GB"/>
        </w:rPr>
        <w:t xml:space="preserve">Mineral soils of quality class IV were the second most frequently converted </w:t>
      </w:r>
      <w:r w:rsidR="007456EF" w:rsidRPr="00F65288">
        <w:rPr>
          <w:rFonts w:ascii="Times New Roman" w:hAnsi="Times New Roman" w:cs="Times New Roman"/>
          <w:lang w:val="en-GB"/>
        </w:rPr>
        <w:t>category</w:t>
      </w:r>
      <w:r w:rsidRPr="00F65288">
        <w:rPr>
          <w:rFonts w:ascii="Times New Roman" w:hAnsi="Times New Roman" w:cs="Times New Roman"/>
          <w:lang w:val="en-GB"/>
        </w:rPr>
        <w:t xml:space="preserve"> of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The proportion of these soils in all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conversions remained </w:t>
      </w:r>
      <w:r w:rsidR="004A67C8">
        <w:rPr>
          <w:rFonts w:ascii="Times New Roman" w:hAnsi="Times New Roman" w:cs="Times New Roman"/>
          <w:lang w:val="en-GB"/>
        </w:rPr>
        <w:t>relative</w:t>
      </w:r>
      <w:r w:rsidRPr="00F65288">
        <w:rPr>
          <w:rFonts w:ascii="Times New Roman" w:hAnsi="Times New Roman" w:cs="Times New Roman"/>
          <w:lang w:val="en-GB"/>
        </w:rPr>
        <w:t xml:space="preserve">ly stable during the study period (27-42%), and it clearly decreased </w:t>
      </w:r>
      <w:r w:rsidR="004A67C8">
        <w:rPr>
          <w:rFonts w:ascii="Times New Roman" w:hAnsi="Times New Roman" w:cs="Times New Roman"/>
          <w:lang w:val="en-GB"/>
        </w:rPr>
        <w:t>from</w:t>
      </w:r>
      <w:r w:rsidRPr="00F65288">
        <w:rPr>
          <w:rFonts w:ascii="Times New Roman" w:hAnsi="Times New Roman" w:cs="Times New Roman"/>
          <w:lang w:val="en-GB"/>
        </w:rPr>
        <w:t xml:space="preserve"> 2010</w:t>
      </w:r>
      <w:r w:rsidR="004A67C8">
        <w:rPr>
          <w:rFonts w:ascii="Times New Roman" w:hAnsi="Times New Roman" w:cs="Times New Roman"/>
          <w:lang w:val="en-GB"/>
        </w:rPr>
        <w:t xml:space="preserve"> to </w:t>
      </w:r>
      <w:r w:rsidRPr="00F65288">
        <w:rPr>
          <w:rFonts w:ascii="Times New Roman" w:hAnsi="Times New Roman" w:cs="Times New Roman"/>
          <w:lang w:val="en-GB"/>
        </w:rPr>
        <w:t xml:space="preserve">2016. A rising trend was </w:t>
      </w:r>
      <w:r w:rsidR="00935CA3" w:rsidRPr="00F65288">
        <w:rPr>
          <w:rFonts w:ascii="Times New Roman" w:hAnsi="Times New Roman" w:cs="Times New Roman"/>
          <w:lang w:val="en-GB"/>
        </w:rPr>
        <w:t>observed after 2016, which could indicate that development pressure shifted to</w:t>
      </w:r>
      <w:r w:rsidR="00BA1E45" w:rsidRPr="00F65288">
        <w:rPr>
          <w:rFonts w:ascii="Times New Roman" w:hAnsi="Times New Roman" w:cs="Times New Roman"/>
          <w:lang w:val="en-GB"/>
        </w:rPr>
        <w:t>wards</w:t>
      </w:r>
      <w:r w:rsidR="00935CA3" w:rsidRPr="00F65288">
        <w:rPr>
          <w:rFonts w:ascii="Times New Roman" w:hAnsi="Times New Roman" w:cs="Times New Roman"/>
          <w:lang w:val="en-GB"/>
        </w:rPr>
        <w:t xml:space="preserve"> lower-quality </w:t>
      </w:r>
      <w:r w:rsidR="00293C0D" w:rsidRPr="00F65288">
        <w:rPr>
          <w:rFonts w:ascii="Times New Roman" w:hAnsi="Times New Roman" w:cs="Times New Roman"/>
          <w:lang w:val="en-GB"/>
        </w:rPr>
        <w:t>agricultural land</w:t>
      </w:r>
      <w:r w:rsidR="00935CA3" w:rsidRPr="00F65288">
        <w:rPr>
          <w:rFonts w:ascii="Times New Roman" w:hAnsi="Times New Roman" w:cs="Times New Roman"/>
          <w:lang w:val="en-GB"/>
        </w:rPr>
        <w:t>, possibly due to local planning regulations or the depletion of more attractive resources.</w:t>
      </w:r>
    </w:p>
    <w:p w14:paraId="5291E87F" w14:textId="02AB0838" w:rsidR="00DC5D2E" w:rsidRPr="00F65288" w:rsidRDefault="00BA1E45" w:rsidP="00DC5D2E">
      <w:pPr>
        <w:rPr>
          <w:rFonts w:ascii="Times New Roman" w:hAnsi="Times New Roman" w:cs="Times New Roman"/>
          <w:lang w:val="en-GB"/>
        </w:rPr>
      </w:pPr>
      <w:r w:rsidRPr="00F65288">
        <w:rPr>
          <w:rFonts w:ascii="Times New Roman" w:hAnsi="Times New Roman" w:cs="Times New Roman"/>
          <w:lang w:val="en-GB"/>
        </w:rPr>
        <w:t xml:space="preserve">The proportion of mineral soils </w:t>
      </w:r>
      <w:r w:rsidR="004A67C8">
        <w:rPr>
          <w:rFonts w:ascii="Times New Roman" w:hAnsi="Times New Roman" w:cs="Times New Roman"/>
          <w:lang w:val="en-GB"/>
        </w:rPr>
        <w:t>in quality classes I-II in total agricultural land conversions was low, not exceeding 10%. However,</w:t>
      </w:r>
      <w:r w:rsidR="00A3026A" w:rsidRPr="00F65288">
        <w:rPr>
          <w:rFonts w:ascii="Times New Roman" w:hAnsi="Times New Roman" w:cs="Times New Roman"/>
          <w:lang w:val="en-GB"/>
        </w:rPr>
        <w:t xml:space="preserve"> an increase to </w:t>
      </w:r>
      <w:r w:rsidR="00042FB4" w:rsidRPr="00F65288">
        <w:rPr>
          <w:rFonts w:ascii="Times New Roman" w:hAnsi="Times New Roman" w:cs="Times New Roman"/>
          <w:lang w:val="en-GB"/>
        </w:rPr>
        <w:t xml:space="preserve">nearly </w:t>
      </w:r>
      <w:r w:rsidR="00A3026A" w:rsidRPr="00F65288">
        <w:rPr>
          <w:rFonts w:ascii="Times New Roman" w:hAnsi="Times New Roman" w:cs="Times New Roman"/>
          <w:lang w:val="en-GB"/>
        </w:rPr>
        <w:t>9-10% was noted in particular years (2005, 2009</w:t>
      </w:r>
      <w:r w:rsidR="004A67C8">
        <w:rPr>
          <w:rFonts w:ascii="Times New Roman" w:hAnsi="Times New Roman" w:cs="Times New Roman"/>
          <w:lang w:val="en-GB"/>
        </w:rPr>
        <w:t>,</w:t>
      </w:r>
      <w:r w:rsidR="00A3026A" w:rsidRPr="00F65288">
        <w:rPr>
          <w:rFonts w:ascii="Times New Roman" w:hAnsi="Times New Roman" w:cs="Times New Roman"/>
          <w:lang w:val="en-GB"/>
        </w:rPr>
        <w:t xml:space="preserve"> and 2014). Despite the </w:t>
      </w:r>
      <w:r w:rsidR="00042FB4" w:rsidRPr="00F65288">
        <w:rPr>
          <w:rFonts w:ascii="Times New Roman" w:hAnsi="Times New Roman" w:cs="Times New Roman"/>
          <w:lang w:val="en-GB"/>
        </w:rPr>
        <w:t xml:space="preserve">relatively low percentage share of these soils in all </w:t>
      </w:r>
      <w:r w:rsidR="00293C0D" w:rsidRPr="00F65288">
        <w:rPr>
          <w:rFonts w:ascii="Times New Roman" w:hAnsi="Times New Roman" w:cs="Times New Roman"/>
          <w:lang w:val="en-GB"/>
        </w:rPr>
        <w:t>agricultural land</w:t>
      </w:r>
      <w:r w:rsidR="00042FB4" w:rsidRPr="00F65288">
        <w:rPr>
          <w:rFonts w:ascii="Times New Roman" w:hAnsi="Times New Roman" w:cs="Times New Roman"/>
          <w:lang w:val="en-GB"/>
        </w:rPr>
        <w:t xml:space="preserve"> conversions</w:t>
      </w:r>
      <w:r w:rsidR="00A3026A" w:rsidRPr="00F65288">
        <w:rPr>
          <w:rFonts w:ascii="Times New Roman" w:hAnsi="Times New Roman" w:cs="Times New Roman"/>
          <w:lang w:val="en-GB"/>
        </w:rPr>
        <w:t xml:space="preserve">, </w:t>
      </w:r>
      <w:r w:rsidR="004A67C8">
        <w:rPr>
          <w:rFonts w:ascii="Times New Roman" w:hAnsi="Times New Roman" w:cs="Times New Roman"/>
          <w:lang w:val="en-GB"/>
        </w:rPr>
        <w:t>the conversion of high-quality agricultural land to non-agricultural use raises serious concerns</w:t>
      </w:r>
      <w:r w:rsidR="00A3026A" w:rsidRPr="00F65288">
        <w:rPr>
          <w:rFonts w:ascii="Times New Roman" w:hAnsi="Times New Roman" w:cs="Times New Roman"/>
          <w:lang w:val="en-GB"/>
        </w:rPr>
        <w:t xml:space="preserve"> because </w:t>
      </w:r>
      <w:r w:rsidR="00D9050D" w:rsidRPr="00F65288">
        <w:rPr>
          <w:rFonts w:ascii="Times New Roman" w:hAnsi="Times New Roman" w:cs="Times New Roman"/>
          <w:lang w:val="en-GB"/>
        </w:rPr>
        <w:t xml:space="preserve">such </w:t>
      </w:r>
      <w:r w:rsidR="00A3026A" w:rsidRPr="00F65288">
        <w:rPr>
          <w:rFonts w:ascii="Times New Roman" w:hAnsi="Times New Roman" w:cs="Times New Roman"/>
          <w:lang w:val="en-GB"/>
        </w:rPr>
        <w:t xml:space="preserve">resources require </w:t>
      </w:r>
      <w:r w:rsidR="00D9050D" w:rsidRPr="00F65288">
        <w:rPr>
          <w:rFonts w:ascii="Times New Roman" w:hAnsi="Times New Roman" w:cs="Times New Roman"/>
          <w:lang w:val="en-GB"/>
        </w:rPr>
        <w:t>a high</w:t>
      </w:r>
      <w:r w:rsidR="00A3026A" w:rsidRPr="00F65288">
        <w:rPr>
          <w:rFonts w:ascii="Times New Roman" w:hAnsi="Times New Roman" w:cs="Times New Roman"/>
          <w:lang w:val="en-GB"/>
        </w:rPr>
        <w:t xml:space="preserve"> level of protection.</w:t>
      </w:r>
      <w:r w:rsidR="00DC5D2E" w:rsidRPr="00F65288">
        <w:rPr>
          <w:rFonts w:ascii="Times New Roman" w:hAnsi="Times New Roman" w:cs="Times New Roman"/>
          <w:lang w:val="en-GB"/>
        </w:rPr>
        <w:t xml:space="preserve"> The combination of Statistics Poland data with soil classification from the National Soil Register (linked through TERC codes) enabled a spatially explicit analysis of land conversion. Figures </w:t>
      </w:r>
      <w:r w:rsidR="00346F69">
        <w:rPr>
          <w:rFonts w:ascii="Times New Roman" w:hAnsi="Times New Roman" w:cs="Times New Roman"/>
          <w:lang w:val="en-GB"/>
        </w:rPr>
        <w:br/>
      </w:r>
      <w:r w:rsidR="00DC5D2E" w:rsidRPr="00F65288">
        <w:rPr>
          <w:rFonts w:ascii="Times New Roman" w:hAnsi="Times New Roman" w:cs="Times New Roman"/>
          <w:lang w:val="en-GB"/>
        </w:rPr>
        <w:t>2</w:t>
      </w:r>
      <w:r w:rsidR="00790A4D">
        <w:rPr>
          <w:rFonts w:ascii="Times New Roman" w:hAnsi="Times New Roman" w:cs="Times New Roman"/>
          <w:lang w:val="en-GB"/>
        </w:rPr>
        <w:t>-</w:t>
      </w:r>
      <w:r w:rsidR="00DC5D2E" w:rsidRPr="00F65288">
        <w:rPr>
          <w:rFonts w:ascii="Times New Roman" w:hAnsi="Times New Roman" w:cs="Times New Roman"/>
          <w:lang w:val="en-GB"/>
        </w:rPr>
        <w:t xml:space="preserve">4 illustrate both the temporal dynamics and the soil class structure of converted land. The observed peaks in land conversion (2007, 2015, 2021) coincide with </w:t>
      </w:r>
      <w:r w:rsidR="004A67C8">
        <w:rPr>
          <w:rFonts w:ascii="Times New Roman" w:hAnsi="Times New Roman" w:cs="Times New Roman"/>
          <w:lang w:val="en-GB"/>
        </w:rPr>
        <w:t>significant</w:t>
      </w:r>
      <w:r w:rsidR="00DC5D2E" w:rsidRPr="00F65288">
        <w:rPr>
          <w:rFonts w:ascii="Times New Roman" w:hAnsi="Times New Roman" w:cs="Times New Roman"/>
          <w:lang w:val="en-GB"/>
        </w:rPr>
        <w:t xml:space="preserve"> legislative amendments, which suggests a causal relationship between liberalization of procedures and increased land take.</w:t>
      </w:r>
    </w:p>
    <w:p w14:paraId="5BFE7AD3" w14:textId="14FA5E88" w:rsidR="00935CA3" w:rsidRPr="00F65288" w:rsidRDefault="00DC5D2E" w:rsidP="00DC5D2E">
      <w:pPr>
        <w:rPr>
          <w:rFonts w:ascii="Times New Roman" w:hAnsi="Times New Roman" w:cs="Times New Roman"/>
          <w:lang w:val="en-GB"/>
        </w:rPr>
      </w:pPr>
      <w:r w:rsidRPr="00F65288">
        <w:rPr>
          <w:rFonts w:ascii="Times New Roman" w:hAnsi="Times New Roman" w:cs="Times New Roman"/>
          <w:lang w:val="en-GB"/>
        </w:rPr>
        <w:t xml:space="preserve">Regional differences also </w:t>
      </w:r>
      <w:r w:rsidR="004A67C8">
        <w:rPr>
          <w:rFonts w:ascii="Times New Roman" w:hAnsi="Times New Roman" w:cs="Times New Roman"/>
          <w:lang w:val="en-GB"/>
        </w:rPr>
        <w:t xml:space="preserve">highlight strong development pressure in metropolitan areas (e.g., Pomerania, Silesia, and </w:t>
      </w:r>
      <w:proofErr w:type="spellStart"/>
      <w:r w:rsidR="004A67C8">
        <w:rPr>
          <w:rFonts w:ascii="Times New Roman" w:hAnsi="Times New Roman" w:cs="Times New Roman"/>
          <w:lang w:val="en-GB"/>
        </w:rPr>
        <w:t>Małopolska</w:t>
      </w:r>
      <w:proofErr w:type="spellEnd"/>
      <w:r w:rsidR="004A67C8">
        <w:rPr>
          <w:rFonts w:ascii="Times New Roman" w:hAnsi="Times New Roman" w:cs="Times New Roman"/>
          <w:lang w:val="en-GB"/>
        </w:rPr>
        <w:t>), confirming that local planning coverage plays a crucial</w:t>
      </w:r>
      <w:r w:rsidRPr="00F65288">
        <w:rPr>
          <w:rFonts w:ascii="Times New Roman" w:hAnsi="Times New Roman" w:cs="Times New Roman"/>
          <w:lang w:val="en-GB"/>
        </w:rPr>
        <w:t xml:space="preserve"> role in farmland protection. Statistical tests comparing average annual conversion rates before and after the 2008 and 2015 reforms revealed significant increases in land conversion, particularly for soil classes III and IV, indicating that legal changes had a measurable effect on land use outcomes.</w:t>
      </w:r>
    </w:p>
    <w:p w14:paraId="026478F2" w14:textId="3558AD27" w:rsidR="00A3026A" w:rsidRPr="00F65288" w:rsidRDefault="00A3026A" w:rsidP="00367C5A">
      <w:pPr>
        <w:rPr>
          <w:rFonts w:ascii="Times New Roman" w:hAnsi="Times New Roman" w:cs="Times New Roman"/>
          <w:lang w:val="en-GB"/>
        </w:rPr>
      </w:pPr>
      <w:r w:rsidRPr="00F65288">
        <w:rPr>
          <w:rFonts w:ascii="Times New Roman" w:hAnsi="Times New Roman" w:cs="Times New Roman"/>
          <w:lang w:val="en-GB"/>
        </w:rPr>
        <w:t>Organic soils of quality class</w:t>
      </w:r>
      <w:r w:rsidR="007456EF" w:rsidRPr="00F65288">
        <w:rPr>
          <w:rFonts w:ascii="Times New Roman" w:hAnsi="Times New Roman" w:cs="Times New Roman"/>
          <w:lang w:val="en-GB"/>
        </w:rPr>
        <w:t>es</w:t>
      </w:r>
      <w:r w:rsidRPr="00F65288">
        <w:rPr>
          <w:rFonts w:ascii="Times New Roman" w:hAnsi="Times New Roman" w:cs="Times New Roman"/>
          <w:lang w:val="en-GB"/>
        </w:rPr>
        <w:t xml:space="preserve"> IV and V-VI were least frequently taken out of agricultural production. Between 2003</w:t>
      </w:r>
      <w:r w:rsidR="004A67C8">
        <w:rPr>
          <w:rFonts w:ascii="Times New Roman" w:hAnsi="Times New Roman" w:cs="Times New Roman"/>
          <w:lang w:val="en-GB"/>
        </w:rPr>
        <w:t xml:space="preserve"> and </w:t>
      </w:r>
      <w:r w:rsidRPr="00F65288">
        <w:rPr>
          <w:rFonts w:ascii="Times New Roman" w:hAnsi="Times New Roman" w:cs="Times New Roman"/>
          <w:lang w:val="en-GB"/>
        </w:rPr>
        <w:t xml:space="preserve">2023, the proportion of these soils in all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conversions reached 2-7%, with a slow increase after 2019, particularly in the group of class IV soils. These observations </w:t>
      </w:r>
      <w:r w:rsidR="004A67C8">
        <w:rPr>
          <w:rFonts w:ascii="Times New Roman" w:hAnsi="Times New Roman" w:cs="Times New Roman"/>
          <w:lang w:val="en-GB"/>
        </w:rPr>
        <w:t>may indicate a grow</w:t>
      </w:r>
      <w:r w:rsidR="004C7ACE" w:rsidRPr="00F65288">
        <w:rPr>
          <w:rFonts w:ascii="Times New Roman" w:hAnsi="Times New Roman" w:cs="Times New Roman"/>
          <w:lang w:val="en-GB"/>
        </w:rPr>
        <w:t>ing demand for</w:t>
      </w:r>
      <w:r w:rsidRPr="00F65288">
        <w:rPr>
          <w:rFonts w:ascii="Times New Roman" w:hAnsi="Times New Roman" w:cs="Times New Roman"/>
          <w:lang w:val="en-GB"/>
        </w:rPr>
        <w:t xml:space="preserve"> these </w:t>
      </w:r>
      <w:r w:rsidR="007456EF" w:rsidRPr="00F65288">
        <w:rPr>
          <w:rFonts w:ascii="Times New Roman" w:hAnsi="Times New Roman" w:cs="Times New Roman"/>
          <w:lang w:val="en-GB"/>
        </w:rPr>
        <w:t>categories</w:t>
      </w:r>
      <w:r w:rsidR="004C7ACE" w:rsidRPr="00F65288">
        <w:rPr>
          <w:rFonts w:ascii="Times New Roman" w:hAnsi="Times New Roman" w:cs="Times New Roman"/>
          <w:lang w:val="en-GB"/>
        </w:rPr>
        <w:t xml:space="preserve"> of </w:t>
      </w:r>
      <w:r w:rsidR="00293C0D" w:rsidRPr="00F65288">
        <w:rPr>
          <w:rFonts w:ascii="Times New Roman" w:hAnsi="Times New Roman" w:cs="Times New Roman"/>
          <w:lang w:val="en-GB"/>
        </w:rPr>
        <w:t>agricultural land</w:t>
      </w:r>
      <w:r w:rsidR="004C7ACE" w:rsidRPr="00F65288">
        <w:rPr>
          <w:rFonts w:ascii="Times New Roman" w:hAnsi="Times New Roman" w:cs="Times New Roman"/>
          <w:lang w:val="en-GB"/>
        </w:rPr>
        <w:t xml:space="preserve"> as sites for renewable energy development.</w:t>
      </w:r>
    </w:p>
    <w:p w14:paraId="461B67ED" w14:textId="61A18CD5" w:rsidR="006B0911" w:rsidRPr="00F65288" w:rsidRDefault="006B0911" w:rsidP="00367C5A">
      <w:pPr>
        <w:rPr>
          <w:rFonts w:ascii="Times New Roman" w:hAnsi="Times New Roman" w:cs="Times New Roman"/>
          <w:lang w:val="en-GB"/>
        </w:rPr>
      </w:pPr>
      <w:r w:rsidRPr="00F65288">
        <w:rPr>
          <w:rFonts w:ascii="Times New Roman" w:hAnsi="Times New Roman" w:cs="Times New Roman"/>
          <w:lang w:val="en-GB"/>
        </w:rPr>
        <w:t xml:space="preserve">The collected </w:t>
      </w:r>
      <w:r w:rsidR="00B20E75" w:rsidRPr="00F65288">
        <w:rPr>
          <w:rFonts w:ascii="Times New Roman" w:hAnsi="Times New Roman" w:cs="Times New Roman"/>
          <w:lang w:val="en-GB"/>
        </w:rPr>
        <w:t xml:space="preserve">data indicate that, although Poland has an extensive legal framework for </w:t>
      </w:r>
      <w:r w:rsidR="004A67C8">
        <w:rPr>
          <w:rFonts w:ascii="Times New Roman" w:hAnsi="Times New Roman" w:cs="Times New Roman"/>
          <w:lang w:val="en-GB"/>
        </w:rPr>
        <w:t>protecting</w:t>
      </w:r>
      <w:r w:rsidR="00B20E75" w:rsidRPr="00F65288">
        <w:rPr>
          <w:rFonts w:ascii="Times New Roman" w:hAnsi="Times New Roman" w:cs="Times New Roman"/>
          <w:lang w:val="en-GB"/>
        </w:rPr>
        <w:t xml:space="preserve"> agricultural land, its effectiveness varies considerably across the country. Market pressure, gaps in planning regulations, and the liberalization of conversion procedures lead to land fragmentation and a decline in </w:t>
      </w:r>
      <w:r w:rsidR="00293C0D" w:rsidRPr="00F65288">
        <w:rPr>
          <w:rFonts w:ascii="Times New Roman" w:hAnsi="Times New Roman" w:cs="Times New Roman"/>
          <w:lang w:val="en-GB"/>
        </w:rPr>
        <w:t>agricultural land</w:t>
      </w:r>
      <w:r w:rsidR="00B20E75" w:rsidRPr="00F65288">
        <w:rPr>
          <w:rFonts w:ascii="Times New Roman" w:hAnsi="Times New Roman" w:cs="Times New Roman"/>
          <w:lang w:val="en-GB"/>
        </w:rPr>
        <w:t xml:space="preserve"> productivity</w:t>
      </w:r>
      <w:r w:rsidR="00F0204F" w:rsidRPr="00F65288">
        <w:rPr>
          <w:rFonts w:ascii="Times New Roman" w:hAnsi="Times New Roman" w:cs="Times New Roman"/>
          <w:lang w:val="en-GB"/>
        </w:rPr>
        <w:t>, especially in suburban and metropolitan areas</w:t>
      </w:r>
      <w:r w:rsidR="00B20E75" w:rsidRPr="00F65288">
        <w:rPr>
          <w:rFonts w:ascii="Times New Roman" w:hAnsi="Times New Roman" w:cs="Times New Roman"/>
          <w:lang w:val="en-GB"/>
        </w:rPr>
        <w:t xml:space="preserve">. To overcome these challenges, the legal </w:t>
      </w:r>
      <w:r w:rsidR="007456EF" w:rsidRPr="00F65288">
        <w:rPr>
          <w:rFonts w:ascii="Times New Roman" w:hAnsi="Times New Roman" w:cs="Times New Roman"/>
          <w:lang w:val="en-GB"/>
        </w:rPr>
        <w:t>framework</w:t>
      </w:r>
      <w:r w:rsidR="00B20E75" w:rsidRPr="00F65288">
        <w:rPr>
          <w:rFonts w:ascii="Times New Roman" w:hAnsi="Times New Roman" w:cs="Times New Roman"/>
          <w:lang w:val="en-GB"/>
        </w:rPr>
        <w:t xml:space="preserve"> should be reformed, and the effectiveness of planning and institutional structures should be improved at the local level.</w:t>
      </w:r>
    </w:p>
    <w:p w14:paraId="49C9A339" w14:textId="2091CBF5" w:rsidR="00B20E75" w:rsidRPr="00F65288" w:rsidRDefault="00B20E75" w:rsidP="00367C5A">
      <w:pPr>
        <w:rPr>
          <w:rFonts w:ascii="Times New Roman" w:hAnsi="Times New Roman" w:cs="Times New Roman"/>
          <w:lang w:val="en-GB"/>
        </w:rPr>
      </w:pPr>
      <w:r w:rsidRPr="00F65288">
        <w:rPr>
          <w:rFonts w:ascii="Times New Roman" w:hAnsi="Times New Roman" w:cs="Times New Roman"/>
          <w:lang w:val="en-GB"/>
        </w:rPr>
        <w:lastRenderedPageBreak/>
        <w:t xml:space="preserve">The analysis of spatial and legislative data indicates that, despite the existence of a legal framework for the protection of agricultural land, its effectiveness is limited by urbanization and development pressure. </w:t>
      </w:r>
      <w:r w:rsidR="00C6755B" w:rsidRPr="00F65288">
        <w:rPr>
          <w:rFonts w:ascii="Times New Roman" w:hAnsi="Times New Roman" w:cs="Times New Roman"/>
          <w:lang w:val="en-GB"/>
        </w:rPr>
        <w:t xml:space="preserve">On </w:t>
      </w:r>
      <w:r w:rsidR="003E21AC" w:rsidRPr="00F65288">
        <w:rPr>
          <w:rFonts w:ascii="Times New Roman" w:hAnsi="Times New Roman" w:cs="Times New Roman"/>
          <w:lang w:val="en-GB"/>
        </w:rPr>
        <w:t>a</w:t>
      </w:r>
      <w:r w:rsidR="00346F69">
        <w:rPr>
          <w:rFonts w:ascii="Times New Roman" w:hAnsi="Times New Roman" w:cs="Times New Roman"/>
          <w:lang w:val="en-GB"/>
        </w:rPr>
        <w:t> </w:t>
      </w:r>
      <w:r w:rsidR="00C6755B" w:rsidRPr="00F65288">
        <w:rPr>
          <w:rFonts w:ascii="Times New Roman" w:hAnsi="Times New Roman" w:cs="Times New Roman"/>
          <w:lang w:val="en-GB"/>
        </w:rPr>
        <w:t xml:space="preserve">domestic scale, </w:t>
      </w:r>
      <w:r w:rsidR="00293C0D" w:rsidRPr="00F65288">
        <w:rPr>
          <w:rFonts w:ascii="Times New Roman" w:hAnsi="Times New Roman" w:cs="Times New Roman"/>
          <w:lang w:val="en-GB"/>
        </w:rPr>
        <w:t>agricultural land</w:t>
      </w:r>
      <w:r w:rsidR="00C6755B" w:rsidRPr="00F65288">
        <w:rPr>
          <w:rFonts w:ascii="Times New Roman" w:hAnsi="Times New Roman" w:cs="Times New Roman"/>
          <w:lang w:val="en-GB"/>
        </w:rPr>
        <w:t xml:space="preserve"> is </w:t>
      </w:r>
      <w:r w:rsidR="004A67C8">
        <w:rPr>
          <w:rFonts w:ascii="Times New Roman" w:hAnsi="Times New Roman" w:cs="Times New Roman"/>
          <w:lang w:val="en-GB"/>
        </w:rPr>
        <w:t xml:space="preserve">primarily used for residential and industrial development, with most conversions occurring in the vicinity of large urban </w:t>
      </w:r>
      <w:proofErr w:type="spellStart"/>
      <w:r w:rsidR="004A67C8">
        <w:rPr>
          <w:rFonts w:ascii="Times New Roman" w:hAnsi="Times New Roman" w:cs="Times New Roman"/>
          <w:lang w:val="en-GB"/>
        </w:rPr>
        <w:t>centers</w:t>
      </w:r>
      <w:proofErr w:type="spellEnd"/>
      <w:r w:rsidR="004A67C8">
        <w:rPr>
          <w:rFonts w:ascii="Times New Roman" w:hAnsi="Times New Roman" w:cs="Times New Roman"/>
          <w:lang w:val="en-GB"/>
        </w:rPr>
        <w:t xml:space="preserve"> and metropolitan area</w:t>
      </w:r>
      <w:r w:rsidR="005A16BB" w:rsidRPr="00F65288">
        <w:rPr>
          <w:rFonts w:ascii="Times New Roman" w:hAnsi="Times New Roman" w:cs="Times New Roman"/>
          <w:lang w:val="en-GB"/>
        </w:rPr>
        <w:t xml:space="preserve">s. </w:t>
      </w:r>
      <w:r w:rsidRPr="00F65288">
        <w:rPr>
          <w:rFonts w:ascii="Times New Roman" w:hAnsi="Times New Roman" w:cs="Times New Roman"/>
          <w:lang w:val="en-GB"/>
        </w:rPr>
        <w:t xml:space="preserve"> </w:t>
      </w:r>
    </w:p>
    <w:p w14:paraId="6FA084EC" w14:textId="28BB939D" w:rsidR="00B20E75" w:rsidRPr="00F65288" w:rsidRDefault="005A16BB" w:rsidP="00367C5A">
      <w:pPr>
        <w:pStyle w:val="Akapitzlist"/>
        <w:ind w:left="0"/>
        <w:rPr>
          <w:rFonts w:ascii="Times New Roman" w:hAnsi="Times New Roman" w:cs="Times New Roman"/>
          <w:lang w:val="en-GB"/>
        </w:rPr>
      </w:pPr>
      <w:r w:rsidRPr="00F65288">
        <w:rPr>
          <w:rFonts w:ascii="Times New Roman" w:hAnsi="Times New Roman" w:cs="Times New Roman"/>
          <w:lang w:val="en-GB"/>
        </w:rPr>
        <w:t xml:space="preserve">The structure of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taken out of production varies in terms of planned use and soil quality class, suggesting that instruments for </w:t>
      </w:r>
      <w:r w:rsidR="004A67C8">
        <w:rPr>
          <w:rFonts w:ascii="Times New Roman" w:hAnsi="Times New Roman" w:cs="Times New Roman"/>
          <w:lang w:val="en-GB"/>
        </w:rPr>
        <w:t>protecting</w:t>
      </w:r>
      <w:r w:rsidRPr="00F65288">
        <w:rPr>
          <w:rFonts w:ascii="Times New Roman" w:hAnsi="Times New Roman" w:cs="Times New Roman"/>
          <w:lang w:val="en-GB"/>
        </w:rPr>
        <w:t xml:space="preserve"> land </w:t>
      </w:r>
      <w:r w:rsidR="00D87B50" w:rsidRPr="00F65288">
        <w:rPr>
          <w:rFonts w:ascii="Times New Roman" w:hAnsi="Times New Roman" w:cs="Times New Roman"/>
          <w:lang w:val="en-GB"/>
        </w:rPr>
        <w:t xml:space="preserve">with high agricultural suitability </w:t>
      </w:r>
      <w:r w:rsidRPr="00F65288">
        <w:rPr>
          <w:rFonts w:ascii="Times New Roman" w:hAnsi="Times New Roman" w:cs="Times New Roman"/>
          <w:lang w:val="en-GB"/>
        </w:rPr>
        <w:t xml:space="preserve">should be strengthened, particularly in regions with considerable growth potential. These data can be used to </w:t>
      </w:r>
      <w:r w:rsidR="00B81C6D" w:rsidRPr="00F65288">
        <w:rPr>
          <w:rFonts w:ascii="Times New Roman" w:hAnsi="Times New Roman" w:cs="Times New Roman"/>
          <w:lang w:val="en-GB"/>
        </w:rPr>
        <w:t xml:space="preserve">draw conclusions regarding </w:t>
      </w:r>
      <w:r w:rsidRPr="00F65288">
        <w:rPr>
          <w:rFonts w:ascii="Times New Roman" w:hAnsi="Times New Roman" w:cs="Times New Roman"/>
          <w:lang w:val="en-GB"/>
        </w:rPr>
        <w:t xml:space="preserve">the need </w:t>
      </w:r>
      <w:r w:rsidR="004A67C8">
        <w:rPr>
          <w:rFonts w:ascii="Times New Roman" w:hAnsi="Times New Roman" w:cs="Times New Roman"/>
          <w:lang w:val="en-GB"/>
        </w:rPr>
        <w:t>to integrat</w:t>
      </w:r>
      <w:r w:rsidRPr="00F65288">
        <w:rPr>
          <w:rFonts w:ascii="Times New Roman" w:hAnsi="Times New Roman" w:cs="Times New Roman"/>
          <w:lang w:val="en-GB"/>
        </w:rPr>
        <w:t xml:space="preserve">e land protection policy with planning and economic policies at the local, regional, and </w:t>
      </w:r>
      <w:r w:rsidR="007456EF" w:rsidRPr="00F65288">
        <w:rPr>
          <w:rFonts w:ascii="Times New Roman" w:hAnsi="Times New Roman" w:cs="Times New Roman"/>
          <w:lang w:val="en-GB"/>
        </w:rPr>
        <w:t>national</w:t>
      </w:r>
      <w:r w:rsidRPr="00F65288">
        <w:rPr>
          <w:rFonts w:ascii="Times New Roman" w:hAnsi="Times New Roman" w:cs="Times New Roman"/>
          <w:lang w:val="en-GB"/>
        </w:rPr>
        <w:t xml:space="preserve"> level</w:t>
      </w:r>
      <w:r w:rsidR="004A67C8">
        <w:rPr>
          <w:rFonts w:ascii="Times New Roman" w:hAnsi="Times New Roman" w:cs="Times New Roman"/>
          <w:lang w:val="en-GB"/>
        </w:rPr>
        <w:t>s</w:t>
      </w:r>
      <w:r w:rsidRPr="00F65288">
        <w:rPr>
          <w:rFonts w:ascii="Times New Roman" w:hAnsi="Times New Roman" w:cs="Times New Roman"/>
          <w:lang w:val="en-GB"/>
        </w:rPr>
        <w:t xml:space="preserve">. </w:t>
      </w:r>
      <w:r w:rsidR="00DC5D2E" w:rsidRPr="00F65288">
        <w:rPr>
          <w:rFonts w:ascii="Times New Roman" w:hAnsi="Times New Roman" w:cs="Times New Roman"/>
          <w:lang w:val="en-GB"/>
        </w:rPr>
        <w:t>The evolution of Polish regulations has also been shaped by European Union law and policies. The Common Agricultural Policy (CAP), the EU Biodiversity Strategy, and the European Green Deal have influenced national reforms by promoting soil protection, sustainable spatial planning, and the development of renewable energy. Similar observations are made in European studies</w:t>
      </w:r>
      <w:r w:rsidR="004A67C8">
        <w:rPr>
          <w:rFonts w:ascii="Times New Roman" w:hAnsi="Times New Roman" w:cs="Times New Roman"/>
          <w:lang w:val="en-GB"/>
        </w:rPr>
        <w:t>, which highlight the interplay between EU directives and local planning practices (Polman et al.</w:t>
      </w:r>
      <w:r w:rsidR="00DC5D2E" w:rsidRPr="00F65288">
        <w:rPr>
          <w:rFonts w:ascii="Times New Roman" w:hAnsi="Times New Roman" w:cs="Times New Roman"/>
          <w:lang w:val="en-GB"/>
        </w:rPr>
        <w:t xml:space="preserve"> 2020). For instance, the 2021 amendment</w:t>
      </w:r>
      <w:r w:rsidR="004A67C8">
        <w:rPr>
          <w:rFonts w:ascii="Times New Roman" w:hAnsi="Times New Roman" w:cs="Times New Roman"/>
          <w:lang w:val="en-GB"/>
        </w:rPr>
        <w:t>, which facilitates the siting of renewable energy facilities on low-quality soils,</w:t>
      </w:r>
      <w:r w:rsidR="00DC5D2E" w:rsidRPr="00F65288">
        <w:rPr>
          <w:rFonts w:ascii="Times New Roman" w:hAnsi="Times New Roman" w:cs="Times New Roman"/>
          <w:lang w:val="en-GB"/>
        </w:rPr>
        <w:t xml:space="preserve"> reflects both EU energy transition targets and the tensions between climate goals and farmland protection.</w:t>
      </w:r>
    </w:p>
    <w:p w14:paraId="289A6463" w14:textId="711E1616" w:rsidR="005A16BB" w:rsidRPr="00F65288" w:rsidRDefault="005A16BB" w:rsidP="00367C5A">
      <w:pPr>
        <w:pStyle w:val="Akapitzlist"/>
        <w:ind w:left="0"/>
        <w:rPr>
          <w:rFonts w:ascii="Times New Roman" w:hAnsi="Times New Roman" w:cs="Times New Roman"/>
          <w:lang w:val="en-GB"/>
        </w:rPr>
      </w:pPr>
      <w:r w:rsidRPr="00F65288">
        <w:rPr>
          <w:rFonts w:ascii="Times New Roman" w:hAnsi="Times New Roman" w:cs="Times New Roman"/>
          <w:lang w:val="en-GB"/>
        </w:rPr>
        <w:t xml:space="preserve">In the context of </w:t>
      </w:r>
      <w:r w:rsidR="004A67C8">
        <w:rPr>
          <w:rFonts w:ascii="Times New Roman" w:hAnsi="Times New Roman" w:cs="Times New Roman"/>
          <w:lang w:val="en-GB"/>
        </w:rPr>
        <w:t>agricultural land protection policy, it is worth noting that existing legal instruments, despite their formal and regulatory efficacy, often do not fully</w:t>
      </w:r>
      <w:r w:rsidR="006C58EA" w:rsidRPr="00F65288">
        <w:rPr>
          <w:rFonts w:ascii="Times New Roman" w:hAnsi="Times New Roman" w:cs="Times New Roman"/>
          <w:lang w:val="en-GB"/>
        </w:rPr>
        <w:t xml:space="preserve"> support sustainable planning. In the absence of local zoning plans, investors may apply for individual decisions on development conditions</w:t>
      </w:r>
      <w:r w:rsidR="004A67C8">
        <w:rPr>
          <w:rFonts w:ascii="Times New Roman" w:hAnsi="Times New Roman" w:cs="Times New Roman"/>
          <w:lang w:val="en-GB"/>
        </w:rPr>
        <w:t>. This procedure</w:t>
      </w:r>
      <w:r w:rsidR="006C58EA" w:rsidRPr="00F65288">
        <w:rPr>
          <w:rFonts w:ascii="Times New Roman" w:hAnsi="Times New Roman" w:cs="Times New Roman"/>
          <w:lang w:val="en-GB"/>
        </w:rPr>
        <w:t xml:space="preserve"> allows highly productive land to be converted without a comprehensive assessment of its agricultural and environmental value.</w:t>
      </w:r>
    </w:p>
    <w:p w14:paraId="7401FBB1" w14:textId="56D23562" w:rsidR="000D7026" w:rsidRPr="00F65288" w:rsidRDefault="00CC75C2" w:rsidP="00CC75C2">
      <w:pPr>
        <w:pStyle w:val="Rn1"/>
        <w:rPr>
          <w:lang w:val="en-GB"/>
        </w:rPr>
      </w:pPr>
      <w:r>
        <w:rPr>
          <w:lang w:val="en-GB"/>
        </w:rPr>
        <w:t xml:space="preserve">4. </w:t>
      </w:r>
      <w:r w:rsidR="006C58EA" w:rsidRPr="00F65288">
        <w:rPr>
          <w:lang w:val="en-GB"/>
        </w:rPr>
        <w:t>Conclusions</w:t>
      </w:r>
    </w:p>
    <w:p w14:paraId="065EE306" w14:textId="014D4FBB" w:rsidR="00222563" w:rsidRPr="00F65288" w:rsidRDefault="00D0439F" w:rsidP="00367C5A">
      <w:pPr>
        <w:rPr>
          <w:rFonts w:ascii="Times New Roman" w:hAnsi="Times New Roman" w:cs="Times New Roman"/>
          <w:lang w:val="en-GB"/>
        </w:rPr>
      </w:pPr>
      <w:r w:rsidRPr="00F65288">
        <w:rPr>
          <w:rFonts w:ascii="Times New Roman" w:hAnsi="Times New Roman" w:cs="Times New Roman"/>
          <w:lang w:val="en-GB"/>
        </w:rPr>
        <w:t xml:space="preserve">Agricultural and forest land </w:t>
      </w:r>
      <w:r w:rsidR="0092568D" w:rsidRPr="00F65288">
        <w:rPr>
          <w:rFonts w:ascii="Times New Roman" w:hAnsi="Times New Roman" w:cs="Times New Roman"/>
          <w:lang w:val="en-GB"/>
        </w:rPr>
        <w:t xml:space="preserve">is afforded statutory protection in Poland, but the effectiveness of these regulations varies considerably across the country. The </w:t>
      </w:r>
      <w:r w:rsidR="000D4C18" w:rsidRPr="00F65288">
        <w:rPr>
          <w:rFonts w:ascii="Times New Roman" w:hAnsi="Times New Roman" w:cs="Times New Roman"/>
          <w:lang w:val="en-GB"/>
        </w:rPr>
        <w:t>binding</w:t>
      </w:r>
      <w:r w:rsidR="0092568D" w:rsidRPr="00F65288">
        <w:rPr>
          <w:rFonts w:ascii="Times New Roman" w:hAnsi="Times New Roman" w:cs="Times New Roman"/>
          <w:lang w:val="en-GB"/>
        </w:rPr>
        <w:t xml:space="preserve"> legal acts, in particular the Act of 3 February 1995 on the protection of agricultural and forest land, constitute a formal framework for </w:t>
      </w:r>
      <w:r w:rsidR="004A67C8">
        <w:rPr>
          <w:rFonts w:ascii="Times New Roman" w:hAnsi="Times New Roman" w:cs="Times New Roman"/>
          <w:lang w:val="en-GB"/>
        </w:rPr>
        <w:t>protecting agricultural resources. However,</w:t>
      </w:r>
      <w:r w:rsidR="0092568D" w:rsidRPr="00F65288">
        <w:rPr>
          <w:rFonts w:ascii="Times New Roman" w:hAnsi="Times New Roman" w:cs="Times New Roman"/>
          <w:lang w:val="en-GB"/>
        </w:rPr>
        <w:t xml:space="preserve"> high development pressure and gaps in spatial planning regulations reduce the efficacy of the legal framework, especially in urban and suburban areas.</w:t>
      </w:r>
    </w:p>
    <w:p w14:paraId="0E79FA16" w14:textId="4D03F418" w:rsidR="0092568D" w:rsidRPr="00F65288" w:rsidRDefault="0092568D" w:rsidP="00367C5A">
      <w:pPr>
        <w:rPr>
          <w:rFonts w:ascii="Times New Roman" w:hAnsi="Times New Roman" w:cs="Times New Roman"/>
          <w:lang w:val="en-GB"/>
        </w:rPr>
      </w:pPr>
      <w:r w:rsidRPr="00F65288">
        <w:rPr>
          <w:rFonts w:ascii="Times New Roman" w:hAnsi="Times New Roman" w:cs="Times New Roman"/>
          <w:lang w:val="en-GB"/>
        </w:rPr>
        <w:t xml:space="preserve">The conducted analyses revealed </w:t>
      </w:r>
      <w:r w:rsidR="00D2353A" w:rsidRPr="00F65288">
        <w:rPr>
          <w:rFonts w:ascii="Times New Roman" w:hAnsi="Times New Roman" w:cs="Times New Roman"/>
          <w:lang w:val="en-GB"/>
        </w:rPr>
        <w:t>high and steady development</w:t>
      </w:r>
      <w:r w:rsidR="00F91BCA" w:rsidRPr="00F65288">
        <w:rPr>
          <w:rFonts w:ascii="Times New Roman" w:hAnsi="Times New Roman" w:cs="Times New Roman"/>
          <w:lang w:val="en-GB"/>
        </w:rPr>
        <w:t xml:space="preserve"> pressure on </w:t>
      </w:r>
      <w:r w:rsidR="00293C0D" w:rsidRPr="00F65288">
        <w:rPr>
          <w:rFonts w:ascii="Times New Roman" w:hAnsi="Times New Roman" w:cs="Times New Roman"/>
          <w:lang w:val="en-GB"/>
        </w:rPr>
        <w:t>agricultural land</w:t>
      </w:r>
      <w:r w:rsidR="00F91BCA" w:rsidRPr="00F65288">
        <w:rPr>
          <w:rFonts w:ascii="Times New Roman" w:hAnsi="Times New Roman" w:cs="Times New Roman"/>
          <w:lang w:val="en-GB"/>
        </w:rPr>
        <w:t xml:space="preserve"> </w:t>
      </w:r>
      <w:r w:rsidR="007456EF" w:rsidRPr="00F65288">
        <w:rPr>
          <w:rFonts w:ascii="Times New Roman" w:hAnsi="Times New Roman" w:cs="Times New Roman"/>
          <w:lang w:val="en-GB"/>
        </w:rPr>
        <w:t>with</w:t>
      </w:r>
      <w:r w:rsidR="00D2353A" w:rsidRPr="00F65288">
        <w:rPr>
          <w:rFonts w:ascii="Times New Roman" w:hAnsi="Times New Roman" w:cs="Times New Roman"/>
          <w:lang w:val="en-GB"/>
        </w:rPr>
        <w:t xml:space="preserve"> </w:t>
      </w:r>
      <w:r w:rsidR="003759E2" w:rsidRPr="00F65288">
        <w:rPr>
          <w:rFonts w:ascii="Times New Roman" w:hAnsi="Times New Roman" w:cs="Times New Roman"/>
          <w:lang w:val="en-GB"/>
        </w:rPr>
        <w:t>high</w:t>
      </w:r>
      <w:r w:rsidR="00D2353A" w:rsidRPr="00F65288">
        <w:rPr>
          <w:rFonts w:ascii="Times New Roman" w:hAnsi="Times New Roman" w:cs="Times New Roman"/>
          <w:lang w:val="en-GB"/>
        </w:rPr>
        <w:t xml:space="preserve"> to</w:t>
      </w:r>
      <w:r w:rsidR="00F91BCA" w:rsidRPr="00F65288">
        <w:rPr>
          <w:rFonts w:ascii="Times New Roman" w:hAnsi="Times New Roman" w:cs="Times New Roman"/>
          <w:lang w:val="en-GB"/>
        </w:rPr>
        <w:t xml:space="preserve"> average </w:t>
      </w:r>
      <w:r w:rsidR="00D2353A" w:rsidRPr="00F65288">
        <w:rPr>
          <w:rFonts w:ascii="Times New Roman" w:hAnsi="Times New Roman" w:cs="Times New Roman"/>
          <w:lang w:val="en-GB"/>
        </w:rPr>
        <w:t xml:space="preserve">agricultural </w:t>
      </w:r>
      <w:r w:rsidR="00522EE8" w:rsidRPr="00F65288">
        <w:rPr>
          <w:rFonts w:ascii="Times New Roman" w:hAnsi="Times New Roman" w:cs="Times New Roman"/>
          <w:lang w:val="en-GB"/>
        </w:rPr>
        <w:t xml:space="preserve">suitability </w:t>
      </w:r>
      <w:r w:rsidR="00F91BCA" w:rsidRPr="00F65288">
        <w:rPr>
          <w:rFonts w:ascii="Times New Roman" w:hAnsi="Times New Roman" w:cs="Times New Roman"/>
          <w:lang w:val="en-GB"/>
        </w:rPr>
        <w:t>(soil quality classes III and IV)</w:t>
      </w:r>
      <w:r w:rsidR="00D2353A" w:rsidRPr="00F65288">
        <w:rPr>
          <w:rFonts w:ascii="Times New Roman" w:hAnsi="Times New Roman" w:cs="Times New Roman"/>
          <w:lang w:val="en-GB"/>
        </w:rPr>
        <w:t xml:space="preserve">, which could pose a threat to the long-term productive potential of rural areas. The observed changes should encourage efforts to strengthen </w:t>
      </w:r>
      <w:r w:rsidR="00293C0D" w:rsidRPr="00F65288">
        <w:rPr>
          <w:rFonts w:ascii="Times New Roman" w:hAnsi="Times New Roman" w:cs="Times New Roman"/>
          <w:lang w:val="en-GB"/>
        </w:rPr>
        <w:t>agricultural land</w:t>
      </w:r>
      <w:r w:rsidR="00D2353A" w:rsidRPr="00F65288">
        <w:rPr>
          <w:rFonts w:ascii="Times New Roman" w:hAnsi="Times New Roman" w:cs="Times New Roman"/>
          <w:lang w:val="en-GB"/>
        </w:rPr>
        <w:t xml:space="preserve"> protection instruments in Poland</w:t>
      </w:r>
      <w:r w:rsidR="004A67C8">
        <w:rPr>
          <w:rFonts w:ascii="Times New Roman" w:hAnsi="Times New Roman" w:cs="Times New Roman"/>
          <w:lang w:val="en-GB"/>
        </w:rPr>
        <w:t>'</w:t>
      </w:r>
      <w:r w:rsidR="00D2353A" w:rsidRPr="00F65288">
        <w:rPr>
          <w:rFonts w:ascii="Times New Roman" w:hAnsi="Times New Roman" w:cs="Times New Roman"/>
          <w:lang w:val="en-GB"/>
        </w:rPr>
        <w:t xml:space="preserve">s spatial and agricultural policies. </w:t>
      </w:r>
    </w:p>
    <w:p w14:paraId="1ADD5FB2" w14:textId="530B606C" w:rsidR="00D2353A" w:rsidRPr="00F65288" w:rsidRDefault="00D2353A" w:rsidP="00367C5A">
      <w:pPr>
        <w:rPr>
          <w:rFonts w:ascii="Times New Roman" w:hAnsi="Times New Roman" w:cs="Times New Roman"/>
          <w:lang w:val="en-GB"/>
        </w:rPr>
      </w:pPr>
      <w:r w:rsidRPr="00F65288">
        <w:rPr>
          <w:rFonts w:ascii="Times New Roman" w:hAnsi="Times New Roman" w:cs="Times New Roman"/>
          <w:lang w:val="en-GB"/>
        </w:rPr>
        <w:t xml:space="preserve">The </w:t>
      </w:r>
      <w:r w:rsidR="004A67C8">
        <w:rPr>
          <w:rFonts w:ascii="Times New Roman" w:hAnsi="Times New Roman" w:cs="Times New Roman"/>
          <w:lang w:val="en-GB"/>
        </w:rPr>
        <w:t>2008 legislative reform exempted urban land from the requirement to obtain a conversion permit, thereby</w:t>
      </w:r>
      <w:r w:rsidRPr="00F65288">
        <w:rPr>
          <w:rFonts w:ascii="Times New Roman" w:hAnsi="Times New Roman" w:cs="Times New Roman"/>
          <w:lang w:val="en-GB"/>
        </w:rPr>
        <w:t xml:space="preserve"> increasing the </w:t>
      </w:r>
      <w:r w:rsidR="007456EF" w:rsidRPr="00F65288">
        <w:rPr>
          <w:rFonts w:ascii="Times New Roman" w:hAnsi="Times New Roman" w:cs="Times New Roman"/>
          <w:lang w:val="en-GB"/>
        </w:rPr>
        <w:t>proportion</w:t>
      </w:r>
      <w:r w:rsidRPr="00F65288">
        <w:rPr>
          <w:rFonts w:ascii="Times New Roman" w:hAnsi="Times New Roman" w:cs="Times New Roman"/>
          <w:lang w:val="en-GB"/>
        </w:rPr>
        <w:t xml:space="preserve"> of high-quality </w:t>
      </w:r>
      <w:r w:rsidR="00522EE8" w:rsidRPr="00F65288">
        <w:rPr>
          <w:rFonts w:ascii="Times New Roman" w:hAnsi="Times New Roman" w:cs="Times New Roman"/>
          <w:lang w:val="en-GB"/>
        </w:rPr>
        <w:t>agricultural land</w:t>
      </w:r>
      <w:r w:rsidRPr="00F65288">
        <w:rPr>
          <w:rFonts w:ascii="Times New Roman" w:hAnsi="Times New Roman" w:cs="Times New Roman"/>
          <w:lang w:val="en-GB"/>
        </w:rPr>
        <w:t xml:space="preserve"> that was taken out of production. </w:t>
      </w:r>
      <w:r w:rsidR="004A67C8">
        <w:rPr>
          <w:rFonts w:ascii="Times New Roman" w:hAnsi="Times New Roman" w:cs="Times New Roman"/>
          <w:lang w:val="en-GB"/>
        </w:rPr>
        <w:t>Consequently, the share of Class III soils</w:t>
      </w:r>
      <w:r w:rsidR="00191B0C" w:rsidRPr="00F65288">
        <w:rPr>
          <w:rFonts w:ascii="Times New Roman" w:hAnsi="Times New Roman" w:cs="Times New Roman"/>
          <w:lang w:val="en-GB"/>
        </w:rPr>
        <w:t xml:space="preserve"> converted to non-agricultural use increased during the </w:t>
      </w:r>
      <w:proofErr w:type="spellStart"/>
      <w:r w:rsidR="00191B0C" w:rsidRPr="00F65288">
        <w:rPr>
          <w:rFonts w:ascii="Times New Roman" w:hAnsi="Times New Roman" w:cs="Times New Roman"/>
          <w:lang w:val="en-GB"/>
        </w:rPr>
        <w:t>analyzed</w:t>
      </w:r>
      <w:proofErr w:type="spellEnd"/>
      <w:r w:rsidR="00191B0C" w:rsidRPr="00F65288">
        <w:rPr>
          <w:rFonts w:ascii="Times New Roman" w:hAnsi="Times New Roman" w:cs="Times New Roman"/>
          <w:lang w:val="en-GB"/>
        </w:rPr>
        <w:t xml:space="preserve"> period, in some years by more than 50%. In most cases, agricultural land was converted to residential and industrial uses. In 2023, </w:t>
      </w:r>
      <w:r w:rsidR="00293C0D" w:rsidRPr="00F65288">
        <w:rPr>
          <w:rFonts w:ascii="Times New Roman" w:hAnsi="Times New Roman" w:cs="Times New Roman"/>
          <w:lang w:val="en-GB"/>
        </w:rPr>
        <w:t>agricultural land</w:t>
      </w:r>
      <w:r w:rsidR="00191B0C" w:rsidRPr="00F65288">
        <w:rPr>
          <w:rFonts w:ascii="Times New Roman" w:hAnsi="Times New Roman" w:cs="Times New Roman"/>
          <w:lang w:val="en-GB"/>
        </w:rPr>
        <w:t xml:space="preserve"> in the voivodeships of Pomerania, Silesia, </w:t>
      </w:r>
      <w:proofErr w:type="spellStart"/>
      <w:r w:rsidR="00191B0C" w:rsidRPr="00F65288">
        <w:rPr>
          <w:rFonts w:ascii="Times New Roman" w:hAnsi="Times New Roman" w:cs="Times New Roman"/>
          <w:lang w:val="en-GB"/>
        </w:rPr>
        <w:t>Łódź</w:t>
      </w:r>
      <w:proofErr w:type="spellEnd"/>
      <w:r w:rsidR="00191B0C" w:rsidRPr="00F65288">
        <w:rPr>
          <w:rFonts w:ascii="Times New Roman" w:hAnsi="Times New Roman" w:cs="Times New Roman"/>
          <w:lang w:val="en-GB"/>
        </w:rPr>
        <w:t xml:space="preserve">, and </w:t>
      </w:r>
      <w:proofErr w:type="spellStart"/>
      <w:r w:rsidR="00191B0C" w:rsidRPr="00F65288">
        <w:rPr>
          <w:rFonts w:ascii="Times New Roman" w:hAnsi="Times New Roman" w:cs="Times New Roman"/>
          <w:lang w:val="en-GB"/>
        </w:rPr>
        <w:t>Małopolska</w:t>
      </w:r>
      <w:proofErr w:type="spellEnd"/>
      <w:r w:rsidR="00191B0C" w:rsidRPr="00F65288">
        <w:rPr>
          <w:rFonts w:ascii="Times New Roman" w:hAnsi="Times New Roman" w:cs="Times New Roman"/>
          <w:lang w:val="en-GB"/>
        </w:rPr>
        <w:t xml:space="preserve"> was </w:t>
      </w:r>
      <w:r w:rsidR="004A67C8">
        <w:rPr>
          <w:rFonts w:ascii="Times New Roman" w:hAnsi="Times New Roman" w:cs="Times New Roman"/>
          <w:lang w:val="en-GB"/>
        </w:rPr>
        <w:t>primarily converted for residential purposes, which correlates closely</w:t>
      </w:r>
      <w:r w:rsidR="00191B0C" w:rsidRPr="00F65288">
        <w:rPr>
          <w:rFonts w:ascii="Times New Roman" w:hAnsi="Times New Roman" w:cs="Times New Roman"/>
          <w:lang w:val="en-GB"/>
        </w:rPr>
        <w:t xml:space="preserve"> with the attractiveness of these land resources and urbanization pressure. </w:t>
      </w:r>
    </w:p>
    <w:p w14:paraId="23D18330" w14:textId="4EB6D11E" w:rsidR="00191B0C" w:rsidRPr="00F65288" w:rsidRDefault="00191B0C" w:rsidP="00367C5A">
      <w:pPr>
        <w:rPr>
          <w:rFonts w:ascii="Times New Roman" w:hAnsi="Times New Roman" w:cs="Times New Roman"/>
          <w:lang w:val="en-GB"/>
        </w:rPr>
      </w:pPr>
      <w:r w:rsidRPr="00F65288">
        <w:rPr>
          <w:rFonts w:ascii="Times New Roman" w:hAnsi="Times New Roman" w:cs="Times New Roman"/>
          <w:lang w:val="en-GB"/>
        </w:rPr>
        <w:t xml:space="preserve">An analysis of </w:t>
      </w:r>
      <w:r w:rsidR="00293C0D" w:rsidRPr="00F65288">
        <w:rPr>
          <w:rFonts w:ascii="Times New Roman" w:hAnsi="Times New Roman" w:cs="Times New Roman"/>
          <w:lang w:val="en-GB"/>
        </w:rPr>
        <w:t>agricultural land</w:t>
      </w:r>
      <w:r w:rsidR="00EB2067" w:rsidRPr="00F65288">
        <w:rPr>
          <w:rFonts w:ascii="Times New Roman" w:hAnsi="Times New Roman" w:cs="Times New Roman"/>
          <w:lang w:val="en-GB"/>
        </w:rPr>
        <w:t xml:space="preserve"> conversions by soil quality class indicates that </w:t>
      </w:r>
      <w:r w:rsidR="00C13284" w:rsidRPr="00F65288">
        <w:rPr>
          <w:rFonts w:ascii="Times New Roman" w:hAnsi="Times New Roman" w:cs="Times New Roman"/>
          <w:lang w:val="en-GB"/>
        </w:rPr>
        <w:t xml:space="preserve">land with average agricultural </w:t>
      </w:r>
      <w:r w:rsidR="003759E2" w:rsidRPr="00F65288">
        <w:rPr>
          <w:rFonts w:ascii="Times New Roman" w:hAnsi="Times New Roman" w:cs="Times New Roman"/>
          <w:lang w:val="en-GB"/>
        </w:rPr>
        <w:t>suitability</w:t>
      </w:r>
      <w:r w:rsidR="00C13284" w:rsidRPr="00F65288">
        <w:rPr>
          <w:rFonts w:ascii="Times New Roman" w:hAnsi="Times New Roman" w:cs="Times New Roman"/>
          <w:lang w:val="en-GB"/>
        </w:rPr>
        <w:t xml:space="preserve"> (class IV) acts as a buffer in the process of sit</w:t>
      </w:r>
      <w:r w:rsidR="00D10939" w:rsidRPr="00F65288">
        <w:rPr>
          <w:rFonts w:ascii="Times New Roman" w:hAnsi="Times New Roman" w:cs="Times New Roman"/>
          <w:lang w:val="en-GB"/>
        </w:rPr>
        <w:t>i</w:t>
      </w:r>
      <w:r w:rsidR="00C13284" w:rsidRPr="00F65288">
        <w:rPr>
          <w:rFonts w:ascii="Times New Roman" w:hAnsi="Times New Roman" w:cs="Times New Roman"/>
          <w:lang w:val="en-GB"/>
        </w:rPr>
        <w:t xml:space="preserve">ng new development projects. Class IV soils account for a </w:t>
      </w:r>
      <w:r w:rsidR="004A67C8">
        <w:rPr>
          <w:rFonts w:ascii="Times New Roman" w:hAnsi="Times New Roman" w:cs="Times New Roman"/>
          <w:lang w:val="en-GB"/>
        </w:rPr>
        <w:t>significant proportion of land conversions, which suggests that agricultural land in this category may still be available and that a certain balanc</w:t>
      </w:r>
      <w:r w:rsidR="00C13284" w:rsidRPr="00F65288">
        <w:rPr>
          <w:rFonts w:ascii="Times New Roman" w:hAnsi="Times New Roman" w:cs="Times New Roman"/>
          <w:lang w:val="en-GB"/>
        </w:rPr>
        <w:t>e has been achieved between productive potential and development pressure. Planning instruments should be strengthened, particularly by expanding the coverage of</w:t>
      </w:r>
      <w:r w:rsidR="00691208" w:rsidRPr="00F65288">
        <w:rPr>
          <w:rFonts w:ascii="Times New Roman" w:hAnsi="Times New Roman" w:cs="Times New Roman"/>
          <w:lang w:val="en-GB"/>
        </w:rPr>
        <w:t xml:space="preserve"> local</w:t>
      </w:r>
      <w:r w:rsidR="00C13284" w:rsidRPr="00F65288">
        <w:rPr>
          <w:rFonts w:ascii="Times New Roman" w:hAnsi="Times New Roman" w:cs="Times New Roman"/>
          <w:lang w:val="en-GB"/>
        </w:rPr>
        <w:t xml:space="preserve"> zoning plans and reducing arbitrariness in de</w:t>
      </w:r>
      <w:r w:rsidR="004A67C8">
        <w:rPr>
          <w:rFonts w:ascii="Times New Roman" w:hAnsi="Times New Roman" w:cs="Times New Roman"/>
          <w:lang w:val="en-GB"/>
        </w:rPr>
        <w:t>velopment condition decis</w:t>
      </w:r>
      <w:r w:rsidR="00C13284" w:rsidRPr="00F65288">
        <w:rPr>
          <w:rFonts w:ascii="Times New Roman" w:hAnsi="Times New Roman" w:cs="Times New Roman"/>
          <w:lang w:val="en-GB"/>
        </w:rPr>
        <w:t xml:space="preserve">ions. The spatial planning policy should </w:t>
      </w:r>
      <w:r w:rsidR="004A67C8">
        <w:rPr>
          <w:rFonts w:ascii="Times New Roman" w:hAnsi="Times New Roman" w:cs="Times New Roman"/>
          <w:lang w:val="en-GB"/>
        </w:rPr>
        <w:t>also be</w:t>
      </w:r>
      <w:r w:rsidR="00C13284" w:rsidRPr="00F65288">
        <w:rPr>
          <w:rFonts w:ascii="Times New Roman" w:hAnsi="Times New Roman" w:cs="Times New Roman"/>
          <w:lang w:val="en-GB"/>
        </w:rPr>
        <w:t xml:space="preserve"> </w:t>
      </w:r>
      <w:r w:rsidR="00571476" w:rsidRPr="00F65288">
        <w:rPr>
          <w:rFonts w:ascii="Times New Roman" w:hAnsi="Times New Roman" w:cs="Times New Roman"/>
          <w:lang w:val="en-GB"/>
        </w:rPr>
        <w:t xml:space="preserve">integrated </w:t>
      </w:r>
      <w:r w:rsidR="00C13284" w:rsidRPr="00F65288">
        <w:rPr>
          <w:rFonts w:ascii="Times New Roman" w:hAnsi="Times New Roman" w:cs="Times New Roman"/>
          <w:lang w:val="en-GB"/>
        </w:rPr>
        <w:t>with the soil protection policy</w:t>
      </w:r>
      <w:r w:rsidR="004A67C8">
        <w:rPr>
          <w:rFonts w:ascii="Times New Roman" w:hAnsi="Times New Roman" w:cs="Times New Roman"/>
          <w:lang w:val="en-GB"/>
        </w:rPr>
        <w:t>,</w:t>
      </w:r>
      <w:r w:rsidR="00C13284" w:rsidRPr="00F65288">
        <w:rPr>
          <w:rFonts w:ascii="Times New Roman" w:hAnsi="Times New Roman" w:cs="Times New Roman"/>
          <w:lang w:val="en-GB"/>
        </w:rPr>
        <w:t xml:space="preserve"> both at the national and local level</w:t>
      </w:r>
      <w:r w:rsidR="004A67C8">
        <w:rPr>
          <w:rFonts w:ascii="Times New Roman" w:hAnsi="Times New Roman" w:cs="Times New Roman"/>
          <w:lang w:val="en-GB"/>
        </w:rPr>
        <w:t>s</w:t>
      </w:r>
      <w:r w:rsidR="00C13284" w:rsidRPr="00F65288">
        <w:rPr>
          <w:rFonts w:ascii="Times New Roman" w:hAnsi="Times New Roman" w:cs="Times New Roman"/>
          <w:lang w:val="en-GB"/>
        </w:rPr>
        <w:t xml:space="preserve">. </w:t>
      </w:r>
    </w:p>
    <w:p w14:paraId="770C163A" w14:textId="144A42CF" w:rsidR="00C13284" w:rsidRPr="00F65288" w:rsidRDefault="00F167AE" w:rsidP="00367C5A">
      <w:pPr>
        <w:rPr>
          <w:rFonts w:ascii="Times New Roman" w:hAnsi="Times New Roman" w:cs="Times New Roman"/>
          <w:lang w:val="en-GB"/>
        </w:rPr>
      </w:pPr>
      <w:r w:rsidRPr="00F65288">
        <w:rPr>
          <w:rFonts w:ascii="Times New Roman" w:hAnsi="Times New Roman" w:cs="Times New Roman"/>
          <w:lang w:val="en-GB"/>
        </w:rPr>
        <w:t>In an era of climate change and increas</w:t>
      </w:r>
      <w:r w:rsidR="004A67C8">
        <w:rPr>
          <w:rFonts w:ascii="Times New Roman" w:hAnsi="Times New Roman" w:cs="Times New Roman"/>
          <w:lang w:val="en-GB"/>
        </w:rPr>
        <w:t>ing food demand, protecting agricultural land should be a priority in</w:t>
      </w:r>
      <w:r w:rsidRPr="00F65288">
        <w:rPr>
          <w:rFonts w:ascii="Times New Roman" w:hAnsi="Times New Roman" w:cs="Times New Roman"/>
          <w:lang w:val="en-GB"/>
        </w:rPr>
        <w:t xml:space="preserve"> Poland</w:t>
      </w:r>
      <w:r w:rsidR="004A67C8">
        <w:rPr>
          <w:rFonts w:ascii="Times New Roman" w:hAnsi="Times New Roman" w:cs="Times New Roman"/>
          <w:lang w:val="en-GB"/>
        </w:rPr>
        <w:t>'</w:t>
      </w:r>
      <w:r w:rsidRPr="00F65288">
        <w:rPr>
          <w:rFonts w:ascii="Times New Roman" w:hAnsi="Times New Roman" w:cs="Times New Roman"/>
          <w:lang w:val="en-GB"/>
        </w:rPr>
        <w:t>s sustainable development policy. To achieve this goal, legal regulations should be revised, and systems for monitoring and assessing the effects of planning decisions on land resources should be further developed.</w:t>
      </w:r>
    </w:p>
    <w:p w14:paraId="66DDF411" w14:textId="3C172DCB" w:rsidR="00F167AE" w:rsidRPr="00F65288" w:rsidRDefault="00F167AE" w:rsidP="00367C5A">
      <w:pPr>
        <w:rPr>
          <w:rFonts w:ascii="Times New Roman" w:hAnsi="Times New Roman" w:cs="Times New Roman"/>
          <w:lang w:val="en-GB"/>
        </w:rPr>
      </w:pPr>
      <w:r w:rsidRPr="00F65288">
        <w:rPr>
          <w:rFonts w:ascii="Times New Roman" w:hAnsi="Times New Roman" w:cs="Times New Roman"/>
          <w:lang w:val="en-GB"/>
        </w:rPr>
        <w:t xml:space="preserve">The results of this study indicate that </w:t>
      </w:r>
      <w:r w:rsidR="00293C0D" w:rsidRPr="00F65288">
        <w:rPr>
          <w:rFonts w:ascii="Times New Roman" w:hAnsi="Times New Roman" w:cs="Times New Roman"/>
          <w:lang w:val="en-GB"/>
        </w:rPr>
        <w:t>agricultural land</w:t>
      </w:r>
      <w:r w:rsidRPr="00F65288">
        <w:rPr>
          <w:rFonts w:ascii="Times New Roman" w:hAnsi="Times New Roman" w:cs="Times New Roman"/>
          <w:lang w:val="en-GB"/>
        </w:rPr>
        <w:t xml:space="preserve"> conversion should </w:t>
      </w:r>
      <w:r w:rsidR="009A0A01" w:rsidRPr="00F65288">
        <w:rPr>
          <w:rFonts w:ascii="Times New Roman" w:hAnsi="Times New Roman" w:cs="Times New Roman"/>
          <w:lang w:val="en-GB"/>
        </w:rPr>
        <w:t xml:space="preserve">be </w:t>
      </w:r>
      <w:r w:rsidR="00571476" w:rsidRPr="00F65288">
        <w:rPr>
          <w:rFonts w:ascii="Times New Roman" w:hAnsi="Times New Roman" w:cs="Times New Roman"/>
          <w:lang w:val="en-GB"/>
        </w:rPr>
        <w:t xml:space="preserve">further </w:t>
      </w:r>
      <w:r w:rsidRPr="00F65288">
        <w:rPr>
          <w:rFonts w:ascii="Times New Roman" w:hAnsi="Times New Roman" w:cs="Times New Roman"/>
          <w:lang w:val="en-GB"/>
        </w:rPr>
        <w:t>monitored in terms of location, soil quality, and spatial functions. Rational land management requires the integration of planning policy and land protection policy, as well as the implementation of more diverse and flexible protection mechanisms, particular</w:t>
      </w:r>
      <w:r w:rsidR="00571476" w:rsidRPr="00F65288">
        <w:rPr>
          <w:rFonts w:ascii="Times New Roman" w:hAnsi="Times New Roman" w:cs="Times New Roman"/>
          <w:lang w:val="en-GB"/>
        </w:rPr>
        <w:t>ly</w:t>
      </w:r>
      <w:r w:rsidRPr="00F65288">
        <w:rPr>
          <w:rFonts w:ascii="Times New Roman" w:hAnsi="Times New Roman" w:cs="Times New Roman"/>
          <w:lang w:val="en-GB"/>
        </w:rPr>
        <w:t xml:space="preserve"> in the context of growing urbanization pressure and climate change. </w:t>
      </w:r>
    </w:p>
    <w:p w14:paraId="7BE92ED3" w14:textId="77777777" w:rsidR="00CC7C85" w:rsidRDefault="00CC7C85">
      <w:pPr>
        <w:rPr>
          <w:rFonts w:ascii="Times New Roman" w:hAnsi="Times New Roman"/>
          <w:b/>
          <w:lang w:val="en-GB"/>
        </w:rPr>
      </w:pPr>
      <w:r>
        <w:rPr>
          <w:lang w:val="en-GB"/>
        </w:rPr>
        <w:br w:type="page"/>
      </w:r>
    </w:p>
    <w:p w14:paraId="5DB36308" w14:textId="6C14FADF" w:rsidR="00CC03CE" w:rsidRPr="00F65288" w:rsidRDefault="00F167AE" w:rsidP="00CC75C2">
      <w:pPr>
        <w:pStyle w:val="Rn2"/>
        <w:rPr>
          <w:lang w:val="en-GB"/>
        </w:rPr>
      </w:pPr>
      <w:r w:rsidRPr="00F65288">
        <w:rPr>
          <w:lang w:val="en-GB"/>
        </w:rPr>
        <w:lastRenderedPageBreak/>
        <w:t>References</w:t>
      </w:r>
    </w:p>
    <w:p w14:paraId="5E092D0B" w14:textId="77777777" w:rsidR="00170559" w:rsidRPr="004A67C8" w:rsidRDefault="00170559" w:rsidP="00CC75C2">
      <w:pPr>
        <w:pStyle w:val="Rlit"/>
        <w:rPr>
          <w:lang w:val="pl-PL"/>
        </w:rPr>
      </w:pPr>
      <w:r w:rsidRPr="00F65288">
        <w:t>Andrzejewska, A.</w:t>
      </w:r>
      <w:r>
        <w:t xml:space="preserve"> </w:t>
      </w:r>
      <w:r w:rsidRPr="00F65288">
        <w:t xml:space="preserve">K. (2025). Protection of the </w:t>
      </w:r>
      <w:r>
        <w:t>N</w:t>
      </w:r>
      <w:r w:rsidRPr="00F65288">
        <w:t xml:space="preserve">atural </w:t>
      </w:r>
      <w:r>
        <w:t>E</w:t>
      </w:r>
      <w:r w:rsidRPr="00F65288">
        <w:t xml:space="preserve">nvironment of </w:t>
      </w:r>
      <w:r>
        <w:t>C</w:t>
      </w:r>
      <w:r w:rsidRPr="00F65288">
        <w:t xml:space="preserve">ities at </w:t>
      </w:r>
      <w:r>
        <w:t>V</w:t>
      </w:r>
      <w:r w:rsidRPr="00F65288">
        <w:t xml:space="preserve">arious </w:t>
      </w:r>
      <w:r>
        <w:t>L</w:t>
      </w:r>
      <w:r w:rsidRPr="00F65288">
        <w:t xml:space="preserve">evels of </w:t>
      </w:r>
      <w:r>
        <w:t>S</w:t>
      </w:r>
      <w:r w:rsidRPr="00F65288">
        <w:t xml:space="preserve">patial </w:t>
      </w:r>
      <w:r>
        <w:t>P</w:t>
      </w:r>
      <w:r w:rsidRPr="00F65288">
        <w:t>lanning in Poland</w:t>
      </w:r>
      <w:r>
        <w:t xml:space="preserve"> </w:t>
      </w:r>
      <w:r w:rsidRPr="00F65288">
        <w:t>–</w:t>
      </w:r>
      <w:r>
        <w:t xml:space="preserve"> S</w:t>
      </w:r>
      <w:r w:rsidRPr="00F65288">
        <w:t xml:space="preserve">elected </w:t>
      </w:r>
      <w:r>
        <w:t>I</w:t>
      </w:r>
      <w:r w:rsidRPr="00F65288">
        <w:t xml:space="preserve">ssues. </w:t>
      </w:r>
      <w:r w:rsidRPr="004A67C8">
        <w:rPr>
          <w:i/>
          <w:iCs/>
          <w:lang w:val="pl-PL"/>
        </w:rPr>
        <w:t>Space &amp; Form | Przestrzeń i Forma</w:t>
      </w:r>
      <w:r w:rsidRPr="004A67C8">
        <w:rPr>
          <w:lang w:val="pl-PL"/>
        </w:rPr>
        <w:t xml:space="preserve">, </w:t>
      </w:r>
      <w:r w:rsidRPr="004A67C8">
        <w:rPr>
          <w:i/>
          <w:iCs/>
          <w:lang w:val="pl-PL"/>
        </w:rPr>
        <w:t>61</w:t>
      </w:r>
      <w:r w:rsidRPr="004A67C8">
        <w:rPr>
          <w:lang w:val="pl-PL"/>
        </w:rPr>
        <w:t xml:space="preserve">. </w:t>
      </w:r>
      <w:hyperlink r:id="rId15" w:history="1">
        <w:r w:rsidRPr="004A67C8">
          <w:rPr>
            <w:rStyle w:val="Hipercze"/>
            <w:color w:val="auto"/>
            <w:u w:val="none"/>
            <w:lang w:val="pl-PL"/>
          </w:rPr>
          <w:t>https://doi.org/10.21005/pif.2025.61.C-01</w:t>
        </w:r>
      </w:hyperlink>
    </w:p>
    <w:p w14:paraId="2111DADC" w14:textId="77777777" w:rsidR="00170559" w:rsidRPr="004A67C8" w:rsidRDefault="00170559" w:rsidP="00CC75C2">
      <w:pPr>
        <w:pStyle w:val="Rlit"/>
        <w:rPr>
          <w:lang w:val="pl-PL"/>
        </w:rPr>
      </w:pPr>
      <w:proofErr w:type="spellStart"/>
      <w:r w:rsidRPr="004A67C8">
        <w:rPr>
          <w:lang w:val="pl-PL"/>
        </w:rPr>
        <w:t>Bieluk</w:t>
      </w:r>
      <w:proofErr w:type="spellEnd"/>
      <w:r w:rsidRPr="004A67C8">
        <w:rPr>
          <w:lang w:val="pl-PL"/>
        </w:rPr>
        <w:t xml:space="preserve">, J. (2015). Instrumenty finansowe ochrony gruntów rolnych i leśnych. </w:t>
      </w:r>
      <w:r w:rsidRPr="004A67C8">
        <w:rPr>
          <w:i/>
          <w:iCs/>
          <w:lang w:val="pl-PL"/>
        </w:rPr>
        <w:t xml:space="preserve">Acta </w:t>
      </w:r>
      <w:proofErr w:type="spellStart"/>
      <w:r w:rsidRPr="004A67C8">
        <w:rPr>
          <w:i/>
          <w:iCs/>
          <w:lang w:val="pl-PL"/>
        </w:rPr>
        <w:t>Universitatis</w:t>
      </w:r>
      <w:proofErr w:type="spellEnd"/>
      <w:r w:rsidRPr="004A67C8">
        <w:rPr>
          <w:i/>
          <w:iCs/>
          <w:lang w:val="pl-PL"/>
        </w:rPr>
        <w:t xml:space="preserve"> </w:t>
      </w:r>
      <w:proofErr w:type="spellStart"/>
      <w:r w:rsidRPr="004A67C8">
        <w:rPr>
          <w:i/>
          <w:iCs/>
          <w:lang w:val="pl-PL"/>
        </w:rPr>
        <w:t>Wratislaviensis</w:t>
      </w:r>
      <w:proofErr w:type="spellEnd"/>
      <w:r w:rsidRPr="004A67C8">
        <w:rPr>
          <w:i/>
          <w:iCs/>
          <w:lang w:val="pl-PL"/>
        </w:rPr>
        <w:t>. Prawo</w:t>
      </w:r>
      <w:r w:rsidRPr="004A67C8">
        <w:rPr>
          <w:lang w:val="pl-PL"/>
        </w:rPr>
        <w:t xml:space="preserve">, </w:t>
      </w:r>
      <w:r w:rsidRPr="004A67C8">
        <w:rPr>
          <w:i/>
          <w:iCs/>
          <w:lang w:val="pl-PL"/>
        </w:rPr>
        <w:t>318</w:t>
      </w:r>
      <w:r w:rsidRPr="004A67C8">
        <w:rPr>
          <w:lang w:val="pl-PL"/>
        </w:rPr>
        <w:t xml:space="preserve">.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w:t>
      </w:r>
    </w:p>
    <w:p w14:paraId="4505F7EC" w14:textId="7FF1B9A4" w:rsidR="00170559" w:rsidRPr="004A67C8" w:rsidRDefault="00170559" w:rsidP="00CC75C2">
      <w:pPr>
        <w:pStyle w:val="Rlit"/>
        <w:rPr>
          <w:lang w:val="pl-PL"/>
        </w:rPr>
      </w:pPr>
      <w:r w:rsidRPr="004A67C8">
        <w:rPr>
          <w:lang w:val="pl-PL"/>
        </w:rPr>
        <w:t xml:space="preserve">Błażewski, M. (2024). </w:t>
      </w:r>
      <w:r w:rsidRPr="004A67C8">
        <w:rPr>
          <w:i/>
          <w:iCs/>
          <w:lang w:val="pl-PL"/>
        </w:rPr>
        <w:t>Skutki prawne uchwalenia lub zmiany miejscowego planu zagospodarowania przestrzennego</w:t>
      </w:r>
      <w:r w:rsidRPr="004A67C8">
        <w:rPr>
          <w:lang w:val="pl-PL"/>
        </w:rPr>
        <w:t xml:space="preserve">. </w:t>
      </w:r>
      <w:r w:rsidR="00346F69">
        <w:rPr>
          <w:lang w:val="pl-PL"/>
        </w:rPr>
        <w:br/>
      </w:r>
      <w:r w:rsidRPr="004A67C8">
        <w:rPr>
          <w:lang w:val="pl-PL"/>
        </w:rPr>
        <w:t xml:space="preserve">E-Wydawnictwo. Prawnicza i Ekonomiczna Biblioteka Cyfrowa – Wydział Prawa, Administracji i Ekonomii Uniwersytetu Wrocławskiego.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w:t>
      </w:r>
      <w:r w:rsidRPr="004A67C8">
        <w:rPr>
          <w:lang w:val="pl-PL"/>
        </w:rPr>
        <w:t xml:space="preserve"> </w:t>
      </w:r>
      <w:hyperlink r:id="rId16" w:history="1">
        <w:r w:rsidRPr="004A67C8">
          <w:rPr>
            <w:rStyle w:val="Hipercze"/>
            <w:color w:val="auto"/>
            <w:u w:val="none"/>
            <w:lang w:val="pl-PL"/>
          </w:rPr>
          <w:t>https://doi.org/10.19195/978-83-229-3932-1</w:t>
        </w:r>
      </w:hyperlink>
    </w:p>
    <w:p w14:paraId="1104F5F3" w14:textId="65C7AB9D" w:rsidR="00170559" w:rsidRPr="004A67C8" w:rsidRDefault="00170559" w:rsidP="00CC75C2">
      <w:pPr>
        <w:pStyle w:val="Rlit"/>
        <w:rPr>
          <w:lang w:val="pl-PL"/>
        </w:rPr>
      </w:pPr>
      <w:r w:rsidRPr="004A67C8">
        <w:rPr>
          <w:lang w:val="pl-PL"/>
        </w:rPr>
        <w:t>Ciechanowicz-</w:t>
      </w:r>
      <w:proofErr w:type="spellStart"/>
      <w:r w:rsidRPr="004A67C8">
        <w:rPr>
          <w:lang w:val="pl-PL"/>
        </w:rPr>
        <w:t>McLean</w:t>
      </w:r>
      <w:proofErr w:type="spellEnd"/>
      <w:r w:rsidRPr="004A67C8">
        <w:rPr>
          <w:lang w:val="pl-PL"/>
        </w:rPr>
        <w:t xml:space="preserve">, J., &amp; Wysokińska, K. (2018). </w:t>
      </w:r>
      <w:r w:rsidRPr="004A67C8">
        <w:rPr>
          <w:i/>
          <w:iCs/>
          <w:lang w:val="pl-PL"/>
        </w:rPr>
        <w:t>Prawna ochrona gruntów rolnych i leśnych w Polsce</w:t>
      </w:r>
      <w:r w:rsidRPr="004A67C8">
        <w:rPr>
          <w:lang w:val="pl-PL"/>
        </w:rPr>
        <w:t>. W A. Barczak &amp; P. Korzeniowski (</w:t>
      </w:r>
      <w:proofErr w:type="spellStart"/>
      <w:r w:rsidRPr="004A67C8">
        <w:rPr>
          <w:lang w:val="pl-PL"/>
        </w:rPr>
        <w:t>Eds</w:t>
      </w:r>
      <w:proofErr w:type="spellEnd"/>
      <w:r w:rsidRPr="004A67C8">
        <w:rPr>
          <w:lang w:val="pl-PL"/>
        </w:rPr>
        <w:t>.), Administracja a środowisko: prace dedykowane prof. zw. dr. hab. Markowi Górskiemu z</w:t>
      </w:r>
      <w:r w:rsidR="00346F69">
        <w:rPr>
          <w:lang w:val="pl-PL"/>
        </w:rPr>
        <w:t> </w:t>
      </w:r>
      <w:r w:rsidRPr="004A67C8">
        <w:rPr>
          <w:lang w:val="pl-PL"/>
        </w:rPr>
        <w:t>okazji jubileuszu 45-lecia pracy naukowej (No. 1021; 157</w:t>
      </w:r>
      <w:r w:rsidR="00790A4D">
        <w:rPr>
          <w:lang w:val="pl-PL"/>
        </w:rPr>
        <w:t>-</w:t>
      </w:r>
      <w:r w:rsidRPr="004A67C8">
        <w:rPr>
          <w:lang w:val="pl-PL"/>
        </w:rPr>
        <w:t xml:space="preserve">172). Wydawnictwo Naukowe Uniwersytetu Szczecińskiego. ISBN 978-83-7972-211-2.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w:t>
      </w:r>
    </w:p>
    <w:p w14:paraId="065C1D42" w14:textId="77777777" w:rsidR="00170559" w:rsidRPr="00F65288" w:rsidRDefault="00170559" w:rsidP="00CC75C2">
      <w:pPr>
        <w:pStyle w:val="Rlit"/>
      </w:pPr>
      <w:r w:rsidRPr="004A67C8">
        <w:rPr>
          <w:lang w:val="pl-PL"/>
        </w:rPr>
        <w:t xml:space="preserve">Cymerman, R. (2010). Problemy odrolnienia i odlesienia gruntów. </w:t>
      </w:r>
      <w:r w:rsidRPr="004A67C8">
        <w:rPr>
          <w:i/>
          <w:iCs/>
          <w:lang w:val="pl-PL"/>
        </w:rPr>
        <w:t>Zeszyty Naukowe UP Wrocław</w:t>
      </w:r>
      <w:r w:rsidRPr="004A67C8">
        <w:rPr>
          <w:lang w:val="pl-PL"/>
        </w:rPr>
        <w:t xml:space="preserve">, </w:t>
      </w:r>
      <w:r w:rsidRPr="004A67C8">
        <w:rPr>
          <w:i/>
          <w:iCs/>
          <w:lang w:val="pl-PL"/>
        </w:rPr>
        <w:t>Rolnictwo</w:t>
      </w:r>
      <w:r w:rsidRPr="004A67C8">
        <w:rPr>
          <w:lang w:val="pl-PL"/>
        </w:rPr>
        <w:t xml:space="preserve">, </w:t>
      </w:r>
      <w:r w:rsidRPr="004A67C8">
        <w:rPr>
          <w:i/>
          <w:iCs/>
          <w:lang w:val="pl-PL"/>
        </w:rPr>
        <w:t>XCVI</w:t>
      </w:r>
      <w:r w:rsidRPr="004A67C8">
        <w:rPr>
          <w:lang w:val="pl-PL"/>
        </w:rPr>
        <w:t xml:space="preserve">(576), 45-58. </w:t>
      </w:r>
      <w:r w:rsidRPr="00FE40B9">
        <w:rPr>
          <w:spacing w:val="-2"/>
          <w:lang w:val="en-GB"/>
        </w:rPr>
        <w:t>(</w:t>
      </w:r>
      <w:r>
        <w:rPr>
          <w:spacing w:val="-2"/>
          <w:lang w:val="en-GB"/>
        </w:rPr>
        <w:t>i</w:t>
      </w:r>
      <w:r w:rsidRPr="00FE40B9">
        <w:rPr>
          <w:spacing w:val="-2"/>
          <w:lang w:val="en-GB"/>
        </w:rPr>
        <w:t>n Polish)</w:t>
      </w:r>
    </w:p>
    <w:p w14:paraId="16DB2660" w14:textId="77777777" w:rsidR="00170559" w:rsidRPr="00F65288" w:rsidRDefault="00170559" w:rsidP="00CC75C2">
      <w:pPr>
        <w:pStyle w:val="Rlit"/>
      </w:pPr>
      <w:r w:rsidRPr="00F65288">
        <w:t xml:space="preserve">Cymerman, R., &amp; </w:t>
      </w:r>
      <w:proofErr w:type="spellStart"/>
      <w:r w:rsidRPr="00F65288">
        <w:t>Kotlewski</w:t>
      </w:r>
      <w:proofErr w:type="spellEnd"/>
      <w:r w:rsidRPr="00F65288">
        <w:t xml:space="preserve">, L. (2017). </w:t>
      </w:r>
      <w:r w:rsidRPr="00820850">
        <w:rPr>
          <w:i/>
          <w:iCs/>
        </w:rPr>
        <w:t>An analysis of the influence of planning conditions on property value</w:t>
      </w:r>
      <w:r w:rsidRPr="00F65288">
        <w:t xml:space="preserve">. In 2017 Baltic Geodetic Congress (BGC Geomatics) (pp. 39-44). IEEE. </w:t>
      </w:r>
      <w:hyperlink r:id="rId17" w:history="1">
        <w:r w:rsidRPr="00F65288">
          <w:rPr>
            <w:rStyle w:val="Hipercze"/>
            <w:color w:val="auto"/>
            <w:u w:val="none"/>
            <w:lang w:val="en-GB"/>
          </w:rPr>
          <w:t>https://doi.org/10.1109/BGC.Geomatics.2017.33</w:t>
        </w:r>
      </w:hyperlink>
    </w:p>
    <w:p w14:paraId="705BE998" w14:textId="77777777" w:rsidR="00170559" w:rsidRPr="004A67C8" w:rsidRDefault="00170559" w:rsidP="00CC75C2">
      <w:pPr>
        <w:pStyle w:val="Rlit"/>
        <w:rPr>
          <w:lang w:val="pl-PL"/>
        </w:rPr>
      </w:pPr>
      <w:r w:rsidRPr="004A67C8">
        <w:rPr>
          <w:lang w:val="pl-PL"/>
        </w:rPr>
        <w:t xml:space="preserve">Cymerman, R., Kowalczyk, C., &amp; Kurowska, K. (2012). </w:t>
      </w:r>
      <w:r w:rsidRPr="004A67C8">
        <w:rPr>
          <w:i/>
          <w:iCs/>
          <w:lang w:val="pl-PL"/>
        </w:rPr>
        <w:t xml:space="preserve">Ekonomiczne i prawne aspekty </w:t>
      </w:r>
      <w:proofErr w:type="spellStart"/>
      <w:r w:rsidRPr="004A67C8">
        <w:rPr>
          <w:i/>
          <w:iCs/>
          <w:lang w:val="pl-PL"/>
        </w:rPr>
        <w:t>odrolniania</w:t>
      </w:r>
      <w:proofErr w:type="spellEnd"/>
      <w:r w:rsidRPr="004A67C8">
        <w:rPr>
          <w:i/>
          <w:iCs/>
          <w:lang w:val="pl-PL"/>
        </w:rPr>
        <w:t xml:space="preserve"> i </w:t>
      </w:r>
      <w:proofErr w:type="spellStart"/>
      <w:r w:rsidRPr="004A67C8">
        <w:rPr>
          <w:i/>
          <w:iCs/>
          <w:lang w:val="pl-PL"/>
        </w:rPr>
        <w:t>odlesiania</w:t>
      </w:r>
      <w:proofErr w:type="spellEnd"/>
      <w:r w:rsidRPr="004A67C8">
        <w:rPr>
          <w:i/>
          <w:iCs/>
          <w:lang w:val="pl-PL"/>
        </w:rPr>
        <w:t xml:space="preserve"> gruntów</w:t>
      </w:r>
      <w:r w:rsidRPr="004A67C8">
        <w:rPr>
          <w:lang w:val="pl-PL"/>
        </w:rPr>
        <w:t xml:space="preserve">. Wydawnictwo </w:t>
      </w:r>
      <w:proofErr w:type="spellStart"/>
      <w:r w:rsidRPr="004A67C8">
        <w:rPr>
          <w:lang w:val="pl-PL"/>
        </w:rPr>
        <w:t>Educaterra</w:t>
      </w:r>
      <w:proofErr w:type="spellEnd"/>
      <w:r w:rsidRPr="004A67C8">
        <w:rPr>
          <w:lang w:val="pl-PL"/>
        </w:rPr>
        <w:t xml:space="preserve">, Olsztyn.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w:t>
      </w:r>
    </w:p>
    <w:p w14:paraId="111D5951" w14:textId="77777777" w:rsidR="00170559" w:rsidRPr="004A67C8" w:rsidRDefault="00170559" w:rsidP="00CC75C2">
      <w:pPr>
        <w:pStyle w:val="Rlit"/>
        <w:rPr>
          <w:lang w:val="pl-PL"/>
        </w:rPr>
      </w:pPr>
      <w:r w:rsidRPr="004A67C8">
        <w:rPr>
          <w:lang w:val="pl-PL"/>
        </w:rPr>
        <w:t xml:space="preserve">Górski, M., </w:t>
      </w:r>
      <w:proofErr w:type="spellStart"/>
      <w:r w:rsidRPr="004A67C8">
        <w:rPr>
          <w:lang w:val="pl-PL"/>
        </w:rPr>
        <w:t>Pchałek</w:t>
      </w:r>
      <w:proofErr w:type="spellEnd"/>
      <w:r w:rsidRPr="004A67C8">
        <w:rPr>
          <w:lang w:val="pl-PL"/>
        </w:rPr>
        <w:t xml:space="preserve">, M., Radecki, W., </w:t>
      </w:r>
      <w:proofErr w:type="spellStart"/>
      <w:r w:rsidRPr="004A67C8">
        <w:rPr>
          <w:lang w:val="pl-PL"/>
        </w:rPr>
        <w:t>Jerzmański</w:t>
      </w:r>
      <w:proofErr w:type="spellEnd"/>
      <w:r w:rsidRPr="004A67C8">
        <w:rPr>
          <w:lang w:val="pl-PL"/>
        </w:rPr>
        <w:t xml:space="preserve">, J., Bar, M., Urban, S., &amp; </w:t>
      </w:r>
      <w:proofErr w:type="spellStart"/>
      <w:r w:rsidRPr="004A67C8">
        <w:rPr>
          <w:lang w:val="pl-PL"/>
        </w:rPr>
        <w:t>Jendrośka</w:t>
      </w:r>
      <w:proofErr w:type="spellEnd"/>
      <w:r w:rsidRPr="004A67C8">
        <w:rPr>
          <w:lang w:val="pl-PL"/>
        </w:rPr>
        <w:t xml:space="preserve">, J. (2019). </w:t>
      </w:r>
      <w:r w:rsidRPr="004A67C8">
        <w:rPr>
          <w:i/>
          <w:iCs/>
          <w:lang w:val="pl-PL"/>
        </w:rPr>
        <w:t>Prawo ochrony środowiska</w:t>
      </w:r>
      <w:r w:rsidRPr="004A67C8">
        <w:rPr>
          <w:lang w:val="pl-PL"/>
        </w:rPr>
        <w:t xml:space="preserve">. Komentarz. Warszawa.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w:t>
      </w:r>
    </w:p>
    <w:p w14:paraId="2DF83DE3" w14:textId="77777777" w:rsidR="00170559" w:rsidRPr="004A67C8" w:rsidRDefault="00170559" w:rsidP="00973D46">
      <w:pPr>
        <w:pStyle w:val="Rlit"/>
        <w:jc w:val="left"/>
        <w:rPr>
          <w:lang w:val="pl-PL"/>
        </w:rPr>
      </w:pPr>
      <w:r w:rsidRPr="004A67C8">
        <w:rPr>
          <w:lang w:val="pl-PL"/>
        </w:rPr>
        <w:t xml:space="preserve">Inżynier Budownictwa. (2023). Zmiany w ustawie o planowaniu i zagospodarowaniu przestrzennym 2023. </w:t>
      </w:r>
      <w:hyperlink r:id="rId18" w:history="1">
        <w:r w:rsidRPr="004A67C8">
          <w:rPr>
            <w:rStyle w:val="Hipercze"/>
            <w:color w:val="auto"/>
            <w:u w:val="none"/>
            <w:lang w:val="pl-PL"/>
          </w:rPr>
          <w:t>https://inzynierbudownictwa.pl</w:t>
        </w:r>
      </w:hyperlink>
      <w:r w:rsidRPr="004A67C8">
        <w:rPr>
          <w:lang w:val="pl-PL"/>
        </w:rPr>
        <w:t xml:space="preserve"> (</w:t>
      </w:r>
      <w:proofErr w:type="spellStart"/>
      <w:r w:rsidRPr="004A67C8">
        <w:rPr>
          <w:lang w:val="pl-PL"/>
        </w:rPr>
        <w:t>accessed</w:t>
      </w:r>
      <w:proofErr w:type="spellEnd"/>
      <w:r w:rsidRPr="004A67C8">
        <w:rPr>
          <w:lang w:val="pl-PL"/>
        </w:rPr>
        <w:t xml:space="preserve"> on 22 </w:t>
      </w:r>
      <w:proofErr w:type="spellStart"/>
      <w:r w:rsidRPr="004A67C8">
        <w:rPr>
          <w:lang w:val="pl-PL"/>
        </w:rPr>
        <w:t>July</w:t>
      </w:r>
      <w:proofErr w:type="spellEnd"/>
      <w:r w:rsidRPr="004A67C8">
        <w:rPr>
          <w:lang w:val="pl-PL"/>
        </w:rPr>
        <w:t xml:space="preserve"> 2025)</w:t>
      </w:r>
    </w:p>
    <w:p w14:paraId="276AEF8E" w14:textId="0E625018" w:rsidR="00170559" w:rsidRPr="00F65288" w:rsidRDefault="00170559" w:rsidP="00CC75C2">
      <w:pPr>
        <w:pStyle w:val="Rlit"/>
      </w:pPr>
      <w:r w:rsidRPr="004A67C8">
        <w:rPr>
          <w:lang w:val="pl-PL"/>
        </w:rPr>
        <w:t>Karpiuk, M. (2013). Normatywne aspekty ograniczenia przeznaczenia gruntów rolnych i leśnych na cele nierolnicze i</w:t>
      </w:r>
      <w:r w:rsidR="00346F69">
        <w:rPr>
          <w:lang w:val="pl-PL"/>
        </w:rPr>
        <w:t> </w:t>
      </w:r>
      <w:r w:rsidRPr="004A67C8">
        <w:rPr>
          <w:lang w:val="pl-PL"/>
        </w:rPr>
        <w:t xml:space="preserve">nieleśne. </w:t>
      </w:r>
      <w:r w:rsidRPr="00820850">
        <w:rPr>
          <w:i/>
          <w:iCs/>
        </w:rPr>
        <w:t xml:space="preserve">Studia </w:t>
      </w:r>
      <w:proofErr w:type="spellStart"/>
      <w:r w:rsidRPr="00820850">
        <w:rPr>
          <w:i/>
          <w:iCs/>
        </w:rPr>
        <w:t>Iuridica</w:t>
      </w:r>
      <w:proofErr w:type="spellEnd"/>
      <w:r w:rsidRPr="00820850">
        <w:rPr>
          <w:i/>
          <w:iCs/>
        </w:rPr>
        <w:t xml:space="preserve"> </w:t>
      </w:r>
      <w:proofErr w:type="spellStart"/>
      <w:r w:rsidRPr="00820850">
        <w:rPr>
          <w:i/>
          <w:iCs/>
        </w:rPr>
        <w:t>Lublinensia</w:t>
      </w:r>
      <w:proofErr w:type="spellEnd"/>
      <w:r w:rsidRPr="00F65288">
        <w:t xml:space="preserve">, </w:t>
      </w:r>
      <w:r w:rsidRPr="00820850">
        <w:rPr>
          <w:i/>
          <w:iCs/>
        </w:rPr>
        <w:t>20</w:t>
      </w:r>
      <w:r w:rsidRPr="00F65288">
        <w:t>, 71</w:t>
      </w:r>
      <w:r>
        <w:t>-</w:t>
      </w:r>
      <w:r w:rsidRPr="00F65288">
        <w:t>84</w:t>
      </w:r>
      <w:r>
        <w:t xml:space="preserve">. </w:t>
      </w:r>
      <w:r w:rsidRPr="00FE40B9">
        <w:rPr>
          <w:spacing w:val="-2"/>
          <w:lang w:val="en-GB"/>
        </w:rPr>
        <w:t>(</w:t>
      </w:r>
      <w:r>
        <w:rPr>
          <w:spacing w:val="-2"/>
          <w:lang w:val="en-GB"/>
        </w:rPr>
        <w:t>i</w:t>
      </w:r>
      <w:r w:rsidRPr="00FE40B9">
        <w:rPr>
          <w:spacing w:val="-2"/>
          <w:lang w:val="en-GB"/>
        </w:rPr>
        <w:t>n Polish)</w:t>
      </w:r>
      <w:r w:rsidRPr="00F65288">
        <w:t xml:space="preserve"> </w:t>
      </w:r>
      <w:hyperlink r:id="rId19" w:history="1">
        <w:r w:rsidRPr="00F65288">
          <w:rPr>
            <w:rStyle w:val="Hipercze"/>
            <w:color w:val="auto"/>
            <w:u w:val="none"/>
            <w:lang w:val="en-GB"/>
          </w:rPr>
          <w:t>https://doi.org/10.17951/sil.2013.20.0.71</w:t>
        </w:r>
      </w:hyperlink>
    </w:p>
    <w:p w14:paraId="4C74D601" w14:textId="77777777" w:rsidR="00170559" w:rsidRPr="00F65288" w:rsidRDefault="00170559" w:rsidP="00820850">
      <w:pPr>
        <w:pStyle w:val="Rlit"/>
        <w:jc w:val="left"/>
      </w:pPr>
      <w:r w:rsidRPr="00F65288">
        <w:t xml:space="preserve">Kijowski, D. R. (2012). </w:t>
      </w:r>
      <w:r w:rsidRPr="004A67C8">
        <w:rPr>
          <w:lang w:val="pl-PL"/>
        </w:rPr>
        <w:t xml:space="preserve">Ochrona gruntów rolnych – prawda czy fikcja? </w:t>
      </w:r>
      <w:proofErr w:type="spellStart"/>
      <w:r w:rsidRPr="00F65288">
        <w:t>Repozytorium</w:t>
      </w:r>
      <w:proofErr w:type="spellEnd"/>
      <w:r w:rsidRPr="00F65288">
        <w:t xml:space="preserve"> UWB. </w:t>
      </w:r>
      <w:r w:rsidRPr="00FE40B9">
        <w:rPr>
          <w:spacing w:val="-2"/>
          <w:lang w:val="en-GB"/>
        </w:rPr>
        <w:t>(</w:t>
      </w:r>
      <w:r>
        <w:rPr>
          <w:spacing w:val="-2"/>
          <w:lang w:val="en-GB"/>
        </w:rPr>
        <w:t>i</w:t>
      </w:r>
      <w:r w:rsidRPr="00FE40B9">
        <w:rPr>
          <w:spacing w:val="-2"/>
          <w:lang w:val="en-GB"/>
        </w:rPr>
        <w:t>n Polish)</w:t>
      </w:r>
      <w:r>
        <w:br/>
      </w:r>
      <w:hyperlink r:id="rId20" w:history="1">
        <w:r w:rsidRPr="00F65288">
          <w:rPr>
            <w:rStyle w:val="Hipercze"/>
            <w:color w:val="auto"/>
            <w:u w:val="none"/>
            <w:lang w:val="en-GB"/>
          </w:rPr>
          <w:t>http://hdl.handle.net/11320/14005</w:t>
        </w:r>
      </w:hyperlink>
    </w:p>
    <w:p w14:paraId="3942BFC7" w14:textId="77777777" w:rsidR="00170559" w:rsidRPr="004A67C8" w:rsidRDefault="00170559" w:rsidP="00CC75C2">
      <w:pPr>
        <w:pStyle w:val="Rlit"/>
        <w:rPr>
          <w:lang w:val="pl-PL"/>
        </w:rPr>
      </w:pPr>
      <w:r w:rsidRPr="00F65288">
        <w:t>Koliński</w:t>
      </w:r>
      <w:r>
        <w:t>,</w:t>
      </w:r>
      <w:r w:rsidRPr="00F65288">
        <w:t xml:space="preserve"> K. (2024)</w:t>
      </w:r>
      <w:r>
        <w:t>.</w:t>
      </w:r>
      <w:r w:rsidRPr="00F65288">
        <w:t xml:space="preserve"> </w:t>
      </w:r>
      <w:r w:rsidRPr="004A67C8">
        <w:rPr>
          <w:lang w:val="pl-PL"/>
        </w:rPr>
        <w:t xml:space="preserve">Plan ogólny gminy. Potencjalne narzędzie ochrony gruntów rolnych. </w:t>
      </w:r>
      <w:r w:rsidRPr="004A67C8">
        <w:rPr>
          <w:i/>
          <w:iCs/>
          <w:lang w:val="pl-PL"/>
        </w:rPr>
        <w:t>Wieś i Rolnictwo</w:t>
      </w:r>
      <w:r w:rsidRPr="004A67C8">
        <w:rPr>
          <w:lang w:val="pl-PL"/>
        </w:rPr>
        <w:t xml:space="preserve">, </w:t>
      </w:r>
      <w:r w:rsidRPr="004A67C8">
        <w:rPr>
          <w:i/>
          <w:iCs/>
          <w:lang w:val="pl-PL"/>
        </w:rPr>
        <w:t>203/2025</w:t>
      </w:r>
      <w:r w:rsidRPr="004A67C8">
        <w:rPr>
          <w:lang w:val="pl-PL"/>
        </w:rPr>
        <w:t xml:space="preserve">, 85-99.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w:t>
      </w:r>
    </w:p>
    <w:p w14:paraId="50C3FFD9" w14:textId="5430FAE1" w:rsidR="00170559" w:rsidRPr="004A67C8" w:rsidRDefault="00170559" w:rsidP="00CC75C2">
      <w:pPr>
        <w:pStyle w:val="Rlit"/>
        <w:rPr>
          <w:lang w:val="pl-PL"/>
        </w:rPr>
      </w:pPr>
      <w:r w:rsidRPr="004A67C8">
        <w:rPr>
          <w:lang w:val="pl-PL"/>
        </w:rPr>
        <w:t>Król, M. A. (1998). Przeznaczenie gruntów rolnych na cele nierolnicze i ich wyłączenie z produkcji rolnej w procesie planowania przestrzennego</w:t>
      </w:r>
      <w:r w:rsidR="00A93763">
        <w:rPr>
          <w:lang w:val="pl-PL"/>
        </w:rPr>
        <w:t>.</w:t>
      </w:r>
      <w:r w:rsidRPr="004A67C8">
        <w:rPr>
          <w:lang w:val="pl-PL"/>
        </w:rPr>
        <w:t xml:space="preserve"> </w:t>
      </w:r>
      <w:r w:rsidRPr="00A93763">
        <w:rPr>
          <w:i/>
          <w:iCs/>
          <w:lang w:val="pl-PL"/>
        </w:rPr>
        <w:t>Samorząd terytorialny</w:t>
      </w:r>
      <w:r w:rsidRPr="004A67C8">
        <w:rPr>
          <w:lang w:val="pl-PL"/>
        </w:rPr>
        <w:t xml:space="preserve">, </w:t>
      </w:r>
      <w:r w:rsidRPr="00A93763">
        <w:rPr>
          <w:i/>
          <w:iCs/>
          <w:lang w:val="pl-PL"/>
        </w:rPr>
        <w:t>7-8</w:t>
      </w:r>
      <w:r w:rsidR="00A93763">
        <w:rPr>
          <w:lang w:val="pl-PL"/>
        </w:rPr>
        <w:t xml:space="preserve">. </w:t>
      </w:r>
      <w:r w:rsidRPr="004A67C8">
        <w:rPr>
          <w:lang w:val="pl-PL"/>
        </w:rPr>
        <w:t>48-66.</w:t>
      </w:r>
    </w:p>
    <w:p w14:paraId="0A3AF769" w14:textId="3012104E" w:rsidR="00170559" w:rsidRPr="004A67C8" w:rsidRDefault="00170559" w:rsidP="00CC75C2">
      <w:pPr>
        <w:pStyle w:val="Rlit"/>
        <w:rPr>
          <w:lang w:val="pl-PL"/>
        </w:rPr>
      </w:pPr>
      <w:proofErr w:type="spellStart"/>
      <w:r w:rsidRPr="004A67C8">
        <w:rPr>
          <w:lang w:val="pl-PL"/>
        </w:rPr>
        <w:t>Kryszk</w:t>
      </w:r>
      <w:proofErr w:type="spellEnd"/>
      <w:r w:rsidR="005961C6">
        <w:rPr>
          <w:lang w:val="pl-PL"/>
        </w:rPr>
        <w:t>,</w:t>
      </w:r>
      <w:r w:rsidRPr="004A67C8">
        <w:rPr>
          <w:lang w:val="pl-PL"/>
        </w:rPr>
        <w:t xml:space="preserve"> H., Kurowska, K., &amp; Marks-Bielska, R. (2022). </w:t>
      </w:r>
      <w:r w:rsidRPr="00F65288">
        <w:t>Legal and Socio-Economic Conditions Underlying the Shaping of the Agricultural System in Poland</w:t>
      </w:r>
      <w:r>
        <w:t>.</w:t>
      </w:r>
      <w:r w:rsidRPr="00F65288">
        <w:t xml:space="preserve"> </w:t>
      </w:r>
      <w:proofErr w:type="spellStart"/>
      <w:r w:rsidRPr="004A67C8">
        <w:rPr>
          <w:i/>
          <w:iCs/>
          <w:lang w:val="pl-PL"/>
        </w:rPr>
        <w:t>Sustainability</w:t>
      </w:r>
      <w:proofErr w:type="spellEnd"/>
      <w:r w:rsidRPr="004A67C8">
        <w:rPr>
          <w:lang w:val="pl-PL"/>
        </w:rPr>
        <w:t xml:space="preserve">, </w:t>
      </w:r>
      <w:r w:rsidRPr="004A67C8">
        <w:rPr>
          <w:i/>
          <w:iCs/>
          <w:lang w:val="pl-PL"/>
        </w:rPr>
        <w:t>14</w:t>
      </w:r>
      <w:r w:rsidRPr="004A67C8">
        <w:rPr>
          <w:lang w:val="pl-PL"/>
        </w:rPr>
        <w:t xml:space="preserve">(20). 13174. </w:t>
      </w:r>
      <w:hyperlink r:id="rId21" w:history="1">
        <w:r w:rsidRPr="004A67C8">
          <w:rPr>
            <w:rStyle w:val="Hipercze"/>
            <w:color w:val="auto"/>
            <w:u w:val="none"/>
            <w:lang w:val="pl-PL"/>
          </w:rPr>
          <w:t>https://doi.org/10.3390/su142013174</w:t>
        </w:r>
      </w:hyperlink>
    </w:p>
    <w:p w14:paraId="133226E0" w14:textId="63EE205E" w:rsidR="00170559" w:rsidRPr="004A67C8" w:rsidRDefault="00170559" w:rsidP="00CC75C2">
      <w:pPr>
        <w:pStyle w:val="Rlit"/>
        <w:rPr>
          <w:lang w:val="pl-PL"/>
        </w:rPr>
      </w:pPr>
      <w:r w:rsidRPr="004A67C8">
        <w:rPr>
          <w:lang w:val="pl-PL"/>
        </w:rPr>
        <w:t xml:space="preserve">Kurowska, K. (2017). </w:t>
      </w:r>
      <w:r w:rsidRPr="004A67C8">
        <w:rPr>
          <w:i/>
          <w:iCs/>
          <w:lang w:val="pl-PL"/>
        </w:rPr>
        <w:t>Ochrona gruntów rolnych i leśnych w procesie planowania rozwoju przestrzeni</w:t>
      </w:r>
      <w:r w:rsidRPr="004A67C8">
        <w:rPr>
          <w:lang w:val="pl-PL"/>
        </w:rPr>
        <w:t>. Cymerman Ryszard, Nowak Andrzej Z. (red.): Kształtowanie przestrzeni wiejskiej (25-42), Uniwersytet Warmińsko-Mazurski w</w:t>
      </w:r>
      <w:r w:rsidR="005961C6">
        <w:rPr>
          <w:lang w:val="pl-PL"/>
        </w:rPr>
        <w:t> </w:t>
      </w:r>
      <w:r w:rsidRPr="004A67C8">
        <w:rPr>
          <w:lang w:val="pl-PL"/>
        </w:rPr>
        <w:t xml:space="preserve">Olsztynie.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 xml:space="preserve">) </w:t>
      </w:r>
      <w:r w:rsidRPr="004A67C8">
        <w:rPr>
          <w:lang w:val="pl-PL"/>
        </w:rPr>
        <w:t>ISBN 978-83-948487-2-9</w:t>
      </w:r>
    </w:p>
    <w:p w14:paraId="060A2DE7" w14:textId="77777777" w:rsidR="00170559" w:rsidRPr="004A67C8" w:rsidRDefault="00170559" w:rsidP="00CC75C2">
      <w:pPr>
        <w:pStyle w:val="Rlit"/>
        <w:rPr>
          <w:lang w:val="pl-PL"/>
        </w:rPr>
      </w:pPr>
      <w:r w:rsidRPr="004A67C8">
        <w:rPr>
          <w:lang w:val="pl-PL"/>
        </w:rPr>
        <w:t xml:space="preserve">Kurowska, K., </w:t>
      </w:r>
      <w:proofErr w:type="spellStart"/>
      <w:r w:rsidRPr="004A67C8">
        <w:rPr>
          <w:lang w:val="pl-PL"/>
        </w:rPr>
        <w:t>Kryszk</w:t>
      </w:r>
      <w:proofErr w:type="spellEnd"/>
      <w:r w:rsidRPr="004A67C8">
        <w:rPr>
          <w:lang w:val="pl-PL"/>
        </w:rPr>
        <w:t xml:space="preserve">, H., Marks-Bielska, R., Mika, M., &amp; Leń, P. (2020). </w:t>
      </w:r>
      <w:r w:rsidRPr="00F65288">
        <w:t>Conversion of agricultural and forest land to other purposes in the context of land protection: Evidence from Polish experience</w:t>
      </w:r>
      <w:r>
        <w:t>.</w:t>
      </w:r>
      <w:r w:rsidRPr="00F65288">
        <w:t xml:space="preserve"> </w:t>
      </w:r>
      <w:r w:rsidRPr="004A67C8">
        <w:rPr>
          <w:i/>
          <w:iCs/>
          <w:lang w:val="pl-PL"/>
        </w:rPr>
        <w:t xml:space="preserve">Land </w:t>
      </w:r>
      <w:proofErr w:type="spellStart"/>
      <w:r w:rsidRPr="004A67C8">
        <w:rPr>
          <w:i/>
          <w:iCs/>
          <w:lang w:val="pl-PL"/>
        </w:rPr>
        <w:t>Use</w:t>
      </w:r>
      <w:proofErr w:type="spellEnd"/>
      <w:r w:rsidRPr="004A67C8">
        <w:rPr>
          <w:i/>
          <w:iCs/>
          <w:lang w:val="pl-PL"/>
        </w:rPr>
        <w:t xml:space="preserve"> Policy</w:t>
      </w:r>
      <w:r w:rsidRPr="004A67C8">
        <w:rPr>
          <w:lang w:val="pl-PL"/>
        </w:rPr>
        <w:t xml:space="preserve">, </w:t>
      </w:r>
      <w:r w:rsidRPr="004A67C8">
        <w:rPr>
          <w:i/>
          <w:iCs/>
          <w:lang w:val="pl-PL"/>
        </w:rPr>
        <w:t>95</w:t>
      </w:r>
      <w:r w:rsidRPr="004A67C8">
        <w:rPr>
          <w:lang w:val="pl-PL"/>
        </w:rPr>
        <w:t xml:space="preserve">, </w:t>
      </w:r>
      <w:hyperlink r:id="rId22" w:history="1">
        <w:r w:rsidRPr="004A67C8">
          <w:rPr>
            <w:rStyle w:val="Hipercze"/>
            <w:color w:val="auto"/>
            <w:u w:val="none"/>
            <w:lang w:val="pl-PL"/>
          </w:rPr>
          <w:t>https://doi.org/10.1016/j.landusepol.2020.104614</w:t>
        </w:r>
      </w:hyperlink>
    </w:p>
    <w:p w14:paraId="4F8FB82E" w14:textId="77777777" w:rsidR="00170559" w:rsidRPr="00F65288" w:rsidRDefault="00170559" w:rsidP="00CC75C2">
      <w:pPr>
        <w:pStyle w:val="Rlit"/>
      </w:pPr>
      <w:r w:rsidRPr="004A67C8">
        <w:rPr>
          <w:lang w:val="pl-PL"/>
        </w:rPr>
        <w:t>Kwartnik-</w:t>
      </w:r>
      <w:proofErr w:type="spellStart"/>
      <w:r w:rsidRPr="004A67C8">
        <w:rPr>
          <w:lang w:val="pl-PL"/>
        </w:rPr>
        <w:t>Pruc</w:t>
      </w:r>
      <w:proofErr w:type="spellEnd"/>
      <w:r w:rsidRPr="004A67C8">
        <w:rPr>
          <w:lang w:val="pl-PL"/>
        </w:rPr>
        <w:t xml:space="preserve">, A., </w:t>
      </w:r>
      <w:proofErr w:type="spellStart"/>
      <w:r w:rsidRPr="004A67C8">
        <w:rPr>
          <w:lang w:val="pl-PL"/>
        </w:rPr>
        <w:t>Bydłosz</w:t>
      </w:r>
      <w:proofErr w:type="spellEnd"/>
      <w:r w:rsidRPr="004A67C8">
        <w:rPr>
          <w:lang w:val="pl-PL"/>
        </w:rPr>
        <w:t xml:space="preserve">, J., &amp; Parzych, P. (2011). Analiza procesu przeznaczenia gruntów rolnych i leśnych na cele inwestycyjne. </w:t>
      </w:r>
      <w:r w:rsidRPr="00CA6DF8">
        <w:rPr>
          <w:i/>
          <w:iCs/>
        </w:rPr>
        <w:t xml:space="preserve">Studia </w:t>
      </w:r>
      <w:proofErr w:type="spellStart"/>
      <w:r w:rsidRPr="00CA6DF8">
        <w:rPr>
          <w:i/>
          <w:iCs/>
        </w:rPr>
        <w:t>i</w:t>
      </w:r>
      <w:proofErr w:type="spellEnd"/>
      <w:r w:rsidRPr="00CA6DF8">
        <w:rPr>
          <w:i/>
          <w:iCs/>
        </w:rPr>
        <w:t xml:space="preserve"> </w:t>
      </w:r>
      <w:proofErr w:type="spellStart"/>
      <w:r w:rsidRPr="00CA6DF8">
        <w:rPr>
          <w:i/>
          <w:iCs/>
        </w:rPr>
        <w:t>Materiały</w:t>
      </w:r>
      <w:proofErr w:type="spellEnd"/>
      <w:r w:rsidRPr="00CA6DF8">
        <w:rPr>
          <w:i/>
          <w:iCs/>
        </w:rPr>
        <w:t xml:space="preserve"> </w:t>
      </w:r>
      <w:proofErr w:type="spellStart"/>
      <w:r w:rsidRPr="00CA6DF8">
        <w:rPr>
          <w:i/>
          <w:iCs/>
        </w:rPr>
        <w:t>Towarzystwa</w:t>
      </w:r>
      <w:proofErr w:type="spellEnd"/>
      <w:r w:rsidRPr="00CA6DF8">
        <w:rPr>
          <w:i/>
          <w:iCs/>
        </w:rPr>
        <w:t xml:space="preserve"> </w:t>
      </w:r>
      <w:proofErr w:type="spellStart"/>
      <w:r w:rsidRPr="00CA6DF8">
        <w:rPr>
          <w:i/>
          <w:iCs/>
        </w:rPr>
        <w:t>Naukowego</w:t>
      </w:r>
      <w:proofErr w:type="spellEnd"/>
      <w:r w:rsidRPr="00CA6DF8">
        <w:rPr>
          <w:i/>
          <w:iCs/>
        </w:rPr>
        <w:t xml:space="preserve"> </w:t>
      </w:r>
      <w:proofErr w:type="spellStart"/>
      <w:r w:rsidRPr="00CA6DF8">
        <w:rPr>
          <w:i/>
          <w:iCs/>
        </w:rPr>
        <w:t>Nieruchomości</w:t>
      </w:r>
      <w:proofErr w:type="spellEnd"/>
      <w:r w:rsidRPr="00F65288">
        <w:t xml:space="preserve">, </w:t>
      </w:r>
      <w:r w:rsidRPr="00CA6DF8">
        <w:rPr>
          <w:i/>
          <w:iCs/>
        </w:rPr>
        <w:t>19</w:t>
      </w:r>
      <w:r w:rsidRPr="00F65288">
        <w:t>(4), 169</w:t>
      </w:r>
      <w:r>
        <w:t>-</w:t>
      </w:r>
      <w:r w:rsidRPr="00F65288">
        <w:t>178.</w:t>
      </w:r>
    </w:p>
    <w:p w14:paraId="57999E91" w14:textId="77777777" w:rsidR="00170559" w:rsidRPr="004A67C8" w:rsidRDefault="00170559" w:rsidP="00CC75C2">
      <w:pPr>
        <w:pStyle w:val="Rlit"/>
        <w:rPr>
          <w:lang w:val="pl-PL"/>
        </w:rPr>
      </w:pPr>
      <w:r w:rsidRPr="00F65288">
        <w:t>Liang, Z. (2024). Study on the Coordinated Development Model of Ecological Economy and Environmental Protection. </w:t>
      </w:r>
      <w:r w:rsidRPr="004A67C8">
        <w:rPr>
          <w:i/>
          <w:iCs/>
          <w:lang w:val="pl-PL"/>
        </w:rPr>
        <w:t>Rocznik Ochrona Środowiska</w:t>
      </w:r>
      <w:r w:rsidRPr="004A67C8">
        <w:rPr>
          <w:lang w:val="pl-PL"/>
        </w:rPr>
        <w:t xml:space="preserve">, </w:t>
      </w:r>
      <w:r w:rsidRPr="004A67C8">
        <w:rPr>
          <w:i/>
          <w:iCs/>
          <w:lang w:val="pl-PL"/>
        </w:rPr>
        <w:t>26</w:t>
      </w:r>
      <w:r w:rsidRPr="004A67C8">
        <w:rPr>
          <w:lang w:val="pl-PL"/>
        </w:rPr>
        <w:t>, 152-159. https://doi.org/10.54740/ros.2024.016</w:t>
      </w:r>
    </w:p>
    <w:p w14:paraId="3B65030F" w14:textId="77777777" w:rsidR="00170559" w:rsidRPr="004A67C8" w:rsidRDefault="00170559" w:rsidP="00CC75C2">
      <w:pPr>
        <w:pStyle w:val="Rlit"/>
        <w:rPr>
          <w:lang w:val="pl-PL"/>
        </w:rPr>
      </w:pPr>
      <w:r w:rsidRPr="004A67C8">
        <w:rPr>
          <w:lang w:val="pl-PL"/>
        </w:rPr>
        <w:t xml:space="preserve">Mackiewicz, B., &amp; Motek, P. (2014). Wyłączenia gruntów rolnych z produkcji rolnej a dochody gmin z podatku od nieruchomości. </w:t>
      </w:r>
      <w:r w:rsidRPr="004A67C8">
        <w:rPr>
          <w:i/>
          <w:iCs/>
          <w:lang w:val="pl-PL"/>
        </w:rPr>
        <w:t>Rozwój Regionalny i Polityka Regionalna</w:t>
      </w:r>
      <w:r w:rsidRPr="004A67C8">
        <w:rPr>
          <w:lang w:val="pl-PL"/>
        </w:rPr>
        <w:t xml:space="preserve">, </w:t>
      </w:r>
      <w:r w:rsidRPr="004A67C8">
        <w:rPr>
          <w:i/>
          <w:iCs/>
          <w:lang w:val="pl-PL"/>
        </w:rPr>
        <w:t>28</w:t>
      </w:r>
      <w:r w:rsidRPr="004A67C8">
        <w:rPr>
          <w:lang w:val="pl-PL"/>
        </w:rPr>
        <w:t>, 69-77.</w:t>
      </w:r>
      <w:r w:rsidRPr="004A67C8">
        <w:rPr>
          <w:rFonts w:eastAsiaTheme="minorHAnsi"/>
          <w:sz w:val="22"/>
          <w:szCs w:val="22"/>
          <w:lang w:val="pl-PL" w:eastAsia="en-US"/>
        </w:rPr>
        <w:t xml:space="preserve"> </w:t>
      </w:r>
      <w:hyperlink r:id="rId23" w:history="1">
        <w:r w:rsidRPr="004A67C8">
          <w:rPr>
            <w:rStyle w:val="Hipercze"/>
            <w:color w:val="auto"/>
            <w:u w:val="none"/>
            <w:lang w:val="pl-PL"/>
          </w:rPr>
          <w:t>https://doi.org/10.14746/rrpr.2014.28.06</w:t>
        </w:r>
      </w:hyperlink>
    </w:p>
    <w:p w14:paraId="2D331CE2" w14:textId="77777777" w:rsidR="00170559" w:rsidRPr="004A67C8" w:rsidRDefault="00170559" w:rsidP="00CC75C2">
      <w:pPr>
        <w:pStyle w:val="Rlit"/>
        <w:rPr>
          <w:lang w:val="pl-PL"/>
        </w:rPr>
      </w:pPr>
      <w:proofErr w:type="spellStart"/>
      <w:r w:rsidRPr="004A67C8">
        <w:rPr>
          <w:lang w:val="pl-PL"/>
        </w:rPr>
        <w:t>Marciniuk</w:t>
      </w:r>
      <w:proofErr w:type="spellEnd"/>
      <w:r w:rsidRPr="004A67C8">
        <w:rPr>
          <w:lang w:val="pl-PL"/>
        </w:rPr>
        <w:t xml:space="preserve">, K. (2020). </w:t>
      </w:r>
      <w:r w:rsidRPr="00F65288">
        <w:t xml:space="preserve">Main Directions and Normative Areas of Agricultural Land Protection. </w:t>
      </w:r>
      <w:r w:rsidRPr="004A67C8">
        <w:rPr>
          <w:i/>
          <w:iCs/>
          <w:lang w:val="pl-PL"/>
        </w:rPr>
        <w:t xml:space="preserve">Studia </w:t>
      </w:r>
      <w:proofErr w:type="spellStart"/>
      <w:r w:rsidRPr="004A67C8">
        <w:rPr>
          <w:i/>
          <w:iCs/>
          <w:lang w:val="pl-PL"/>
        </w:rPr>
        <w:t>Iuridica</w:t>
      </w:r>
      <w:proofErr w:type="spellEnd"/>
      <w:r w:rsidRPr="004A67C8">
        <w:rPr>
          <w:i/>
          <w:iCs/>
          <w:lang w:val="pl-PL"/>
        </w:rPr>
        <w:t xml:space="preserve"> </w:t>
      </w:r>
      <w:proofErr w:type="spellStart"/>
      <w:r w:rsidRPr="004A67C8">
        <w:rPr>
          <w:i/>
          <w:iCs/>
          <w:lang w:val="pl-PL"/>
        </w:rPr>
        <w:t>Lublinensia</w:t>
      </w:r>
      <w:proofErr w:type="spellEnd"/>
      <w:r w:rsidRPr="004A67C8">
        <w:rPr>
          <w:lang w:val="pl-PL"/>
        </w:rPr>
        <w:t xml:space="preserve">, </w:t>
      </w:r>
      <w:r w:rsidRPr="005961C6">
        <w:rPr>
          <w:i/>
          <w:iCs/>
          <w:lang w:val="pl-PL"/>
        </w:rPr>
        <w:t>29</w:t>
      </w:r>
      <w:r w:rsidRPr="004A67C8">
        <w:rPr>
          <w:lang w:val="pl-PL"/>
        </w:rPr>
        <w:t>(2),</w:t>
      </w:r>
      <w:r w:rsidRPr="004A67C8">
        <w:rPr>
          <w:rFonts w:eastAsiaTheme="majorEastAsia"/>
          <w:lang w:val="pl-PL"/>
        </w:rPr>
        <w:t xml:space="preserve"> </w:t>
      </w:r>
      <w:hyperlink r:id="rId24" w:history="1">
        <w:r w:rsidRPr="004A67C8">
          <w:rPr>
            <w:rStyle w:val="Hipercze"/>
            <w:color w:val="auto"/>
            <w:u w:val="none"/>
            <w:lang w:val="pl-PL"/>
          </w:rPr>
          <w:t>https://doi.org/10.17951/sil.2020.29.2.111-125</w:t>
        </w:r>
      </w:hyperlink>
    </w:p>
    <w:p w14:paraId="1CE7DA0D" w14:textId="77777777" w:rsidR="00170559" w:rsidRPr="004A67C8" w:rsidRDefault="00170559" w:rsidP="00CC75C2">
      <w:pPr>
        <w:pStyle w:val="Rlit"/>
        <w:rPr>
          <w:lang w:val="pl-PL"/>
        </w:rPr>
      </w:pPr>
      <w:r w:rsidRPr="004A67C8">
        <w:rPr>
          <w:lang w:val="pl-PL"/>
        </w:rPr>
        <w:t xml:space="preserve">Marks-Bielska, R., &amp; Bieniek, A. (2018). Ekonomiczne i środowiskowe aspekty obrotu ziemią rolniczą w Polsce. </w:t>
      </w:r>
      <w:r w:rsidRPr="004A67C8">
        <w:rPr>
          <w:i/>
          <w:iCs/>
          <w:lang w:val="pl-PL"/>
        </w:rPr>
        <w:t>Studia Obszarów Wiejskich</w:t>
      </w:r>
      <w:r w:rsidRPr="004A67C8">
        <w:rPr>
          <w:lang w:val="pl-PL"/>
        </w:rPr>
        <w:t xml:space="preserve">, </w:t>
      </w:r>
      <w:r w:rsidRPr="004A67C8">
        <w:rPr>
          <w:i/>
          <w:iCs/>
          <w:lang w:val="pl-PL"/>
        </w:rPr>
        <w:t>50</w:t>
      </w:r>
      <w:r w:rsidRPr="004A67C8">
        <w:rPr>
          <w:lang w:val="pl-PL"/>
        </w:rPr>
        <w:t xml:space="preserve">, 227-242.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 xml:space="preserve">) </w:t>
      </w:r>
      <w:hyperlink r:id="rId25" w:history="1">
        <w:r w:rsidRPr="004A67C8">
          <w:rPr>
            <w:rStyle w:val="Hipercze"/>
            <w:color w:val="auto"/>
            <w:u w:val="none"/>
            <w:lang w:val="pl-PL"/>
          </w:rPr>
          <w:t>https://doi.org/10.7163/SOW.50.14</w:t>
        </w:r>
      </w:hyperlink>
    </w:p>
    <w:p w14:paraId="05A4F74C" w14:textId="77777777" w:rsidR="00170559" w:rsidRPr="00F65288" w:rsidRDefault="00170559" w:rsidP="00CC75C2">
      <w:pPr>
        <w:pStyle w:val="Rlit"/>
      </w:pPr>
      <w:r w:rsidRPr="004A67C8">
        <w:rPr>
          <w:lang w:val="pl-PL"/>
        </w:rPr>
        <w:t xml:space="preserve">Milczarek-Andrzejewska, D., </w:t>
      </w:r>
      <w:proofErr w:type="spellStart"/>
      <w:r w:rsidRPr="004A67C8">
        <w:rPr>
          <w:lang w:val="pl-PL"/>
        </w:rPr>
        <w:t>Wilkin</w:t>
      </w:r>
      <w:proofErr w:type="spellEnd"/>
      <w:r w:rsidRPr="004A67C8">
        <w:rPr>
          <w:lang w:val="pl-PL"/>
        </w:rPr>
        <w:t xml:space="preserve">, J., Marks-Bielska, R., Czarnecki, A., &amp; Bartczak, A. (2020). </w:t>
      </w:r>
      <w:r w:rsidRPr="00F65288">
        <w:t xml:space="preserve">Agricultural Land-use Conflicts: An Economic Perspective. </w:t>
      </w:r>
      <w:proofErr w:type="spellStart"/>
      <w:r w:rsidRPr="00CA6DF8">
        <w:rPr>
          <w:i/>
          <w:iCs/>
        </w:rPr>
        <w:t>Gospodarka</w:t>
      </w:r>
      <w:proofErr w:type="spellEnd"/>
      <w:r w:rsidRPr="00CA6DF8">
        <w:rPr>
          <w:i/>
          <w:iCs/>
        </w:rPr>
        <w:t xml:space="preserve"> </w:t>
      </w:r>
      <w:proofErr w:type="spellStart"/>
      <w:r w:rsidRPr="00CA6DF8">
        <w:rPr>
          <w:i/>
          <w:iCs/>
        </w:rPr>
        <w:t>Narodowa</w:t>
      </w:r>
      <w:proofErr w:type="spellEnd"/>
      <w:r>
        <w:t>,</w:t>
      </w:r>
      <w:r w:rsidRPr="00F65288">
        <w:t xml:space="preserve"> </w:t>
      </w:r>
      <w:r w:rsidRPr="00CA6DF8">
        <w:rPr>
          <w:i/>
          <w:iCs/>
        </w:rPr>
        <w:t>304</w:t>
      </w:r>
      <w:r>
        <w:t>,</w:t>
      </w:r>
      <w:r w:rsidRPr="00F65288">
        <w:t xml:space="preserve"> 5-31. </w:t>
      </w:r>
      <w:hyperlink r:id="rId26" w:history="1">
        <w:r w:rsidRPr="00F65288">
          <w:rPr>
            <w:rStyle w:val="Hipercze"/>
            <w:color w:val="auto"/>
            <w:u w:val="none"/>
            <w:lang w:val="en-GB"/>
          </w:rPr>
          <w:t>https://doi.org/10.33119/GN/128217</w:t>
        </w:r>
      </w:hyperlink>
    </w:p>
    <w:p w14:paraId="24AFD888" w14:textId="77777777" w:rsidR="00170559" w:rsidRPr="004A67C8" w:rsidRDefault="00170559" w:rsidP="00CC75C2">
      <w:pPr>
        <w:pStyle w:val="Rlit"/>
        <w:rPr>
          <w:lang w:val="pl-PL"/>
        </w:rPr>
      </w:pPr>
      <w:r w:rsidRPr="00F65288">
        <w:t>Orłowski, R. (2024)</w:t>
      </w:r>
      <w:r>
        <w:t>.</w:t>
      </w:r>
      <w:r w:rsidRPr="00F65288">
        <w:t xml:space="preserve"> </w:t>
      </w:r>
      <w:r w:rsidRPr="00814CAD">
        <w:t>On the legal definition of sustainable development</w:t>
      </w:r>
      <w:r w:rsidRPr="00F65288">
        <w:t xml:space="preserve">. </w:t>
      </w:r>
      <w:r w:rsidRPr="004A67C8">
        <w:rPr>
          <w:i/>
          <w:iCs/>
          <w:lang w:val="pl-PL"/>
        </w:rPr>
        <w:t>Przegląd legislacyjny</w:t>
      </w:r>
      <w:r w:rsidRPr="004A67C8">
        <w:rPr>
          <w:lang w:val="pl-PL"/>
        </w:rPr>
        <w:t xml:space="preserve">, </w:t>
      </w:r>
      <w:r w:rsidRPr="004A67C8">
        <w:rPr>
          <w:i/>
          <w:iCs/>
          <w:lang w:val="pl-PL"/>
        </w:rPr>
        <w:t>1</w:t>
      </w:r>
      <w:r w:rsidRPr="004A67C8">
        <w:rPr>
          <w:lang w:val="pl-PL"/>
        </w:rPr>
        <w:t>(127).</w:t>
      </w:r>
    </w:p>
    <w:p w14:paraId="09129C8C" w14:textId="1C0BD509" w:rsidR="00170559" w:rsidRPr="004A67C8" w:rsidRDefault="00170559" w:rsidP="00CC75C2">
      <w:pPr>
        <w:pStyle w:val="Rlit"/>
        <w:rPr>
          <w:lang w:val="pl-PL"/>
        </w:rPr>
      </w:pPr>
      <w:r w:rsidRPr="004A67C8">
        <w:rPr>
          <w:lang w:val="pl-PL"/>
        </w:rPr>
        <w:t xml:space="preserve">Roszkowska-Mądra, B. (2020). </w:t>
      </w:r>
      <w:r w:rsidRPr="004A67C8">
        <w:rPr>
          <w:i/>
          <w:iCs/>
          <w:lang w:val="pl-PL"/>
        </w:rPr>
        <w:t>Analiza zmian użytkowania gruntów rolnych w Polsce po 1990 roku</w:t>
      </w:r>
      <w:r w:rsidRPr="004A67C8">
        <w:rPr>
          <w:lang w:val="pl-PL"/>
        </w:rPr>
        <w:t xml:space="preserve">. </w:t>
      </w:r>
      <w:r w:rsidRPr="004A67C8">
        <w:rPr>
          <w:i/>
          <w:iCs/>
          <w:lang w:val="pl-PL"/>
        </w:rPr>
        <w:t>Instytucjonalne i</w:t>
      </w:r>
      <w:r w:rsidR="005961C6">
        <w:rPr>
          <w:i/>
          <w:iCs/>
          <w:lang w:val="pl-PL"/>
        </w:rPr>
        <w:t> </w:t>
      </w:r>
      <w:r w:rsidRPr="004A67C8">
        <w:rPr>
          <w:i/>
          <w:iCs/>
          <w:lang w:val="pl-PL"/>
        </w:rPr>
        <w:t>strukturalne aspekty rozwoju rolnictwa i obszarów wiejskich</w:t>
      </w:r>
      <w:r w:rsidRPr="004A67C8">
        <w:rPr>
          <w:lang w:val="pl-PL"/>
        </w:rPr>
        <w:t xml:space="preserve">. Księga poświęcona pamięci dr hab. Adama Sadowskiego Profesora Uniwersytetu w Białymstoku, red. nauk. R. Przygodzka, E. Gruszewska. Wydawnictwo Uniwersytetu w Białymstoku. </w:t>
      </w:r>
      <w:r w:rsidRPr="004A67C8">
        <w:rPr>
          <w:spacing w:val="-2"/>
          <w:lang w:val="pl-PL"/>
        </w:rPr>
        <w:t xml:space="preserve">(in </w:t>
      </w:r>
      <w:proofErr w:type="spellStart"/>
      <w:r w:rsidRPr="004A67C8">
        <w:rPr>
          <w:spacing w:val="-2"/>
          <w:lang w:val="pl-PL"/>
        </w:rPr>
        <w:t>Polish</w:t>
      </w:r>
      <w:proofErr w:type="spellEnd"/>
      <w:r w:rsidRPr="004A67C8">
        <w:rPr>
          <w:spacing w:val="-2"/>
          <w:lang w:val="pl-PL"/>
        </w:rPr>
        <w:t>)</w:t>
      </w:r>
      <w:r w:rsidRPr="004A67C8">
        <w:rPr>
          <w:lang w:val="pl-PL"/>
        </w:rPr>
        <w:t xml:space="preserve"> </w:t>
      </w:r>
      <w:hyperlink r:id="rId27" w:history="1">
        <w:r w:rsidRPr="004A67C8">
          <w:rPr>
            <w:rStyle w:val="Hipercze"/>
            <w:color w:val="auto"/>
            <w:u w:val="none"/>
            <w:lang w:val="pl-PL"/>
          </w:rPr>
          <w:t>http://hdl.handle.net/11320/9266</w:t>
        </w:r>
      </w:hyperlink>
    </w:p>
    <w:p w14:paraId="2A0C50BF" w14:textId="77777777" w:rsidR="00170559" w:rsidRPr="004A67C8" w:rsidRDefault="00170559" w:rsidP="00CC75C2">
      <w:pPr>
        <w:pStyle w:val="Rlit"/>
        <w:rPr>
          <w:lang w:val="pl-PL"/>
        </w:rPr>
      </w:pPr>
      <w:r w:rsidRPr="004A67C8">
        <w:rPr>
          <w:lang w:val="pl-PL"/>
        </w:rPr>
        <w:t xml:space="preserve">Śleszyński, P., Bielecka, E., Prus, A., &amp; Kurowska, K. (2024). </w:t>
      </w:r>
      <w:r w:rsidRPr="00F65288">
        <w:t xml:space="preserve">The Spatiotemporal Analysis of Land Take Exemplified by Poland. </w:t>
      </w:r>
      <w:proofErr w:type="spellStart"/>
      <w:r w:rsidRPr="004A67C8">
        <w:rPr>
          <w:i/>
          <w:iCs/>
          <w:lang w:val="pl-PL"/>
        </w:rPr>
        <w:t>Sustainability</w:t>
      </w:r>
      <w:proofErr w:type="spellEnd"/>
      <w:r w:rsidRPr="004A67C8">
        <w:rPr>
          <w:lang w:val="pl-PL"/>
        </w:rPr>
        <w:t xml:space="preserve">, </w:t>
      </w:r>
      <w:r w:rsidRPr="004A67C8">
        <w:rPr>
          <w:i/>
          <w:iCs/>
          <w:lang w:val="pl-PL"/>
        </w:rPr>
        <w:t>16</w:t>
      </w:r>
      <w:r w:rsidRPr="004A67C8">
        <w:rPr>
          <w:lang w:val="pl-PL"/>
        </w:rPr>
        <w:t xml:space="preserve">(3), 1059. </w:t>
      </w:r>
      <w:hyperlink r:id="rId28" w:history="1">
        <w:r w:rsidRPr="004A67C8">
          <w:rPr>
            <w:rStyle w:val="Hipercze"/>
            <w:color w:val="auto"/>
            <w:u w:val="none"/>
            <w:lang w:val="pl-PL"/>
          </w:rPr>
          <w:t>https://doi.org/10.3390/su16031059</w:t>
        </w:r>
      </w:hyperlink>
    </w:p>
    <w:p w14:paraId="35827778" w14:textId="77777777" w:rsidR="00170559" w:rsidRPr="00F65288" w:rsidRDefault="00170559" w:rsidP="00CC75C2">
      <w:pPr>
        <w:pStyle w:val="Rlit"/>
      </w:pPr>
      <w:r w:rsidRPr="004A67C8">
        <w:rPr>
          <w:lang w:val="pl-PL"/>
        </w:rPr>
        <w:t xml:space="preserve">Sobczyńscy Adwokaci. (2023). </w:t>
      </w:r>
      <w:r w:rsidRPr="004A67C8">
        <w:rPr>
          <w:i/>
          <w:iCs/>
          <w:lang w:val="pl-PL"/>
        </w:rPr>
        <w:t>Zmiany w ustawie o planowaniu przestrzennym – informacja dla inwestorów</w:t>
      </w:r>
      <w:r w:rsidRPr="004A67C8">
        <w:rPr>
          <w:lang w:val="pl-PL"/>
        </w:rPr>
        <w:t xml:space="preserve">. </w:t>
      </w:r>
      <w:r w:rsidRPr="00FE40B9">
        <w:rPr>
          <w:spacing w:val="-2"/>
          <w:lang w:val="en-GB"/>
        </w:rPr>
        <w:t>(</w:t>
      </w:r>
      <w:r>
        <w:rPr>
          <w:spacing w:val="-2"/>
          <w:lang w:val="en-GB"/>
        </w:rPr>
        <w:t>i</w:t>
      </w:r>
      <w:r w:rsidRPr="00FE40B9">
        <w:rPr>
          <w:spacing w:val="-2"/>
          <w:lang w:val="en-GB"/>
        </w:rPr>
        <w:t>n Polish)</w:t>
      </w:r>
      <w:r w:rsidRPr="00F65288">
        <w:t xml:space="preserve"> </w:t>
      </w:r>
      <w:hyperlink r:id="rId29" w:history="1">
        <w:r w:rsidRPr="00F65288">
          <w:rPr>
            <w:rStyle w:val="Hipercze"/>
            <w:color w:val="auto"/>
            <w:u w:val="none"/>
            <w:lang w:val="en-GB"/>
          </w:rPr>
          <w:t>https://sobczynscy.pl</w:t>
        </w:r>
      </w:hyperlink>
      <w:r w:rsidRPr="00F65288">
        <w:t xml:space="preserve"> (accessed on 22 July 2025)</w:t>
      </w:r>
    </w:p>
    <w:p w14:paraId="692E0664" w14:textId="77777777" w:rsidR="00170559" w:rsidRPr="004A67C8" w:rsidRDefault="00170559" w:rsidP="00A92EF8">
      <w:pPr>
        <w:pStyle w:val="Rlit"/>
        <w:rPr>
          <w:lang w:val="pl-PL"/>
        </w:rPr>
      </w:pPr>
      <w:proofErr w:type="spellStart"/>
      <w:r w:rsidRPr="00F65288">
        <w:t>Świtalska</w:t>
      </w:r>
      <w:proofErr w:type="spellEnd"/>
      <w:r w:rsidRPr="00F65288">
        <w:t xml:space="preserve">, A. (2016). </w:t>
      </w:r>
      <w:r>
        <w:t>The Protection of Agricultural Land in the Context of Spatial Planning After the Year 1995 in Poland</w:t>
      </w:r>
      <w:r w:rsidRPr="00F65288">
        <w:t xml:space="preserve">. </w:t>
      </w:r>
      <w:r w:rsidRPr="004A67C8">
        <w:rPr>
          <w:i/>
          <w:iCs/>
          <w:lang w:val="pl-PL"/>
        </w:rPr>
        <w:t>Przestrzeń i Forma</w:t>
      </w:r>
      <w:r w:rsidRPr="004A67C8">
        <w:rPr>
          <w:lang w:val="pl-PL"/>
        </w:rPr>
        <w:t xml:space="preserve">, </w:t>
      </w:r>
      <w:r w:rsidRPr="004A67C8">
        <w:rPr>
          <w:i/>
          <w:iCs/>
          <w:lang w:val="pl-PL"/>
        </w:rPr>
        <w:t>25</w:t>
      </w:r>
      <w:r w:rsidRPr="004A67C8">
        <w:rPr>
          <w:lang w:val="pl-PL"/>
        </w:rPr>
        <w:t xml:space="preserve">, 241-256. </w:t>
      </w:r>
      <w:hyperlink r:id="rId30" w:history="1">
        <w:r w:rsidRPr="004A67C8">
          <w:rPr>
            <w:rStyle w:val="Hipercze"/>
            <w:color w:val="auto"/>
            <w:u w:val="none"/>
            <w:lang w:val="pl-PL"/>
          </w:rPr>
          <w:t>https://doi.org/10.21005/pif.2016.25.C-05</w:t>
        </w:r>
      </w:hyperlink>
    </w:p>
    <w:p w14:paraId="25B81554" w14:textId="77777777" w:rsidR="00170559" w:rsidRPr="004A67C8" w:rsidRDefault="00170559" w:rsidP="00CC75C2">
      <w:pPr>
        <w:pStyle w:val="Rlit"/>
        <w:rPr>
          <w:lang w:val="pl-PL"/>
        </w:rPr>
      </w:pPr>
      <w:r w:rsidRPr="004A67C8">
        <w:rPr>
          <w:lang w:val="pl-PL"/>
        </w:rPr>
        <w:lastRenderedPageBreak/>
        <w:t xml:space="preserve">Szefler, S. (2021). </w:t>
      </w:r>
      <w:r w:rsidRPr="00F65288">
        <w:t>Visual Analysis of the Cultural Landscape in Terms of Vegetation for the Purposes of Revitalization of Rural Areas. </w:t>
      </w:r>
      <w:r w:rsidRPr="004A67C8">
        <w:rPr>
          <w:i/>
          <w:iCs/>
          <w:lang w:val="pl-PL"/>
        </w:rPr>
        <w:t>Rocznik Ochrona Środowiska</w:t>
      </w:r>
      <w:r w:rsidRPr="004A67C8">
        <w:rPr>
          <w:lang w:val="pl-PL"/>
        </w:rPr>
        <w:t xml:space="preserve">, </w:t>
      </w:r>
      <w:r w:rsidRPr="004A67C8">
        <w:rPr>
          <w:i/>
          <w:iCs/>
          <w:lang w:val="pl-PL"/>
        </w:rPr>
        <w:t>23</w:t>
      </w:r>
      <w:r w:rsidRPr="004A67C8">
        <w:rPr>
          <w:lang w:val="pl-PL"/>
        </w:rPr>
        <w:t>, 301-317. https://doi.org/10.54740/ros.2021.020</w:t>
      </w:r>
    </w:p>
    <w:p w14:paraId="2216F9AE" w14:textId="77777777" w:rsidR="00170559" w:rsidRPr="004A67C8" w:rsidRDefault="00170559" w:rsidP="00CC75C2">
      <w:pPr>
        <w:pStyle w:val="Rlit"/>
        <w:rPr>
          <w:lang w:val="pl-PL"/>
        </w:rPr>
      </w:pPr>
      <w:r w:rsidRPr="004A67C8">
        <w:rPr>
          <w:lang w:val="pl-PL"/>
        </w:rPr>
        <w:t xml:space="preserve">Wójcik-Leń, J. (2022). </w:t>
      </w:r>
      <w:r w:rsidRPr="00F65288">
        <w:t xml:space="preserve">Identifying villages for land consolidation: A new agricultural wasteland concentration indicator. </w:t>
      </w:r>
      <w:proofErr w:type="spellStart"/>
      <w:r w:rsidRPr="004A67C8">
        <w:rPr>
          <w:i/>
          <w:iCs/>
          <w:lang w:val="pl-PL"/>
        </w:rPr>
        <w:t>Sustainability</w:t>
      </w:r>
      <w:proofErr w:type="spellEnd"/>
      <w:r w:rsidRPr="004A67C8">
        <w:rPr>
          <w:lang w:val="pl-PL"/>
        </w:rPr>
        <w:t xml:space="preserve">, </w:t>
      </w:r>
      <w:r w:rsidRPr="004A67C8">
        <w:rPr>
          <w:i/>
          <w:iCs/>
          <w:lang w:val="pl-PL"/>
        </w:rPr>
        <w:t>14</w:t>
      </w:r>
      <w:r w:rsidRPr="004A67C8">
        <w:rPr>
          <w:lang w:val="pl-PL"/>
        </w:rPr>
        <w:t xml:space="preserve">(16865). </w:t>
      </w:r>
      <w:hyperlink r:id="rId31" w:history="1">
        <w:r w:rsidRPr="004A67C8">
          <w:rPr>
            <w:rStyle w:val="Hipercze"/>
            <w:color w:val="auto"/>
            <w:u w:val="none"/>
            <w:lang w:val="pl-PL"/>
          </w:rPr>
          <w:t>https://doi.org/10.3390/su142416865</w:t>
        </w:r>
      </w:hyperlink>
    </w:p>
    <w:p w14:paraId="66754A98" w14:textId="77777777" w:rsidR="00170559" w:rsidRPr="00F65288" w:rsidRDefault="00170559" w:rsidP="008101F3">
      <w:pPr>
        <w:pStyle w:val="Rlit"/>
        <w:jc w:val="left"/>
      </w:pPr>
      <w:r w:rsidRPr="004A67C8">
        <w:rPr>
          <w:lang w:val="pl-PL"/>
        </w:rPr>
        <w:t xml:space="preserve">Zydel, B. (2019). </w:t>
      </w:r>
      <w:r w:rsidRPr="004A67C8">
        <w:rPr>
          <w:i/>
          <w:iCs/>
          <w:lang w:val="pl-PL"/>
        </w:rPr>
        <w:t>Ochrona gruntów rolnych</w:t>
      </w:r>
      <w:r w:rsidRPr="004A67C8">
        <w:rPr>
          <w:lang w:val="pl-PL"/>
        </w:rPr>
        <w:t xml:space="preserve">. </w:t>
      </w:r>
      <w:r>
        <w:t xml:space="preserve">Publisher: Association of Polish Counties, </w:t>
      </w:r>
      <w:r w:rsidRPr="008101F3">
        <w:t>Warsaw</w:t>
      </w:r>
      <w:r>
        <w:t>.</w:t>
      </w:r>
      <w:r w:rsidRPr="00FE40B9">
        <w:rPr>
          <w:spacing w:val="-2"/>
          <w:lang w:val="en-GB"/>
        </w:rPr>
        <w:t xml:space="preserve"> (</w:t>
      </w:r>
      <w:r>
        <w:rPr>
          <w:spacing w:val="-2"/>
          <w:lang w:val="en-GB"/>
        </w:rPr>
        <w:t>i</w:t>
      </w:r>
      <w:r w:rsidRPr="00FE40B9">
        <w:rPr>
          <w:spacing w:val="-2"/>
          <w:lang w:val="en-GB"/>
        </w:rPr>
        <w:t>n Polish)</w:t>
      </w:r>
      <w:r>
        <w:rPr>
          <w:spacing w:val="-2"/>
          <w:lang w:val="en-GB"/>
        </w:rPr>
        <w:t xml:space="preserve"> </w:t>
      </w:r>
      <w:r>
        <w:rPr>
          <w:spacing w:val="-2"/>
          <w:lang w:val="en-GB"/>
        </w:rPr>
        <w:br/>
      </w:r>
      <w:r w:rsidRPr="008101F3">
        <w:rPr>
          <w:spacing w:val="-2"/>
          <w:lang w:val="en-GB"/>
        </w:rPr>
        <w:t>ISBN 978-83-62251-61-2</w:t>
      </w:r>
    </w:p>
    <w:bookmarkEnd w:id="4"/>
    <w:p w14:paraId="5F7BFB65" w14:textId="77777777" w:rsidR="00170559" w:rsidRPr="00F65288" w:rsidRDefault="00170559" w:rsidP="00170559">
      <w:pPr>
        <w:pStyle w:val="Rlit"/>
        <w:spacing w:before="120"/>
      </w:pPr>
      <w:r w:rsidRPr="00F65288">
        <w:t>Act of 27 March 2003 on spatial planning and development (Journal of Laws, 2003, No. 80, item 717, as amended).</w:t>
      </w:r>
    </w:p>
    <w:p w14:paraId="326837D2" w14:textId="77777777" w:rsidR="00170559" w:rsidRPr="005961C6" w:rsidRDefault="00170559" w:rsidP="00170559">
      <w:pPr>
        <w:pStyle w:val="Rlit"/>
        <w:rPr>
          <w:spacing w:val="-2"/>
        </w:rPr>
      </w:pPr>
      <w:r w:rsidRPr="005961C6">
        <w:rPr>
          <w:spacing w:val="-2"/>
        </w:rPr>
        <w:t>Act of 3 February 1995 on the protection of agricultural and forest land (Journal of Laws, 1995, No. 16, item 78, as amended).</w:t>
      </w:r>
    </w:p>
    <w:p w14:paraId="63323CDE" w14:textId="77777777" w:rsidR="00170559" w:rsidRPr="00F65288" w:rsidRDefault="00170559" w:rsidP="00170559">
      <w:pPr>
        <w:pStyle w:val="Rlit"/>
        <w:jc w:val="left"/>
      </w:pPr>
      <w:r w:rsidRPr="00F65288">
        <w:t xml:space="preserve">Ministry of Development and Technology. (2023). Reform of the spatial planning system. </w:t>
      </w:r>
      <w:hyperlink r:id="rId32" w:history="1">
        <w:r w:rsidRPr="00F65288">
          <w:rPr>
            <w:rStyle w:val="Hipercze"/>
            <w:color w:val="auto"/>
            <w:u w:val="none"/>
            <w:lang w:val="en-GB"/>
          </w:rPr>
          <w:t>https://www.gov.pl/web/rozwoj-technologia</w:t>
        </w:r>
      </w:hyperlink>
      <w:r w:rsidRPr="00F65288">
        <w:t xml:space="preserve"> (accessed on 22 July 2025)</w:t>
      </w:r>
    </w:p>
    <w:p w14:paraId="1955F8BA" w14:textId="77777777" w:rsidR="00170559" w:rsidRPr="00F65288" w:rsidRDefault="00170559" w:rsidP="00170559">
      <w:pPr>
        <w:pStyle w:val="Rlit"/>
      </w:pPr>
      <w:r w:rsidRPr="00F65288">
        <w:t>Statistics Poland (2023). Statistical Yearbook of Agriculture. Warszawa: GUS.</w:t>
      </w:r>
    </w:p>
    <w:p w14:paraId="1233B683" w14:textId="77777777" w:rsidR="00170559" w:rsidRPr="00F65288" w:rsidRDefault="00170559" w:rsidP="00170559">
      <w:pPr>
        <w:pStyle w:val="Rlit"/>
      </w:pPr>
      <w:r w:rsidRPr="00F65288">
        <w:t xml:space="preserve">Statistics Poland, </w:t>
      </w:r>
      <w:hyperlink r:id="rId33" w:history="1">
        <w:r w:rsidRPr="00F65288">
          <w:rPr>
            <w:rStyle w:val="Hipercze"/>
            <w:color w:val="auto"/>
            <w:u w:val="none"/>
            <w:lang w:val="en-GB"/>
          </w:rPr>
          <w:t>https://bdl.stat.gov.pl</w:t>
        </w:r>
      </w:hyperlink>
      <w:r w:rsidRPr="00F65288">
        <w:t xml:space="preserve"> (accessed on 22 July 2025)</w:t>
      </w:r>
    </w:p>
    <w:p w14:paraId="64ED893E" w14:textId="77777777" w:rsidR="00170559" w:rsidRPr="00F65288" w:rsidRDefault="00170559" w:rsidP="00170559">
      <w:pPr>
        <w:pStyle w:val="Rlit"/>
      </w:pPr>
      <w:r w:rsidRPr="00F65288">
        <w:t xml:space="preserve">Supreme Administrative Court (NSA), Voivodeship Administrative Courts (VAC), Mackiewicz etc. (2024). Jurisprudence on the protection of agricultural land, court decisions: NSA II OSK 2509/23; WSA </w:t>
      </w:r>
      <w:proofErr w:type="spellStart"/>
      <w:r w:rsidRPr="00F65288">
        <w:t>Poznań</w:t>
      </w:r>
      <w:proofErr w:type="spellEnd"/>
      <w:r w:rsidRPr="00F65288">
        <w:t xml:space="preserve"> II SA/Po 550/24; WSA Bydgoszcz II SA/Bd 1570/13.</w:t>
      </w:r>
    </w:p>
    <w:p w14:paraId="233C30C6" w14:textId="60A1EC93" w:rsidR="0011100A" w:rsidRPr="00F65288" w:rsidRDefault="0011100A" w:rsidP="00CC75C2">
      <w:pPr>
        <w:pStyle w:val="Rlit"/>
      </w:pPr>
    </w:p>
    <w:sectPr w:rsidR="0011100A" w:rsidRPr="00F65288" w:rsidSect="00313233">
      <w:headerReference w:type="even" r:id="rId34"/>
      <w:headerReference w:type="default" r:id="rId35"/>
      <w:footerReference w:type="first" r:id="rId36"/>
      <w:pgSz w:w="11906" w:h="16838" w:code="9"/>
      <w:pgMar w:top="1134" w:right="1134" w:bottom="1134" w:left="1134" w:header="567" w:footer="567" w:gutter="0"/>
      <w:pgNumType w:start="5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E5AC" w14:textId="77777777" w:rsidR="004F1AF6" w:rsidRDefault="004F1AF6" w:rsidP="001B1505">
      <w:r>
        <w:separator/>
      </w:r>
    </w:p>
  </w:endnote>
  <w:endnote w:type="continuationSeparator" w:id="0">
    <w:p w14:paraId="667488E4" w14:textId="77777777" w:rsidR="004F1AF6" w:rsidRDefault="004F1AF6" w:rsidP="001B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5387"/>
    </w:tblGrid>
    <w:tr w:rsidR="001B1505" w:rsidRPr="004A67C8" w14:paraId="7609CE50" w14:textId="77777777" w:rsidTr="00534B05">
      <w:trPr>
        <w:trHeight w:val="261"/>
      </w:trPr>
      <w:tc>
        <w:tcPr>
          <w:tcW w:w="1384" w:type="dxa"/>
          <w:vAlign w:val="center"/>
        </w:tcPr>
        <w:p w14:paraId="66B2DD44" w14:textId="77777777" w:rsidR="001B1505" w:rsidRPr="0016360D" w:rsidRDefault="001B1505" w:rsidP="001B1505">
          <w:pPr>
            <w:ind w:firstLine="0"/>
            <w:rPr>
              <w:rFonts w:ascii="Times New Roman" w:hAnsi="Times New Roman"/>
            </w:rPr>
          </w:pPr>
          <w:r w:rsidRPr="0016360D">
            <w:rPr>
              <w:noProof/>
            </w:rPr>
            <w:drawing>
              <wp:inline distT="0" distB="0" distL="0" distR="0" wp14:anchorId="443FB7EF" wp14:editId="5B802D74">
                <wp:extent cx="682388" cy="239947"/>
                <wp:effectExtent l="0" t="0" r="0" b="0"/>
                <wp:docPr id="1454242473" name="Obraz 37" descr="C:\Users\Tomek-Praca\AppData\Local\Microsoft\Windows\INetCache\Content.MSO\6854E8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ek-Praca\AppData\Local\Microsoft\Windows\INetCache\Content.MSO\6854E8BE.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102" cy="282042"/>
                        </a:xfrm>
                        <a:prstGeom prst="rect">
                          <a:avLst/>
                        </a:prstGeom>
                        <a:noFill/>
                        <a:ln>
                          <a:noFill/>
                        </a:ln>
                      </pic:spPr>
                    </pic:pic>
                  </a:graphicData>
                </a:graphic>
              </wp:inline>
            </w:drawing>
          </w:r>
        </w:p>
      </w:tc>
      <w:tc>
        <w:tcPr>
          <w:tcW w:w="5387" w:type="dxa"/>
          <w:vAlign w:val="center"/>
        </w:tcPr>
        <w:p w14:paraId="76DF77F4" w14:textId="77777777" w:rsidR="001B1505" w:rsidRPr="0016360D" w:rsidRDefault="001B1505" w:rsidP="001B1505">
          <w:pPr>
            <w:ind w:left="38" w:firstLine="0"/>
            <w:rPr>
              <w:rFonts w:ascii="Times New Roman" w:hAnsi="Times New Roman"/>
              <w:sz w:val="18"/>
              <w:szCs w:val="18"/>
              <w:lang w:val="en-GB"/>
            </w:rPr>
          </w:pPr>
          <w:r w:rsidRPr="0016360D">
            <w:rPr>
              <w:rFonts w:ascii="Times New Roman" w:hAnsi="Times New Roman"/>
              <w:sz w:val="18"/>
              <w:szCs w:val="18"/>
              <w:lang w:val="en-GB"/>
            </w:rPr>
            <w:t>© 2025. Author(s). This work is licensed under a Creative Commons Attribution 4.0 International License (CC BY-SA)</w:t>
          </w:r>
        </w:p>
      </w:tc>
    </w:tr>
  </w:tbl>
  <w:p w14:paraId="713CCADF" w14:textId="77777777" w:rsidR="001B1505" w:rsidRPr="0016360D" w:rsidRDefault="001B1505" w:rsidP="001B1505">
    <w:pPr>
      <w:pStyle w:val="Stopka"/>
      <w:ind w:firstLine="0"/>
      <w:rPr>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F8CC" w14:textId="77777777" w:rsidR="004F1AF6" w:rsidRDefault="004F1AF6" w:rsidP="001B1505">
      <w:r>
        <w:separator/>
      </w:r>
    </w:p>
  </w:footnote>
  <w:footnote w:type="continuationSeparator" w:id="0">
    <w:p w14:paraId="4BBE92A2" w14:textId="77777777" w:rsidR="004F1AF6" w:rsidRDefault="004F1AF6" w:rsidP="001B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1B1505" w:rsidRPr="00855C77" w14:paraId="5D8056D6" w14:textId="77777777" w:rsidTr="00534B05">
      <w:trPr>
        <w:trHeight w:hRule="exact" w:val="284"/>
      </w:trPr>
      <w:tc>
        <w:tcPr>
          <w:tcW w:w="397" w:type="dxa"/>
          <w:vAlign w:val="center"/>
        </w:tcPr>
        <w:p w14:paraId="3D87185C" w14:textId="77777777" w:rsidR="001B1505" w:rsidRPr="00855C77" w:rsidRDefault="001B1505" w:rsidP="001B1505">
          <w:pPr>
            <w:pStyle w:val="Nagwek"/>
            <w:ind w:firstLine="0"/>
            <w:rPr>
              <w:rFonts w:ascii="Arial" w:hAnsi="Arial" w:cs="Arial"/>
              <w:i/>
              <w:sz w:val="20"/>
              <w:szCs w:val="20"/>
              <w:lang w:val="en-GB"/>
            </w:rPr>
          </w:pPr>
          <w:r w:rsidRPr="00855C77">
            <w:rPr>
              <w:rFonts w:ascii="Arial" w:hAnsi="Arial" w:cs="Arial"/>
              <w:sz w:val="20"/>
              <w:szCs w:val="20"/>
              <w:lang w:val="en-GB"/>
            </w:rPr>
            <w:fldChar w:fldCharType="begin"/>
          </w:r>
          <w:r w:rsidRPr="00855C77">
            <w:rPr>
              <w:rFonts w:ascii="Arial" w:hAnsi="Arial" w:cs="Arial"/>
              <w:sz w:val="20"/>
              <w:szCs w:val="20"/>
              <w:lang w:val="en-GB"/>
            </w:rPr>
            <w:instrText xml:space="preserve"> PAGE   \* MERGEFORMAT </w:instrText>
          </w:r>
          <w:r w:rsidRPr="00855C77">
            <w:rPr>
              <w:rFonts w:ascii="Arial" w:hAnsi="Arial" w:cs="Arial"/>
              <w:sz w:val="20"/>
              <w:szCs w:val="20"/>
              <w:lang w:val="en-GB"/>
            </w:rPr>
            <w:fldChar w:fldCharType="separate"/>
          </w:r>
          <w:r>
            <w:rPr>
              <w:rFonts w:ascii="Arial" w:hAnsi="Arial" w:cs="Arial"/>
              <w:sz w:val="20"/>
              <w:szCs w:val="20"/>
              <w:lang w:val="en-GB"/>
            </w:rPr>
            <w:t>2</w:t>
          </w:r>
          <w:r w:rsidRPr="00855C77">
            <w:rPr>
              <w:rFonts w:ascii="Arial" w:hAnsi="Arial" w:cs="Arial"/>
              <w:sz w:val="20"/>
              <w:szCs w:val="20"/>
              <w:lang w:val="en-GB"/>
            </w:rPr>
            <w:fldChar w:fldCharType="end"/>
          </w:r>
        </w:p>
      </w:tc>
      <w:tc>
        <w:tcPr>
          <w:tcW w:w="9242" w:type="dxa"/>
          <w:vAlign w:val="center"/>
        </w:tcPr>
        <w:p w14:paraId="02BE66F4" w14:textId="340358C0" w:rsidR="001B1505" w:rsidRPr="00855C77" w:rsidRDefault="00CC7C85" w:rsidP="001B1505">
          <w:pPr>
            <w:pStyle w:val="Nagwek"/>
            <w:ind w:firstLine="0"/>
            <w:jc w:val="center"/>
            <w:rPr>
              <w:rFonts w:ascii="Arial" w:hAnsi="Arial" w:cs="Arial"/>
              <w:i/>
              <w:sz w:val="20"/>
              <w:szCs w:val="20"/>
            </w:rPr>
          </w:pPr>
          <w:r w:rsidRPr="00CC7C85">
            <w:rPr>
              <w:rFonts w:ascii="Arial" w:hAnsi="Arial" w:cs="Arial"/>
              <w:i/>
              <w:sz w:val="20"/>
              <w:szCs w:val="20"/>
            </w:rPr>
            <w:t>Agnieszka Czajka, Krystyna Kurowska</w:t>
          </w:r>
        </w:p>
      </w:tc>
    </w:tr>
  </w:tbl>
  <w:p w14:paraId="1F90326D" w14:textId="77777777" w:rsidR="001B1505" w:rsidRPr="00E90ABA" w:rsidRDefault="001B1505" w:rsidP="001B1505">
    <w:pPr>
      <w:pStyle w:val="Nagwek"/>
      <w:ind w:firstLine="0"/>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1B1505" w:rsidRPr="00855C77" w14:paraId="6EFB6073" w14:textId="77777777" w:rsidTr="00534B05">
      <w:trPr>
        <w:trHeight w:hRule="exact" w:val="284"/>
        <w:jc w:val="right"/>
      </w:trPr>
      <w:tc>
        <w:tcPr>
          <w:tcW w:w="9243" w:type="dxa"/>
          <w:vAlign w:val="center"/>
        </w:tcPr>
        <w:p w14:paraId="5460CAD0" w14:textId="16F09B87" w:rsidR="001B1505" w:rsidRPr="00855C77" w:rsidRDefault="00313233" w:rsidP="001B1505">
          <w:pPr>
            <w:pStyle w:val="Nagwek"/>
            <w:ind w:firstLine="0"/>
            <w:jc w:val="center"/>
            <w:rPr>
              <w:rFonts w:ascii="Arial" w:hAnsi="Arial" w:cs="Arial"/>
              <w:i/>
              <w:sz w:val="20"/>
              <w:szCs w:val="12"/>
              <w:lang w:val="en-GB"/>
            </w:rPr>
          </w:pPr>
          <w:r w:rsidRPr="00313233">
            <w:rPr>
              <w:rFonts w:ascii="Arial" w:hAnsi="Arial" w:cs="Arial"/>
              <w:i/>
              <w:sz w:val="20"/>
              <w:szCs w:val="12"/>
              <w:lang w:val="en-GB"/>
            </w:rPr>
            <w:t>An Evaluation of the Effectiveness of Legal Instruments</w:t>
          </w:r>
          <w:r>
            <w:rPr>
              <w:rFonts w:ascii="Arial" w:hAnsi="Arial" w:cs="Arial"/>
              <w:i/>
              <w:sz w:val="20"/>
              <w:szCs w:val="12"/>
              <w:lang w:val="en-GB"/>
            </w:rPr>
            <w:t>…</w:t>
          </w:r>
        </w:p>
      </w:tc>
      <w:tc>
        <w:tcPr>
          <w:tcW w:w="397" w:type="dxa"/>
          <w:vAlign w:val="center"/>
        </w:tcPr>
        <w:p w14:paraId="20516E26" w14:textId="77777777" w:rsidR="001B1505" w:rsidRPr="00855C77" w:rsidRDefault="001B1505" w:rsidP="001B1505">
          <w:pPr>
            <w:pStyle w:val="Nagwek"/>
            <w:ind w:firstLine="0"/>
            <w:jc w:val="right"/>
            <w:rPr>
              <w:rFonts w:ascii="Arial" w:hAnsi="Arial" w:cs="Arial"/>
              <w:i/>
              <w:sz w:val="20"/>
              <w:szCs w:val="12"/>
              <w:lang w:val="en-GB"/>
            </w:rPr>
          </w:pPr>
          <w:r w:rsidRPr="00855C77">
            <w:rPr>
              <w:rFonts w:ascii="Arial" w:hAnsi="Arial" w:cs="Arial"/>
              <w:sz w:val="20"/>
              <w:szCs w:val="12"/>
              <w:lang w:val="en-GB"/>
            </w:rPr>
            <w:fldChar w:fldCharType="begin"/>
          </w:r>
          <w:r w:rsidRPr="00855C77">
            <w:rPr>
              <w:rFonts w:ascii="Arial" w:hAnsi="Arial" w:cs="Arial"/>
              <w:sz w:val="20"/>
              <w:szCs w:val="12"/>
              <w:lang w:val="en-GB"/>
            </w:rPr>
            <w:instrText xml:space="preserve"> PAGE   \* MERGEFORMAT </w:instrText>
          </w:r>
          <w:r w:rsidRPr="00855C77">
            <w:rPr>
              <w:rFonts w:ascii="Arial" w:hAnsi="Arial" w:cs="Arial"/>
              <w:sz w:val="20"/>
              <w:szCs w:val="12"/>
              <w:lang w:val="en-GB"/>
            </w:rPr>
            <w:fldChar w:fldCharType="separate"/>
          </w:r>
          <w:r>
            <w:rPr>
              <w:rFonts w:ascii="Arial" w:hAnsi="Arial" w:cs="Arial"/>
              <w:sz w:val="20"/>
              <w:szCs w:val="12"/>
              <w:lang w:val="en-GB"/>
            </w:rPr>
            <w:t>3</w:t>
          </w:r>
          <w:r w:rsidRPr="00855C77">
            <w:rPr>
              <w:rFonts w:ascii="Arial" w:hAnsi="Arial" w:cs="Arial"/>
              <w:sz w:val="20"/>
              <w:szCs w:val="12"/>
              <w:lang w:val="en-GB"/>
            </w:rPr>
            <w:fldChar w:fldCharType="end"/>
          </w:r>
        </w:p>
      </w:tc>
    </w:tr>
  </w:tbl>
  <w:p w14:paraId="3CB001E8" w14:textId="77777777" w:rsidR="001B1505" w:rsidRPr="00007E12" w:rsidRDefault="001B1505" w:rsidP="001B1505">
    <w:pPr>
      <w:pStyle w:val="Nagwek"/>
      <w:ind w:firstLine="0"/>
      <w:rPr>
        <w:rFonts w:ascii="Arial" w:hAnsi="Arial" w:cs="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0082"/>
    <w:multiLevelType w:val="hybridMultilevel"/>
    <w:tmpl w:val="75A4A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49708D"/>
    <w:multiLevelType w:val="hybridMultilevel"/>
    <w:tmpl w:val="5A2E1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853E93"/>
    <w:multiLevelType w:val="hybridMultilevel"/>
    <w:tmpl w:val="9D4A8A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1713014"/>
    <w:multiLevelType w:val="hybridMultilevel"/>
    <w:tmpl w:val="46B4F74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2E396D77"/>
    <w:multiLevelType w:val="hybridMultilevel"/>
    <w:tmpl w:val="FB5A603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524653F"/>
    <w:multiLevelType w:val="multilevel"/>
    <w:tmpl w:val="CB2E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F1123"/>
    <w:multiLevelType w:val="hybridMultilevel"/>
    <w:tmpl w:val="3E18B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8136B72"/>
    <w:multiLevelType w:val="multilevel"/>
    <w:tmpl w:val="ABCE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21BCD"/>
    <w:multiLevelType w:val="hybridMultilevel"/>
    <w:tmpl w:val="0560821E"/>
    <w:lvl w:ilvl="0" w:tplc="01242E8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45B31F33"/>
    <w:multiLevelType w:val="hybridMultilevel"/>
    <w:tmpl w:val="AE2E9BD6"/>
    <w:lvl w:ilvl="0" w:tplc="D26C2570">
      <w:start w:val="1"/>
      <w:numFmt w:val="lowerLetter"/>
      <w:lvlText w:val="%1)"/>
      <w:lvlJc w:val="left"/>
      <w:pPr>
        <w:ind w:left="720" w:hanging="360"/>
      </w:pPr>
      <w:rPr>
        <w:rFonts w:ascii="Times New Roman" w:eastAsia="Calibr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6E16B5"/>
    <w:multiLevelType w:val="multilevel"/>
    <w:tmpl w:val="B9E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52A76"/>
    <w:multiLevelType w:val="hybridMultilevel"/>
    <w:tmpl w:val="693C9F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A8A3131"/>
    <w:multiLevelType w:val="multilevel"/>
    <w:tmpl w:val="E59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C328A"/>
    <w:multiLevelType w:val="hybridMultilevel"/>
    <w:tmpl w:val="2CECBE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00576B2"/>
    <w:multiLevelType w:val="hybridMultilevel"/>
    <w:tmpl w:val="B4EA295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6055755C"/>
    <w:multiLevelType w:val="hybridMultilevel"/>
    <w:tmpl w:val="5A2E1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A867F1"/>
    <w:multiLevelType w:val="hybridMultilevel"/>
    <w:tmpl w:val="FE349B1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697B6EAD"/>
    <w:multiLevelType w:val="hybridMultilevel"/>
    <w:tmpl w:val="22C0A2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1F4DC1"/>
    <w:multiLevelType w:val="hybridMultilevel"/>
    <w:tmpl w:val="C10A4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176D27"/>
    <w:multiLevelType w:val="hybridMultilevel"/>
    <w:tmpl w:val="5A2E15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1936D3"/>
    <w:multiLevelType w:val="hybridMultilevel"/>
    <w:tmpl w:val="5A2E15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9862426">
    <w:abstractNumId w:val="18"/>
  </w:num>
  <w:num w:numId="2" w16cid:durableId="966159765">
    <w:abstractNumId w:val="10"/>
  </w:num>
  <w:num w:numId="3" w16cid:durableId="1077826723">
    <w:abstractNumId w:val="7"/>
  </w:num>
  <w:num w:numId="4" w16cid:durableId="696154235">
    <w:abstractNumId w:val="2"/>
  </w:num>
  <w:num w:numId="5" w16cid:durableId="873737856">
    <w:abstractNumId w:val="12"/>
  </w:num>
  <w:num w:numId="6" w16cid:durableId="1399783818">
    <w:abstractNumId w:val="5"/>
  </w:num>
  <w:num w:numId="7" w16cid:durableId="148402850">
    <w:abstractNumId w:val="11"/>
  </w:num>
  <w:num w:numId="8" w16cid:durableId="547306904">
    <w:abstractNumId w:val="14"/>
  </w:num>
  <w:num w:numId="9" w16cid:durableId="1318807200">
    <w:abstractNumId w:val="4"/>
  </w:num>
  <w:num w:numId="10" w16cid:durableId="553007880">
    <w:abstractNumId w:val="0"/>
  </w:num>
  <w:num w:numId="11" w16cid:durableId="1536188115">
    <w:abstractNumId w:val="13"/>
  </w:num>
  <w:num w:numId="12" w16cid:durableId="1609851631">
    <w:abstractNumId w:val="17"/>
  </w:num>
  <w:num w:numId="13" w16cid:durableId="1179661506">
    <w:abstractNumId w:val="6"/>
  </w:num>
  <w:num w:numId="14" w16cid:durableId="1818839599">
    <w:abstractNumId w:val="20"/>
  </w:num>
  <w:num w:numId="15" w16cid:durableId="1548561638">
    <w:abstractNumId w:val="16"/>
  </w:num>
  <w:num w:numId="16" w16cid:durableId="374041800">
    <w:abstractNumId w:val="15"/>
  </w:num>
  <w:num w:numId="17" w16cid:durableId="411240104">
    <w:abstractNumId w:val="1"/>
  </w:num>
  <w:num w:numId="18" w16cid:durableId="86966710">
    <w:abstractNumId w:val="19"/>
  </w:num>
  <w:num w:numId="19" w16cid:durableId="1445729533">
    <w:abstractNumId w:val="8"/>
  </w:num>
  <w:num w:numId="20" w16cid:durableId="673146317">
    <w:abstractNumId w:val="9"/>
  </w:num>
  <w:num w:numId="21" w16cid:durableId="248583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hideSpellingErrors/>
  <w:hideGrammaticalErrors/>
  <w:proofState w:spelling="clean"/>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NDM2MzI1MTQ1MTdV0lEKTi0uzszPAykwrAUASkTqpCwAAAA="/>
  </w:docVars>
  <w:rsids>
    <w:rsidRoot w:val="00BB6167"/>
    <w:rsid w:val="00007379"/>
    <w:rsid w:val="0001206D"/>
    <w:rsid w:val="00016EA2"/>
    <w:rsid w:val="00021791"/>
    <w:rsid w:val="000245CF"/>
    <w:rsid w:val="000279CE"/>
    <w:rsid w:val="00030178"/>
    <w:rsid w:val="000308A7"/>
    <w:rsid w:val="00042FB4"/>
    <w:rsid w:val="0004766E"/>
    <w:rsid w:val="00060ADC"/>
    <w:rsid w:val="00061BDD"/>
    <w:rsid w:val="00062E08"/>
    <w:rsid w:val="000845A5"/>
    <w:rsid w:val="00092251"/>
    <w:rsid w:val="000B3901"/>
    <w:rsid w:val="000D4C18"/>
    <w:rsid w:val="000D7026"/>
    <w:rsid w:val="000E3E43"/>
    <w:rsid w:val="000F17E5"/>
    <w:rsid w:val="000F3A04"/>
    <w:rsid w:val="000F4F02"/>
    <w:rsid w:val="00100938"/>
    <w:rsid w:val="001028F2"/>
    <w:rsid w:val="00107474"/>
    <w:rsid w:val="0011100A"/>
    <w:rsid w:val="00113456"/>
    <w:rsid w:val="00114492"/>
    <w:rsid w:val="00114EDB"/>
    <w:rsid w:val="00122BCE"/>
    <w:rsid w:val="00123AB5"/>
    <w:rsid w:val="0013162F"/>
    <w:rsid w:val="00132418"/>
    <w:rsid w:val="00140FE2"/>
    <w:rsid w:val="00142615"/>
    <w:rsid w:val="00170559"/>
    <w:rsid w:val="00180A74"/>
    <w:rsid w:val="00182BBF"/>
    <w:rsid w:val="00191B0C"/>
    <w:rsid w:val="00192EAB"/>
    <w:rsid w:val="00196B6B"/>
    <w:rsid w:val="001A3F6B"/>
    <w:rsid w:val="001B0ED8"/>
    <w:rsid w:val="001B1505"/>
    <w:rsid w:val="001B17F9"/>
    <w:rsid w:val="001B5BFC"/>
    <w:rsid w:val="001C01B6"/>
    <w:rsid w:val="001C7718"/>
    <w:rsid w:val="001D3AD7"/>
    <w:rsid w:val="001E2965"/>
    <w:rsid w:val="001F6C0D"/>
    <w:rsid w:val="0020625F"/>
    <w:rsid w:val="00212D21"/>
    <w:rsid w:val="00215E93"/>
    <w:rsid w:val="0021653A"/>
    <w:rsid w:val="00217A47"/>
    <w:rsid w:val="00222563"/>
    <w:rsid w:val="002401D7"/>
    <w:rsid w:val="00262800"/>
    <w:rsid w:val="002644A3"/>
    <w:rsid w:val="002653BA"/>
    <w:rsid w:val="002741C4"/>
    <w:rsid w:val="00293C0D"/>
    <w:rsid w:val="002A6083"/>
    <w:rsid w:val="002C46A0"/>
    <w:rsid w:val="002D47E9"/>
    <w:rsid w:val="002D5F63"/>
    <w:rsid w:val="002D73AD"/>
    <w:rsid w:val="00311BDF"/>
    <w:rsid w:val="00313233"/>
    <w:rsid w:val="00314D3B"/>
    <w:rsid w:val="003158EA"/>
    <w:rsid w:val="003219C1"/>
    <w:rsid w:val="00342C46"/>
    <w:rsid w:val="00343B2F"/>
    <w:rsid w:val="003443DE"/>
    <w:rsid w:val="00346F69"/>
    <w:rsid w:val="00350793"/>
    <w:rsid w:val="00351B4B"/>
    <w:rsid w:val="003641C7"/>
    <w:rsid w:val="00367C5A"/>
    <w:rsid w:val="00370B88"/>
    <w:rsid w:val="00374828"/>
    <w:rsid w:val="00375573"/>
    <w:rsid w:val="003759E2"/>
    <w:rsid w:val="00380A7C"/>
    <w:rsid w:val="003832D6"/>
    <w:rsid w:val="00392196"/>
    <w:rsid w:val="003A0FFC"/>
    <w:rsid w:val="003A63DC"/>
    <w:rsid w:val="003C0071"/>
    <w:rsid w:val="003C729C"/>
    <w:rsid w:val="003E09FA"/>
    <w:rsid w:val="003E21AC"/>
    <w:rsid w:val="003E32E6"/>
    <w:rsid w:val="003F0CAC"/>
    <w:rsid w:val="003F56A0"/>
    <w:rsid w:val="004054B2"/>
    <w:rsid w:val="00410A72"/>
    <w:rsid w:val="00410DFB"/>
    <w:rsid w:val="00420BE3"/>
    <w:rsid w:val="004212C9"/>
    <w:rsid w:val="004223DC"/>
    <w:rsid w:val="0042385A"/>
    <w:rsid w:val="00430965"/>
    <w:rsid w:val="004318A0"/>
    <w:rsid w:val="00434CB2"/>
    <w:rsid w:val="004453B0"/>
    <w:rsid w:val="0044785C"/>
    <w:rsid w:val="004530E4"/>
    <w:rsid w:val="00472834"/>
    <w:rsid w:val="00475D76"/>
    <w:rsid w:val="00482051"/>
    <w:rsid w:val="004854ED"/>
    <w:rsid w:val="00490573"/>
    <w:rsid w:val="004A67C8"/>
    <w:rsid w:val="004B25BD"/>
    <w:rsid w:val="004B7A2B"/>
    <w:rsid w:val="004C293E"/>
    <w:rsid w:val="004C4F11"/>
    <w:rsid w:val="004C7ACE"/>
    <w:rsid w:val="004D0A17"/>
    <w:rsid w:val="004D2A1B"/>
    <w:rsid w:val="004D34F4"/>
    <w:rsid w:val="004F1AF6"/>
    <w:rsid w:val="00517F67"/>
    <w:rsid w:val="00522EE8"/>
    <w:rsid w:val="00533A0E"/>
    <w:rsid w:val="00534EDE"/>
    <w:rsid w:val="00535F3C"/>
    <w:rsid w:val="005605C0"/>
    <w:rsid w:val="00571476"/>
    <w:rsid w:val="005740CE"/>
    <w:rsid w:val="00584916"/>
    <w:rsid w:val="005857BC"/>
    <w:rsid w:val="00592B97"/>
    <w:rsid w:val="00594798"/>
    <w:rsid w:val="005961C6"/>
    <w:rsid w:val="005A16BB"/>
    <w:rsid w:val="005A6360"/>
    <w:rsid w:val="005B2A89"/>
    <w:rsid w:val="005C1DA6"/>
    <w:rsid w:val="005C7531"/>
    <w:rsid w:val="005D028D"/>
    <w:rsid w:val="005E128B"/>
    <w:rsid w:val="005E6606"/>
    <w:rsid w:val="005F46E8"/>
    <w:rsid w:val="00611690"/>
    <w:rsid w:val="00620CC3"/>
    <w:rsid w:val="00624426"/>
    <w:rsid w:val="006425DA"/>
    <w:rsid w:val="00643AA3"/>
    <w:rsid w:val="0065459E"/>
    <w:rsid w:val="00663A08"/>
    <w:rsid w:val="006659F1"/>
    <w:rsid w:val="00670C95"/>
    <w:rsid w:val="00673C8C"/>
    <w:rsid w:val="00687863"/>
    <w:rsid w:val="00691208"/>
    <w:rsid w:val="00696570"/>
    <w:rsid w:val="006A7C16"/>
    <w:rsid w:val="006B04E2"/>
    <w:rsid w:val="006B0911"/>
    <w:rsid w:val="006B6286"/>
    <w:rsid w:val="006C012E"/>
    <w:rsid w:val="006C0A3D"/>
    <w:rsid w:val="006C58EA"/>
    <w:rsid w:val="006D45F8"/>
    <w:rsid w:val="006E3DE9"/>
    <w:rsid w:val="006E6B10"/>
    <w:rsid w:val="006F099C"/>
    <w:rsid w:val="006F1767"/>
    <w:rsid w:val="007058A9"/>
    <w:rsid w:val="00716BC0"/>
    <w:rsid w:val="00721CD5"/>
    <w:rsid w:val="00727040"/>
    <w:rsid w:val="0073124A"/>
    <w:rsid w:val="00744BEB"/>
    <w:rsid w:val="007456EF"/>
    <w:rsid w:val="00751B5B"/>
    <w:rsid w:val="0076170F"/>
    <w:rsid w:val="007700DF"/>
    <w:rsid w:val="007721D4"/>
    <w:rsid w:val="007750D5"/>
    <w:rsid w:val="00780970"/>
    <w:rsid w:val="00781A26"/>
    <w:rsid w:val="007878D8"/>
    <w:rsid w:val="00790A4D"/>
    <w:rsid w:val="00796D24"/>
    <w:rsid w:val="007A0AD2"/>
    <w:rsid w:val="007A39BD"/>
    <w:rsid w:val="007A730A"/>
    <w:rsid w:val="007B1A39"/>
    <w:rsid w:val="007B3A81"/>
    <w:rsid w:val="007B5E00"/>
    <w:rsid w:val="007C201D"/>
    <w:rsid w:val="007C5102"/>
    <w:rsid w:val="007C668A"/>
    <w:rsid w:val="007C7075"/>
    <w:rsid w:val="007D25BD"/>
    <w:rsid w:val="007E34B3"/>
    <w:rsid w:val="007E4ADF"/>
    <w:rsid w:val="007F2DB7"/>
    <w:rsid w:val="00802E10"/>
    <w:rsid w:val="00804560"/>
    <w:rsid w:val="008101F3"/>
    <w:rsid w:val="008103F0"/>
    <w:rsid w:val="008126F3"/>
    <w:rsid w:val="00814CAD"/>
    <w:rsid w:val="00820850"/>
    <w:rsid w:val="00826B8D"/>
    <w:rsid w:val="008301EF"/>
    <w:rsid w:val="008328D9"/>
    <w:rsid w:val="008702F5"/>
    <w:rsid w:val="00875A12"/>
    <w:rsid w:val="00875C81"/>
    <w:rsid w:val="00891760"/>
    <w:rsid w:val="00897574"/>
    <w:rsid w:val="008A44D5"/>
    <w:rsid w:val="008A50A0"/>
    <w:rsid w:val="008A6BF5"/>
    <w:rsid w:val="008B1A37"/>
    <w:rsid w:val="008C75FF"/>
    <w:rsid w:val="008D1531"/>
    <w:rsid w:val="00914CE1"/>
    <w:rsid w:val="00915F72"/>
    <w:rsid w:val="0092568D"/>
    <w:rsid w:val="00935CA3"/>
    <w:rsid w:val="00942829"/>
    <w:rsid w:val="0094443D"/>
    <w:rsid w:val="00955392"/>
    <w:rsid w:val="00955C3E"/>
    <w:rsid w:val="0096135E"/>
    <w:rsid w:val="00966004"/>
    <w:rsid w:val="00973D46"/>
    <w:rsid w:val="009922C9"/>
    <w:rsid w:val="00994A45"/>
    <w:rsid w:val="009A0A01"/>
    <w:rsid w:val="009A36B2"/>
    <w:rsid w:val="009A486D"/>
    <w:rsid w:val="009A6795"/>
    <w:rsid w:val="009B3888"/>
    <w:rsid w:val="009C0E99"/>
    <w:rsid w:val="009D1E98"/>
    <w:rsid w:val="009D474D"/>
    <w:rsid w:val="009F7967"/>
    <w:rsid w:val="00A0261A"/>
    <w:rsid w:val="00A17841"/>
    <w:rsid w:val="00A21AB6"/>
    <w:rsid w:val="00A23F2E"/>
    <w:rsid w:val="00A3026A"/>
    <w:rsid w:val="00A3297F"/>
    <w:rsid w:val="00A339DB"/>
    <w:rsid w:val="00A412A1"/>
    <w:rsid w:val="00A653A5"/>
    <w:rsid w:val="00A71F39"/>
    <w:rsid w:val="00A867D4"/>
    <w:rsid w:val="00A92EF8"/>
    <w:rsid w:val="00A93763"/>
    <w:rsid w:val="00A955E4"/>
    <w:rsid w:val="00AA48CB"/>
    <w:rsid w:val="00AA5E0E"/>
    <w:rsid w:val="00AB31AA"/>
    <w:rsid w:val="00AD370A"/>
    <w:rsid w:val="00AE4E4B"/>
    <w:rsid w:val="00AF0316"/>
    <w:rsid w:val="00AF1688"/>
    <w:rsid w:val="00AF1DFC"/>
    <w:rsid w:val="00AF3BE7"/>
    <w:rsid w:val="00B058D0"/>
    <w:rsid w:val="00B16330"/>
    <w:rsid w:val="00B20E75"/>
    <w:rsid w:val="00B229C3"/>
    <w:rsid w:val="00B30E1B"/>
    <w:rsid w:val="00B41A30"/>
    <w:rsid w:val="00B50E8C"/>
    <w:rsid w:val="00B51691"/>
    <w:rsid w:val="00B53E7C"/>
    <w:rsid w:val="00B57130"/>
    <w:rsid w:val="00B60A0A"/>
    <w:rsid w:val="00B70D96"/>
    <w:rsid w:val="00B71A28"/>
    <w:rsid w:val="00B73D9F"/>
    <w:rsid w:val="00B76C68"/>
    <w:rsid w:val="00B7766A"/>
    <w:rsid w:val="00B77AA2"/>
    <w:rsid w:val="00B80363"/>
    <w:rsid w:val="00B81C6D"/>
    <w:rsid w:val="00B830D6"/>
    <w:rsid w:val="00B86BD7"/>
    <w:rsid w:val="00B91A4E"/>
    <w:rsid w:val="00B93452"/>
    <w:rsid w:val="00BA1E45"/>
    <w:rsid w:val="00BA31C7"/>
    <w:rsid w:val="00BB5F49"/>
    <w:rsid w:val="00BB6167"/>
    <w:rsid w:val="00BB76E1"/>
    <w:rsid w:val="00BC36C7"/>
    <w:rsid w:val="00BD2250"/>
    <w:rsid w:val="00BD465B"/>
    <w:rsid w:val="00BE3EB8"/>
    <w:rsid w:val="00BF1820"/>
    <w:rsid w:val="00C1263E"/>
    <w:rsid w:val="00C13284"/>
    <w:rsid w:val="00C224E4"/>
    <w:rsid w:val="00C2664A"/>
    <w:rsid w:val="00C27798"/>
    <w:rsid w:val="00C3295E"/>
    <w:rsid w:val="00C34EC1"/>
    <w:rsid w:val="00C4321C"/>
    <w:rsid w:val="00C475EF"/>
    <w:rsid w:val="00C51106"/>
    <w:rsid w:val="00C51C53"/>
    <w:rsid w:val="00C55542"/>
    <w:rsid w:val="00C5585C"/>
    <w:rsid w:val="00C6755B"/>
    <w:rsid w:val="00C84CC9"/>
    <w:rsid w:val="00C85423"/>
    <w:rsid w:val="00CA6DF8"/>
    <w:rsid w:val="00CC03CE"/>
    <w:rsid w:val="00CC1806"/>
    <w:rsid w:val="00CC5544"/>
    <w:rsid w:val="00CC704E"/>
    <w:rsid w:val="00CC75C2"/>
    <w:rsid w:val="00CC7C85"/>
    <w:rsid w:val="00CD1AD7"/>
    <w:rsid w:val="00CE0B0F"/>
    <w:rsid w:val="00CE0D10"/>
    <w:rsid w:val="00CE1DD6"/>
    <w:rsid w:val="00CE3DDE"/>
    <w:rsid w:val="00CE626C"/>
    <w:rsid w:val="00CF67FE"/>
    <w:rsid w:val="00CF6C36"/>
    <w:rsid w:val="00CF79AA"/>
    <w:rsid w:val="00D03D15"/>
    <w:rsid w:val="00D0439F"/>
    <w:rsid w:val="00D10939"/>
    <w:rsid w:val="00D109F9"/>
    <w:rsid w:val="00D14857"/>
    <w:rsid w:val="00D1491B"/>
    <w:rsid w:val="00D2353A"/>
    <w:rsid w:val="00D30037"/>
    <w:rsid w:val="00D3559F"/>
    <w:rsid w:val="00D36BF2"/>
    <w:rsid w:val="00D5493C"/>
    <w:rsid w:val="00D677B9"/>
    <w:rsid w:val="00D70DC9"/>
    <w:rsid w:val="00D71B44"/>
    <w:rsid w:val="00D87B50"/>
    <w:rsid w:val="00D9050D"/>
    <w:rsid w:val="00D90FC5"/>
    <w:rsid w:val="00D91F4F"/>
    <w:rsid w:val="00DA3366"/>
    <w:rsid w:val="00DA4729"/>
    <w:rsid w:val="00DB2BBB"/>
    <w:rsid w:val="00DB41D9"/>
    <w:rsid w:val="00DB6419"/>
    <w:rsid w:val="00DC003C"/>
    <w:rsid w:val="00DC5D2E"/>
    <w:rsid w:val="00DD2E2A"/>
    <w:rsid w:val="00DE5E5C"/>
    <w:rsid w:val="00DF18F3"/>
    <w:rsid w:val="00E04746"/>
    <w:rsid w:val="00E14899"/>
    <w:rsid w:val="00E1734D"/>
    <w:rsid w:val="00E262F1"/>
    <w:rsid w:val="00E3282F"/>
    <w:rsid w:val="00E552C4"/>
    <w:rsid w:val="00E55EE9"/>
    <w:rsid w:val="00E67B3A"/>
    <w:rsid w:val="00E77183"/>
    <w:rsid w:val="00E82DF9"/>
    <w:rsid w:val="00E8433E"/>
    <w:rsid w:val="00E955DC"/>
    <w:rsid w:val="00EA0198"/>
    <w:rsid w:val="00EA08CD"/>
    <w:rsid w:val="00EA1742"/>
    <w:rsid w:val="00EB2067"/>
    <w:rsid w:val="00EB4AAB"/>
    <w:rsid w:val="00EC5367"/>
    <w:rsid w:val="00EC79BB"/>
    <w:rsid w:val="00ED17BC"/>
    <w:rsid w:val="00ED1989"/>
    <w:rsid w:val="00EF0D3E"/>
    <w:rsid w:val="00EF2C81"/>
    <w:rsid w:val="00EF4A9D"/>
    <w:rsid w:val="00F0204F"/>
    <w:rsid w:val="00F02090"/>
    <w:rsid w:val="00F165F0"/>
    <w:rsid w:val="00F167AE"/>
    <w:rsid w:val="00F20244"/>
    <w:rsid w:val="00F24B03"/>
    <w:rsid w:val="00F25F8F"/>
    <w:rsid w:val="00F46348"/>
    <w:rsid w:val="00F50E05"/>
    <w:rsid w:val="00F518B7"/>
    <w:rsid w:val="00F526A0"/>
    <w:rsid w:val="00F55168"/>
    <w:rsid w:val="00F615FC"/>
    <w:rsid w:val="00F650F4"/>
    <w:rsid w:val="00F65288"/>
    <w:rsid w:val="00F745A4"/>
    <w:rsid w:val="00F76398"/>
    <w:rsid w:val="00F8225B"/>
    <w:rsid w:val="00F8513C"/>
    <w:rsid w:val="00F91BCA"/>
    <w:rsid w:val="00F9463F"/>
    <w:rsid w:val="00F971D2"/>
    <w:rsid w:val="00FB1698"/>
    <w:rsid w:val="00FB5550"/>
    <w:rsid w:val="00FB7B8E"/>
    <w:rsid w:val="00FC75C8"/>
    <w:rsid w:val="00FD1D8E"/>
    <w:rsid w:val="00FD6188"/>
    <w:rsid w:val="00FE2295"/>
    <w:rsid w:val="00FF02DB"/>
    <w:rsid w:val="00FF1BB6"/>
    <w:rsid w:val="00FF3579"/>
    <w:rsid w:val="00FF565A"/>
    <w:rsid w:val="00FF66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DE2A"/>
  <w15:chartTrackingRefBased/>
  <w15:docId w15:val="{AD88D552-A2AA-4977-8A6F-6A659444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B6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B6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B616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BB616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B616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B616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B616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B616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B616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16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B616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B616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BB616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B616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B616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B616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B616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B6167"/>
    <w:rPr>
      <w:rFonts w:eastAsiaTheme="majorEastAsia" w:cstheme="majorBidi"/>
      <w:color w:val="272727" w:themeColor="text1" w:themeTint="D8"/>
    </w:rPr>
  </w:style>
  <w:style w:type="paragraph" w:styleId="Tytu">
    <w:name w:val="Title"/>
    <w:basedOn w:val="Normalny"/>
    <w:next w:val="Normalny"/>
    <w:link w:val="TytuZnak"/>
    <w:uiPriority w:val="10"/>
    <w:qFormat/>
    <w:rsid w:val="00BB616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B616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B6167"/>
    <w:pPr>
      <w:numPr>
        <w:ilvl w:val="1"/>
      </w:numPr>
      <w:ind w:firstLine="284"/>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B616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B6167"/>
    <w:pPr>
      <w:spacing w:before="160"/>
      <w:jc w:val="center"/>
    </w:pPr>
    <w:rPr>
      <w:i/>
      <w:iCs/>
      <w:color w:val="404040" w:themeColor="text1" w:themeTint="BF"/>
    </w:rPr>
  </w:style>
  <w:style w:type="character" w:customStyle="1" w:styleId="CytatZnak">
    <w:name w:val="Cytat Znak"/>
    <w:basedOn w:val="Domylnaczcionkaakapitu"/>
    <w:link w:val="Cytat"/>
    <w:uiPriority w:val="29"/>
    <w:rsid w:val="00BB6167"/>
    <w:rPr>
      <w:i/>
      <w:iCs/>
      <w:color w:val="404040" w:themeColor="text1" w:themeTint="BF"/>
    </w:rPr>
  </w:style>
  <w:style w:type="paragraph" w:styleId="Akapitzlist">
    <w:name w:val="List Paragraph"/>
    <w:basedOn w:val="Normalny"/>
    <w:uiPriority w:val="34"/>
    <w:qFormat/>
    <w:rsid w:val="00BB6167"/>
    <w:pPr>
      <w:ind w:left="720"/>
      <w:contextualSpacing/>
    </w:pPr>
  </w:style>
  <w:style w:type="character" w:styleId="Wyrnienieintensywne">
    <w:name w:val="Intense Emphasis"/>
    <w:basedOn w:val="Domylnaczcionkaakapitu"/>
    <w:uiPriority w:val="21"/>
    <w:qFormat/>
    <w:rsid w:val="00BB6167"/>
    <w:rPr>
      <w:i/>
      <w:iCs/>
      <w:color w:val="2F5496" w:themeColor="accent1" w:themeShade="BF"/>
    </w:rPr>
  </w:style>
  <w:style w:type="paragraph" w:styleId="Cytatintensywny">
    <w:name w:val="Intense Quote"/>
    <w:basedOn w:val="Normalny"/>
    <w:next w:val="Normalny"/>
    <w:link w:val="CytatintensywnyZnak"/>
    <w:uiPriority w:val="30"/>
    <w:qFormat/>
    <w:rsid w:val="00BB6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B6167"/>
    <w:rPr>
      <w:i/>
      <w:iCs/>
      <w:color w:val="2F5496" w:themeColor="accent1" w:themeShade="BF"/>
    </w:rPr>
  </w:style>
  <w:style w:type="character" w:styleId="Odwoanieintensywne">
    <w:name w:val="Intense Reference"/>
    <w:basedOn w:val="Domylnaczcionkaakapitu"/>
    <w:uiPriority w:val="32"/>
    <w:qFormat/>
    <w:rsid w:val="00BB6167"/>
    <w:rPr>
      <w:b/>
      <w:bCs/>
      <w:smallCaps/>
      <w:color w:val="2F5496" w:themeColor="accent1" w:themeShade="BF"/>
      <w:spacing w:val="5"/>
    </w:rPr>
  </w:style>
  <w:style w:type="character" w:styleId="Hipercze">
    <w:name w:val="Hyperlink"/>
    <w:basedOn w:val="Domylnaczcionkaakapitu"/>
    <w:uiPriority w:val="99"/>
    <w:unhideWhenUsed/>
    <w:rsid w:val="009A36B2"/>
    <w:rPr>
      <w:color w:val="0563C1" w:themeColor="hyperlink"/>
      <w:u w:val="single"/>
    </w:rPr>
  </w:style>
  <w:style w:type="character" w:styleId="Nierozpoznanawzmianka">
    <w:name w:val="Unresolved Mention"/>
    <w:basedOn w:val="Domylnaczcionkaakapitu"/>
    <w:uiPriority w:val="99"/>
    <w:semiHidden/>
    <w:unhideWhenUsed/>
    <w:rsid w:val="009A36B2"/>
    <w:rPr>
      <w:color w:val="605E5C"/>
      <w:shd w:val="clear" w:color="auto" w:fill="E1DFDD"/>
    </w:rPr>
  </w:style>
  <w:style w:type="paragraph" w:styleId="NormalnyWeb">
    <w:name w:val="Normal (Web)"/>
    <w:basedOn w:val="Normalny"/>
    <w:uiPriority w:val="99"/>
    <w:semiHidden/>
    <w:unhideWhenUsed/>
    <w:rsid w:val="0011100A"/>
    <w:rPr>
      <w:rFonts w:ascii="Times New Roman" w:hAnsi="Times New Roman" w:cs="Times New Roman"/>
      <w:sz w:val="24"/>
      <w:szCs w:val="24"/>
    </w:rPr>
  </w:style>
  <w:style w:type="table" w:styleId="Tabela-Siatka">
    <w:name w:val="Table Grid"/>
    <w:basedOn w:val="Standardowy"/>
    <w:uiPriority w:val="59"/>
    <w:rsid w:val="005E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omylnaczcionkaakapitu"/>
    <w:rsid w:val="00B50E8C"/>
  </w:style>
  <w:style w:type="character" w:styleId="Pogrubienie">
    <w:name w:val="Strong"/>
    <w:basedOn w:val="Domylnaczcionkaakapitu"/>
    <w:uiPriority w:val="22"/>
    <w:qFormat/>
    <w:rsid w:val="00B50E8C"/>
    <w:rPr>
      <w:b/>
      <w:bCs/>
    </w:rPr>
  </w:style>
  <w:style w:type="character" w:customStyle="1" w:styleId="ms-1">
    <w:name w:val="ms-1"/>
    <w:basedOn w:val="Domylnaczcionkaakapitu"/>
    <w:rsid w:val="00B50E8C"/>
  </w:style>
  <w:style w:type="character" w:customStyle="1" w:styleId="max-w-full">
    <w:name w:val="max-w-full"/>
    <w:basedOn w:val="Domylnaczcionkaakapitu"/>
    <w:rsid w:val="00B50E8C"/>
  </w:style>
  <w:style w:type="character" w:customStyle="1" w:styleId="-me-1">
    <w:name w:val="-me-1"/>
    <w:basedOn w:val="Domylnaczcionkaakapitu"/>
    <w:rsid w:val="00B50E8C"/>
  </w:style>
  <w:style w:type="character" w:styleId="Uwydatnienie">
    <w:name w:val="Emphasis"/>
    <w:basedOn w:val="Domylnaczcionkaakapitu"/>
    <w:uiPriority w:val="20"/>
    <w:qFormat/>
    <w:rsid w:val="00FB7B8E"/>
    <w:rPr>
      <w:i/>
      <w:iCs/>
    </w:rPr>
  </w:style>
  <w:style w:type="paragraph" w:customStyle="1" w:styleId="Rlit">
    <w:name w:val="R_lit"/>
    <w:basedOn w:val="Normalny"/>
    <w:link w:val="RlitZnak"/>
    <w:qFormat/>
    <w:rsid w:val="00CC75C2"/>
    <w:pPr>
      <w:ind w:left="425" w:hanging="425"/>
    </w:pPr>
    <w:rPr>
      <w:rFonts w:ascii="Times New Roman" w:eastAsia="Times New Roman" w:hAnsi="Times New Roman" w:cs="Times New Roman"/>
      <w:sz w:val="20"/>
      <w:szCs w:val="20"/>
      <w:lang w:val="en-US" w:eastAsia="pl-PL"/>
    </w:rPr>
  </w:style>
  <w:style w:type="character" w:customStyle="1" w:styleId="RlitZnak">
    <w:name w:val="R_lit Znak"/>
    <w:basedOn w:val="Domylnaczcionkaakapitu"/>
    <w:link w:val="Rlit"/>
    <w:rsid w:val="00CC75C2"/>
    <w:rPr>
      <w:rFonts w:ascii="Times New Roman" w:eastAsia="Times New Roman" w:hAnsi="Times New Roman" w:cs="Times New Roman"/>
      <w:sz w:val="20"/>
      <w:szCs w:val="20"/>
      <w:lang w:val="en-US" w:eastAsia="pl-PL"/>
    </w:rPr>
  </w:style>
  <w:style w:type="character" w:styleId="UyteHipercze">
    <w:name w:val="FollowedHyperlink"/>
    <w:basedOn w:val="Domylnaczcionkaakapitu"/>
    <w:uiPriority w:val="99"/>
    <w:semiHidden/>
    <w:unhideWhenUsed/>
    <w:rsid w:val="00CC1806"/>
    <w:rPr>
      <w:color w:val="954F72" w:themeColor="followedHyperlink"/>
      <w:u w:val="single"/>
    </w:rPr>
  </w:style>
  <w:style w:type="paragraph" w:customStyle="1" w:styleId="Rtab">
    <w:name w:val="R_tab"/>
    <w:basedOn w:val="Normalny"/>
    <w:link w:val="RtabZnak"/>
    <w:qFormat/>
    <w:rsid w:val="00CC75C2"/>
    <w:pPr>
      <w:suppressAutoHyphens/>
      <w:spacing w:after="120"/>
      <w:ind w:firstLine="0"/>
      <w:jc w:val="left"/>
    </w:pPr>
    <w:rPr>
      <w:rFonts w:ascii="Times New Roman" w:hAnsi="Times New Roman"/>
      <w:sz w:val="20"/>
    </w:rPr>
  </w:style>
  <w:style w:type="character" w:customStyle="1" w:styleId="RtabZnak">
    <w:name w:val="R_tab Znak"/>
    <w:basedOn w:val="Domylnaczcionkaakapitu"/>
    <w:link w:val="Rtab"/>
    <w:rsid w:val="00CC75C2"/>
    <w:rPr>
      <w:rFonts w:ascii="Times New Roman" w:hAnsi="Times New Roman"/>
      <w:sz w:val="20"/>
    </w:rPr>
  </w:style>
  <w:style w:type="paragraph" w:customStyle="1" w:styleId="Rn1">
    <w:name w:val="R_n1"/>
    <w:basedOn w:val="Normalny"/>
    <w:link w:val="Rn1Znak"/>
    <w:qFormat/>
    <w:rsid w:val="00CC75C2"/>
    <w:pPr>
      <w:suppressAutoHyphens/>
      <w:spacing w:before="240" w:after="120"/>
      <w:ind w:firstLine="0"/>
    </w:pPr>
    <w:rPr>
      <w:rFonts w:ascii="Times New Roman" w:hAnsi="Times New Roman"/>
      <w:b/>
      <w:sz w:val="24"/>
    </w:rPr>
  </w:style>
  <w:style w:type="character" w:customStyle="1" w:styleId="Rn1Znak">
    <w:name w:val="R_n1 Znak"/>
    <w:basedOn w:val="Domylnaczcionkaakapitu"/>
    <w:link w:val="Rn1"/>
    <w:rsid w:val="00CC75C2"/>
    <w:rPr>
      <w:rFonts w:ascii="Times New Roman" w:hAnsi="Times New Roman"/>
      <w:b/>
      <w:sz w:val="24"/>
    </w:rPr>
  </w:style>
  <w:style w:type="paragraph" w:customStyle="1" w:styleId="Rab1">
    <w:name w:val="R_ab1"/>
    <w:next w:val="Normalny"/>
    <w:autoRedefine/>
    <w:qFormat/>
    <w:rsid w:val="00CC75C2"/>
    <w:pPr>
      <w:suppressAutoHyphens/>
      <w:spacing w:before="120"/>
      <w:ind w:left="567" w:right="567" w:firstLine="0"/>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CC75C2"/>
    <w:pPr>
      <w:spacing w:before="60"/>
    </w:pPr>
  </w:style>
  <w:style w:type="paragraph" w:customStyle="1" w:styleId="Rafiliacja">
    <w:name w:val="R_afiliacja"/>
    <w:basedOn w:val="Normalny"/>
    <w:link w:val="RafiliacjaZnak"/>
    <w:qFormat/>
    <w:rsid w:val="00CC75C2"/>
    <w:pPr>
      <w:suppressAutoHyphens/>
      <w:ind w:firstLine="0"/>
      <w:jc w:val="center"/>
    </w:pPr>
    <w:rPr>
      <w:rFonts w:ascii="Times New Roman" w:hAnsi="Times New Roman" w:cs="Times New Roman"/>
      <w:i/>
      <w:sz w:val="20"/>
      <w:szCs w:val="28"/>
    </w:rPr>
  </w:style>
  <w:style w:type="character" w:customStyle="1" w:styleId="RafiliacjaZnak">
    <w:name w:val="R_afiliacja Znak"/>
    <w:basedOn w:val="Domylnaczcionkaakapitu"/>
    <w:link w:val="Rafiliacja"/>
    <w:rsid w:val="00CC75C2"/>
    <w:rPr>
      <w:rFonts w:ascii="Times New Roman" w:hAnsi="Times New Roman" w:cs="Times New Roman"/>
      <w:i/>
      <w:sz w:val="20"/>
      <w:szCs w:val="28"/>
    </w:rPr>
  </w:style>
  <w:style w:type="paragraph" w:customStyle="1" w:styleId="Rauco">
    <w:name w:val="R_au_co"/>
    <w:basedOn w:val="Rafiliacja"/>
    <w:autoRedefine/>
    <w:qFormat/>
    <w:rsid w:val="00CC75C2"/>
    <w:pPr>
      <w:spacing w:before="120"/>
    </w:pPr>
    <w:rPr>
      <w:lang w:val="en-GB"/>
    </w:rPr>
  </w:style>
  <w:style w:type="paragraph" w:customStyle="1" w:styleId="Rn2">
    <w:name w:val="R_n2"/>
    <w:basedOn w:val="Rn1"/>
    <w:link w:val="Rn2Znak"/>
    <w:qFormat/>
    <w:rsid w:val="00CC75C2"/>
    <w:pPr>
      <w:spacing w:before="120"/>
      <w:jc w:val="left"/>
    </w:pPr>
    <w:rPr>
      <w:sz w:val="22"/>
    </w:rPr>
  </w:style>
  <w:style w:type="character" w:customStyle="1" w:styleId="Rn2Znak">
    <w:name w:val="R_n2 Znak"/>
    <w:link w:val="Rn2"/>
    <w:rsid w:val="00CC75C2"/>
    <w:rPr>
      <w:rFonts w:ascii="Times New Roman" w:hAnsi="Times New Roman"/>
      <w:b/>
    </w:rPr>
  </w:style>
  <w:style w:type="paragraph" w:customStyle="1" w:styleId="Rtytu">
    <w:name w:val="R_tytuł"/>
    <w:basedOn w:val="Rn2"/>
    <w:link w:val="RtytuZnak"/>
    <w:autoRedefine/>
    <w:qFormat/>
    <w:rsid w:val="00CC75C2"/>
    <w:pPr>
      <w:spacing w:before="240" w:after="0"/>
      <w:jc w:val="center"/>
    </w:pPr>
    <w:rPr>
      <w:sz w:val="24"/>
      <w:szCs w:val="28"/>
    </w:rPr>
  </w:style>
  <w:style w:type="character" w:customStyle="1" w:styleId="RtytuZnak">
    <w:name w:val="R_tytuł Znak"/>
    <w:basedOn w:val="Rn2Znak"/>
    <w:link w:val="Rtytu"/>
    <w:rsid w:val="00CC75C2"/>
    <w:rPr>
      <w:rFonts w:ascii="Times New Roman" w:hAnsi="Times New Roman"/>
      <w:b/>
      <w:sz w:val="24"/>
      <w:szCs w:val="28"/>
    </w:rPr>
  </w:style>
  <w:style w:type="paragraph" w:customStyle="1" w:styleId="Rautor">
    <w:name w:val="R_autor"/>
    <w:basedOn w:val="Rtytu"/>
    <w:link w:val="RautorZnak"/>
    <w:autoRedefine/>
    <w:qFormat/>
    <w:rsid w:val="00CC75C2"/>
    <w:pPr>
      <w:spacing w:before="120"/>
    </w:pPr>
    <w:rPr>
      <w:rFonts w:eastAsia="Calibri" w:cs="Times New Roman"/>
      <w:b w:val="0"/>
      <w:i/>
    </w:rPr>
  </w:style>
  <w:style w:type="character" w:customStyle="1" w:styleId="RautorZnak">
    <w:name w:val="R_autor Znak"/>
    <w:link w:val="Rautor"/>
    <w:rsid w:val="00CC75C2"/>
    <w:rPr>
      <w:rFonts w:ascii="Times New Roman" w:eastAsia="Calibri" w:hAnsi="Times New Roman" w:cs="Times New Roman"/>
      <w:i/>
      <w:sz w:val="24"/>
      <w:szCs w:val="28"/>
    </w:rPr>
  </w:style>
  <w:style w:type="paragraph" w:customStyle="1" w:styleId="Rn3">
    <w:name w:val="R_n3"/>
    <w:basedOn w:val="Rtab"/>
    <w:link w:val="Rn3Znak"/>
    <w:autoRedefine/>
    <w:qFormat/>
    <w:rsid w:val="00CC75C2"/>
    <w:pPr>
      <w:spacing w:before="120"/>
      <w:jc w:val="both"/>
    </w:pPr>
    <w:rPr>
      <w:i/>
    </w:rPr>
  </w:style>
  <w:style w:type="character" w:customStyle="1" w:styleId="Rn3Znak">
    <w:name w:val="R_n3 Znak"/>
    <w:basedOn w:val="RtabZnak"/>
    <w:link w:val="Rn3"/>
    <w:rsid w:val="00CC75C2"/>
    <w:rPr>
      <w:rFonts w:ascii="Times New Roman" w:hAnsi="Times New Roman"/>
      <w:i/>
      <w:sz w:val="20"/>
    </w:rPr>
  </w:style>
  <w:style w:type="paragraph" w:customStyle="1" w:styleId="Rrys">
    <w:name w:val="R_rys"/>
    <w:basedOn w:val="Rafiliacja"/>
    <w:link w:val="RrysZnak"/>
    <w:qFormat/>
    <w:rsid w:val="00CC75C2"/>
    <w:pPr>
      <w:spacing w:before="120"/>
      <w:jc w:val="left"/>
    </w:pPr>
    <w:rPr>
      <w:i w:val="0"/>
    </w:rPr>
  </w:style>
  <w:style w:type="character" w:customStyle="1" w:styleId="RrysZnak">
    <w:name w:val="R_rys Znak"/>
    <w:basedOn w:val="RafiliacjaZnak"/>
    <w:link w:val="Rrys"/>
    <w:rsid w:val="00CC75C2"/>
    <w:rPr>
      <w:rFonts w:ascii="Times New Roman" w:hAnsi="Times New Roman" w:cs="Times New Roman"/>
      <w:i w:val="0"/>
      <w:sz w:val="20"/>
      <w:szCs w:val="28"/>
    </w:rPr>
  </w:style>
  <w:style w:type="paragraph" w:styleId="Nagwek">
    <w:name w:val="header"/>
    <w:basedOn w:val="Normalny"/>
    <w:link w:val="NagwekZnak"/>
    <w:uiPriority w:val="99"/>
    <w:unhideWhenUsed/>
    <w:rsid w:val="001B1505"/>
    <w:pPr>
      <w:tabs>
        <w:tab w:val="center" w:pos="4536"/>
        <w:tab w:val="right" w:pos="9072"/>
      </w:tabs>
    </w:pPr>
  </w:style>
  <w:style w:type="character" w:customStyle="1" w:styleId="NagwekZnak">
    <w:name w:val="Nagłówek Znak"/>
    <w:basedOn w:val="Domylnaczcionkaakapitu"/>
    <w:link w:val="Nagwek"/>
    <w:uiPriority w:val="99"/>
    <w:rsid w:val="001B1505"/>
  </w:style>
  <w:style w:type="paragraph" w:styleId="Stopka">
    <w:name w:val="footer"/>
    <w:basedOn w:val="Normalny"/>
    <w:link w:val="StopkaZnak"/>
    <w:uiPriority w:val="99"/>
    <w:unhideWhenUsed/>
    <w:rsid w:val="001B1505"/>
    <w:pPr>
      <w:tabs>
        <w:tab w:val="center" w:pos="4536"/>
        <w:tab w:val="right" w:pos="9072"/>
      </w:tabs>
    </w:pPr>
  </w:style>
  <w:style w:type="character" w:customStyle="1" w:styleId="StopkaZnak">
    <w:name w:val="Stopka Znak"/>
    <w:basedOn w:val="Domylnaczcionkaakapitu"/>
    <w:link w:val="Stopka"/>
    <w:uiPriority w:val="99"/>
    <w:rsid w:val="001B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8055">
      <w:bodyDiv w:val="1"/>
      <w:marLeft w:val="0"/>
      <w:marRight w:val="0"/>
      <w:marTop w:val="0"/>
      <w:marBottom w:val="0"/>
      <w:divBdr>
        <w:top w:val="none" w:sz="0" w:space="0" w:color="auto"/>
        <w:left w:val="none" w:sz="0" w:space="0" w:color="auto"/>
        <w:bottom w:val="none" w:sz="0" w:space="0" w:color="auto"/>
        <w:right w:val="none" w:sz="0" w:space="0" w:color="auto"/>
      </w:divBdr>
    </w:div>
    <w:div w:id="129444445">
      <w:bodyDiv w:val="1"/>
      <w:marLeft w:val="0"/>
      <w:marRight w:val="0"/>
      <w:marTop w:val="0"/>
      <w:marBottom w:val="0"/>
      <w:divBdr>
        <w:top w:val="none" w:sz="0" w:space="0" w:color="auto"/>
        <w:left w:val="none" w:sz="0" w:space="0" w:color="auto"/>
        <w:bottom w:val="none" w:sz="0" w:space="0" w:color="auto"/>
        <w:right w:val="none" w:sz="0" w:space="0" w:color="auto"/>
      </w:divBdr>
    </w:div>
    <w:div w:id="148208838">
      <w:bodyDiv w:val="1"/>
      <w:marLeft w:val="0"/>
      <w:marRight w:val="0"/>
      <w:marTop w:val="0"/>
      <w:marBottom w:val="0"/>
      <w:divBdr>
        <w:top w:val="none" w:sz="0" w:space="0" w:color="auto"/>
        <w:left w:val="none" w:sz="0" w:space="0" w:color="auto"/>
        <w:bottom w:val="none" w:sz="0" w:space="0" w:color="auto"/>
        <w:right w:val="none" w:sz="0" w:space="0" w:color="auto"/>
      </w:divBdr>
    </w:div>
    <w:div w:id="179128013">
      <w:bodyDiv w:val="1"/>
      <w:marLeft w:val="0"/>
      <w:marRight w:val="0"/>
      <w:marTop w:val="0"/>
      <w:marBottom w:val="0"/>
      <w:divBdr>
        <w:top w:val="none" w:sz="0" w:space="0" w:color="auto"/>
        <w:left w:val="none" w:sz="0" w:space="0" w:color="auto"/>
        <w:bottom w:val="none" w:sz="0" w:space="0" w:color="auto"/>
        <w:right w:val="none" w:sz="0" w:space="0" w:color="auto"/>
      </w:divBdr>
    </w:div>
    <w:div w:id="197278358">
      <w:bodyDiv w:val="1"/>
      <w:marLeft w:val="0"/>
      <w:marRight w:val="0"/>
      <w:marTop w:val="0"/>
      <w:marBottom w:val="0"/>
      <w:divBdr>
        <w:top w:val="none" w:sz="0" w:space="0" w:color="auto"/>
        <w:left w:val="none" w:sz="0" w:space="0" w:color="auto"/>
        <w:bottom w:val="none" w:sz="0" w:space="0" w:color="auto"/>
        <w:right w:val="none" w:sz="0" w:space="0" w:color="auto"/>
      </w:divBdr>
    </w:div>
    <w:div w:id="350497244">
      <w:bodyDiv w:val="1"/>
      <w:marLeft w:val="0"/>
      <w:marRight w:val="0"/>
      <w:marTop w:val="0"/>
      <w:marBottom w:val="0"/>
      <w:divBdr>
        <w:top w:val="none" w:sz="0" w:space="0" w:color="auto"/>
        <w:left w:val="none" w:sz="0" w:space="0" w:color="auto"/>
        <w:bottom w:val="none" w:sz="0" w:space="0" w:color="auto"/>
        <w:right w:val="none" w:sz="0" w:space="0" w:color="auto"/>
      </w:divBdr>
    </w:div>
    <w:div w:id="388188262">
      <w:bodyDiv w:val="1"/>
      <w:marLeft w:val="0"/>
      <w:marRight w:val="0"/>
      <w:marTop w:val="0"/>
      <w:marBottom w:val="0"/>
      <w:divBdr>
        <w:top w:val="none" w:sz="0" w:space="0" w:color="auto"/>
        <w:left w:val="none" w:sz="0" w:space="0" w:color="auto"/>
        <w:bottom w:val="none" w:sz="0" w:space="0" w:color="auto"/>
        <w:right w:val="none" w:sz="0" w:space="0" w:color="auto"/>
      </w:divBdr>
    </w:div>
    <w:div w:id="469635150">
      <w:bodyDiv w:val="1"/>
      <w:marLeft w:val="0"/>
      <w:marRight w:val="0"/>
      <w:marTop w:val="0"/>
      <w:marBottom w:val="0"/>
      <w:divBdr>
        <w:top w:val="none" w:sz="0" w:space="0" w:color="auto"/>
        <w:left w:val="none" w:sz="0" w:space="0" w:color="auto"/>
        <w:bottom w:val="none" w:sz="0" w:space="0" w:color="auto"/>
        <w:right w:val="none" w:sz="0" w:space="0" w:color="auto"/>
      </w:divBdr>
    </w:div>
    <w:div w:id="561142385">
      <w:bodyDiv w:val="1"/>
      <w:marLeft w:val="0"/>
      <w:marRight w:val="0"/>
      <w:marTop w:val="0"/>
      <w:marBottom w:val="0"/>
      <w:divBdr>
        <w:top w:val="none" w:sz="0" w:space="0" w:color="auto"/>
        <w:left w:val="none" w:sz="0" w:space="0" w:color="auto"/>
        <w:bottom w:val="none" w:sz="0" w:space="0" w:color="auto"/>
        <w:right w:val="none" w:sz="0" w:space="0" w:color="auto"/>
      </w:divBdr>
    </w:div>
    <w:div w:id="649290411">
      <w:bodyDiv w:val="1"/>
      <w:marLeft w:val="0"/>
      <w:marRight w:val="0"/>
      <w:marTop w:val="0"/>
      <w:marBottom w:val="0"/>
      <w:divBdr>
        <w:top w:val="none" w:sz="0" w:space="0" w:color="auto"/>
        <w:left w:val="none" w:sz="0" w:space="0" w:color="auto"/>
        <w:bottom w:val="none" w:sz="0" w:space="0" w:color="auto"/>
        <w:right w:val="none" w:sz="0" w:space="0" w:color="auto"/>
      </w:divBdr>
    </w:div>
    <w:div w:id="735470638">
      <w:bodyDiv w:val="1"/>
      <w:marLeft w:val="0"/>
      <w:marRight w:val="0"/>
      <w:marTop w:val="0"/>
      <w:marBottom w:val="0"/>
      <w:divBdr>
        <w:top w:val="none" w:sz="0" w:space="0" w:color="auto"/>
        <w:left w:val="none" w:sz="0" w:space="0" w:color="auto"/>
        <w:bottom w:val="none" w:sz="0" w:space="0" w:color="auto"/>
        <w:right w:val="none" w:sz="0" w:space="0" w:color="auto"/>
      </w:divBdr>
    </w:div>
    <w:div w:id="821772346">
      <w:bodyDiv w:val="1"/>
      <w:marLeft w:val="0"/>
      <w:marRight w:val="0"/>
      <w:marTop w:val="0"/>
      <w:marBottom w:val="0"/>
      <w:divBdr>
        <w:top w:val="none" w:sz="0" w:space="0" w:color="auto"/>
        <w:left w:val="none" w:sz="0" w:space="0" w:color="auto"/>
        <w:bottom w:val="none" w:sz="0" w:space="0" w:color="auto"/>
        <w:right w:val="none" w:sz="0" w:space="0" w:color="auto"/>
      </w:divBdr>
    </w:div>
    <w:div w:id="841629671">
      <w:bodyDiv w:val="1"/>
      <w:marLeft w:val="0"/>
      <w:marRight w:val="0"/>
      <w:marTop w:val="0"/>
      <w:marBottom w:val="0"/>
      <w:divBdr>
        <w:top w:val="none" w:sz="0" w:space="0" w:color="auto"/>
        <w:left w:val="none" w:sz="0" w:space="0" w:color="auto"/>
        <w:bottom w:val="none" w:sz="0" w:space="0" w:color="auto"/>
        <w:right w:val="none" w:sz="0" w:space="0" w:color="auto"/>
      </w:divBdr>
    </w:div>
    <w:div w:id="1088817346">
      <w:bodyDiv w:val="1"/>
      <w:marLeft w:val="0"/>
      <w:marRight w:val="0"/>
      <w:marTop w:val="0"/>
      <w:marBottom w:val="0"/>
      <w:divBdr>
        <w:top w:val="none" w:sz="0" w:space="0" w:color="auto"/>
        <w:left w:val="none" w:sz="0" w:space="0" w:color="auto"/>
        <w:bottom w:val="none" w:sz="0" w:space="0" w:color="auto"/>
        <w:right w:val="none" w:sz="0" w:space="0" w:color="auto"/>
      </w:divBdr>
    </w:div>
    <w:div w:id="1157842935">
      <w:bodyDiv w:val="1"/>
      <w:marLeft w:val="0"/>
      <w:marRight w:val="0"/>
      <w:marTop w:val="0"/>
      <w:marBottom w:val="0"/>
      <w:divBdr>
        <w:top w:val="none" w:sz="0" w:space="0" w:color="auto"/>
        <w:left w:val="none" w:sz="0" w:space="0" w:color="auto"/>
        <w:bottom w:val="none" w:sz="0" w:space="0" w:color="auto"/>
        <w:right w:val="none" w:sz="0" w:space="0" w:color="auto"/>
      </w:divBdr>
    </w:div>
    <w:div w:id="1404331367">
      <w:bodyDiv w:val="1"/>
      <w:marLeft w:val="0"/>
      <w:marRight w:val="0"/>
      <w:marTop w:val="0"/>
      <w:marBottom w:val="0"/>
      <w:divBdr>
        <w:top w:val="none" w:sz="0" w:space="0" w:color="auto"/>
        <w:left w:val="none" w:sz="0" w:space="0" w:color="auto"/>
        <w:bottom w:val="none" w:sz="0" w:space="0" w:color="auto"/>
        <w:right w:val="none" w:sz="0" w:space="0" w:color="auto"/>
      </w:divBdr>
    </w:div>
    <w:div w:id="1435438015">
      <w:bodyDiv w:val="1"/>
      <w:marLeft w:val="0"/>
      <w:marRight w:val="0"/>
      <w:marTop w:val="0"/>
      <w:marBottom w:val="0"/>
      <w:divBdr>
        <w:top w:val="none" w:sz="0" w:space="0" w:color="auto"/>
        <w:left w:val="none" w:sz="0" w:space="0" w:color="auto"/>
        <w:bottom w:val="none" w:sz="0" w:space="0" w:color="auto"/>
        <w:right w:val="none" w:sz="0" w:space="0" w:color="auto"/>
      </w:divBdr>
    </w:div>
    <w:div w:id="1567448070">
      <w:bodyDiv w:val="1"/>
      <w:marLeft w:val="0"/>
      <w:marRight w:val="0"/>
      <w:marTop w:val="0"/>
      <w:marBottom w:val="0"/>
      <w:divBdr>
        <w:top w:val="none" w:sz="0" w:space="0" w:color="auto"/>
        <w:left w:val="none" w:sz="0" w:space="0" w:color="auto"/>
        <w:bottom w:val="none" w:sz="0" w:space="0" w:color="auto"/>
        <w:right w:val="none" w:sz="0" w:space="0" w:color="auto"/>
      </w:divBdr>
    </w:div>
    <w:div w:id="1577935992">
      <w:bodyDiv w:val="1"/>
      <w:marLeft w:val="0"/>
      <w:marRight w:val="0"/>
      <w:marTop w:val="0"/>
      <w:marBottom w:val="0"/>
      <w:divBdr>
        <w:top w:val="none" w:sz="0" w:space="0" w:color="auto"/>
        <w:left w:val="none" w:sz="0" w:space="0" w:color="auto"/>
        <w:bottom w:val="none" w:sz="0" w:space="0" w:color="auto"/>
        <w:right w:val="none" w:sz="0" w:space="0" w:color="auto"/>
      </w:divBdr>
    </w:div>
    <w:div w:id="1590263804">
      <w:bodyDiv w:val="1"/>
      <w:marLeft w:val="0"/>
      <w:marRight w:val="0"/>
      <w:marTop w:val="0"/>
      <w:marBottom w:val="0"/>
      <w:divBdr>
        <w:top w:val="none" w:sz="0" w:space="0" w:color="auto"/>
        <w:left w:val="none" w:sz="0" w:space="0" w:color="auto"/>
        <w:bottom w:val="none" w:sz="0" w:space="0" w:color="auto"/>
        <w:right w:val="none" w:sz="0" w:space="0" w:color="auto"/>
      </w:divBdr>
    </w:div>
    <w:div w:id="1604340376">
      <w:bodyDiv w:val="1"/>
      <w:marLeft w:val="0"/>
      <w:marRight w:val="0"/>
      <w:marTop w:val="0"/>
      <w:marBottom w:val="0"/>
      <w:divBdr>
        <w:top w:val="none" w:sz="0" w:space="0" w:color="auto"/>
        <w:left w:val="none" w:sz="0" w:space="0" w:color="auto"/>
        <w:bottom w:val="none" w:sz="0" w:space="0" w:color="auto"/>
        <w:right w:val="none" w:sz="0" w:space="0" w:color="auto"/>
      </w:divBdr>
    </w:div>
    <w:div w:id="1833450803">
      <w:bodyDiv w:val="1"/>
      <w:marLeft w:val="0"/>
      <w:marRight w:val="0"/>
      <w:marTop w:val="0"/>
      <w:marBottom w:val="0"/>
      <w:divBdr>
        <w:top w:val="none" w:sz="0" w:space="0" w:color="auto"/>
        <w:left w:val="none" w:sz="0" w:space="0" w:color="auto"/>
        <w:bottom w:val="none" w:sz="0" w:space="0" w:color="auto"/>
        <w:right w:val="none" w:sz="0" w:space="0" w:color="auto"/>
      </w:divBdr>
    </w:div>
    <w:div w:id="1893734078">
      <w:bodyDiv w:val="1"/>
      <w:marLeft w:val="0"/>
      <w:marRight w:val="0"/>
      <w:marTop w:val="0"/>
      <w:marBottom w:val="0"/>
      <w:divBdr>
        <w:top w:val="none" w:sz="0" w:space="0" w:color="auto"/>
        <w:left w:val="none" w:sz="0" w:space="0" w:color="auto"/>
        <w:bottom w:val="none" w:sz="0" w:space="0" w:color="auto"/>
        <w:right w:val="none" w:sz="0" w:space="0" w:color="auto"/>
      </w:divBdr>
    </w:div>
    <w:div w:id="1915235579">
      <w:bodyDiv w:val="1"/>
      <w:marLeft w:val="0"/>
      <w:marRight w:val="0"/>
      <w:marTop w:val="0"/>
      <w:marBottom w:val="0"/>
      <w:divBdr>
        <w:top w:val="none" w:sz="0" w:space="0" w:color="auto"/>
        <w:left w:val="none" w:sz="0" w:space="0" w:color="auto"/>
        <w:bottom w:val="none" w:sz="0" w:space="0" w:color="auto"/>
        <w:right w:val="none" w:sz="0" w:space="0" w:color="auto"/>
      </w:divBdr>
    </w:div>
    <w:div w:id="1966959200">
      <w:bodyDiv w:val="1"/>
      <w:marLeft w:val="0"/>
      <w:marRight w:val="0"/>
      <w:marTop w:val="0"/>
      <w:marBottom w:val="0"/>
      <w:divBdr>
        <w:top w:val="none" w:sz="0" w:space="0" w:color="auto"/>
        <w:left w:val="none" w:sz="0" w:space="0" w:color="auto"/>
        <w:bottom w:val="none" w:sz="0" w:space="0" w:color="auto"/>
        <w:right w:val="none" w:sz="0" w:space="0" w:color="auto"/>
      </w:divBdr>
    </w:div>
    <w:div w:id="1996949806">
      <w:bodyDiv w:val="1"/>
      <w:marLeft w:val="0"/>
      <w:marRight w:val="0"/>
      <w:marTop w:val="0"/>
      <w:marBottom w:val="0"/>
      <w:divBdr>
        <w:top w:val="none" w:sz="0" w:space="0" w:color="auto"/>
        <w:left w:val="none" w:sz="0" w:space="0" w:color="auto"/>
        <w:bottom w:val="none" w:sz="0" w:space="0" w:color="auto"/>
        <w:right w:val="none" w:sz="0" w:space="0" w:color="auto"/>
      </w:divBdr>
    </w:div>
    <w:div w:id="21102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inzynierbudownictwa.pl" TargetMode="External"/><Relationship Id="rId26" Type="http://schemas.openxmlformats.org/officeDocument/2006/relationships/hyperlink" Target="https://doi.org/10.33119/GN/128217" TargetMode="External"/><Relationship Id="rId3" Type="http://schemas.openxmlformats.org/officeDocument/2006/relationships/styles" Target="styles.xml"/><Relationship Id="rId21" Type="http://schemas.openxmlformats.org/officeDocument/2006/relationships/hyperlink" Target="https://doi.org/10.3390/su142013174"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09/BGC.Geomatics.2017.33" TargetMode="External"/><Relationship Id="rId25" Type="http://schemas.openxmlformats.org/officeDocument/2006/relationships/hyperlink" Target="https://doi.org/10.7163/SOW.50.14" TargetMode="External"/><Relationship Id="rId33" Type="http://schemas.openxmlformats.org/officeDocument/2006/relationships/hyperlink" Target="https://bdl.stat.gov.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9195/978-83-229-3932-1" TargetMode="External"/><Relationship Id="rId20" Type="http://schemas.openxmlformats.org/officeDocument/2006/relationships/hyperlink" Target="http://hdl.handle.net/11320/14005" TargetMode="External"/><Relationship Id="rId29" Type="http://schemas.openxmlformats.org/officeDocument/2006/relationships/hyperlink" Target="https://sobczynscy.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7951/sil.2020.29.2.111-125" TargetMode="External"/><Relationship Id="rId32" Type="http://schemas.openxmlformats.org/officeDocument/2006/relationships/hyperlink" Target="https://www.gov.pl/web/rozwoj-technologi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1005/pif.2025.61.C-01" TargetMode="External"/><Relationship Id="rId23" Type="http://schemas.openxmlformats.org/officeDocument/2006/relationships/hyperlink" Target="https://doi.org/10.14746/rrpr.2014.28.06" TargetMode="External"/><Relationship Id="rId28" Type="http://schemas.openxmlformats.org/officeDocument/2006/relationships/hyperlink" Target="https://doi.org/10.3390/su16031059" TargetMode="External"/><Relationship Id="rId36" Type="http://schemas.openxmlformats.org/officeDocument/2006/relationships/footer" Target="footer1.xml"/><Relationship Id="rId10" Type="http://schemas.openxmlformats.org/officeDocument/2006/relationships/hyperlink" Target="https://orcid.org/0000-0002-1517-7402" TargetMode="External"/><Relationship Id="rId19" Type="http://schemas.openxmlformats.org/officeDocument/2006/relationships/hyperlink" Target="https://doi.org/10.17951/sil.2013.20.0.71" TargetMode="External"/><Relationship Id="rId31" Type="http://schemas.openxmlformats.org/officeDocument/2006/relationships/hyperlink" Target="https://doi.org/10.3390/su142416865" TargetMode="External"/><Relationship Id="rId4" Type="http://schemas.openxmlformats.org/officeDocument/2006/relationships/settings" Target="settings.xml"/><Relationship Id="rId9" Type="http://schemas.openxmlformats.org/officeDocument/2006/relationships/hyperlink" Target="https://orcid.org/0000-0001-6036-7451" TargetMode="External"/><Relationship Id="rId14" Type="http://schemas.openxmlformats.org/officeDocument/2006/relationships/image" Target="media/image3.png"/><Relationship Id="rId22" Type="http://schemas.openxmlformats.org/officeDocument/2006/relationships/hyperlink" Target="https://doi.org/10.1016/j.landusepol.2020.104614" TargetMode="External"/><Relationship Id="rId27" Type="http://schemas.openxmlformats.org/officeDocument/2006/relationships/hyperlink" Target="http://hdl.handle.net/11320/9266" TargetMode="External"/><Relationship Id="rId30" Type="http://schemas.openxmlformats.org/officeDocument/2006/relationships/hyperlink" Target="https://doi.org/10.21005/pif.2016.25.C-05"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gnes\Desktop\dane%20GUS\STAN_wg%20rodzajo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gnes\Desktop\dane%20GUS\STAN_wg%20kierunkow_moj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TABLICA!$B$4</c:f>
              <c:strCache>
                <c:ptCount val="1"/>
                <c:pt idx="0">
                  <c:v>POLSKA</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TABLICA!$C$2:$X$2</c:f>
              <c:strCach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strCache>
              <c:extLst/>
            </c:strRef>
          </c:cat>
          <c:val>
            <c:numRef>
              <c:f>TABLICA!$C$4:$X$4</c:f>
              <c:numCache>
                <c:formatCode>#,##0</c:formatCode>
                <c:ptCount val="22"/>
                <c:pt idx="0">
                  <c:v>2725</c:v>
                </c:pt>
                <c:pt idx="1">
                  <c:v>3445</c:v>
                </c:pt>
                <c:pt idx="2">
                  <c:v>4048</c:v>
                </c:pt>
                <c:pt idx="3">
                  <c:v>4075</c:v>
                </c:pt>
                <c:pt idx="4">
                  <c:v>5514</c:v>
                </c:pt>
                <c:pt idx="5">
                  <c:v>5397</c:v>
                </c:pt>
                <c:pt idx="6">
                  <c:v>3276</c:v>
                </c:pt>
                <c:pt idx="7">
                  <c:v>2935</c:v>
                </c:pt>
                <c:pt idx="8">
                  <c:v>2905</c:v>
                </c:pt>
                <c:pt idx="9">
                  <c:v>2678</c:v>
                </c:pt>
                <c:pt idx="10">
                  <c:v>1944</c:v>
                </c:pt>
                <c:pt idx="11">
                  <c:v>2171</c:v>
                </c:pt>
                <c:pt idx="12">
                  <c:v>3113</c:v>
                </c:pt>
                <c:pt idx="13">
                  <c:v>3978</c:v>
                </c:pt>
                <c:pt idx="14">
                  <c:v>4009</c:v>
                </c:pt>
                <c:pt idx="15">
                  <c:v>4013</c:v>
                </c:pt>
                <c:pt idx="16">
                  <c:v>4349</c:v>
                </c:pt>
                <c:pt idx="17">
                  <c:v>4819</c:v>
                </c:pt>
                <c:pt idx="18">
                  <c:v>6038</c:v>
                </c:pt>
                <c:pt idx="19">
                  <c:v>4730</c:v>
                </c:pt>
                <c:pt idx="20">
                  <c:v>4656</c:v>
                </c:pt>
                <c:pt idx="21" formatCode="General">
                  <c:v>0</c:v>
                </c:pt>
              </c:numCache>
            </c:numRef>
          </c:val>
          <c:extLst>
            <c:ext xmlns:c16="http://schemas.microsoft.com/office/drawing/2014/chart" uri="{C3380CC4-5D6E-409C-BE32-E72D297353CC}">
              <c16:uniqueId val="{00000000-CE08-42D8-864D-07A88F80FDD3}"/>
            </c:ext>
          </c:extLst>
        </c:ser>
        <c:dLbls>
          <c:showLegendKey val="0"/>
          <c:showVal val="0"/>
          <c:showCatName val="0"/>
          <c:showSerName val="0"/>
          <c:showPercent val="0"/>
          <c:showBubbleSize val="0"/>
        </c:dLbls>
        <c:gapWidth val="182"/>
        <c:axId val="1311271216"/>
        <c:axId val="1311269776"/>
      </c:barChart>
      <c:catAx>
        <c:axId val="1311271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Year of agricultural</a:t>
                </a:r>
                <a:r>
                  <a:rPr lang="pl-PL" baseline="0"/>
                  <a:t> land </a:t>
                </a:r>
                <a:r>
                  <a:rPr lang="pl-PL"/>
                  <a:t>conversion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11269776"/>
        <c:crosses val="autoZero"/>
        <c:auto val="1"/>
        <c:lblAlgn val="ctr"/>
        <c:lblOffset val="100"/>
        <c:noMultiLvlLbl val="0"/>
      </c:catAx>
      <c:valAx>
        <c:axId val="13112697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Agricultural land taken out of production [ha]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11271216"/>
        <c:crosses val="autoZero"/>
        <c:crossBetween val="between"/>
        <c:majorUnit val="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Polska!$A$4</c:f>
              <c:strCache>
                <c:ptCount val="1"/>
                <c:pt idx="0">
                  <c:v>roads</c:v>
                </c:pt>
              </c:strCache>
            </c:strRef>
          </c:tx>
          <c:spPr>
            <a:ln w="22225" cap="rnd" cmpd="sng" algn="ctr">
              <a:solidFill>
                <a:schemeClr val="accent5">
                  <a:lumMod val="75000"/>
                </a:schemeClr>
              </a:solidFill>
              <a:round/>
            </a:ln>
            <a:effectLst/>
          </c:spPr>
          <c:marker>
            <c:symbol val="none"/>
          </c:marker>
          <c:cat>
            <c:numRef>
              <c:f>Polska!$D$3:$Y$3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extLst/>
            </c:numRef>
          </c:cat>
          <c:val>
            <c:numRef>
              <c:f>Polska!$D$4:$Y$4</c:f>
              <c:numCache>
                <c:formatCode>0.0%</c:formatCode>
                <c:ptCount val="22"/>
                <c:pt idx="0">
                  <c:v>7.1156661786237183E-2</c:v>
                </c:pt>
                <c:pt idx="1">
                  <c:v>9.8120576031242371E-2</c:v>
                </c:pt>
                <c:pt idx="2">
                  <c:v>5.5530973451327431E-2</c:v>
                </c:pt>
                <c:pt idx="3">
                  <c:v>5.6854752199098905E-2</c:v>
                </c:pt>
                <c:pt idx="4">
                  <c:v>4.3855342824414986E-2</c:v>
                </c:pt>
                <c:pt idx="5">
                  <c:v>3.222591362126246E-2</c:v>
                </c:pt>
                <c:pt idx="6">
                  <c:v>2.7565084226646247E-2</c:v>
                </c:pt>
                <c:pt idx="7">
                  <c:v>3.4413535990823058E-2</c:v>
                </c:pt>
                <c:pt idx="8">
                  <c:v>3.419777714448561E-2</c:v>
                </c:pt>
                <c:pt idx="9">
                  <c:v>2.4905422446406054E-2</c:v>
                </c:pt>
                <c:pt idx="10">
                  <c:v>2.4170421958213846E-2</c:v>
                </c:pt>
                <c:pt idx="11">
                  <c:v>3.3616298811544994E-2</c:v>
                </c:pt>
                <c:pt idx="12">
                  <c:v>2.2077922077922078E-2</c:v>
                </c:pt>
                <c:pt idx="13">
                  <c:v>2.6672694394213381E-2</c:v>
                </c:pt>
                <c:pt idx="14">
                  <c:v>2.7440219521756175E-2</c:v>
                </c:pt>
                <c:pt idx="15">
                  <c:v>2.7266681445355798E-2</c:v>
                </c:pt>
                <c:pt idx="16">
                  <c:v>3.0968006562756358E-2</c:v>
                </c:pt>
                <c:pt idx="17">
                  <c:v>2.7869169730985098E-2</c:v>
                </c:pt>
                <c:pt idx="18">
                  <c:v>2.843016069221261E-2</c:v>
                </c:pt>
                <c:pt idx="19">
                  <c:v>2.745029033960936E-2</c:v>
                </c:pt>
                <c:pt idx="20">
                  <c:v>2.6052482537285256E-2</c:v>
                </c:pt>
                <c:pt idx="21">
                  <c:v>2.2341376228775692E-2</c:v>
                </c:pt>
              </c:numCache>
              <c:extLst/>
            </c:numRef>
          </c:val>
          <c:smooth val="0"/>
          <c:extLst>
            <c:ext xmlns:c16="http://schemas.microsoft.com/office/drawing/2014/chart" uri="{C3380CC4-5D6E-409C-BE32-E72D297353CC}">
              <c16:uniqueId val="{00000000-CAE5-4B8F-A361-45DAFAE5D8A8}"/>
            </c:ext>
          </c:extLst>
        </c:ser>
        <c:ser>
          <c:idx val="1"/>
          <c:order val="1"/>
          <c:tx>
            <c:strRef>
              <c:f>Polska!$A$5</c:f>
              <c:strCache>
                <c:ptCount val="1"/>
                <c:pt idx="0">
                  <c:v>residential estates</c:v>
                </c:pt>
              </c:strCache>
            </c:strRef>
          </c:tx>
          <c:spPr>
            <a:ln w="22225" cap="rnd" cmpd="sng" algn="ctr">
              <a:solidFill>
                <a:schemeClr val="accent4"/>
              </a:solidFill>
              <a:round/>
            </a:ln>
            <a:effectLst/>
          </c:spPr>
          <c:marker>
            <c:symbol val="none"/>
          </c:marker>
          <c:cat>
            <c:numRef>
              <c:f>Polska!$D$3:$Y$3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extLst/>
            </c:numRef>
          </c:cat>
          <c:val>
            <c:numRef>
              <c:f>Polska!$D$5:$Y$5</c:f>
              <c:numCache>
                <c:formatCode>0.0%</c:formatCode>
                <c:ptCount val="22"/>
                <c:pt idx="0">
                  <c:v>0.41961932650073208</c:v>
                </c:pt>
                <c:pt idx="1">
                  <c:v>0.44447156455943371</c:v>
                </c:pt>
                <c:pt idx="2">
                  <c:v>0.36792035398230089</c:v>
                </c:pt>
                <c:pt idx="3">
                  <c:v>0.4767217335335765</c:v>
                </c:pt>
                <c:pt idx="4">
                  <c:v>0.53199149075437735</c:v>
                </c:pt>
                <c:pt idx="5">
                  <c:v>0.53255813953488373</c:v>
                </c:pt>
                <c:pt idx="6">
                  <c:v>0.5</c:v>
                </c:pt>
                <c:pt idx="7">
                  <c:v>0.46945798680814455</c:v>
                </c:pt>
                <c:pt idx="8">
                  <c:v>0.42547734397264175</c:v>
                </c:pt>
                <c:pt idx="9">
                  <c:v>0.42875157629255989</c:v>
                </c:pt>
                <c:pt idx="10">
                  <c:v>0.38631708316263824</c:v>
                </c:pt>
                <c:pt idx="11">
                  <c:v>0.37487266553480475</c:v>
                </c:pt>
                <c:pt idx="12">
                  <c:v>0.44077922077922077</c:v>
                </c:pt>
                <c:pt idx="13">
                  <c:v>0.48779385171790235</c:v>
                </c:pt>
                <c:pt idx="14">
                  <c:v>0.43649549196393572</c:v>
                </c:pt>
                <c:pt idx="15">
                  <c:v>0.55929949013522495</c:v>
                </c:pt>
                <c:pt idx="16">
                  <c:v>0.52871205906480723</c:v>
                </c:pt>
                <c:pt idx="17">
                  <c:v>0.53222372750145153</c:v>
                </c:pt>
                <c:pt idx="18">
                  <c:v>0.46894313967861556</c:v>
                </c:pt>
                <c:pt idx="19">
                  <c:v>0.44976244941052262</c:v>
                </c:pt>
                <c:pt idx="20">
                  <c:v>0.42948838965452141</c:v>
                </c:pt>
                <c:pt idx="21">
                  <c:v>0.40947274352100088</c:v>
                </c:pt>
              </c:numCache>
              <c:extLst/>
            </c:numRef>
          </c:val>
          <c:smooth val="0"/>
          <c:extLst>
            <c:ext xmlns:c16="http://schemas.microsoft.com/office/drawing/2014/chart" uri="{C3380CC4-5D6E-409C-BE32-E72D297353CC}">
              <c16:uniqueId val="{00000001-CAE5-4B8F-A361-45DAFAE5D8A8}"/>
            </c:ext>
          </c:extLst>
        </c:ser>
        <c:ser>
          <c:idx val="2"/>
          <c:order val="2"/>
          <c:tx>
            <c:strRef>
              <c:f>Polska!$A$6</c:f>
              <c:strCache>
                <c:ptCount val="1"/>
                <c:pt idx="0">
                  <c:v>industrial sites</c:v>
                </c:pt>
              </c:strCache>
            </c:strRef>
          </c:tx>
          <c:spPr>
            <a:ln w="22225" cap="rnd" cmpd="sng" algn="ctr">
              <a:solidFill>
                <a:schemeClr val="accent6"/>
              </a:solidFill>
              <a:round/>
            </a:ln>
            <a:effectLst/>
          </c:spPr>
          <c:marker>
            <c:symbol val="none"/>
          </c:marker>
          <c:cat>
            <c:numRef>
              <c:f>Polska!$D$3:$Y$3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extLst/>
            </c:numRef>
          </c:cat>
          <c:val>
            <c:numRef>
              <c:f>Polska!$D$6:$Y$6</c:f>
              <c:numCache>
                <c:formatCode>0.0%</c:formatCode>
                <c:ptCount val="22"/>
                <c:pt idx="0">
                  <c:v>0.15021961932650074</c:v>
                </c:pt>
                <c:pt idx="1">
                  <c:v>0.17964364168904076</c:v>
                </c:pt>
                <c:pt idx="2">
                  <c:v>0.18517699115044248</c:v>
                </c:pt>
                <c:pt idx="3">
                  <c:v>0.1662733319030251</c:v>
                </c:pt>
                <c:pt idx="4">
                  <c:v>0.12551137293405334</c:v>
                </c:pt>
                <c:pt idx="5">
                  <c:v>0.15365448504983389</c:v>
                </c:pt>
                <c:pt idx="6">
                  <c:v>0.13910158244002041</c:v>
                </c:pt>
                <c:pt idx="7">
                  <c:v>9.4063665041583019E-2</c:v>
                </c:pt>
                <c:pt idx="8">
                  <c:v>0.14420062695924765</c:v>
                </c:pt>
                <c:pt idx="9">
                  <c:v>0.1169609079445145</c:v>
                </c:pt>
                <c:pt idx="10">
                  <c:v>0.15321589512494879</c:v>
                </c:pt>
                <c:pt idx="11">
                  <c:v>0.16129032258064516</c:v>
                </c:pt>
                <c:pt idx="12">
                  <c:v>0.17324675324675326</c:v>
                </c:pt>
                <c:pt idx="13">
                  <c:v>0.1903254972875226</c:v>
                </c:pt>
                <c:pt idx="14">
                  <c:v>0.29635437083496668</c:v>
                </c:pt>
                <c:pt idx="15">
                  <c:v>0.16271336732431832</c:v>
                </c:pt>
                <c:pt idx="16">
                  <c:v>0.16673502871205906</c:v>
                </c:pt>
                <c:pt idx="17">
                  <c:v>0.1807625314495839</c:v>
                </c:pt>
                <c:pt idx="18">
                  <c:v>0.23470333745364647</c:v>
                </c:pt>
                <c:pt idx="19">
                  <c:v>0.24898821045222594</c:v>
                </c:pt>
                <c:pt idx="20">
                  <c:v>0.27808193316971869</c:v>
                </c:pt>
                <c:pt idx="21">
                  <c:v>0.32707774798927614</c:v>
                </c:pt>
              </c:numCache>
              <c:extLst/>
            </c:numRef>
          </c:val>
          <c:smooth val="0"/>
          <c:extLst>
            <c:ext xmlns:c16="http://schemas.microsoft.com/office/drawing/2014/chart" uri="{C3380CC4-5D6E-409C-BE32-E72D297353CC}">
              <c16:uniqueId val="{00000002-CAE5-4B8F-A361-45DAFAE5D8A8}"/>
            </c:ext>
          </c:extLst>
        </c:ser>
        <c:ser>
          <c:idx val="3"/>
          <c:order val="3"/>
          <c:tx>
            <c:strRef>
              <c:f>Polska!$A$7</c:f>
              <c:strCache>
                <c:ptCount val="1"/>
                <c:pt idx="0">
                  <c:v>mines</c:v>
                </c:pt>
              </c:strCache>
            </c:strRef>
          </c:tx>
          <c:spPr>
            <a:ln w="22225" cap="rnd" cmpd="sng" algn="ctr">
              <a:solidFill>
                <a:srgbClr val="EE0000"/>
              </a:solidFill>
              <a:round/>
            </a:ln>
            <a:effectLst/>
          </c:spPr>
          <c:marker>
            <c:symbol val="none"/>
          </c:marker>
          <c:cat>
            <c:numRef>
              <c:f>Polska!$D$3:$Y$3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extLst/>
            </c:numRef>
          </c:cat>
          <c:val>
            <c:numRef>
              <c:f>Polska!$D$7:$Y$7</c:f>
              <c:numCache>
                <c:formatCode>0.0%</c:formatCode>
                <c:ptCount val="22"/>
                <c:pt idx="0">
                  <c:v>0.18038067349926792</c:v>
                </c:pt>
                <c:pt idx="1">
                  <c:v>0.11447400536978276</c:v>
                </c:pt>
                <c:pt idx="2">
                  <c:v>0.10287610619469026</c:v>
                </c:pt>
                <c:pt idx="3">
                  <c:v>0.15533147393263247</c:v>
                </c:pt>
                <c:pt idx="4">
                  <c:v>0.12714776632302405</c:v>
                </c:pt>
                <c:pt idx="5">
                  <c:v>9.5016611295681064E-2</c:v>
                </c:pt>
                <c:pt idx="6">
                  <c:v>0.18198060234813682</c:v>
                </c:pt>
                <c:pt idx="7">
                  <c:v>0.23630628047031832</c:v>
                </c:pt>
                <c:pt idx="8">
                  <c:v>0.24422912510686806</c:v>
                </c:pt>
                <c:pt idx="9">
                  <c:v>0.26670870113493067</c:v>
                </c:pt>
                <c:pt idx="10">
                  <c:v>0.23637853338795575</c:v>
                </c:pt>
                <c:pt idx="11">
                  <c:v>0.26825127334465193</c:v>
                </c:pt>
                <c:pt idx="12">
                  <c:v>0.19272727272727272</c:v>
                </c:pt>
                <c:pt idx="13">
                  <c:v>0.10714285714285714</c:v>
                </c:pt>
                <c:pt idx="14">
                  <c:v>8.565268522148177E-2</c:v>
                </c:pt>
                <c:pt idx="15">
                  <c:v>8.712037242296608E-2</c:v>
                </c:pt>
                <c:pt idx="16">
                  <c:v>0.10951599671862182</c:v>
                </c:pt>
                <c:pt idx="17">
                  <c:v>7.5091929552932063E-2</c:v>
                </c:pt>
                <c:pt idx="18">
                  <c:v>6.9375772558714466E-2</c:v>
                </c:pt>
                <c:pt idx="19">
                  <c:v>8.4286468414569771E-2</c:v>
                </c:pt>
                <c:pt idx="20">
                  <c:v>6.3809703605814616E-2</c:v>
                </c:pt>
                <c:pt idx="21">
                  <c:v>5.844504021447721E-2</c:v>
                </c:pt>
              </c:numCache>
              <c:extLst/>
            </c:numRef>
          </c:val>
          <c:smooth val="0"/>
          <c:extLst>
            <c:ext xmlns:c16="http://schemas.microsoft.com/office/drawing/2014/chart" uri="{C3380CC4-5D6E-409C-BE32-E72D297353CC}">
              <c16:uniqueId val="{00000003-CAE5-4B8F-A361-45DAFAE5D8A8}"/>
            </c:ext>
          </c:extLst>
        </c:ser>
        <c:ser>
          <c:idx val="4"/>
          <c:order val="4"/>
          <c:tx>
            <c:strRef>
              <c:f>Polska!$A$8</c:f>
              <c:strCache>
                <c:ptCount val="1"/>
                <c:pt idx="0">
                  <c:v>water reservoirs</c:v>
                </c:pt>
              </c:strCache>
            </c:strRef>
          </c:tx>
          <c:spPr>
            <a:ln w="22225" cap="rnd" cmpd="sng" algn="ctr">
              <a:solidFill>
                <a:srgbClr val="7030A0"/>
              </a:solidFill>
              <a:round/>
            </a:ln>
            <a:effectLst/>
          </c:spPr>
          <c:marker>
            <c:symbol val="none"/>
          </c:marker>
          <c:cat>
            <c:numRef>
              <c:f>Polska!$D$3:$Y$3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extLst/>
            </c:numRef>
          </c:cat>
          <c:val>
            <c:numRef>
              <c:f>Polska!$D$8:$Y$8</c:f>
              <c:numCache>
                <c:formatCode>0.0%</c:formatCode>
                <c:ptCount val="22"/>
                <c:pt idx="0">
                  <c:v>1.5812591508052708E-2</c:v>
                </c:pt>
                <c:pt idx="1">
                  <c:v>3.9052965584574079E-3</c:v>
                </c:pt>
                <c:pt idx="2">
                  <c:v>0.13053097345132744</c:v>
                </c:pt>
                <c:pt idx="3">
                  <c:v>2.2956447114353143E-2</c:v>
                </c:pt>
                <c:pt idx="4">
                  <c:v>1.0145639011618393E-2</c:v>
                </c:pt>
                <c:pt idx="5">
                  <c:v>1.1960132890365448E-2</c:v>
                </c:pt>
                <c:pt idx="6">
                  <c:v>8.9331291475242477E-3</c:v>
                </c:pt>
                <c:pt idx="7">
                  <c:v>4.5884714654430741E-3</c:v>
                </c:pt>
                <c:pt idx="8">
                  <c:v>5.6996295240809344E-3</c:v>
                </c:pt>
                <c:pt idx="9">
                  <c:v>2.5220680958385876E-3</c:v>
                </c:pt>
                <c:pt idx="10">
                  <c:v>4.5063498566161406E-3</c:v>
                </c:pt>
                <c:pt idx="11">
                  <c:v>4.753820033955857E-3</c:v>
                </c:pt>
                <c:pt idx="12">
                  <c:v>2.3376623376623377E-3</c:v>
                </c:pt>
                <c:pt idx="13">
                  <c:v>2.7124773960216998E-3</c:v>
                </c:pt>
                <c:pt idx="14">
                  <c:v>1.5680125441003528E-3</c:v>
                </c:pt>
                <c:pt idx="15">
                  <c:v>1.3300820217246731E-3</c:v>
                </c:pt>
                <c:pt idx="16">
                  <c:v>2.0508613617719443E-4</c:v>
                </c:pt>
                <c:pt idx="17">
                  <c:v>3.8707180181923748E-4</c:v>
                </c:pt>
                <c:pt idx="18">
                  <c:v>6.1804697156983925E-4</c:v>
                </c:pt>
                <c:pt idx="19">
                  <c:v>3.5192679922576106E-4</c:v>
                </c:pt>
                <c:pt idx="20">
                  <c:v>5.6635831602794035E-4</c:v>
                </c:pt>
                <c:pt idx="21">
                  <c:v>1.0723860589812334E-3</c:v>
                </c:pt>
              </c:numCache>
              <c:extLst/>
            </c:numRef>
          </c:val>
          <c:smooth val="0"/>
          <c:extLst>
            <c:ext xmlns:c16="http://schemas.microsoft.com/office/drawing/2014/chart" uri="{C3380CC4-5D6E-409C-BE32-E72D297353CC}">
              <c16:uniqueId val="{00000004-CAE5-4B8F-A361-45DAFAE5D8A8}"/>
            </c:ext>
          </c:extLst>
        </c:ser>
        <c:ser>
          <c:idx val="5"/>
          <c:order val="5"/>
          <c:tx>
            <c:strRef>
              <c:f>Polska!$A$9</c:f>
              <c:strCache>
                <c:ptCount val="1"/>
                <c:pt idx="0">
                  <c:v>others</c:v>
                </c:pt>
              </c:strCache>
            </c:strRef>
          </c:tx>
          <c:spPr>
            <a:ln w="22225" cap="rnd" cmpd="sng" algn="ctr">
              <a:solidFill>
                <a:schemeClr val="tx1">
                  <a:lumMod val="75000"/>
                  <a:lumOff val="25000"/>
                </a:schemeClr>
              </a:solidFill>
              <a:round/>
            </a:ln>
            <a:effectLst/>
          </c:spPr>
          <c:marker>
            <c:symbol val="none"/>
          </c:marker>
          <c:cat>
            <c:numRef>
              <c:f>Polska!$D$3:$Y$3</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extLst/>
            </c:numRef>
          </c:cat>
          <c:val>
            <c:numRef>
              <c:f>Polska!$D$9:$Y$9</c:f>
              <c:numCache>
                <c:formatCode>0.0%</c:formatCode>
                <c:ptCount val="22"/>
                <c:pt idx="0">
                  <c:v>0.16281112737920936</c:v>
                </c:pt>
                <c:pt idx="1">
                  <c:v>0.15938491579204295</c:v>
                </c:pt>
                <c:pt idx="2">
                  <c:v>0.15796460176991151</c:v>
                </c:pt>
                <c:pt idx="3">
                  <c:v>0.12186226131731388</c:v>
                </c:pt>
                <c:pt idx="4">
                  <c:v>0.16134838815251187</c:v>
                </c:pt>
                <c:pt idx="5">
                  <c:v>0.17458471760797342</c:v>
                </c:pt>
                <c:pt idx="6">
                  <c:v>0.14241960183767227</c:v>
                </c:pt>
                <c:pt idx="7">
                  <c:v>0.16117006022368799</c:v>
                </c:pt>
                <c:pt idx="8">
                  <c:v>0.14619549729267597</c:v>
                </c:pt>
                <c:pt idx="9">
                  <c:v>0.16015132408575031</c:v>
                </c:pt>
                <c:pt idx="10">
                  <c:v>0.19541171650962721</c:v>
                </c:pt>
                <c:pt idx="11">
                  <c:v>0.15721561969439729</c:v>
                </c:pt>
                <c:pt idx="12">
                  <c:v>0.16883116883116883</c:v>
                </c:pt>
                <c:pt idx="13">
                  <c:v>0.18535262206148281</c:v>
                </c:pt>
                <c:pt idx="14">
                  <c:v>0.1524892199137593</c:v>
                </c:pt>
                <c:pt idx="15">
                  <c:v>0.16227000665041011</c:v>
                </c:pt>
                <c:pt idx="16">
                  <c:v>0.16386382280557835</c:v>
                </c:pt>
                <c:pt idx="17">
                  <c:v>0.18366556996322819</c:v>
                </c:pt>
                <c:pt idx="18">
                  <c:v>0.19792954264524104</c:v>
                </c:pt>
                <c:pt idx="19">
                  <c:v>0.18916065458384657</c:v>
                </c:pt>
                <c:pt idx="20">
                  <c:v>0.20200113271663206</c:v>
                </c:pt>
                <c:pt idx="21">
                  <c:v>0.18159070598748883</c:v>
                </c:pt>
              </c:numCache>
              <c:extLst/>
            </c:numRef>
          </c:val>
          <c:smooth val="0"/>
          <c:extLst>
            <c:ext xmlns:c16="http://schemas.microsoft.com/office/drawing/2014/chart" uri="{C3380CC4-5D6E-409C-BE32-E72D297353CC}">
              <c16:uniqueId val="{00000005-CAE5-4B8F-A361-45DAFAE5D8A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81861648"/>
        <c:axId val="881860208"/>
      </c:lineChart>
      <c:catAx>
        <c:axId val="8818616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spc="20" baseline="0">
                <a:solidFill>
                  <a:schemeClr val="dk1">
                    <a:lumMod val="65000"/>
                    <a:lumOff val="35000"/>
                  </a:schemeClr>
                </a:solidFill>
                <a:latin typeface="+mn-lt"/>
                <a:ea typeface="+mn-ea"/>
                <a:cs typeface="+mn-cs"/>
              </a:defRPr>
            </a:pPr>
            <a:endParaRPr lang="pl-PL"/>
          </a:p>
        </c:txPr>
        <c:crossAx val="881860208"/>
        <c:crosses val="autoZero"/>
        <c:auto val="1"/>
        <c:lblAlgn val="ctr"/>
        <c:lblOffset val="100"/>
        <c:noMultiLvlLbl val="0"/>
      </c:catAx>
      <c:valAx>
        <c:axId val="88186020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pl-PL" cap="none"/>
                  <a:t>% share of non-agricultural uses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spc="20" baseline="0">
                <a:ln>
                  <a:noFill/>
                </a:ln>
                <a:solidFill>
                  <a:schemeClr val="dk1">
                    <a:lumMod val="65000"/>
                    <a:lumOff val="35000"/>
                  </a:schemeClr>
                </a:solidFill>
                <a:latin typeface="+mn-lt"/>
                <a:ea typeface="+mn-ea"/>
                <a:cs typeface="+mn-cs"/>
              </a:defRPr>
            </a:pPr>
            <a:endParaRPr lang="pl-PL"/>
          </a:p>
        </c:txPr>
        <c:crossAx val="88186164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F6F0-E7FE-478E-93BE-2D4CE8C0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12</Pages>
  <Words>7380</Words>
  <Characters>44284</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c:creator>
  <cp:keywords/>
  <dc:description/>
  <cp:lastModifiedBy>Janusz Dabrowski NA</cp:lastModifiedBy>
  <cp:revision>22</cp:revision>
  <cp:lastPrinted>2025-10-08T06:56:00Z</cp:lastPrinted>
  <dcterms:created xsi:type="dcterms:W3CDTF">2025-10-03T09:43:00Z</dcterms:created>
  <dcterms:modified xsi:type="dcterms:W3CDTF">2025-10-08T07:00:00Z</dcterms:modified>
</cp:coreProperties>
</file>