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07560" w:rsidRPr="00C970C2" w14:paraId="01476DE7" w14:textId="77777777" w:rsidTr="00067346">
        <w:trPr>
          <w:trHeight w:hRule="exact" w:val="142"/>
        </w:trPr>
        <w:tc>
          <w:tcPr>
            <w:tcW w:w="709" w:type="dxa"/>
            <w:vMerge w:val="restart"/>
            <w:shd w:val="clear" w:color="auto" w:fill="auto"/>
            <w:vAlign w:val="center"/>
          </w:tcPr>
          <w:p w14:paraId="4A766AE7" w14:textId="77777777" w:rsidR="00807560" w:rsidRPr="00C970C2" w:rsidRDefault="00807560" w:rsidP="00067346">
            <w:pPr>
              <w:spacing w:line="240" w:lineRule="auto"/>
              <w:rPr>
                <w:lang w:val="en-GB"/>
              </w:rPr>
            </w:pPr>
            <w:bookmarkStart w:id="0" w:name="_Hlk145412337"/>
            <w:bookmarkStart w:id="1" w:name="_Hlk103340665"/>
            <w:bookmarkStart w:id="2" w:name="_Hlk24804592"/>
            <w:bookmarkEnd w:id="0"/>
            <w:bookmarkEnd w:id="1"/>
            <w:r w:rsidRPr="00C970C2">
              <w:rPr>
                <w:noProof/>
                <w:lang w:val="en-GB"/>
              </w:rPr>
              <w:drawing>
                <wp:anchor distT="0" distB="0" distL="114300" distR="114300" simplePos="0" relativeHeight="251673600" behindDoc="0" locked="0" layoutInCell="1" allowOverlap="1" wp14:anchorId="18BBAFAD" wp14:editId="734F472D">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BF00047" w14:textId="77777777" w:rsidR="00807560" w:rsidRPr="00C970C2" w:rsidRDefault="00807560" w:rsidP="00067346">
            <w:pPr>
              <w:spacing w:line="240" w:lineRule="auto"/>
              <w:jc w:val="center"/>
              <w:rPr>
                <w:lang w:val="en-GB"/>
              </w:rPr>
            </w:pPr>
          </w:p>
        </w:tc>
      </w:tr>
      <w:tr w:rsidR="00807560" w:rsidRPr="00C970C2" w14:paraId="26A580B0" w14:textId="77777777" w:rsidTr="00067346">
        <w:trPr>
          <w:trHeight w:hRule="exact" w:val="283"/>
        </w:trPr>
        <w:tc>
          <w:tcPr>
            <w:tcW w:w="709" w:type="dxa"/>
            <w:vMerge/>
            <w:shd w:val="clear" w:color="auto" w:fill="auto"/>
          </w:tcPr>
          <w:p w14:paraId="2C4FDCAF" w14:textId="77777777" w:rsidR="00807560" w:rsidRPr="00C970C2" w:rsidRDefault="00807560" w:rsidP="00067346">
            <w:pPr>
              <w:spacing w:line="240" w:lineRule="auto"/>
              <w:jc w:val="center"/>
              <w:rPr>
                <w:lang w:val="en-GB"/>
              </w:rPr>
            </w:pPr>
          </w:p>
        </w:tc>
        <w:tc>
          <w:tcPr>
            <w:tcW w:w="8930" w:type="dxa"/>
            <w:gridSpan w:val="3"/>
            <w:tcBorders>
              <w:bottom w:val="single" w:sz="2" w:space="0" w:color="auto"/>
            </w:tcBorders>
            <w:shd w:val="clear" w:color="auto" w:fill="auto"/>
            <w:vAlign w:val="center"/>
          </w:tcPr>
          <w:p w14:paraId="0ED1EE09" w14:textId="77777777" w:rsidR="00807560" w:rsidRPr="00C970C2" w:rsidRDefault="00807560" w:rsidP="00067346">
            <w:pPr>
              <w:spacing w:line="240" w:lineRule="auto"/>
              <w:jc w:val="center"/>
              <w:rPr>
                <w:lang w:val="en-GB"/>
              </w:rPr>
            </w:pPr>
            <w:proofErr w:type="spellStart"/>
            <w:r w:rsidRPr="003C4D66">
              <w:rPr>
                <w:b/>
                <w:sz w:val="20"/>
                <w:szCs w:val="16"/>
                <w:lang w:val="en-GB"/>
              </w:rPr>
              <w:t>Rocznik</w:t>
            </w:r>
            <w:proofErr w:type="spellEnd"/>
            <w:r w:rsidRPr="003C4D66">
              <w:rPr>
                <w:b/>
                <w:sz w:val="20"/>
                <w:szCs w:val="16"/>
                <w:lang w:val="en-GB"/>
              </w:rPr>
              <w:t xml:space="preserve"> </w:t>
            </w:r>
            <w:proofErr w:type="spellStart"/>
            <w:r w:rsidRPr="003C4D66">
              <w:rPr>
                <w:b/>
                <w:sz w:val="20"/>
                <w:szCs w:val="16"/>
                <w:lang w:val="en-GB"/>
              </w:rPr>
              <w:t>Ochrona</w:t>
            </w:r>
            <w:proofErr w:type="spellEnd"/>
            <w:r w:rsidRPr="003C4D66">
              <w:rPr>
                <w:b/>
                <w:sz w:val="20"/>
                <w:szCs w:val="16"/>
                <w:lang w:val="en-GB"/>
              </w:rPr>
              <w:t xml:space="preserve"> </w:t>
            </w:r>
            <w:proofErr w:type="spellStart"/>
            <w:r w:rsidRPr="003C4D66">
              <w:rPr>
                <w:b/>
                <w:sz w:val="20"/>
                <w:szCs w:val="16"/>
                <w:lang w:val="en-GB"/>
              </w:rPr>
              <w:t>Środowiska</w:t>
            </w:r>
            <w:proofErr w:type="spellEnd"/>
          </w:p>
        </w:tc>
      </w:tr>
      <w:tr w:rsidR="00807560" w:rsidRPr="00C970C2" w14:paraId="0F4CDEF6" w14:textId="77777777" w:rsidTr="00067346">
        <w:trPr>
          <w:trHeight w:hRule="exact" w:val="283"/>
        </w:trPr>
        <w:tc>
          <w:tcPr>
            <w:tcW w:w="709" w:type="dxa"/>
            <w:vMerge/>
            <w:shd w:val="clear" w:color="auto" w:fill="auto"/>
          </w:tcPr>
          <w:p w14:paraId="36469E9E" w14:textId="77777777" w:rsidR="00807560" w:rsidRPr="00C970C2" w:rsidRDefault="00807560" w:rsidP="00067346">
            <w:pPr>
              <w:spacing w:line="240" w:lineRule="auto"/>
              <w:jc w:val="center"/>
              <w:rPr>
                <w:lang w:val="en-GB"/>
              </w:rPr>
            </w:pPr>
          </w:p>
        </w:tc>
        <w:tc>
          <w:tcPr>
            <w:tcW w:w="992" w:type="dxa"/>
            <w:tcBorders>
              <w:top w:val="single" w:sz="2" w:space="0" w:color="auto"/>
              <w:bottom w:val="single" w:sz="2" w:space="0" w:color="auto"/>
            </w:tcBorders>
            <w:shd w:val="clear" w:color="auto" w:fill="auto"/>
            <w:vAlign w:val="center"/>
          </w:tcPr>
          <w:p w14:paraId="4E3FD7D8" w14:textId="77777777" w:rsidR="00807560" w:rsidRPr="00C970C2" w:rsidRDefault="00807560" w:rsidP="00067346">
            <w:pPr>
              <w:spacing w:line="240" w:lineRule="auto"/>
              <w:rPr>
                <w:sz w:val="18"/>
                <w:szCs w:val="18"/>
                <w:lang w:val="en-GB"/>
              </w:rPr>
            </w:pPr>
            <w:r w:rsidRPr="00C970C2">
              <w:rPr>
                <w:sz w:val="18"/>
                <w:szCs w:val="18"/>
                <w:lang w:val="en-GB"/>
              </w:rPr>
              <w:t>Volume 26</w:t>
            </w:r>
          </w:p>
        </w:tc>
        <w:tc>
          <w:tcPr>
            <w:tcW w:w="6304" w:type="dxa"/>
            <w:tcBorders>
              <w:top w:val="single" w:sz="2" w:space="0" w:color="auto"/>
              <w:bottom w:val="single" w:sz="2" w:space="0" w:color="auto"/>
            </w:tcBorders>
            <w:shd w:val="clear" w:color="auto" w:fill="auto"/>
            <w:vAlign w:val="center"/>
          </w:tcPr>
          <w:p w14:paraId="024863B9" w14:textId="77777777" w:rsidR="00807560" w:rsidRPr="00C970C2" w:rsidRDefault="00807560" w:rsidP="00067346">
            <w:pPr>
              <w:tabs>
                <w:tab w:val="left" w:pos="3057"/>
              </w:tabs>
              <w:spacing w:line="240" w:lineRule="auto"/>
              <w:ind w:left="141"/>
              <w:rPr>
                <w:sz w:val="18"/>
                <w:szCs w:val="18"/>
                <w:lang w:val="en-GB"/>
              </w:rPr>
            </w:pPr>
            <w:r w:rsidRPr="00C970C2">
              <w:rPr>
                <w:sz w:val="18"/>
                <w:szCs w:val="18"/>
                <w:lang w:val="en-GB"/>
              </w:rPr>
              <w:t>Year 2024</w:t>
            </w:r>
            <w:r w:rsidRPr="00C970C2">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2E26530D" w14:textId="4BBDBB22" w:rsidR="00807560" w:rsidRPr="00C970C2" w:rsidRDefault="00807560" w:rsidP="00067346">
            <w:pPr>
              <w:spacing w:line="240" w:lineRule="auto"/>
              <w:jc w:val="right"/>
              <w:rPr>
                <w:sz w:val="18"/>
                <w:szCs w:val="18"/>
                <w:lang w:val="en-GB"/>
              </w:rPr>
            </w:pPr>
            <w:r w:rsidRPr="00C970C2">
              <w:rPr>
                <w:sz w:val="18"/>
                <w:szCs w:val="18"/>
                <w:lang w:val="en-GB"/>
              </w:rPr>
              <w:t xml:space="preserve">pp. </w:t>
            </w:r>
            <w:r w:rsidR="001B7CAD">
              <w:rPr>
                <w:sz w:val="18"/>
                <w:szCs w:val="18"/>
                <w:lang w:val="en-GB"/>
              </w:rPr>
              <w:t>84</w:t>
            </w:r>
            <w:r w:rsidRPr="00C970C2">
              <w:rPr>
                <w:sz w:val="18"/>
                <w:szCs w:val="18"/>
                <w:lang w:val="en-GB"/>
              </w:rPr>
              <w:t>-</w:t>
            </w:r>
            <w:r w:rsidR="001B7CAD">
              <w:rPr>
                <w:sz w:val="18"/>
                <w:szCs w:val="18"/>
                <w:lang w:val="en-GB"/>
              </w:rPr>
              <w:t>93</w:t>
            </w:r>
          </w:p>
        </w:tc>
      </w:tr>
      <w:tr w:rsidR="00807560" w:rsidRPr="00C970C2" w14:paraId="741D5215" w14:textId="77777777" w:rsidTr="00067346">
        <w:trPr>
          <w:trHeight w:hRule="exact" w:val="283"/>
        </w:trPr>
        <w:tc>
          <w:tcPr>
            <w:tcW w:w="709" w:type="dxa"/>
            <w:shd w:val="clear" w:color="auto" w:fill="auto"/>
          </w:tcPr>
          <w:p w14:paraId="1312478E" w14:textId="77777777" w:rsidR="00807560" w:rsidRPr="00C970C2" w:rsidRDefault="00807560" w:rsidP="00067346">
            <w:pPr>
              <w:spacing w:line="240" w:lineRule="auto"/>
              <w:jc w:val="center"/>
              <w:rPr>
                <w:lang w:val="en-GB"/>
              </w:rPr>
            </w:pPr>
          </w:p>
        </w:tc>
        <w:tc>
          <w:tcPr>
            <w:tcW w:w="8930" w:type="dxa"/>
            <w:gridSpan w:val="3"/>
            <w:tcBorders>
              <w:top w:val="single" w:sz="2" w:space="0" w:color="auto"/>
              <w:bottom w:val="single" w:sz="2" w:space="0" w:color="auto"/>
            </w:tcBorders>
            <w:shd w:val="clear" w:color="auto" w:fill="auto"/>
            <w:vAlign w:val="center"/>
          </w:tcPr>
          <w:p w14:paraId="3F4FD14D" w14:textId="03BF3FB1" w:rsidR="00807560" w:rsidRPr="00C970C2" w:rsidRDefault="00807560" w:rsidP="00067346">
            <w:pPr>
              <w:tabs>
                <w:tab w:val="right" w:pos="8928"/>
              </w:tabs>
              <w:spacing w:line="240" w:lineRule="auto"/>
              <w:rPr>
                <w:sz w:val="18"/>
                <w:szCs w:val="18"/>
                <w:lang w:val="en-GB"/>
              </w:rPr>
            </w:pPr>
            <w:r w:rsidRPr="00C970C2">
              <w:rPr>
                <w:sz w:val="18"/>
                <w:szCs w:val="18"/>
                <w:lang w:val="en-GB"/>
              </w:rPr>
              <w:t>https://doi.org/10.54740/ros.2024.00</w:t>
            </w:r>
            <w:r w:rsidR="001B7CAD">
              <w:rPr>
                <w:sz w:val="18"/>
                <w:szCs w:val="18"/>
                <w:lang w:val="en-GB"/>
              </w:rPr>
              <w:t>9</w:t>
            </w:r>
            <w:r w:rsidRPr="00C970C2">
              <w:rPr>
                <w:sz w:val="18"/>
                <w:szCs w:val="18"/>
                <w:lang w:val="en-GB"/>
              </w:rPr>
              <w:tab/>
              <w:t>open access</w:t>
            </w:r>
          </w:p>
        </w:tc>
      </w:tr>
      <w:tr w:rsidR="00807560" w:rsidRPr="00C970C2" w14:paraId="156682FC" w14:textId="77777777" w:rsidTr="00067346">
        <w:trPr>
          <w:trHeight w:hRule="exact" w:val="283"/>
        </w:trPr>
        <w:tc>
          <w:tcPr>
            <w:tcW w:w="709" w:type="dxa"/>
            <w:shd w:val="clear" w:color="auto" w:fill="auto"/>
          </w:tcPr>
          <w:p w14:paraId="23E2EB0A" w14:textId="77777777" w:rsidR="00807560" w:rsidRPr="00C970C2" w:rsidRDefault="00807560" w:rsidP="00067346">
            <w:pPr>
              <w:spacing w:line="240" w:lineRule="auto"/>
              <w:jc w:val="center"/>
              <w:rPr>
                <w:lang w:val="en-GB"/>
              </w:rPr>
            </w:pPr>
          </w:p>
        </w:tc>
        <w:tc>
          <w:tcPr>
            <w:tcW w:w="8930" w:type="dxa"/>
            <w:gridSpan w:val="3"/>
            <w:tcBorders>
              <w:top w:val="single" w:sz="2" w:space="0" w:color="auto"/>
            </w:tcBorders>
            <w:shd w:val="clear" w:color="auto" w:fill="auto"/>
            <w:vAlign w:val="center"/>
          </w:tcPr>
          <w:p w14:paraId="535F9867" w14:textId="6E810462" w:rsidR="00807560" w:rsidRPr="00C970C2" w:rsidRDefault="00807560" w:rsidP="004125AF">
            <w:pPr>
              <w:tabs>
                <w:tab w:val="left" w:pos="3788"/>
                <w:tab w:val="right" w:pos="8928"/>
              </w:tabs>
              <w:spacing w:line="240" w:lineRule="auto"/>
              <w:rPr>
                <w:sz w:val="18"/>
                <w:szCs w:val="18"/>
                <w:lang w:val="en-GB"/>
              </w:rPr>
            </w:pPr>
            <w:r w:rsidRPr="00C970C2">
              <w:rPr>
                <w:sz w:val="18"/>
                <w:szCs w:val="18"/>
                <w:lang w:val="en-GB"/>
              </w:rPr>
              <w:t xml:space="preserve">Received: </w:t>
            </w:r>
            <w:r w:rsidR="00C60876">
              <w:rPr>
                <w:sz w:val="18"/>
                <w:szCs w:val="18"/>
                <w:lang w:val="en-GB"/>
              </w:rPr>
              <w:t>February</w:t>
            </w:r>
            <w:r w:rsidRPr="00C970C2">
              <w:rPr>
                <w:sz w:val="18"/>
                <w:szCs w:val="18"/>
                <w:lang w:val="en-GB"/>
              </w:rPr>
              <w:t xml:space="preserve"> 2024</w:t>
            </w:r>
            <w:r w:rsidRPr="00C970C2">
              <w:rPr>
                <w:sz w:val="18"/>
                <w:szCs w:val="18"/>
                <w:lang w:val="en-GB"/>
              </w:rPr>
              <w:tab/>
              <w:t xml:space="preserve">Accepted: </w:t>
            </w:r>
            <w:r w:rsidR="00C60876">
              <w:rPr>
                <w:sz w:val="18"/>
                <w:szCs w:val="18"/>
                <w:lang w:val="en-GB"/>
              </w:rPr>
              <w:t>March</w:t>
            </w:r>
            <w:r w:rsidRPr="00C970C2">
              <w:rPr>
                <w:sz w:val="18"/>
                <w:szCs w:val="18"/>
                <w:lang w:val="en-GB"/>
              </w:rPr>
              <w:t xml:space="preserve"> 2024</w:t>
            </w:r>
            <w:r w:rsidRPr="00C970C2">
              <w:rPr>
                <w:sz w:val="18"/>
                <w:szCs w:val="18"/>
                <w:lang w:val="en-GB"/>
              </w:rPr>
              <w:tab/>
              <w:t xml:space="preserve">Published: </w:t>
            </w:r>
            <w:r>
              <w:rPr>
                <w:sz w:val="18"/>
                <w:szCs w:val="18"/>
                <w:lang w:val="en-GB"/>
              </w:rPr>
              <w:t>March</w:t>
            </w:r>
            <w:r w:rsidRPr="00C970C2">
              <w:rPr>
                <w:sz w:val="18"/>
                <w:szCs w:val="18"/>
                <w:lang w:val="en-GB"/>
              </w:rPr>
              <w:t xml:space="preserve"> 2024</w:t>
            </w:r>
          </w:p>
        </w:tc>
      </w:tr>
    </w:tbl>
    <w:bookmarkEnd w:id="2"/>
    <w:p w14:paraId="25AE9C92" w14:textId="6FEC52C8" w:rsidR="004B5615" w:rsidRPr="00996B25" w:rsidRDefault="004B5615" w:rsidP="00A62BAC">
      <w:pPr>
        <w:pStyle w:val="Rtytu"/>
        <w:rPr>
          <w:rFonts w:ascii="TimesNewRomanPSMT" w:hAnsi="TimesNewRomanPSMT"/>
          <w:color w:val="000080"/>
          <w:lang w:val="en-GB"/>
        </w:rPr>
      </w:pPr>
      <w:r w:rsidRPr="00996B25">
        <w:rPr>
          <w:lang w:val="en-GB"/>
        </w:rPr>
        <w:t xml:space="preserve">Review of </w:t>
      </w:r>
      <w:r w:rsidR="00A62BAC" w:rsidRPr="00996B25">
        <w:rPr>
          <w:lang w:val="en-GB"/>
        </w:rPr>
        <w:t>M</w:t>
      </w:r>
      <w:r w:rsidRPr="00996B25">
        <w:rPr>
          <w:lang w:val="en-GB"/>
        </w:rPr>
        <w:t xml:space="preserve">ethods for </w:t>
      </w:r>
      <w:r w:rsidR="00A62BAC" w:rsidRPr="00996B25">
        <w:rPr>
          <w:lang w:val="en-GB"/>
        </w:rPr>
        <w:t>C</w:t>
      </w:r>
      <w:r w:rsidRPr="00996B25">
        <w:rPr>
          <w:lang w:val="en-GB"/>
        </w:rPr>
        <w:t xml:space="preserve">onverting </w:t>
      </w:r>
      <w:r w:rsidR="00A62BAC" w:rsidRPr="00996B25">
        <w:rPr>
          <w:lang w:val="en-GB"/>
        </w:rPr>
        <w:t>B</w:t>
      </w:r>
      <w:r w:rsidRPr="00996B25">
        <w:rPr>
          <w:lang w:val="en-GB"/>
        </w:rPr>
        <w:t xml:space="preserve">iomass into </w:t>
      </w:r>
      <w:r w:rsidR="00A62BAC" w:rsidRPr="00996B25">
        <w:rPr>
          <w:lang w:val="en-GB"/>
        </w:rPr>
        <w:t>B</w:t>
      </w:r>
      <w:r w:rsidRPr="00996B25">
        <w:rPr>
          <w:lang w:val="en-GB"/>
        </w:rPr>
        <w:t>iofuels</w:t>
      </w:r>
    </w:p>
    <w:p w14:paraId="01451C12" w14:textId="03424AD6" w:rsidR="004B5615" w:rsidRPr="00996B25" w:rsidRDefault="004B5615" w:rsidP="00A62BAC">
      <w:pPr>
        <w:pStyle w:val="Rautor"/>
        <w:rPr>
          <w:lang w:val="en-GB"/>
        </w:rPr>
      </w:pPr>
      <w:r w:rsidRPr="00996B25">
        <w:rPr>
          <w:lang w:val="en-GB"/>
        </w:rPr>
        <w:t>Paweł Lesiak</w:t>
      </w:r>
    </w:p>
    <w:p w14:paraId="045D7B83" w14:textId="7C0C40F2" w:rsidR="00A62BAC" w:rsidRPr="00996B25" w:rsidRDefault="004B5615" w:rsidP="00A62BAC">
      <w:pPr>
        <w:pStyle w:val="Rafiliacja"/>
        <w:rPr>
          <w:rFonts w:ascii="TimesNewRomanPSMT" w:hAnsi="TimesNewRomanPSMT"/>
          <w:lang w:val="en-GB"/>
        </w:rPr>
      </w:pPr>
      <w:r w:rsidRPr="00996B25">
        <w:rPr>
          <w:lang w:val="en-GB"/>
        </w:rPr>
        <w:t>Kielce University of Technology, Kielce, Poland</w:t>
      </w:r>
      <w:r w:rsidR="00A62BAC" w:rsidRPr="00996B25">
        <w:rPr>
          <w:lang w:val="en-GB"/>
        </w:rPr>
        <w:t xml:space="preserve"> </w:t>
      </w:r>
      <w:r w:rsidR="00C60876">
        <w:rPr>
          <w:lang w:val="en-GB"/>
        </w:rPr>
        <w:br/>
      </w:r>
      <w:r w:rsidR="00A62BAC" w:rsidRPr="00996B25">
        <w:rPr>
          <w:rFonts w:ascii="TimesNewRomanPSMT" w:hAnsi="TimesNewRomanPSMT"/>
          <w:lang w:val="en-GB"/>
        </w:rPr>
        <w:t>https://orcid.org/0009-0009-6585-6372</w:t>
      </w:r>
    </w:p>
    <w:p w14:paraId="5C179591" w14:textId="6BC13439" w:rsidR="004B5615" w:rsidRPr="00996B25" w:rsidRDefault="00C60876" w:rsidP="00A62BAC">
      <w:pPr>
        <w:pStyle w:val="Rauco"/>
      </w:pPr>
      <w:r w:rsidRPr="00C970C2">
        <w:t>corresponding author's e-mail:</w:t>
      </w:r>
      <w:r w:rsidR="004B5615" w:rsidRPr="00996B25">
        <w:t xml:space="preserve"> </w:t>
      </w:r>
      <w:hyperlink r:id="rId9" w:history="1">
        <w:r w:rsidR="00D82D2E" w:rsidRPr="00C60876">
          <w:rPr>
            <w:rStyle w:val="Hipercze"/>
            <w:color w:val="auto"/>
            <w:u w:val="none"/>
          </w:rPr>
          <w:t>plesiak@tu.kielce.pl</w:t>
        </w:r>
      </w:hyperlink>
      <w:r w:rsidR="00D82D2E" w:rsidRPr="00C60876">
        <w:t xml:space="preserve">, </w:t>
      </w:r>
      <w:r w:rsidR="00D82D2E" w:rsidRPr="00996B25">
        <w:t>pawel_l_1991@wp.pl</w:t>
      </w:r>
    </w:p>
    <w:p w14:paraId="3265AD4C" w14:textId="621E8F76" w:rsidR="004B5615" w:rsidRPr="00996B25" w:rsidRDefault="004B5615" w:rsidP="00A62BAC">
      <w:pPr>
        <w:pStyle w:val="Rab1"/>
      </w:pPr>
      <w:r w:rsidRPr="00996B25">
        <w:rPr>
          <w:rStyle w:val="Domylnaczcionkaakapitu0"/>
          <w:b/>
        </w:rPr>
        <w:t>Abstract:</w:t>
      </w:r>
      <w:r w:rsidRPr="00996B25">
        <w:t xml:space="preserve"> </w:t>
      </w:r>
      <w:r w:rsidRPr="00996B25">
        <w:rPr>
          <w:rStyle w:val="Domylnaczcionkaakapitu0"/>
        </w:rPr>
        <w:t>Thermochemical processes are among the most effective methods of obtaining hydrogen</w:t>
      </w:r>
      <w:r w:rsidR="00247358">
        <w:rPr>
          <w:rStyle w:val="Domylnaczcionkaakapitu0"/>
        </w:rPr>
        <w:t>-</w:t>
      </w:r>
      <w:r w:rsidRPr="00996B25">
        <w:rPr>
          <w:rStyle w:val="Domylnaczcionkaakapitu0"/>
        </w:rPr>
        <w:t>rich gases from biomass. These technologies mainly include pyrolysis, gasification and hydrothermal liquefaction. Thermochemical conversion of dry biomass is similar to the conversion of fossil fuels using gasification and pyrolysis methods. Products obtained through thermochemical processes (CO and CH</w:t>
      </w:r>
      <w:r w:rsidRPr="00996B25">
        <w:rPr>
          <w:rStyle w:val="Domylnaczcionkaakapitu0"/>
          <w:vertAlign w:val="subscript"/>
        </w:rPr>
        <w:t>4</w:t>
      </w:r>
      <w:r w:rsidRPr="00996B25">
        <w:rPr>
          <w:rStyle w:val="Domylnaczcionkaakapitu0"/>
        </w:rPr>
        <w:t xml:space="preserve">) can be processed into other biofuels, e.g. syngas, </w:t>
      </w:r>
      <w:r w:rsidR="00247358">
        <w:rPr>
          <w:rStyle w:val="Domylnaczcionkaakapitu0"/>
        </w:rPr>
        <w:t>a raw material for producing</w:t>
      </w:r>
      <w:r w:rsidRPr="00996B25">
        <w:rPr>
          <w:rStyle w:val="Domylnaczcionkaakapitu0"/>
        </w:rPr>
        <w:t xml:space="preserve"> synthetic hydrocarbons, methanol and alcohols. In recent years, advanced research has been carried out using biomass </w:t>
      </w:r>
      <w:r w:rsidR="00247358">
        <w:rPr>
          <w:rStyle w:val="Domylnaczcionkaakapitu0"/>
        </w:rPr>
        <w:t>to produce</w:t>
      </w:r>
      <w:r w:rsidRPr="00996B25">
        <w:rPr>
          <w:rStyle w:val="Domylnaczcionkaakapitu0"/>
        </w:rPr>
        <w:t xml:space="preserve"> liquid fuels. The biomass pyrolysis process in the presence of a catalyst is based on </w:t>
      </w:r>
      <w:r w:rsidR="00247358">
        <w:rPr>
          <w:rStyle w:val="Domylnaczcionkaakapitu0"/>
        </w:rPr>
        <w:t xml:space="preserve">the </w:t>
      </w:r>
      <w:r w:rsidRPr="00996B25">
        <w:rPr>
          <w:rStyle w:val="Domylnaczcionkaakapitu0"/>
        </w:rPr>
        <w:t>rapid heating of the biomass to a temperature of approximately 500</w:t>
      </w:r>
      <w:r w:rsidR="00A62BAC" w:rsidRPr="00996B25">
        <w:rPr>
          <w:rStyle w:val="Domylnaczcionkaakapitu0"/>
        </w:rPr>
        <w:t>°</w:t>
      </w:r>
      <w:r w:rsidRPr="00996B25">
        <w:rPr>
          <w:rStyle w:val="Domylnaczcionkaakapitu0"/>
        </w:rPr>
        <w:t>C in the so-called inert atmosphere in which there are no reactive gases. This process produces a liquid product: pyrolysis oil, gas and charcoal. The bio-oil produced in this process constitutes 60</w:t>
      </w:r>
      <w:r w:rsidR="00A62BAC" w:rsidRPr="00996B25">
        <w:rPr>
          <w:rStyle w:val="Domylnaczcionkaakapitu0"/>
        </w:rPr>
        <w:t>-</w:t>
      </w:r>
      <w:r w:rsidRPr="00996B25">
        <w:rPr>
          <w:rStyle w:val="Domylnaczcionkaakapitu0"/>
        </w:rPr>
        <w:t>75% of the mass of the biofuel and is thermally unstable because it contains up to 300 different chemical compounds. However, the bio-oil obtained in this way is incompatible with conventional liquid transport fuels (gasoline, diesel) due to its high oxygen content. Pyrolysis in the presence of a zeolite catalyst is a</w:t>
      </w:r>
      <w:r w:rsidR="00607A40">
        <w:rPr>
          <w:rStyle w:val="Domylnaczcionkaakapitu0"/>
        </w:rPr>
        <w:t> </w:t>
      </w:r>
      <w:r w:rsidRPr="00996B25">
        <w:rPr>
          <w:rStyle w:val="Domylnaczcionkaakapitu0"/>
        </w:rPr>
        <w:t xml:space="preserve">process that allows for </w:t>
      </w:r>
      <w:r w:rsidR="00247358">
        <w:rPr>
          <w:rStyle w:val="Domylnaczcionkaakapitu0"/>
        </w:rPr>
        <w:t xml:space="preserve">the </w:t>
      </w:r>
      <w:r w:rsidRPr="00996B25">
        <w:rPr>
          <w:rStyle w:val="Domylnaczcionkaakapitu0"/>
        </w:rPr>
        <w:t xml:space="preserve">effective conversion of biomass in economic and ecological terms. </w:t>
      </w:r>
      <w:r w:rsidR="00247358">
        <w:rPr>
          <w:rStyle w:val="Domylnaczcionkaakapitu0"/>
        </w:rPr>
        <w:t>A</w:t>
      </w:r>
      <w:r w:rsidRPr="00996B25">
        <w:rPr>
          <w:rStyle w:val="Domylnaczcionkaakapitu0"/>
        </w:rPr>
        <w:t xml:space="preserve"> zeolite catalyst makes it possible to remove oxidized compounds in situ and modify the properties of the biofuel to ensure its compatibility with conventional transport fuels. The catalyst plays a </w:t>
      </w:r>
      <w:r w:rsidR="00247358">
        <w:rPr>
          <w:rStyle w:val="Domylnaczcionkaakapitu0"/>
        </w:rPr>
        <w:t>crucial</w:t>
      </w:r>
      <w:r w:rsidRPr="00996B25">
        <w:rPr>
          <w:rStyle w:val="Domylnaczcionkaakapitu0"/>
        </w:rPr>
        <w:t xml:space="preserve"> role in this process because it </w:t>
      </w:r>
      <w:r w:rsidR="00247358">
        <w:rPr>
          <w:rStyle w:val="Domylnaczcionkaakapitu0"/>
        </w:rPr>
        <w:t>removes oxygen from oxygenates and, consequently, creates</w:t>
      </w:r>
      <w:r w:rsidRPr="00996B25">
        <w:rPr>
          <w:rStyle w:val="Domylnaczcionkaakapitu0"/>
        </w:rPr>
        <w:t xml:space="preserve"> stable reaction products that can then be treated to obtain renewable transport fuels or other useful chemicals. The article presents methods of biomass conversion via </w:t>
      </w:r>
      <w:proofErr w:type="spellStart"/>
      <w:r w:rsidRPr="00996B25">
        <w:rPr>
          <w:rStyle w:val="Domylnaczcionkaakapitu0"/>
        </w:rPr>
        <w:t>pyrolisis</w:t>
      </w:r>
      <w:proofErr w:type="spellEnd"/>
      <w:r w:rsidRPr="00996B25">
        <w:rPr>
          <w:rStyle w:val="Domylnaczcionkaakapitu0"/>
        </w:rPr>
        <w:t>, microorganisms usage, zeolite-based catalysis, biocatal</w:t>
      </w:r>
      <w:r w:rsidR="00247358">
        <w:rPr>
          <w:rStyle w:val="Domylnaczcionkaakapitu0"/>
        </w:rPr>
        <w:t>ysi</w:t>
      </w:r>
      <w:r w:rsidRPr="00996B25">
        <w:rPr>
          <w:rStyle w:val="Domylnaczcionkaakapitu0"/>
        </w:rPr>
        <w:t>s and photo-fermentation</w:t>
      </w:r>
      <w:r w:rsidR="00247358">
        <w:rPr>
          <w:rStyle w:val="Domylnaczcionkaakapitu0"/>
        </w:rPr>
        <w:t>,</w:t>
      </w:r>
      <w:r w:rsidRPr="00996B25">
        <w:rPr>
          <w:rStyle w:val="Domylnaczcionkaakapitu0"/>
        </w:rPr>
        <w:t xml:space="preserve"> which poses a big possibility of</w:t>
      </w:r>
      <w:r w:rsidRPr="00996B25">
        <w:t xml:space="preserve"> </w:t>
      </w:r>
      <w:bookmarkStart w:id="3" w:name="tw-target-text"/>
      <w:bookmarkEnd w:id="3"/>
      <w:r w:rsidRPr="00996B25">
        <w:t>diversification of renewable energy sources.</w:t>
      </w:r>
    </w:p>
    <w:p w14:paraId="3D15BEAA" w14:textId="264BA290" w:rsidR="004B5615" w:rsidRPr="00996B25" w:rsidRDefault="004B5615" w:rsidP="00A62BAC">
      <w:pPr>
        <w:pStyle w:val="Rab2"/>
      </w:pPr>
      <w:r w:rsidRPr="00996B25">
        <w:rPr>
          <w:rStyle w:val="Domylnaczcionkaakapitu0"/>
          <w:b/>
        </w:rPr>
        <w:t>Keywords:</w:t>
      </w:r>
      <w:r w:rsidRPr="00996B25">
        <w:rPr>
          <w:rStyle w:val="Domylnaczcionkaakapitu0"/>
        </w:rPr>
        <w:t xml:space="preserve"> biomass, biomass conversion, biofuels, </w:t>
      </w:r>
      <w:proofErr w:type="spellStart"/>
      <w:r w:rsidRPr="00996B25">
        <w:rPr>
          <w:rStyle w:val="Domylnaczcionkaakapitu0"/>
        </w:rPr>
        <w:t>microoganisms</w:t>
      </w:r>
      <w:proofErr w:type="spellEnd"/>
      <w:r w:rsidRPr="00996B25">
        <w:rPr>
          <w:rStyle w:val="Domylnaczcionkaakapitu0"/>
        </w:rPr>
        <w:t>, renewable energy</w:t>
      </w:r>
    </w:p>
    <w:p w14:paraId="6B028A8D" w14:textId="0EDCBF9F" w:rsidR="004B5615" w:rsidRPr="00996B25" w:rsidRDefault="004B5615" w:rsidP="00996B25">
      <w:pPr>
        <w:pStyle w:val="Rn1"/>
        <w:rPr>
          <w:lang w:val="en-GB"/>
        </w:rPr>
      </w:pPr>
      <w:r w:rsidRPr="00996B25">
        <w:rPr>
          <w:rStyle w:val="Domylnaczcionkaakapitu0"/>
          <w:szCs w:val="24"/>
          <w:lang w:val="en-GB"/>
        </w:rPr>
        <w:t>1.</w:t>
      </w:r>
      <w:r w:rsidR="00A62BAC" w:rsidRPr="00996B25">
        <w:rPr>
          <w:rStyle w:val="Domylnaczcionkaakapitu0"/>
          <w:b w:val="0"/>
          <w:szCs w:val="24"/>
          <w:lang w:val="en-GB"/>
        </w:rPr>
        <w:t xml:space="preserve"> </w:t>
      </w:r>
      <w:proofErr w:type="spellStart"/>
      <w:r w:rsidRPr="00996B25">
        <w:rPr>
          <w:rStyle w:val="Domylnaczcionkaakapitu0"/>
        </w:rPr>
        <w:t>Introduction</w:t>
      </w:r>
      <w:proofErr w:type="spellEnd"/>
    </w:p>
    <w:p w14:paraId="5B8A39C2" w14:textId="2B5310B5" w:rsidR="004B5615" w:rsidRPr="00996B25" w:rsidRDefault="004B5615" w:rsidP="00996B25">
      <w:pPr>
        <w:spacing w:line="240" w:lineRule="auto"/>
        <w:ind w:firstLine="284"/>
        <w:jc w:val="both"/>
        <w:rPr>
          <w:sz w:val="22"/>
          <w:lang w:val="en-GB"/>
        </w:rPr>
      </w:pPr>
      <w:r w:rsidRPr="00996B25">
        <w:rPr>
          <w:sz w:val="22"/>
          <w:lang w:val="en-GB"/>
        </w:rPr>
        <w:t>As civilization develops and technological p</w:t>
      </w:r>
      <w:r w:rsidR="00553634" w:rsidRPr="00996B25">
        <w:rPr>
          <w:sz w:val="22"/>
          <w:lang w:val="en-GB"/>
        </w:rPr>
        <w:t>rogress progresses, people</w:t>
      </w:r>
      <w:r w:rsidR="00247358">
        <w:rPr>
          <w:sz w:val="22"/>
          <w:lang w:val="en-GB"/>
        </w:rPr>
        <w:t>'</w:t>
      </w:r>
      <w:r w:rsidRPr="00996B25">
        <w:rPr>
          <w:sz w:val="22"/>
          <w:lang w:val="en-GB"/>
        </w:rPr>
        <w:t>s living standards improve and the demand for primary energy increases. However, the extent of this increase is offset by energy saving and energy efficiency measures. It is estimated that over the next 25 years</w:t>
      </w:r>
      <w:r w:rsidR="00247358">
        <w:rPr>
          <w:sz w:val="22"/>
          <w:lang w:val="en-GB"/>
        </w:rPr>
        <w:t>,</w:t>
      </w:r>
      <w:r w:rsidRPr="00996B25">
        <w:rPr>
          <w:sz w:val="22"/>
          <w:lang w:val="en-GB"/>
        </w:rPr>
        <w:t xml:space="preserve"> the </w:t>
      </w:r>
      <w:r w:rsidR="00247358">
        <w:rPr>
          <w:sz w:val="22"/>
          <w:lang w:val="en-GB"/>
        </w:rPr>
        <w:t>energy demand</w:t>
      </w:r>
      <w:r w:rsidRPr="00996B25">
        <w:rPr>
          <w:sz w:val="22"/>
          <w:lang w:val="en-GB"/>
        </w:rPr>
        <w:t xml:space="preserve"> will increase only by about 30%</w:t>
      </w:r>
      <w:r w:rsidR="00247358">
        <w:rPr>
          <w:sz w:val="22"/>
          <w:lang w:val="en-GB"/>
        </w:rPr>
        <w:t>, and the dominant energy carrier will be electricity, which uses</w:t>
      </w:r>
      <w:r w:rsidRPr="00996B25">
        <w:rPr>
          <w:sz w:val="22"/>
          <w:lang w:val="en-GB"/>
        </w:rPr>
        <w:t xml:space="preserve"> about 70% of primary energy sources. At the same time, the analysis of changes in the structure of energy consumption indicates that renewable energy sources, which are characterized by the greatest development dynamics today, will use approximately 45% of primary energy in the future </w:t>
      </w:r>
      <w:r w:rsidR="00B913D2" w:rsidRPr="00996B25">
        <w:rPr>
          <w:szCs w:val="24"/>
          <w:lang w:val="en-GB"/>
        </w:rPr>
        <w:t>(</w:t>
      </w:r>
      <w:r w:rsidR="00D22F8D" w:rsidRPr="00996B25">
        <w:rPr>
          <w:sz w:val="22"/>
          <w:szCs w:val="22"/>
          <w:lang w:val="en-GB"/>
        </w:rPr>
        <w:t xml:space="preserve">Dale </w:t>
      </w:r>
      <w:r w:rsidR="00B913D2" w:rsidRPr="00996B25">
        <w:rPr>
          <w:sz w:val="22"/>
          <w:szCs w:val="22"/>
          <w:lang w:val="en-GB"/>
        </w:rPr>
        <w:t>2023</w:t>
      </w:r>
      <w:r w:rsidR="00B913D2" w:rsidRPr="00996B25">
        <w:rPr>
          <w:sz w:val="20"/>
          <w:lang w:val="en-GB"/>
        </w:rPr>
        <w:t>)</w:t>
      </w:r>
      <w:r w:rsidR="00247358">
        <w:rPr>
          <w:sz w:val="20"/>
          <w:lang w:val="en-GB"/>
        </w:rPr>
        <w:t>.</w:t>
      </w:r>
      <w:r w:rsidRPr="00996B25">
        <w:rPr>
          <w:sz w:val="22"/>
          <w:lang w:val="en-GB"/>
        </w:rPr>
        <w:t xml:space="preserve"> Figure 1 shows the structure of electricity production for Poland in</w:t>
      </w:r>
      <w:r w:rsidR="00ED1678" w:rsidRPr="00996B25">
        <w:rPr>
          <w:sz w:val="22"/>
          <w:lang w:val="en-GB"/>
        </w:rPr>
        <w:t xml:space="preserve"> </w:t>
      </w:r>
      <w:r w:rsidR="00247358">
        <w:rPr>
          <w:sz w:val="22"/>
          <w:lang w:val="en-GB"/>
        </w:rPr>
        <w:t>2023</w:t>
      </w:r>
      <w:r w:rsidRPr="00996B25">
        <w:rPr>
          <w:sz w:val="22"/>
          <w:lang w:val="en-GB"/>
        </w:rPr>
        <w:t>.</w:t>
      </w:r>
    </w:p>
    <w:p w14:paraId="097B259F" w14:textId="530DCFCD" w:rsidR="00A62BAC" w:rsidRPr="00996B25" w:rsidRDefault="00AA6708" w:rsidP="00AA6708">
      <w:pPr>
        <w:ind w:left="1276"/>
        <w:jc w:val="both"/>
        <w:rPr>
          <w:rStyle w:val="Pogrubienie"/>
          <w:b w:val="0"/>
          <w:sz w:val="20"/>
          <w:lang w:val="en-GB"/>
        </w:rPr>
      </w:pPr>
      <w:r w:rsidRPr="00996B25">
        <w:rPr>
          <w:rStyle w:val="Pogrubienie"/>
          <w:b w:val="0"/>
          <w:noProof/>
          <w:sz w:val="20"/>
          <w:lang w:val="en-GB"/>
        </w:rPr>
        <mc:AlternateContent>
          <mc:Choice Requires="wps">
            <w:drawing>
              <wp:anchor distT="45720" distB="45720" distL="114300" distR="114300" simplePos="0" relativeHeight="251659264" behindDoc="0" locked="0" layoutInCell="1" allowOverlap="1" wp14:anchorId="2D208D44" wp14:editId="6BB102A0">
                <wp:simplePos x="0" y="0"/>
                <wp:positionH relativeFrom="column">
                  <wp:posOffset>4106309</wp:posOffset>
                </wp:positionH>
                <wp:positionV relativeFrom="paragraph">
                  <wp:posOffset>684087</wp:posOffset>
                </wp:positionV>
                <wp:extent cx="1967024"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4" cy="1404620"/>
                        </a:xfrm>
                        <a:prstGeom prst="rect">
                          <a:avLst/>
                        </a:prstGeom>
                        <a:solidFill>
                          <a:srgbClr val="FFFFFF"/>
                        </a:solidFill>
                        <a:ln w="9525">
                          <a:noFill/>
                          <a:miter lim="800000"/>
                          <a:headEnd/>
                          <a:tailEnd/>
                        </a:ln>
                      </wps:spPr>
                      <wps:txbx>
                        <w:txbxContent>
                          <w:p w14:paraId="6C950D43" w14:textId="77777777" w:rsidR="00AA6708" w:rsidRDefault="00A62BAC">
                            <w:pPr>
                              <w:rPr>
                                <w:rFonts w:ascii="Arial" w:hAnsi="Arial" w:cs="Arial"/>
                                <w:sz w:val="22"/>
                                <w:szCs w:val="18"/>
                              </w:rPr>
                            </w:pPr>
                            <w:proofErr w:type="spellStart"/>
                            <w:r w:rsidRPr="00A62BAC">
                              <w:rPr>
                                <w:rFonts w:ascii="Arial" w:hAnsi="Arial" w:cs="Arial"/>
                                <w:sz w:val="22"/>
                                <w:szCs w:val="18"/>
                              </w:rPr>
                              <w:t>Structure</w:t>
                            </w:r>
                            <w:proofErr w:type="spellEnd"/>
                            <w:r w:rsidRPr="00A62BAC">
                              <w:rPr>
                                <w:rFonts w:ascii="Arial" w:hAnsi="Arial" w:cs="Arial"/>
                                <w:sz w:val="22"/>
                                <w:szCs w:val="18"/>
                              </w:rPr>
                              <w:t xml:space="preserve"> </w:t>
                            </w:r>
                            <w:proofErr w:type="spellStart"/>
                            <w:r w:rsidRPr="00A62BAC">
                              <w:rPr>
                                <w:rFonts w:ascii="Arial" w:hAnsi="Arial" w:cs="Arial"/>
                                <w:sz w:val="22"/>
                                <w:szCs w:val="18"/>
                              </w:rPr>
                              <w:t>of</w:t>
                            </w:r>
                            <w:proofErr w:type="spellEnd"/>
                            <w:r w:rsidRPr="00A62BAC">
                              <w:rPr>
                                <w:rFonts w:ascii="Arial" w:hAnsi="Arial" w:cs="Arial"/>
                                <w:sz w:val="22"/>
                                <w:szCs w:val="18"/>
                              </w:rPr>
                              <w:t xml:space="preserve"> </w:t>
                            </w:r>
                            <w:proofErr w:type="spellStart"/>
                            <w:r w:rsidRPr="00A62BAC">
                              <w:rPr>
                                <w:rFonts w:ascii="Arial" w:hAnsi="Arial" w:cs="Arial"/>
                                <w:sz w:val="22"/>
                                <w:szCs w:val="18"/>
                              </w:rPr>
                              <w:t>electric</w:t>
                            </w:r>
                            <w:proofErr w:type="spellEnd"/>
                            <w:r w:rsidRPr="00A62BAC">
                              <w:rPr>
                                <w:rFonts w:ascii="Arial" w:hAnsi="Arial" w:cs="Arial"/>
                                <w:sz w:val="22"/>
                                <w:szCs w:val="18"/>
                              </w:rPr>
                              <w:t xml:space="preserve"> </w:t>
                            </w:r>
                            <w:proofErr w:type="spellStart"/>
                            <w:r w:rsidRPr="00A62BAC">
                              <w:rPr>
                                <w:rFonts w:ascii="Arial" w:hAnsi="Arial" w:cs="Arial"/>
                                <w:sz w:val="22"/>
                                <w:szCs w:val="18"/>
                              </w:rPr>
                              <w:t>energy</w:t>
                            </w:r>
                            <w:proofErr w:type="spellEnd"/>
                            <w:r w:rsidRPr="00A62BAC">
                              <w:rPr>
                                <w:rFonts w:ascii="Arial" w:hAnsi="Arial" w:cs="Arial"/>
                                <w:sz w:val="22"/>
                                <w:szCs w:val="18"/>
                              </w:rPr>
                              <w:t xml:space="preserve"> </w:t>
                            </w:r>
                          </w:p>
                          <w:p w14:paraId="275A2A15" w14:textId="5E227FFE" w:rsidR="00A62BAC" w:rsidRPr="00A62BAC" w:rsidRDefault="00A62BAC">
                            <w:pPr>
                              <w:rPr>
                                <w:rFonts w:ascii="Arial" w:hAnsi="Arial" w:cs="Arial"/>
                                <w:sz w:val="22"/>
                                <w:szCs w:val="18"/>
                              </w:rPr>
                            </w:pPr>
                            <w:r w:rsidRPr="00A62BAC">
                              <w:rPr>
                                <w:rFonts w:ascii="Arial" w:hAnsi="Arial" w:cs="Arial"/>
                                <w:sz w:val="22"/>
                                <w:szCs w:val="18"/>
                              </w:rPr>
                              <w:t xml:space="preserve">in </w:t>
                            </w:r>
                            <w:proofErr w:type="spellStart"/>
                            <w:r w:rsidRPr="00A62BAC">
                              <w:rPr>
                                <w:rFonts w:ascii="Arial" w:hAnsi="Arial" w:cs="Arial"/>
                                <w:sz w:val="22"/>
                                <w:szCs w:val="18"/>
                              </w:rPr>
                              <w:t>Poland</w:t>
                            </w:r>
                            <w:proofErr w:type="spellEnd"/>
                            <w:r w:rsidRPr="00A62BAC">
                              <w:rPr>
                                <w:rFonts w:ascii="Arial" w:hAnsi="Arial" w:cs="Arial"/>
                                <w:sz w:val="22"/>
                                <w:szCs w:val="18"/>
                              </w:rPr>
                              <w:t xml:space="preserve"> in </w:t>
                            </w:r>
                            <w:proofErr w:type="spellStart"/>
                            <w:r w:rsidRPr="00A62BAC">
                              <w:rPr>
                                <w:rFonts w:ascii="Arial" w:hAnsi="Arial" w:cs="Arial"/>
                                <w:sz w:val="22"/>
                                <w:szCs w:val="18"/>
                              </w:rPr>
                              <w:t>year</w:t>
                            </w:r>
                            <w:proofErr w:type="spellEnd"/>
                            <w:r w:rsidRPr="00A62BAC">
                              <w:rPr>
                                <w:rFonts w:ascii="Arial" w:hAnsi="Arial" w:cs="Arial"/>
                                <w:sz w:val="22"/>
                                <w:szCs w:val="18"/>
                              </w:rPr>
                              <w:t xml:space="preserv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08D44" id="_x0000_t202" coordsize="21600,21600" o:spt="202" path="m,l,21600r21600,l21600,xe">
                <v:stroke joinstyle="miter"/>
                <v:path gradientshapeok="t" o:connecttype="rect"/>
              </v:shapetype>
              <v:shape id="Pole tekstowe 2" o:spid="_x0000_s1026" type="#_x0000_t202" style="position:absolute;left:0;text-align:left;margin-left:323.35pt;margin-top:53.85pt;width:15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GDQIAAPc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" stroked="f">
                <v:textbox style="mso-fit-shape-to-text:t">
                  <w:txbxContent>
                    <w:p w14:paraId="6C950D43" w14:textId="77777777" w:rsidR="00AA6708" w:rsidRDefault="00A62BAC">
                      <w:pPr>
                        <w:rPr>
                          <w:rFonts w:ascii="Arial" w:hAnsi="Arial" w:cs="Arial"/>
                          <w:sz w:val="22"/>
                          <w:szCs w:val="18"/>
                        </w:rPr>
                      </w:pPr>
                      <w:proofErr w:type="spellStart"/>
                      <w:r w:rsidRPr="00A62BAC">
                        <w:rPr>
                          <w:rFonts w:ascii="Arial" w:hAnsi="Arial" w:cs="Arial"/>
                          <w:sz w:val="22"/>
                          <w:szCs w:val="18"/>
                        </w:rPr>
                        <w:t>Structure</w:t>
                      </w:r>
                      <w:proofErr w:type="spellEnd"/>
                      <w:r w:rsidRPr="00A62BAC">
                        <w:rPr>
                          <w:rFonts w:ascii="Arial" w:hAnsi="Arial" w:cs="Arial"/>
                          <w:sz w:val="22"/>
                          <w:szCs w:val="18"/>
                        </w:rPr>
                        <w:t xml:space="preserve"> </w:t>
                      </w:r>
                      <w:proofErr w:type="spellStart"/>
                      <w:r w:rsidRPr="00A62BAC">
                        <w:rPr>
                          <w:rFonts w:ascii="Arial" w:hAnsi="Arial" w:cs="Arial"/>
                          <w:sz w:val="22"/>
                          <w:szCs w:val="18"/>
                        </w:rPr>
                        <w:t>of</w:t>
                      </w:r>
                      <w:proofErr w:type="spellEnd"/>
                      <w:r w:rsidRPr="00A62BAC">
                        <w:rPr>
                          <w:rFonts w:ascii="Arial" w:hAnsi="Arial" w:cs="Arial"/>
                          <w:sz w:val="22"/>
                          <w:szCs w:val="18"/>
                        </w:rPr>
                        <w:t xml:space="preserve"> </w:t>
                      </w:r>
                      <w:proofErr w:type="spellStart"/>
                      <w:r w:rsidRPr="00A62BAC">
                        <w:rPr>
                          <w:rFonts w:ascii="Arial" w:hAnsi="Arial" w:cs="Arial"/>
                          <w:sz w:val="22"/>
                          <w:szCs w:val="18"/>
                        </w:rPr>
                        <w:t>electric</w:t>
                      </w:r>
                      <w:proofErr w:type="spellEnd"/>
                      <w:r w:rsidRPr="00A62BAC">
                        <w:rPr>
                          <w:rFonts w:ascii="Arial" w:hAnsi="Arial" w:cs="Arial"/>
                          <w:sz w:val="22"/>
                          <w:szCs w:val="18"/>
                        </w:rPr>
                        <w:t xml:space="preserve"> </w:t>
                      </w:r>
                      <w:proofErr w:type="spellStart"/>
                      <w:r w:rsidRPr="00A62BAC">
                        <w:rPr>
                          <w:rFonts w:ascii="Arial" w:hAnsi="Arial" w:cs="Arial"/>
                          <w:sz w:val="22"/>
                          <w:szCs w:val="18"/>
                        </w:rPr>
                        <w:t>energy</w:t>
                      </w:r>
                      <w:proofErr w:type="spellEnd"/>
                      <w:r w:rsidRPr="00A62BAC">
                        <w:rPr>
                          <w:rFonts w:ascii="Arial" w:hAnsi="Arial" w:cs="Arial"/>
                          <w:sz w:val="22"/>
                          <w:szCs w:val="18"/>
                        </w:rPr>
                        <w:t xml:space="preserve"> </w:t>
                      </w:r>
                    </w:p>
                    <w:p w14:paraId="275A2A15" w14:textId="5E227FFE" w:rsidR="00A62BAC" w:rsidRPr="00A62BAC" w:rsidRDefault="00A62BAC">
                      <w:pPr>
                        <w:rPr>
                          <w:rFonts w:ascii="Arial" w:hAnsi="Arial" w:cs="Arial"/>
                          <w:sz w:val="22"/>
                          <w:szCs w:val="18"/>
                        </w:rPr>
                      </w:pPr>
                      <w:r w:rsidRPr="00A62BAC">
                        <w:rPr>
                          <w:rFonts w:ascii="Arial" w:hAnsi="Arial" w:cs="Arial"/>
                          <w:sz w:val="22"/>
                          <w:szCs w:val="18"/>
                        </w:rPr>
                        <w:t xml:space="preserve">in </w:t>
                      </w:r>
                      <w:proofErr w:type="spellStart"/>
                      <w:r w:rsidRPr="00A62BAC">
                        <w:rPr>
                          <w:rFonts w:ascii="Arial" w:hAnsi="Arial" w:cs="Arial"/>
                          <w:sz w:val="22"/>
                          <w:szCs w:val="18"/>
                        </w:rPr>
                        <w:t>Poland</w:t>
                      </w:r>
                      <w:proofErr w:type="spellEnd"/>
                      <w:r w:rsidRPr="00A62BAC">
                        <w:rPr>
                          <w:rFonts w:ascii="Arial" w:hAnsi="Arial" w:cs="Arial"/>
                          <w:sz w:val="22"/>
                          <w:szCs w:val="18"/>
                        </w:rPr>
                        <w:t xml:space="preserve"> in </w:t>
                      </w:r>
                      <w:proofErr w:type="spellStart"/>
                      <w:r w:rsidRPr="00A62BAC">
                        <w:rPr>
                          <w:rFonts w:ascii="Arial" w:hAnsi="Arial" w:cs="Arial"/>
                          <w:sz w:val="22"/>
                          <w:szCs w:val="18"/>
                        </w:rPr>
                        <w:t>year</w:t>
                      </w:r>
                      <w:proofErr w:type="spellEnd"/>
                      <w:r w:rsidRPr="00A62BAC">
                        <w:rPr>
                          <w:rFonts w:ascii="Arial" w:hAnsi="Arial" w:cs="Arial"/>
                          <w:sz w:val="22"/>
                          <w:szCs w:val="18"/>
                        </w:rPr>
                        <w:t xml:space="preserve"> 2023</w:t>
                      </w:r>
                    </w:p>
                  </w:txbxContent>
                </v:textbox>
              </v:shape>
            </w:pict>
          </mc:Fallback>
        </mc:AlternateContent>
      </w:r>
      <w:r w:rsidR="00A62BAC" w:rsidRPr="00996B25">
        <w:rPr>
          <w:rStyle w:val="Pogrubienie"/>
          <w:b w:val="0"/>
          <w:noProof/>
          <w:lang w:val="en-GB"/>
        </w:rPr>
        <w:drawing>
          <wp:inline distT="0" distB="0" distL="0" distR="0" wp14:anchorId="236761CF" wp14:editId="16390F3E">
            <wp:extent cx="3640459" cy="2632841"/>
            <wp:effectExtent l="0" t="0" r="0" b="0"/>
            <wp:docPr id="1914887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1707" cy="2640975"/>
                    </a:xfrm>
                    <a:prstGeom prst="rect">
                      <a:avLst/>
                    </a:prstGeom>
                    <a:noFill/>
                    <a:ln>
                      <a:noFill/>
                    </a:ln>
                  </pic:spPr>
                </pic:pic>
              </a:graphicData>
            </a:graphic>
          </wp:inline>
        </w:drawing>
      </w:r>
    </w:p>
    <w:p w14:paraId="55D9B593" w14:textId="58DF50B8" w:rsidR="004B5615" w:rsidRPr="00996B25" w:rsidRDefault="004B5615" w:rsidP="00996B25">
      <w:pPr>
        <w:pStyle w:val="Rrys"/>
        <w:suppressAutoHyphens w:val="0"/>
        <w:rPr>
          <w:lang w:val="en-GB"/>
        </w:rPr>
      </w:pPr>
      <w:r w:rsidRPr="00996B25">
        <w:rPr>
          <w:rStyle w:val="Pogrubienie"/>
          <w:bCs/>
          <w:lang w:val="en-GB"/>
        </w:rPr>
        <w:t>Fig</w:t>
      </w:r>
      <w:r w:rsidR="00A62BAC" w:rsidRPr="00996B25">
        <w:rPr>
          <w:rStyle w:val="Pogrubienie"/>
          <w:bCs/>
          <w:lang w:val="en-GB"/>
        </w:rPr>
        <w:t>.</w:t>
      </w:r>
      <w:r w:rsidRPr="00996B25">
        <w:rPr>
          <w:rStyle w:val="Pogrubienie"/>
          <w:bCs/>
          <w:lang w:val="en-GB"/>
        </w:rPr>
        <w:t xml:space="preserve"> 1.</w:t>
      </w:r>
      <w:r w:rsidRPr="00996B25">
        <w:rPr>
          <w:rStyle w:val="Pogrubienie"/>
          <w:b w:val="0"/>
          <w:lang w:val="en-GB"/>
        </w:rPr>
        <w:t xml:space="preserve"> Structure of production o</w:t>
      </w:r>
      <w:r w:rsidR="00A16C86" w:rsidRPr="00996B25">
        <w:rPr>
          <w:rStyle w:val="Pogrubienie"/>
          <w:b w:val="0"/>
          <w:lang w:val="en-GB"/>
        </w:rPr>
        <w:t xml:space="preserve">f energy in Poland in year 2023 </w:t>
      </w:r>
      <w:r w:rsidR="00E86B3B">
        <w:rPr>
          <w:rStyle w:val="Pogrubienie"/>
          <w:b w:val="0"/>
          <w:lang w:val="en-GB"/>
        </w:rPr>
        <w:t>(</w:t>
      </w:r>
      <w:proofErr w:type="spellStart"/>
      <w:r w:rsidR="00126D8E" w:rsidRPr="00996B25">
        <w:rPr>
          <w:rStyle w:val="Pogrubienie"/>
          <w:b w:val="0"/>
          <w:lang w:val="en-GB"/>
        </w:rPr>
        <w:t>Produkcja</w:t>
      </w:r>
      <w:proofErr w:type="spellEnd"/>
      <w:r w:rsidR="00126D8E" w:rsidRPr="00996B25">
        <w:rPr>
          <w:rStyle w:val="Pogrubienie"/>
          <w:b w:val="0"/>
          <w:lang w:val="en-GB"/>
        </w:rPr>
        <w:t xml:space="preserve"> </w:t>
      </w:r>
      <w:proofErr w:type="spellStart"/>
      <w:r w:rsidR="00126D8E" w:rsidRPr="00996B25">
        <w:rPr>
          <w:rStyle w:val="Pogrubienie"/>
          <w:b w:val="0"/>
          <w:lang w:val="en-GB"/>
        </w:rPr>
        <w:t>energii</w:t>
      </w:r>
      <w:proofErr w:type="spellEnd"/>
      <w:r w:rsidR="00126D8E" w:rsidRPr="00996B25">
        <w:rPr>
          <w:rStyle w:val="Pogrubienie"/>
          <w:b w:val="0"/>
          <w:lang w:val="en-GB"/>
        </w:rPr>
        <w:t xml:space="preserve"> </w:t>
      </w:r>
      <w:proofErr w:type="spellStart"/>
      <w:r w:rsidR="00126D8E" w:rsidRPr="00996B25">
        <w:rPr>
          <w:rStyle w:val="Pogrubienie"/>
          <w:b w:val="0"/>
          <w:lang w:val="en-GB"/>
        </w:rPr>
        <w:t>elektrycznej</w:t>
      </w:r>
      <w:proofErr w:type="spellEnd"/>
      <w:r w:rsidR="00126D8E" w:rsidRPr="00996B25">
        <w:rPr>
          <w:rStyle w:val="Pogrubienie"/>
          <w:b w:val="0"/>
          <w:lang w:val="en-GB"/>
        </w:rPr>
        <w:t xml:space="preserve"> w </w:t>
      </w:r>
      <w:proofErr w:type="spellStart"/>
      <w:r w:rsidR="00126D8E" w:rsidRPr="00996B25">
        <w:rPr>
          <w:rStyle w:val="Pogrubienie"/>
          <w:b w:val="0"/>
          <w:lang w:val="en-GB"/>
        </w:rPr>
        <w:t>Polsce</w:t>
      </w:r>
      <w:proofErr w:type="spellEnd"/>
      <w:r w:rsidR="00126D8E" w:rsidRPr="00996B25">
        <w:rPr>
          <w:rStyle w:val="Pogrubienie"/>
          <w:b w:val="0"/>
          <w:lang w:val="en-GB"/>
        </w:rPr>
        <w:t xml:space="preserve"> 2023</w:t>
      </w:r>
      <w:r w:rsidR="00E86B3B">
        <w:rPr>
          <w:rStyle w:val="Pogrubienie"/>
          <w:b w:val="0"/>
          <w:lang w:val="en-GB"/>
        </w:rPr>
        <w:t>)</w:t>
      </w:r>
    </w:p>
    <w:p w14:paraId="6976DFA0" w14:textId="77777777" w:rsidR="000253B9" w:rsidRDefault="000253B9" w:rsidP="00AA6708">
      <w:pPr>
        <w:spacing w:line="240" w:lineRule="auto"/>
        <w:ind w:firstLine="283"/>
        <w:jc w:val="both"/>
        <w:rPr>
          <w:rStyle w:val="Pogrubienie"/>
          <w:b w:val="0"/>
          <w:sz w:val="22"/>
          <w:lang w:val="en-GB"/>
        </w:rPr>
      </w:pPr>
    </w:p>
    <w:p w14:paraId="143BD3CB" w14:textId="352FB215" w:rsidR="00AA6708" w:rsidRPr="00996B25" w:rsidRDefault="00AA6708" w:rsidP="00AA6708">
      <w:pPr>
        <w:spacing w:line="240" w:lineRule="auto"/>
        <w:ind w:firstLine="283"/>
        <w:jc w:val="both"/>
        <w:rPr>
          <w:rStyle w:val="Pogrubienie"/>
          <w:b w:val="0"/>
          <w:sz w:val="22"/>
          <w:lang w:val="en-GB"/>
        </w:rPr>
      </w:pPr>
      <w:r w:rsidRPr="00996B25">
        <w:rPr>
          <w:rStyle w:val="Pogrubienie"/>
          <w:b w:val="0"/>
          <w:sz w:val="22"/>
          <w:lang w:val="en-GB"/>
        </w:rPr>
        <w:lastRenderedPageBreak/>
        <w:t xml:space="preserve">The use of biofuels and biomass for electricity production increased from 0.5% in 2019 to 2.9% in 2021 </w:t>
      </w:r>
      <w:r w:rsidR="00E86B3B">
        <w:rPr>
          <w:rStyle w:val="Pogrubienie"/>
          <w:b w:val="0"/>
          <w:sz w:val="22"/>
          <w:lang w:val="en-GB"/>
        </w:rPr>
        <w:t>(</w:t>
      </w:r>
      <w:proofErr w:type="spellStart"/>
      <w:r w:rsidRPr="00996B25">
        <w:rPr>
          <w:rStyle w:val="Pogrubienie"/>
          <w:b w:val="0"/>
          <w:sz w:val="22"/>
          <w:lang w:val="en-GB"/>
        </w:rPr>
        <w:t>Produkcja</w:t>
      </w:r>
      <w:proofErr w:type="spellEnd"/>
      <w:r w:rsidRPr="00996B25">
        <w:rPr>
          <w:rStyle w:val="Pogrubienie"/>
          <w:b w:val="0"/>
          <w:sz w:val="22"/>
          <w:lang w:val="en-GB"/>
        </w:rPr>
        <w:t xml:space="preserve"> </w:t>
      </w:r>
      <w:proofErr w:type="spellStart"/>
      <w:r w:rsidRPr="00996B25">
        <w:rPr>
          <w:rStyle w:val="Pogrubienie"/>
          <w:b w:val="0"/>
          <w:sz w:val="22"/>
          <w:lang w:val="en-GB"/>
        </w:rPr>
        <w:t>energii</w:t>
      </w:r>
      <w:proofErr w:type="spellEnd"/>
      <w:r w:rsidRPr="00996B25">
        <w:rPr>
          <w:rStyle w:val="Pogrubienie"/>
          <w:b w:val="0"/>
          <w:sz w:val="22"/>
          <w:lang w:val="en-GB"/>
        </w:rPr>
        <w:t xml:space="preserve"> </w:t>
      </w:r>
      <w:proofErr w:type="spellStart"/>
      <w:r w:rsidRPr="00996B25">
        <w:rPr>
          <w:rStyle w:val="Pogrubienie"/>
          <w:b w:val="0"/>
          <w:sz w:val="22"/>
          <w:lang w:val="en-GB"/>
        </w:rPr>
        <w:t>elektrycznej</w:t>
      </w:r>
      <w:proofErr w:type="spellEnd"/>
      <w:r w:rsidRPr="00996B25">
        <w:rPr>
          <w:rStyle w:val="Pogrubienie"/>
          <w:b w:val="0"/>
          <w:sz w:val="22"/>
          <w:lang w:val="en-GB"/>
        </w:rPr>
        <w:t xml:space="preserve"> w </w:t>
      </w:r>
      <w:proofErr w:type="spellStart"/>
      <w:r w:rsidRPr="00996B25">
        <w:rPr>
          <w:rStyle w:val="Pogrubienie"/>
          <w:b w:val="0"/>
          <w:sz w:val="22"/>
          <w:lang w:val="en-GB"/>
        </w:rPr>
        <w:t>Polsce</w:t>
      </w:r>
      <w:proofErr w:type="spellEnd"/>
      <w:r w:rsidRPr="00996B25">
        <w:rPr>
          <w:rStyle w:val="Pogrubienie"/>
          <w:b w:val="0"/>
          <w:sz w:val="22"/>
          <w:lang w:val="en-GB"/>
        </w:rPr>
        <w:t xml:space="preserve"> 2023</w:t>
      </w:r>
      <w:r w:rsidR="00E86B3B">
        <w:rPr>
          <w:rStyle w:val="Pogrubienie"/>
          <w:b w:val="0"/>
          <w:sz w:val="22"/>
          <w:lang w:val="en-GB"/>
        </w:rPr>
        <w:t>)</w:t>
      </w:r>
      <w:r w:rsidR="00247358">
        <w:rPr>
          <w:rStyle w:val="Pogrubienie"/>
          <w:b w:val="0"/>
          <w:sz w:val="22"/>
          <w:lang w:val="en-GB"/>
        </w:rPr>
        <w:t>,</w:t>
      </w:r>
      <w:r w:rsidRPr="00996B25">
        <w:rPr>
          <w:rStyle w:val="Pogrubienie"/>
          <w:b w:val="0"/>
          <w:sz w:val="22"/>
          <w:lang w:val="en-GB"/>
        </w:rPr>
        <w:t xml:space="preserve"> and the consumption of bioethanol and biodiesel increased from 631 thousand tons in 2014 to 794 thousand tons in 2018. </w:t>
      </w:r>
      <w:r w:rsidR="00247358">
        <w:rPr>
          <w:rStyle w:val="Pogrubienie"/>
          <w:b w:val="0"/>
          <w:sz w:val="22"/>
          <w:lang w:val="en-GB"/>
        </w:rPr>
        <w:t>As shown by the trends in Figures 2 and 3, the global biofuel market</w:t>
      </w:r>
      <w:r w:rsidRPr="00996B25">
        <w:rPr>
          <w:rStyle w:val="Pogrubienie"/>
          <w:b w:val="0"/>
          <w:sz w:val="22"/>
          <w:lang w:val="en-GB"/>
        </w:rPr>
        <w:t xml:space="preserve"> is expected to increase in value from nearly 121 billion USD in 2020 to nearly 202 billion USD in 2030</w:t>
      </w:r>
      <w:r w:rsidR="00247358">
        <w:rPr>
          <w:rStyle w:val="Pogrubienie"/>
          <w:b w:val="0"/>
          <w:sz w:val="22"/>
          <w:lang w:val="en-GB"/>
        </w:rPr>
        <w:t>. G</w:t>
      </w:r>
      <w:r w:rsidRPr="00996B25">
        <w:rPr>
          <w:rStyle w:val="Pogrubienie"/>
          <w:b w:val="0"/>
          <w:sz w:val="22"/>
          <w:lang w:val="en-GB"/>
        </w:rPr>
        <w:t xml:space="preserve">lobal biomass production is expected to increase in value from over 127 billion USD in 2021 to over 210 billion USD in 2030 </w:t>
      </w:r>
      <w:r w:rsidR="00E86B3B">
        <w:rPr>
          <w:rStyle w:val="Pogrubienie"/>
          <w:b w:val="0"/>
          <w:sz w:val="22"/>
          <w:lang w:val="en-GB"/>
        </w:rPr>
        <w:t>(</w:t>
      </w:r>
      <w:r w:rsidRPr="00996B25">
        <w:rPr>
          <w:rStyle w:val="Pogrubienie"/>
          <w:b w:val="0"/>
          <w:sz w:val="22"/>
          <w:lang w:val="en-GB"/>
        </w:rPr>
        <w:t>Biofuels Market Size 2023, Biomass Power Market 2023</w:t>
      </w:r>
      <w:r w:rsidR="00E86B3B">
        <w:rPr>
          <w:rStyle w:val="Pogrubienie"/>
          <w:b w:val="0"/>
          <w:sz w:val="22"/>
          <w:lang w:val="en-GB"/>
        </w:rPr>
        <w:t>).</w:t>
      </w:r>
      <w:r w:rsidRPr="00996B25">
        <w:rPr>
          <w:rStyle w:val="Pogrubienie"/>
          <w:b w:val="0"/>
          <w:sz w:val="22"/>
          <w:lang w:val="en-GB"/>
        </w:rPr>
        <w:t xml:space="preserve"> Th</w:t>
      </w:r>
      <w:r w:rsidR="00247358">
        <w:rPr>
          <w:rStyle w:val="Pogrubienie"/>
          <w:b w:val="0"/>
          <w:sz w:val="22"/>
          <w:lang w:val="en-GB"/>
        </w:rPr>
        <w:t>e aim of this article</w:t>
      </w:r>
      <w:r w:rsidRPr="00996B25">
        <w:rPr>
          <w:rStyle w:val="Pogrubienie"/>
          <w:b w:val="0"/>
          <w:sz w:val="22"/>
          <w:lang w:val="en-GB"/>
        </w:rPr>
        <w:t xml:space="preserve"> is to present various methods of biomass conversion and their possible usage.</w:t>
      </w:r>
    </w:p>
    <w:p w14:paraId="20E928B4" w14:textId="6FAF82EB" w:rsidR="00F106BF" w:rsidRPr="00996B25" w:rsidRDefault="00F106BF" w:rsidP="00996B25">
      <w:pPr>
        <w:spacing w:line="240" w:lineRule="auto"/>
        <w:ind w:firstLine="283"/>
        <w:jc w:val="both"/>
        <w:rPr>
          <w:lang w:val="en-GB"/>
        </w:rPr>
      </w:pPr>
    </w:p>
    <w:p w14:paraId="2BCB5131" w14:textId="2ACBDCA0" w:rsidR="004B5615" w:rsidRPr="00996B25" w:rsidRDefault="00AA6708" w:rsidP="00996B25">
      <w:pPr>
        <w:spacing w:line="240" w:lineRule="auto"/>
        <w:jc w:val="center"/>
        <w:rPr>
          <w:lang w:val="en-GB"/>
        </w:rPr>
      </w:pPr>
      <w:r w:rsidRPr="00996B25">
        <w:rPr>
          <w:rStyle w:val="Nagwek3Znak"/>
          <w:b w:val="0"/>
          <w:noProof/>
          <w:sz w:val="20"/>
          <w:lang w:val="en-GB"/>
        </w:rPr>
        <mc:AlternateContent>
          <mc:Choice Requires="wps">
            <w:drawing>
              <wp:anchor distT="45720" distB="45720" distL="114300" distR="114300" simplePos="0" relativeHeight="251661312" behindDoc="0" locked="0" layoutInCell="1" allowOverlap="1" wp14:anchorId="53B2C941" wp14:editId="32DEEE38">
                <wp:simplePos x="0" y="0"/>
                <wp:positionH relativeFrom="column">
                  <wp:posOffset>1052251</wp:posOffset>
                </wp:positionH>
                <wp:positionV relativeFrom="paragraph">
                  <wp:posOffset>146050</wp:posOffset>
                </wp:positionV>
                <wp:extent cx="2311244" cy="1404620"/>
                <wp:effectExtent l="0" t="0" r="0" b="5715"/>
                <wp:wrapNone/>
                <wp:docPr id="12941333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244" cy="1404620"/>
                        </a:xfrm>
                        <a:prstGeom prst="rect">
                          <a:avLst/>
                        </a:prstGeom>
                        <a:solidFill>
                          <a:srgbClr val="FFFFFF"/>
                        </a:solidFill>
                        <a:ln w="9525">
                          <a:noFill/>
                          <a:miter lim="800000"/>
                          <a:headEnd/>
                          <a:tailEnd/>
                        </a:ln>
                      </wps:spPr>
                      <wps:txbx>
                        <w:txbxContent>
                          <w:p w14:paraId="72FDAA62" w14:textId="4924F45D" w:rsidR="00E21D7A" w:rsidRPr="00A62BAC" w:rsidRDefault="00E21D7A" w:rsidP="00E21D7A">
                            <w:pPr>
                              <w:rPr>
                                <w:rFonts w:ascii="Arial" w:hAnsi="Arial" w:cs="Arial"/>
                                <w:sz w:val="22"/>
                                <w:szCs w:val="18"/>
                              </w:rPr>
                            </w:pPr>
                            <w:proofErr w:type="spellStart"/>
                            <w:r>
                              <w:rPr>
                                <w:rFonts w:ascii="Arial" w:hAnsi="Arial" w:cs="Arial"/>
                                <w:sz w:val="22"/>
                                <w:szCs w:val="18"/>
                              </w:rPr>
                              <w:t>Biofuels</w:t>
                            </w:r>
                            <w:proofErr w:type="spellEnd"/>
                            <w:r>
                              <w:rPr>
                                <w:rFonts w:ascii="Arial" w:hAnsi="Arial" w:cs="Arial"/>
                                <w:sz w:val="22"/>
                                <w:szCs w:val="18"/>
                              </w:rPr>
                              <w:t xml:space="preserve"> </w:t>
                            </w:r>
                            <w:proofErr w:type="spellStart"/>
                            <w:r>
                              <w:rPr>
                                <w:rFonts w:ascii="Arial" w:hAnsi="Arial" w:cs="Arial"/>
                                <w:sz w:val="22"/>
                                <w:szCs w:val="18"/>
                              </w:rPr>
                              <w:t>market</w:t>
                            </w:r>
                            <w:proofErr w:type="spellEnd"/>
                            <w:r>
                              <w:rPr>
                                <w:rFonts w:ascii="Arial" w:hAnsi="Arial" w:cs="Arial"/>
                                <w:sz w:val="22"/>
                                <w:szCs w:val="18"/>
                              </w:rPr>
                              <w:t xml:space="preserve"> </w:t>
                            </w:r>
                            <w:proofErr w:type="spellStart"/>
                            <w:r>
                              <w:rPr>
                                <w:rFonts w:ascii="Arial" w:hAnsi="Arial" w:cs="Arial"/>
                                <w:sz w:val="22"/>
                                <w:szCs w:val="18"/>
                              </w:rPr>
                              <w:t>size</w:t>
                            </w:r>
                            <w:proofErr w:type="spellEnd"/>
                            <w:r>
                              <w:rPr>
                                <w:rFonts w:ascii="Arial" w:hAnsi="Arial" w:cs="Arial"/>
                                <w:sz w:val="22"/>
                                <w:szCs w:val="18"/>
                              </w:rPr>
                              <w:t xml:space="preserve"> 2020 </w:t>
                            </w:r>
                            <w:proofErr w:type="spellStart"/>
                            <w:r>
                              <w:rPr>
                                <w:rFonts w:ascii="Arial" w:hAnsi="Arial" w:cs="Arial"/>
                                <w:sz w:val="22"/>
                                <w:szCs w:val="18"/>
                              </w:rPr>
                              <w:t>to</w:t>
                            </w:r>
                            <w:proofErr w:type="spellEnd"/>
                            <w:r>
                              <w:rPr>
                                <w:rFonts w:ascii="Arial" w:hAnsi="Arial" w:cs="Arial"/>
                                <w:sz w:val="22"/>
                                <w:szCs w:val="18"/>
                              </w:rPr>
                              <w:t xml:space="preserve"> 2030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2C941" id="_x0000_s1027" type="#_x0000_t202" style="position:absolute;left:0;text-align:left;margin-left:82.85pt;margin-top:11.5pt;width:1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" stroked="f">
                <v:textbox style="mso-fit-shape-to-text:t">
                  <w:txbxContent>
                    <w:p w14:paraId="72FDAA62" w14:textId="4924F45D" w:rsidR="00E21D7A" w:rsidRPr="00A62BAC" w:rsidRDefault="00E21D7A" w:rsidP="00E21D7A">
                      <w:pPr>
                        <w:rPr>
                          <w:rFonts w:ascii="Arial" w:hAnsi="Arial" w:cs="Arial"/>
                          <w:sz w:val="22"/>
                          <w:szCs w:val="18"/>
                        </w:rPr>
                      </w:pPr>
                      <w:proofErr w:type="spellStart"/>
                      <w:r>
                        <w:rPr>
                          <w:rFonts w:ascii="Arial" w:hAnsi="Arial" w:cs="Arial"/>
                          <w:sz w:val="22"/>
                          <w:szCs w:val="18"/>
                        </w:rPr>
                        <w:t>Biofuels</w:t>
                      </w:r>
                      <w:proofErr w:type="spellEnd"/>
                      <w:r>
                        <w:rPr>
                          <w:rFonts w:ascii="Arial" w:hAnsi="Arial" w:cs="Arial"/>
                          <w:sz w:val="22"/>
                          <w:szCs w:val="18"/>
                        </w:rPr>
                        <w:t xml:space="preserve"> </w:t>
                      </w:r>
                      <w:proofErr w:type="spellStart"/>
                      <w:r>
                        <w:rPr>
                          <w:rFonts w:ascii="Arial" w:hAnsi="Arial" w:cs="Arial"/>
                          <w:sz w:val="22"/>
                          <w:szCs w:val="18"/>
                        </w:rPr>
                        <w:t>market</w:t>
                      </w:r>
                      <w:proofErr w:type="spellEnd"/>
                      <w:r>
                        <w:rPr>
                          <w:rFonts w:ascii="Arial" w:hAnsi="Arial" w:cs="Arial"/>
                          <w:sz w:val="22"/>
                          <w:szCs w:val="18"/>
                        </w:rPr>
                        <w:t xml:space="preserve"> </w:t>
                      </w:r>
                      <w:proofErr w:type="spellStart"/>
                      <w:r>
                        <w:rPr>
                          <w:rFonts w:ascii="Arial" w:hAnsi="Arial" w:cs="Arial"/>
                          <w:sz w:val="22"/>
                          <w:szCs w:val="18"/>
                        </w:rPr>
                        <w:t>size</w:t>
                      </w:r>
                      <w:proofErr w:type="spellEnd"/>
                      <w:r>
                        <w:rPr>
                          <w:rFonts w:ascii="Arial" w:hAnsi="Arial" w:cs="Arial"/>
                          <w:sz w:val="22"/>
                          <w:szCs w:val="18"/>
                        </w:rPr>
                        <w:t xml:space="preserve"> 2020 </w:t>
                      </w:r>
                      <w:proofErr w:type="spellStart"/>
                      <w:r>
                        <w:rPr>
                          <w:rFonts w:ascii="Arial" w:hAnsi="Arial" w:cs="Arial"/>
                          <w:sz w:val="22"/>
                          <w:szCs w:val="18"/>
                        </w:rPr>
                        <w:t>to</w:t>
                      </w:r>
                      <w:proofErr w:type="spellEnd"/>
                      <w:r>
                        <w:rPr>
                          <w:rFonts w:ascii="Arial" w:hAnsi="Arial" w:cs="Arial"/>
                          <w:sz w:val="22"/>
                          <w:szCs w:val="18"/>
                        </w:rPr>
                        <w:t xml:space="preserve"> 2030</w:t>
                      </w:r>
                    </w:p>
                  </w:txbxContent>
                </v:textbox>
              </v:shape>
            </w:pict>
          </mc:Fallback>
        </mc:AlternateContent>
      </w:r>
      <w:r w:rsidR="00E21D7A" w:rsidRPr="00996B25">
        <w:rPr>
          <w:rStyle w:val="Nagwek3Znak"/>
          <w:b w:val="0"/>
          <w:noProof/>
          <w:sz w:val="20"/>
          <w:lang w:val="en-GB"/>
        </w:rPr>
        <mc:AlternateContent>
          <mc:Choice Requires="wps">
            <w:drawing>
              <wp:anchor distT="45720" distB="45720" distL="114300" distR="114300" simplePos="0" relativeHeight="251665408" behindDoc="0" locked="0" layoutInCell="1" allowOverlap="1" wp14:anchorId="2FE3F76C" wp14:editId="64A22EF7">
                <wp:simplePos x="0" y="0"/>
                <wp:positionH relativeFrom="column">
                  <wp:posOffset>2644635</wp:posOffset>
                </wp:positionH>
                <wp:positionV relativeFrom="paragraph">
                  <wp:posOffset>2111967</wp:posOffset>
                </wp:positionV>
                <wp:extent cx="617080" cy="1404620"/>
                <wp:effectExtent l="0" t="0" r="0" b="5715"/>
                <wp:wrapNone/>
                <wp:docPr id="6399673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80" cy="1404620"/>
                        </a:xfrm>
                        <a:prstGeom prst="rect">
                          <a:avLst/>
                        </a:prstGeom>
                        <a:solidFill>
                          <a:srgbClr val="FFFFFF"/>
                        </a:solidFill>
                        <a:ln w="9525">
                          <a:noFill/>
                          <a:miter lim="800000"/>
                          <a:headEnd/>
                          <a:tailEnd/>
                        </a:ln>
                      </wps:spPr>
                      <wps:txbx>
                        <w:txbxContent>
                          <w:p w14:paraId="2786E818" w14:textId="1749A6C4" w:rsidR="00E21D7A" w:rsidRPr="00A62BAC" w:rsidRDefault="00E21D7A" w:rsidP="00E21D7A">
                            <w:pPr>
                              <w:rPr>
                                <w:rFonts w:ascii="Arial" w:hAnsi="Arial" w:cs="Arial"/>
                                <w:sz w:val="22"/>
                                <w:szCs w:val="18"/>
                              </w:rPr>
                            </w:pPr>
                            <w:proofErr w:type="spellStart"/>
                            <w:r>
                              <w:rPr>
                                <w:rFonts w:ascii="Arial" w:hAnsi="Arial" w:cs="Arial"/>
                                <w:sz w:val="22"/>
                                <w:szCs w:val="18"/>
                              </w:rPr>
                              <w:t>Years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3F76C" id="_x0000_s1028" type="#_x0000_t202" style="position:absolute;left:0;text-align:left;margin-left:208.25pt;margin-top:166.3pt;width:48.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xjEQIAAP0DAAAOAAAAZHJzL2Uyb0RvYy54bWysk92O2yAQhe8r9R0Q943tKMlmrTirbbap&#10;Km1/pG0fAGMco2KGDiR2+vQdSDYbbe+q+gKBBw4z3xxWd2Nv2EGh12ArXkxyzpSV0Gi7q/iP79t3&#10;S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" stroked="f">
                <v:textbox style="mso-fit-shape-to-text:t">
                  <w:txbxContent>
                    <w:p w14:paraId="2786E818" w14:textId="1749A6C4" w:rsidR="00E21D7A" w:rsidRPr="00A62BAC" w:rsidRDefault="00E21D7A" w:rsidP="00E21D7A">
                      <w:pPr>
                        <w:rPr>
                          <w:rFonts w:ascii="Arial" w:hAnsi="Arial" w:cs="Arial"/>
                          <w:sz w:val="22"/>
                          <w:szCs w:val="18"/>
                        </w:rPr>
                      </w:pPr>
                      <w:proofErr w:type="spellStart"/>
                      <w:r>
                        <w:rPr>
                          <w:rFonts w:ascii="Arial" w:hAnsi="Arial" w:cs="Arial"/>
                          <w:sz w:val="22"/>
                          <w:szCs w:val="18"/>
                        </w:rPr>
                        <w:t>Years</w:t>
                      </w:r>
                      <w:proofErr w:type="spellEnd"/>
                    </w:p>
                  </w:txbxContent>
                </v:textbox>
              </v:shape>
            </w:pict>
          </mc:Fallback>
        </mc:AlternateContent>
      </w:r>
      <w:r w:rsidR="00E21D7A" w:rsidRPr="00996B25">
        <w:rPr>
          <w:rStyle w:val="Nagwek3Znak"/>
          <w:b w:val="0"/>
          <w:noProof/>
          <w:sz w:val="20"/>
          <w:lang w:val="en-GB"/>
        </w:rPr>
        <mc:AlternateContent>
          <mc:Choice Requires="wps">
            <w:drawing>
              <wp:anchor distT="45720" distB="45720" distL="114300" distR="114300" simplePos="0" relativeHeight="251663360" behindDoc="0" locked="0" layoutInCell="1" allowOverlap="1" wp14:anchorId="5BD44BE2" wp14:editId="4F70C072">
                <wp:simplePos x="0" y="0"/>
                <wp:positionH relativeFrom="column">
                  <wp:posOffset>37874</wp:posOffset>
                </wp:positionH>
                <wp:positionV relativeFrom="paragraph">
                  <wp:posOffset>190024</wp:posOffset>
                </wp:positionV>
                <wp:extent cx="1228550" cy="1404620"/>
                <wp:effectExtent l="7302" t="0" r="0" b="0"/>
                <wp:wrapNone/>
                <wp:docPr id="43045078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28550" cy="1404620"/>
                        </a:xfrm>
                        <a:prstGeom prst="rect">
                          <a:avLst/>
                        </a:prstGeom>
                        <a:solidFill>
                          <a:srgbClr val="FFFFFF"/>
                        </a:solidFill>
                        <a:ln w="9525">
                          <a:noFill/>
                          <a:miter lim="800000"/>
                          <a:headEnd/>
                          <a:tailEnd/>
                        </a:ln>
                      </wps:spPr>
                      <wps:txbx>
                        <w:txbxContent>
                          <w:p w14:paraId="17A43C49" w14:textId="0E44443C" w:rsidR="00E21D7A" w:rsidRPr="00A62BAC" w:rsidRDefault="00E21D7A" w:rsidP="00E21D7A">
                            <w:pPr>
                              <w:rPr>
                                <w:rFonts w:ascii="Arial" w:hAnsi="Arial" w:cs="Arial"/>
                                <w:sz w:val="22"/>
                                <w:szCs w:val="18"/>
                              </w:rPr>
                            </w:pPr>
                            <w:proofErr w:type="spellStart"/>
                            <w:r>
                              <w:rPr>
                                <w:rFonts w:ascii="Arial" w:hAnsi="Arial" w:cs="Arial"/>
                                <w:sz w:val="22"/>
                                <w:szCs w:val="18"/>
                              </w:rPr>
                              <w:t>Billions</w:t>
                            </w:r>
                            <w:proofErr w:type="spellEnd"/>
                            <w:r>
                              <w:rPr>
                                <w:rFonts w:ascii="Arial" w:hAnsi="Arial" w:cs="Arial"/>
                                <w:sz w:val="22"/>
                                <w:szCs w:val="18"/>
                              </w:rPr>
                              <w:t xml:space="preserve"> </w:t>
                            </w:r>
                            <w:proofErr w:type="spellStart"/>
                            <w:r>
                              <w:rPr>
                                <w:rFonts w:ascii="Arial" w:hAnsi="Arial" w:cs="Arial"/>
                                <w:sz w:val="22"/>
                                <w:szCs w:val="18"/>
                              </w:rPr>
                              <w:t>of</w:t>
                            </w:r>
                            <w:proofErr w:type="spellEnd"/>
                            <w:r>
                              <w:rPr>
                                <w:rFonts w:ascii="Arial" w:hAnsi="Arial" w:cs="Arial"/>
                                <w:sz w:val="22"/>
                                <w:szCs w:val="18"/>
                              </w:rPr>
                              <w:t xml:space="preserve"> USD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D44BE2" id="_x0000_s1029" type="#_x0000_t202" style="position:absolute;left:0;text-align:left;margin-left:3pt;margin-top:14.95pt;width:96.7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" stroked="f">
                <v:textbox style="mso-fit-shape-to-text:t">
                  <w:txbxContent>
                    <w:p w14:paraId="17A43C49" w14:textId="0E44443C" w:rsidR="00E21D7A" w:rsidRPr="00A62BAC" w:rsidRDefault="00E21D7A" w:rsidP="00E21D7A">
                      <w:pPr>
                        <w:rPr>
                          <w:rFonts w:ascii="Arial" w:hAnsi="Arial" w:cs="Arial"/>
                          <w:sz w:val="22"/>
                          <w:szCs w:val="18"/>
                        </w:rPr>
                      </w:pPr>
                      <w:proofErr w:type="spellStart"/>
                      <w:r>
                        <w:rPr>
                          <w:rFonts w:ascii="Arial" w:hAnsi="Arial" w:cs="Arial"/>
                          <w:sz w:val="22"/>
                          <w:szCs w:val="18"/>
                        </w:rPr>
                        <w:t>Billions</w:t>
                      </w:r>
                      <w:proofErr w:type="spellEnd"/>
                      <w:r>
                        <w:rPr>
                          <w:rFonts w:ascii="Arial" w:hAnsi="Arial" w:cs="Arial"/>
                          <w:sz w:val="22"/>
                          <w:szCs w:val="18"/>
                        </w:rPr>
                        <w:t xml:space="preserve"> </w:t>
                      </w:r>
                      <w:proofErr w:type="spellStart"/>
                      <w:r>
                        <w:rPr>
                          <w:rFonts w:ascii="Arial" w:hAnsi="Arial" w:cs="Arial"/>
                          <w:sz w:val="22"/>
                          <w:szCs w:val="18"/>
                        </w:rPr>
                        <w:t>of</w:t>
                      </w:r>
                      <w:proofErr w:type="spellEnd"/>
                      <w:r>
                        <w:rPr>
                          <w:rFonts w:ascii="Arial" w:hAnsi="Arial" w:cs="Arial"/>
                          <w:sz w:val="22"/>
                          <w:szCs w:val="18"/>
                        </w:rPr>
                        <w:t xml:space="preserve"> USD</w:t>
                      </w:r>
                    </w:p>
                  </w:txbxContent>
                </v:textbox>
              </v:shape>
            </w:pict>
          </mc:Fallback>
        </mc:AlternateContent>
      </w:r>
      <w:r w:rsidR="00E21D7A" w:rsidRPr="00996B25">
        <w:rPr>
          <w:noProof/>
          <w:lang w:val="en-GB"/>
        </w:rPr>
        <w:drawing>
          <wp:inline distT="0" distB="0" distL="0" distR="0" wp14:anchorId="12EBFE7F" wp14:editId="39588986">
            <wp:extent cx="5694045" cy="2127885"/>
            <wp:effectExtent l="0" t="0" r="1905" b="5715"/>
            <wp:docPr id="39798751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4045" cy="2127885"/>
                    </a:xfrm>
                    <a:prstGeom prst="rect">
                      <a:avLst/>
                    </a:prstGeom>
                    <a:noFill/>
                  </pic:spPr>
                </pic:pic>
              </a:graphicData>
            </a:graphic>
          </wp:inline>
        </w:drawing>
      </w:r>
    </w:p>
    <w:p w14:paraId="0AE20AD9" w14:textId="6C0C331F" w:rsidR="00E21D7A" w:rsidRPr="00996B25" w:rsidRDefault="00E21D7A" w:rsidP="00996B25">
      <w:pPr>
        <w:spacing w:line="240" w:lineRule="auto"/>
        <w:jc w:val="center"/>
        <w:rPr>
          <w:lang w:val="en-GB"/>
        </w:rPr>
      </w:pPr>
    </w:p>
    <w:p w14:paraId="31F68970" w14:textId="146D1F3F" w:rsidR="004B5615" w:rsidRPr="00F157ED" w:rsidRDefault="004B5615" w:rsidP="00F157ED">
      <w:pPr>
        <w:pStyle w:val="Rrys"/>
      </w:pPr>
      <w:r w:rsidRPr="00F157ED">
        <w:rPr>
          <w:rStyle w:val="Pogrubienie"/>
          <w:bCs/>
        </w:rPr>
        <w:t>Fig. 2.</w:t>
      </w:r>
      <w:r w:rsidRPr="00F157ED">
        <w:rPr>
          <w:rStyle w:val="Pogrubienie"/>
          <w:b w:val="0"/>
        </w:rPr>
        <w:t xml:space="preserve"> </w:t>
      </w:r>
      <w:proofErr w:type="spellStart"/>
      <w:r w:rsidRPr="00F157ED">
        <w:rPr>
          <w:rStyle w:val="Pogrubienie"/>
          <w:b w:val="0"/>
        </w:rPr>
        <w:t>Size</w:t>
      </w:r>
      <w:proofErr w:type="spellEnd"/>
      <w:r w:rsidRPr="00F157ED">
        <w:rPr>
          <w:rStyle w:val="Pogrubienie"/>
          <w:b w:val="0"/>
        </w:rPr>
        <w:t xml:space="preserve"> of </w:t>
      </w:r>
      <w:proofErr w:type="spellStart"/>
      <w:r w:rsidRPr="00F157ED">
        <w:rPr>
          <w:rStyle w:val="Pogrubienie"/>
          <w:b w:val="0"/>
        </w:rPr>
        <w:t>Biofuels</w:t>
      </w:r>
      <w:proofErr w:type="spellEnd"/>
      <w:r w:rsidRPr="00F157ED">
        <w:rPr>
          <w:rStyle w:val="Pogrubienie"/>
          <w:b w:val="0"/>
        </w:rPr>
        <w:t xml:space="preserve"> market </w:t>
      </w:r>
      <w:proofErr w:type="spellStart"/>
      <w:r w:rsidRPr="00F157ED">
        <w:rPr>
          <w:rStyle w:val="Pogrubienie"/>
          <w:b w:val="0"/>
        </w:rPr>
        <w:t>trends</w:t>
      </w:r>
      <w:proofErr w:type="spellEnd"/>
      <w:r w:rsidRPr="00F157ED">
        <w:rPr>
          <w:rStyle w:val="Pogrubienie"/>
          <w:b w:val="0"/>
        </w:rPr>
        <w:t xml:space="preserve"> </w:t>
      </w:r>
      <w:r w:rsidR="00E86B3B" w:rsidRPr="00F157ED">
        <w:rPr>
          <w:rStyle w:val="Pogrubienie"/>
          <w:b w:val="0"/>
        </w:rPr>
        <w:t>(</w:t>
      </w:r>
      <w:proofErr w:type="spellStart"/>
      <w:r w:rsidR="008C17A4" w:rsidRPr="00F157ED">
        <w:rPr>
          <w:rStyle w:val="Pogrubienie"/>
          <w:b w:val="0"/>
        </w:rPr>
        <w:t>Biofuels</w:t>
      </w:r>
      <w:proofErr w:type="spellEnd"/>
      <w:r w:rsidR="008C17A4" w:rsidRPr="00F157ED">
        <w:rPr>
          <w:rStyle w:val="Pogrubienie"/>
          <w:b w:val="0"/>
        </w:rPr>
        <w:t xml:space="preserve"> Market </w:t>
      </w:r>
      <w:proofErr w:type="spellStart"/>
      <w:r w:rsidR="008C17A4" w:rsidRPr="00F157ED">
        <w:rPr>
          <w:rStyle w:val="Pogrubienie"/>
          <w:b w:val="0"/>
        </w:rPr>
        <w:t>Size</w:t>
      </w:r>
      <w:proofErr w:type="spellEnd"/>
      <w:r w:rsidR="008C17A4" w:rsidRPr="00F157ED">
        <w:rPr>
          <w:rStyle w:val="Pogrubienie"/>
          <w:b w:val="0"/>
        </w:rPr>
        <w:t xml:space="preserve"> 2023, </w:t>
      </w:r>
      <w:proofErr w:type="spellStart"/>
      <w:r w:rsidR="008C17A4" w:rsidRPr="00F157ED">
        <w:rPr>
          <w:rStyle w:val="Pogrubienie"/>
          <w:b w:val="0"/>
        </w:rPr>
        <w:t>Biomass</w:t>
      </w:r>
      <w:proofErr w:type="spellEnd"/>
      <w:r w:rsidR="008C17A4" w:rsidRPr="00F157ED">
        <w:rPr>
          <w:rStyle w:val="Pogrubienie"/>
          <w:b w:val="0"/>
        </w:rPr>
        <w:t xml:space="preserve"> Power Market 2023</w:t>
      </w:r>
      <w:r w:rsidR="00E86B3B" w:rsidRPr="00F157ED">
        <w:rPr>
          <w:rStyle w:val="Pogrubienie"/>
          <w:b w:val="0"/>
        </w:rPr>
        <w:t>)</w:t>
      </w:r>
    </w:p>
    <w:p w14:paraId="5DB055E2" w14:textId="52384FB4" w:rsidR="00E21D7A" w:rsidRPr="00996B25" w:rsidRDefault="00E21D7A" w:rsidP="00996B25">
      <w:pPr>
        <w:spacing w:line="240" w:lineRule="auto"/>
        <w:jc w:val="both"/>
        <w:rPr>
          <w:lang w:val="en-GB"/>
        </w:rPr>
      </w:pPr>
    </w:p>
    <w:p w14:paraId="1207A345" w14:textId="555689D3" w:rsidR="00E21D7A" w:rsidRPr="00996B25" w:rsidRDefault="00AA6708" w:rsidP="00996B25">
      <w:pPr>
        <w:jc w:val="center"/>
        <w:rPr>
          <w:lang w:val="en-GB"/>
        </w:rPr>
      </w:pPr>
      <w:r w:rsidRPr="00996B25">
        <w:rPr>
          <w:rStyle w:val="Nagwek3Znak"/>
          <w:b w:val="0"/>
          <w:noProof/>
          <w:sz w:val="20"/>
          <w:lang w:val="en-GB"/>
        </w:rPr>
        <mc:AlternateContent>
          <mc:Choice Requires="wps">
            <w:drawing>
              <wp:anchor distT="45720" distB="45720" distL="114300" distR="114300" simplePos="0" relativeHeight="251671552" behindDoc="0" locked="0" layoutInCell="1" allowOverlap="1" wp14:anchorId="5FDAD4F2" wp14:editId="5F6D5CA3">
                <wp:simplePos x="0" y="0"/>
                <wp:positionH relativeFrom="column">
                  <wp:posOffset>1239225</wp:posOffset>
                </wp:positionH>
                <wp:positionV relativeFrom="paragraph">
                  <wp:posOffset>264160</wp:posOffset>
                </wp:positionV>
                <wp:extent cx="2821305" cy="1404620"/>
                <wp:effectExtent l="0" t="0" r="0" b="5715"/>
                <wp:wrapNone/>
                <wp:docPr id="5779649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404620"/>
                        </a:xfrm>
                        <a:prstGeom prst="rect">
                          <a:avLst/>
                        </a:prstGeom>
                        <a:solidFill>
                          <a:srgbClr val="FFFFFF"/>
                        </a:solidFill>
                        <a:ln w="9525">
                          <a:noFill/>
                          <a:miter lim="800000"/>
                          <a:headEnd/>
                          <a:tailEnd/>
                        </a:ln>
                      </wps:spPr>
                      <wps:txbx>
                        <w:txbxContent>
                          <w:p w14:paraId="6877DF3B" w14:textId="12068B69" w:rsidR="00E21D7A" w:rsidRPr="00A62BAC" w:rsidRDefault="00E21D7A" w:rsidP="00E21D7A">
                            <w:pPr>
                              <w:rPr>
                                <w:rFonts w:ascii="Arial" w:hAnsi="Arial" w:cs="Arial"/>
                                <w:sz w:val="22"/>
                                <w:szCs w:val="18"/>
                              </w:rPr>
                            </w:pPr>
                            <w:proofErr w:type="spellStart"/>
                            <w:r>
                              <w:rPr>
                                <w:rFonts w:ascii="Arial" w:hAnsi="Arial" w:cs="Arial"/>
                                <w:sz w:val="22"/>
                                <w:szCs w:val="18"/>
                              </w:rPr>
                              <w:t>Biomass</w:t>
                            </w:r>
                            <w:proofErr w:type="spellEnd"/>
                            <w:r>
                              <w:rPr>
                                <w:rFonts w:ascii="Arial" w:hAnsi="Arial" w:cs="Arial"/>
                                <w:sz w:val="22"/>
                                <w:szCs w:val="18"/>
                              </w:rPr>
                              <w:t xml:space="preserve"> power </w:t>
                            </w:r>
                            <w:proofErr w:type="spellStart"/>
                            <w:r>
                              <w:rPr>
                                <w:rFonts w:ascii="Arial" w:hAnsi="Arial" w:cs="Arial"/>
                                <w:sz w:val="22"/>
                                <w:szCs w:val="18"/>
                              </w:rPr>
                              <w:t>market</w:t>
                            </w:r>
                            <w:proofErr w:type="spellEnd"/>
                            <w:r>
                              <w:rPr>
                                <w:rFonts w:ascii="Arial" w:hAnsi="Arial" w:cs="Arial"/>
                                <w:sz w:val="22"/>
                                <w:szCs w:val="18"/>
                              </w:rPr>
                              <w:t xml:space="preserve"> </w:t>
                            </w:r>
                            <w:proofErr w:type="spellStart"/>
                            <w:r>
                              <w:rPr>
                                <w:rFonts w:ascii="Arial" w:hAnsi="Arial" w:cs="Arial"/>
                                <w:sz w:val="22"/>
                                <w:szCs w:val="18"/>
                              </w:rPr>
                              <w:t>size</w:t>
                            </w:r>
                            <w:proofErr w:type="spellEnd"/>
                            <w:r>
                              <w:rPr>
                                <w:rFonts w:ascii="Arial" w:hAnsi="Arial" w:cs="Arial"/>
                                <w:sz w:val="22"/>
                                <w:szCs w:val="18"/>
                              </w:rPr>
                              <w:t xml:space="preserve"> 2021 </w:t>
                            </w:r>
                            <w:proofErr w:type="spellStart"/>
                            <w:r>
                              <w:rPr>
                                <w:rFonts w:ascii="Arial" w:hAnsi="Arial" w:cs="Arial"/>
                                <w:sz w:val="22"/>
                                <w:szCs w:val="18"/>
                              </w:rPr>
                              <w:t>to</w:t>
                            </w:r>
                            <w:proofErr w:type="spellEnd"/>
                            <w:r>
                              <w:rPr>
                                <w:rFonts w:ascii="Arial" w:hAnsi="Arial" w:cs="Arial"/>
                                <w:sz w:val="22"/>
                                <w:szCs w:val="18"/>
                              </w:rPr>
                              <w:t xml:space="preserve"> 2030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AD4F2" id="_x0000_s1030" type="#_x0000_t202" style="position:absolute;left:0;text-align:left;margin-left:97.6pt;margin-top:20.8pt;width:222.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" stroked="f">
                <v:textbox style="mso-fit-shape-to-text:t">
                  <w:txbxContent>
                    <w:p w14:paraId="6877DF3B" w14:textId="12068B69" w:rsidR="00E21D7A" w:rsidRPr="00A62BAC" w:rsidRDefault="00E21D7A" w:rsidP="00E21D7A">
                      <w:pPr>
                        <w:rPr>
                          <w:rFonts w:ascii="Arial" w:hAnsi="Arial" w:cs="Arial"/>
                          <w:sz w:val="22"/>
                          <w:szCs w:val="18"/>
                        </w:rPr>
                      </w:pPr>
                      <w:proofErr w:type="spellStart"/>
                      <w:r>
                        <w:rPr>
                          <w:rFonts w:ascii="Arial" w:hAnsi="Arial" w:cs="Arial"/>
                          <w:sz w:val="22"/>
                          <w:szCs w:val="18"/>
                        </w:rPr>
                        <w:t>Biomass</w:t>
                      </w:r>
                      <w:proofErr w:type="spellEnd"/>
                      <w:r>
                        <w:rPr>
                          <w:rFonts w:ascii="Arial" w:hAnsi="Arial" w:cs="Arial"/>
                          <w:sz w:val="22"/>
                          <w:szCs w:val="18"/>
                        </w:rPr>
                        <w:t xml:space="preserve"> power </w:t>
                      </w:r>
                      <w:proofErr w:type="spellStart"/>
                      <w:r>
                        <w:rPr>
                          <w:rFonts w:ascii="Arial" w:hAnsi="Arial" w:cs="Arial"/>
                          <w:sz w:val="22"/>
                          <w:szCs w:val="18"/>
                        </w:rPr>
                        <w:t>market</w:t>
                      </w:r>
                      <w:proofErr w:type="spellEnd"/>
                      <w:r>
                        <w:rPr>
                          <w:rFonts w:ascii="Arial" w:hAnsi="Arial" w:cs="Arial"/>
                          <w:sz w:val="22"/>
                          <w:szCs w:val="18"/>
                        </w:rPr>
                        <w:t xml:space="preserve"> </w:t>
                      </w:r>
                      <w:proofErr w:type="spellStart"/>
                      <w:r>
                        <w:rPr>
                          <w:rFonts w:ascii="Arial" w:hAnsi="Arial" w:cs="Arial"/>
                          <w:sz w:val="22"/>
                          <w:szCs w:val="18"/>
                        </w:rPr>
                        <w:t>size</w:t>
                      </w:r>
                      <w:proofErr w:type="spellEnd"/>
                      <w:r>
                        <w:rPr>
                          <w:rFonts w:ascii="Arial" w:hAnsi="Arial" w:cs="Arial"/>
                          <w:sz w:val="22"/>
                          <w:szCs w:val="18"/>
                        </w:rPr>
                        <w:t xml:space="preserve"> 2021 </w:t>
                      </w:r>
                      <w:proofErr w:type="spellStart"/>
                      <w:r>
                        <w:rPr>
                          <w:rFonts w:ascii="Arial" w:hAnsi="Arial" w:cs="Arial"/>
                          <w:sz w:val="22"/>
                          <w:szCs w:val="18"/>
                        </w:rPr>
                        <w:t>to</w:t>
                      </w:r>
                      <w:proofErr w:type="spellEnd"/>
                      <w:r>
                        <w:rPr>
                          <w:rFonts w:ascii="Arial" w:hAnsi="Arial" w:cs="Arial"/>
                          <w:sz w:val="22"/>
                          <w:szCs w:val="18"/>
                        </w:rPr>
                        <w:t xml:space="preserve"> 2030</w:t>
                      </w:r>
                    </w:p>
                  </w:txbxContent>
                </v:textbox>
              </v:shape>
            </w:pict>
          </mc:Fallback>
        </mc:AlternateContent>
      </w:r>
      <w:r w:rsidR="00996B25" w:rsidRPr="00996B25">
        <w:rPr>
          <w:rStyle w:val="Nagwek3Znak"/>
          <w:b w:val="0"/>
          <w:noProof/>
          <w:sz w:val="20"/>
          <w:lang w:val="en-GB"/>
        </w:rPr>
        <mc:AlternateContent>
          <mc:Choice Requires="wps">
            <w:drawing>
              <wp:anchor distT="45720" distB="45720" distL="114300" distR="114300" simplePos="0" relativeHeight="251667456" behindDoc="0" locked="0" layoutInCell="1" allowOverlap="1" wp14:anchorId="4CE8AE1E" wp14:editId="287B487F">
                <wp:simplePos x="0" y="0"/>
                <wp:positionH relativeFrom="column">
                  <wp:posOffset>2842143</wp:posOffset>
                </wp:positionH>
                <wp:positionV relativeFrom="paragraph">
                  <wp:posOffset>2816381</wp:posOffset>
                </wp:positionV>
                <wp:extent cx="616585" cy="241222"/>
                <wp:effectExtent l="0" t="0" r="0" b="6985"/>
                <wp:wrapNone/>
                <wp:docPr id="131714645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1222"/>
                        </a:xfrm>
                        <a:prstGeom prst="rect">
                          <a:avLst/>
                        </a:prstGeom>
                        <a:solidFill>
                          <a:srgbClr val="FFFFFF"/>
                        </a:solidFill>
                        <a:ln w="9525">
                          <a:noFill/>
                          <a:miter lim="800000"/>
                          <a:headEnd/>
                          <a:tailEnd/>
                        </a:ln>
                      </wps:spPr>
                      <wps:txbx>
                        <w:txbxContent>
                          <w:p w14:paraId="4996AAB0" w14:textId="77777777" w:rsidR="00E21D7A" w:rsidRPr="00A62BAC" w:rsidRDefault="00E21D7A" w:rsidP="00E21D7A">
                            <w:pPr>
                              <w:spacing w:line="240" w:lineRule="auto"/>
                              <w:rPr>
                                <w:rFonts w:ascii="Arial" w:hAnsi="Arial" w:cs="Arial"/>
                                <w:sz w:val="22"/>
                                <w:szCs w:val="18"/>
                              </w:rPr>
                            </w:pPr>
                            <w:proofErr w:type="spellStart"/>
                            <w:r>
                              <w:rPr>
                                <w:rFonts w:ascii="Arial" w:hAnsi="Arial" w:cs="Arial"/>
                                <w:sz w:val="22"/>
                                <w:szCs w:val="18"/>
                              </w:rPr>
                              <w:t>Years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8AE1E" id="_x0000_s1031" type="#_x0000_t202" style="position:absolute;left:0;text-align:left;margin-left:223.8pt;margin-top:221.75pt;width:48.55pt;height:1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" stroked="f">
                <v:textbox>
                  <w:txbxContent>
                    <w:p w14:paraId="4996AAB0" w14:textId="77777777" w:rsidR="00E21D7A" w:rsidRPr="00A62BAC" w:rsidRDefault="00E21D7A" w:rsidP="00E21D7A">
                      <w:pPr>
                        <w:spacing w:line="240" w:lineRule="auto"/>
                        <w:rPr>
                          <w:rFonts w:ascii="Arial" w:hAnsi="Arial" w:cs="Arial"/>
                          <w:sz w:val="22"/>
                          <w:szCs w:val="18"/>
                        </w:rPr>
                      </w:pPr>
                      <w:proofErr w:type="spellStart"/>
                      <w:r>
                        <w:rPr>
                          <w:rFonts w:ascii="Arial" w:hAnsi="Arial" w:cs="Arial"/>
                          <w:sz w:val="22"/>
                          <w:szCs w:val="18"/>
                        </w:rPr>
                        <w:t>Years</w:t>
                      </w:r>
                      <w:proofErr w:type="spellEnd"/>
                    </w:p>
                  </w:txbxContent>
                </v:textbox>
              </v:shape>
            </w:pict>
          </mc:Fallback>
        </mc:AlternateContent>
      </w:r>
      <w:r w:rsidR="00E21D7A" w:rsidRPr="00996B25">
        <w:rPr>
          <w:rStyle w:val="Nagwek3Znak"/>
          <w:b w:val="0"/>
          <w:noProof/>
          <w:sz w:val="20"/>
          <w:lang w:val="en-GB"/>
        </w:rPr>
        <mc:AlternateContent>
          <mc:Choice Requires="wps">
            <w:drawing>
              <wp:anchor distT="45720" distB="45720" distL="114300" distR="114300" simplePos="0" relativeHeight="251669504" behindDoc="0" locked="0" layoutInCell="1" allowOverlap="1" wp14:anchorId="0A177A74" wp14:editId="5743CF93">
                <wp:simplePos x="0" y="0"/>
                <wp:positionH relativeFrom="column">
                  <wp:posOffset>209855</wp:posOffset>
                </wp:positionH>
                <wp:positionV relativeFrom="paragraph">
                  <wp:posOffset>733336</wp:posOffset>
                </wp:positionV>
                <wp:extent cx="1228550" cy="1404620"/>
                <wp:effectExtent l="7302" t="0" r="0" b="0"/>
                <wp:wrapNone/>
                <wp:docPr id="4515909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28550" cy="1404620"/>
                        </a:xfrm>
                        <a:prstGeom prst="rect">
                          <a:avLst/>
                        </a:prstGeom>
                        <a:solidFill>
                          <a:srgbClr val="FFFFFF"/>
                        </a:solidFill>
                        <a:ln w="9525">
                          <a:noFill/>
                          <a:miter lim="800000"/>
                          <a:headEnd/>
                          <a:tailEnd/>
                        </a:ln>
                      </wps:spPr>
                      <wps:txbx>
                        <w:txbxContent>
                          <w:p w14:paraId="42F50262" w14:textId="77777777" w:rsidR="00E21D7A" w:rsidRPr="00A62BAC" w:rsidRDefault="00E21D7A" w:rsidP="00E21D7A">
                            <w:pPr>
                              <w:rPr>
                                <w:rFonts w:ascii="Arial" w:hAnsi="Arial" w:cs="Arial"/>
                                <w:sz w:val="22"/>
                                <w:szCs w:val="18"/>
                              </w:rPr>
                            </w:pPr>
                            <w:proofErr w:type="spellStart"/>
                            <w:r>
                              <w:rPr>
                                <w:rFonts w:ascii="Arial" w:hAnsi="Arial" w:cs="Arial"/>
                                <w:sz w:val="22"/>
                                <w:szCs w:val="18"/>
                              </w:rPr>
                              <w:t>Billions</w:t>
                            </w:r>
                            <w:proofErr w:type="spellEnd"/>
                            <w:r>
                              <w:rPr>
                                <w:rFonts w:ascii="Arial" w:hAnsi="Arial" w:cs="Arial"/>
                                <w:sz w:val="22"/>
                                <w:szCs w:val="18"/>
                              </w:rPr>
                              <w:t xml:space="preserve"> of USD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177A74" id="_x0000_s1032" type="#_x0000_t202" style="position:absolute;left:0;text-align:left;margin-left:16.5pt;margin-top:57.75pt;width:96.75pt;height:110.6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" stroked="f">
                <v:textbox style="mso-fit-shape-to-text:t">
                  <w:txbxContent>
                    <w:p w14:paraId="42F50262" w14:textId="77777777" w:rsidR="00E21D7A" w:rsidRPr="00A62BAC" w:rsidRDefault="00E21D7A" w:rsidP="00E21D7A">
                      <w:pPr>
                        <w:rPr>
                          <w:rFonts w:ascii="Arial" w:hAnsi="Arial" w:cs="Arial"/>
                          <w:sz w:val="22"/>
                          <w:szCs w:val="18"/>
                        </w:rPr>
                      </w:pPr>
                      <w:proofErr w:type="spellStart"/>
                      <w:r>
                        <w:rPr>
                          <w:rFonts w:ascii="Arial" w:hAnsi="Arial" w:cs="Arial"/>
                          <w:sz w:val="22"/>
                          <w:szCs w:val="18"/>
                        </w:rPr>
                        <w:t>Billions</w:t>
                      </w:r>
                      <w:proofErr w:type="spellEnd"/>
                      <w:r>
                        <w:rPr>
                          <w:rFonts w:ascii="Arial" w:hAnsi="Arial" w:cs="Arial"/>
                          <w:sz w:val="22"/>
                          <w:szCs w:val="18"/>
                        </w:rPr>
                        <w:t xml:space="preserve"> of USD</w:t>
                      </w:r>
                    </w:p>
                  </w:txbxContent>
                </v:textbox>
              </v:shape>
            </w:pict>
          </mc:Fallback>
        </mc:AlternateContent>
      </w:r>
      <w:r w:rsidR="00E21D7A" w:rsidRPr="00996B25">
        <w:rPr>
          <w:noProof/>
          <w:lang w:val="en-GB"/>
        </w:rPr>
        <w:drawing>
          <wp:inline distT="0" distB="0" distL="0" distR="0" wp14:anchorId="2EA8E200" wp14:editId="63D94FE2">
            <wp:extent cx="5353050" cy="2816860"/>
            <wp:effectExtent l="0" t="0" r="0" b="2540"/>
            <wp:docPr id="31323611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2816860"/>
                    </a:xfrm>
                    <a:prstGeom prst="rect">
                      <a:avLst/>
                    </a:prstGeom>
                    <a:noFill/>
                  </pic:spPr>
                </pic:pic>
              </a:graphicData>
            </a:graphic>
          </wp:inline>
        </w:drawing>
      </w:r>
    </w:p>
    <w:p w14:paraId="74C3A3E6" w14:textId="04E12420" w:rsidR="00E21D7A" w:rsidRPr="00996B25" w:rsidRDefault="00E21D7A" w:rsidP="00996B25">
      <w:pPr>
        <w:jc w:val="center"/>
        <w:rPr>
          <w:lang w:val="en-GB"/>
        </w:rPr>
      </w:pPr>
    </w:p>
    <w:p w14:paraId="4C1B2095" w14:textId="73AFE7CF" w:rsidR="004B5615" w:rsidRPr="00F157ED" w:rsidRDefault="004B5615" w:rsidP="00F157ED">
      <w:pPr>
        <w:pStyle w:val="Rrys"/>
      </w:pPr>
      <w:r w:rsidRPr="00F157ED">
        <w:rPr>
          <w:rStyle w:val="Pogrubienie"/>
          <w:bCs/>
        </w:rPr>
        <w:t>Fig. 3.</w:t>
      </w:r>
      <w:r w:rsidRPr="00F157ED">
        <w:rPr>
          <w:rStyle w:val="Pogrubienie"/>
          <w:b w:val="0"/>
        </w:rPr>
        <w:t xml:space="preserve"> </w:t>
      </w:r>
      <w:proofErr w:type="spellStart"/>
      <w:r w:rsidRPr="00F157ED">
        <w:rPr>
          <w:rStyle w:val="Pogrubienie"/>
          <w:b w:val="0"/>
        </w:rPr>
        <w:t>Size</w:t>
      </w:r>
      <w:proofErr w:type="spellEnd"/>
      <w:r w:rsidRPr="00F157ED">
        <w:rPr>
          <w:rStyle w:val="Pogrubienie"/>
          <w:b w:val="0"/>
        </w:rPr>
        <w:t xml:space="preserve"> of </w:t>
      </w:r>
      <w:proofErr w:type="spellStart"/>
      <w:r w:rsidRPr="00F157ED">
        <w:rPr>
          <w:rStyle w:val="Pogrubienie"/>
          <w:b w:val="0"/>
        </w:rPr>
        <w:t>Biomass</w:t>
      </w:r>
      <w:proofErr w:type="spellEnd"/>
      <w:r w:rsidRPr="00F157ED">
        <w:rPr>
          <w:rStyle w:val="Pogrubienie"/>
          <w:b w:val="0"/>
        </w:rPr>
        <w:t xml:space="preserve"> market </w:t>
      </w:r>
      <w:proofErr w:type="spellStart"/>
      <w:r w:rsidRPr="00F157ED">
        <w:rPr>
          <w:rStyle w:val="Pogrubienie"/>
          <w:b w:val="0"/>
        </w:rPr>
        <w:t>trends</w:t>
      </w:r>
      <w:proofErr w:type="spellEnd"/>
      <w:r w:rsidRPr="00F157ED">
        <w:rPr>
          <w:rStyle w:val="Pogrubienie"/>
          <w:b w:val="0"/>
        </w:rPr>
        <w:t xml:space="preserve"> </w:t>
      </w:r>
      <w:r w:rsidR="00E86B3B" w:rsidRPr="00F157ED">
        <w:rPr>
          <w:rStyle w:val="Pogrubienie"/>
          <w:b w:val="0"/>
        </w:rPr>
        <w:t>(</w:t>
      </w:r>
      <w:proofErr w:type="spellStart"/>
      <w:r w:rsidR="008C17A4" w:rsidRPr="00F157ED">
        <w:rPr>
          <w:rStyle w:val="Pogrubienie"/>
          <w:b w:val="0"/>
        </w:rPr>
        <w:t>Biofuels</w:t>
      </w:r>
      <w:proofErr w:type="spellEnd"/>
      <w:r w:rsidR="008C17A4" w:rsidRPr="00F157ED">
        <w:rPr>
          <w:rStyle w:val="Pogrubienie"/>
          <w:b w:val="0"/>
        </w:rPr>
        <w:t xml:space="preserve"> Market </w:t>
      </w:r>
      <w:proofErr w:type="spellStart"/>
      <w:r w:rsidR="008C17A4" w:rsidRPr="00F157ED">
        <w:rPr>
          <w:rStyle w:val="Pogrubienie"/>
          <w:b w:val="0"/>
        </w:rPr>
        <w:t>Size</w:t>
      </w:r>
      <w:proofErr w:type="spellEnd"/>
      <w:r w:rsidR="008C17A4" w:rsidRPr="00F157ED">
        <w:rPr>
          <w:rStyle w:val="Pogrubienie"/>
          <w:b w:val="0"/>
        </w:rPr>
        <w:t xml:space="preserve"> 2023, </w:t>
      </w:r>
      <w:proofErr w:type="spellStart"/>
      <w:r w:rsidR="008C17A4" w:rsidRPr="00F157ED">
        <w:rPr>
          <w:rStyle w:val="Pogrubienie"/>
          <w:b w:val="0"/>
        </w:rPr>
        <w:t>Biomass</w:t>
      </w:r>
      <w:proofErr w:type="spellEnd"/>
      <w:r w:rsidR="008C17A4" w:rsidRPr="00F157ED">
        <w:rPr>
          <w:rStyle w:val="Pogrubienie"/>
          <w:b w:val="0"/>
        </w:rPr>
        <w:t xml:space="preserve"> Power Market 2023</w:t>
      </w:r>
      <w:r w:rsidR="00E86B3B" w:rsidRPr="00F157ED">
        <w:rPr>
          <w:rStyle w:val="Pogrubienie"/>
          <w:b w:val="0"/>
        </w:rPr>
        <w:t>)</w:t>
      </w:r>
    </w:p>
    <w:p w14:paraId="47BDCB6C" w14:textId="668FFA07" w:rsidR="004B5615" w:rsidRPr="00996B25" w:rsidRDefault="004B5615" w:rsidP="00996B25">
      <w:pPr>
        <w:spacing w:line="240" w:lineRule="auto"/>
        <w:ind w:firstLine="283"/>
        <w:jc w:val="both"/>
        <w:rPr>
          <w:sz w:val="22"/>
          <w:lang w:val="en-GB"/>
        </w:rPr>
      </w:pPr>
    </w:p>
    <w:p w14:paraId="5731B929" w14:textId="7ED10893" w:rsidR="004B5615" w:rsidRPr="00996B25" w:rsidRDefault="004B5615" w:rsidP="00996B25">
      <w:pPr>
        <w:spacing w:line="240" w:lineRule="auto"/>
        <w:ind w:firstLine="284"/>
        <w:jc w:val="both"/>
        <w:rPr>
          <w:sz w:val="22"/>
          <w:lang w:val="en-GB"/>
        </w:rPr>
      </w:pPr>
      <w:r w:rsidRPr="00996B25">
        <w:rPr>
          <w:sz w:val="22"/>
          <w:lang w:val="en-GB"/>
        </w:rPr>
        <w:t xml:space="preserve">One of the pillars of sustainable economic development is </w:t>
      </w:r>
      <w:r w:rsidR="00247358">
        <w:rPr>
          <w:sz w:val="22"/>
          <w:lang w:val="en-GB"/>
        </w:rPr>
        <w:t>using biomass as a raw material for producing</w:t>
      </w:r>
      <w:r w:rsidRPr="00996B25">
        <w:rPr>
          <w:sz w:val="22"/>
          <w:lang w:val="en-GB"/>
        </w:rPr>
        <w:t xml:space="preserve"> fuels and biofuels. </w:t>
      </w:r>
      <w:r w:rsidR="00247358">
        <w:rPr>
          <w:sz w:val="22"/>
          <w:lang w:val="en-GB"/>
        </w:rPr>
        <w:t>Using</w:t>
      </w:r>
      <w:r w:rsidRPr="00996B25">
        <w:rPr>
          <w:sz w:val="22"/>
          <w:lang w:val="en-GB"/>
        </w:rPr>
        <w:t xml:space="preserve"> renewable raw materials in a sustainable manner should apply to all technological processes, including one of the most important ones, which is the production of energy and its carriers </w:t>
      </w:r>
      <w:r w:rsidR="00E86B3B">
        <w:rPr>
          <w:sz w:val="22"/>
          <w:lang w:val="en-GB"/>
        </w:rPr>
        <w:t>(</w:t>
      </w:r>
      <w:r w:rsidR="00354F69" w:rsidRPr="00996B25">
        <w:rPr>
          <w:sz w:val="22"/>
          <w:lang w:val="en-GB"/>
        </w:rPr>
        <w:t>Bogumił 2020</w:t>
      </w:r>
      <w:r w:rsidR="00E86B3B">
        <w:rPr>
          <w:sz w:val="22"/>
          <w:lang w:val="en-GB"/>
        </w:rPr>
        <w:t>).</w:t>
      </w:r>
      <w:r w:rsidRPr="00996B25">
        <w:rPr>
          <w:sz w:val="22"/>
          <w:lang w:val="en-GB"/>
        </w:rPr>
        <w:t xml:space="preserve"> </w:t>
      </w:r>
      <w:r w:rsidR="00247358">
        <w:rPr>
          <w:sz w:val="22"/>
          <w:lang w:val="en-GB"/>
        </w:rPr>
        <w:t>Three energy carriers are important when using biomass for energy purposes: electricity, heat, and transport</w:t>
      </w:r>
      <w:r w:rsidR="00247358" w:rsidRPr="00996B25">
        <w:rPr>
          <w:sz w:val="22"/>
          <w:lang w:val="en-GB"/>
        </w:rPr>
        <w:t xml:space="preserve"> </w:t>
      </w:r>
      <w:r w:rsidR="00247358">
        <w:rPr>
          <w:sz w:val="22"/>
          <w:lang w:val="en-GB"/>
        </w:rPr>
        <w:t xml:space="preserve">fuel </w:t>
      </w:r>
      <w:r w:rsidRPr="00996B25">
        <w:rPr>
          <w:sz w:val="22"/>
          <w:lang w:val="en-GB"/>
        </w:rPr>
        <w:t xml:space="preserve">(liquid and gaseous). Biomass can be converted using various technologies. </w:t>
      </w:r>
      <w:r w:rsidR="00247358">
        <w:rPr>
          <w:sz w:val="22"/>
          <w:lang w:val="en-GB"/>
        </w:rPr>
        <w:t>T</w:t>
      </w:r>
      <w:r w:rsidRPr="00996B25">
        <w:rPr>
          <w:sz w:val="22"/>
          <w:lang w:val="en-GB"/>
        </w:rPr>
        <w:t xml:space="preserve">o demarcate the sectoral use of biofuels, it is assumed that liquid biofuels are fuels used in transport, and bioliquids and solid and gaseous biofuels are fuels used to generate electricity and heat. The starting point in the development of the biofuel market is biomass obtained from various sources. </w:t>
      </w:r>
      <w:r w:rsidR="00247358">
        <w:rPr>
          <w:sz w:val="22"/>
          <w:lang w:val="en-GB"/>
        </w:rPr>
        <w:t>Concerning</w:t>
      </w:r>
      <w:r w:rsidRPr="00996B25">
        <w:rPr>
          <w:sz w:val="22"/>
          <w:lang w:val="en-GB"/>
        </w:rPr>
        <w:t xml:space="preserve"> the primary process of photosynthesis, biomass can be divided into primary (plants), secondary (animals) and tertiary (post-process, post-consumer)</w:t>
      </w:r>
      <w:r w:rsidR="00247358">
        <w:rPr>
          <w:sz w:val="22"/>
          <w:lang w:val="en-GB"/>
        </w:rPr>
        <w:t>. S</w:t>
      </w:r>
      <w:r w:rsidRPr="00996B25">
        <w:rPr>
          <w:sz w:val="22"/>
          <w:lang w:val="en-GB"/>
        </w:rPr>
        <w:t>imilarly</w:t>
      </w:r>
      <w:r w:rsidR="00247358">
        <w:rPr>
          <w:sz w:val="22"/>
          <w:lang w:val="en-GB"/>
        </w:rPr>
        <w:t>,</w:t>
      </w:r>
      <w:r w:rsidRPr="00996B25">
        <w:rPr>
          <w:sz w:val="22"/>
          <w:lang w:val="en-GB"/>
        </w:rPr>
        <w:t xml:space="preserve"> </w:t>
      </w:r>
      <w:r w:rsidR="00247358">
        <w:rPr>
          <w:sz w:val="22"/>
          <w:lang w:val="en-GB"/>
        </w:rPr>
        <w:t>primary production, secondary production, and processing/consumption waste</w:t>
      </w:r>
      <w:r w:rsidRPr="00996B25">
        <w:rPr>
          <w:sz w:val="22"/>
          <w:lang w:val="en-GB"/>
        </w:rPr>
        <w:t xml:space="preserve"> can be classified as primary, secondary and tertiary. Each of these biomass sources can be converted into a useful energy </w:t>
      </w:r>
      <w:r w:rsidRPr="00996B25">
        <w:rPr>
          <w:sz w:val="22"/>
          <w:lang w:val="en-GB"/>
        </w:rPr>
        <w:lastRenderedPageBreak/>
        <w:t xml:space="preserve">carrier </w:t>
      </w:r>
      <w:r w:rsidR="00247358">
        <w:rPr>
          <w:sz w:val="22"/>
          <w:lang w:val="en-GB"/>
        </w:rPr>
        <w:t>–</w:t>
      </w:r>
      <w:r w:rsidRPr="00996B25">
        <w:rPr>
          <w:sz w:val="22"/>
          <w:lang w:val="en-GB"/>
        </w:rPr>
        <w:t xml:space="preserve"> liquid, gaseous and solid biofuel. In terms of energy use, it is important to divide biofuels into primary (unprocessed biomass burned directly, e.g. firewood, pellets, briquettes) and secondary (processed biomass), both in solid form (e.g. charcoal) and liquid (e.g. bioethanol, biodiesel)</w:t>
      </w:r>
      <w:r w:rsidR="00247358">
        <w:rPr>
          <w:sz w:val="22"/>
          <w:lang w:val="en-GB"/>
        </w:rPr>
        <w:t>,</w:t>
      </w:r>
      <w:r w:rsidRPr="00996B25">
        <w:rPr>
          <w:sz w:val="22"/>
          <w:lang w:val="en-GB"/>
        </w:rPr>
        <w:t xml:space="preserve"> and gas (e.g. b</w:t>
      </w:r>
      <w:r w:rsidR="00766CDD" w:rsidRPr="00996B25">
        <w:rPr>
          <w:sz w:val="22"/>
          <w:lang w:val="en-GB"/>
        </w:rPr>
        <w:t xml:space="preserve">iogas, synthesis gas, hydrogen) </w:t>
      </w:r>
      <w:r w:rsidR="00E86B3B">
        <w:rPr>
          <w:sz w:val="22"/>
          <w:lang w:val="en-GB"/>
        </w:rPr>
        <w:t>(</w:t>
      </w:r>
      <w:proofErr w:type="spellStart"/>
      <w:r w:rsidR="00354F69" w:rsidRPr="00996B25">
        <w:rPr>
          <w:sz w:val="22"/>
          <w:lang w:val="en-GB"/>
        </w:rPr>
        <w:t>Gołaszewski</w:t>
      </w:r>
      <w:proofErr w:type="spellEnd"/>
      <w:r w:rsidR="00354F69" w:rsidRPr="00996B25">
        <w:rPr>
          <w:sz w:val="22"/>
          <w:lang w:val="en-GB"/>
        </w:rPr>
        <w:t xml:space="preserve"> et al</w:t>
      </w:r>
      <w:r w:rsidR="00E86B3B">
        <w:rPr>
          <w:sz w:val="22"/>
          <w:lang w:val="en-GB"/>
        </w:rPr>
        <w:t>.</w:t>
      </w:r>
      <w:r w:rsidR="00354F69" w:rsidRPr="00996B25">
        <w:rPr>
          <w:sz w:val="22"/>
          <w:lang w:val="en-GB"/>
        </w:rPr>
        <w:t xml:space="preserve"> 2020</w:t>
      </w:r>
      <w:r w:rsidR="00E86B3B">
        <w:rPr>
          <w:sz w:val="22"/>
          <w:lang w:val="en-GB"/>
        </w:rPr>
        <w:t>)</w:t>
      </w:r>
      <w:r w:rsidR="00996B25">
        <w:rPr>
          <w:sz w:val="22"/>
          <w:lang w:val="en-GB"/>
        </w:rPr>
        <w:t>.</w:t>
      </w:r>
    </w:p>
    <w:p w14:paraId="79115A8C" w14:textId="062F8480" w:rsidR="004B5615" w:rsidRPr="004F57AF" w:rsidRDefault="004B5615" w:rsidP="004F57AF">
      <w:pPr>
        <w:pStyle w:val="Rn1"/>
        <w:rPr>
          <w:rStyle w:val="Domylnaczcionkaakapitu0"/>
        </w:rPr>
      </w:pPr>
      <w:r w:rsidRPr="004F57AF">
        <w:rPr>
          <w:rStyle w:val="Domylnaczcionkaakapitu0"/>
        </w:rPr>
        <w:t>2.</w:t>
      </w:r>
      <w:r w:rsidR="00996B25" w:rsidRPr="004F57AF">
        <w:rPr>
          <w:rStyle w:val="Domylnaczcionkaakapitu0"/>
        </w:rPr>
        <w:t xml:space="preserve"> </w:t>
      </w:r>
      <w:proofErr w:type="spellStart"/>
      <w:r w:rsidRPr="004F57AF">
        <w:rPr>
          <w:rStyle w:val="Domylnaczcionkaakapitu0"/>
        </w:rPr>
        <w:t>Main</w:t>
      </w:r>
      <w:proofErr w:type="spellEnd"/>
      <w:r w:rsidRPr="004F57AF">
        <w:rPr>
          <w:rStyle w:val="Domylnaczcionkaakapitu0"/>
        </w:rPr>
        <w:t xml:space="preserve"> </w:t>
      </w:r>
      <w:proofErr w:type="spellStart"/>
      <w:r w:rsidR="00996B25" w:rsidRPr="004F57AF">
        <w:rPr>
          <w:rStyle w:val="Domylnaczcionkaakapitu0"/>
        </w:rPr>
        <w:t>M</w:t>
      </w:r>
      <w:r w:rsidRPr="004F57AF">
        <w:rPr>
          <w:rStyle w:val="Domylnaczcionkaakapitu0"/>
        </w:rPr>
        <w:t>ethods</w:t>
      </w:r>
      <w:proofErr w:type="spellEnd"/>
      <w:r w:rsidRPr="004F57AF">
        <w:rPr>
          <w:rStyle w:val="Domylnaczcionkaakapitu0"/>
        </w:rPr>
        <w:t xml:space="preserve"> of </w:t>
      </w:r>
      <w:proofErr w:type="spellStart"/>
      <w:r w:rsidR="00996B25" w:rsidRPr="004F57AF">
        <w:rPr>
          <w:rStyle w:val="Domylnaczcionkaakapitu0"/>
        </w:rPr>
        <w:t>B</w:t>
      </w:r>
      <w:r w:rsidRPr="004F57AF">
        <w:rPr>
          <w:rStyle w:val="Domylnaczcionkaakapitu0"/>
        </w:rPr>
        <w:t>iomass</w:t>
      </w:r>
      <w:proofErr w:type="spellEnd"/>
      <w:r w:rsidRPr="004F57AF">
        <w:rPr>
          <w:rStyle w:val="Domylnaczcionkaakapitu0"/>
        </w:rPr>
        <w:t xml:space="preserve"> </w:t>
      </w:r>
      <w:r w:rsidR="00996B25" w:rsidRPr="004F57AF">
        <w:rPr>
          <w:rStyle w:val="Domylnaczcionkaakapitu0"/>
        </w:rPr>
        <w:t>C</w:t>
      </w:r>
      <w:r w:rsidRPr="004F57AF">
        <w:rPr>
          <w:rStyle w:val="Domylnaczcionkaakapitu0"/>
        </w:rPr>
        <w:t>onversion</w:t>
      </w:r>
    </w:p>
    <w:p w14:paraId="29CBA39F" w14:textId="07EEB379" w:rsidR="004B5615" w:rsidRPr="00996B25" w:rsidRDefault="004B5615" w:rsidP="00996B25">
      <w:pPr>
        <w:ind w:firstLine="283"/>
        <w:jc w:val="both"/>
        <w:rPr>
          <w:sz w:val="22"/>
          <w:lang w:val="en-GB"/>
        </w:rPr>
      </w:pPr>
      <w:r w:rsidRPr="00996B25">
        <w:rPr>
          <w:rStyle w:val="Domylnaczcionkaakapitu0"/>
          <w:color w:val="000000"/>
          <w:sz w:val="22"/>
          <w:lang w:val="en-GB"/>
        </w:rPr>
        <w:t>The use of biomass to produce heat in the processes of direct combustion or co-combustion with coal, consisting in the conversion of the chemical energy of carbon compounds, hydrogen and oxygen contained in it into thermal energy in boilers, is at the same time</w:t>
      </w:r>
      <w:r w:rsidR="00247358">
        <w:rPr>
          <w:rStyle w:val="Domylnaczcionkaakapitu0"/>
          <w:color w:val="000000"/>
          <w:sz w:val="22"/>
          <w:lang w:val="en-GB"/>
        </w:rPr>
        <w:t>,</w:t>
      </w:r>
      <w:r w:rsidRPr="00996B25">
        <w:rPr>
          <w:rStyle w:val="Domylnaczcionkaakapitu0"/>
          <w:color w:val="000000"/>
          <w:sz w:val="22"/>
          <w:lang w:val="en-GB"/>
        </w:rPr>
        <w:t xml:space="preserve"> the cheapest, but </w:t>
      </w:r>
      <w:r w:rsidR="004F57AF">
        <w:rPr>
          <w:rStyle w:val="Domylnaczcionkaakapitu0"/>
          <w:color w:val="000000"/>
          <w:sz w:val="22"/>
          <w:lang w:val="en-GB"/>
        </w:rPr>
        <w:t>–</w:t>
      </w:r>
      <w:r w:rsidRPr="00996B25">
        <w:rPr>
          <w:rStyle w:val="Domylnaczcionkaakapitu0"/>
          <w:color w:val="000000"/>
          <w:sz w:val="22"/>
          <w:lang w:val="en-GB"/>
        </w:rPr>
        <w:t xml:space="preserve"> according to many experts </w:t>
      </w:r>
      <w:r w:rsidR="004F57AF">
        <w:rPr>
          <w:rStyle w:val="Domylnaczcionkaakapitu0"/>
          <w:color w:val="000000"/>
          <w:sz w:val="22"/>
          <w:lang w:val="en-GB"/>
        </w:rPr>
        <w:t>–</w:t>
      </w:r>
      <w:r w:rsidRPr="00996B25">
        <w:rPr>
          <w:rStyle w:val="Domylnaczcionkaakapitu0"/>
          <w:color w:val="000000"/>
          <w:sz w:val="22"/>
          <w:lang w:val="en-GB"/>
        </w:rPr>
        <w:t xml:space="preserve"> the least effective and economically the least profitable solution. In the case of combined production of heat and electricity in biomass-fired power plants (wood, straw, raw materials from energy plantations, RDF, etc.), the investment outlays are slightly higher, but thanks to fluidized bed combustion, cogeneration systems, trigeneration, ORC systems, etc., the efficiency conversion increases, and the economic and ecological effect improves. However, the most advantageous methods of biomass processing, both from the economic and technical point of view, are its partial oxidation, gasification and pyrolysis for the production of liquid fuels, with the possible use of Fischer-</w:t>
      </w:r>
      <w:proofErr w:type="spellStart"/>
      <w:r w:rsidRPr="00996B25">
        <w:rPr>
          <w:rStyle w:val="Domylnaczcionkaakapitu0"/>
          <w:color w:val="000000"/>
          <w:sz w:val="22"/>
          <w:lang w:val="en-GB"/>
        </w:rPr>
        <w:t>Tropsch</w:t>
      </w:r>
      <w:proofErr w:type="spellEnd"/>
      <w:r w:rsidRPr="00996B25">
        <w:rPr>
          <w:rStyle w:val="Domylnaczcionkaakapitu0"/>
          <w:color w:val="000000"/>
          <w:sz w:val="22"/>
          <w:lang w:val="en-GB"/>
        </w:rPr>
        <w:t xml:space="preserve"> synthesis, hydrogenation and hydrocracking in relation to the products of thermal decomposition of biomass. The biomass conversion methods include thermochemical, biochemical and agrochemical techniques</w:t>
      </w:r>
      <w:r w:rsidR="002F3D02" w:rsidRPr="00996B25">
        <w:rPr>
          <w:rStyle w:val="Domylnaczcionkaakapitu0"/>
          <w:color w:val="000000"/>
          <w:sz w:val="22"/>
          <w:lang w:val="en-GB"/>
        </w:rPr>
        <w:t xml:space="preserve"> presented in Figure 4</w:t>
      </w:r>
      <w:r w:rsidRPr="00996B25">
        <w:rPr>
          <w:rStyle w:val="Domylnaczcionkaakapitu0"/>
          <w:color w:val="000000"/>
          <w:sz w:val="22"/>
          <w:lang w:val="en-GB"/>
        </w:rPr>
        <w:t xml:space="preserve"> </w:t>
      </w:r>
      <w:r w:rsidR="00E86B3B">
        <w:rPr>
          <w:rStyle w:val="Domylnaczcionkaakapitu0"/>
          <w:color w:val="000000"/>
          <w:sz w:val="22"/>
          <w:lang w:val="en-GB"/>
        </w:rPr>
        <w:t>(</w:t>
      </w:r>
      <w:r w:rsidR="005B3856" w:rsidRPr="00996B25">
        <w:rPr>
          <w:rStyle w:val="Domylnaczcionkaakapitu0"/>
          <w:color w:val="000000"/>
          <w:sz w:val="22"/>
          <w:lang w:val="en-GB"/>
        </w:rPr>
        <w:t>Lewandowski et al. 2011</w:t>
      </w:r>
      <w:r w:rsidR="00E86B3B">
        <w:rPr>
          <w:rStyle w:val="Domylnaczcionkaakapitu0"/>
          <w:color w:val="000000"/>
          <w:sz w:val="22"/>
          <w:lang w:val="en-GB"/>
        </w:rPr>
        <w:t>)</w:t>
      </w:r>
      <w:r w:rsidR="004F57AF">
        <w:rPr>
          <w:rStyle w:val="Domylnaczcionkaakapitu0"/>
          <w:color w:val="000000"/>
          <w:sz w:val="22"/>
          <w:lang w:val="en-GB"/>
        </w:rPr>
        <w:t>.</w:t>
      </w:r>
    </w:p>
    <w:p w14:paraId="0450E0DC" w14:textId="77777777" w:rsidR="004B5615" w:rsidRPr="00996B25" w:rsidRDefault="004B5615" w:rsidP="00996B25">
      <w:pPr>
        <w:jc w:val="both"/>
        <w:rPr>
          <w:sz w:val="22"/>
          <w:lang w:val="en-GB"/>
        </w:rPr>
      </w:pPr>
    </w:p>
    <w:p w14:paraId="2DCF0016" w14:textId="77777777" w:rsidR="00F106BF" w:rsidRPr="00996B25" w:rsidRDefault="00F106BF" w:rsidP="00996B25">
      <w:pPr>
        <w:pStyle w:val="NormalnyWeb"/>
        <w:rPr>
          <w:lang w:val="en-GB"/>
        </w:rPr>
      </w:pPr>
      <w:r w:rsidRPr="00996B25">
        <w:rPr>
          <w:noProof/>
          <w:lang w:val="en-GB"/>
        </w:rPr>
        <w:drawing>
          <wp:inline distT="0" distB="0" distL="0" distR="0" wp14:anchorId="2ED06CFA" wp14:editId="0CF17177">
            <wp:extent cx="6421261" cy="3533242"/>
            <wp:effectExtent l="19050" t="0" r="0" b="0"/>
            <wp:docPr id="9" name="Obraz 9" descr="C:\Users\pawel\AppData\Local\Packages\Microsoft.Windows.Photos_8wekyb3d8bbwe\TempState\ShareServiceTempFolder\Zrzut ekranu (53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wel\AppData\Local\Packages\Microsoft.Windows.Photos_8wekyb3d8bbwe\TempState\ShareServiceTempFolder\Zrzut ekranu (5308).jpeg"/>
                    <pic:cNvPicPr>
                      <a:picLocks noChangeAspect="1" noChangeArrowheads="1"/>
                    </pic:cNvPicPr>
                  </pic:nvPicPr>
                  <pic:blipFill>
                    <a:blip r:embed="rId13" cstate="print"/>
                    <a:srcRect/>
                    <a:stretch>
                      <a:fillRect/>
                    </a:stretch>
                  </pic:blipFill>
                  <pic:spPr bwMode="auto">
                    <a:xfrm>
                      <a:off x="0" y="0"/>
                      <a:ext cx="6431774" cy="3539026"/>
                    </a:xfrm>
                    <a:prstGeom prst="rect">
                      <a:avLst/>
                    </a:prstGeom>
                    <a:noFill/>
                    <a:ln w="9525">
                      <a:noFill/>
                      <a:miter lim="800000"/>
                      <a:headEnd/>
                      <a:tailEnd/>
                    </a:ln>
                  </pic:spPr>
                </pic:pic>
              </a:graphicData>
            </a:graphic>
          </wp:inline>
        </w:drawing>
      </w:r>
    </w:p>
    <w:p w14:paraId="79430D40" w14:textId="387BE783" w:rsidR="004B5615" w:rsidRPr="00996B25" w:rsidRDefault="004B5615" w:rsidP="004F57AF">
      <w:pPr>
        <w:pStyle w:val="Rrys"/>
      </w:pPr>
      <w:r w:rsidRPr="004F57AF">
        <w:rPr>
          <w:b/>
          <w:bCs/>
        </w:rPr>
        <w:t>Fig. 4.</w:t>
      </w:r>
      <w:r w:rsidRPr="00996B25">
        <w:t xml:space="preserve"> </w:t>
      </w:r>
      <w:proofErr w:type="spellStart"/>
      <w:r w:rsidRPr="00996B25">
        <w:t>Various</w:t>
      </w:r>
      <w:proofErr w:type="spellEnd"/>
      <w:r w:rsidRPr="00996B25">
        <w:t xml:space="preserve"> </w:t>
      </w:r>
      <w:proofErr w:type="spellStart"/>
      <w:r w:rsidRPr="00996B25">
        <w:t>techniques</w:t>
      </w:r>
      <w:proofErr w:type="spellEnd"/>
      <w:r w:rsidRPr="00996B25">
        <w:t xml:space="preserve"> of </w:t>
      </w:r>
      <w:proofErr w:type="spellStart"/>
      <w:r w:rsidRPr="00996B25">
        <w:t>biomass</w:t>
      </w:r>
      <w:proofErr w:type="spellEnd"/>
      <w:r w:rsidRPr="00996B25">
        <w:t xml:space="preserve"> </w:t>
      </w:r>
      <w:proofErr w:type="spellStart"/>
      <w:r w:rsidRPr="00996B25">
        <w:t>conversion</w:t>
      </w:r>
      <w:proofErr w:type="spellEnd"/>
      <w:r w:rsidRPr="00996B25">
        <w:t xml:space="preserve"> </w:t>
      </w:r>
      <w:r w:rsidR="00E86B3B">
        <w:t>(</w:t>
      </w:r>
      <w:r w:rsidR="00C1107A" w:rsidRPr="00996B25">
        <w:t>Lewandowski et al. 2011</w:t>
      </w:r>
      <w:r w:rsidR="00E86B3B">
        <w:t>)</w:t>
      </w:r>
    </w:p>
    <w:p w14:paraId="1C605879" w14:textId="77777777" w:rsidR="004B5615" w:rsidRPr="00996B25" w:rsidRDefault="004B5615" w:rsidP="00996B25">
      <w:pPr>
        <w:spacing w:line="240" w:lineRule="auto"/>
        <w:rPr>
          <w:sz w:val="22"/>
          <w:lang w:val="en-GB"/>
        </w:rPr>
      </w:pPr>
    </w:p>
    <w:p w14:paraId="372ED620" w14:textId="2692B17A" w:rsidR="004B5615" w:rsidRPr="00996B25" w:rsidRDefault="004B5615" w:rsidP="00996B25">
      <w:pPr>
        <w:spacing w:line="240" w:lineRule="auto"/>
        <w:ind w:firstLine="283"/>
        <w:jc w:val="both"/>
        <w:rPr>
          <w:sz w:val="22"/>
          <w:lang w:val="en-GB"/>
        </w:rPr>
      </w:pPr>
      <w:r w:rsidRPr="00996B25">
        <w:rPr>
          <w:sz w:val="22"/>
          <w:lang w:val="en-GB"/>
        </w:rPr>
        <w:t>Another method is the pyrolysis of soli</w:t>
      </w:r>
      <w:r w:rsidR="009514EA" w:rsidRPr="00996B25">
        <w:rPr>
          <w:sz w:val="22"/>
          <w:lang w:val="en-GB"/>
        </w:rPr>
        <w:t>d fuels such as coal or biomass. It</w:t>
      </w:r>
      <w:r w:rsidR="00247358">
        <w:rPr>
          <w:sz w:val="22"/>
          <w:lang w:val="en-GB"/>
        </w:rPr>
        <w:t>'</w:t>
      </w:r>
      <w:r w:rsidR="009514EA" w:rsidRPr="00996B25">
        <w:rPr>
          <w:sz w:val="22"/>
          <w:lang w:val="en-GB"/>
        </w:rPr>
        <w:t>s</w:t>
      </w:r>
      <w:r w:rsidRPr="00996B25">
        <w:rPr>
          <w:sz w:val="22"/>
          <w:lang w:val="en-GB"/>
        </w:rPr>
        <w:t xml:space="preserve"> a </w:t>
      </w:r>
      <w:r w:rsidR="00247358">
        <w:rPr>
          <w:sz w:val="22"/>
          <w:lang w:val="en-GB"/>
        </w:rPr>
        <w:t>thermochemical decomposition process</w:t>
      </w:r>
      <w:r w:rsidRPr="00996B25">
        <w:rPr>
          <w:sz w:val="22"/>
          <w:lang w:val="en-GB"/>
        </w:rPr>
        <w:t xml:space="preserve"> without oxygen, resulting in solid</w:t>
      </w:r>
      <w:r w:rsidR="009514EA" w:rsidRPr="00996B25">
        <w:rPr>
          <w:sz w:val="22"/>
          <w:lang w:val="en-GB"/>
        </w:rPr>
        <w:t>, liquid and gaseous products. O</w:t>
      </w:r>
      <w:r w:rsidRPr="00996B25">
        <w:rPr>
          <w:sz w:val="22"/>
          <w:lang w:val="en-GB"/>
        </w:rPr>
        <w:t>rganic matter</w:t>
      </w:r>
      <w:r w:rsidR="00247358">
        <w:rPr>
          <w:sz w:val="22"/>
          <w:lang w:val="en-GB"/>
        </w:rPr>
        <w:t xml:space="preserve"> leads to the formation of solid residue and tar, and decomposition of</w:t>
      </w:r>
      <w:r w:rsidRPr="00996B25">
        <w:rPr>
          <w:sz w:val="22"/>
          <w:lang w:val="en-GB"/>
        </w:rPr>
        <w:t xml:space="preserve"> water and gas. This process </w:t>
      </w:r>
      <w:r w:rsidR="00247358">
        <w:rPr>
          <w:sz w:val="22"/>
          <w:lang w:val="en-GB"/>
        </w:rPr>
        <w:t>transforms</w:t>
      </w:r>
      <w:r w:rsidRPr="00996B25">
        <w:rPr>
          <w:sz w:val="22"/>
          <w:lang w:val="en-GB"/>
        </w:rPr>
        <w:t xml:space="preserve"> waste particularly harmful to humans or the environment into neutral or less hazardous compounds. There are two main stages of pyrolysis:</w:t>
      </w:r>
    </w:p>
    <w:p w14:paraId="1AD95DFF" w14:textId="68C0E12E" w:rsidR="004B5615" w:rsidRPr="00996B25" w:rsidRDefault="00451625" w:rsidP="004F57AF">
      <w:pPr>
        <w:spacing w:line="240" w:lineRule="auto"/>
        <w:ind w:left="210" w:hanging="210"/>
        <w:jc w:val="both"/>
        <w:rPr>
          <w:sz w:val="22"/>
          <w:lang w:val="en-GB"/>
        </w:rPr>
      </w:pPr>
      <w:r w:rsidRPr="00996B25">
        <w:rPr>
          <w:sz w:val="22"/>
          <w:lang w:val="en-GB"/>
        </w:rPr>
        <w:t>1.</w:t>
      </w:r>
      <w:r w:rsidR="00996B25">
        <w:rPr>
          <w:sz w:val="22"/>
          <w:lang w:val="en-GB"/>
        </w:rPr>
        <w:t xml:space="preserve"> </w:t>
      </w:r>
      <w:r w:rsidR="004B5615" w:rsidRPr="00996B25">
        <w:rPr>
          <w:sz w:val="22"/>
          <w:lang w:val="en-GB"/>
        </w:rPr>
        <w:t>Degassing of the material and thermal decomposition of the main components, during which transformations such as dehydrogenation, dehydration and decarboxylation occur.</w:t>
      </w:r>
    </w:p>
    <w:p w14:paraId="1FF7C758" w14:textId="443589FF" w:rsidR="004B5615" w:rsidRPr="00996B25" w:rsidRDefault="00451625" w:rsidP="004F57AF">
      <w:pPr>
        <w:spacing w:line="240" w:lineRule="auto"/>
        <w:ind w:left="224" w:hanging="224"/>
        <w:jc w:val="both"/>
        <w:rPr>
          <w:sz w:val="22"/>
          <w:lang w:val="en-GB"/>
        </w:rPr>
      </w:pPr>
      <w:r w:rsidRPr="00996B25">
        <w:rPr>
          <w:sz w:val="22"/>
          <w:lang w:val="en-GB"/>
        </w:rPr>
        <w:t>2.</w:t>
      </w:r>
      <w:r w:rsidR="00996B25">
        <w:rPr>
          <w:sz w:val="22"/>
          <w:lang w:val="en-GB"/>
        </w:rPr>
        <w:t xml:space="preserve"> </w:t>
      </w:r>
      <w:r w:rsidR="004B5615" w:rsidRPr="00996B25">
        <w:rPr>
          <w:sz w:val="22"/>
          <w:lang w:val="en-GB"/>
        </w:rPr>
        <w:t xml:space="preserve">During the second stage, secondary reactions occur between the solid and gas phase components, such as polymerization or condensation </w:t>
      </w:r>
      <w:r w:rsidR="00E86B3B">
        <w:rPr>
          <w:sz w:val="22"/>
          <w:lang w:val="en-GB"/>
        </w:rPr>
        <w:t>(</w:t>
      </w:r>
      <w:proofErr w:type="spellStart"/>
      <w:r w:rsidR="00CA0726" w:rsidRPr="00996B25">
        <w:rPr>
          <w:sz w:val="22"/>
          <w:lang w:val="en-GB"/>
        </w:rPr>
        <w:t>Nadziakiewicz</w:t>
      </w:r>
      <w:proofErr w:type="spellEnd"/>
      <w:r w:rsidR="00CA0726" w:rsidRPr="00996B25">
        <w:rPr>
          <w:sz w:val="22"/>
          <w:lang w:val="en-GB"/>
        </w:rPr>
        <w:t xml:space="preserve"> et al. 2012</w:t>
      </w:r>
      <w:r w:rsidR="004B5615" w:rsidRPr="00996B25">
        <w:rPr>
          <w:sz w:val="22"/>
          <w:lang w:val="en-GB"/>
        </w:rPr>
        <w:t xml:space="preserve">, </w:t>
      </w:r>
      <w:proofErr w:type="spellStart"/>
      <w:r w:rsidR="00CA0726" w:rsidRPr="00996B25">
        <w:rPr>
          <w:sz w:val="22"/>
          <w:lang w:val="en-GB"/>
        </w:rPr>
        <w:t>Czarnocka</w:t>
      </w:r>
      <w:proofErr w:type="spellEnd"/>
      <w:r w:rsidR="00CA0726" w:rsidRPr="00996B25">
        <w:rPr>
          <w:sz w:val="22"/>
          <w:lang w:val="en-GB"/>
        </w:rPr>
        <w:t xml:space="preserve"> 2015</w:t>
      </w:r>
      <w:r w:rsidR="00E86B3B">
        <w:rPr>
          <w:sz w:val="22"/>
          <w:lang w:val="en-GB"/>
        </w:rPr>
        <w:t>).</w:t>
      </w:r>
      <w:r w:rsidR="004B5615" w:rsidRPr="00996B25">
        <w:rPr>
          <w:sz w:val="22"/>
          <w:lang w:val="en-GB"/>
        </w:rPr>
        <w:t xml:space="preserve"> Fuel conversion is a physicochemical transformation involving the transformation of fuel energy into another type of energy, </w:t>
      </w:r>
      <w:r w:rsidR="00247358">
        <w:rPr>
          <w:sz w:val="22"/>
          <w:lang w:val="en-GB"/>
        </w:rPr>
        <w:t>called direct transformation, which may include combustion or the transformation of fuel into another form,</w:t>
      </w:r>
      <w:r w:rsidR="004B5615" w:rsidRPr="00996B25">
        <w:rPr>
          <w:sz w:val="22"/>
          <w:lang w:val="en-GB"/>
        </w:rPr>
        <w:t xml:space="preserve"> called </w:t>
      </w:r>
      <w:r w:rsidR="004B5615" w:rsidRPr="00996B25">
        <w:rPr>
          <w:sz w:val="22"/>
          <w:lang w:val="en-GB"/>
        </w:rPr>
        <w:lastRenderedPageBreak/>
        <w:t>indirect transformation. Intermediate fuel transformation processes include pyrolytic processes, in which the supplied heat is responsible for the transformation, and oxidative processes, in which free or bound oxygen in the form of CO</w:t>
      </w:r>
      <w:r w:rsidR="004B5615" w:rsidRPr="00996B25">
        <w:rPr>
          <w:sz w:val="22"/>
          <w:vertAlign w:val="subscript"/>
          <w:lang w:val="en-GB"/>
        </w:rPr>
        <w:t>2</w:t>
      </w:r>
      <w:r w:rsidR="004B5615" w:rsidRPr="00996B25">
        <w:rPr>
          <w:sz w:val="22"/>
          <w:lang w:val="en-GB"/>
        </w:rPr>
        <w:t xml:space="preserve"> or H</w:t>
      </w:r>
      <w:r w:rsidR="004B5615" w:rsidRPr="00996B25">
        <w:rPr>
          <w:sz w:val="22"/>
          <w:vertAlign w:val="subscript"/>
          <w:lang w:val="en-GB"/>
        </w:rPr>
        <w:t>2</w:t>
      </w:r>
      <w:r w:rsidR="004B5615" w:rsidRPr="00996B25">
        <w:rPr>
          <w:sz w:val="22"/>
          <w:lang w:val="en-GB"/>
        </w:rPr>
        <w:t xml:space="preserve">O is responsible for the transformation. However, </w:t>
      </w:r>
      <w:r w:rsidR="00247358">
        <w:rPr>
          <w:sz w:val="22"/>
          <w:lang w:val="en-GB"/>
        </w:rPr>
        <w:t>hydrogen is the main factor causing fuel conversion in hydrogenation processes</w:t>
      </w:r>
      <w:r w:rsidR="004B5615" w:rsidRPr="00996B25">
        <w:rPr>
          <w:sz w:val="22"/>
          <w:lang w:val="en-GB"/>
        </w:rPr>
        <w:t xml:space="preserve"> </w:t>
      </w:r>
      <w:r w:rsidR="00E86B3B">
        <w:rPr>
          <w:sz w:val="22"/>
          <w:lang w:val="en-GB"/>
        </w:rPr>
        <w:t>(</w:t>
      </w:r>
      <w:proofErr w:type="spellStart"/>
      <w:r w:rsidR="00CA0726" w:rsidRPr="00996B25">
        <w:rPr>
          <w:sz w:val="22"/>
          <w:lang w:val="en-GB"/>
        </w:rPr>
        <w:t>Nadziakiewicz</w:t>
      </w:r>
      <w:proofErr w:type="spellEnd"/>
      <w:r w:rsidR="00CA0726" w:rsidRPr="00996B25">
        <w:rPr>
          <w:sz w:val="22"/>
          <w:lang w:val="en-GB"/>
        </w:rPr>
        <w:t xml:space="preserve"> et al. 2012</w:t>
      </w:r>
      <w:r w:rsidR="00E86B3B">
        <w:rPr>
          <w:sz w:val="22"/>
          <w:lang w:val="en-GB"/>
        </w:rPr>
        <w:t>).</w:t>
      </w:r>
      <w:r w:rsidR="004B5615" w:rsidRPr="00996B25">
        <w:rPr>
          <w:sz w:val="22"/>
          <w:lang w:val="en-GB"/>
        </w:rPr>
        <w:t xml:space="preserve"> The products of pyrolysis of organic substances are most often pyrolysis gas, liquid fraction (water-tar-oil) and char. Pyrolysis gas usually includes carbon dioxide, carbon monoxide, methane, hydrocarbons, hydrogen </w:t>
      </w:r>
      <w:proofErr w:type="spellStart"/>
      <w:r w:rsidR="004B5615" w:rsidRPr="00996B25">
        <w:rPr>
          <w:sz w:val="22"/>
          <w:lang w:val="en-GB"/>
        </w:rPr>
        <w:t>sulfide</w:t>
      </w:r>
      <w:proofErr w:type="spellEnd"/>
      <w:r w:rsidR="004B5615" w:rsidRPr="00996B25">
        <w:rPr>
          <w:sz w:val="22"/>
          <w:lang w:val="en-GB"/>
        </w:rPr>
        <w:t xml:space="preserve">, dust and trace impurities. The char contains inorganic </w:t>
      </w:r>
      <w:r w:rsidR="00247358">
        <w:rPr>
          <w:sz w:val="22"/>
          <w:lang w:val="en-GB"/>
        </w:rPr>
        <w:t>feedstock components</w:t>
      </w:r>
      <w:r w:rsidR="004B5615" w:rsidRPr="00996B25">
        <w:rPr>
          <w:sz w:val="22"/>
          <w:lang w:val="en-GB"/>
        </w:rPr>
        <w:t xml:space="preserve"> being processed </w:t>
      </w:r>
      <w:r w:rsidR="00E86B3B">
        <w:rPr>
          <w:sz w:val="22"/>
          <w:lang w:val="en-GB"/>
        </w:rPr>
        <w:t>(</w:t>
      </w:r>
      <w:proofErr w:type="spellStart"/>
      <w:r w:rsidR="00CA0726" w:rsidRPr="00996B25">
        <w:rPr>
          <w:sz w:val="22"/>
          <w:lang w:val="en-GB"/>
        </w:rPr>
        <w:t>Nadziakiewicz</w:t>
      </w:r>
      <w:proofErr w:type="spellEnd"/>
      <w:r w:rsidR="00CA0726" w:rsidRPr="00996B25">
        <w:rPr>
          <w:sz w:val="22"/>
          <w:lang w:val="en-GB"/>
        </w:rPr>
        <w:t xml:space="preserve"> et al. 2012</w:t>
      </w:r>
      <w:r w:rsidR="00E86B3B">
        <w:rPr>
          <w:sz w:val="22"/>
          <w:lang w:val="en-GB"/>
        </w:rPr>
        <w:t>).</w:t>
      </w:r>
      <w:r w:rsidR="004B5615" w:rsidRPr="00996B25">
        <w:rPr>
          <w:sz w:val="22"/>
          <w:lang w:val="en-GB"/>
        </w:rPr>
        <w:t xml:space="preserve"> Depending on the temperature of the process, a distinction is made between low-temperature pyrolysis, in the temperature range of 450°C to 700°C, and high-temperature pyrolysis, also known as coking, in the temperature range from 900°C to 1200°C. For solid fuels, this process is called degassing, while for liquid fuels</w:t>
      </w:r>
      <w:r w:rsidR="00247358">
        <w:rPr>
          <w:sz w:val="22"/>
          <w:lang w:val="en-GB"/>
        </w:rPr>
        <w:t>,</w:t>
      </w:r>
      <w:r w:rsidR="004B5615" w:rsidRPr="00996B25">
        <w:rPr>
          <w:sz w:val="22"/>
          <w:lang w:val="en-GB"/>
        </w:rPr>
        <w:t xml:space="preserve"> it is called cracking </w:t>
      </w:r>
      <w:r w:rsidR="00E86B3B">
        <w:rPr>
          <w:sz w:val="22"/>
          <w:lang w:val="en-GB"/>
        </w:rPr>
        <w:t>(</w:t>
      </w:r>
      <w:proofErr w:type="spellStart"/>
      <w:r w:rsidR="00CA0726" w:rsidRPr="00996B25">
        <w:rPr>
          <w:sz w:val="22"/>
          <w:lang w:val="en-GB"/>
        </w:rPr>
        <w:t>Nadziakiewicz</w:t>
      </w:r>
      <w:proofErr w:type="spellEnd"/>
      <w:r w:rsidR="00CA0726" w:rsidRPr="00996B25">
        <w:rPr>
          <w:sz w:val="22"/>
          <w:lang w:val="en-GB"/>
        </w:rPr>
        <w:t xml:space="preserve"> et al. 2012</w:t>
      </w:r>
      <w:r w:rsidR="00E86B3B">
        <w:rPr>
          <w:sz w:val="22"/>
          <w:lang w:val="en-GB"/>
        </w:rPr>
        <w:t>).</w:t>
      </w:r>
    </w:p>
    <w:p w14:paraId="3E9CF57E" w14:textId="77777777" w:rsidR="00AB4C0A" w:rsidRDefault="00AB4C0A" w:rsidP="00996B25">
      <w:pPr>
        <w:spacing w:line="240" w:lineRule="auto"/>
        <w:ind w:firstLine="283"/>
        <w:jc w:val="both"/>
        <w:rPr>
          <w:sz w:val="22"/>
          <w:lang w:val="en-GB"/>
        </w:rPr>
      </w:pPr>
    </w:p>
    <w:p w14:paraId="7FA74E49" w14:textId="24F71EFD" w:rsidR="004B5615" w:rsidRPr="00996B25" w:rsidRDefault="004B5615" w:rsidP="00996B25">
      <w:pPr>
        <w:spacing w:line="240" w:lineRule="auto"/>
        <w:ind w:firstLine="283"/>
        <w:jc w:val="both"/>
        <w:rPr>
          <w:sz w:val="22"/>
          <w:lang w:val="en-GB"/>
        </w:rPr>
      </w:pPr>
      <w:r w:rsidRPr="00996B25">
        <w:rPr>
          <w:sz w:val="22"/>
          <w:lang w:val="en-GB"/>
        </w:rPr>
        <w:t xml:space="preserve">Depending on the speed of the process, a distinction can be made between slow pyrolysis and fast pyrolysis. Most often, pyrolysis is carried out at temperatures from 400°C to 1000°C, and the residence time of the raw material in the reactor ranges from several minutes in the case of slow pyrolysis and up to 0.5 seconds in the case of very fast pyrolysis. Low process temperatures and slow </w:t>
      </w:r>
      <w:r w:rsidR="00247358">
        <w:rPr>
          <w:sz w:val="22"/>
          <w:lang w:val="en-GB"/>
        </w:rPr>
        <w:t>raw material heating favour solid product formation</w:t>
      </w:r>
      <w:r w:rsidRPr="00996B25">
        <w:rPr>
          <w:sz w:val="22"/>
          <w:lang w:val="en-GB"/>
        </w:rPr>
        <w:t xml:space="preserve">, while high temperatures allow for obtaining larger amounts of liquid products. </w:t>
      </w:r>
      <w:r w:rsidR="00247358">
        <w:rPr>
          <w:sz w:val="22"/>
          <w:lang w:val="en-GB"/>
        </w:rPr>
        <w:t>Gaseous products can be obtained if very fast pyrolysis is used at a temperature of 900°C</w:t>
      </w:r>
      <w:r w:rsidRPr="00996B25">
        <w:rPr>
          <w:sz w:val="22"/>
          <w:lang w:val="en-GB"/>
        </w:rPr>
        <w:t>. Depending on the type of raw material, appropriate process conditions are selected</w:t>
      </w:r>
      <w:r w:rsidR="00247358">
        <w:rPr>
          <w:sz w:val="22"/>
          <w:lang w:val="en-GB"/>
        </w:rPr>
        <w:t xml:space="preserve"> to obtain</w:t>
      </w:r>
      <w:r w:rsidRPr="00996B25">
        <w:rPr>
          <w:sz w:val="22"/>
          <w:lang w:val="en-GB"/>
        </w:rPr>
        <w:t xml:space="preserve"> the desired product. Conventionally used pyrolysis, in which the temperature increases slowly, has been used for thousands of years, and its main product </w:t>
      </w:r>
      <w:r w:rsidR="00247358">
        <w:rPr>
          <w:sz w:val="22"/>
          <w:lang w:val="en-GB"/>
        </w:rPr>
        <w:t>i</w:t>
      </w:r>
      <w:r w:rsidRPr="00996B25">
        <w:rPr>
          <w:sz w:val="22"/>
          <w:lang w:val="en-GB"/>
        </w:rPr>
        <w:t>s charcoal. In the slow pyrolysis process, the biomass is heated to approximately 500°C. The residence time of the vapo</w:t>
      </w:r>
      <w:r w:rsidR="00247358">
        <w:rPr>
          <w:sz w:val="22"/>
          <w:lang w:val="en-GB"/>
        </w:rPr>
        <w:t>u</w:t>
      </w:r>
      <w:r w:rsidRPr="00996B25">
        <w:rPr>
          <w:sz w:val="22"/>
          <w:lang w:val="en-GB"/>
        </w:rPr>
        <w:t xml:space="preserve">rs in the reactor is from 5 to 30 minutes. </w:t>
      </w:r>
      <w:r w:rsidR="00247358">
        <w:rPr>
          <w:sz w:val="22"/>
          <w:lang w:val="en-GB"/>
        </w:rPr>
        <w:t>It</w:t>
      </w:r>
      <w:r w:rsidRPr="00996B25">
        <w:rPr>
          <w:sz w:val="22"/>
          <w:lang w:val="en-GB"/>
        </w:rPr>
        <w:t xml:space="preserve"> takes place much slower than in the case of fast pyrolysis. The long residence time of particles in the chamber causes secondary conversion of the originally formed products. The </w:t>
      </w:r>
      <w:r w:rsidR="00247358">
        <w:rPr>
          <w:sz w:val="22"/>
          <w:lang w:val="en-GB"/>
        </w:rPr>
        <w:t>gas phase components</w:t>
      </w:r>
      <w:r w:rsidRPr="00996B25">
        <w:rPr>
          <w:sz w:val="22"/>
          <w:lang w:val="en-GB"/>
        </w:rPr>
        <w:t xml:space="preserve"> react with each other to create a solid phase </w:t>
      </w:r>
      <w:r w:rsidR="005F7DF5">
        <w:rPr>
          <w:sz w:val="22"/>
          <w:lang w:val="en-GB"/>
        </w:rPr>
        <w:t>–</w:t>
      </w:r>
      <w:r w:rsidRPr="00996B25">
        <w:rPr>
          <w:sz w:val="22"/>
          <w:lang w:val="en-GB"/>
        </w:rPr>
        <w:t xml:space="preserve"> carbon and a liquid phase. The pyrolyzed raw material can be kept at a constant temperature or slowly heated, and the vapo</w:t>
      </w:r>
      <w:r w:rsidR="00247358">
        <w:rPr>
          <w:sz w:val="22"/>
          <w:lang w:val="en-GB"/>
        </w:rPr>
        <w:t>u</w:t>
      </w:r>
      <w:r w:rsidRPr="00996B25">
        <w:rPr>
          <w:sz w:val="22"/>
          <w:lang w:val="en-GB"/>
        </w:rPr>
        <w:t xml:space="preserve">rs can be systematically removed. Another </w:t>
      </w:r>
      <w:r w:rsidR="00247358">
        <w:rPr>
          <w:sz w:val="22"/>
          <w:lang w:val="en-GB"/>
        </w:rPr>
        <w:t>pyrolysis variant is carrying</w:t>
      </w:r>
      <w:r w:rsidRPr="00996B25">
        <w:rPr>
          <w:sz w:val="22"/>
          <w:lang w:val="en-GB"/>
        </w:rPr>
        <w:t xml:space="preserve"> out the process in vacuum conditions </w:t>
      </w:r>
      <w:r w:rsidR="00E86B3B">
        <w:rPr>
          <w:sz w:val="22"/>
          <w:lang w:val="en-GB"/>
        </w:rPr>
        <w:t>(</w:t>
      </w:r>
      <w:proofErr w:type="spellStart"/>
      <w:r w:rsidR="00CB19ED" w:rsidRPr="00996B25">
        <w:rPr>
          <w:sz w:val="22"/>
          <w:lang w:val="en-GB"/>
        </w:rPr>
        <w:t>Czarnocka</w:t>
      </w:r>
      <w:proofErr w:type="spellEnd"/>
      <w:r w:rsidR="00CB19ED" w:rsidRPr="00996B25">
        <w:rPr>
          <w:sz w:val="22"/>
          <w:lang w:val="en-GB"/>
        </w:rPr>
        <w:t xml:space="preserve"> 2015</w:t>
      </w:r>
      <w:r w:rsidR="00E86B3B">
        <w:rPr>
          <w:sz w:val="22"/>
          <w:lang w:val="en-GB"/>
        </w:rPr>
        <w:t>).</w:t>
      </w:r>
      <w:r w:rsidRPr="00996B25">
        <w:rPr>
          <w:sz w:val="22"/>
          <w:lang w:val="en-GB"/>
        </w:rPr>
        <w:t xml:space="preserve"> Fast pyrolysis is a high-temperature process in which biomass is heated at high speed without air. The products of this process include gaseous products, aerosols and carbonized residue. After cooling and condensing the gas phase and aerosols, a brown liquid is obtained, the calorific value of which is half that of traditionally obtained diesel oil. In the fast pyrolysis process, 60-75% by weight of liquid bio-oil, 15-25% by weight of solid carbon products and 10-20% by weight of gaseous products that have not been condensed are obtained, and their amount depends on the type of raw material used. The advantage of the process is that it does not generate waste because bio-oil and carbonized products are used as fuel</w:t>
      </w:r>
      <w:r w:rsidR="00247358">
        <w:rPr>
          <w:sz w:val="22"/>
          <w:lang w:val="en-GB"/>
        </w:rPr>
        <w:t>,</w:t>
      </w:r>
      <w:r w:rsidRPr="00996B25">
        <w:rPr>
          <w:sz w:val="22"/>
          <w:lang w:val="en-GB"/>
        </w:rPr>
        <w:t xml:space="preserve"> and the gases can be returned to the process. </w:t>
      </w:r>
      <w:r w:rsidR="00247358">
        <w:rPr>
          <w:sz w:val="22"/>
          <w:lang w:val="en-GB"/>
        </w:rPr>
        <w:t>Several characteristic features can characterize fast pyrolysi</w:t>
      </w:r>
      <w:r w:rsidRPr="00996B25">
        <w:rPr>
          <w:sz w:val="22"/>
          <w:lang w:val="en-GB"/>
        </w:rPr>
        <w:t xml:space="preserve">s. One of them is the previously mentioned high heating rate. In this process, the </w:t>
      </w:r>
      <w:r w:rsidR="00247358">
        <w:rPr>
          <w:sz w:val="22"/>
          <w:lang w:val="en-GB"/>
        </w:rPr>
        <w:t>heat transfer rate</w:t>
      </w:r>
      <w:r w:rsidRPr="00996B25">
        <w:rPr>
          <w:sz w:val="22"/>
          <w:lang w:val="en-GB"/>
        </w:rPr>
        <w:t xml:space="preserve"> is important, </w:t>
      </w:r>
      <w:r w:rsidR="00247358">
        <w:rPr>
          <w:sz w:val="22"/>
          <w:lang w:val="en-GB"/>
        </w:rPr>
        <w:t>and the use of finely ground material facilitates it</w:t>
      </w:r>
      <w:r w:rsidRPr="00996B25">
        <w:rPr>
          <w:sz w:val="22"/>
          <w:lang w:val="en-GB"/>
        </w:rPr>
        <w:t>. Another feature of fast pyrolysis is careful control of the process temperature, which ranges from 450 to 900°C. The third feature of speed pyrolysis is the short residence time of the vapo</w:t>
      </w:r>
      <w:r w:rsidR="00247358">
        <w:rPr>
          <w:sz w:val="22"/>
          <w:lang w:val="en-GB"/>
        </w:rPr>
        <w:t>u</w:t>
      </w:r>
      <w:r w:rsidRPr="00996B25">
        <w:rPr>
          <w:sz w:val="22"/>
          <w:lang w:val="en-GB"/>
        </w:rPr>
        <w:t>rs in the reactor (less than 2 seconds). The last characteristic feature is the rapid cooling and condensation of vapo</w:t>
      </w:r>
      <w:r w:rsidR="00247358">
        <w:rPr>
          <w:sz w:val="22"/>
          <w:lang w:val="en-GB"/>
        </w:rPr>
        <w:t>u</w:t>
      </w:r>
      <w:r w:rsidRPr="00996B25">
        <w:rPr>
          <w:sz w:val="22"/>
          <w:lang w:val="en-GB"/>
        </w:rPr>
        <w:t xml:space="preserve">rs and aerosols to obtain bio-oil </w:t>
      </w:r>
      <w:r w:rsidR="00E86B3B">
        <w:rPr>
          <w:sz w:val="22"/>
          <w:lang w:val="en-GB"/>
        </w:rPr>
        <w:t>(</w:t>
      </w:r>
      <w:r w:rsidR="00CB19ED" w:rsidRPr="00996B25">
        <w:rPr>
          <w:sz w:val="22"/>
          <w:lang w:val="en-GB"/>
        </w:rPr>
        <w:t>Mohan et al. 2006</w:t>
      </w:r>
      <w:r w:rsidR="00E86B3B">
        <w:rPr>
          <w:sz w:val="22"/>
          <w:lang w:val="en-GB"/>
        </w:rPr>
        <w:t>).</w:t>
      </w:r>
      <w:r w:rsidRPr="00996B25">
        <w:rPr>
          <w:sz w:val="22"/>
          <w:lang w:val="en-GB"/>
        </w:rPr>
        <w:t xml:space="preserve"> The differences between fast and slow pyrolysis are presented in detail in Table 1.</w:t>
      </w:r>
    </w:p>
    <w:p w14:paraId="5073461F" w14:textId="77777777" w:rsidR="004B5615" w:rsidRPr="00996B25" w:rsidRDefault="004B5615" w:rsidP="00996B25">
      <w:pPr>
        <w:spacing w:line="240" w:lineRule="auto"/>
        <w:rPr>
          <w:sz w:val="22"/>
          <w:lang w:val="en-GB"/>
        </w:rPr>
      </w:pPr>
    </w:p>
    <w:p w14:paraId="7155F9FC" w14:textId="68EE5C50" w:rsidR="007502F1" w:rsidRPr="00996B25" w:rsidRDefault="004B5615" w:rsidP="00996B25">
      <w:pPr>
        <w:pStyle w:val="Rtab"/>
      </w:pPr>
      <w:proofErr w:type="spellStart"/>
      <w:r w:rsidRPr="00996B25">
        <w:rPr>
          <w:b/>
        </w:rPr>
        <w:t>Table</w:t>
      </w:r>
      <w:proofErr w:type="spellEnd"/>
      <w:r w:rsidRPr="00996B25">
        <w:rPr>
          <w:b/>
        </w:rPr>
        <w:t xml:space="preserve"> 1.</w:t>
      </w:r>
      <w:r w:rsidRPr="00996B25">
        <w:t xml:space="preserve"> </w:t>
      </w:r>
      <w:proofErr w:type="spellStart"/>
      <w:r w:rsidRPr="00996B25">
        <w:t>Comparison</w:t>
      </w:r>
      <w:proofErr w:type="spellEnd"/>
      <w:r w:rsidRPr="00996B25">
        <w:t xml:space="preserve"> of </w:t>
      </w:r>
      <w:proofErr w:type="spellStart"/>
      <w:r w:rsidRPr="00996B25">
        <w:t>slow</w:t>
      </w:r>
      <w:proofErr w:type="spellEnd"/>
      <w:r w:rsidRPr="00996B25">
        <w:t xml:space="preserve"> and fast </w:t>
      </w:r>
      <w:proofErr w:type="spellStart"/>
      <w:r w:rsidRPr="00996B25">
        <w:t>pyrol</w:t>
      </w:r>
      <w:r w:rsidR="00247358">
        <w:t>y</w:t>
      </w:r>
      <w:r w:rsidRPr="00996B25">
        <w:t>sis</w:t>
      </w:r>
      <w:proofErr w:type="spellEnd"/>
      <w:r w:rsidRPr="00996B25">
        <w:t xml:space="preserve"> </w:t>
      </w:r>
      <w:r w:rsidR="00E86B3B">
        <w:t>(</w:t>
      </w:r>
      <w:proofErr w:type="spellStart"/>
      <w:r w:rsidR="005A4326" w:rsidRPr="00996B25">
        <w:t>Retajczyk</w:t>
      </w:r>
      <w:proofErr w:type="spellEnd"/>
      <w:r w:rsidR="005A4326" w:rsidRPr="00996B25">
        <w:t xml:space="preserve"> &amp; Wróblewska 2018</w:t>
      </w:r>
      <w:r w:rsidR="00E86B3B">
        <w:t>)</w:t>
      </w:r>
    </w:p>
    <w:tbl>
      <w:tblPr>
        <w:tblStyle w:val="Siatkatabelijasna"/>
        <w:tblW w:w="9615" w:type="dxa"/>
        <w:tblLook w:val="04A0" w:firstRow="1" w:lastRow="0" w:firstColumn="1" w:lastColumn="0" w:noHBand="0" w:noVBand="1"/>
      </w:tblPr>
      <w:tblGrid>
        <w:gridCol w:w="1555"/>
        <w:gridCol w:w="3969"/>
        <w:gridCol w:w="1984"/>
        <w:gridCol w:w="1134"/>
        <w:gridCol w:w="973"/>
      </w:tblGrid>
      <w:tr w:rsidR="007502F1" w:rsidRPr="00996B25" w14:paraId="33911917" w14:textId="77777777" w:rsidTr="00996B25">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9D0CFBB" w14:textId="5A199E9F"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 xml:space="preserve">Type </w:t>
            </w:r>
            <w:r w:rsidR="00996B25">
              <w:rPr>
                <w:kern w:val="0"/>
                <w:sz w:val="22"/>
                <w:szCs w:val="22"/>
                <w:lang w:val="en-GB"/>
              </w:rPr>
              <w:br/>
            </w:r>
            <w:r w:rsidRPr="00996B25">
              <w:rPr>
                <w:kern w:val="0"/>
                <w:sz w:val="22"/>
                <w:szCs w:val="22"/>
                <w:lang w:val="en-GB"/>
              </w:rPr>
              <w:t>of pyrolysis</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ABDDE2D"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Process conditions</w:t>
            </w:r>
          </w:p>
        </w:tc>
        <w:tc>
          <w:tcPr>
            <w:tcW w:w="4091" w:type="dxa"/>
            <w:gridSpan w:val="3"/>
            <w:tcBorders>
              <w:top w:val="single" w:sz="4" w:space="0" w:color="auto"/>
              <w:left w:val="single" w:sz="4" w:space="0" w:color="auto"/>
              <w:bottom w:val="single" w:sz="4" w:space="0" w:color="auto"/>
              <w:right w:val="single" w:sz="4" w:space="0" w:color="auto"/>
            </w:tcBorders>
            <w:vAlign w:val="center"/>
            <w:hideMark/>
          </w:tcPr>
          <w:p w14:paraId="51012263"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Product content</w:t>
            </w:r>
          </w:p>
        </w:tc>
      </w:tr>
      <w:tr w:rsidR="007502F1" w:rsidRPr="00996B25" w14:paraId="61837CDF" w14:textId="77777777" w:rsidTr="005F7DF5">
        <w:trPr>
          <w:trHeight w:val="323"/>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07C5B20"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DC0B750"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54545FE"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Liquid fraction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AD127"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Char[%]</w:t>
            </w:r>
          </w:p>
        </w:tc>
        <w:tc>
          <w:tcPr>
            <w:tcW w:w="973" w:type="dxa"/>
            <w:tcBorders>
              <w:top w:val="single" w:sz="4" w:space="0" w:color="auto"/>
              <w:left w:val="single" w:sz="4" w:space="0" w:color="auto"/>
              <w:bottom w:val="single" w:sz="4" w:space="0" w:color="auto"/>
              <w:right w:val="single" w:sz="4" w:space="0" w:color="auto"/>
            </w:tcBorders>
            <w:vAlign w:val="center"/>
            <w:hideMark/>
          </w:tcPr>
          <w:p w14:paraId="4756A1A1"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Gas[%]</w:t>
            </w:r>
          </w:p>
        </w:tc>
      </w:tr>
      <w:tr w:rsidR="007502F1" w:rsidRPr="00996B25" w14:paraId="5B4C6953" w14:textId="77777777" w:rsidTr="005F7DF5">
        <w:trPr>
          <w:trHeight w:val="1006"/>
        </w:trPr>
        <w:tc>
          <w:tcPr>
            <w:tcW w:w="1555" w:type="dxa"/>
            <w:tcBorders>
              <w:top w:val="single" w:sz="4" w:space="0" w:color="auto"/>
              <w:left w:val="single" w:sz="4" w:space="0" w:color="auto"/>
              <w:bottom w:val="single" w:sz="4" w:space="0" w:color="auto"/>
              <w:right w:val="single" w:sz="4" w:space="0" w:color="auto"/>
            </w:tcBorders>
            <w:vAlign w:val="center"/>
            <w:hideMark/>
          </w:tcPr>
          <w:p w14:paraId="012CDDBD" w14:textId="73286F66"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 xml:space="preserve">Fast </w:t>
            </w:r>
            <w:r w:rsidR="00996B25">
              <w:rPr>
                <w:kern w:val="0"/>
                <w:sz w:val="22"/>
                <w:szCs w:val="22"/>
                <w:lang w:val="en-GB"/>
              </w:rPr>
              <w:t>p</w:t>
            </w:r>
            <w:r w:rsidRPr="00996B25">
              <w:rPr>
                <w:kern w:val="0"/>
                <w:sz w:val="22"/>
                <w:szCs w:val="22"/>
                <w:lang w:val="en-GB"/>
              </w:rPr>
              <w:t>yrolysis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435F3F"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The process takes place at temperatures from 500°C to 700°C, short residence time of the primary products in the conversion zone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0A9C796"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5A805A"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13</w:t>
            </w:r>
          </w:p>
        </w:tc>
        <w:tc>
          <w:tcPr>
            <w:tcW w:w="973" w:type="dxa"/>
            <w:tcBorders>
              <w:top w:val="single" w:sz="4" w:space="0" w:color="auto"/>
              <w:left w:val="single" w:sz="4" w:space="0" w:color="auto"/>
              <w:bottom w:val="single" w:sz="4" w:space="0" w:color="auto"/>
              <w:right w:val="single" w:sz="4" w:space="0" w:color="auto"/>
            </w:tcBorders>
            <w:vAlign w:val="center"/>
            <w:hideMark/>
          </w:tcPr>
          <w:p w14:paraId="06FAB708"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12</w:t>
            </w:r>
          </w:p>
        </w:tc>
      </w:tr>
      <w:tr w:rsidR="007502F1" w:rsidRPr="00996B25" w14:paraId="60BF024B" w14:textId="77777777" w:rsidTr="005F7DF5">
        <w:tc>
          <w:tcPr>
            <w:tcW w:w="1555" w:type="dxa"/>
            <w:tcBorders>
              <w:top w:val="single" w:sz="4" w:space="0" w:color="auto"/>
              <w:left w:val="single" w:sz="4" w:space="0" w:color="auto"/>
              <w:bottom w:val="single" w:sz="4" w:space="0" w:color="auto"/>
              <w:right w:val="single" w:sz="4" w:space="0" w:color="auto"/>
            </w:tcBorders>
            <w:vAlign w:val="center"/>
            <w:hideMark/>
          </w:tcPr>
          <w:p w14:paraId="23F8353B" w14:textId="15A2F98D"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 xml:space="preserve">Slow </w:t>
            </w:r>
            <w:r w:rsidR="00996B25">
              <w:rPr>
                <w:kern w:val="0"/>
                <w:sz w:val="22"/>
                <w:szCs w:val="22"/>
                <w:lang w:val="en-GB"/>
              </w:rPr>
              <w:t>p</w:t>
            </w:r>
            <w:r w:rsidRPr="00996B25">
              <w:rPr>
                <w:kern w:val="0"/>
                <w:sz w:val="22"/>
                <w:szCs w:val="22"/>
                <w:lang w:val="en-GB"/>
              </w:rPr>
              <w:t>yrolysis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1EE803"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Low process temperature, below 550°C, long residence time of primary products in the conversion zone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B76AD2"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89C8D1"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35</w:t>
            </w:r>
          </w:p>
        </w:tc>
        <w:tc>
          <w:tcPr>
            <w:tcW w:w="973" w:type="dxa"/>
            <w:tcBorders>
              <w:top w:val="single" w:sz="4" w:space="0" w:color="auto"/>
              <w:left w:val="single" w:sz="4" w:space="0" w:color="auto"/>
              <w:bottom w:val="single" w:sz="4" w:space="0" w:color="auto"/>
              <w:right w:val="single" w:sz="4" w:space="0" w:color="auto"/>
            </w:tcBorders>
            <w:vAlign w:val="center"/>
            <w:hideMark/>
          </w:tcPr>
          <w:p w14:paraId="4BE9BB30" w14:textId="77777777" w:rsidR="007502F1" w:rsidRPr="00996B25" w:rsidRDefault="007502F1" w:rsidP="00996B25">
            <w:pPr>
              <w:widowControl/>
              <w:overflowPunct/>
              <w:autoSpaceDE/>
              <w:autoSpaceDN/>
              <w:adjustRightInd/>
              <w:spacing w:line="240" w:lineRule="auto"/>
              <w:jc w:val="center"/>
              <w:textAlignment w:val="auto"/>
              <w:rPr>
                <w:kern w:val="0"/>
                <w:szCs w:val="24"/>
                <w:lang w:val="en-GB"/>
              </w:rPr>
            </w:pPr>
            <w:r w:rsidRPr="00996B25">
              <w:rPr>
                <w:kern w:val="0"/>
                <w:sz w:val="22"/>
                <w:szCs w:val="22"/>
                <w:lang w:val="en-GB"/>
              </w:rPr>
              <w:t>35</w:t>
            </w:r>
          </w:p>
        </w:tc>
      </w:tr>
    </w:tbl>
    <w:p w14:paraId="1AC7D9A1" w14:textId="77777777" w:rsidR="004B5615" w:rsidRPr="00996B25" w:rsidRDefault="004B5615" w:rsidP="00996B25">
      <w:pPr>
        <w:spacing w:line="240" w:lineRule="auto"/>
        <w:rPr>
          <w:sz w:val="22"/>
          <w:lang w:val="en-GB"/>
        </w:rPr>
      </w:pPr>
    </w:p>
    <w:p w14:paraId="7FF4BBEB" w14:textId="48C9D75F" w:rsidR="004B5615" w:rsidRPr="00996B25" w:rsidRDefault="004B5615" w:rsidP="00996B25">
      <w:pPr>
        <w:spacing w:line="240" w:lineRule="auto"/>
        <w:ind w:firstLine="283"/>
        <w:jc w:val="both"/>
        <w:rPr>
          <w:sz w:val="22"/>
          <w:lang w:val="en-GB"/>
        </w:rPr>
      </w:pPr>
      <w:r w:rsidRPr="00996B25">
        <w:rPr>
          <w:sz w:val="22"/>
          <w:lang w:val="en-GB"/>
        </w:rPr>
        <w:t xml:space="preserve">Biomass gasification is a technology based on </w:t>
      </w:r>
      <w:r w:rsidR="00247358">
        <w:rPr>
          <w:sz w:val="22"/>
          <w:lang w:val="en-GB"/>
        </w:rPr>
        <w:t>converting</w:t>
      </w:r>
      <w:r w:rsidRPr="00996B25">
        <w:rPr>
          <w:sz w:val="22"/>
          <w:lang w:val="en-GB"/>
        </w:rPr>
        <w:t xml:space="preserve"> carbon compounds contained in biomass into a</w:t>
      </w:r>
      <w:r w:rsidR="00607A40">
        <w:rPr>
          <w:sz w:val="22"/>
          <w:lang w:val="en-GB"/>
        </w:rPr>
        <w:t> </w:t>
      </w:r>
      <w:r w:rsidRPr="00996B25">
        <w:rPr>
          <w:sz w:val="22"/>
          <w:lang w:val="en-GB"/>
        </w:rPr>
        <w:t xml:space="preserve">gaseous fuel called syngas or bio-syngas. The biomass gasification process is carried out in various reactors, e.g. fixed bed or fluidized bed. Depending on the structure and </w:t>
      </w:r>
      <w:r w:rsidR="00247358">
        <w:rPr>
          <w:sz w:val="22"/>
          <w:lang w:val="en-GB"/>
        </w:rPr>
        <w:t>reactor type, biomass gasification occurs</w:t>
      </w:r>
      <w:r w:rsidRPr="00996B25">
        <w:rPr>
          <w:sz w:val="22"/>
          <w:lang w:val="en-GB"/>
        </w:rPr>
        <w:t xml:space="preserve"> at temperatures of 700</w:t>
      </w:r>
      <w:r w:rsidR="00E86B3B">
        <w:rPr>
          <w:sz w:val="22"/>
          <w:lang w:val="en-GB"/>
        </w:rPr>
        <w:t>-</w:t>
      </w:r>
      <w:r w:rsidRPr="00996B25">
        <w:rPr>
          <w:sz w:val="22"/>
          <w:lang w:val="en-GB"/>
        </w:rPr>
        <w:t xml:space="preserve">1500°C in an atmosphere of air, water vapor or pure gases such as oxygen, nitrogen, </w:t>
      </w:r>
      <w:r w:rsidR="00247358">
        <w:rPr>
          <w:sz w:val="22"/>
          <w:lang w:val="en-GB"/>
        </w:rPr>
        <w:t xml:space="preserve">and </w:t>
      </w:r>
      <w:r w:rsidRPr="00996B25">
        <w:rPr>
          <w:sz w:val="22"/>
          <w:lang w:val="en-GB"/>
        </w:rPr>
        <w:lastRenderedPageBreak/>
        <w:t xml:space="preserve">carbon dioxide </w:t>
      </w:r>
      <w:r w:rsidR="00E86B3B">
        <w:rPr>
          <w:sz w:val="22"/>
          <w:lang w:val="en-GB"/>
        </w:rPr>
        <w:t>(</w:t>
      </w:r>
      <w:proofErr w:type="spellStart"/>
      <w:r w:rsidR="0009551F" w:rsidRPr="00996B25">
        <w:rPr>
          <w:sz w:val="22"/>
          <w:lang w:val="en-GB"/>
        </w:rPr>
        <w:t>Gołaszewski</w:t>
      </w:r>
      <w:proofErr w:type="spellEnd"/>
      <w:r w:rsidR="0009551F" w:rsidRPr="00996B25">
        <w:rPr>
          <w:sz w:val="22"/>
          <w:lang w:val="en-GB"/>
        </w:rPr>
        <w:t xml:space="preserve"> et al</w:t>
      </w:r>
      <w:r w:rsidR="00E86B3B">
        <w:rPr>
          <w:sz w:val="22"/>
          <w:lang w:val="en-GB"/>
        </w:rPr>
        <w:t>.</w:t>
      </w:r>
      <w:r w:rsidR="0009551F" w:rsidRPr="00996B25">
        <w:rPr>
          <w:sz w:val="22"/>
          <w:lang w:val="en-GB"/>
        </w:rPr>
        <w:t xml:space="preserve"> 2020</w:t>
      </w:r>
      <w:r w:rsidR="00E86B3B">
        <w:rPr>
          <w:sz w:val="22"/>
          <w:lang w:val="en-GB"/>
        </w:rPr>
        <w:t>).</w:t>
      </w:r>
      <w:r w:rsidRPr="00996B25">
        <w:rPr>
          <w:sz w:val="22"/>
          <w:lang w:val="en-GB"/>
        </w:rPr>
        <w:t xml:space="preserve"> Gasification is a process of oxidation of biomass, as a result of which the chemical energy of the bonds of carbon structures is released and then stored in the bonds of gaseous products. Syngas contains mainly CO, CO</w:t>
      </w:r>
      <w:r w:rsidRPr="005F7DF5">
        <w:rPr>
          <w:sz w:val="22"/>
          <w:vertAlign w:val="subscript"/>
          <w:lang w:val="en-GB"/>
        </w:rPr>
        <w:t>2</w:t>
      </w:r>
      <w:r w:rsidRPr="00996B25">
        <w:rPr>
          <w:sz w:val="22"/>
          <w:lang w:val="en-GB"/>
        </w:rPr>
        <w:t>, H</w:t>
      </w:r>
      <w:r w:rsidRPr="005F7DF5">
        <w:rPr>
          <w:sz w:val="22"/>
          <w:vertAlign w:val="subscript"/>
          <w:lang w:val="en-GB"/>
        </w:rPr>
        <w:t>2</w:t>
      </w:r>
      <w:r w:rsidRPr="00996B25">
        <w:rPr>
          <w:sz w:val="22"/>
          <w:lang w:val="en-GB"/>
        </w:rPr>
        <w:t xml:space="preserve">, </w:t>
      </w:r>
      <w:r w:rsidR="00247358">
        <w:rPr>
          <w:sz w:val="22"/>
          <w:lang w:val="en-GB"/>
        </w:rPr>
        <w:t xml:space="preserve">and </w:t>
      </w:r>
      <w:r w:rsidRPr="00996B25">
        <w:rPr>
          <w:sz w:val="22"/>
          <w:lang w:val="en-GB"/>
        </w:rPr>
        <w:t>N</w:t>
      </w:r>
      <w:r w:rsidRPr="005F7DF5">
        <w:rPr>
          <w:sz w:val="22"/>
          <w:vertAlign w:val="subscript"/>
          <w:lang w:val="en-GB"/>
        </w:rPr>
        <w:t>2</w:t>
      </w:r>
      <w:r w:rsidRPr="00996B25">
        <w:rPr>
          <w:sz w:val="22"/>
          <w:lang w:val="en-GB"/>
        </w:rPr>
        <w:t xml:space="preserve">. Byproducts of the gasification process are small amounts of biochar, ash, tar and oil </w:t>
      </w:r>
      <w:r w:rsidR="00E86B3B">
        <w:rPr>
          <w:sz w:val="22"/>
          <w:lang w:val="en-GB"/>
        </w:rPr>
        <w:t>(</w:t>
      </w:r>
      <w:proofErr w:type="spellStart"/>
      <w:r w:rsidR="0009551F" w:rsidRPr="00996B25">
        <w:rPr>
          <w:sz w:val="22"/>
          <w:lang w:val="en-GB"/>
        </w:rPr>
        <w:t>Gołaszewski</w:t>
      </w:r>
      <w:proofErr w:type="spellEnd"/>
      <w:r w:rsidR="0009551F" w:rsidRPr="00996B25">
        <w:rPr>
          <w:sz w:val="22"/>
          <w:lang w:val="en-GB"/>
        </w:rPr>
        <w:t xml:space="preserve"> et al</w:t>
      </w:r>
      <w:r w:rsidR="00E86B3B">
        <w:rPr>
          <w:sz w:val="22"/>
          <w:lang w:val="en-GB"/>
        </w:rPr>
        <w:t>.</w:t>
      </w:r>
      <w:r w:rsidR="0009551F" w:rsidRPr="00996B25">
        <w:rPr>
          <w:sz w:val="22"/>
          <w:lang w:val="en-GB"/>
        </w:rPr>
        <w:t xml:space="preserve"> 2020</w:t>
      </w:r>
      <w:r w:rsidR="00E86B3B">
        <w:rPr>
          <w:sz w:val="22"/>
          <w:lang w:val="en-GB"/>
        </w:rPr>
        <w:t>).</w:t>
      </w:r>
      <w:r w:rsidRPr="00996B25">
        <w:rPr>
          <w:sz w:val="22"/>
          <w:lang w:val="en-GB"/>
        </w:rPr>
        <w:t xml:space="preserve"> The typical share of products is – biochar 5%, oil 10% and syngas 85%. The </w:t>
      </w:r>
      <w:r w:rsidR="00247358">
        <w:rPr>
          <w:sz w:val="22"/>
          <w:lang w:val="en-GB"/>
        </w:rPr>
        <w:t>low O/C ratio influences the efficiency of syngas production</w:t>
      </w:r>
      <w:r w:rsidRPr="00996B25">
        <w:rPr>
          <w:sz w:val="22"/>
          <w:lang w:val="en-GB"/>
        </w:rPr>
        <w:t xml:space="preserve"> in the biomass, therefore, before the gasification process, the raw material is often conditioned in the torrefaction process. In addition to reducing the O/C ratio, torrefaction increases the energy concentration and hydrophobicity of substrates, which contributes to improving the efficiency of the technology but also the quality of the obtained syngas </w:t>
      </w:r>
      <w:r w:rsidR="00E86B3B">
        <w:rPr>
          <w:sz w:val="22"/>
          <w:lang w:val="en-GB"/>
        </w:rPr>
        <w:t>(</w:t>
      </w:r>
      <w:r w:rsidR="00071B7F" w:rsidRPr="00996B25">
        <w:rPr>
          <w:sz w:val="22"/>
          <w:lang w:val="en-GB"/>
        </w:rPr>
        <w:t>Sharma et al. 2015</w:t>
      </w:r>
      <w:r w:rsidRPr="00996B25">
        <w:rPr>
          <w:sz w:val="22"/>
          <w:lang w:val="en-GB"/>
        </w:rPr>
        <w:t xml:space="preserve">, </w:t>
      </w:r>
      <w:r w:rsidR="00071B7F" w:rsidRPr="00996B25">
        <w:rPr>
          <w:sz w:val="22"/>
          <w:lang w:val="en-GB"/>
        </w:rPr>
        <w:t>Tripathi et al. 2016</w:t>
      </w:r>
      <w:r w:rsidR="00E86B3B">
        <w:rPr>
          <w:sz w:val="22"/>
          <w:lang w:val="en-GB"/>
        </w:rPr>
        <w:t>).</w:t>
      </w:r>
      <w:r w:rsidRPr="00996B25">
        <w:rPr>
          <w:sz w:val="22"/>
          <w:lang w:val="en-GB"/>
        </w:rPr>
        <w:t xml:space="preserve"> Syngas obtained in significant quantities from lignocellulosic biomass is used to produce various types of chemical compounds </w:t>
      </w:r>
      <w:r w:rsidR="00E86B3B">
        <w:rPr>
          <w:sz w:val="22"/>
          <w:lang w:val="en-GB"/>
        </w:rPr>
        <w:t>(</w:t>
      </w:r>
      <w:r w:rsidR="006931E3" w:rsidRPr="00996B25">
        <w:rPr>
          <w:sz w:val="22"/>
          <w:lang w:val="en-GB"/>
        </w:rPr>
        <w:t>De Bhowmick et al. 2018</w:t>
      </w:r>
      <w:r w:rsidR="00E86B3B">
        <w:rPr>
          <w:sz w:val="22"/>
          <w:lang w:val="en-GB"/>
        </w:rPr>
        <w:t>).</w:t>
      </w:r>
      <w:r w:rsidRPr="00996B25">
        <w:rPr>
          <w:sz w:val="22"/>
          <w:lang w:val="en-GB"/>
        </w:rPr>
        <w:t xml:space="preserve"> Moreover, gasification </w:t>
      </w:r>
      <w:r w:rsidR="00247358">
        <w:rPr>
          <w:sz w:val="22"/>
          <w:lang w:val="en-GB"/>
        </w:rPr>
        <w:t>produces</w:t>
      </w:r>
      <w:r w:rsidRPr="00996B25">
        <w:rPr>
          <w:sz w:val="22"/>
          <w:lang w:val="en-GB"/>
        </w:rPr>
        <w:t xml:space="preserve"> H</w:t>
      </w:r>
      <w:r w:rsidRPr="00996B25">
        <w:rPr>
          <w:sz w:val="22"/>
          <w:vertAlign w:val="subscript"/>
          <w:lang w:val="en-GB"/>
        </w:rPr>
        <w:t>2</w:t>
      </w:r>
      <w:r w:rsidRPr="00996B25">
        <w:rPr>
          <w:sz w:val="22"/>
          <w:lang w:val="en-GB"/>
        </w:rPr>
        <w:t xml:space="preserve"> from biomass on an industrial scale, and wet biomass can increase the H</w:t>
      </w:r>
      <w:r w:rsidRPr="00E86B3B">
        <w:rPr>
          <w:sz w:val="22"/>
          <w:vertAlign w:val="subscript"/>
          <w:lang w:val="en-GB"/>
        </w:rPr>
        <w:t>2</w:t>
      </w:r>
      <w:r w:rsidRPr="00996B25">
        <w:rPr>
          <w:sz w:val="22"/>
          <w:lang w:val="en-GB"/>
        </w:rPr>
        <w:t xml:space="preserve"> content in the gas by up to 40% compared to dried biomass. Additionally, </w:t>
      </w:r>
      <w:r w:rsidR="00247358">
        <w:rPr>
          <w:sz w:val="22"/>
          <w:lang w:val="en-GB"/>
        </w:rPr>
        <w:t>using</w:t>
      </w:r>
      <w:r w:rsidRPr="00996B25">
        <w:rPr>
          <w:sz w:val="22"/>
          <w:lang w:val="en-GB"/>
        </w:rPr>
        <w:t xml:space="preserve"> catalysts can increase the efficiency of hydrogen production and thus adapt the gas composition to further </w:t>
      </w:r>
      <w:r w:rsidR="00247358">
        <w:rPr>
          <w:sz w:val="22"/>
          <w:lang w:val="en-GB"/>
        </w:rPr>
        <w:t>application stages</w:t>
      </w:r>
      <w:r w:rsidRPr="00996B25">
        <w:rPr>
          <w:sz w:val="22"/>
          <w:lang w:val="en-GB"/>
        </w:rPr>
        <w:t>, e.g. Fischer-</w:t>
      </w:r>
      <w:proofErr w:type="spellStart"/>
      <w:r w:rsidRPr="00996B25">
        <w:rPr>
          <w:sz w:val="22"/>
          <w:lang w:val="en-GB"/>
        </w:rPr>
        <w:t>Tropsch</w:t>
      </w:r>
      <w:proofErr w:type="spellEnd"/>
      <w:r w:rsidRPr="00996B25">
        <w:rPr>
          <w:sz w:val="22"/>
          <w:lang w:val="en-GB"/>
        </w:rPr>
        <w:t xml:space="preserve"> synthesis </w:t>
      </w:r>
      <w:r w:rsidR="00E86B3B">
        <w:rPr>
          <w:sz w:val="22"/>
          <w:lang w:val="en-GB"/>
        </w:rPr>
        <w:t>(</w:t>
      </w:r>
      <w:proofErr w:type="spellStart"/>
      <w:r w:rsidR="00BD5619" w:rsidRPr="00996B25">
        <w:rPr>
          <w:sz w:val="22"/>
          <w:lang w:val="en-GB"/>
        </w:rPr>
        <w:t>Gołaszewski</w:t>
      </w:r>
      <w:proofErr w:type="spellEnd"/>
      <w:r w:rsidR="00BD5619" w:rsidRPr="00996B25">
        <w:rPr>
          <w:sz w:val="22"/>
          <w:lang w:val="en-GB"/>
        </w:rPr>
        <w:t xml:space="preserve"> et al</w:t>
      </w:r>
      <w:r w:rsidR="00E86B3B">
        <w:rPr>
          <w:sz w:val="22"/>
          <w:lang w:val="en-GB"/>
        </w:rPr>
        <w:t>.</w:t>
      </w:r>
      <w:r w:rsidR="00BD5619" w:rsidRPr="00996B25">
        <w:rPr>
          <w:sz w:val="22"/>
          <w:lang w:val="en-GB"/>
        </w:rPr>
        <w:t xml:space="preserve"> 2020</w:t>
      </w:r>
      <w:r w:rsidRPr="00996B25">
        <w:rPr>
          <w:sz w:val="22"/>
          <w:lang w:val="en-GB"/>
        </w:rPr>
        <w:t xml:space="preserve">, </w:t>
      </w:r>
      <w:r w:rsidR="00BD5619" w:rsidRPr="00996B25">
        <w:rPr>
          <w:sz w:val="22"/>
          <w:lang w:val="en-GB"/>
        </w:rPr>
        <w:t>Kan et al. 2016</w:t>
      </w:r>
      <w:r w:rsidRPr="00996B25">
        <w:rPr>
          <w:sz w:val="22"/>
          <w:lang w:val="en-GB"/>
        </w:rPr>
        <w:t xml:space="preserve">, </w:t>
      </w:r>
      <w:proofErr w:type="spellStart"/>
      <w:r w:rsidR="00BD5619" w:rsidRPr="00996B25">
        <w:rPr>
          <w:sz w:val="22"/>
          <w:lang w:val="en-GB"/>
        </w:rPr>
        <w:t>Szufa</w:t>
      </w:r>
      <w:proofErr w:type="spellEnd"/>
      <w:r w:rsidR="00BD5619" w:rsidRPr="00996B25">
        <w:rPr>
          <w:sz w:val="22"/>
          <w:lang w:val="en-GB"/>
        </w:rPr>
        <w:t xml:space="preserve"> 2015</w:t>
      </w:r>
      <w:r w:rsidR="00E86B3B">
        <w:rPr>
          <w:sz w:val="22"/>
          <w:lang w:val="en-GB"/>
        </w:rPr>
        <w:t>).</w:t>
      </w:r>
    </w:p>
    <w:p w14:paraId="6ADA1CAE" w14:textId="2311FBEA" w:rsidR="00F04A99" w:rsidRPr="00996B25" w:rsidRDefault="00F04A99" w:rsidP="00996B25">
      <w:pPr>
        <w:pStyle w:val="Rn2"/>
      </w:pPr>
      <w:r w:rsidRPr="00996B25">
        <w:t>2.1.</w:t>
      </w:r>
      <w:r w:rsidR="00996B25">
        <w:t xml:space="preserve"> </w:t>
      </w:r>
      <w:proofErr w:type="spellStart"/>
      <w:r w:rsidR="004B5615" w:rsidRPr="00996B25">
        <w:t>Biofuels</w:t>
      </w:r>
      <w:proofErr w:type="spellEnd"/>
      <w:r w:rsidR="004B5615" w:rsidRPr="00996B25">
        <w:t xml:space="preserve"> from </w:t>
      </w:r>
      <w:proofErr w:type="spellStart"/>
      <w:r w:rsidR="004B5615" w:rsidRPr="00996B25">
        <w:t>biomass</w:t>
      </w:r>
      <w:proofErr w:type="spellEnd"/>
    </w:p>
    <w:p w14:paraId="4C8B3838" w14:textId="1FB70887" w:rsidR="004B5615" w:rsidRDefault="004B5615" w:rsidP="00996B25">
      <w:pPr>
        <w:spacing w:line="240" w:lineRule="auto"/>
        <w:ind w:firstLine="284"/>
        <w:jc w:val="both"/>
        <w:rPr>
          <w:sz w:val="22"/>
          <w:lang w:val="en-GB"/>
        </w:rPr>
      </w:pPr>
      <w:r w:rsidRPr="00996B25">
        <w:rPr>
          <w:sz w:val="22"/>
          <w:lang w:val="en-GB"/>
        </w:rPr>
        <w:t>Liquid biofuels, produced from solid biomass (biomass-to-liquid), are an alternative to traditional petrochemical fuels. Currently, the main raw material</w:t>
      </w:r>
      <w:r w:rsidR="00247358">
        <w:rPr>
          <w:sz w:val="22"/>
          <w:lang w:val="en-GB"/>
        </w:rPr>
        <w:t>s</w:t>
      </w:r>
      <w:r w:rsidRPr="00996B25">
        <w:rPr>
          <w:sz w:val="22"/>
          <w:lang w:val="en-GB"/>
        </w:rPr>
        <w:t xml:space="preserve"> for liquid biofuels, ethanol and biodiesel, are food crops, such as cereals, sugar beet, rapeseed or potatoes. For example, in Poland, the production of rapeseed and cereals for biofuels, respectively, increased from 1.69 and 0.52 million tons in 2014 to 2.20 and 0.65 million tons, respectively, in 2018 </w:t>
      </w:r>
      <w:r w:rsidR="00E86B3B">
        <w:rPr>
          <w:sz w:val="22"/>
          <w:lang w:val="en-GB"/>
        </w:rPr>
        <w:t>(</w:t>
      </w:r>
      <w:r w:rsidR="00DC3C88" w:rsidRPr="00996B25">
        <w:rPr>
          <w:sz w:val="22"/>
          <w:lang w:val="en-GB"/>
        </w:rPr>
        <w:t>Szymańska 2019</w:t>
      </w:r>
      <w:r w:rsidR="00E86B3B">
        <w:rPr>
          <w:sz w:val="22"/>
          <w:lang w:val="en-GB"/>
        </w:rPr>
        <w:t>)</w:t>
      </w:r>
      <w:r w:rsidRPr="00996B25">
        <w:rPr>
          <w:sz w:val="22"/>
          <w:lang w:val="en-GB"/>
        </w:rPr>
        <w:t xml:space="preserve"> and biomass and biogas together in the first half of 2022. They accounted for 20% of energy production from renewable energy sources </w:t>
      </w:r>
      <w:r w:rsidR="00E86B3B">
        <w:rPr>
          <w:sz w:val="22"/>
          <w:lang w:val="en-GB"/>
        </w:rPr>
        <w:t>(</w:t>
      </w:r>
      <w:proofErr w:type="spellStart"/>
      <w:r w:rsidR="000753E7" w:rsidRPr="00996B25">
        <w:rPr>
          <w:sz w:val="22"/>
          <w:lang w:val="en-GB"/>
        </w:rPr>
        <w:t>Załęcki</w:t>
      </w:r>
      <w:proofErr w:type="spellEnd"/>
      <w:r w:rsidR="000753E7" w:rsidRPr="00996B25">
        <w:rPr>
          <w:sz w:val="22"/>
          <w:lang w:val="en-GB"/>
        </w:rPr>
        <w:t xml:space="preserve"> &amp; Molenda 2022</w:t>
      </w:r>
      <w:r w:rsidR="00E86B3B">
        <w:rPr>
          <w:sz w:val="22"/>
          <w:lang w:val="en-GB"/>
        </w:rPr>
        <w:t>).</w:t>
      </w:r>
      <w:r w:rsidRPr="00996B25">
        <w:rPr>
          <w:sz w:val="22"/>
          <w:lang w:val="en-GB"/>
        </w:rPr>
        <w:t xml:space="preserve"> However, straw from the production of cereal and oil plants, as well as residues from sugar and starch production, are still an attractive lignocellulosic material with future potential for </w:t>
      </w:r>
      <w:r w:rsidR="00247358">
        <w:rPr>
          <w:sz w:val="22"/>
          <w:lang w:val="en-GB"/>
        </w:rPr>
        <w:t>producing</w:t>
      </w:r>
      <w:r w:rsidRPr="00996B25">
        <w:rPr>
          <w:sz w:val="22"/>
          <w:lang w:val="en-GB"/>
        </w:rPr>
        <w:t xml:space="preserve"> 2G (Second Generation) biofuels. </w:t>
      </w:r>
      <w:r w:rsidR="00247358">
        <w:rPr>
          <w:sz w:val="22"/>
          <w:lang w:val="en-GB"/>
        </w:rPr>
        <w:t>Pure methane's heating value (HHV)</w:t>
      </w:r>
      <w:r w:rsidRPr="00996B25">
        <w:rPr>
          <w:sz w:val="22"/>
          <w:lang w:val="en-GB"/>
        </w:rPr>
        <w:t xml:space="preserve"> is 37.78 MJ/m</w:t>
      </w:r>
      <w:r w:rsidRPr="00996B25">
        <w:rPr>
          <w:sz w:val="22"/>
          <w:vertAlign w:val="superscript"/>
          <w:lang w:val="en-GB"/>
        </w:rPr>
        <w:t>3</w:t>
      </w:r>
      <w:r w:rsidRPr="00996B25">
        <w:rPr>
          <w:sz w:val="22"/>
          <w:lang w:val="en-GB"/>
        </w:rPr>
        <w:t xml:space="preserve">. In biogas, the methane concentration depends on the amount of fats, proteins and carbohydrates </w:t>
      </w:r>
      <w:r w:rsidR="00247358">
        <w:rPr>
          <w:sz w:val="22"/>
          <w:lang w:val="en-GB"/>
        </w:rPr>
        <w:t>in the fermented biomass, ranging</w:t>
      </w:r>
      <w:r w:rsidRPr="00996B25">
        <w:rPr>
          <w:sz w:val="22"/>
          <w:lang w:val="en-GB"/>
        </w:rPr>
        <w:t xml:space="preserve"> from 50 to 70%. Moreover, there is an additional high concentration of CO</w:t>
      </w:r>
      <w:r w:rsidRPr="00996B25">
        <w:rPr>
          <w:sz w:val="22"/>
          <w:vertAlign w:val="subscript"/>
          <w:lang w:val="en-GB"/>
        </w:rPr>
        <w:t>2</w:t>
      </w:r>
      <w:r w:rsidRPr="00996B25">
        <w:rPr>
          <w:sz w:val="22"/>
          <w:lang w:val="en-GB"/>
        </w:rPr>
        <w:t xml:space="preserve"> in the raw biogas. For the above reasons, the real energy value of raw biogas is estimated in the range of 19</w:t>
      </w:r>
      <w:r w:rsidR="00E86B3B">
        <w:rPr>
          <w:sz w:val="22"/>
          <w:lang w:val="en-GB"/>
        </w:rPr>
        <w:t>-</w:t>
      </w:r>
      <w:r w:rsidRPr="00996B25">
        <w:rPr>
          <w:sz w:val="22"/>
          <w:lang w:val="en-GB"/>
        </w:rPr>
        <w:t>26 MJ/m</w:t>
      </w:r>
      <w:r w:rsidRPr="00996B25">
        <w:rPr>
          <w:sz w:val="22"/>
          <w:vertAlign w:val="superscript"/>
          <w:lang w:val="en-GB"/>
        </w:rPr>
        <w:t>3</w:t>
      </w:r>
      <w:r w:rsidRPr="00996B25">
        <w:rPr>
          <w:sz w:val="22"/>
          <w:lang w:val="en-GB"/>
        </w:rPr>
        <w:t xml:space="preserve"> or 6</w:t>
      </w:r>
      <w:r w:rsidR="00E86B3B">
        <w:rPr>
          <w:sz w:val="22"/>
          <w:lang w:val="en-GB"/>
        </w:rPr>
        <w:t>-</w:t>
      </w:r>
      <w:r w:rsidRPr="00996B25">
        <w:rPr>
          <w:sz w:val="22"/>
          <w:lang w:val="en-GB"/>
        </w:rPr>
        <w:t>6.5 kWh/m</w:t>
      </w:r>
      <w:r w:rsidRPr="00996B25">
        <w:rPr>
          <w:sz w:val="22"/>
          <w:vertAlign w:val="superscript"/>
          <w:lang w:val="en-GB"/>
        </w:rPr>
        <w:t>3</w:t>
      </w:r>
      <w:r w:rsidRPr="00996B25">
        <w:rPr>
          <w:sz w:val="22"/>
          <w:lang w:val="en-GB"/>
        </w:rPr>
        <w:t>, which is equivalent in energy to approximately 0.65 dm</w:t>
      </w:r>
      <w:r w:rsidRPr="00996B25">
        <w:rPr>
          <w:sz w:val="22"/>
          <w:vertAlign w:val="superscript"/>
          <w:lang w:val="en-GB"/>
        </w:rPr>
        <w:t>3</w:t>
      </w:r>
      <w:r w:rsidRPr="00996B25">
        <w:rPr>
          <w:sz w:val="22"/>
          <w:lang w:val="en-GB"/>
        </w:rPr>
        <w:t xml:space="preserve"> of crude oil </w:t>
      </w:r>
      <w:r w:rsidR="00E86B3B">
        <w:rPr>
          <w:sz w:val="22"/>
          <w:lang w:val="en-GB"/>
        </w:rPr>
        <w:t>(</w:t>
      </w:r>
      <w:proofErr w:type="spellStart"/>
      <w:r w:rsidR="000753E7" w:rsidRPr="00996B25">
        <w:rPr>
          <w:sz w:val="22"/>
          <w:lang w:val="en-GB"/>
        </w:rPr>
        <w:t>Deublein</w:t>
      </w:r>
      <w:proofErr w:type="spellEnd"/>
      <w:r w:rsidR="000753E7" w:rsidRPr="00996B25">
        <w:rPr>
          <w:sz w:val="22"/>
          <w:lang w:val="en-GB"/>
        </w:rPr>
        <w:t xml:space="preserve"> &amp; Steinhauser 2010</w:t>
      </w:r>
      <w:r w:rsidR="00E86B3B">
        <w:rPr>
          <w:sz w:val="22"/>
          <w:lang w:val="en-GB"/>
        </w:rPr>
        <w:t>).</w:t>
      </w:r>
      <w:r w:rsidRPr="00996B25">
        <w:rPr>
          <w:sz w:val="22"/>
          <w:lang w:val="en-GB"/>
        </w:rPr>
        <w:t xml:space="preserve"> However, raw gas energy values reported in the literature vary significantly depending on the lignocellulosic material used. </w:t>
      </w:r>
      <w:r w:rsidR="00247358">
        <w:rPr>
          <w:sz w:val="22"/>
          <w:lang w:val="en-GB"/>
        </w:rPr>
        <w:t>It</w:t>
      </w:r>
      <w:r w:rsidRPr="00996B25">
        <w:rPr>
          <w:sz w:val="22"/>
          <w:lang w:val="en-GB"/>
        </w:rPr>
        <w:t xml:space="preserve"> is mainly due to the different C/H and C/O ratios. This ratio defines whether the production of CH</w:t>
      </w:r>
      <w:r w:rsidRPr="00996B25">
        <w:rPr>
          <w:sz w:val="22"/>
          <w:vertAlign w:val="subscript"/>
          <w:lang w:val="en-GB"/>
        </w:rPr>
        <w:t>4</w:t>
      </w:r>
      <w:r w:rsidRPr="00996B25">
        <w:rPr>
          <w:sz w:val="22"/>
          <w:lang w:val="en-GB"/>
        </w:rPr>
        <w:t xml:space="preserve"> or CO</w:t>
      </w:r>
      <w:r w:rsidRPr="00996B25">
        <w:rPr>
          <w:sz w:val="22"/>
          <w:vertAlign w:val="subscript"/>
          <w:lang w:val="en-GB"/>
        </w:rPr>
        <w:t>2</w:t>
      </w:r>
      <w:r w:rsidRPr="00996B25">
        <w:rPr>
          <w:sz w:val="22"/>
          <w:lang w:val="en-GB"/>
        </w:rPr>
        <w:t xml:space="preserve"> will be favo</w:t>
      </w:r>
      <w:r w:rsidR="00247358">
        <w:rPr>
          <w:sz w:val="22"/>
          <w:lang w:val="en-GB"/>
        </w:rPr>
        <w:t>u</w:t>
      </w:r>
      <w:r w:rsidRPr="00996B25">
        <w:rPr>
          <w:sz w:val="22"/>
          <w:lang w:val="en-GB"/>
        </w:rPr>
        <w:t xml:space="preserve">red </w:t>
      </w:r>
      <w:r w:rsidR="00E86B3B">
        <w:rPr>
          <w:sz w:val="22"/>
          <w:lang w:val="en-GB"/>
        </w:rPr>
        <w:t>(</w:t>
      </w:r>
      <w:r w:rsidR="000753E7" w:rsidRPr="00996B25">
        <w:rPr>
          <w:sz w:val="22"/>
          <w:lang w:val="en-GB"/>
        </w:rPr>
        <w:t>Basu 2010</w:t>
      </w:r>
      <w:r w:rsidR="00E86B3B">
        <w:rPr>
          <w:sz w:val="22"/>
          <w:lang w:val="en-GB"/>
        </w:rPr>
        <w:t>).</w:t>
      </w:r>
      <w:r w:rsidRPr="00996B25">
        <w:rPr>
          <w:sz w:val="22"/>
          <w:lang w:val="en-GB"/>
        </w:rPr>
        <w:t xml:space="preserve"> Raw biogas has a very limited scope of use due to the presence of trace compounds that may negatively affect installation components and the process. Therefore, to avoid problems with biomass utilization, H</w:t>
      </w:r>
      <w:r w:rsidRPr="00996B25">
        <w:rPr>
          <w:sz w:val="22"/>
          <w:vertAlign w:val="subscript"/>
          <w:lang w:val="en-GB"/>
        </w:rPr>
        <w:t>2</w:t>
      </w:r>
      <w:r w:rsidRPr="00996B25">
        <w:rPr>
          <w:sz w:val="22"/>
          <w:lang w:val="en-GB"/>
        </w:rPr>
        <w:t>S, NH</w:t>
      </w:r>
      <w:r w:rsidRPr="00996B25">
        <w:rPr>
          <w:sz w:val="22"/>
          <w:vertAlign w:val="subscript"/>
          <w:lang w:val="en-GB"/>
        </w:rPr>
        <w:t>3</w:t>
      </w:r>
      <w:r w:rsidRPr="00996B25">
        <w:rPr>
          <w:sz w:val="22"/>
          <w:lang w:val="en-GB"/>
        </w:rPr>
        <w:t>, high concentrations of H</w:t>
      </w:r>
      <w:r w:rsidRPr="00996B25">
        <w:rPr>
          <w:sz w:val="22"/>
          <w:vertAlign w:val="subscript"/>
          <w:lang w:val="en-GB"/>
        </w:rPr>
        <w:t>2</w:t>
      </w:r>
      <w:r w:rsidRPr="00996B25">
        <w:rPr>
          <w:sz w:val="22"/>
          <w:lang w:val="en-GB"/>
        </w:rPr>
        <w:t>O</w:t>
      </w:r>
      <w:r w:rsidR="00247358">
        <w:rPr>
          <w:sz w:val="22"/>
          <w:lang w:val="en-GB"/>
        </w:rPr>
        <w:t>,</w:t>
      </w:r>
      <w:r w:rsidRPr="00996B25">
        <w:rPr>
          <w:sz w:val="22"/>
          <w:lang w:val="en-GB"/>
        </w:rPr>
        <w:t xml:space="preserve"> and s</w:t>
      </w:r>
      <w:r w:rsidR="000D21DF" w:rsidRPr="00996B25">
        <w:rPr>
          <w:sz w:val="22"/>
          <w:lang w:val="en-GB"/>
        </w:rPr>
        <w:t xml:space="preserve">iloxanes should be avoided </w:t>
      </w:r>
      <w:r w:rsidR="00E86B3B">
        <w:rPr>
          <w:sz w:val="22"/>
          <w:lang w:val="en-GB"/>
        </w:rPr>
        <w:t>(</w:t>
      </w:r>
      <w:r w:rsidR="008F71FE" w:rsidRPr="00996B25">
        <w:rPr>
          <w:sz w:val="22"/>
          <w:lang w:val="en-GB"/>
        </w:rPr>
        <w:t xml:space="preserve">Beil &amp; </w:t>
      </w:r>
      <w:proofErr w:type="spellStart"/>
      <w:r w:rsidR="008F71FE" w:rsidRPr="00996B25">
        <w:rPr>
          <w:sz w:val="22"/>
          <w:lang w:val="en-GB"/>
        </w:rPr>
        <w:t>Beyrich</w:t>
      </w:r>
      <w:proofErr w:type="spellEnd"/>
      <w:r w:rsidR="008F71FE" w:rsidRPr="00996B25">
        <w:rPr>
          <w:sz w:val="22"/>
          <w:lang w:val="en-GB"/>
        </w:rPr>
        <w:t xml:space="preserve"> 2013</w:t>
      </w:r>
      <w:r w:rsidR="000D21DF" w:rsidRPr="00996B25">
        <w:rPr>
          <w:sz w:val="22"/>
          <w:lang w:val="en-GB"/>
        </w:rPr>
        <w:t>,</w:t>
      </w:r>
      <w:r w:rsidR="008F71FE" w:rsidRPr="00996B25">
        <w:rPr>
          <w:lang w:val="en-GB"/>
        </w:rPr>
        <w:t xml:space="preserve"> </w:t>
      </w:r>
      <w:r w:rsidR="008F71FE" w:rsidRPr="00996B25">
        <w:rPr>
          <w:sz w:val="22"/>
          <w:lang w:val="en-GB"/>
        </w:rPr>
        <w:t>Cozma et al</w:t>
      </w:r>
      <w:r w:rsidR="00E86B3B">
        <w:rPr>
          <w:sz w:val="22"/>
          <w:lang w:val="en-GB"/>
        </w:rPr>
        <w:t>.</w:t>
      </w:r>
      <w:r w:rsidR="008F71FE" w:rsidRPr="00996B25">
        <w:rPr>
          <w:sz w:val="22"/>
          <w:lang w:val="en-GB"/>
        </w:rPr>
        <w:t xml:space="preserve"> 2015</w:t>
      </w:r>
      <w:r w:rsidR="00E86B3B">
        <w:rPr>
          <w:sz w:val="22"/>
          <w:lang w:val="en-GB"/>
        </w:rPr>
        <w:t>).</w:t>
      </w:r>
      <w:r w:rsidRPr="00996B25">
        <w:rPr>
          <w:sz w:val="22"/>
          <w:lang w:val="en-GB"/>
        </w:rPr>
        <w:t xml:space="preserve"> The effects of using unpurified gas may include corrosion, a decrease in the specific calorific value or the formation of undesirable products after the combustion process </w:t>
      </w:r>
      <w:r w:rsidR="00E86B3B">
        <w:rPr>
          <w:sz w:val="22"/>
          <w:lang w:val="en-GB"/>
        </w:rPr>
        <w:t>(</w:t>
      </w:r>
      <w:proofErr w:type="spellStart"/>
      <w:r w:rsidR="000C0964" w:rsidRPr="00996B25">
        <w:rPr>
          <w:sz w:val="22"/>
          <w:lang w:val="en-GB"/>
        </w:rPr>
        <w:t>Gołaszewski</w:t>
      </w:r>
      <w:proofErr w:type="spellEnd"/>
      <w:r w:rsidR="000C0964" w:rsidRPr="00996B25">
        <w:rPr>
          <w:sz w:val="22"/>
          <w:lang w:val="en-GB"/>
        </w:rPr>
        <w:t xml:space="preserve"> et al</w:t>
      </w:r>
      <w:r w:rsidR="00E86B3B">
        <w:rPr>
          <w:sz w:val="22"/>
          <w:lang w:val="en-GB"/>
        </w:rPr>
        <w:t>.</w:t>
      </w:r>
      <w:r w:rsidR="000C0964" w:rsidRPr="00996B25">
        <w:rPr>
          <w:sz w:val="22"/>
          <w:lang w:val="en-GB"/>
        </w:rPr>
        <w:t xml:space="preserve"> 2020</w:t>
      </w:r>
      <w:r w:rsidR="00E86B3B">
        <w:rPr>
          <w:sz w:val="22"/>
          <w:lang w:val="en-GB"/>
        </w:rPr>
        <w:t>).</w:t>
      </w:r>
      <w:r w:rsidR="009F1AF9" w:rsidRPr="00996B25">
        <w:rPr>
          <w:sz w:val="22"/>
          <w:lang w:val="en-GB"/>
        </w:rPr>
        <w:t xml:space="preserve"> Various fuels obtained from biomass are presented in Table 2.</w:t>
      </w:r>
    </w:p>
    <w:p w14:paraId="27D81E2D" w14:textId="77777777" w:rsidR="00996B25" w:rsidRPr="00996B25" w:rsidRDefault="00996B25" w:rsidP="00996B25">
      <w:pPr>
        <w:spacing w:line="240" w:lineRule="auto"/>
        <w:ind w:firstLine="284"/>
        <w:jc w:val="both"/>
        <w:rPr>
          <w:sz w:val="22"/>
          <w:lang w:val="en-GB"/>
        </w:rPr>
      </w:pPr>
    </w:p>
    <w:p w14:paraId="13F8A3AC" w14:textId="313C0A01" w:rsidR="007D064F" w:rsidRPr="00996B25" w:rsidRDefault="007D064F" w:rsidP="00996B25">
      <w:pPr>
        <w:pStyle w:val="Rtab"/>
      </w:pPr>
      <w:proofErr w:type="spellStart"/>
      <w:r w:rsidRPr="00996B25">
        <w:rPr>
          <w:b/>
          <w:bCs/>
        </w:rPr>
        <w:t>Table</w:t>
      </w:r>
      <w:proofErr w:type="spellEnd"/>
      <w:r w:rsidRPr="00996B25">
        <w:rPr>
          <w:b/>
          <w:bCs/>
        </w:rPr>
        <w:t xml:space="preserve"> 2.</w:t>
      </w:r>
      <w:r w:rsidRPr="00996B25">
        <w:t xml:space="preserve"> </w:t>
      </w:r>
      <w:proofErr w:type="spellStart"/>
      <w:r w:rsidRPr="00996B25">
        <w:t>Types</w:t>
      </w:r>
      <w:proofErr w:type="spellEnd"/>
      <w:r w:rsidRPr="00996B25">
        <w:t xml:space="preserve"> of </w:t>
      </w:r>
      <w:proofErr w:type="spellStart"/>
      <w:r w:rsidRPr="00996B25">
        <w:t>biofuels</w:t>
      </w:r>
      <w:proofErr w:type="spellEnd"/>
      <w:r w:rsidRPr="00996B25">
        <w:t xml:space="preserve"> </w:t>
      </w:r>
      <w:proofErr w:type="spellStart"/>
      <w:r w:rsidRPr="00996B25">
        <w:t>produced</w:t>
      </w:r>
      <w:proofErr w:type="spellEnd"/>
      <w:r w:rsidRPr="00996B25">
        <w:t xml:space="preserve"> from </w:t>
      </w:r>
      <w:proofErr w:type="spellStart"/>
      <w:r w:rsidRPr="00996B25">
        <w:t>different</w:t>
      </w:r>
      <w:proofErr w:type="spellEnd"/>
      <w:r w:rsidRPr="00996B25">
        <w:t xml:space="preserve"> </w:t>
      </w:r>
      <w:proofErr w:type="spellStart"/>
      <w:r w:rsidRPr="00996B25">
        <w:t>types</w:t>
      </w:r>
      <w:proofErr w:type="spellEnd"/>
      <w:r w:rsidRPr="00996B25">
        <w:t xml:space="preserve"> of </w:t>
      </w:r>
      <w:proofErr w:type="spellStart"/>
      <w:r w:rsidRPr="00996B25">
        <w:t>biomass</w:t>
      </w:r>
      <w:proofErr w:type="spellEnd"/>
      <w:r w:rsidRPr="00996B25">
        <w:t xml:space="preserve"> </w:t>
      </w:r>
      <w:r w:rsidR="00E86B3B">
        <w:t>(</w:t>
      </w:r>
      <w:r w:rsidR="000C0964" w:rsidRPr="00996B25">
        <w:t>Bogumił 2020</w:t>
      </w:r>
      <w:r w:rsidR="00E86B3B">
        <w:t>)</w:t>
      </w:r>
    </w:p>
    <w:tbl>
      <w:tblPr>
        <w:tblStyle w:val="Siatkatabelijasn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3713"/>
        <w:gridCol w:w="2222"/>
        <w:gridCol w:w="1822"/>
      </w:tblGrid>
      <w:tr w:rsidR="007D064F" w:rsidRPr="00996B25" w14:paraId="53A28DAD" w14:textId="77777777" w:rsidTr="001121AD">
        <w:trPr>
          <w:trHeight w:val="680"/>
        </w:trPr>
        <w:tc>
          <w:tcPr>
            <w:tcW w:w="972" w:type="pct"/>
            <w:vAlign w:val="center"/>
            <w:hideMark/>
          </w:tcPr>
          <w:p w14:paraId="44ABC378"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Fuel</w:t>
            </w:r>
          </w:p>
        </w:tc>
        <w:tc>
          <w:tcPr>
            <w:tcW w:w="1928" w:type="pct"/>
            <w:vAlign w:val="center"/>
            <w:hideMark/>
          </w:tcPr>
          <w:p w14:paraId="0C769F19"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Typical raw materials</w:t>
            </w:r>
          </w:p>
        </w:tc>
        <w:tc>
          <w:tcPr>
            <w:tcW w:w="1154" w:type="pct"/>
            <w:vAlign w:val="center"/>
            <w:hideMark/>
          </w:tcPr>
          <w:p w14:paraId="3DC24704"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TRL/FRL</w:t>
            </w:r>
          </w:p>
        </w:tc>
        <w:tc>
          <w:tcPr>
            <w:tcW w:w="946" w:type="pct"/>
            <w:vAlign w:val="center"/>
            <w:hideMark/>
          </w:tcPr>
          <w:p w14:paraId="612B427D"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Major technology providers</w:t>
            </w:r>
          </w:p>
        </w:tc>
      </w:tr>
      <w:tr w:rsidR="007D064F" w:rsidRPr="00996B25" w14:paraId="592A1638" w14:textId="77777777" w:rsidTr="001121AD">
        <w:trPr>
          <w:trHeight w:val="1599"/>
        </w:trPr>
        <w:tc>
          <w:tcPr>
            <w:tcW w:w="972" w:type="pct"/>
            <w:vAlign w:val="center"/>
            <w:hideMark/>
          </w:tcPr>
          <w:p w14:paraId="1E21FEA4"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HVO/HEFA</w:t>
            </w:r>
          </w:p>
        </w:tc>
        <w:tc>
          <w:tcPr>
            <w:tcW w:w="1928" w:type="pct"/>
            <w:vAlign w:val="center"/>
            <w:hideMark/>
          </w:tcPr>
          <w:p w14:paraId="1932966C" w14:textId="13798450" w:rsidR="007D064F" w:rsidRPr="00996B25" w:rsidRDefault="007D064F" w:rsidP="001121AD">
            <w:pPr>
              <w:widowControl/>
              <w:overflowPunct/>
              <w:autoSpaceDE/>
              <w:autoSpaceDN/>
              <w:adjustRightInd/>
              <w:spacing w:line="240" w:lineRule="auto"/>
              <w:ind w:left="-32"/>
              <w:jc w:val="center"/>
              <w:textAlignment w:val="auto"/>
              <w:rPr>
                <w:kern w:val="0"/>
                <w:szCs w:val="24"/>
                <w:lang w:val="en-GB"/>
              </w:rPr>
            </w:pPr>
            <w:r w:rsidRPr="00996B25">
              <w:rPr>
                <w:color w:val="000000"/>
                <w:kern w:val="0"/>
                <w:sz w:val="22"/>
                <w:szCs w:val="22"/>
                <w:lang w:val="en-GB"/>
              </w:rPr>
              <w:t xml:space="preserve">vegetable oils (mainly palm oil, </w:t>
            </w:r>
            <w:r w:rsidR="005F7DF5">
              <w:rPr>
                <w:color w:val="000000"/>
                <w:kern w:val="0"/>
                <w:sz w:val="22"/>
                <w:szCs w:val="22"/>
                <w:lang w:val="en-GB"/>
              </w:rPr>
              <w:br/>
            </w:r>
            <w:r w:rsidRPr="00996B25">
              <w:rPr>
                <w:color w:val="000000"/>
                <w:kern w:val="0"/>
                <w:sz w:val="22"/>
                <w:szCs w:val="22"/>
                <w:lang w:val="en-GB"/>
              </w:rPr>
              <w:t>used cooking oil, jatropha, camelina)</w:t>
            </w:r>
            <w:r w:rsidR="001121AD">
              <w:rPr>
                <w:color w:val="000000"/>
                <w:kern w:val="0"/>
                <w:sz w:val="22"/>
                <w:szCs w:val="22"/>
                <w:lang w:val="en-GB"/>
              </w:rPr>
              <w:t>,</w:t>
            </w:r>
            <w:r w:rsidRPr="00996B25">
              <w:rPr>
                <w:color w:val="000000"/>
                <w:kern w:val="0"/>
                <w:sz w:val="22"/>
                <w:szCs w:val="22"/>
                <w:lang w:val="en-GB"/>
              </w:rPr>
              <w:br/>
              <w:t>fats</w:t>
            </w:r>
            <w:r w:rsidR="005F7DF5">
              <w:rPr>
                <w:color w:val="000000"/>
                <w:kern w:val="0"/>
                <w:sz w:val="22"/>
                <w:szCs w:val="22"/>
                <w:lang w:val="en-GB"/>
              </w:rPr>
              <w:t>,</w:t>
            </w:r>
            <w:r w:rsidRPr="00996B25">
              <w:rPr>
                <w:color w:val="000000"/>
                <w:kern w:val="0"/>
                <w:sz w:val="22"/>
                <w:szCs w:val="22"/>
                <w:lang w:val="en-GB"/>
              </w:rPr>
              <w:br/>
              <w:t xml:space="preserve">alternatively tall oil and algae oils, tobacco, pyrolysis </w:t>
            </w:r>
            <w:r w:rsidR="005F7DF5">
              <w:rPr>
                <w:color w:val="000000"/>
                <w:kern w:val="0"/>
                <w:sz w:val="22"/>
                <w:szCs w:val="22"/>
                <w:lang w:val="en-GB"/>
              </w:rPr>
              <w:br/>
            </w:r>
            <w:r w:rsidRPr="00996B25">
              <w:rPr>
                <w:color w:val="000000"/>
                <w:kern w:val="0"/>
                <w:sz w:val="22"/>
                <w:szCs w:val="22"/>
                <w:lang w:val="en-GB"/>
              </w:rPr>
              <w:t>and hydrothermal oils</w:t>
            </w:r>
          </w:p>
        </w:tc>
        <w:tc>
          <w:tcPr>
            <w:tcW w:w="1154" w:type="pct"/>
            <w:vAlign w:val="center"/>
            <w:hideMark/>
          </w:tcPr>
          <w:p w14:paraId="44C17398" w14:textId="74D6FA1B"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9/9, currently a</w:t>
            </w:r>
            <w:r w:rsidR="001121AD">
              <w:rPr>
                <w:color w:val="000000"/>
                <w:kern w:val="0"/>
                <w:sz w:val="22"/>
                <w:szCs w:val="22"/>
                <w:lang w:val="en-GB"/>
              </w:rPr>
              <w:t xml:space="preserve"> </w:t>
            </w:r>
            <w:r w:rsidRPr="00996B25">
              <w:rPr>
                <w:color w:val="000000"/>
                <w:kern w:val="0"/>
                <w:sz w:val="22"/>
                <w:szCs w:val="22"/>
                <w:lang w:val="en-GB"/>
              </w:rPr>
              <w:t xml:space="preserve">clear focus </w:t>
            </w:r>
            <w:r w:rsidR="005F7DF5">
              <w:rPr>
                <w:color w:val="000000"/>
                <w:kern w:val="0"/>
                <w:sz w:val="22"/>
                <w:szCs w:val="22"/>
                <w:lang w:val="en-GB"/>
              </w:rPr>
              <w:br/>
            </w:r>
            <w:r w:rsidRPr="00996B25">
              <w:rPr>
                <w:color w:val="000000"/>
                <w:kern w:val="0"/>
                <w:sz w:val="22"/>
                <w:szCs w:val="22"/>
                <w:lang w:val="en-GB"/>
              </w:rPr>
              <w:t>on diesel production</w:t>
            </w:r>
          </w:p>
        </w:tc>
        <w:tc>
          <w:tcPr>
            <w:tcW w:w="946" w:type="pct"/>
            <w:vAlign w:val="center"/>
            <w:hideMark/>
          </w:tcPr>
          <w:p w14:paraId="4C7C5733" w14:textId="68414E3C"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 xml:space="preserve">UE, USA, </w:t>
            </w:r>
            <w:r w:rsidR="005F7DF5">
              <w:rPr>
                <w:color w:val="000000"/>
                <w:kern w:val="0"/>
                <w:sz w:val="22"/>
                <w:szCs w:val="22"/>
                <w:lang w:val="en-GB"/>
              </w:rPr>
              <w:br/>
            </w:r>
            <w:proofErr w:type="spellStart"/>
            <w:r w:rsidRPr="00996B25">
              <w:rPr>
                <w:color w:val="000000"/>
                <w:kern w:val="0"/>
                <w:sz w:val="22"/>
                <w:szCs w:val="22"/>
                <w:lang w:val="en-GB"/>
              </w:rPr>
              <w:t>Indonezja</w:t>
            </w:r>
            <w:proofErr w:type="spellEnd"/>
          </w:p>
        </w:tc>
      </w:tr>
      <w:tr w:rsidR="007D064F" w:rsidRPr="00996B25" w14:paraId="0F137EF6" w14:textId="77777777" w:rsidTr="001121AD">
        <w:trPr>
          <w:trHeight w:val="1847"/>
        </w:trPr>
        <w:tc>
          <w:tcPr>
            <w:tcW w:w="972" w:type="pct"/>
            <w:tcBorders>
              <w:bottom w:val="single" w:sz="4" w:space="0" w:color="auto"/>
            </w:tcBorders>
            <w:vAlign w:val="center"/>
            <w:hideMark/>
          </w:tcPr>
          <w:p w14:paraId="3EA34241" w14:textId="60691F68"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 xml:space="preserve">BTL </w:t>
            </w:r>
            <w:r w:rsidR="00996B25">
              <w:rPr>
                <w:color w:val="000000"/>
                <w:kern w:val="0"/>
                <w:sz w:val="22"/>
                <w:szCs w:val="22"/>
                <w:lang w:val="en-GB"/>
              </w:rPr>
              <w:br/>
            </w:r>
            <w:r w:rsidRPr="00996B25">
              <w:rPr>
                <w:color w:val="000000"/>
                <w:kern w:val="0"/>
                <w:sz w:val="22"/>
                <w:szCs w:val="22"/>
                <w:lang w:val="en-GB"/>
              </w:rPr>
              <w:t>(from the Fischer-</w:t>
            </w:r>
            <w:proofErr w:type="spellStart"/>
            <w:r w:rsidRPr="00996B25">
              <w:rPr>
                <w:color w:val="000000"/>
                <w:kern w:val="0"/>
                <w:sz w:val="22"/>
                <w:szCs w:val="22"/>
                <w:lang w:val="en-GB"/>
              </w:rPr>
              <w:t>Tropsch</w:t>
            </w:r>
            <w:proofErr w:type="spellEnd"/>
            <w:r w:rsidRPr="00996B25">
              <w:rPr>
                <w:color w:val="000000"/>
                <w:kern w:val="0"/>
                <w:sz w:val="22"/>
                <w:szCs w:val="22"/>
                <w:lang w:val="en-GB"/>
              </w:rPr>
              <w:t xml:space="preserve"> process)</w:t>
            </w:r>
          </w:p>
        </w:tc>
        <w:tc>
          <w:tcPr>
            <w:tcW w:w="1928" w:type="pct"/>
            <w:tcBorders>
              <w:bottom w:val="single" w:sz="4" w:space="0" w:color="auto"/>
            </w:tcBorders>
            <w:vAlign w:val="center"/>
            <w:hideMark/>
          </w:tcPr>
          <w:p w14:paraId="18317E46" w14:textId="1C8CBFA9" w:rsidR="007D064F" w:rsidRPr="00996B25" w:rsidRDefault="007D064F" w:rsidP="001121AD">
            <w:pPr>
              <w:widowControl/>
              <w:overflowPunct/>
              <w:autoSpaceDE/>
              <w:autoSpaceDN/>
              <w:adjustRightInd/>
              <w:spacing w:line="240" w:lineRule="auto"/>
              <w:ind w:left="-103"/>
              <w:jc w:val="center"/>
              <w:textAlignment w:val="auto"/>
              <w:rPr>
                <w:kern w:val="0"/>
                <w:szCs w:val="24"/>
                <w:lang w:val="en-GB"/>
              </w:rPr>
            </w:pPr>
            <w:r w:rsidRPr="00996B25">
              <w:rPr>
                <w:color w:val="000000"/>
                <w:kern w:val="0"/>
                <w:sz w:val="22"/>
                <w:szCs w:val="22"/>
                <w:lang w:val="en-GB"/>
              </w:rPr>
              <w:t xml:space="preserve">wood (industrial wood, </w:t>
            </w:r>
            <w:r w:rsidR="001121AD">
              <w:rPr>
                <w:color w:val="000000"/>
                <w:kern w:val="0"/>
                <w:sz w:val="22"/>
                <w:szCs w:val="22"/>
                <w:lang w:val="en-GB"/>
              </w:rPr>
              <w:br/>
            </w:r>
            <w:r w:rsidRPr="00996B25">
              <w:rPr>
                <w:color w:val="000000"/>
                <w:kern w:val="0"/>
                <w:sz w:val="22"/>
                <w:szCs w:val="22"/>
                <w:lang w:val="en-GB"/>
              </w:rPr>
              <w:t>waste wood, energy plants),</w:t>
            </w:r>
            <w:r w:rsidRPr="00996B25">
              <w:rPr>
                <w:color w:val="000000"/>
                <w:kern w:val="0"/>
                <w:sz w:val="22"/>
                <w:szCs w:val="22"/>
                <w:lang w:val="en-GB"/>
              </w:rPr>
              <w:br/>
              <w:t xml:space="preserve">stems (mainly straw, </w:t>
            </w:r>
            <w:r w:rsidR="001121AD">
              <w:rPr>
                <w:color w:val="000000"/>
                <w:kern w:val="0"/>
                <w:sz w:val="22"/>
                <w:szCs w:val="22"/>
                <w:lang w:val="en-GB"/>
              </w:rPr>
              <w:br/>
            </w:r>
            <w:r w:rsidRPr="00996B25">
              <w:rPr>
                <w:color w:val="000000"/>
                <w:kern w:val="0"/>
                <w:sz w:val="22"/>
                <w:szCs w:val="22"/>
                <w:lang w:val="en-GB"/>
              </w:rPr>
              <w:t>triticale, miscanthus),</w:t>
            </w:r>
            <w:r w:rsidRPr="00996B25">
              <w:rPr>
                <w:color w:val="000000"/>
                <w:kern w:val="0"/>
                <w:sz w:val="22"/>
                <w:szCs w:val="22"/>
                <w:lang w:val="en-GB"/>
              </w:rPr>
              <w:br/>
              <w:t xml:space="preserve">black lye (waste </w:t>
            </w:r>
            <w:r w:rsidR="001121AD">
              <w:rPr>
                <w:color w:val="000000"/>
                <w:kern w:val="0"/>
                <w:sz w:val="22"/>
                <w:szCs w:val="22"/>
                <w:lang w:val="en-GB"/>
              </w:rPr>
              <w:br/>
            </w:r>
            <w:r w:rsidRPr="00996B25">
              <w:rPr>
                <w:color w:val="000000"/>
                <w:kern w:val="0"/>
                <w:sz w:val="22"/>
                <w:szCs w:val="22"/>
                <w:lang w:val="en-GB"/>
              </w:rPr>
              <w:t>from papermaking processes),</w:t>
            </w:r>
            <w:r w:rsidRPr="00996B25">
              <w:rPr>
                <w:color w:val="000000"/>
                <w:kern w:val="0"/>
                <w:sz w:val="22"/>
                <w:szCs w:val="22"/>
                <w:lang w:val="en-GB"/>
              </w:rPr>
              <w:br/>
              <w:t>municipal waste (USA)</w:t>
            </w:r>
          </w:p>
        </w:tc>
        <w:tc>
          <w:tcPr>
            <w:tcW w:w="1154" w:type="pct"/>
            <w:tcBorders>
              <w:bottom w:val="single" w:sz="4" w:space="0" w:color="auto"/>
            </w:tcBorders>
            <w:vAlign w:val="center"/>
            <w:hideMark/>
          </w:tcPr>
          <w:p w14:paraId="3DC601EC"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5-6/5</w:t>
            </w:r>
          </w:p>
        </w:tc>
        <w:tc>
          <w:tcPr>
            <w:tcW w:w="946" w:type="pct"/>
            <w:tcBorders>
              <w:bottom w:val="single" w:sz="4" w:space="0" w:color="auto"/>
            </w:tcBorders>
            <w:vAlign w:val="center"/>
            <w:hideMark/>
          </w:tcPr>
          <w:p w14:paraId="704480F1"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EU, USA</w:t>
            </w:r>
          </w:p>
        </w:tc>
      </w:tr>
    </w:tbl>
    <w:p w14:paraId="46944737" w14:textId="77777777" w:rsidR="005F7DF5" w:rsidRPr="005F7DF5" w:rsidRDefault="005F7DF5" w:rsidP="005F7DF5">
      <w:pPr>
        <w:rPr>
          <w:sz w:val="22"/>
          <w:szCs w:val="18"/>
        </w:rPr>
      </w:pPr>
    </w:p>
    <w:p w14:paraId="4600E134" w14:textId="24C221B8" w:rsidR="005F7DF5" w:rsidRPr="00996B25" w:rsidRDefault="005F7DF5" w:rsidP="005F7DF5">
      <w:pPr>
        <w:pStyle w:val="Rtab"/>
      </w:pPr>
      <w:proofErr w:type="spellStart"/>
      <w:r w:rsidRPr="00996B25">
        <w:rPr>
          <w:b/>
          <w:bCs/>
        </w:rPr>
        <w:lastRenderedPageBreak/>
        <w:t>Table</w:t>
      </w:r>
      <w:proofErr w:type="spellEnd"/>
      <w:r w:rsidRPr="00996B25">
        <w:rPr>
          <w:b/>
          <w:bCs/>
        </w:rPr>
        <w:t xml:space="preserve"> 2.</w:t>
      </w:r>
      <w:r w:rsidRPr="00996B25">
        <w:t xml:space="preserve"> </w:t>
      </w:r>
      <w:proofErr w:type="spellStart"/>
      <w:r>
        <w:t>cont</w:t>
      </w:r>
      <w:proofErr w:type="spellEnd"/>
      <w:r>
        <w:t>.</w:t>
      </w:r>
    </w:p>
    <w:tbl>
      <w:tblPr>
        <w:tblStyle w:val="Siatkatabelijasna"/>
        <w:tblW w:w="5000" w:type="pct"/>
        <w:tblLook w:val="04A0" w:firstRow="1" w:lastRow="0" w:firstColumn="1" w:lastColumn="0" w:noHBand="0" w:noVBand="1"/>
      </w:tblPr>
      <w:tblGrid>
        <w:gridCol w:w="1857"/>
        <w:gridCol w:w="3728"/>
        <w:gridCol w:w="2110"/>
        <w:gridCol w:w="1933"/>
      </w:tblGrid>
      <w:tr w:rsidR="001121AD" w:rsidRPr="00996B25" w14:paraId="302363CB" w14:textId="77777777" w:rsidTr="001121AD">
        <w:trPr>
          <w:trHeight w:val="680"/>
        </w:trPr>
        <w:tc>
          <w:tcPr>
            <w:tcW w:w="964" w:type="pct"/>
            <w:tcBorders>
              <w:top w:val="single" w:sz="4" w:space="0" w:color="auto"/>
              <w:left w:val="single" w:sz="4" w:space="0" w:color="auto"/>
              <w:bottom w:val="single" w:sz="4" w:space="0" w:color="auto"/>
              <w:right w:val="single" w:sz="4" w:space="0" w:color="auto"/>
            </w:tcBorders>
            <w:vAlign w:val="center"/>
            <w:hideMark/>
          </w:tcPr>
          <w:p w14:paraId="1599A83B" w14:textId="77777777" w:rsidR="00996B25" w:rsidRPr="00996B25" w:rsidRDefault="00996B25"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Fuel</w:t>
            </w:r>
          </w:p>
        </w:tc>
        <w:tc>
          <w:tcPr>
            <w:tcW w:w="1936" w:type="pct"/>
            <w:tcBorders>
              <w:top w:val="single" w:sz="4" w:space="0" w:color="auto"/>
              <w:left w:val="single" w:sz="4" w:space="0" w:color="auto"/>
              <w:bottom w:val="single" w:sz="4" w:space="0" w:color="auto"/>
              <w:right w:val="single" w:sz="4" w:space="0" w:color="auto"/>
            </w:tcBorders>
            <w:vAlign w:val="center"/>
            <w:hideMark/>
          </w:tcPr>
          <w:p w14:paraId="42D7996E" w14:textId="77777777" w:rsidR="00996B25" w:rsidRPr="00996B25" w:rsidRDefault="00996B25"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Typical raw materials</w:t>
            </w:r>
          </w:p>
        </w:tc>
        <w:tc>
          <w:tcPr>
            <w:tcW w:w="1096" w:type="pct"/>
            <w:tcBorders>
              <w:top w:val="single" w:sz="4" w:space="0" w:color="auto"/>
              <w:left w:val="single" w:sz="4" w:space="0" w:color="auto"/>
              <w:bottom w:val="single" w:sz="4" w:space="0" w:color="auto"/>
              <w:right w:val="single" w:sz="4" w:space="0" w:color="auto"/>
            </w:tcBorders>
            <w:vAlign w:val="center"/>
            <w:hideMark/>
          </w:tcPr>
          <w:p w14:paraId="6425DB10" w14:textId="77777777" w:rsidR="00996B25" w:rsidRPr="00996B25" w:rsidRDefault="00996B25"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TRL/FRL</w:t>
            </w:r>
          </w:p>
        </w:tc>
        <w:tc>
          <w:tcPr>
            <w:tcW w:w="1004" w:type="pct"/>
            <w:tcBorders>
              <w:top w:val="single" w:sz="4" w:space="0" w:color="auto"/>
              <w:left w:val="single" w:sz="4" w:space="0" w:color="auto"/>
              <w:bottom w:val="single" w:sz="4" w:space="0" w:color="auto"/>
              <w:right w:val="single" w:sz="4" w:space="0" w:color="auto"/>
            </w:tcBorders>
            <w:vAlign w:val="center"/>
            <w:hideMark/>
          </w:tcPr>
          <w:p w14:paraId="1B51E74E" w14:textId="77777777" w:rsidR="00996B25" w:rsidRPr="00996B25" w:rsidRDefault="00996B25"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lang w:val="en-GB"/>
              </w:rPr>
              <w:t>Major technology providers</w:t>
            </w:r>
          </w:p>
        </w:tc>
      </w:tr>
      <w:tr w:rsidR="007D064F" w:rsidRPr="00996B25" w14:paraId="14EC25EB" w14:textId="77777777" w:rsidTr="00112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6"/>
        </w:trPr>
        <w:tc>
          <w:tcPr>
            <w:tcW w:w="964" w:type="pct"/>
            <w:tcBorders>
              <w:top w:val="single" w:sz="4" w:space="0" w:color="auto"/>
            </w:tcBorders>
            <w:vAlign w:val="center"/>
            <w:hideMark/>
          </w:tcPr>
          <w:p w14:paraId="79FA5BEF" w14:textId="31B19D69"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 xml:space="preserve">DME </w:t>
            </w:r>
            <w:r w:rsidR="001121AD">
              <w:rPr>
                <w:color w:val="000000"/>
                <w:kern w:val="0"/>
                <w:sz w:val="22"/>
                <w:szCs w:val="22"/>
                <w:lang w:val="en-GB"/>
              </w:rPr>
              <w:br/>
            </w:r>
            <w:r w:rsidRPr="00996B25">
              <w:rPr>
                <w:color w:val="000000"/>
                <w:kern w:val="0"/>
                <w:sz w:val="22"/>
                <w:szCs w:val="22"/>
                <w:lang w:val="en-GB"/>
              </w:rPr>
              <w:t>(dimethyl ether)</w:t>
            </w:r>
          </w:p>
        </w:tc>
        <w:tc>
          <w:tcPr>
            <w:tcW w:w="1936" w:type="pct"/>
            <w:tcBorders>
              <w:top w:val="single" w:sz="4" w:space="0" w:color="auto"/>
            </w:tcBorders>
            <w:vAlign w:val="center"/>
            <w:hideMark/>
          </w:tcPr>
          <w:p w14:paraId="14A5E559" w14:textId="1106171E" w:rsidR="007D064F" w:rsidRPr="00996B25" w:rsidRDefault="007D064F" w:rsidP="001121AD">
            <w:pPr>
              <w:widowControl/>
              <w:overflowPunct/>
              <w:autoSpaceDE/>
              <w:autoSpaceDN/>
              <w:adjustRightInd/>
              <w:spacing w:line="240" w:lineRule="auto"/>
              <w:ind w:left="19"/>
              <w:jc w:val="center"/>
              <w:textAlignment w:val="auto"/>
              <w:rPr>
                <w:kern w:val="0"/>
                <w:szCs w:val="24"/>
                <w:lang w:val="en-GB"/>
              </w:rPr>
            </w:pPr>
            <w:r w:rsidRPr="00996B25">
              <w:rPr>
                <w:color w:val="000000"/>
                <w:kern w:val="0"/>
                <w:sz w:val="22"/>
                <w:szCs w:val="22"/>
                <w:lang w:val="en-GB"/>
              </w:rPr>
              <w:t>wood,</w:t>
            </w:r>
            <w:r w:rsidRPr="00996B25">
              <w:rPr>
                <w:color w:val="000000"/>
                <w:kern w:val="0"/>
                <w:sz w:val="22"/>
                <w:szCs w:val="22"/>
                <w:lang w:val="en-GB"/>
              </w:rPr>
              <w:br/>
              <w:t xml:space="preserve">black lye </w:t>
            </w:r>
            <w:r w:rsidR="001121AD">
              <w:rPr>
                <w:color w:val="000000"/>
                <w:kern w:val="0"/>
                <w:sz w:val="22"/>
                <w:szCs w:val="22"/>
                <w:lang w:val="en-GB"/>
              </w:rPr>
              <w:br/>
            </w:r>
            <w:r w:rsidRPr="00996B25">
              <w:rPr>
                <w:color w:val="000000"/>
                <w:kern w:val="0"/>
                <w:sz w:val="22"/>
                <w:szCs w:val="22"/>
                <w:lang w:val="en-GB"/>
              </w:rPr>
              <w:t>(waste from papermaking processes)</w:t>
            </w:r>
            <w:r w:rsidR="001121AD">
              <w:rPr>
                <w:color w:val="000000"/>
                <w:kern w:val="0"/>
                <w:sz w:val="22"/>
                <w:szCs w:val="22"/>
                <w:lang w:val="en-GB"/>
              </w:rPr>
              <w:t>,</w:t>
            </w:r>
            <w:r w:rsidRPr="00996B25">
              <w:rPr>
                <w:color w:val="000000"/>
                <w:kern w:val="0"/>
                <w:sz w:val="22"/>
                <w:szCs w:val="22"/>
                <w:lang w:val="en-GB"/>
              </w:rPr>
              <w:br/>
              <w:t xml:space="preserve">solid organic waste (wood, </w:t>
            </w:r>
            <w:r w:rsidR="001121AD">
              <w:rPr>
                <w:color w:val="000000"/>
                <w:kern w:val="0"/>
                <w:sz w:val="22"/>
                <w:szCs w:val="22"/>
                <w:lang w:val="en-GB"/>
              </w:rPr>
              <w:br/>
            </w:r>
            <w:r w:rsidRPr="00996B25">
              <w:rPr>
                <w:color w:val="000000"/>
                <w:kern w:val="0"/>
                <w:sz w:val="22"/>
                <w:szCs w:val="22"/>
                <w:lang w:val="en-GB"/>
              </w:rPr>
              <w:t>municipal solid organic waste, straw),</w:t>
            </w:r>
            <w:r w:rsidRPr="00996B25">
              <w:rPr>
                <w:color w:val="000000"/>
                <w:kern w:val="0"/>
                <w:sz w:val="22"/>
                <w:szCs w:val="22"/>
                <w:lang w:val="en-GB"/>
              </w:rPr>
              <w:br/>
              <w:t>biogas</w:t>
            </w:r>
          </w:p>
        </w:tc>
        <w:tc>
          <w:tcPr>
            <w:tcW w:w="1096" w:type="pct"/>
            <w:tcBorders>
              <w:top w:val="single" w:sz="4" w:space="0" w:color="auto"/>
            </w:tcBorders>
            <w:vAlign w:val="center"/>
            <w:hideMark/>
          </w:tcPr>
          <w:p w14:paraId="3B5C552F"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4-6/5</w:t>
            </w:r>
          </w:p>
        </w:tc>
        <w:tc>
          <w:tcPr>
            <w:tcW w:w="1004" w:type="pct"/>
            <w:tcBorders>
              <w:top w:val="single" w:sz="4" w:space="0" w:color="auto"/>
            </w:tcBorders>
            <w:vAlign w:val="center"/>
            <w:hideMark/>
          </w:tcPr>
          <w:p w14:paraId="603CBB59"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EU, USA</w:t>
            </w:r>
          </w:p>
        </w:tc>
      </w:tr>
      <w:tr w:rsidR="007D064F" w:rsidRPr="00996B25" w14:paraId="72BA660F" w14:textId="77777777" w:rsidTr="00112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964" w:type="pct"/>
            <w:vAlign w:val="center"/>
            <w:hideMark/>
          </w:tcPr>
          <w:p w14:paraId="42776104" w14:textId="05F091E0"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 xml:space="preserve">OME </w:t>
            </w:r>
            <w:r w:rsidR="001121AD">
              <w:rPr>
                <w:color w:val="000000"/>
                <w:kern w:val="0"/>
                <w:sz w:val="22"/>
                <w:szCs w:val="22"/>
                <w:lang w:val="en-GB"/>
              </w:rPr>
              <w:br/>
            </w:r>
            <w:r w:rsidRPr="00996B25">
              <w:rPr>
                <w:color w:val="000000"/>
                <w:kern w:val="0"/>
                <w:sz w:val="22"/>
                <w:szCs w:val="22"/>
                <w:lang w:val="en-GB"/>
              </w:rPr>
              <w:t>(ethylene oxide ether)</w:t>
            </w:r>
          </w:p>
        </w:tc>
        <w:tc>
          <w:tcPr>
            <w:tcW w:w="1936" w:type="pct"/>
            <w:vAlign w:val="center"/>
            <w:hideMark/>
          </w:tcPr>
          <w:p w14:paraId="78D1BC94" w14:textId="7918F1D9" w:rsidR="007D064F" w:rsidRPr="00996B25" w:rsidRDefault="007D064F" w:rsidP="001121AD">
            <w:pPr>
              <w:widowControl/>
              <w:overflowPunct/>
              <w:autoSpaceDE/>
              <w:autoSpaceDN/>
              <w:adjustRightInd/>
              <w:spacing w:line="240" w:lineRule="auto"/>
              <w:ind w:left="19"/>
              <w:jc w:val="center"/>
              <w:textAlignment w:val="auto"/>
              <w:rPr>
                <w:kern w:val="0"/>
                <w:szCs w:val="24"/>
                <w:lang w:val="en-GB"/>
              </w:rPr>
            </w:pPr>
            <w:r w:rsidRPr="00996B25">
              <w:rPr>
                <w:color w:val="000000"/>
                <w:kern w:val="0"/>
                <w:sz w:val="22"/>
                <w:szCs w:val="22"/>
                <w:lang w:val="en-GB"/>
              </w:rPr>
              <w:t>wood,</w:t>
            </w:r>
            <w:r w:rsidRPr="00996B25">
              <w:rPr>
                <w:color w:val="000000"/>
                <w:kern w:val="0"/>
                <w:sz w:val="22"/>
                <w:szCs w:val="22"/>
                <w:lang w:val="en-GB"/>
              </w:rPr>
              <w:br/>
              <w:t xml:space="preserve">solid organic waste (wood, </w:t>
            </w:r>
            <w:r w:rsidR="001121AD">
              <w:rPr>
                <w:color w:val="000000"/>
                <w:kern w:val="0"/>
                <w:sz w:val="22"/>
                <w:szCs w:val="22"/>
                <w:lang w:val="en-GB"/>
              </w:rPr>
              <w:br/>
            </w:r>
            <w:r w:rsidRPr="00996B25">
              <w:rPr>
                <w:color w:val="000000"/>
                <w:kern w:val="0"/>
                <w:sz w:val="22"/>
                <w:szCs w:val="22"/>
                <w:lang w:val="en-GB"/>
              </w:rPr>
              <w:t>solid organic waste, straw)</w:t>
            </w:r>
          </w:p>
        </w:tc>
        <w:tc>
          <w:tcPr>
            <w:tcW w:w="1096" w:type="pct"/>
            <w:vAlign w:val="center"/>
            <w:hideMark/>
          </w:tcPr>
          <w:p w14:paraId="213C69B6"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3-4/3</w:t>
            </w:r>
          </w:p>
        </w:tc>
        <w:tc>
          <w:tcPr>
            <w:tcW w:w="1004" w:type="pct"/>
            <w:vAlign w:val="center"/>
            <w:hideMark/>
          </w:tcPr>
          <w:p w14:paraId="25B02CFB"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PRC, Germany</w:t>
            </w:r>
          </w:p>
        </w:tc>
      </w:tr>
      <w:tr w:rsidR="007D064F" w:rsidRPr="00996B25" w14:paraId="38FF3CB6" w14:textId="77777777" w:rsidTr="00112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0"/>
        </w:trPr>
        <w:tc>
          <w:tcPr>
            <w:tcW w:w="964" w:type="pct"/>
            <w:vAlign w:val="center"/>
            <w:hideMark/>
          </w:tcPr>
          <w:p w14:paraId="73EA3539"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Methanol</w:t>
            </w:r>
          </w:p>
        </w:tc>
        <w:tc>
          <w:tcPr>
            <w:tcW w:w="1936" w:type="pct"/>
            <w:vAlign w:val="center"/>
            <w:hideMark/>
          </w:tcPr>
          <w:p w14:paraId="7B08BB92" w14:textId="089E6331" w:rsidR="007D064F" w:rsidRPr="00996B25" w:rsidRDefault="007D064F" w:rsidP="001121AD">
            <w:pPr>
              <w:widowControl/>
              <w:overflowPunct/>
              <w:autoSpaceDE/>
              <w:autoSpaceDN/>
              <w:adjustRightInd/>
              <w:spacing w:line="240" w:lineRule="auto"/>
              <w:ind w:left="19"/>
              <w:jc w:val="center"/>
              <w:textAlignment w:val="auto"/>
              <w:rPr>
                <w:kern w:val="0"/>
                <w:szCs w:val="24"/>
                <w:lang w:val="en-GB"/>
              </w:rPr>
            </w:pPr>
            <w:r w:rsidRPr="00996B25">
              <w:rPr>
                <w:color w:val="000000"/>
                <w:kern w:val="0"/>
                <w:sz w:val="22"/>
                <w:szCs w:val="22"/>
                <w:lang w:val="en-GB"/>
              </w:rPr>
              <w:t>wood,</w:t>
            </w:r>
            <w:r w:rsidRPr="00996B25">
              <w:rPr>
                <w:color w:val="000000"/>
                <w:kern w:val="0"/>
                <w:sz w:val="22"/>
                <w:szCs w:val="22"/>
                <w:lang w:val="en-GB"/>
              </w:rPr>
              <w:br/>
              <w:t xml:space="preserve">black lye </w:t>
            </w:r>
            <w:r w:rsidR="001121AD">
              <w:rPr>
                <w:color w:val="000000"/>
                <w:kern w:val="0"/>
                <w:sz w:val="22"/>
                <w:szCs w:val="22"/>
                <w:lang w:val="en-GB"/>
              </w:rPr>
              <w:br/>
            </w:r>
            <w:r w:rsidRPr="00996B25">
              <w:rPr>
                <w:color w:val="000000"/>
                <w:kern w:val="0"/>
                <w:sz w:val="22"/>
                <w:szCs w:val="22"/>
                <w:lang w:val="en-GB"/>
              </w:rPr>
              <w:t>(waste from papermaking processes),</w:t>
            </w:r>
            <w:r w:rsidRPr="00996B25">
              <w:rPr>
                <w:color w:val="000000"/>
                <w:kern w:val="0"/>
                <w:sz w:val="22"/>
                <w:szCs w:val="22"/>
                <w:lang w:val="en-GB"/>
              </w:rPr>
              <w:br/>
              <w:t xml:space="preserve">solid organic waste (wood, </w:t>
            </w:r>
            <w:r w:rsidR="001121AD">
              <w:rPr>
                <w:color w:val="000000"/>
                <w:kern w:val="0"/>
                <w:sz w:val="22"/>
                <w:szCs w:val="22"/>
                <w:lang w:val="en-GB"/>
              </w:rPr>
              <w:br/>
            </w:r>
            <w:r w:rsidRPr="00996B25">
              <w:rPr>
                <w:color w:val="000000"/>
                <w:kern w:val="0"/>
                <w:sz w:val="22"/>
                <w:szCs w:val="22"/>
                <w:lang w:val="en-GB"/>
              </w:rPr>
              <w:t>municipal solid organic waste, straw),</w:t>
            </w:r>
            <w:r w:rsidRPr="00996B25">
              <w:rPr>
                <w:color w:val="000000"/>
                <w:kern w:val="0"/>
                <w:sz w:val="22"/>
                <w:szCs w:val="22"/>
                <w:lang w:val="en-GB"/>
              </w:rPr>
              <w:br/>
              <w:t>alternatively biogas or glycerol</w:t>
            </w:r>
          </w:p>
        </w:tc>
        <w:tc>
          <w:tcPr>
            <w:tcW w:w="1096" w:type="pct"/>
            <w:vAlign w:val="center"/>
            <w:hideMark/>
          </w:tcPr>
          <w:p w14:paraId="1910D796"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4-6/5</w:t>
            </w:r>
          </w:p>
        </w:tc>
        <w:tc>
          <w:tcPr>
            <w:tcW w:w="1004" w:type="pct"/>
            <w:vAlign w:val="center"/>
            <w:hideMark/>
          </w:tcPr>
          <w:p w14:paraId="362B5F99"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USA, PRC, EU</w:t>
            </w:r>
          </w:p>
        </w:tc>
      </w:tr>
      <w:tr w:rsidR="007D064F" w:rsidRPr="00996B25" w14:paraId="677FB086" w14:textId="77777777" w:rsidTr="00112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4"/>
        </w:trPr>
        <w:tc>
          <w:tcPr>
            <w:tcW w:w="964" w:type="pct"/>
            <w:vAlign w:val="center"/>
            <w:hideMark/>
          </w:tcPr>
          <w:p w14:paraId="32C8DA93" w14:textId="1E7ABC00"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 xml:space="preserve">Ethanol from </w:t>
            </w:r>
            <w:r w:rsidR="001121AD">
              <w:rPr>
                <w:color w:val="000000"/>
                <w:kern w:val="0"/>
                <w:sz w:val="22"/>
                <w:szCs w:val="22"/>
                <w:lang w:val="en-GB"/>
              </w:rPr>
              <w:br/>
            </w:r>
            <w:r w:rsidRPr="00996B25">
              <w:rPr>
                <w:color w:val="000000"/>
                <w:kern w:val="0"/>
                <w:sz w:val="22"/>
                <w:szCs w:val="22"/>
                <w:lang w:val="en-GB"/>
              </w:rPr>
              <w:t>lignocellulose</w:t>
            </w:r>
          </w:p>
        </w:tc>
        <w:tc>
          <w:tcPr>
            <w:tcW w:w="1936" w:type="pct"/>
            <w:vAlign w:val="center"/>
            <w:hideMark/>
          </w:tcPr>
          <w:p w14:paraId="5E7605AE" w14:textId="06E335F9" w:rsidR="007D064F" w:rsidRPr="00996B25" w:rsidRDefault="007D064F" w:rsidP="001121AD">
            <w:pPr>
              <w:widowControl/>
              <w:overflowPunct/>
              <w:autoSpaceDE/>
              <w:autoSpaceDN/>
              <w:adjustRightInd/>
              <w:spacing w:line="240" w:lineRule="auto"/>
              <w:ind w:left="19"/>
              <w:jc w:val="center"/>
              <w:textAlignment w:val="auto"/>
              <w:rPr>
                <w:kern w:val="0"/>
                <w:szCs w:val="24"/>
                <w:lang w:val="en-GB"/>
              </w:rPr>
            </w:pPr>
            <w:r w:rsidRPr="00996B25">
              <w:rPr>
                <w:color w:val="000000"/>
                <w:kern w:val="0"/>
                <w:sz w:val="22"/>
                <w:szCs w:val="22"/>
                <w:lang w:val="en-GB"/>
              </w:rPr>
              <w:t xml:space="preserve">several types of lignocellulose </w:t>
            </w:r>
            <w:r w:rsidR="001121AD">
              <w:rPr>
                <w:color w:val="000000"/>
                <w:kern w:val="0"/>
                <w:sz w:val="22"/>
                <w:szCs w:val="22"/>
                <w:lang w:val="en-GB"/>
              </w:rPr>
              <w:br/>
            </w:r>
            <w:r w:rsidRPr="00996B25">
              <w:rPr>
                <w:color w:val="000000"/>
                <w:kern w:val="0"/>
                <w:sz w:val="22"/>
                <w:szCs w:val="22"/>
                <w:lang w:val="en-GB"/>
              </w:rPr>
              <w:t xml:space="preserve">(mainly straw, corn straw, bagasse (pomace) from sugar cane, </w:t>
            </w:r>
            <w:r w:rsidR="001121AD">
              <w:rPr>
                <w:color w:val="000000"/>
                <w:kern w:val="0"/>
                <w:sz w:val="22"/>
                <w:szCs w:val="22"/>
                <w:lang w:val="en-GB"/>
              </w:rPr>
              <w:br/>
            </w:r>
            <w:r w:rsidRPr="00996B25">
              <w:rPr>
                <w:color w:val="000000"/>
                <w:kern w:val="0"/>
                <w:sz w:val="22"/>
                <w:szCs w:val="22"/>
                <w:lang w:val="en-GB"/>
              </w:rPr>
              <w:t>wood, grasses)</w:t>
            </w:r>
            <w:r w:rsidR="001121AD">
              <w:rPr>
                <w:color w:val="000000"/>
                <w:kern w:val="0"/>
                <w:sz w:val="22"/>
                <w:szCs w:val="22"/>
                <w:lang w:val="en-GB"/>
              </w:rPr>
              <w:t>,</w:t>
            </w:r>
            <w:r w:rsidRPr="00996B25">
              <w:rPr>
                <w:color w:val="000000"/>
                <w:kern w:val="0"/>
                <w:sz w:val="22"/>
                <w:szCs w:val="22"/>
                <w:lang w:val="en-GB"/>
              </w:rPr>
              <w:br/>
              <w:t xml:space="preserve">distributed (municipal) waste, </w:t>
            </w:r>
            <w:r w:rsidR="001121AD">
              <w:rPr>
                <w:color w:val="000000"/>
                <w:kern w:val="0"/>
                <w:sz w:val="22"/>
                <w:szCs w:val="22"/>
                <w:lang w:val="en-GB"/>
              </w:rPr>
              <w:br/>
            </w:r>
            <w:r w:rsidRPr="00996B25">
              <w:rPr>
                <w:color w:val="000000"/>
                <w:kern w:val="0"/>
                <w:sz w:val="22"/>
                <w:szCs w:val="22"/>
                <w:lang w:val="en-GB"/>
              </w:rPr>
              <w:t>industrial waste streams</w:t>
            </w:r>
          </w:p>
        </w:tc>
        <w:tc>
          <w:tcPr>
            <w:tcW w:w="1096" w:type="pct"/>
            <w:vAlign w:val="center"/>
            <w:hideMark/>
          </w:tcPr>
          <w:p w14:paraId="70C4BA9A" w14:textId="20FD6626"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 xml:space="preserve">7-8/7 </w:t>
            </w:r>
            <w:r w:rsidR="001121AD">
              <w:rPr>
                <w:color w:val="000000"/>
                <w:kern w:val="0"/>
                <w:sz w:val="22"/>
                <w:szCs w:val="22"/>
                <w:lang w:val="en-GB"/>
              </w:rPr>
              <w:br/>
            </w:r>
            <w:r w:rsidRPr="00996B25">
              <w:rPr>
                <w:color w:val="000000"/>
                <w:kern w:val="0"/>
                <w:sz w:val="22"/>
                <w:szCs w:val="22"/>
                <w:lang w:val="en-GB"/>
              </w:rPr>
              <w:t>for fermentation</w:t>
            </w:r>
          </w:p>
        </w:tc>
        <w:tc>
          <w:tcPr>
            <w:tcW w:w="1004" w:type="pct"/>
            <w:vAlign w:val="center"/>
            <w:hideMark/>
          </w:tcPr>
          <w:p w14:paraId="5CA9571C" w14:textId="476D7788"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USA, PRC, UE, Brazil</w:t>
            </w:r>
          </w:p>
        </w:tc>
      </w:tr>
      <w:tr w:rsidR="007D064F" w:rsidRPr="00996B25" w14:paraId="36D71B3B" w14:textId="77777777" w:rsidTr="00112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4"/>
        </w:trPr>
        <w:tc>
          <w:tcPr>
            <w:tcW w:w="964" w:type="pct"/>
            <w:vAlign w:val="center"/>
            <w:hideMark/>
          </w:tcPr>
          <w:p w14:paraId="28A3FF57"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Biomethane</w:t>
            </w:r>
          </w:p>
        </w:tc>
        <w:tc>
          <w:tcPr>
            <w:tcW w:w="1936" w:type="pct"/>
            <w:vAlign w:val="center"/>
            <w:hideMark/>
          </w:tcPr>
          <w:p w14:paraId="36876D58" w14:textId="559A36D8" w:rsidR="007D064F" w:rsidRPr="00996B25" w:rsidRDefault="007D064F" w:rsidP="001121AD">
            <w:pPr>
              <w:widowControl/>
              <w:overflowPunct/>
              <w:autoSpaceDE/>
              <w:autoSpaceDN/>
              <w:adjustRightInd/>
              <w:spacing w:line="240" w:lineRule="auto"/>
              <w:ind w:left="19"/>
              <w:jc w:val="center"/>
              <w:textAlignment w:val="auto"/>
              <w:rPr>
                <w:kern w:val="0"/>
                <w:szCs w:val="24"/>
                <w:lang w:val="en-GB"/>
              </w:rPr>
            </w:pPr>
            <w:r w:rsidRPr="00996B25">
              <w:rPr>
                <w:color w:val="000000"/>
                <w:kern w:val="0"/>
                <w:sz w:val="22"/>
                <w:szCs w:val="22"/>
                <w:lang w:val="en-GB"/>
              </w:rPr>
              <w:t xml:space="preserve">agricultural and forestry waste </w:t>
            </w:r>
            <w:r w:rsidR="001121AD">
              <w:rPr>
                <w:color w:val="000000"/>
                <w:kern w:val="0"/>
                <w:sz w:val="22"/>
                <w:szCs w:val="22"/>
                <w:lang w:val="en-GB"/>
              </w:rPr>
              <w:br/>
            </w:r>
            <w:r w:rsidRPr="00996B25">
              <w:rPr>
                <w:color w:val="000000"/>
                <w:kern w:val="0"/>
                <w:sz w:val="22"/>
                <w:szCs w:val="22"/>
                <w:lang w:val="en-GB"/>
              </w:rPr>
              <w:t>(straw, sawdust)</w:t>
            </w:r>
          </w:p>
          <w:p w14:paraId="047AA06A" w14:textId="77777777" w:rsidR="007D064F" w:rsidRPr="00996B25" w:rsidRDefault="007D064F" w:rsidP="001121AD">
            <w:pPr>
              <w:widowControl/>
              <w:overflowPunct/>
              <w:autoSpaceDE/>
              <w:autoSpaceDN/>
              <w:adjustRightInd/>
              <w:spacing w:line="240" w:lineRule="auto"/>
              <w:ind w:left="19"/>
              <w:jc w:val="center"/>
              <w:textAlignment w:val="auto"/>
              <w:rPr>
                <w:kern w:val="0"/>
                <w:szCs w:val="24"/>
                <w:lang w:val="en-GB"/>
              </w:rPr>
            </w:pPr>
            <w:r w:rsidRPr="00996B25">
              <w:rPr>
                <w:color w:val="000000"/>
                <w:kern w:val="0"/>
                <w:sz w:val="22"/>
                <w:szCs w:val="22"/>
                <w:lang w:val="en-GB"/>
              </w:rPr>
              <w:t>municipal solid waste (landfill gas)</w:t>
            </w:r>
          </w:p>
        </w:tc>
        <w:tc>
          <w:tcPr>
            <w:tcW w:w="1096" w:type="pct"/>
            <w:vAlign w:val="center"/>
            <w:hideMark/>
          </w:tcPr>
          <w:p w14:paraId="6F68B502" w14:textId="77777777"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7-9/7</w:t>
            </w:r>
          </w:p>
        </w:tc>
        <w:tc>
          <w:tcPr>
            <w:tcW w:w="1004" w:type="pct"/>
            <w:vAlign w:val="center"/>
            <w:hideMark/>
          </w:tcPr>
          <w:p w14:paraId="1EF4F7E7" w14:textId="658B10DB" w:rsidR="007D064F" w:rsidRPr="00996B25" w:rsidRDefault="007D064F" w:rsidP="001121AD">
            <w:pPr>
              <w:widowControl/>
              <w:overflowPunct/>
              <w:autoSpaceDE/>
              <w:autoSpaceDN/>
              <w:adjustRightInd/>
              <w:spacing w:line="240" w:lineRule="auto"/>
              <w:jc w:val="center"/>
              <w:textAlignment w:val="auto"/>
              <w:rPr>
                <w:kern w:val="0"/>
                <w:szCs w:val="24"/>
                <w:lang w:val="en-GB"/>
              </w:rPr>
            </w:pPr>
            <w:r w:rsidRPr="00996B25">
              <w:rPr>
                <w:color w:val="000000"/>
                <w:kern w:val="0"/>
                <w:sz w:val="22"/>
                <w:szCs w:val="22"/>
                <w:lang w:val="en-GB"/>
              </w:rPr>
              <w:t>Netherlands, France, Norway, USA (landfill gas)</w:t>
            </w:r>
          </w:p>
        </w:tc>
      </w:tr>
    </w:tbl>
    <w:p w14:paraId="753C76C1" w14:textId="77777777" w:rsidR="0045605C" w:rsidRPr="00996B25" w:rsidRDefault="0045605C" w:rsidP="00996B25">
      <w:pPr>
        <w:widowControl/>
        <w:overflowPunct/>
        <w:autoSpaceDE/>
        <w:autoSpaceDN/>
        <w:adjustRightInd/>
        <w:spacing w:before="120" w:line="240" w:lineRule="auto"/>
        <w:textAlignment w:val="auto"/>
        <w:rPr>
          <w:bCs/>
          <w:kern w:val="0"/>
          <w:sz w:val="22"/>
          <w:szCs w:val="22"/>
          <w:lang w:val="en-GB"/>
        </w:rPr>
      </w:pPr>
      <w:r w:rsidRPr="00996B25">
        <w:rPr>
          <w:bCs/>
          <w:kern w:val="0"/>
          <w:sz w:val="22"/>
          <w:szCs w:val="22"/>
          <w:lang w:val="en-GB"/>
        </w:rPr>
        <w:t>TRL – Technical Readiness Level</w:t>
      </w:r>
    </w:p>
    <w:p w14:paraId="2BA4BF87" w14:textId="77777777" w:rsidR="0045605C" w:rsidRPr="00996B25" w:rsidRDefault="0045605C" w:rsidP="00996B25">
      <w:pPr>
        <w:widowControl/>
        <w:overflowPunct/>
        <w:autoSpaceDE/>
        <w:autoSpaceDN/>
        <w:adjustRightInd/>
        <w:spacing w:line="240" w:lineRule="auto"/>
        <w:textAlignment w:val="auto"/>
        <w:rPr>
          <w:bCs/>
          <w:kern w:val="0"/>
          <w:sz w:val="22"/>
          <w:szCs w:val="22"/>
          <w:lang w:val="en-GB"/>
        </w:rPr>
      </w:pPr>
      <w:r w:rsidRPr="00996B25">
        <w:rPr>
          <w:bCs/>
          <w:kern w:val="0"/>
          <w:sz w:val="22"/>
          <w:szCs w:val="22"/>
          <w:lang w:val="en-GB"/>
        </w:rPr>
        <w:t>FRL – Fuel Readiness Level</w:t>
      </w:r>
    </w:p>
    <w:p w14:paraId="6A5469CB" w14:textId="37290934" w:rsidR="0045605C" w:rsidRPr="00996B25" w:rsidRDefault="0045605C" w:rsidP="00996B25">
      <w:pPr>
        <w:widowControl/>
        <w:overflowPunct/>
        <w:autoSpaceDE/>
        <w:autoSpaceDN/>
        <w:adjustRightInd/>
        <w:spacing w:line="240" w:lineRule="auto"/>
        <w:textAlignment w:val="auto"/>
        <w:rPr>
          <w:sz w:val="22"/>
          <w:szCs w:val="22"/>
          <w:shd w:val="clear" w:color="auto" w:fill="FFFFFF"/>
          <w:lang w:val="en-GB"/>
        </w:rPr>
      </w:pPr>
      <w:r w:rsidRPr="00996B25">
        <w:rPr>
          <w:bCs/>
          <w:kern w:val="0"/>
          <w:sz w:val="22"/>
          <w:szCs w:val="22"/>
          <w:lang w:val="en-GB"/>
        </w:rPr>
        <w:t xml:space="preserve">HVO </w:t>
      </w:r>
      <w:r w:rsidR="00996B25">
        <w:rPr>
          <w:bCs/>
          <w:kern w:val="0"/>
          <w:sz w:val="22"/>
          <w:szCs w:val="22"/>
          <w:lang w:val="en-GB"/>
        </w:rPr>
        <w:t>–</w:t>
      </w:r>
      <w:r w:rsidRPr="00996B25">
        <w:rPr>
          <w:bCs/>
          <w:kern w:val="0"/>
          <w:sz w:val="22"/>
          <w:szCs w:val="22"/>
          <w:lang w:val="en-GB"/>
        </w:rPr>
        <w:t xml:space="preserve"> </w:t>
      </w:r>
      <w:r w:rsidRPr="00996B25">
        <w:rPr>
          <w:sz w:val="22"/>
          <w:szCs w:val="22"/>
          <w:shd w:val="clear" w:color="auto" w:fill="FFFFFF"/>
          <w:lang w:val="en-GB"/>
        </w:rPr>
        <w:t>Hydrotreated Vegetable Oil</w:t>
      </w:r>
    </w:p>
    <w:p w14:paraId="436B8316" w14:textId="510EDCF0" w:rsidR="0045605C" w:rsidRPr="00996B25" w:rsidRDefault="0045605C" w:rsidP="00996B25">
      <w:pPr>
        <w:widowControl/>
        <w:overflowPunct/>
        <w:autoSpaceDE/>
        <w:autoSpaceDN/>
        <w:adjustRightInd/>
        <w:spacing w:line="240" w:lineRule="auto"/>
        <w:textAlignment w:val="auto"/>
        <w:rPr>
          <w:bCs/>
          <w:kern w:val="0"/>
          <w:sz w:val="22"/>
          <w:szCs w:val="22"/>
          <w:lang w:val="en-GB"/>
        </w:rPr>
      </w:pPr>
      <w:r w:rsidRPr="00996B25">
        <w:rPr>
          <w:sz w:val="22"/>
          <w:szCs w:val="22"/>
          <w:shd w:val="clear" w:color="auto" w:fill="FFFFFF"/>
          <w:lang w:val="en-GB"/>
        </w:rPr>
        <w:t xml:space="preserve">HEFA </w:t>
      </w:r>
      <w:r w:rsidR="00996B25">
        <w:rPr>
          <w:sz w:val="22"/>
          <w:szCs w:val="22"/>
          <w:shd w:val="clear" w:color="auto" w:fill="FFFFFF"/>
          <w:lang w:val="en-GB"/>
        </w:rPr>
        <w:t>–</w:t>
      </w:r>
      <w:r w:rsidRPr="00996B25">
        <w:rPr>
          <w:sz w:val="22"/>
          <w:szCs w:val="22"/>
          <w:shd w:val="clear" w:color="auto" w:fill="FFFFFF"/>
          <w:lang w:val="en-GB"/>
        </w:rPr>
        <w:t xml:space="preserve"> </w:t>
      </w:r>
      <w:proofErr w:type="spellStart"/>
      <w:r w:rsidRPr="00996B25">
        <w:rPr>
          <w:sz w:val="22"/>
          <w:szCs w:val="22"/>
          <w:shd w:val="clear" w:color="auto" w:fill="FFFFFF"/>
          <w:lang w:val="en-GB"/>
        </w:rPr>
        <w:t>Hydroprocessed</w:t>
      </w:r>
      <w:proofErr w:type="spellEnd"/>
      <w:r w:rsidRPr="00996B25">
        <w:rPr>
          <w:sz w:val="22"/>
          <w:szCs w:val="22"/>
          <w:shd w:val="clear" w:color="auto" w:fill="FFFFFF"/>
          <w:lang w:val="en-GB"/>
        </w:rPr>
        <w:t xml:space="preserve"> Esters and Fatty Acids</w:t>
      </w:r>
    </w:p>
    <w:p w14:paraId="0E90C3E1" w14:textId="15F83EEA" w:rsidR="004B348C" w:rsidRPr="00996B25" w:rsidRDefault="007D064F" w:rsidP="00996B25">
      <w:pPr>
        <w:pStyle w:val="Rn1"/>
      </w:pPr>
      <w:r w:rsidRPr="00996B25">
        <w:t>3.</w:t>
      </w:r>
      <w:r w:rsidR="00996B25">
        <w:t xml:space="preserve"> </w:t>
      </w:r>
      <w:proofErr w:type="spellStart"/>
      <w:r w:rsidRPr="00996B25">
        <w:t>Zeolites</w:t>
      </w:r>
      <w:proofErr w:type="spellEnd"/>
      <w:r w:rsidRPr="00996B25">
        <w:t xml:space="preserve"> as </w:t>
      </w:r>
      <w:proofErr w:type="spellStart"/>
      <w:r w:rsidR="00996B25">
        <w:t>C</w:t>
      </w:r>
      <w:r w:rsidRPr="00996B25">
        <w:t>atalysts</w:t>
      </w:r>
      <w:proofErr w:type="spellEnd"/>
      <w:r w:rsidRPr="00996B25">
        <w:t xml:space="preserve"> in </w:t>
      </w:r>
      <w:proofErr w:type="spellStart"/>
      <w:r w:rsidR="00996B25">
        <w:t>B</w:t>
      </w:r>
      <w:r w:rsidR="004257E1" w:rsidRPr="00996B25">
        <w:t>iomass</w:t>
      </w:r>
      <w:proofErr w:type="spellEnd"/>
      <w:r w:rsidR="004257E1" w:rsidRPr="00996B25">
        <w:t xml:space="preserve"> </w:t>
      </w:r>
      <w:r w:rsidR="00996B25">
        <w:t>C</w:t>
      </w:r>
      <w:r w:rsidR="004257E1" w:rsidRPr="00996B25">
        <w:t xml:space="preserve">onversion </w:t>
      </w:r>
      <w:proofErr w:type="spellStart"/>
      <w:r w:rsidR="004257E1" w:rsidRPr="00996B25">
        <w:t>into</w:t>
      </w:r>
      <w:proofErr w:type="spellEnd"/>
      <w:r w:rsidR="004257E1" w:rsidRPr="00996B25">
        <w:t xml:space="preserve"> </w:t>
      </w:r>
      <w:proofErr w:type="spellStart"/>
      <w:r w:rsidR="00996B25">
        <w:t>B</w:t>
      </w:r>
      <w:r w:rsidR="004257E1" w:rsidRPr="00996B25">
        <w:t>iofuel</w:t>
      </w:r>
      <w:proofErr w:type="spellEnd"/>
    </w:p>
    <w:p w14:paraId="62B73CE4" w14:textId="53ED15EE" w:rsidR="00DF27B5" w:rsidRPr="00996B25" w:rsidRDefault="007D064F" w:rsidP="003C7219">
      <w:pPr>
        <w:widowControl/>
        <w:overflowPunct/>
        <w:autoSpaceDE/>
        <w:autoSpaceDN/>
        <w:adjustRightInd/>
        <w:spacing w:line="240" w:lineRule="auto"/>
        <w:ind w:firstLine="284"/>
        <w:jc w:val="both"/>
        <w:textAlignment w:val="auto"/>
        <w:rPr>
          <w:kern w:val="0"/>
          <w:sz w:val="22"/>
          <w:szCs w:val="22"/>
          <w:lang w:val="en-GB"/>
        </w:rPr>
      </w:pPr>
      <w:r w:rsidRPr="00996B25">
        <w:rPr>
          <w:kern w:val="0"/>
          <w:sz w:val="22"/>
          <w:szCs w:val="22"/>
          <w:lang w:val="en-GB"/>
        </w:rPr>
        <w:t xml:space="preserve">Another possibility of converting biomass into biofuels is </w:t>
      </w:r>
      <w:r w:rsidR="00247358">
        <w:rPr>
          <w:kern w:val="0"/>
          <w:sz w:val="22"/>
          <w:szCs w:val="22"/>
          <w:lang w:val="en-GB"/>
        </w:rPr>
        <w:t>using</w:t>
      </w:r>
      <w:r w:rsidRPr="00996B25">
        <w:rPr>
          <w:kern w:val="0"/>
          <w:sz w:val="22"/>
          <w:szCs w:val="22"/>
          <w:lang w:val="en-GB"/>
        </w:rPr>
        <w:t xml:space="preserve"> zeolites as chemical reaction catalysts. This is particularly profitable because it allows easy use and recycling of fly ash. Biogas, although it is a renewable form of energy, usually contains 40-45% CO</w:t>
      </w:r>
      <w:r w:rsidRPr="00996B25">
        <w:rPr>
          <w:kern w:val="0"/>
          <w:sz w:val="22"/>
          <w:szCs w:val="22"/>
          <w:vertAlign w:val="subscript"/>
          <w:lang w:val="en-GB"/>
        </w:rPr>
        <w:t>2</w:t>
      </w:r>
      <w:r w:rsidRPr="00996B25">
        <w:rPr>
          <w:kern w:val="0"/>
          <w:sz w:val="22"/>
          <w:szCs w:val="22"/>
          <w:lang w:val="en-GB"/>
        </w:rPr>
        <w:t xml:space="preserve">, which significantly reduces its calorific value </w:t>
      </w:r>
      <w:r w:rsidR="00E86B3B">
        <w:rPr>
          <w:kern w:val="0"/>
          <w:sz w:val="22"/>
          <w:szCs w:val="22"/>
          <w:lang w:val="en-GB"/>
        </w:rPr>
        <w:t>(</w:t>
      </w:r>
      <w:r w:rsidR="00562C14" w:rsidRPr="00996B25">
        <w:rPr>
          <w:kern w:val="0"/>
          <w:sz w:val="22"/>
          <w:szCs w:val="22"/>
          <w:lang w:val="en-GB"/>
        </w:rPr>
        <w:t>Narang 2019</w:t>
      </w:r>
      <w:r w:rsidR="00E86B3B">
        <w:rPr>
          <w:kern w:val="0"/>
          <w:sz w:val="22"/>
          <w:szCs w:val="22"/>
          <w:lang w:val="en-GB"/>
        </w:rPr>
        <w:t>).</w:t>
      </w:r>
      <w:r w:rsidRPr="00996B25">
        <w:rPr>
          <w:kern w:val="0"/>
          <w:sz w:val="22"/>
          <w:szCs w:val="22"/>
          <w:lang w:val="en-GB"/>
        </w:rPr>
        <w:t xml:space="preserve"> Various porous materials have been adapted to adsorb CO</w:t>
      </w:r>
      <w:r w:rsidRPr="00E86B3B">
        <w:rPr>
          <w:kern w:val="0"/>
          <w:sz w:val="22"/>
          <w:szCs w:val="22"/>
          <w:vertAlign w:val="subscript"/>
          <w:lang w:val="en-GB"/>
        </w:rPr>
        <w:t>2</w:t>
      </w:r>
      <w:r w:rsidRPr="00996B25">
        <w:rPr>
          <w:kern w:val="0"/>
          <w:sz w:val="22"/>
          <w:szCs w:val="22"/>
          <w:lang w:val="en-GB"/>
        </w:rPr>
        <w:t xml:space="preserve"> gas from the biogas stream to obtain 95-97% biomethane. Zeolites are one of the promising porous materials that can significantly contribute to the upgrading process through selective adsorption of CO</w:t>
      </w:r>
      <w:r w:rsidRPr="00996B25">
        <w:rPr>
          <w:kern w:val="0"/>
          <w:sz w:val="22"/>
          <w:szCs w:val="22"/>
          <w:vertAlign w:val="subscript"/>
          <w:lang w:val="en-GB"/>
        </w:rPr>
        <w:t>2</w:t>
      </w:r>
      <w:r w:rsidRPr="00996B25">
        <w:rPr>
          <w:kern w:val="0"/>
          <w:sz w:val="22"/>
          <w:szCs w:val="22"/>
          <w:lang w:val="en-GB"/>
        </w:rPr>
        <w:t xml:space="preserve"> gas from biogas </w:t>
      </w:r>
      <w:r w:rsidR="00E86B3B">
        <w:rPr>
          <w:kern w:val="0"/>
          <w:sz w:val="22"/>
          <w:szCs w:val="22"/>
          <w:lang w:val="en-GB"/>
        </w:rPr>
        <w:t>(</w:t>
      </w:r>
      <w:r w:rsidR="00562C14" w:rsidRPr="00996B25">
        <w:rPr>
          <w:kern w:val="0"/>
          <w:sz w:val="22"/>
          <w:szCs w:val="22"/>
          <w:lang w:val="en-GB"/>
        </w:rPr>
        <w:t>Narang 2019</w:t>
      </w:r>
      <w:r w:rsidR="00E86B3B">
        <w:rPr>
          <w:kern w:val="0"/>
          <w:sz w:val="22"/>
          <w:szCs w:val="22"/>
          <w:lang w:val="en-GB"/>
        </w:rPr>
        <w:t>).</w:t>
      </w:r>
      <w:r w:rsidRPr="00996B25">
        <w:rPr>
          <w:kern w:val="0"/>
          <w:sz w:val="22"/>
          <w:szCs w:val="22"/>
          <w:lang w:val="en-GB"/>
        </w:rPr>
        <w:t xml:space="preserve"> </w:t>
      </w:r>
      <w:r w:rsidR="00247358">
        <w:rPr>
          <w:kern w:val="0"/>
          <w:sz w:val="22"/>
          <w:szCs w:val="22"/>
          <w:lang w:val="en-GB"/>
        </w:rPr>
        <w:t>Using</w:t>
      </w:r>
      <w:r w:rsidRPr="00996B25">
        <w:rPr>
          <w:kern w:val="0"/>
          <w:sz w:val="22"/>
          <w:szCs w:val="22"/>
          <w:lang w:val="en-GB"/>
        </w:rPr>
        <w:t xml:space="preserve"> natural material as a catalyst or substrate for the production of a catalyst not only reduces the costs associated with the production of catalysts but also makes the process environmentally friendly. Moreover, the use of waste materials reduces the problem of waste disposal. The most abundant resources of technology byproducts include primarily waste from agriculture, mining and metal production, and in particular</w:t>
      </w:r>
      <w:r w:rsidR="00247358">
        <w:rPr>
          <w:kern w:val="0"/>
          <w:sz w:val="22"/>
          <w:szCs w:val="22"/>
          <w:lang w:val="en-GB"/>
        </w:rPr>
        <w:t>,</w:t>
      </w:r>
      <w:r w:rsidRPr="00996B25">
        <w:rPr>
          <w:kern w:val="0"/>
          <w:sz w:val="22"/>
          <w:szCs w:val="22"/>
          <w:lang w:val="en-GB"/>
        </w:rPr>
        <w:t xml:space="preserve"> the steel industry </w:t>
      </w:r>
      <w:r w:rsidR="00E86B3B">
        <w:rPr>
          <w:kern w:val="0"/>
          <w:sz w:val="22"/>
          <w:szCs w:val="22"/>
          <w:lang w:val="en-GB"/>
        </w:rPr>
        <w:t>(</w:t>
      </w:r>
      <w:r w:rsidR="00562C14" w:rsidRPr="00996B25">
        <w:rPr>
          <w:kern w:val="0"/>
          <w:sz w:val="22"/>
          <w:szCs w:val="22"/>
          <w:lang w:val="en-GB"/>
        </w:rPr>
        <w:t>Książek et al. 2017</w:t>
      </w:r>
      <w:r w:rsidR="00E86B3B">
        <w:rPr>
          <w:kern w:val="0"/>
          <w:sz w:val="22"/>
          <w:szCs w:val="22"/>
          <w:lang w:val="en-GB"/>
        </w:rPr>
        <w:t>).</w:t>
      </w:r>
      <w:r w:rsidRPr="00996B25">
        <w:rPr>
          <w:kern w:val="0"/>
          <w:sz w:val="22"/>
          <w:szCs w:val="22"/>
          <w:lang w:val="en-GB"/>
        </w:rPr>
        <w:t xml:space="preserve"> In recent years, the use of zeolites in biomass conversion processes has developed significantly. More precise technologies for converting biomass components are gradually replacing traditional biomass cracking processes, comparable to today's petroleum-based petrochemical industrial activities. Consequently, lignocellulosic biomass can be converted into a sustainable feedstock </w:t>
      </w:r>
      <w:r w:rsidR="00247358">
        <w:rPr>
          <w:kern w:val="0"/>
          <w:sz w:val="22"/>
          <w:szCs w:val="22"/>
          <w:lang w:val="en-GB"/>
        </w:rPr>
        <w:t>to produce</w:t>
      </w:r>
      <w:r w:rsidRPr="00996B25">
        <w:rPr>
          <w:kern w:val="0"/>
          <w:sz w:val="22"/>
          <w:szCs w:val="22"/>
          <w:lang w:val="en-GB"/>
        </w:rPr>
        <w:t xml:space="preserve"> bulk chemicals and fuels in the coming years </w:t>
      </w:r>
      <w:r w:rsidR="004125AF">
        <w:rPr>
          <w:kern w:val="0"/>
          <w:sz w:val="22"/>
          <w:szCs w:val="22"/>
          <w:lang w:val="en-GB"/>
        </w:rPr>
        <w:t>(</w:t>
      </w:r>
      <w:r w:rsidR="001B0BB8" w:rsidRPr="00996B25">
        <w:rPr>
          <w:kern w:val="0"/>
          <w:sz w:val="22"/>
          <w:szCs w:val="22"/>
          <w:lang w:val="en-GB"/>
        </w:rPr>
        <w:t>Qazi et al. 2022</w:t>
      </w:r>
      <w:r w:rsidR="004125AF">
        <w:rPr>
          <w:kern w:val="0"/>
          <w:sz w:val="22"/>
          <w:szCs w:val="22"/>
          <w:lang w:val="en-GB"/>
        </w:rPr>
        <w:t>).</w:t>
      </w:r>
      <w:r w:rsidRPr="00996B25">
        <w:rPr>
          <w:kern w:val="0"/>
          <w:sz w:val="22"/>
          <w:szCs w:val="22"/>
          <w:lang w:val="en-GB"/>
        </w:rPr>
        <w:t xml:space="preserve"> Zeolites have the potential to be used in these types of processes, and their availability and adaptability make them a fascinating prospect to explore. While this is crucial for </w:t>
      </w:r>
      <w:r w:rsidR="00247358">
        <w:rPr>
          <w:kern w:val="0"/>
          <w:sz w:val="22"/>
          <w:szCs w:val="22"/>
          <w:lang w:val="en-GB"/>
        </w:rPr>
        <w:t>developing</w:t>
      </w:r>
      <w:r w:rsidRPr="00996B25">
        <w:rPr>
          <w:kern w:val="0"/>
          <w:sz w:val="22"/>
          <w:szCs w:val="22"/>
          <w:lang w:val="en-GB"/>
        </w:rPr>
        <w:t xml:space="preserve"> renewable bulk chemicals that can be used in </w:t>
      </w:r>
      <w:r w:rsidR="00247358">
        <w:rPr>
          <w:kern w:val="0"/>
          <w:sz w:val="22"/>
          <w:szCs w:val="22"/>
          <w:lang w:val="en-GB"/>
        </w:rPr>
        <w:t>various</w:t>
      </w:r>
      <w:r w:rsidRPr="00996B25">
        <w:rPr>
          <w:kern w:val="0"/>
          <w:sz w:val="22"/>
          <w:szCs w:val="22"/>
          <w:lang w:val="en-GB"/>
        </w:rPr>
        <w:t xml:space="preserve"> applications, it is also essential to reduce the overall environmental impact of the chemical industry </w:t>
      </w:r>
      <w:r w:rsidR="004125AF">
        <w:rPr>
          <w:kern w:val="0"/>
          <w:sz w:val="22"/>
          <w:szCs w:val="22"/>
          <w:lang w:val="en-GB"/>
        </w:rPr>
        <w:t>(</w:t>
      </w:r>
      <w:r w:rsidR="001B0BB8" w:rsidRPr="00996B25">
        <w:rPr>
          <w:kern w:val="0"/>
          <w:sz w:val="22"/>
          <w:szCs w:val="22"/>
          <w:lang w:val="en-GB"/>
        </w:rPr>
        <w:t>Qazi et al. 2022</w:t>
      </w:r>
      <w:r w:rsidR="004125AF">
        <w:rPr>
          <w:kern w:val="0"/>
          <w:sz w:val="22"/>
          <w:szCs w:val="22"/>
          <w:lang w:val="en-GB"/>
        </w:rPr>
        <w:t>).</w:t>
      </w:r>
      <w:r w:rsidRPr="00996B25">
        <w:rPr>
          <w:kern w:val="0"/>
          <w:sz w:val="22"/>
          <w:szCs w:val="22"/>
          <w:lang w:val="en-GB"/>
        </w:rPr>
        <w:t xml:space="preserve"> Figure 5 shows examples of zeolites used </w:t>
      </w:r>
      <w:r w:rsidR="00247358">
        <w:rPr>
          <w:kern w:val="0"/>
          <w:sz w:val="22"/>
          <w:szCs w:val="22"/>
          <w:lang w:val="en-GB"/>
        </w:rPr>
        <w:t>to produce</w:t>
      </w:r>
      <w:r w:rsidRPr="00996B25">
        <w:rPr>
          <w:kern w:val="0"/>
          <w:sz w:val="22"/>
          <w:szCs w:val="22"/>
          <w:lang w:val="en-GB"/>
        </w:rPr>
        <w:t xml:space="preserve"> various types of biofuels.</w:t>
      </w:r>
    </w:p>
    <w:p w14:paraId="081BC6D3" w14:textId="77777777" w:rsidR="007D064F" w:rsidRPr="00996B25" w:rsidRDefault="007D064F" w:rsidP="003C7219">
      <w:pPr>
        <w:widowControl/>
        <w:overflowPunct/>
        <w:autoSpaceDE/>
        <w:autoSpaceDN/>
        <w:adjustRightInd/>
        <w:spacing w:line="240" w:lineRule="auto"/>
        <w:ind w:firstLine="284"/>
        <w:jc w:val="both"/>
        <w:textAlignment w:val="auto"/>
        <w:rPr>
          <w:kern w:val="0"/>
          <w:szCs w:val="24"/>
          <w:lang w:val="en-GB"/>
        </w:rPr>
      </w:pPr>
    </w:p>
    <w:p w14:paraId="72B6040D" w14:textId="77777777" w:rsidR="003C7219" w:rsidRDefault="00DF0836" w:rsidP="003C7219">
      <w:pPr>
        <w:pStyle w:val="Rrys"/>
        <w:jc w:val="center"/>
      </w:pPr>
      <w:r w:rsidRPr="00996B25">
        <w:rPr>
          <w:noProof/>
        </w:rPr>
        <w:lastRenderedPageBreak/>
        <w:drawing>
          <wp:inline distT="0" distB="0" distL="0" distR="0" wp14:anchorId="259A9003" wp14:editId="2EE1C97F">
            <wp:extent cx="5092700" cy="3555822"/>
            <wp:effectExtent l="0" t="0" r="0" b="698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srcRect l="1925" r="11717" b="9947"/>
                    <a:stretch/>
                  </pic:blipFill>
                  <pic:spPr bwMode="auto">
                    <a:xfrm>
                      <a:off x="0" y="0"/>
                      <a:ext cx="5106864" cy="3565711"/>
                    </a:xfrm>
                    <a:prstGeom prst="rect">
                      <a:avLst/>
                    </a:prstGeom>
                    <a:noFill/>
                    <a:ln>
                      <a:noFill/>
                    </a:ln>
                    <a:extLst>
                      <a:ext uri="{53640926-AAD7-44D8-BBD7-CCE9431645EC}">
                        <a14:shadowObscured xmlns:a14="http://schemas.microsoft.com/office/drawing/2010/main"/>
                      </a:ext>
                    </a:extLst>
                  </pic:spPr>
                </pic:pic>
              </a:graphicData>
            </a:graphic>
          </wp:inline>
        </w:drawing>
      </w:r>
    </w:p>
    <w:p w14:paraId="2CA74048" w14:textId="6C60D14A" w:rsidR="007D064F" w:rsidRPr="00996B25" w:rsidRDefault="007D064F" w:rsidP="00996B25">
      <w:pPr>
        <w:pStyle w:val="Rrys"/>
      </w:pPr>
      <w:r w:rsidRPr="003C7219">
        <w:rPr>
          <w:b/>
          <w:bCs/>
        </w:rPr>
        <w:t>Fig. 5.</w:t>
      </w:r>
      <w:r w:rsidRPr="00996B25">
        <w:t xml:space="preserve"> </w:t>
      </w:r>
      <w:proofErr w:type="spellStart"/>
      <w:r w:rsidRPr="00996B25">
        <w:t>Examples</w:t>
      </w:r>
      <w:proofErr w:type="spellEnd"/>
      <w:r w:rsidRPr="00996B25">
        <w:t xml:space="preserve"> of </w:t>
      </w:r>
      <w:proofErr w:type="spellStart"/>
      <w:r w:rsidRPr="00996B25">
        <w:t>zeolites</w:t>
      </w:r>
      <w:proofErr w:type="spellEnd"/>
      <w:r w:rsidRPr="00996B25">
        <w:t xml:space="preserve"> </w:t>
      </w:r>
      <w:proofErr w:type="spellStart"/>
      <w:r w:rsidRPr="00996B25">
        <w:t>used</w:t>
      </w:r>
      <w:proofErr w:type="spellEnd"/>
      <w:r w:rsidRPr="00996B25">
        <w:t xml:space="preserve"> as </w:t>
      </w:r>
      <w:proofErr w:type="spellStart"/>
      <w:r w:rsidRPr="00996B25">
        <w:t>catalysts</w:t>
      </w:r>
      <w:proofErr w:type="spellEnd"/>
      <w:r w:rsidRPr="00996B25">
        <w:t xml:space="preserve"> in </w:t>
      </w:r>
      <w:proofErr w:type="spellStart"/>
      <w:r w:rsidRPr="00996B25">
        <w:t>biomass</w:t>
      </w:r>
      <w:proofErr w:type="spellEnd"/>
      <w:r w:rsidRPr="00996B25">
        <w:t xml:space="preserve"> </w:t>
      </w:r>
      <w:proofErr w:type="spellStart"/>
      <w:r w:rsidRPr="00996B25">
        <w:t>conversion</w:t>
      </w:r>
      <w:proofErr w:type="spellEnd"/>
      <w:r w:rsidRPr="00996B25">
        <w:t xml:space="preserve"> </w:t>
      </w:r>
      <w:proofErr w:type="spellStart"/>
      <w:r w:rsidRPr="00996B25">
        <w:t>into</w:t>
      </w:r>
      <w:proofErr w:type="spellEnd"/>
      <w:r w:rsidRPr="00996B25">
        <w:t xml:space="preserve"> </w:t>
      </w:r>
      <w:proofErr w:type="spellStart"/>
      <w:r w:rsidRPr="00996B25">
        <w:t>various</w:t>
      </w:r>
      <w:proofErr w:type="spellEnd"/>
      <w:r w:rsidRPr="00996B25">
        <w:t xml:space="preserve"> </w:t>
      </w:r>
      <w:proofErr w:type="spellStart"/>
      <w:r w:rsidRPr="00996B25">
        <w:t>biofuels</w:t>
      </w:r>
      <w:proofErr w:type="spellEnd"/>
      <w:r w:rsidRPr="00996B25">
        <w:t xml:space="preserve"> </w:t>
      </w:r>
      <w:r w:rsidR="004125AF">
        <w:t>(</w:t>
      </w:r>
      <w:proofErr w:type="spellStart"/>
      <w:r w:rsidR="005A492A" w:rsidRPr="00996B25">
        <w:t>Narang</w:t>
      </w:r>
      <w:proofErr w:type="spellEnd"/>
      <w:r w:rsidR="005A492A" w:rsidRPr="00996B25">
        <w:t xml:space="preserve"> 2019</w:t>
      </w:r>
      <w:r w:rsidRPr="00996B25">
        <w:t>,</w:t>
      </w:r>
      <w:r w:rsidR="005A492A" w:rsidRPr="00996B25">
        <w:t xml:space="preserve"> </w:t>
      </w:r>
      <w:proofErr w:type="spellStart"/>
      <w:r w:rsidR="005A492A" w:rsidRPr="00996B25">
        <w:t>Atchimarungsri</w:t>
      </w:r>
      <w:proofErr w:type="spellEnd"/>
      <w:r w:rsidR="005A492A" w:rsidRPr="00996B25">
        <w:t xml:space="preserve"> et al. 2022</w:t>
      </w:r>
      <w:r w:rsidRPr="00996B25">
        <w:t>,</w:t>
      </w:r>
      <w:r w:rsidR="005A492A" w:rsidRPr="00996B25">
        <w:t xml:space="preserve"> </w:t>
      </w:r>
      <w:proofErr w:type="spellStart"/>
      <w:r w:rsidR="005A492A" w:rsidRPr="00996B25">
        <w:t>Shabani</w:t>
      </w:r>
      <w:proofErr w:type="spellEnd"/>
      <w:r w:rsidR="005A492A" w:rsidRPr="00996B25">
        <w:t xml:space="preserve"> et </w:t>
      </w:r>
      <w:r w:rsidR="004125AF">
        <w:t>al.</w:t>
      </w:r>
      <w:r w:rsidR="005A492A" w:rsidRPr="00996B25">
        <w:t xml:space="preserve"> 2022</w:t>
      </w:r>
      <w:r w:rsidRPr="00996B25">
        <w:t>,</w:t>
      </w:r>
      <w:r w:rsidR="005A492A" w:rsidRPr="00996B25">
        <w:t xml:space="preserve"> </w:t>
      </w:r>
      <w:proofErr w:type="spellStart"/>
      <w:r w:rsidR="005A492A" w:rsidRPr="00996B25">
        <w:t>Gao</w:t>
      </w:r>
      <w:proofErr w:type="spellEnd"/>
      <w:r w:rsidR="005A492A" w:rsidRPr="00996B25">
        <w:t xml:space="preserve"> et al. 2023</w:t>
      </w:r>
      <w:r w:rsidR="004125AF">
        <w:t>)</w:t>
      </w:r>
    </w:p>
    <w:p w14:paraId="74BF90B1" w14:textId="77777777" w:rsidR="00247358" w:rsidRDefault="00247358" w:rsidP="00247358">
      <w:pPr>
        <w:widowControl/>
        <w:overflowPunct/>
        <w:autoSpaceDE/>
        <w:autoSpaceDN/>
        <w:adjustRightInd/>
        <w:spacing w:line="240" w:lineRule="auto"/>
        <w:ind w:firstLine="284"/>
        <w:jc w:val="both"/>
        <w:textAlignment w:val="auto"/>
        <w:rPr>
          <w:kern w:val="0"/>
          <w:sz w:val="22"/>
          <w:szCs w:val="22"/>
          <w:lang w:val="en-GB"/>
        </w:rPr>
      </w:pPr>
    </w:p>
    <w:p w14:paraId="150B7631" w14:textId="26486BEE" w:rsidR="00247358" w:rsidRPr="00607A40" w:rsidRDefault="00247358" w:rsidP="00247358">
      <w:pPr>
        <w:widowControl/>
        <w:overflowPunct/>
        <w:autoSpaceDE/>
        <w:autoSpaceDN/>
        <w:adjustRightInd/>
        <w:spacing w:line="240" w:lineRule="auto"/>
        <w:ind w:firstLine="284"/>
        <w:jc w:val="both"/>
        <w:textAlignment w:val="auto"/>
        <w:rPr>
          <w:spacing w:val="-2"/>
          <w:kern w:val="0"/>
          <w:sz w:val="22"/>
          <w:szCs w:val="22"/>
          <w:lang w:val="en-GB"/>
        </w:rPr>
      </w:pPr>
      <w:r w:rsidRPr="00607A40">
        <w:rPr>
          <w:spacing w:val="-2"/>
          <w:kern w:val="0"/>
          <w:sz w:val="22"/>
          <w:szCs w:val="22"/>
          <w:lang w:val="en-GB"/>
        </w:rPr>
        <w:t>Biodiesel is typically produced from vegetable oils and methanol, producing glycerol as a byproduct. To</w:t>
      </w:r>
      <w:r w:rsidR="00607A40" w:rsidRPr="00607A40">
        <w:rPr>
          <w:spacing w:val="-2"/>
          <w:kern w:val="0"/>
          <w:sz w:val="22"/>
          <w:szCs w:val="22"/>
          <w:lang w:val="en-GB"/>
        </w:rPr>
        <w:t> </w:t>
      </w:r>
      <w:r w:rsidRPr="00607A40">
        <w:rPr>
          <w:spacing w:val="-2"/>
          <w:kern w:val="0"/>
          <w:sz w:val="22"/>
          <w:szCs w:val="22"/>
          <w:lang w:val="en-GB"/>
        </w:rPr>
        <w:t xml:space="preserve">improve the overall economic performance of the process, the selective formation of methanol from glycerol is important in biodiesel production. In work (Książek et al. 2017), HZSM-5 zeolite modified with </w:t>
      </w:r>
      <w:proofErr w:type="spellStart"/>
      <w:r w:rsidRPr="00607A40">
        <w:rPr>
          <w:spacing w:val="-2"/>
          <w:kern w:val="0"/>
          <w:sz w:val="22"/>
          <w:szCs w:val="22"/>
          <w:lang w:val="en-GB"/>
        </w:rPr>
        <w:t>CaO</w:t>
      </w:r>
      <w:proofErr w:type="spellEnd"/>
      <w:r w:rsidRPr="00607A40">
        <w:rPr>
          <w:spacing w:val="-2"/>
          <w:kern w:val="0"/>
          <w:sz w:val="22"/>
          <w:szCs w:val="22"/>
          <w:lang w:val="en-GB"/>
        </w:rPr>
        <w:t xml:space="preserve"> was obtained by impregnation and used to convert glycerol to methanol. 10% </w:t>
      </w:r>
      <w:proofErr w:type="spellStart"/>
      <w:r w:rsidRPr="00607A40">
        <w:rPr>
          <w:spacing w:val="-2"/>
          <w:kern w:val="0"/>
          <w:sz w:val="22"/>
          <w:szCs w:val="22"/>
          <w:lang w:val="en-GB"/>
        </w:rPr>
        <w:t>CaO</w:t>
      </w:r>
      <w:proofErr w:type="spellEnd"/>
      <w:r w:rsidRPr="00607A40">
        <w:rPr>
          <w:spacing w:val="-2"/>
          <w:kern w:val="0"/>
          <w:sz w:val="22"/>
          <w:szCs w:val="22"/>
          <w:lang w:val="en-GB"/>
        </w:rPr>
        <w:t>/HZSM-5 with a Si/Al ratio of 38</w:t>
      </w:r>
      <w:r w:rsidR="00607A40">
        <w:rPr>
          <w:spacing w:val="-2"/>
          <w:kern w:val="0"/>
          <w:sz w:val="22"/>
          <w:szCs w:val="22"/>
          <w:lang w:val="en-GB"/>
        </w:rPr>
        <w:t> </w:t>
      </w:r>
      <w:r w:rsidRPr="00607A40">
        <w:rPr>
          <w:spacing w:val="-2"/>
          <w:kern w:val="0"/>
          <w:sz w:val="22"/>
          <w:szCs w:val="22"/>
          <w:lang w:val="en-GB"/>
        </w:rPr>
        <w:t xml:space="preserve">showed the highest methanol selectivity of 70%, with glycerol conversion of 100% at 340°C and atmospheric pressure. The characterization results showed that introducing a small amount of </w:t>
      </w:r>
      <w:proofErr w:type="spellStart"/>
      <w:r w:rsidRPr="00607A40">
        <w:rPr>
          <w:spacing w:val="-2"/>
          <w:kern w:val="0"/>
          <w:sz w:val="22"/>
          <w:szCs w:val="22"/>
          <w:lang w:val="en-GB"/>
        </w:rPr>
        <w:t>CaO</w:t>
      </w:r>
      <w:proofErr w:type="spellEnd"/>
      <w:r w:rsidRPr="00607A40">
        <w:rPr>
          <w:spacing w:val="-2"/>
          <w:kern w:val="0"/>
          <w:sz w:val="22"/>
          <w:szCs w:val="22"/>
          <w:lang w:val="en-GB"/>
        </w:rPr>
        <w:t xml:space="preserve"> into HZSM-5 did not affect the structure of the zeolite. Incorporating HZSM-5 as an acid catalyst and </w:t>
      </w:r>
      <w:proofErr w:type="spellStart"/>
      <w:r w:rsidRPr="00607A40">
        <w:rPr>
          <w:spacing w:val="-2"/>
          <w:kern w:val="0"/>
          <w:sz w:val="22"/>
          <w:szCs w:val="22"/>
          <w:lang w:val="en-GB"/>
        </w:rPr>
        <w:t>CaO</w:t>
      </w:r>
      <w:proofErr w:type="spellEnd"/>
      <w:r w:rsidRPr="00607A40">
        <w:rPr>
          <w:spacing w:val="-2"/>
          <w:kern w:val="0"/>
          <w:sz w:val="22"/>
          <w:szCs w:val="22"/>
          <w:lang w:val="en-GB"/>
        </w:rPr>
        <w:t xml:space="preserve"> as a basic catalyst in a synergistic catalytic system led to higher glycerol conversion and methanol selectivity (</w:t>
      </w:r>
      <w:proofErr w:type="spellStart"/>
      <w:r w:rsidRPr="00607A40">
        <w:rPr>
          <w:spacing w:val="-2"/>
          <w:kern w:val="0"/>
          <w:sz w:val="22"/>
          <w:szCs w:val="22"/>
          <w:lang w:val="en-GB"/>
        </w:rPr>
        <w:t>Atchimarungsri</w:t>
      </w:r>
      <w:proofErr w:type="spellEnd"/>
      <w:r w:rsidRPr="00607A40">
        <w:rPr>
          <w:spacing w:val="-2"/>
          <w:kern w:val="0"/>
          <w:sz w:val="22"/>
          <w:szCs w:val="22"/>
          <w:lang w:val="en-GB"/>
        </w:rPr>
        <w:t xml:space="preserve"> et al. 2022).</w:t>
      </w:r>
    </w:p>
    <w:p w14:paraId="2759C367" w14:textId="640EE394" w:rsidR="004B5615" w:rsidRPr="00996B25" w:rsidRDefault="004B5615" w:rsidP="003C7219">
      <w:pPr>
        <w:pStyle w:val="Rn1"/>
      </w:pPr>
      <w:r w:rsidRPr="00996B25">
        <w:rPr>
          <w:rStyle w:val="Domylnaczcionkaakapitu0"/>
          <w:szCs w:val="24"/>
          <w:lang w:val="en-GB"/>
        </w:rPr>
        <w:t>4.</w:t>
      </w:r>
      <w:r w:rsidR="003C7219">
        <w:rPr>
          <w:rStyle w:val="Domylnaczcionkaakapitu0"/>
          <w:b w:val="0"/>
          <w:szCs w:val="24"/>
          <w:lang w:val="en-GB"/>
        </w:rPr>
        <w:t xml:space="preserve"> </w:t>
      </w:r>
      <w:r w:rsidRPr="00996B25">
        <w:rPr>
          <w:rStyle w:val="Domylnaczcionkaakapitu0"/>
          <w:szCs w:val="24"/>
          <w:lang w:val="en-GB"/>
        </w:rPr>
        <w:t xml:space="preserve">Microorganisms </w:t>
      </w:r>
      <w:r w:rsidR="003C7219">
        <w:rPr>
          <w:rStyle w:val="Domylnaczcionkaakapitu0"/>
          <w:b w:val="0"/>
          <w:szCs w:val="24"/>
          <w:lang w:val="en-GB"/>
        </w:rPr>
        <w:t>U</w:t>
      </w:r>
      <w:r w:rsidRPr="00996B25">
        <w:rPr>
          <w:rStyle w:val="Domylnaczcionkaakapitu0"/>
          <w:szCs w:val="24"/>
          <w:lang w:val="en-GB"/>
        </w:rPr>
        <w:t>sage</w:t>
      </w:r>
    </w:p>
    <w:p w14:paraId="39AA1791" w14:textId="661858AF" w:rsidR="004B5615" w:rsidRPr="00996B25" w:rsidRDefault="004B5615" w:rsidP="003C7219">
      <w:pPr>
        <w:spacing w:line="240" w:lineRule="auto"/>
        <w:ind w:firstLine="283"/>
        <w:jc w:val="both"/>
        <w:rPr>
          <w:sz w:val="22"/>
          <w:lang w:val="en-GB"/>
        </w:rPr>
      </w:pPr>
      <w:r w:rsidRPr="00996B25">
        <w:rPr>
          <w:sz w:val="22"/>
          <w:lang w:val="en-GB"/>
        </w:rPr>
        <w:t xml:space="preserve">An alternative method of producing biofuels is the biochemical process using microorganisms such as Clostridium </w:t>
      </w:r>
      <w:proofErr w:type="spellStart"/>
      <w:r w:rsidRPr="00996B25">
        <w:rPr>
          <w:sz w:val="22"/>
          <w:lang w:val="en-GB"/>
        </w:rPr>
        <w:t>butyricum</w:t>
      </w:r>
      <w:proofErr w:type="spellEnd"/>
      <w:r w:rsidRPr="00996B25">
        <w:rPr>
          <w:sz w:val="22"/>
          <w:lang w:val="en-GB"/>
        </w:rPr>
        <w:t xml:space="preserve">, Enterobacter aerogenes or Enterobacter cloacae </w:t>
      </w:r>
      <w:r w:rsidR="004125AF">
        <w:rPr>
          <w:sz w:val="22"/>
          <w:lang w:val="en-GB"/>
        </w:rPr>
        <w:t>(</w:t>
      </w:r>
      <w:proofErr w:type="spellStart"/>
      <w:r w:rsidR="00BE2807" w:rsidRPr="00996B25">
        <w:rPr>
          <w:sz w:val="22"/>
          <w:lang w:val="en-GB"/>
        </w:rPr>
        <w:t>Gołaszewski</w:t>
      </w:r>
      <w:proofErr w:type="spellEnd"/>
      <w:r w:rsidR="00BE2807" w:rsidRPr="00996B25">
        <w:rPr>
          <w:sz w:val="22"/>
          <w:lang w:val="en-GB"/>
        </w:rPr>
        <w:t xml:space="preserve"> et al</w:t>
      </w:r>
      <w:r w:rsidR="004125AF">
        <w:rPr>
          <w:sz w:val="22"/>
          <w:lang w:val="en-GB"/>
        </w:rPr>
        <w:t>.</w:t>
      </w:r>
      <w:r w:rsidR="00BE2807" w:rsidRPr="00996B25">
        <w:rPr>
          <w:sz w:val="22"/>
          <w:lang w:val="en-GB"/>
        </w:rPr>
        <w:t xml:space="preserve"> 2020</w:t>
      </w:r>
      <w:r w:rsidR="004125AF">
        <w:rPr>
          <w:sz w:val="22"/>
          <w:lang w:val="en-GB"/>
        </w:rPr>
        <w:t>)</w:t>
      </w:r>
      <w:r w:rsidRPr="00996B25">
        <w:rPr>
          <w:sz w:val="22"/>
          <w:lang w:val="en-GB"/>
        </w:rPr>
        <w:t xml:space="preserve">, in which hydrogen is one of the products of their metabolism. Biotechnological methods include those involving light, such as direct and indirect </w:t>
      </w:r>
      <w:proofErr w:type="spellStart"/>
      <w:r w:rsidRPr="00996B25">
        <w:rPr>
          <w:sz w:val="22"/>
          <w:lang w:val="en-GB"/>
        </w:rPr>
        <w:t>biophotolysis</w:t>
      </w:r>
      <w:proofErr w:type="spellEnd"/>
      <w:r w:rsidRPr="00996B25">
        <w:rPr>
          <w:sz w:val="22"/>
          <w:lang w:val="en-GB"/>
        </w:rPr>
        <w:t xml:space="preserve"> and </w:t>
      </w:r>
      <w:proofErr w:type="spellStart"/>
      <w:r w:rsidRPr="00996B25">
        <w:rPr>
          <w:sz w:val="22"/>
          <w:lang w:val="en-GB"/>
        </w:rPr>
        <w:t>photofermentation</w:t>
      </w:r>
      <w:proofErr w:type="spellEnd"/>
      <w:r w:rsidRPr="00996B25">
        <w:rPr>
          <w:sz w:val="22"/>
          <w:lang w:val="en-GB"/>
        </w:rPr>
        <w:t xml:space="preserve">. The second group of processes are those occurring without access to light, such as dark fermentation, </w:t>
      </w:r>
      <w:proofErr w:type="spellStart"/>
      <w:r w:rsidRPr="00996B25">
        <w:rPr>
          <w:sz w:val="22"/>
          <w:lang w:val="en-GB"/>
        </w:rPr>
        <w:t>bioelectrolysis</w:t>
      </w:r>
      <w:proofErr w:type="spellEnd"/>
      <w:r w:rsidRPr="00996B25">
        <w:rPr>
          <w:sz w:val="22"/>
          <w:lang w:val="en-GB"/>
        </w:rPr>
        <w:t xml:space="preserve"> or bioconversion of carbon monoxide. A</w:t>
      </w:r>
      <w:r w:rsidR="004125AF">
        <w:rPr>
          <w:sz w:val="22"/>
          <w:lang w:val="en-GB"/>
        </w:rPr>
        <w:t> </w:t>
      </w:r>
      <w:r w:rsidRPr="00996B25">
        <w:rPr>
          <w:sz w:val="22"/>
          <w:lang w:val="en-GB"/>
        </w:rPr>
        <w:t xml:space="preserve">significant advantage of biochemical processes for hydrogen production is the ability to perform them without the need to use increased pressure and temperature </w:t>
      </w:r>
      <w:r w:rsidR="004125AF">
        <w:rPr>
          <w:sz w:val="22"/>
          <w:lang w:val="en-GB"/>
        </w:rPr>
        <w:t>–</w:t>
      </w:r>
      <w:r w:rsidRPr="00996B25">
        <w:rPr>
          <w:sz w:val="22"/>
          <w:lang w:val="en-GB"/>
        </w:rPr>
        <w:t xml:space="preserve"> they can </w:t>
      </w:r>
      <w:r w:rsidR="00247358">
        <w:rPr>
          <w:sz w:val="22"/>
          <w:lang w:val="en-GB"/>
        </w:rPr>
        <w:t>occur</w:t>
      </w:r>
      <w:r w:rsidRPr="00996B25">
        <w:rPr>
          <w:sz w:val="22"/>
          <w:lang w:val="en-GB"/>
        </w:rPr>
        <w:t xml:space="preserve"> in ambient conditions, which is of great economic importance. </w:t>
      </w:r>
      <w:r w:rsidRPr="00AA5B75">
        <w:rPr>
          <w:spacing w:val="-2"/>
          <w:kern w:val="22"/>
          <w:sz w:val="22"/>
          <w:lang w:val="en-GB"/>
        </w:rPr>
        <w:t xml:space="preserve">Lignocellulosic biomass consists of carbohydrate polymers and </w:t>
      </w:r>
      <w:proofErr w:type="spellStart"/>
      <w:r w:rsidRPr="00AA5B75">
        <w:rPr>
          <w:spacing w:val="-2"/>
          <w:kern w:val="22"/>
          <w:sz w:val="22"/>
          <w:lang w:val="en-GB"/>
        </w:rPr>
        <w:t>lignins</w:t>
      </w:r>
      <w:proofErr w:type="spellEnd"/>
      <w:r w:rsidRPr="00AA5B75">
        <w:rPr>
          <w:spacing w:val="-2"/>
          <w:kern w:val="22"/>
          <w:sz w:val="22"/>
          <w:lang w:val="en-GB"/>
        </w:rPr>
        <w:t>. Agricultural waste and all processing residues contain approximately 32</w:t>
      </w:r>
      <w:r w:rsidR="003C7219" w:rsidRPr="00AA5B75">
        <w:rPr>
          <w:spacing w:val="-2"/>
          <w:kern w:val="22"/>
          <w:sz w:val="22"/>
          <w:lang w:val="en-GB"/>
        </w:rPr>
        <w:t>-</w:t>
      </w:r>
      <w:r w:rsidRPr="00AA5B75">
        <w:rPr>
          <w:spacing w:val="-2"/>
          <w:kern w:val="22"/>
          <w:sz w:val="22"/>
          <w:lang w:val="en-GB"/>
        </w:rPr>
        <w:t>47% cellulose, 19</w:t>
      </w:r>
      <w:r w:rsidR="003C7219" w:rsidRPr="00AA5B75">
        <w:rPr>
          <w:spacing w:val="-2"/>
          <w:kern w:val="22"/>
          <w:sz w:val="22"/>
          <w:lang w:val="en-GB"/>
        </w:rPr>
        <w:t>-</w:t>
      </w:r>
      <w:r w:rsidRPr="00AA5B75">
        <w:rPr>
          <w:spacing w:val="-2"/>
          <w:kern w:val="22"/>
          <w:sz w:val="22"/>
          <w:lang w:val="en-GB"/>
        </w:rPr>
        <w:t>27% hemicellulose and 5</w:t>
      </w:r>
      <w:r w:rsidR="003C7219" w:rsidRPr="00AA5B75">
        <w:rPr>
          <w:spacing w:val="-2"/>
          <w:kern w:val="22"/>
          <w:sz w:val="22"/>
          <w:lang w:val="en-GB"/>
        </w:rPr>
        <w:t>-</w:t>
      </w:r>
      <w:r w:rsidRPr="00AA5B75">
        <w:rPr>
          <w:spacing w:val="-2"/>
          <w:kern w:val="22"/>
          <w:sz w:val="22"/>
          <w:lang w:val="en-GB"/>
        </w:rPr>
        <w:t xml:space="preserve">24% lignin, and these proportions depend on the origin of the biomass </w:t>
      </w:r>
      <w:r w:rsidR="004125AF" w:rsidRPr="00AA5B75">
        <w:rPr>
          <w:spacing w:val="-2"/>
          <w:kern w:val="22"/>
          <w:sz w:val="22"/>
          <w:lang w:val="en-GB"/>
        </w:rPr>
        <w:t>(</w:t>
      </w:r>
      <w:r w:rsidR="00BE2807" w:rsidRPr="00AA5B75">
        <w:rPr>
          <w:spacing w:val="-2"/>
          <w:kern w:val="22"/>
          <w:sz w:val="22"/>
          <w:lang w:val="en-GB"/>
        </w:rPr>
        <w:t>Wyman 1994</w:t>
      </w:r>
      <w:r w:rsidR="004125AF" w:rsidRPr="00AA5B75">
        <w:rPr>
          <w:spacing w:val="-2"/>
          <w:kern w:val="22"/>
          <w:sz w:val="22"/>
          <w:lang w:val="en-GB"/>
        </w:rPr>
        <w:t>).</w:t>
      </w:r>
      <w:r w:rsidRPr="00AA5B75">
        <w:rPr>
          <w:spacing w:val="-2"/>
          <w:kern w:val="22"/>
          <w:sz w:val="22"/>
          <w:lang w:val="en-GB"/>
        </w:rPr>
        <w:t xml:space="preserve"> Both hemicellulose and lignin must be </w:t>
      </w:r>
      <w:proofErr w:type="spellStart"/>
      <w:r w:rsidRPr="00AA5B75">
        <w:rPr>
          <w:spacing w:val="-2"/>
          <w:kern w:val="22"/>
          <w:sz w:val="22"/>
          <w:lang w:val="en-GB"/>
        </w:rPr>
        <w:t>hydrolyzed</w:t>
      </w:r>
      <w:proofErr w:type="spellEnd"/>
      <w:r w:rsidRPr="00AA5B75">
        <w:rPr>
          <w:spacing w:val="-2"/>
          <w:kern w:val="22"/>
          <w:sz w:val="22"/>
          <w:lang w:val="en-GB"/>
        </w:rPr>
        <w:t xml:space="preserve"> beforehand to be used effectively by microorganisms </w:t>
      </w:r>
      <w:r w:rsidR="004125AF" w:rsidRPr="00AA5B75">
        <w:rPr>
          <w:spacing w:val="-2"/>
          <w:kern w:val="22"/>
          <w:sz w:val="22"/>
          <w:lang w:val="en-GB"/>
        </w:rPr>
        <w:t>(</w:t>
      </w:r>
      <w:proofErr w:type="spellStart"/>
      <w:r w:rsidR="00BE2807" w:rsidRPr="00AA5B75">
        <w:rPr>
          <w:spacing w:val="-2"/>
          <w:kern w:val="22"/>
          <w:sz w:val="22"/>
          <w:lang w:val="en-GB"/>
        </w:rPr>
        <w:t>Gołaszewski</w:t>
      </w:r>
      <w:proofErr w:type="spellEnd"/>
      <w:r w:rsidR="00BE2807" w:rsidRPr="00AA5B75">
        <w:rPr>
          <w:spacing w:val="-2"/>
          <w:kern w:val="22"/>
          <w:sz w:val="22"/>
          <w:lang w:val="en-GB"/>
        </w:rPr>
        <w:t xml:space="preserve"> et al</w:t>
      </w:r>
      <w:r w:rsidR="004125AF" w:rsidRPr="00AA5B75">
        <w:rPr>
          <w:spacing w:val="-2"/>
          <w:kern w:val="22"/>
          <w:sz w:val="22"/>
          <w:lang w:val="en-GB"/>
        </w:rPr>
        <w:t xml:space="preserve">. </w:t>
      </w:r>
      <w:r w:rsidR="00BE2807" w:rsidRPr="00AA5B75">
        <w:rPr>
          <w:spacing w:val="-2"/>
          <w:kern w:val="22"/>
          <w:sz w:val="22"/>
          <w:lang w:val="en-GB"/>
        </w:rPr>
        <w:t>2020</w:t>
      </w:r>
      <w:r w:rsidR="004125AF" w:rsidRPr="00AA5B75">
        <w:rPr>
          <w:spacing w:val="-2"/>
          <w:kern w:val="22"/>
          <w:sz w:val="22"/>
          <w:lang w:val="en-GB"/>
        </w:rPr>
        <w:t>)</w:t>
      </w:r>
      <w:r w:rsidR="003C7219" w:rsidRPr="00AA5B75">
        <w:rPr>
          <w:spacing w:val="-2"/>
          <w:kern w:val="22"/>
          <w:sz w:val="22"/>
          <w:lang w:val="en-GB"/>
        </w:rPr>
        <w:t>.</w:t>
      </w:r>
    </w:p>
    <w:p w14:paraId="0F85155F" w14:textId="439E5EC2" w:rsidR="004B5615" w:rsidRPr="00996B25" w:rsidRDefault="004B5615" w:rsidP="003C7219">
      <w:pPr>
        <w:pStyle w:val="Rn1"/>
      </w:pPr>
      <w:r w:rsidRPr="00996B25">
        <w:t>5.</w:t>
      </w:r>
      <w:r w:rsidR="003C7219">
        <w:t xml:space="preserve"> </w:t>
      </w:r>
      <w:proofErr w:type="spellStart"/>
      <w:r w:rsidRPr="00996B25">
        <w:t>Biophotolysis</w:t>
      </w:r>
      <w:proofErr w:type="spellEnd"/>
    </w:p>
    <w:p w14:paraId="7F919BC6" w14:textId="6DF499B4" w:rsidR="004B5615" w:rsidRPr="00996B25" w:rsidRDefault="004B5615" w:rsidP="003C7219">
      <w:pPr>
        <w:spacing w:line="240" w:lineRule="auto"/>
        <w:ind w:firstLine="284"/>
        <w:jc w:val="both"/>
        <w:rPr>
          <w:sz w:val="22"/>
          <w:lang w:val="en-GB"/>
        </w:rPr>
      </w:pPr>
      <w:proofErr w:type="spellStart"/>
      <w:r w:rsidRPr="00996B25">
        <w:rPr>
          <w:sz w:val="22"/>
          <w:lang w:val="en-GB"/>
        </w:rPr>
        <w:t>Biophotolysis</w:t>
      </w:r>
      <w:proofErr w:type="spellEnd"/>
      <w:r w:rsidRPr="00996B25">
        <w:rPr>
          <w:sz w:val="22"/>
          <w:lang w:val="en-GB"/>
        </w:rPr>
        <w:t xml:space="preserve"> is a process that uses water as a substrate, which is decomposed into hydrogen and oxygen in anaerobic conditions by microalgae or cyanobacteria. The process </w:t>
      </w:r>
      <w:r w:rsidR="00247358">
        <w:rPr>
          <w:sz w:val="22"/>
          <w:lang w:val="en-GB"/>
        </w:rPr>
        <w:t>occurs</w:t>
      </w:r>
      <w:r w:rsidRPr="00996B25">
        <w:rPr>
          <w:sz w:val="22"/>
          <w:lang w:val="en-GB"/>
        </w:rPr>
        <w:t xml:space="preserve"> in anaerobic conditions because the hydrogenase activity is inversely proportional to the oxygen content in the reaction medium. This is </w:t>
      </w:r>
      <w:r w:rsidR="00247358">
        <w:rPr>
          <w:sz w:val="22"/>
          <w:lang w:val="en-GB"/>
        </w:rPr>
        <w:t>because, in aerobic conditions, electrons generated by the breakdown of water do not participate in hydrogen productio</w:t>
      </w:r>
      <w:r w:rsidRPr="00996B25">
        <w:rPr>
          <w:sz w:val="22"/>
          <w:lang w:val="en-GB"/>
        </w:rPr>
        <w:t xml:space="preserve">n but are used to reduce carbon monoxide. </w:t>
      </w:r>
      <w:proofErr w:type="spellStart"/>
      <w:r w:rsidRPr="00996B25">
        <w:rPr>
          <w:sz w:val="22"/>
          <w:lang w:val="en-GB"/>
        </w:rPr>
        <w:t>Biophotolysis</w:t>
      </w:r>
      <w:proofErr w:type="spellEnd"/>
      <w:r w:rsidRPr="00996B25">
        <w:rPr>
          <w:sz w:val="22"/>
          <w:lang w:val="en-GB"/>
        </w:rPr>
        <w:t xml:space="preserve"> is a two-stage process</w:t>
      </w:r>
      <w:r w:rsidR="00247358">
        <w:rPr>
          <w:sz w:val="22"/>
          <w:lang w:val="en-GB"/>
        </w:rPr>
        <w:t>. I</w:t>
      </w:r>
      <w:r w:rsidRPr="00996B25">
        <w:rPr>
          <w:sz w:val="22"/>
          <w:lang w:val="en-GB"/>
        </w:rPr>
        <w:t>n the first stage</w:t>
      </w:r>
      <w:r w:rsidR="00247358">
        <w:rPr>
          <w:sz w:val="22"/>
          <w:lang w:val="en-GB"/>
        </w:rPr>
        <w:t>,</w:t>
      </w:r>
      <w:r w:rsidRPr="00996B25">
        <w:rPr>
          <w:sz w:val="22"/>
          <w:lang w:val="en-GB"/>
        </w:rPr>
        <w:t xml:space="preserve"> oxygen is released</w:t>
      </w:r>
      <w:r w:rsidR="00247358">
        <w:rPr>
          <w:sz w:val="22"/>
          <w:lang w:val="en-GB"/>
        </w:rPr>
        <w:t>, and in the second stage, hydrogen is released</w:t>
      </w:r>
      <w:r w:rsidRPr="00996B25">
        <w:rPr>
          <w:sz w:val="22"/>
          <w:lang w:val="en-GB"/>
        </w:rPr>
        <w:t xml:space="preserve">. This method of conducting the process makes it easier to maintain anaerobic conditions. The disadvantages of this process are its low efficiency and the relatively high cost of bioreactors </w:t>
      </w:r>
      <w:r w:rsidR="004125AF">
        <w:rPr>
          <w:sz w:val="22"/>
          <w:lang w:val="en-GB"/>
        </w:rPr>
        <w:t>(</w:t>
      </w:r>
      <w:proofErr w:type="spellStart"/>
      <w:r w:rsidR="00A20C7C" w:rsidRPr="00996B25">
        <w:rPr>
          <w:sz w:val="22"/>
          <w:lang w:val="en-GB"/>
        </w:rPr>
        <w:t>Gołaszewski</w:t>
      </w:r>
      <w:proofErr w:type="spellEnd"/>
      <w:r w:rsidR="00A20C7C" w:rsidRPr="00996B25">
        <w:rPr>
          <w:sz w:val="22"/>
          <w:lang w:val="en-GB"/>
        </w:rPr>
        <w:t xml:space="preserve"> et al</w:t>
      </w:r>
      <w:r w:rsidR="004125AF">
        <w:rPr>
          <w:sz w:val="22"/>
          <w:lang w:val="en-GB"/>
        </w:rPr>
        <w:t>.</w:t>
      </w:r>
      <w:r w:rsidR="00A20C7C" w:rsidRPr="00996B25">
        <w:rPr>
          <w:sz w:val="22"/>
          <w:lang w:val="en-GB"/>
        </w:rPr>
        <w:t xml:space="preserve"> 2020</w:t>
      </w:r>
      <w:r w:rsidR="004125AF">
        <w:rPr>
          <w:sz w:val="22"/>
          <w:lang w:val="en-GB"/>
        </w:rPr>
        <w:t>)</w:t>
      </w:r>
      <w:r w:rsidR="00AA5B75">
        <w:rPr>
          <w:sz w:val="22"/>
          <w:lang w:val="en-GB"/>
        </w:rPr>
        <w:t>.</w:t>
      </w:r>
    </w:p>
    <w:p w14:paraId="1011F8F6" w14:textId="77777777" w:rsidR="004B5615" w:rsidRPr="00996B25" w:rsidRDefault="004B5615" w:rsidP="003C7219">
      <w:pPr>
        <w:pStyle w:val="Rn1"/>
      </w:pPr>
      <w:r w:rsidRPr="00996B25">
        <w:lastRenderedPageBreak/>
        <w:t xml:space="preserve">6. </w:t>
      </w:r>
      <w:proofErr w:type="spellStart"/>
      <w:r w:rsidRPr="00996B25">
        <w:t>Photofermentation</w:t>
      </w:r>
      <w:proofErr w:type="spellEnd"/>
    </w:p>
    <w:p w14:paraId="1C88BCED" w14:textId="28ADB86F" w:rsidR="004B5615" w:rsidRPr="00996B25" w:rsidRDefault="004B5615" w:rsidP="003C7219">
      <w:pPr>
        <w:spacing w:line="240" w:lineRule="auto"/>
        <w:ind w:firstLine="284"/>
        <w:jc w:val="both"/>
        <w:rPr>
          <w:sz w:val="22"/>
          <w:lang w:val="en-GB"/>
        </w:rPr>
      </w:pPr>
      <w:proofErr w:type="spellStart"/>
      <w:r w:rsidRPr="00996B25">
        <w:rPr>
          <w:sz w:val="22"/>
          <w:lang w:val="en-GB"/>
        </w:rPr>
        <w:t>Photofermentation</w:t>
      </w:r>
      <w:proofErr w:type="spellEnd"/>
      <w:r w:rsidRPr="00996B25">
        <w:rPr>
          <w:sz w:val="22"/>
          <w:lang w:val="en-GB"/>
        </w:rPr>
        <w:t xml:space="preserve"> is a process during which organic acids are converted to hydrogen and carbon dioxide by photosynthesis under the influence of specific strains of anaerobic bacteria. Hydrogen is produced thanks to the enzyme nitrogenase. </w:t>
      </w:r>
      <w:r w:rsidR="00247358">
        <w:rPr>
          <w:sz w:val="22"/>
          <w:lang w:val="en-GB"/>
        </w:rPr>
        <w:t>As a nitrogenase inhibitor, oxygen</w:t>
      </w:r>
      <w:r w:rsidRPr="00996B25">
        <w:rPr>
          <w:sz w:val="22"/>
          <w:lang w:val="en-GB"/>
        </w:rPr>
        <w:t xml:space="preserve"> is not produced </w:t>
      </w:r>
      <w:r w:rsidR="00247358">
        <w:rPr>
          <w:sz w:val="22"/>
          <w:lang w:val="en-GB"/>
        </w:rPr>
        <w:t>due to</w:t>
      </w:r>
      <w:r w:rsidRPr="00996B25">
        <w:rPr>
          <w:sz w:val="22"/>
          <w:lang w:val="en-GB"/>
        </w:rPr>
        <w:t xml:space="preserve"> such a transformation. Hydrogen yields are similar to those from </w:t>
      </w:r>
      <w:proofErr w:type="spellStart"/>
      <w:r w:rsidRPr="00996B25">
        <w:rPr>
          <w:sz w:val="22"/>
          <w:lang w:val="en-GB"/>
        </w:rPr>
        <w:t>biophotolysis</w:t>
      </w:r>
      <w:proofErr w:type="spellEnd"/>
      <w:r w:rsidRPr="00996B25">
        <w:rPr>
          <w:sz w:val="22"/>
          <w:lang w:val="en-GB"/>
        </w:rPr>
        <w:t xml:space="preserve">. Additionally, such a process requires specialized types of microorganisms, an appropriate type of medium designed for the appropriate type of </w:t>
      </w:r>
      <w:proofErr w:type="spellStart"/>
      <w:r w:rsidRPr="00996B25">
        <w:rPr>
          <w:sz w:val="22"/>
          <w:lang w:val="en-GB"/>
        </w:rPr>
        <w:t>photofermentation</w:t>
      </w:r>
      <w:proofErr w:type="spellEnd"/>
      <w:r w:rsidRPr="00996B25">
        <w:rPr>
          <w:sz w:val="22"/>
          <w:lang w:val="en-GB"/>
        </w:rPr>
        <w:t>, a</w:t>
      </w:r>
      <w:r w:rsidR="00247358">
        <w:rPr>
          <w:sz w:val="22"/>
          <w:lang w:val="en-GB"/>
        </w:rPr>
        <w:t>nd</w:t>
      </w:r>
      <w:r w:rsidRPr="00996B25">
        <w:rPr>
          <w:sz w:val="22"/>
          <w:lang w:val="en-GB"/>
        </w:rPr>
        <w:t xml:space="preserve"> appropriate light intensity. The </w:t>
      </w:r>
      <w:proofErr w:type="spellStart"/>
      <w:r w:rsidRPr="00996B25">
        <w:rPr>
          <w:sz w:val="22"/>
          <w:lang w:val="en-GB"/>
        </w:rPr>
        <w:t>photofermentation</w:t>
      </w:r>
      <w:proofErr w:type="spellEnd"/>
      <w:r w:rsidRPr="00996B25">
        <w:rPr>
          <w:sz w:val="22"/>
          <w:lang w:val="en-GB"/>
        </w:rPr>
        <w:t xml:space="preserve"> process is often combined with the dark fermentation process </w:t>
      </w:r>
      <w:r w:rsidR="004125AF">
        <w:rPr>
          <w:sz w:val="22"/>
          <w:lang w:val="en-GB"/>
        </w:rPr>
        <w:t>(</w:t>
      </w:r>
      <w:proofErr w:type="spellStart"/>
      <w:r w:rsidR="00A20C7C" w:rsidRPr="00996B25">
        <w:rPr>
          <w:sz w:val="22"/>
          <w:lang w:val="en-GB"/>
        </w:rPr>
        <w:t>Gołaszewski</w:t>
      </w:r>
      <w:proofErr w:type="spellEnd"/>
      <w:r w:rsidR="00A20C7C" w:rsidRPr="00996B25">
        <w:rPr>
          <w:sz w:val="22"/>
          <w:lang w:val="en-GB"/>
        </w:rPr>
        <w:t xml:space="preserve"> et al</w:t>
      </w:r>
      <w:r w:rsidR="004125AF">
        <w:rPr>
          <w:sz w:val="22"/>
          <w:lang w:val="en-GB"/>
        </w:rPr>
        <w:t>.</w:t>
      </w:r>
      <w:r w:rsidR="00A20C7C" w:rsidRPr="00996B25">
        <w:rPr>
          <w:sz w:val="22"/>
          <w:lang w:val="en-GB"/>
        </w:rPr>
        <w:t xml:space="preserve"> 2020</w:t>
      </w:r>
      <w:r w:rsidR="004125AF">
        <w:rPr>
          <w:sz w:val="22"/>
          <w:lang w:val="en-GB"/>
        </w:rPr>
        <w:t>).</w:t>
      </w:r>
      <w:r w:rsidRPr="00996B25">
        <w:rPr>
          <w:sz w:val="22"/>
          <w:lang w:val="en-GB"/>
        </w:rPr>
        <w:t xml:space="preserve"> Volatile fatty acids generated during dark fermentation, in addition to hydrogen and methane, are an excellent source of electrons and hydrogen for reducing carbon dioxide and a</w:t>
      </w:r>
      <w:r w:rsidR="00607A40">
        <w:rPr>
          <w:sz w:val="22"/>
          <w:lang w:val="en-GB"/>
        </w:rPr>
        <w:t> </w:t>
      </w:r>
      <w:r w:rsidRPr="00996B25">
        <w:rPr>
          <w:sz w:val="22"/>
          <w:lang w:val="en-GB"/>
        </w:rPr>
        <w:t xml:space="preserve">source of </w:t>
      </w:r>
      <w:proofErr w:type="spellStart"/>
      <w:r w:rsidRPr="00996B25">
        <w:rPr>
          <w:sz w:val="22"/>
          <w:lang w:val="en-GB"/>
        </w:rPr>
        <w:t>sulfur</w:t>
      </w:r>
      <w:proofErr w:type="spellEnd"/>
      <w:r w:rsidRPr="00996B25">
        <w:rPr>
          <w:sz w:val="22"/>
          <w:lang w:val="en-GB"/>
        </w:rPr>
        <w:t>-free carbon for bacteria responsible for photosynthesis.</w:t>
      </w:r>
    </w:p>
    <w:p w14:paraId="44C4957B" w14:textId="27806892" w:rsidR="004B5615" w:rsidRPr="00996B25" w:rsidRDefault="004B5615" w:rsidP="003C7219">
      <w:pPr>
        <w:spacing w:line="240" w:lineRule="auto"/>
        <w:ind w:firstLine="284"/>
        <w:jc w:val="both"/>
        <w:rPr>
          <w:sz w:val="22"/>
          <w:lang w:val="en-GB"/>
        </w:rPr>
      </w:pPr>
      <w:r w:rsidRPr="00996B25">
        <w:rPr>
          <w:sz w:val="22"/>
          <w:lang w:val="en-GB"/>
        </w:rPr>
        <w:t xml:space="preserve">The dark fermentation process is one of the most promising hydrogen production processes </w:t>
      </w:r>
      <w:r w:rsidR="004125AF">
        <w:rPr>
          <w:sz w:val="22"/>
          <w:lang w:val="en-GB"/>
        </w:rPr>
        <w:t>(</w:t>
      </w:r>
      <w:proofErr w:type="spellStart"/>
      <w:r w:rsidR="00063638" w:rsidRPr="00996B25">
        <w:rPr>
          <w:sz w:val="22"/>
          <w:lang w:val="en-GB"/>
        </w:rPr>
        <w:t>Łukajtis</w:t>
      </w:r>
      <w:proofErr w:type="spellEnd"/>
      <w:r w:rsidR="00063638" w:rsidRPr="00996B25">
        <w:rPr>
          <w:sz w:val="22"/>
          <w:lang w:val="en-GB"/>
        </w:rPr>
        <w:t xml:space="preserve"> et al. 2018</w:t>
      </w:r>
      <w:r w:rsidR="004125AF">
        <w:rPr>
          <w:sz w:val="22"/>
          <w:lang w:val="en-GB"/>
        </w:rPr>
        <w:t>).</w:t>
      </w:r>
      <w:r w:rsidRPr="00996B25">
        <w:rPr>
          <w:sz w:val="22"/>
          <w:lang w:val="en-GB"/>
        </w:rPr>
        <w:t xml:space="preserve"> The net energy equivalent, i.e. the amount of fuel needed as an energy equivalent to replace 1 kg of hydrogen produced in this way, is 1.9. For comparison, the hydrogen production process based on methane steam reforming has an energy equivalent of 0.64 </w:t>
      </w:r>
      <w:r w:rsidR="004125AF">
        <w:rPr>
          <w:sz w:val="22"/>
          <w:lang w:val="en-GB"/>
        </w:rPr>
        <w:t>(</w:t>
      </w:r>
      <w:r w:rsidR="00063638" w:rsidRPr="00996B25">
        <w:rPr>
          <w:sz w:val="22"/>
          <w:lang w:val="en-GB"/>
        </w:rPr>
        <w:t>Manish &amp; Banerjee 2008</w:t>
      </w:r>
      <w:r w:rsidR="004125AF">
        <w:rPr>
          <w:sz w:val="22"/>
          <w:lang w:val="en-GB"/>
        </w:rPr>
        <w:t>).</w:t>
      </w:r>
      <w:r w:rsidRPr="00996B25">
        <w:rPr>
          <w:sz w:val="22"/>
          <w:lang w:val="en-GB"/>
        </w:rPr>
        <w:t xml:space="preserve"> The dark fermentation process is also one of the best-known processes among biotechnological methods of obtaining hydrogen. Dark fermentation involves the conversion of substrates by anaerobic microorganisms that multiply in the dark. Hydrogen is a key substrate for the metabolism of many anaerobic bacteria. These microorganisms </w:t>
      </w:r>
      <w:r w:rsidR="00247358">
        <w:rPr>
          <w:sz w:val="22"/>
          <w:lang w:val="en-GB"/>
        </w:rPr>
        <w:t>can consume hydrogen-rich particles when they are available and use electrons from hydrogen oxidatio</w:t>
      </w:r>
      <w:r w:rsidRPr="00996B25">
        <w:rPr>
          <w:sz w:val="22"/>
          <w:lang w:val="en-GB"/>
        </w:rPr>
        <w:t xml:space="preserve">n to produce energy. In the absence of external electron acceptors, microorganisms have an excess of electrons generated in metabolic processes and, as a result, reduce protons, which leads to the formation of molecular hydrogen. The mechanism of dark fermentation occurring with the participation of hydrogenase has already been well described in the literature </w:t>
      </w:r>
      <w:r w:rsidR="004125AF">
        <w:rPr>
          <w:sz w:val="22"/>
          <w:lang w:val="en-GB"/>
        </w:rPr>
        <w:t>(</w:t>
      </w:r>
      <w:proofErr w:type="spellStart"/>
      <w:r w:rsidR="00063638" w:rsidRPr="00996B25">
        <w:rPr>
          <w:sz w:val="22"/>
          <w:lang w:val="en-GB"/>
        </w:rPr>
        <w:t>Gołaszewski</w:t>
      </w:r>
      <w:proofErr w:type="spellEnd"/>
      <w:r w:rsidR="00063638" w:rsidRPr="00996B25">
        <w:rPr>
          <w:sz w:val="22"/>
          <w:lang w:val="en-GB"/>
        </w:rPr>
        <w:t xml:space="preserve"> et al</w:t>
      </w:r>
      <w:r w:rsidR="004125AF">
        <w:rPr>
          <w:sz w:val="22"/>
          <w:lang w:val="en-GB"/>
        </w:rPr>
        <w:t>.</w:t>
      </w:r>
      <w:r w:rsidR="00063638" w:rsidRPr="00996B25">
        <w:rPr>
          <w:sz w:val="22"/>
          <w:lang w:val="en-GB"/>
        </w:rPr>
        <w:t xml:space="preserve"> 2020</w:t>
      </w:r>
      <w:r w:rsidRPr="00996B25">
        <w:rPr>
          <w:sz w:val="22"/>
          <w:lang w:val="en-GB"/>
        </w:rPr>
        <w:t>,</w:t>
      </w:r>
      <w:r w:rsidR="00063638" w:rsidRPr="00996B25">
        <w:rPr>
          <w:lang w:val="en-GB"/>
        </w:rPr>
        <w:t xml:space="preserve"> </w:t>
      </w:r>
      <w:r w:rsidR="00063638" w:rsidRPr="00996B25">
        <w:rPr>
          <w:sz w:val="22"/>
          <w:lang w:val="en-GB"/>
        </w:rPr>
        <w:t>Kozłowski et al</w:t>
      </w:r>
      <w:r w:rsidR="004125AF">
        <w:rPr>
          <w:sz w:val="22"/>
          <w:lang w:val="en-GB"/>
        </w:rPr>
        <w:t>.</w:t>
      </w:r>
      <w:r w:rsidR="00063638" w:rsidRPr="00996B25">
        <w:rPr>
          <w:sz w:val="22"/>
          <w:lang w:val="en-GB"/>
        </w:rPr>
        <w:t xml:space="preserve"> 2016</w:t>
      </w:r>
      <w:r w:rsidR="004125AF">
        <w:rPr>
          <w:sz w:val="22"/>
          <w:lang w:val="en-GB"/>
        </w:rPr>
        <w:t>).</w:t>
      </w:r>
    </w:p>
    <w:p w14:paraId="44A7712A" w14:textId="13D6F70C" w:rsidR="004B5615" w:rsidRPr="00996B25" w:rsidRDefault="004B5615" w:rsidP="003C7219">
      <w:pPr>
        <w:pStyle w:val="Rn1"/>
      </w:pPr>
      <w:r w:rsidRPr="00996B25">
        <w:t>7.</w:t>
      </w:r>
      <w:r w:rsidR="003C7219">
        <w:t xml:space="preserve"> </w:t>
      </w:r>
      <w:proofErr w:type="spellStart"/>
      <w:r w:rsidRPr="00996B25">
        <w:t>Bioelectrolysis</w:t>
      </w:r>
      <w:proofErr w:type="spellEnd"/>
    </w:p>
    <w:p w14:paraId="66AD3E29" w14:textId="2DAC734D" w:rsidR="004B5615" w:rsidRPr="00996B25" w:rsidRDefault="004B5615" w:rsidP="003C7219">
      <w:pPr>
        <w:spacing w:line="240" w:lineRule="auto"/>
        <w:ind w:firstLine="284"/>
        <w:jc w:val="both"/>
        <w:rPr>
          <w:sz w:val="22"/>
          <w:lang w:val="en-GB"/>
        </w:rPr>
      </w:pPr>
      <w:proofErr w:type="spellStart"/>
      <w:r w:rsidRPr="00996B25">
        <w:rPr>
          <w:sz w:val="22"/>
          <w:lang w:val="en-GB"/>
        </w:rPr>
        <w:t>Bioelectrolysis</w:t>
      </w:r>
      <w:proofErr w:type="spellEnd"/>
      <w:r w:rsidRPr="00996B25">
        <w:rPr>
          <w:sz w:val="22"/>
          <w:lang w:val="en-GB"/>
        </w:rPr>
        <w:t xml:space="preserve"> </w:t>
      </w:r>
      <w:r w:rsidR="00247358">
        <w:rPr>
          <w:sz w:val="22"/>
          <w:lang w:val="en-GB"/>
        </w:rPr>
        <w:t>converts</w:t>
      </w:r>
      <w:r w:rsidRPr="00996B25">
        <w:rPr>
          <w:sz w:val="22"/>
          <w:lang w:val="en-GB"/>
        </w:rPr>
        <w:t xml:space="preserve"> biodegradable materials into hydrogen using modified microbial fuel cells (MFCs </w:t>
      </w:r>
      <w:r w:rsidR="003C7219">
        <w:rPr>
          <w:sz w:val="22"/>
          <w:lang w:val="en-GB"/>
        </w:rPr>
        <w:t>–</w:t>
      </w:r>
      <w:r w:rsidRPr="00996B25">
        <w:rPr>
          <w:sz w:val="22"/>
          <w:lang w:val="en-GB"/>
        </w:rPr>
        <w:t xml:space="preserve"> microbial fuel cells), also called MEC (microbial electrolysis cells), whose efficiency is between 60 and 80%. MEC reactors consist of two chambers (anode and cathode), which can be separated by a diaphragm. The process occurs under the influence of an external source of electrical energy </w:t>
      </w:r>
      <w:r w:rsidR="004125AF">
        <w:rPr>
          <w:sz w:val="22"/>
          <w:lang w:val="en-GB"/>
        </w:rPr>
        <w:t>(</w:t>
      </w:r>
      <w:proofErr w:type="spellStart"/>
      <w:r w:rsidR="00AF417A" w:rsidRPr="00996B25">
        <w:rPr>
          <w:sz w:val="22"/>
          <w:lang w:val="en-GB"/>
        </w:rPr>
        <w:t>Parkhey</w:t>
      </w:r>
      <w:proofErr w:type="spellEnd"/>
      <w:r w:rsidR="00AF417A" w:rsidRPr="00996B25">
        <w:rPr>
          <w:sz w:val="22"/>
          <w:lang w:val="en-GB"/>
        </w:rPr>
        <w:t xml:space="preserve"> &amp; Gupta 2017</w:t>
      </w:r>
      <w:r w:rsidR="004125AF">
        <w:rPr>
          <w:sz w:val="22"/>
          <w:lang w:val="en-GB"/>
        </w:rPr>
        <w:t>).</w:t>
      </w:r>
      <w:r w:rsidRPr="00996B25">
        <w:rPr>
          <w:sz w:val="22"/>
          <w:lang w:val="en-GB"/>
        </w:rPr>
        <w:t xml:space="preserve"> In the anode chamber, </w:t>
      </w:r>
      <w:r w:rsidR="00247358">
        <w:rPr>
          <w:sz w:val="22"/>
          <w:lang w:val="en-GB"/>
        </w:rPr>
        <w:t xml:space="preserve">an </w:t>
      </w:r>
      <w:r w:rsidRPr="00996B25">
        <w:rPr>
          <w:sz w:val="22"/>
          <w:lang w:val="en-GB"/>
        </w:rPr>
        <w:t>organic medium with a high glucose content</w:t>
      </w:r>
      <w:r w:rsidR="00247358">
        <w:rPr>
          <w:sz w:val="22"/>
          <w:lang w:val="en-GB"/>
        </w:rPr>
        <w:t>,</w:t>
      </w:r>
      <w:r w:rsidRPr="00996B25">
        <w:rPr>
          <w:sz w:val="22"/>
          <w:lang w:val="en-GB"/>
        </w:rPr>
        <w:t xml:space="preserve"> like sugar beet or corn </w:t>
      </w:r>
      <w:r w:rsidR="004125AF">
        <w:rPr>
          <w:sz w:val="22"/>
          <w:lang w:val="en-GB"/>
        </w:rPr>
        <w:t>(</w:t>
      </w:r>
      <w:proofErr w:type="spellStart"/>
      <w:r w:rsidR="0088555F" w:rsidRPr="00996B25">
        <w:rPr>
          <w:sz w:val="22"/>
          <w:lang w:val="en-GB"/>
        </w:rPr>
        <w:t>Gołaszewski</w:t>
      </w:r>
      <w:proofErr w:type="spellEnd"/>
      <w:r w:rsidR="0088555F" w:rsidRPr="00996B25">
        <w:rPr>
          <w:sz w:val="22"/>
          <w:lang w:val="en-GB"/>
        </w:rPr>
        <w:t xml:space="preserve"> et al</w:t>
      </w:r>
      <w:r w:rsidR="004125AF">
        <w:rPr>
          <w:sz w:val="22"/>
          <w:lang w:val="en-GB"/>
        </w:rPr>
        <w:t>.</w:t>
      </w:r>
      <w:r w:rsidR="0088555F" w:rsidRPr="00996B25">
        <w:rPr>
          <w:sz w:val="22"/>
          <w:lang w:val="en-GB"/>
        </w:rPr>
        <w:t xml:space="preserve"> 2020</w:t>
      </w:r>
      <w:r w:rsidR="004125AF">
        <w:rPr>
          <w:sz w:val="22"/>
          <w:lang w:val="en-GB"/>
        </w:rPr>
        <w:t>)</w:t>
      </w:r>
      <w:r w:rsidR="00247358">
        <w:rPr>
          <w:sz w:val="22"/>
          <w:lang w:val="en-GB"/>
        </w:rPr>
        <w:t>,</w:t>
      </w:r>
      <w:r w:rsidRPr="00996B25">
        <w:rPr>
          <w:sz w:val="22"/>
          <w:lang w:val="en-GB"/>
        </w:rPr>
        <w:t xml:space="preserve"> is oxidized as a result of the metabolism of bacteria such as </w:t>
      </w:r>
      <w:proofErr w:type="spellStart"/>
      <w:r w:rsidRPr="00996B25">
        <w:rPr>
          <w:sz w:val="22"/>
          <w:lang w:val="en-GB"/>
        </w:rPr>
        <w:t>Gammaproteobacteria</w:t>
      </w:r>
      <w:proofErr w:type="spellEnd"/>
      <w:r w:rsidRPr="00996B25">
        <w:rPr>
          <w:sz w:val="22"/>
          <w:lang w:val="en-GB"/>
        </w:rPr>
        <w:t xml:space="preserve">, Deltaproteobacteria or Shewanella </w:t>
      </w:r>
      <w:r w:rsidR="004125AF">
        <w:rPr>
          <w:sz w:val="22"/>
          <w:lang w:val="en-GB"/>
        </w:rPr>
        <w:t>(</w:t>
      </w:r>
      <w:r w:rsidR="00AF417A" w:rsidRPr="00996B25">
        <w:rPr>
          <w:sz w:val="22"/>
          <w:lang w:val="en-GB"/>
        </w:rPr>
        <w:t>Logan 2007</w:t>
      </w:r>
      <w:r w:rsidR="004125AF">
        <w:rPr>
          <w:sz w:val="22"/>
          <w:lang w:val="en-GB"/>
        </w:rPr>
        <w:t>)</w:t>
      </w:r>
      <w:r w:rsidRPr="00996B25">
        <w:rPr>
          <w:sz w:val="22"/>
          <w:lang w:val="en-GB"/>
        </w:rPr>
        <w:t xml:space="preserve">, as a result of which protons and electrons are produced at the anode. The anode chamber is seeded with </w:t>
      </w:r>
      <w:proofErr w:type="spellStart"/>
      <w:r w:rsidRPr="00996B25">
        <w:rPr>
          <w:sz w:val="22"/>
          <w:lang w:val="en-GB"/>
        </w:rPr>
        <w:t>exoelectrogenic</w:t>
      </w:r>
      <w:proofErr w:type="spellEnd"/>
      <w:r w:rsidRPr="00996B25">
        <w:rPr>
          <w:sz w:val="22"/>
          <w:lang w:val="en-GB"/>
        </w:rPr>
        <w:t xml:space="preserve"> anaerobic bacteria that </w:t>
      </w:r>
      <w:r w:rsidR="00247358">
        <w:rPr>
          <w:sz w:val="22"/>
          <w:lang w:val="en-GB"/>
        </w:rPr>
        <w:t>can</w:t>
      </w:r>
      <w:r w:rsidRPr="00996B25">
        <w:rPr>
          <w:sz w:val="22"/>
          <w:lang w:val="en-GB"/>
        </w:rPr>
        <w:t xml:space="preserve"> transfer electrons outside the cell </w:t>
      </w:r>
      <w:r w:rsidR="004125AF">
        <w:rPr>
          <w:sz w:val="22"/>
          <w:lang w:val="en-GB"/>
        </w:rPr>
        <w:t>(</w:t>
      </w:r>
      <w:r w:rsidR="00AF417A" w:rsidRPr="00996B25">
        <w:rPr>
          <w:sz w:val="22"/>
          <w:lang w:val="en-GB"/>
        </w:rPr>
        <w:t>Logan 2007</w:t>
      </w:r>
      <w:r w:rsidR="004125AF">
        <w:rPr>
          <w:sz w:val="22"/>
          <w:lang w:val="en-GB"/>
        </w:rPr>
        <w:t>).</w:t>
      </w:r>
      <w:r w:rsidRPr="00996B25">
        <w:rPr>
          <w:sz w:val="22"/>
          <w:lang w:val="en-GB"/>
        </w:rPr>
        <w:t xml:space="preserve"> They capture electrons before they reach the cathode. The resulting protons migrate through the diaphragm separating the chambers to the cathode, where they are reduced and molecular hydrogen is released. Theoretically, a voltage of 0.2</w:t>
      </w:r>
      <w:r w:rsidR="004125AF">
        <w:rPr>
          <w:sz w:val="22"/>
          <w:lang w:val="en-GB"/>
        </w:rPr>
        <w:t xml:space="preserve"> </w:t>
      </w:r>
      <w:r w:rsidRPr="00996B25">
        <w:rPr>
          <w:sz w:val="22"/>
          <w:lang w:val="en-GB"/>
        </w:rPr>
        <w:t>V is enough to carry out the process. In reality, however, this range is higher</w:t>
      </w:r>
      <w:r w:rsidR="00247358">
        <w:rPr>
          <w:sz w:val="22"/>
          <w:lang w:val="en-GB"/>
        </w:rPr>
        <w:t>. It</w:t>
      </w:r>
      <w:r w:rsidR="00607A40">
        <w:rPr>
          <w:sz w:val="22"/>
          <w:lang w:val="en-GB"/>
        </w:rPr>
        <w:t> </w:t>
      </w:r>
      <w:r w:rsidRPr="00996B25">
        <w:rPr>
          <w:sz w:val="22"/>
          <w:lang w:val="en-GB"/>
        </w:rPr>
        <w:t>amounts to 0.6</w:t>
      </w:r>
      <w:r w:rsidR="003C7219">
        <w:rPr>
          <w:sz w:val="22"/>
          <w:lang w:val="en-GB"/>
        </w:rPr>
        <w:t>-</w:t>
      </w:r>
      <w:r w:rsidRPr="00996B25">
        <w:rPr>
          <w:sz w:val="22"/>
          <w:lang w:val="en-GB"/>
        </w:rPr>
        <w:t>0.8</w:t>
      </w:r>
      <w:r w:rsidR="004125AF">
        <w:rPr>
          <w:sz w:val="22"/>
          <w:lang w:val="en-GB"/>
        </w:rPr>
        <w:t xml:space="preserve"> </w:t>
      </w:r>
      <w:r w:rsidRPr="00996B25">
        <w:rPr>
          <w:sz w:val="22"/>
          <w:lang w:val="en-GB"/>
        </w:rPr>
        <w:t xml:space="preserve">V. This value depends on the type of organic substrate being oxidized and, as a result, strongly determines the amount of hydrogen obtained </w:t>
      </w:r>
      <w:r w:rsidR="004125AF">
        <w:rPr>
          <w:sz w:val="22"/>
          <w:lang w:val="en-GB"/>
        </w:rPr>
        <w:t>(</w:t>
      </w:r>
      <w:proofErr w:type="spellStart"/>
      <w:r w:rsidR="00AF417A" w:rsidRPr="00996B25">
        <w:rPr>
          <w:sz w:val="22"/>
          <w:lang w:val="en-GB"/>
        </w:rPr>
        <w:t>Kadier</w:t>
      </w:r>
      <w:proofErr w:type="spellEnd"/>
      <w:r w:rsidR="00AF417A" w:rsidRPr="00996B25">
        <w:rPr>
          <w:sz w:val="22"/>
          <w:lang w:val="en-GB"/>
        </w:rPr>
        <w:t xml:space="preserve"> et al</w:t>
      </w:r>
      <w:r w:rsidR="004125AF">
        <w:rPr>
          <w:sz w:val="22"/>
          <w:lang w:val="en-GB"/>
        </w:rPr>
        <w:t>.</w:t>
      </w:r>
      <w:r w:rsidR="00AF417A" w:rsidRPr="00996B25">
        <w:rPr>
          <w:sz w:val="22"/>
          <w:lang w:val="en-GB"/>
        </w:rPr>
        <w:t xml:space="preserve"> 2016</w:t>
      </w:r>
      <w:r w:rsidR="004125AF">
        <w:rPr>
          <w:sz w:val="22"/>
          <w:lang w:val="en-GB"/>
        </w:rPr>
        <w:t>).</w:t>
      </w:r>
    </w:p>
    <w:p w14:paraId="1F3685EF" w14:textId="77777777" w:rsidR="004B5615" w:rsidRPr="00996B25" w:rsidRDefault="004B5615" w:rsidP="00996B25">
      <w:pPr>
        <w:spacing w:before="240" w:after="120"/>
        <w:jc w:val="both"/>
        <w:rPr>
          <w:szCs w:val="24"/>
          <w:lang w:val="en-GB"/>
        </w:rPr>
      </w:pPr>
      <w:r w:rsidRPr="00996B25">
        <w:rPr>
          <w:rStyle w:val="Domylnaczcionkaakapitu0"/>
          <w:b/>
          <w:szCs w:val="24"/>
          <w:lang w:val="en-GB"/>
        </w:rPr>
        <w:t>8. Conclusions</w:t>
      </w:r>
    </w:p>
    <w:p w14:paraId="09BCEFE7" w14:textId="0C6834DB" w:rsidR="004B5615" w:rsidRPr="00996B25" w:rsidRDefault="00247358" w:rsidP="003C7219">
      <w:pPr>
        <w:spacing w:line="240" w:lineRule="auto"/>
        <w:ind w:firstLine="284"/>
        <w:jc w:val="both"/>
        <w:rPr>
          <w:sz w:val="22"/>
          <w:lang w:val="en-GB"/>
        </w:rPr>
      </w:pPr>
      <w:r>
        <w:rPr>
          <w:sz w:val="22"/>
          <w:lang w:val="en-GB"/>
        </w:rPr>
        <w:t>Using organic raw materials to produce</w:t>
      </w:r>
      <w:r w:rsidR="004B5615" w:rsidRPr="00996B25">
        <w:rPr>
          <w:sz w:val="22"/>
          <w:lang w:val="en-GB"/>
        </w:rPr>
        <w:t xml:space="preserve"> biofuels using zeolite-based catalysts is one of the prospective options for increasing market resources and developing distributed renewable energy, in which biomass is locally obtained and used for own needs. The reasons for the development of the market for many types of biofuels include the lack of competition with food production for arable land and the possibility of using inedible plant parts and waste from agricultural production and agri-food processing, additionally making lignocellulosic biomass a key renewable energy resource, which is becoming an important element of sustainable development, including the development of a circular bioeconomy (reducing greenhouse gas emissions, mitigating climate change, using waste for energy purposes). Technologies for converting biomass into solid, liquid and gaseous biofuels are systematically improved. An opportunity for further development of liquid and gaseous biofuels </w:t>
      </w:r>
      <w:r>
        <w:rPr>
          <w:sz w:val="22"/>
          <w:lang w:val="en-GB"/>
        </w:rPr>
        <w:t>is</w:t>
      </w:r>
      <w:r w:rsidR="004B5615" w:rsidRPr="00996B25">
        <w:rPr>
          <w:sz w:val="22"/>
          <w:lang w:val="en-GB"/>
        </w:rPr>
        <w:t xml:space="preserve"> biorefinery processes that involve cascade processing of biomass, including treating the energy use of biomass as one of the final stage options in the value chains of bio-based products. In addition to </w:t>
      </w:r>
      <w:r>
        <w:rPr>
          <w:sz w:val="22"/>
          <w:lang w:val="en-GB"/>
        </w:rPr>
        <w:t>using</w:t>
      </w:r>
      <w:r w:rsidR="004B5615" w:rsidRPr="00996B25">
        <w:rPr>
          <w:sz w:val="22"/>
          <w:lang w:val="en-GB"/>
        </w:rPr>
        <w:t xml:space="preserve"> biomass from dedicated woody plant crops, </w:t>
      </w:r>
      <w:r>
        <w:rPr>
          <w:sz w:val="22"/>
          <w:lang w:val="en-GB"/>
        </w:rPr>
        <w:t xml:space="preserve">a wide range of </w:t>
      </w:r>
      <w:proofErr w:type="spellStart"/>
      <w:r>
        <w:rPr>
          <w:sz w:val="22"/>
          <w:lang w:val="en-GB"/>
        </w:rPr>
        <w:t>agro</w:t>
      </w:r>
      <w:proofErr w:type="spellEnd"/>
      <w:r>
        <w:rPr>
          <w:sz w:val="22"/>
          <w:lang w:val="en-GB"/>
        </w:rPr>
        <w:t>-forestry post-production and post-consumer residues</w:t>
      </w:r>
      <w:r w:rsidR="004B5615" w:rsidRPr="00996B25">
        <w:rPr>
          <w:sz w:val="22"/>
          <w:lang w:val="en-GB"/>
        </w:rPr>
        <w:t xml:space="preserve"> require intensive research and development work integrating not only the technological sphere but also the economic and social sphere.</w:t>
      </w:r>
    </w:p>
    <w:p w14:paraId="6A9B6563" w14:textId="77777777" w:rsidR="00607A40" w:rsidRDefault="00607A40">
      <w:pPr>
        <w:widowControl/>
        <w:overflowPunct/>
        <w:autoSpaceDE/>
        <w:autoSpaceDN/>
        <w:adjustRightInd/>
        <w:spacing w:line="240" w:lineRule="auto"/>
        <w:textAlignment w:val="auto"/>
        <w:rPr>
          <w:rFonts w:eastAsiaTheme="minorHAnsi" w:cstheme="minorBidi"/>
          <w:b/>
          <w:kern w:val="2"/>
          <w:sz w:val="22"/>
          <w:szCs w:val="22"/>
          <w:lang w:val="pl-PL" w:eastAsia="en-US"/>
          <w14:ligatures w14:val="standardContextual"/>
        </w:rPr>
      </w:pPr>
      <w:r>
        <w:br w:type="page"/>
      </w:r>
    </w:p>
    <w:p w14:paraId="304C2EBC" w14:textId="2D77DE64" w:rsidR="004B5615" w:rsidRPr="00996B25" w:rsidRDefault="004B5615" w:rsidP="003C7219">
      <w:pPr>
        <w:pStyle w:val="Rn2"/>
      </w:pPr>
      <w:proofErr w:type="spellStart"/>
      <w:r w:rsidRPr="00996B25">
        <w:lastRenderedPageBreak/>
        <w:t>References</w:t>
      </w:r>
      <w:proofErr w:type="spellEnd"/>
    </w:p>
    <w:p w14:paraId="75A9B683" w14:textId="5C0C0ADF" w:rsidR="00556B9A" w:rsidRPr="003C7219" w:rsidRDefault="00556B9A" w:rsidP="003C7219">
      <w:pPr>
        <w:pStyle w:val="Rlit"/>
        <w:rPr>
          <w:rStyle w:val="Domylnaczcionkaakapitu0"/>
          <w:lang w:val="en-GB"/>
        </w:rPr>
      </w:pPr>
      <w:proofErr w:type="spellStart"/>
      <w:r w:rsidRPr="003C7219">
        <w:rPr>
          <w:rStyle w:val="Domylnaczcionkaakapitu0"/>
          <w:lang w:val="en-GB"/>
        </w:rPr>
        <w:t>Atchimarungsri</w:t>
      </w:r>
      <w:proofErr w:type="spellEnd"/>
      <w:r w:rsidRPr="003C7219">
        <w:rPr>
          <w:rStyle w:val="Domylnaczcionkaakapitu0"/>
          <w:lang w:val="en-GB"/>
        </w:rPr>
        <w:t>, T.</w:t>
      </w:r>
      <w:r w:rsidR="003C7219">
        <w:rPr>
          <w:rStyle w:val="Domylnaczcionkaakapitu0"/>
          <w:lang w:val="en-GB"/>
        </w:rPr>
        <w:t>,</w:t>
      </w:r>
      <w:r w:rsidRPr="003C7219">
        <w:rPr>
          <w:rStyle w:val="Domylnaczcionkaakapitu0"/>
          <w:lang w:val="en-GB"/>
        </w:rPr>
        <w:t xml:space="preserve"> Gao, X.</w:t>
      </w:r>
      <w:r w:rsidR="003C7219">
        <w:rPr>
          <w:rStyle w:val="Domylnaczcionkaakapitu0"/>
          <w:lang w:val="en-GB"/>
        </w:rPr>
        <w:t>,</w:t>
      </w:r>
      <w:r w:rsidRPr="003C7219">
        <w:rPr>
          <w:rStyle w:val="Domylnaczcionkaakapitu0"/>
          <w:lang w:val="en-GB"/>
        </w:rPr>
        <w:t xml:space="preserve"> Wang, K.</w:t>
      </w:r>
      <w:r w:rsidR="003C7219">
        <w:rPr>
          <w:rStyle w:val="Domylnaczcionkaakapitu0"/>
          <w:lang w:val="en-GB"/>
        </w:rPr>
        <w:t>,</w:t>
      </w:r>
      <w:r w:rsidRPr="003C7219">
        <w:rPr>
          <w:rStyle w:val="Domylnaczcionkaakapitu0"/>
          <w:lang w:val="en-GB"/>
        </w:rPr>
        <w:t xml:space="preserve"> Ma, Q.</w:t>
      </w:r>
      <w:r w:rsidR="003C7219">
        <w:rPr>
          <w:rStyle w:val="Domylnaczcionkaakapitu0"/>
          <w:lang w:val="en-GB"/>
        </w:rPr>
        <w:t>,</w:t>
      </w:r>
      <w:r w:rsidRPr="003C7219">
        <w:rPr>
          <w:rStyle w:val="Domylnaczcionkaakapitu0"/>
          <w:lang w:val="en-GB"/>
        </w:rPr>
        <w:t xml:space="preserve"> Zhang, J.</w:t>
      </w:r>
      <w:r w:rsidR="003C7219">
        <w:rPr>
          <w:rStyle w:val="Domylnaczcionkaakapitu0"/>
          <w:lang w:val="en-GB"/>
        </w:rPr>
        <w:t>,</w:t>
      </w:r>
      <w:r w:rsidRPr="003C7219">
        <w:rPr>
          <w:rStyle w:val="Domylnaczcionkaakapitu0"/>
          <w:lang w:val="en-GB"/>
        </w:rPr>
        <w:t xml:space="preserve"> Fan, S.</w:t>
      </w:r>
      <w:r w:rsidR="003C7219">
        <w:rPr>
          <w:rStyle w:val="Domylnaczcionkaakapitu0"/>
          <w:lang w:val="en-GB"/>
        </w:rPr>
        <w:t>,</w:t>
      </w:r>
      <w:r w:rsidRPr="003C7219">
        <w:rPr>
          <w:rStyle w:val="Domylnaczcionkaakapitu0"/>
          <w:lang w:val="en-GB"/>
        </w:rPr>
        <w:t xml:space="preserve"> He, F.</w:t>
      </w:r>
      <w:r w:rsidR="003C7219">
        <w:rPr>
          <w:rStyle w:val="Domylnaczcionkaakapitu0"/>
          <w:lang w:val="en-GB"/>
        </w:rPr>
        <w:t>,</w:t>
      </w:r>
      <w:r w:rsidRPr="003C7219">
        <w:rPr>
          <w:rStyle w:val="Domylnaczcionkaakapitu0"/>
          <w:lang w:val="en-GB"/>
        </w:rPr>
        <w:t xml:space="preserve"> Tian, J.</w:t>
      </w:r>
      <w:r w:rsidR="003C7219">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Reubroycharoen</w:t>
      </w:r>
      <w:proofErr w:type="spellEnd"/>
      <w:r w:rsidRPr="003C7219">
        <w:rPr>
          <w:rStyle w:val="Domylnaczcionkaakapitu0"/>
          <w:lang w:val="en-GB"/>
        </w:rPr>
        <w:t>, P.</w:t>
      </w:r>
      <w:r w:rsidR="003C7219">
        <w:rPr>
          <w:rStyle w:val="Domylnaczcionkaakapitu0"/>
          <w:lang w:val="en-GB"/>
        </w:rPr>
        <w:t>,</w:t>
      </w:r>
      <w:r w:rsidRPr="003C7219">
        <w:rPr>
          <w:rStyle w:val="Domylnaczcionkaakapitu0"/>
          <w:lang w:val="en-GB"/>
        </w:rPr>
        <w:t xml:space="preserve"> Zhao, T. (2022), Selective Conversion of Glycerol to Methanol over </w:t>
      </w:r>
      <w:proofErr w:type="spellStart"/>
      <w:r w:rsidRPr="003C7219">
        <w:rPr>
          <w:rStyle w:val="Domylnaczcionkaakapitu0"/>
          <w:lang w:val="en-GB"/>
        </w:rPr>
        <w:t>CaO</w:t>
      </w:r>
      <w:proofErr w:type="spellEnd"/>
      <w:r w:rsidRPr="003C7219">
        <w:rPr>
          <w:rStyle w:val="Domylnaczcionkaakapitu0"/>
          <w:lang w:val="en-GB"/>
        </w:rPr>
        <w:t xml:space="preserve">-Modified HZSM-5 Zeolite. </w:t>
      </w:r>
      <w:r w:rsidRPr="003C7219">
        <w:rPr>
          <w:rStyle w:val="Domylnaczcionkaakapitu0"/>
          <w:i/>
          <w:lang w:val="en-GB"/>
        </w:rPr>
        <w:t>Molecules</w:t>
      </w:r>
      <w:r w:rsidRPr="003C7219">
        <w:rPr>
          <w:rStyle w:val="Domylnaczcionkaakapitu0"/>
          <w:lang w:val="en-GB"/>
        </w:rPr>
        <w:t xml:space="preserve">, </w:t>
      </w:r>
      <w:r w:rsidRPr="00F04DEF">
        <w:rPr>
          <w:rStyle w:val="Domylnaczcionkaakapitu0"/>
          <w:i/>
          <w:iCs/>
          <w:lang w:val="en-GB"/>
        </w:rPr>
        <w:t>27</w:t>
      </w:r>
      <w:r w:rsidRPr="003C7219">
        <w:rPr>
          <w:rStyle w:val="Domylnaczcionkaakapitu0"/>
          <w:lang w:val="en-GB"/>
        </w:rPr>
        <w:t>(21), 7221</w:t>
      </w:r>
      <w:r w:rsidR="00607A40">
        <w:rPr>
          <w:rStyle w:val="Domylnaczcionkaakapitu0"/>
          <w:lang w:val="en-GB"/>
        </w:rPr>
        <w:t>.</w:t>
      </w:r>
      <w:r w:rsidRPr="003C7219">
        <w:rPr>
          <w:rStyle w:val="Domylnaczcionkaakapitu0"/>
          <w:lang w:val="en-GB"/>
        </w:rPr>
        <w:t xml:space="preserve"> </w:t>
      </w:r>
      <w:hyperlink r:id="rId15" w:history="1">
        <w:r w:rsidRPr="003C7219">
          <w:rPr>
            <w:rStyle w:val="Hipercze"/>
            <w:color w:val="auto"/>
            <w:u w:val="none"/>
            <w:lang w:val="en-GB"/>
          </w:rPr>
          <w:t>https://doi.org/10.3390/molecules27217221</w:t>
        </w:r>
      </w:hyperlink>
    </w:p>
    <w:p w14:paraId="0ACBC617" w14:textId="77777777" w:rsidR="00556B9A" w:rsidRPr="003C7219" w:rsidRDefault="00556B9A" w:rsidP="003C7219">
      <w:pPr>
        <w:pStyle w:val="Rlit"/>
      </w:pPr>
      <w:r w:rsidRPr="003C7219">
        <w:t xml:space="preserve">Basu, P. (2010). </w:t>
      </w:r>
      <w:r w:rsidRPr="00F04DEF">
        <w:rPr>
          <w:i/>
          <w:iCs/>
        </w:rPr>
        <w:t>Biomass gasification and pyrolysis: Practical design</w:t>
      </w:r>
      <w:r w:rsidRPr="003C7219">
        <w:t>. 1st ed., Elsevier, Kidlington, Oxford</w:t>
      </w:r>
    </w:p>
    <w:p w14:paraId="467B15A1" w14:textId="3C758FDE" w:rsidR="00556B9A" w:rsidRPr="003C7219" w:rsidRDefault="00556B9A" w:rsidP="003C7219">
      <w:pPr>
        <w:pStyle w:val="Rlit"/>
      </w:pPr>
      <w:r w:rsidRPr="003C7219">
        <w:t xml:space="preserve">Beil, M., </w:t>
      </w:r>
      <w:proofErr w:type="spellStart"/>
      <w:r w:rsidRPr="003C7219">
        <w:t>Beyrich</w:t>
      </w:r>
      <w:proofErr w:type="spellEnd"/>
      <w:r w:rsidRPr="003C7219">
        <w:t xml:space="preserve">, W. (2013). Biogas upgrading to biomethane, [in:] Wellinger, A., Murphy, J., Baxter, D., </w:t>
      </w:r>
      <w:r w:rsidRPr="003C7219">
        <w:rPr>
          <w:i/>
        </w:rPr>
        <w:t>The biogas handbook: Science, production and application</w:t>
      </w:r>
      <w:r w:rsidRPr="003C7219">
        <w:t>, Woodhead Publishing Ltd., Cambridge, 364</w:t>
      </w:r>
      <w:r w:rsidR="00F04DEF">
        <w:t>-</w:t>
      </w:r>
      <w:r w:rsidRPr="003C7219">
        <w:t>377.</w:t>
      </w:r>
    </w:p>
    <w:p w14:paraId="7AF9A0F2" w14:textId="14C10F48" w:rsidR="00556B9A" w:rsidRPr="003C7219" w:rsidRDefault="00556B9A" w:rsidP="003C7219">
      <w:pPr>
        <w:pStyle w:val="Rlit"/>
        <w:rPr>
          <w:rStyle w:val="Pogrubienie"/>
          <w:b w:val="0"/>
          <w:lang w:val="en-GB"/>
        </w:rPr>
      </w:pPr>
      <w:r w:rsidRPr="003C7219">
        <w:t xml:space="preserve">Biofuels Market Size, Share &amp; Growth Analysis Report, By Fuel Type (Biodiesel and Ethanol), By Feedstock (Coarse Grain, Sugar Crop, Vegetable Oil, Jatropha, Molasses) </w:t>
      </w:r>
      <w:r w:rsidR="00F04DEF">
        <w:t>–</w:t>
      </w:r>
      <w:r w:rsidRPr="003C7219">
        <w:t xml:space="preserve"> Global Industry Analysis, Trends, Revenue, Segment Forecasts, Regional Outlook 2024</w:t>
      </w:r>
      <w:r w:rsidR="00F04DEF">
        <w:t>-</w:t>
      </w:r>
      <w:r w:rsidRPr="003C7219">
        <w:t>2033</w:t>
      </w:r>
      <w:r w:rsidR="009B457C">
        <w:t>.</w:t>
      </w:r>
      <w:r w:rsidRPr="003C7219">
        <w:t xml:space="preserve"> </w:t>
      </w:r>
      <w:proofErr w:type="spellStart"/>
      <w:r w:rsidRPr="003C7219">
        <w:t>Retrived</w:t>
      </w:r>
      <w:proofErr w:type="spellEnd"/>
      <w:r w:rsidRPr="003C7219">
        <w:t xml:space="preserve"> from</w:t>
      </w:r>
      <w:r w:rsidR="009B457C">
        <w:t>:</w:t>
      </w:r>
      <w:r w:rsidRPr="003C7219">
        <w:rPr>
          <w:rStyle w:val="Pogrubienie"/>
          <w:b w:val="0"/>
          <w:lang w:val="en-GB"/>
        </w:rPr>
        <w:t xml:space="preserve"> https://www.precedenceresearch.com/biofuels-market</w:t>
      </w:r>
    </w:p>
    <w:p w14:paraId="55A04D7D" w14:textId="476071E9" w:rsidR="00556B9A" w:rsidRPr="003C7219" w:rsidRDefault="00556B9A" w:rsidP="003C7219">
      <w:pPr>
        <w:pStyle w:val="Rlit"/>
        <w:rPr>
          <w:rStyle w:val="Pogrubienie"/>
          <w:b w:val="0"/>
          <w:lang w:val="en-GB"/>
        </w:rPr>
      </w:pPr>
      <w:r w:rsidRPr="003C7219">
        <w:t xml:space="preserve">Biomass Power Market (By Technology: Combustion, Gasification, Anaerobic Digestion, Others; By Feedstock: Solid Biofuel, Liquid Biofuel, Biogas, Others; By End Use: Industrial, Commercial, Residential) </w:t>
      </w:r>
      <w:r w:rsidR="00F04DEF">
        <w:t>–</w:t>
      </w:r>
      <w:r w:rsidRPr="003C7219">
        <w:t xml:space="preserve"> Global Industry Analysis, Size, Share, Growth, Trends, Regional Outlook, and Forecast 2023</w:t>
      </w:r>
      <w:r w:rsidR="00F04DEF">
        <w:t>-</w:t>
      </w:r>
      <w:r w:rsidRPr="003C7219">
        <w:t>2030</w:t>
      </w:r>
      <w:r w:rsidR="009B457C">
        <w:t>.</w:t>
      </w:r>
      <w:r w:rsidRPr="003C7219">
        <w:t xml:space="preserve"> </w:t>
      </w:r>
      <w:proofErr w:type="spellStart"/>
      <w:r w:rsidRPr="003C7219">
        <w:t>Retrived</w:t>
      </w:r>
      <w:proofErr w:type="spellEnd"/>
      <w:r w:rsidRPr="003C7219">
        <w:t xml:space="preserve"> from</w:t>
      </w:r>
      <w:r w:rsidR="009B457C">
        <w:t>:</w:t>
      </w:r>
      <w:r w:rsidRPr="003C7219">
        <w:rPr>
          <w:rStyle w:val="Pogrubienie"/>
          <w:b w:val="0"/>
          <w:lang w:val="en-GB"/>
        </w:rPr>
        <w:t xml:space="preserve"> </w:t>
      </w:r>
      <w:r w:rsidR="00336EC3" w:rsidRPr="003C7219">
        <w:rPr>
          <w:rStyle w:val="Pogrubienie"/>
          <w:b w:val="0"/>
          <w:lang w:val="en-GB"/>
        </w:rPr>
        <w:t>https://www.precedenceresearch.com/biomass-power-market/</w:t>
      </w:r>
    </w:p>
    <w:p w14:paraId="01C98BB5" w14:textId="550A02CC" w:rsidR="00336EC3" w:rsidRPr="003C7219" w:rsidRDefault="00336EC3" w:rsidP="003C7219">
      <w:pPr>
        <w:pStyle w:val="Rlit"/>
      </w:pPr>
      <w:r w:rsidRPr="003C7219">
        <w:t>Bogumił</w:t>
      </w:r>
      <w:r w:rsidR="00F04DEF">
        <w:t>,</w:t>
      </w:r>
      <w:r w:rsidRPr="003C7219">
        <w:t xml:space="preserve"> D. (2020)</w:t>
      </w:r>
      <w:r w:rsidR="00F04DEF">
        <w:t>.</w:t>
      </w:r>
      <w:r w:rsidRPr="003C7219">
        <w:t xml:space="preserve"> </w:t>
      </w:r>
      <w:proofErr w:type="spellStart"/>
      <w:r w:rsidRPr="003C7219">
        <w:t>Biomasa</w:t>
      </w:r>
      <w:proofErr w:type="spellEnd"/>
      <w:r w:rsidRPr="003C7219">
        <w:t xml:space="preserve"> </w:t>
      </w:r>
      <w:proofErr w:type="spellStart"/>
      <w:r w:rsidRPr="003C7219">
        <w:t>jako</w:t>
      </w:r>
      <w:proofErr w:type="spellEnd"/>
      <w:r w:rsidRPr="003C7219">
        <w:t xml:space="preserve"> </w:t>
      </w:r>
      <w:proofErr w:type="spellStart"/>
      <w:r w:rsidRPr="003C7219">
        <w:t>surowiec</w:t>
      </w:r>
      <w:proofErr w:type="spellEnd"/>
      <w:r w:rsidRPr="003C7219">
        <w:t xml:space="preserve"> do </w:t>
      </w:r>
      <w:proofErr w:type="spellStart"/>
      <w:r w:rsidRPr="003C7219">
        <w:t>produkcji</w:t>
      </w:r>
      <w:proofErr w:type="spellEnd"/>
      <w:r w:rsidRPr="003C7219">
        <w:t xml:space="preserve"> </w:t>
      </w:r>
      <w:proofErr w:type="spellStart"/>
      <w:r w:rsidRPr="003C7219">
        <w:t>biopaliw</w:t>
      </w:r>
      <w:proofErr w:type="spellEnd"/>
      <w:r w:rsidRPr="003C7219">
        <w:t xml:space="preserve">. </w:t>
      </w:r>
      <w:r w:rsidRPr="003C7219">
        <w:rPr>
          <w:i/>
        </w:rPr>
        <w:t xml:space="preserve">Paliwa </w:t>
      </w:r>
      <w:proofErr w:type="spellStart"/>
      <w:r w:rsidRPr="003C7219">
        <w:rPr>
          <w:i/>
        </w:rPr>
        <w:t>Płynne</w:t>
      </w:r>
      <w:proofErr w:type="spellEnd"/>
      <w:r w:rsidR="00F04DEF" w:rsidRPr="00F04DEF">
        <w:rPr>
          <w:iCs/>
        </w:rPr>
        <w:t>,</w:t>
      </w:r>
      <w:r w:rsidRPr="003C7219">
        <w:t xml:space="preserve"> 10,11,12/2020</w:t>
      </w:r>
      <w:r w:rsidR="00607A40">
        <w:t>.</w:t>
      </w:r>
      <w:r w:rsidRPr="003C7219">
        <w:t xml:space="preserve"> (in Polish)</w:t>
      </w:r>
    </w:p>
    <w:p w14:paraId="2C014352" w14:textId="59FED5AE" w:rsidR="00556B9A" w:rsidRPr="003C7219" w:rsidRDefault="00556B9A" w:rsidP="003C7219">
      <w:pPr>
        <w:pStyle w:val="Rlit"/>
        <w:rPr>
          <w:rStyle w:val="Domylnaczcionkaakapitu0"/>
          <w:lang w:val="en-GB"/>
        </w:rPr>
      </w:pPr>
      <w:r w:rsidRPr="003C7219">
        <w:t xml:space="preserve">Cozma, P., Wukovits, W., </w:t>
      </w:r>
      <w:proofErr w:type="spellStart"/>
      <w:r w:rsidRPr="003C7219">
        <w:t>Mamalig</w:t>
      </w:r>
      <w:proofErr w:type="spellEnd"/>
      <w:r w:rsidRPr="003C7219">
        <w:t xml:space="preserve">, I., Friedl, A., Gavrilescu, M. (2015). Modeling and simulation of high pressure water scrubbing technology applied for biogas upgrading. Clean </w:t>
      </w:r>
      <w:r w:rsidRPr="003C7219">
        <w:rPr>
          <w:i/>
        </w:rPr>
        <w:t>Technology Environmental Policy</w:t>
      </w:r>
      <w:r w:rsidRPr="003C7219">
        <w:t xml:space="preserve">, </w:t>
      </w:r>
      <w:r w:rsidRPr="00F04DEF">
        <w:rPr>
          <w:i/>
          <w:iCs/>
        </w:rPr>
        <w:t>17</w:t>
      </w:r>
      <w:r w:rsidRPr="003C7219">
        <w:t>, 373</w:t>
      </w:r>
      <w:r w:rsidR="00F04DEF">
        <w:t>-</w:t>
      </w:r>
      <w:r w:rsidRPr="003C7219">
        <w:t xml:space="preserve">391. </w:t>
      </w:r>
      <w:r w:rsidR="00F04DEF" w:rsidRPr="00F04DEF">
        <w:t>https://doi.org/</w:t>
      </w:r>
      <w:r w:rsidRPr="003C7219">
        <w:t>10.1007/s10098-014-0787-7</w:t>
      </w:r>
    </w:p>
    <w:p w14:paraId="47806CD8" w14:textId="1F410A46" w:rsidR="00556B9A" w:rsidRPr="003C7219" w:rsidRDefault="00336EC3" w:rsidP="003C7219">
      <w:pPr>
        <w:pStyle w:val="Rlit"/>
      </w:pPr>
      <w:proofErr w:type="spellStart"/>
      <w:r w:rsidRPr="003C7219">
        <w:rPr>
          <w:rStyle w:val="Domylnaczcionkaakapitu0"/>
          <w:lang w:val="en-GB"/>
        </w:rPr>
        <w:t>Czarnocka</w:t>
      </w:r>
      <w:proofErr w:type="spellEnd"/>
      <w:r w:rsidRPr="003C7219">
        <w:rPr>
          <w:rStyle w:val="Domylnaczcionkaakapitu0"/>
          <w:lang w:val="en-GB"/>
        </w:rPr>
        <w:t xml:space="preserve"> J., (2015), </w:t>
      </w:r>
      <w:r w:rsidRPr="003C7219">
        <w:rPr>
          <w:bdr w:val="none" w:sz="0" w:space="0" w:color="auto" w:frame="1"/>
          <w:shd w:val="clear" w:color="auto" w:fill="FFFFFF"/>
        </w:rPr>
        <w:t>The use of microwave pyrolysis for biomass processing,</w:t>
      </w:r>
      <w:r w:rsidRPr="003C7219">
        <w:rPr>
          <w:rStyle w:val="Domylnaczcionkaakapitu0"/>
          <w:lang w:val="en-GB"/>
        </w:rPr>
        <w:t xml:space="preserve"> </w:t>
      </w:r>
      <w:r w:rsidRPr="003C7219">
        <w:rPr>
          <w:rStyle w:val="Domylnaczcionkaakapitu0"/>
          <w:i/>
          <w:lang w:val="en-GB"/>
        </w:rPr>
        <w:t>The Archives of Automotive Engineering</w:t>
      </w:r>
      <w:r w:rsidRPr="003C7219">
        <w:rPr>
          <w:rStyle w:val="Domylnaczcionkaakapitu0"/>
          <w:lang w:val="en-GB"/>
        </w:rPr>
        <w:t xml:space="preserve">, </w:t>
      </w:r>
      <w:r w:rsidRPr="00F04DEF">
        <w:rPr>
          <w:rStyle w:val="Domylnaczcionkaakapitu0"/>
          <w:i/>
          <w:iCs/>
          <w:lang w:val="en-GB"/>
        </w:rPr>
        <w:t>67</w:t>
      </w:r>
      <w:r w:rsidRPr="003C7219">
        <w:rPr>
          <w:rStyle w:val="Domylnaczcionkaakapitu0"/>
          <w:lang w:val="en-GB"/>
        </w:rPr>
        <w:t>, 141.</w:t>
      </w:r>
    </w:p>
    <w:p w14:paraId="24DC72F6" w14:textId="04C19791" w:rsidR="006D0A69" w:rsidRPr="003C7219" w:rsidRDefault="00387DB3" w:rsidP="003C7219">
      <w:pPr>
        <w:pStyle w:val="Rlit"/>
      </w:pPr>
      <w:r w:rsidRPr="003C7219">
        <w:t>Dale</w:t>
      </w:r>
      <w:r w:rsidR="00F04DEF">
        <w:t>,</w:t>
      </w:r>
      <w:r w:rsidRPr="003C7219">
        <w:t xml:space="preserve"> S. (2023). </w:t>
      </w:r>
      <w:r w:rsidR="004B5615" w:rsidRPr="00F04DEF">
        <w:rPr>
          <w:i/>
          <w:iCs/>
        </w:rPr>
        <w:t>BP Energy Outlook 2023</w:t>
      </w:r>
      <w:r w:rsidRPr="003C7219">
        <w:t>, bp.com</w:t>
      </w:r>
      <w:r w:rsidR="009B457C">
        <w:t>.</w:t>
      </w:r>
      <w:r w:rsidRPr="003C7219">
        <w:t xml:space="preserve"> </w:t>
      </w:r>
      <w:proofErr w:type="spellStart"/>
      <w:r w:rsidRPr="003C7219">
        <w:t>Retrived</w:t>
      </w:r>
      <w:proofErr w:type="spellEnd"/>
      <w:r w:rsidRPr="003C7219">
        <w:t xml:space="preserve"> from</w:t>
      </w:r>
      <w:r w:rsidR="009B457C">
        <w:t>:</w:t>
      </w:r>
      <w:r w:rsidR="004B5615" w:rsidRPr="003C7219">
        <w:t xml:space="preserve"> </w:t>
      </w:r>
      <w:hyperlink r:id="rId16" w:history="1">
        <w:r w:rsidR="00B913D2" w:rsidRPr="003C7219">
          <w:rPr>
            <w:rStyle w:val="Hipercze"/>
            <w:color w:val="auto"/>
            <w:u w:val="none"/>
            <w:lang w:val="en-GB"/>
          </w:rPr>
          <w:t>https://www.bp.com/content/dam/bp/business-sites/en/global/corporate/pdfs/energy-economics/energy-outlook/bp-energy-outlook-2023.pdf</w:t>
        </w:r>
      </w:hyperlink>
    </w:p>
    <w:p w14:paraId="38330EB3" w14:textId="5E73581D" w:rsidR="006D0A69" w:rsidRPr="003C7219" w:rsidRDefault="006D0A69" w:rsidP="009B457C">
      <w:pPr>
        <w:pStyle w:val="Rlit"/>
        <w:jc w:val="left"/>
      </w:pPr>
      <w:r w:rsidRPr="003C7219">
        <w:t xml:space="preserve">De Bhowmick, G., Sarmah, A.K., Sen R. (2018). Lignocellulosic biorefinery as a model for sustainable development of biofuels </w:t>
      </w:r>
      <w:proofErr w:type="spellStart"/>
      <w:r w:rsidRPr="003C7219">
        <w:t>andvalueadded</w:t>
      </w:r>
      <w:proofErr w:type="spellEnd"/>
      <w:r w:rsidRPr="003C7219">
        <w:t xml:space="preserve"> products. </w:t>
      </w:r>
      <w:r w:rsidRPr="003C7219">
        <w:rPr>
          <w:i/>
        </w:rPr>
        <w:t>Bioresource Technology</w:t>
      </w:r>
      <w:r w:rsidRPr="003C7219">
        <w:t>, 247, 1144</w:t>
      </w:r>
      <w:r w:rsidR="009B457C">
        <w:t>-</w:t>
      </w:r>
      <w:r w:rsidRPr="003C7219">
        <w:t xml:space="preserve">1154. </w:t>
      </w:r>
      <w:r w:rsidR="00F04DEF" w:rsidRPr="00F04DEF">
        <w:t>https://doi.org/</w:t>
      </w:r>
      <w:r w:rsidRPr="003C7219">
        <w:t>10.1016/j.biortech.2017.09.163</w:t>
      </w:r>
    </w:p>
    <w:p w14:paraId="19C7BFDF" w14:textId="70E569E3" w:rsidR="00BF5E2A" w:rsidRPr="003C7219" w:rsidRDefault="00BF5E2A" w:rsidP="003C7219">
      <w:pPr>
        <w:pStyle w:val="Rlit"/>
      </w:pPr>
      <w:proofErr w:type="spellStart"/>
      <w:r w:rsidRPr="003C7219">
        <w:t>Deublein</w:t>
      </w:r>
      <w:proofErr w:type="spellEnd"/>
      <w:r w:rsidR="009B457C">
        <w:t>,</w:t>
      </w:r>
      <w:r w:rsidRPr="003C7219">
        <w:t xml:space="preserve"> D., Steinhauser, A. </w:t>
      </w:r>
      <w:r w:rsidR="009B457C">
        <w:t>(</w:t>
      </w:r>
      <w:r w:rsidRPr="003C7219">
        <w:t>2010</w:t>
      </w:r>
      <w:r w:rsidR="009B457C">
        <w:t>)</w:t>
      </w:r>
      <w:r w:rsidRPr="003C7219">
        <w:t xml:space="preserve">. </w:t>
      </w:r>
      <w:r w:rsidRPr="009B457C">
        <w:rPr>
          <w:i/>
          <w:iCs/>
        </w:rPr>
        <w:t>Biogas from Waste and Renewable Resources</w:t>
      </w:r>
      <w:r w:rsidR="009B457C" w:rsidRPr="009B457C">
        <w:t>.</w:t>
      </w:r>
      <w:r w:rsidRPr="003C7219">
        <w:t xml:space="preserve"> An Introduction</w:t>
      </w:r>
      <w:r w:rsidR="009B457C">
        <w:t>.</w:t>
      </w:r>
      <w:r w:rsidRPr="003C7219">
        <w:t xml:space="preserve"> 2nd, Revi</w:t>
      </w:r>
      <w:r w:rsidR="00B0255D" w:rsidRPr="003C7219">
        <w:t>sed and Expanded Edition, Wiley</w:t>
      </w:r>
      <w:r w:rsidR="009B457C">
        <w:t>-VCH</w:t>
      </w:r>
    </w:p>
    <w:p w14:paraId="1F18957F" w14:textId="3E3B3B20" w:rsidR="004B5615" w:rsidRPr="003C7219" w:rsidRDefault="004B5615" w:rsidP="003C7219">
      <w:pPr>
        <w:pStyle w:val="Rlit"/>
      </w:pPr>
      <w:proofErr w:type="spellStart"/>
      <w:r w:rsidRPr="003C7219">
        <w:t>Gołaszewski</w:t>
      </w:r>
      <w:proofErr w:type="spellEnd"/>
      <w:r w:rsidR="009B457C">
        <w:t>,</w:t>
      </w:r>
      <w:r w:rsidRPr="003C7219">
        <w:t xml:space="preserve"> J., Krzyżaniak</w:t>
      </w:r>
      <w:r w:rsidR="009B457C">
        <w:t>,</w:t>
      </w:r>
      <w:r w:rsidRPr="003C7219">
        <w:t xml:space="preserve"> M., Olba-</w:t>
      </w:r>
      <w:proofErr w:type="spellStart"/>
      <w:r w:rsidRPr="003C7219">
        <w:t>Zięty</w:t>
      </w:r>
      <w:proofErr w:type="spellEnd"/>
      <w:r w:rsidR="009B457C">
        <w:t>,</w:t>
      </w:r>
      <w:r w:rsidRPr="003C7219">
        <w:t xml:space="preserve"> E., Stolarski</w:t>
      </w:r>
      <w:r w:rsidR="009B457C">
        <w:t>,</w:t>
      </w:r>
      <w:r w:rsidRPr="003C7219">
        <w:t xml:space="preserve"> M., </w:t>
      </w:r>
      <w:proofErr w:type="spellStart"/>
      <w:r w:rsidRPr="003C7219">
        <w:t>Radawiec</w:t>
      </w:r>
      <w:proofErr w:type="spellEnd"/>
      <w:r w:rsidR="009B457C">
        <w:t>,</w:t>
      </w:r>
      <w:r w:rsidRPr="003C7219">
        <w:t xml:space="preserve"> W., Konkol</w:t>
      </w:r>
      <w:r w:rsidR="009B457C">
        <w:t>,</w:t>
      </w:r>
      <w:r w:rsidRPr="003C7219">
        <w:t xml:space="preserve"> M., </w:t>
      </w:r>
      <w:r w:rsidR="00637605" w:rsidRPr="003C7219">
        <w:t>Kowalski</w:t>
      </w:r>
      <w:r w:rsidR="009B457C">
        <w:t>,</w:t>
      </w:r>
      <w:r w:rsidR="00637605" w:rsidRPr="003C7219">
        <w:t xml:space="preserve"> R., </w:t>
      </w:r>
      <w:proofErr w:type="spellStart"/>
      <w:r w:rsidR="00637605" w:rsidRPr="003C7219">
        <w:t>Rój</w:t>
      </w:r>
      <w:proofErr w:type="spellEnd"/>
      <w:r w:rsidR="009B457C">
        <w:t>,</w:t>
      </w:r>
      <w:r w:rsidR="00637605" w:rsidRPr="003C7219">
        <w:t xml:space="preserve"> E., Faber</w:t>
      </w:r>
      <w:r w:rsidR="009B457C">
        <w:t>,</w:t>
      </w:r>
      <w:r w:rsidR="00637605" w:rsidRPr="003C7219">
        <w:t xml:space="preserve"> A. (2020)</w:t>
      </w:r>
      <w:r w:rsidR="009B457C">
        <w:t>.</w:t>
      </w:r>
      <w:r w:rsidRPr="003C7219">
        <w:t xml:space="preserve"> </w:t>
      </w:r>
      <w:proofErr w:type="spellStart"/>
      <w:r w:rsidRPr="009B457C">
        <w:rPr>
          <w:i/>
          <w:iCs/>
        </w:rPr>
        <w:t>Technologie</w:t>
      </w:r>
      <w:proofErr w:type="spellEnd"/>
      <w:r w:rsidRPr="009B457C">
        <w:rPr>
          <w:i/>
          <w:iCs/>
        </w:rPr>
        <w:t xml:space="preserve"> </w:t>
      </w:r>
      <w:proofErr w:type="spellStart"/>
      <w:r w:rsidRPr="009B457C">
        <w:rPr>
          <w:i/>
          <w:iCs/>
        </w:rPr>
        <w:t>rynkowe</w:t>
      </w:r>
      <w:proofErr w:type="spellEnd"/>
      <w:r w:rsidRPr="009B457C">
        <w:rPr>
          <w:i/>
          <w:iCs/>
        </w:rPr>
        <w:t xml:space="preserve"> </w:t>
      </w:r>
      <w:proofErr w:type="spellStart"/>
      <w:r w:rsidRPr="009B457C">
        <w:rPr>
          <w:i/>
          <w:iCs/>
        </w:rPr>
        <w:t>przetwarzania</w:t>
      </w:r>
      <w:proofErr w:type="spellEnd"/>
      <w:r w:rsidRPr="009B457C">
        <w:rPr>
          <w:i/>
          <w:iCs/>
        </w:rPr>
        <w:t xml:space="preserve"> </w:t>
      </w:r>
      <w:proofErr w:type="spellStart"/>
      <w:r w:rsidRPr="009B457C">
        <w:rPr>
          <w:i/>
          <w:iCs/>
        </w:rPr>
        <w:t>biomasy</w:t>
      </w:r>
      <w:proofErr w:type="spellEnd"/>
      <w:r w:rsidRPr="009B457C">
        <w:rPr>
          <w:i/>
          <w:iCs/>
        </w:rPr>
        <w:t xml:space="preserve"> </w:t>
      </w:r>
      <w:proofErr w:type="spellStart"/>
      <w:r w:rsidRPr="009B457C">
        <w:rPr>
          <w:i/>
          <w:iCs/>
        </w:rPr>
        <w:t>lignocelulozowej</w:t>
      </w:r>
      <w:proofErr w:type="spellEnd"/>
      <w:r w:rsidRPr="009B457C">
        <w:rPr>
          <w:i/>
          <w:iCs/>
        </w:rPr>
        <w:t xml:space="preserve"> do </w:t>
      </w:r>
      <w:proofErr w:type="spellStart"/>
      <w:r w:rsidRPr="009B457C">
        <w:rPr>
          <w:i/>
          <w:iCs/>
        </w:rPr>
        <w:t>biopaliw</w:t>
      </w:r>
      <w:proofErr w:type="spellEnd"/>
      <w:r w:rsidRPr="009B457C">
        <w:rPr>
          <w:i/>
          <w:iCs/>
        </w:rPr>
        <w:t xml:space="preserve"> </w:t>
      </w:r>
      <w:proofErr w:type="spellStart"/>
      <w:r w:rsidRPr="009B457C">
        <w:rPr>
          <w:i/>
          <w:iCs/>
        </w:rPr>
        <w:t>stałych</w:t>
      </w:r>
      <w:proofErr w:type="spellEnd"/>
      <w:r w:rsidRPr="009B457C">
        <w:rPr>
          <w:i/>
          <w:iCs/>
        </w:rPr>
        <w:t xml:space="preserve">, </w:t>
      </w:r>
      <w:proofErr w:type="spellStart"/>
      <w:r w:rsidRPr="009B457C">
        <w:rPr>
          <w:i/>
          <w:iCs/>
        </w:rPr>
        <w:t>ciekłych</w:t>
      </w:r>
      <w:proofErr w:type="spellEnd"/>
      <w:r w:rsidRPr="009B457C">
        <w:rPr>
          <w:i/>
          <w:iCs/>
        </w:rPr>
        <w:t xml:space="preserve"> </w:t>
      </w:r>
      <w:proofErr w:type="spellStart"/>
      <w:r w:rsidRPr="009B457C">
        <w:rPr>
          <w:i/>
          <w:iCs/>
        </w:rPr>
        <w:t>i</w:t>
      </w:r>
      <w:proofErr w:type="spellEnd"/>
      <w:r w:rsidRPr="009B457C">
        <w:rPr>
          <w:i/>
          <w:iCs/>
        </w:rPr>
        <w:t xml:space="preserve"> </w:t>
      </w:r>
      <w:proofErr w:type="spellStart"/>
      <w:r w:rsidRPr="009B457C">
        <w:rPr>
          <w:i/>
          <w:iCs/>
        </w:rPr>
        <w:t>gazowych</w:t>
      </w:r>
      <w:proofErr w:type="spellEnd"/>
      <w:r w:rsidR="009B457C">
        <w:t xml:space="preserve">. </w:t>
      </w:r>
      <w:proofErr w:type="spellStart"/>
      <w:r w:rsidRPr="003C7219">
        <w:t>Wydawnictwo</w:t>
      </w:r>
      <w:proofErr w:type="spellEnd"/>
      <w:r w:rsidRPr="003C7219">
        <w:t xml:space="preserve"> </w:t>
      </w:r>
      <w:proofErr w:type="spellStart"/>
      <w:r w:rsidRPr="003C7219">
        <w:t>Uniwersytetu</w:t>
      </w:r>
      <w:proofErr w:type="spellEnd"/>
      <w:r w:rsidRPr="003C7219">
        <w:t xml:space="preserve"> </w:t>
      </w:r>
      <w:proofErr w:type="spellStart"/>
      <w:r w:rsidRPr="003C7219">
        <w:t>Warmińsko-Mazurskiego</w:t>
      </w:r>
      <w:proofErr w:type="spellEnd"/>
      <w:r w:rsidRPr="003C7219">
        <w:t xml:space="preserve"> w </w:t>
      </w:r>
      <w:proofErr w:type="spellStart"/>
      <w:r w:rsidRPr="003C7219">
        <w:t>Olsztynie</w:t>
      </w:r>
      <w:proofErr w:type="spellEnd"/>
      <w:r w:rsidR="009B457C">
        <w:t>.</w:t>
      </w:r>
      <w:r w:rsidR="00DE355B" w:rsidRPr="003C7219">
        <w:t xml:space="preserve"> (in Polish)</w:t>
      </w:r>
    </w:p>
    <w:p w14:paraId="0D2BE78E" w14:textId="7746A07B" w:rsidR="00AB316E" w:rsidRPr="003C7219" w:rsidRDefault="00AB316E" w:rsidP="003C7219">
      <w:pPr>
        <w:pStyle w:val="Rlit"/>
        <w:rPr>
          <w:rStyle w:val="Domylnaczcionkaakapitu0"/>
          <w:lang w:val="en-GB"/>
        </w:rPr>
      </w:pPr>
      <w:r w:rsidRPr="003C7219">
        <w:rPr>
          <w:rStyle w:val="Domylnaczcionkaakapitu0"/>
          <w:lang w:val="en-GB"/>
        </w:rPr>
        <w:t>Gao, Z.</w:t>
      </w:r>
      <w:r w:rsidR="003C7219">
        <w:rPr>
          <w:rStyle w:val="Domylnaczcionkaakapitu0"/>
          <w:lang w:val="en-GB"/>
        </w:rPr>
        <w:t>,</w:t>
      </w:r>
      <w:r w:rsidRPr="003C7219">
        <w:rPr>
          <w:rStyle w:val="Domylnaczcionkaakapitu0"/>
          <w:lang w:val="en-GB"/>
        </w:rPr>
        <w:t xml:space="preserve"> Xiang, M.</w:t>
      </w:r>
      <w:r w:rsidR="003C7219">
        <w:rPr>
          <w:rStyle w:val="Domylnaczcionkaakapitu0"/>
          <w:lang w:val="en-GB"/>
        </w:rPr>
        <w:t>,</w:t>
      </w:r>
      <w:r w:rsidRPr="003C7219">
        <w:rPr>
          <w:rStyle w:val="Domylnaczcionkaakapitu0"/>
          <w:lang w:val="en-GB"/>
        </w:rPr>
        <w:t xml:space="preserve"> He, M.</w:t>
      </w:r>
      <w:r w:rsidR="003C7219">
        <w:rPr>
          <w:rStyle w:val="Domylnaczcionkaakapitu0"/>
          <w:lang w:val="en-GB"/>
        </w:rPr>
        <w:t>,</w:t>
      </w:r>
      <w:r w:rsidRPr="003C7219">
        <w:rPr>
          <w:rStyle w:val="Domylnaczcionkaakapitu0"/>
          <w:lang w:val="en-GB"/>
        </w:rPr>
        <w:t xml:space="preserve"> Zhou, W.</w:t>
      </w:r>
      <w:r w:rsidR="003C7219">
        <w:rPr>
          <w:rStyle w:val="Domylnaczcionkaakapitu0"/>
          <w:lang w:val="en-GB"/>
        </w:rPr>
        <w:t>,</w:t>
      </w:r>
      <w:r w:rsidRPr="003C7219">
        <w:rPr>
          <w:rStyle w:val="Domylnaczcionkaakapitu0"/>
          <w:lang w:val="en-GB"/>
        </w:rPr>
        <w:t xml:space="preserve"> Chen, J.</w:t>
      </w:r>
      <w:r w:rsidR="003C7219">
        <w:rPr>
          <w:rStyle w:val="Domylnaczcionkaakapitu0"/>
          <w:lang w:val="en-GB"/>
        </w:rPr>
        <w:t>,</w:t>
      </w:r>
      <w:r w:rsidRPr="003C7219">
        <w:rPr>
          <w:rStyle w:val="Domylnaczcionkaakapitu0"/>
          <w:lang w:val="en-GB"/>
        </w:rPr>
        <w:t xml:space="preserve"> Lu, J.</w:t>
      </w:r>
      <w:r w:rsidR="003C7219">
        <w:rPr>
          <w:rStyle w:val="Domylnaczcionkaakapitu0"/>
          <w:lang w:val="en-GB"/>
        </w:rPr>
        <w:t>,</w:t>
      </w:r>
      <w:r w:rsidRPr="003C7219">
        <w:rPr>
          <w:rStyle w:val="Domylnaczcionkaakapitu0"/>
          <w:lang w:val="en-GB"/>
        </w:rPr>
        <w:t xml:space="preserve"> Wu, Z.</w:t>
      </w:r>
      <w:r w:rsidR="003C7219">
        <w:rPr>
          <w:rStyle w:val="Domylnaczcionkaakapitu0"/>
          <w:lang w:val="en-GB"/>
        </w:rPr>
        <w:t>,</w:t>
      </w:r>
      <w:r w:rsidRPr="003C7219">
        <w:rPr>
          <w:rStyle w:val="Domylnaczcionkaakapitu0"/>
          <w:lang w:val="en-GB"/>
        </w:rPr>
        <w:t xml:space="preserve"> Su, Y. (2023). Transformation of CO</w:t>
      </w:r>
      <w:r w:rsidRPr="009B457C">
        <w:rPr>
          <w:rStyle w:val="Domylnaczcionkaakapitu0"/>
          <w:vertAlign w:val="subscript"/>
          <w:lang w:val="en-GB"/>
        </w:rPr>
        <w:t>2</w:t>
      </w:r>
      <w:r w:rsidRPr="003C7219">
        <w:rPr>
          <w:rStyle w:val="Domylnaczcionkaakapitu0"/>
          <w:lang w:val="en-GB"/>
        </w:rPr>
        <w:t xml:space="preserve"> with Glycerol to Glycerol Carbonate over ETS-10 Zeolite-Based Catalyst. </w:t>
      </w:r>
      <w:r w:rsidRPr="003C7219">
        <w:rPr>
          <w:rStyle w:val="Domylnaczcionkaakapitu0"/>
          <w:i/>
          <w:lang w:val="en-GB"/>
        </w:rPr>
        <w:t>Molecules</w:t>
      </w:r>
      <w:r w:rsidR="009B457C">
        <w:rPr>
          <w:rStyle w:val="Domylnaczcionkaakapitu0"/>
          <w:lang w:val="en-GB"/>
        </w:rPr>
        <w:t xml:space="preserve">, </w:t>
      </w:r>
      <w:r w:rsidRPr="009B457C">
        <w:rPr>
          <w:rStyle w:val="Domylnaczcionkaakapitu0"/>
          <w:i/>
          <w:iCs/>
          <w:lang w:val="en-GB"/>
        </w:rPr>
        <w:t>28</w:t>
      </w:r>
      <w:r w:rsidRPr="003C7219">
        <w:rPr>
          <w:rStyle w:val="Domylnaczcionkaakapitu0"/>
          <w:lang w:val="en-GB"/>
        </w:rPr>
        <w:t>(5), 2272</w:t>
      </w:r>
      <w:r w:rsidR="009B457C">
        <w:rPr>
          <w:rStyle w:val="Domylnaczcionkaakapitu0"/>
          <w:lang w:val="en-GB"/>
        </w:rPr>
        <w:t>.</w:t>
      </w:r>
      <w:r w:rsidRPr="003C7219">
        <w:rPr>
          <w:rStyle w:val="Domylnaczcionkaakapitu0"/>
          <w:lang w:val="en-GB"/>
        </w:rPr>
        <w:t xml:space="preserve"> </w:t>
      </w:r>
      <w:r w:rsidRPr="003C7219">
        <w:t>https://doi.org/10.3390/molecules28052272</w:t>
      </w:r>
    </w:p>
    <w:p w14:paraId="685EF1D3" w14:textId="24D59FA4" w:rsidR="00AB316E" w:rsidRPr="003C7219" w:rsidRDefault="00AB316E" w:rsidP="003C7219">
      <w:pPr>
        <w:pStyle w:val="Rlit"/>
        <w:rPr>
          <w:rStyle w:val="Domylnaczcionkaakapitu0"/>
          <w:lang w:val="en-GB"/>
        </w:rPr>
      </w:pPr>
      <w:proofErr w:type="spellStart"/>
      <w:r w:rsidRPr="003C7219">
        <w:rPr>
          <w:rStyle w:val="Domylnaczcionkaakapitu0"/>
          <w:lang w:val="en-GB"/>
        </w:rPr>
        <w:t>Kadier</w:t>
      </w:r>
      <w:proofErr w:type="spellEnd"/>
      <w:r w:rsidRPr="003C7219">
        <w:rPr>
          <w:rStyle w:val="Domylnaczcionkaakapitu0"/>
          <w:lang w:val="en-GB"/>
        </w:rPr>
        <w:t xml:space="preserve">, A., </w:t>
      </w:r>
      <w:proofErr w:type="spellStart"/>
      <w:r w:rsidRPr="003C7219">
        <w:rPr>
          <w:rStyle w:val="Domylnaczcionkaakapitu0"/>
          <w:lang w:val="en-GB"/>
        </w:rPr>
        <w:t>Sahaid</w:t>
      </w:r>
      <w:proofErr w:type="spellEnd"/>
      <w:r w:rsidRPr="003C7219">
        <w:rPr>
          <w:rStyle w:val="Domylnaczcionkaakapitu0"/>
          <w:lang w:val="en-GB"/>
        </w:rPr>
        <w:t xml:space="preserve"> Kalil, M., </w:t>
      </w:r>
      <w:proofErr w:type="spellStart"/>
      <w:r w:rsidRPr="003C7219">
        <w:rPr>
          <w:rStyle w:val="Domylnaczcionkaakapitu0"/>
          <w:lang w:val="en-GB"/>
        </w:rPr>
        <w:t>Abdeshahian</w:t>
      </w:r>
      <w:proofErr w:type="spellEnd"/>
      <w:r w:rsidRPr="003C7219">
        <w:rPr>
          <w:rStyle w:val="Domylnaczcionkaakapitu0"/>
          <w:lang w:val="en-GB"/>
        </w:rPr>
        <w:t xml:space="preserve">, P., Chandrasekhar, K., Mohamed, A., Farhana Azman, N., Logrono, W., </w:t>
      </w:r>
      <w:proofErr w:type="spellStart"/>
      <w:r w:rsidRPr="003C7219">
        <w:rPr>
          <w:rStyle w:val="Domylnaczcionkaakapitu0"/>
          <w:lang w:val="en-GB"/>
        </w:rPr>
        <w:t>Simayi</w:t>
      </w:r>
      <w:proofErr w:type="spellEnd"/>
      <w:r w:rsidRPr="003C7219">
        <w:rPr>
          <w:rStyle w:val="Domylnaczcionkaakapitu0"/>
          <w:lang w:val="en-GB"/>
        </w:rPr>
        <w:t xml:space="preserve">, Y., Abdul Hamid, A. (2016). Recent advances and emerging challenges in microbial electrolysis cells (MECs) for microbial production of hydrogen and value-added chemicals. </w:t>
      </w:r>
      <w:r w:rsidRPr="003C7219">
        <w:rPr>
          <w:rStyle w:val="Domylnaczcionkaakapitu0"/>
          <w:i/>
          <w:lang w:val="en-GB"/>
        </w:rPr>
        <w:t>Renewable and Sustainable Energy Reviews</w:t>
      </w:r>
      <w:r w:rsidRPr="003C7219">
        <w:rPr>
          <w:rStyle w:val="Domylnaczcionkaakapitu0"/>
          <w:lang w:val="en-GB"/>
        </w:rPr>
        <w:t>, 61, 501</w:t>
      </w:r>
      <w:r w:rsidR="009B457C">
        <w:rPr>
          <w:rStyle w:val="Domylnaczcionkaakapitu0"/>
          <w:lang w:val="en-GB"/>
        </w:rPr>
        <w:t>-5</w:t>
      </w:r>
      <w:r w:rsidRPr="003C7219">
        <w:rPr>
          <w:rStyle w:val="Domylnaczcionkaakapitu0"/>
          <w:lang w:val="en-GB"/>
        </w:rPr>
        <w:t xml:space="preserve">25. </w:t>
      </w:r>
      <w:r w:rsidR="009B457C" w:rsidRPr="003C7219">
        <w:t>https://doi.org/</w:t>
      </w:r>
      <w:r w:rsidRPr="003C7219">
        <w:rPr>
          <w:rStyle w:val="Domylnaczcionkaakapitu0"/>
          <w:lang w:val="en-GB"/>
        </w:rPr>
        <w:t>10.1016/j.rser.2016.04.017</w:t>
      </w:r>
    </w:p>
    <w:p w14:paraId="1D70112F" w14:textId="3D0809B6" w:rsidR="00DF18E4" w:rsidRPr="003C7219" w:rsidRDefault="00DF18E4" w:rsidP="009B457C">
      <w:pPr>
        <w:pStyle w:val="Rlit"/>
        <w:jc w:val="left"/>
      </w:pPr>
      <w:r w:rsidRPr="003C7219">
        <w:t xml:space="preserve">Kan, T., </w:t>
      </w:r>
      <w:proofErr w:type="spellStart"/>
      <w:r w:rsidRPr="003C7219">
        <w:t>Strezov</w:t>
      </w:r>
      <w:proofErr w:type="spellEnd"/>
      <w:r w:rsidRPr="003C7219">
        <w:t xml:space="preserve"> V., Evans T.J. (2016). Lignocellulosic biomass pyrolysis: A review of product properties and effects of pyrolysis parameters. </w:t>
      </w:r>
      <w:r w:rsidRPr="003C7219">
        <w:rPr>
          <w:i/>
        </w:rPr>
        <w:t>Renewable and Sustainable Energy Reviews</w:t>
      </w:r>
      <w:r w:rsidRPr="003C7219">
        <w:t>, 57, 1126</w:t>
      </w:r>
      <w:r w:rsidR="009B457C">
        <w:t>-</w:t>
      </w:r>
      <w:r w:rsidRPr="003C7219">
        <w:t xml:space="preserve">1140. </w:t>
      </w:r>
      <w:r w:rsidR="009B457C" w:rsidRPr="003C7219">
        <w:t>https://doi.org/</w:t>
      </w:r>
      <w:r w:rsidRPr="003C7219">
        <w:t>10.1016/j.rser.2015.12.185</w:t>
      </w:r>
    </w:p>
    <w:p w14:paraId="6F4FF045" w14:textId="761A8DA9" w:rsidR="00523000" w:rsidRPr="003C7219" w:rsidRDefault="00523000" w:rsidP="003C7219">
      <w:pPr>
        <w:pStyle w:val="Rlit"/>
        <w:rPr>
          <w:rStyle w:val="Domylnaczcionkaakapitu0"/>
          <w:lang w:val="en-GB"/>
        </w:rPr>
      </w:pPr>
      <w:r w:rsidRPr="003C7219">
        <w:rPr>
          <w:rStyle w:val="Domylnaczcionkaakapitu0"/>
          <w:lang w:val="en-GB"/>
        </w:rPr>
        <w:t xml:space="preserve">Kozłowski, K., Lewicki, A., </w:t>
      </w:r>
      <w:proofErr w:type="spellStart"/>
      <w:r w:rsidRPr="003C7219">
        <w:rPr>
          <w:rStyle w:val="Domylnaczcionkaakapitu0"/>
          <w:lang w:val="en-GB"/>
        </w:rPr>
        <w:t>Cieślik</w:t>
      </w:r>
      <w:proofErr w:type="spellEnd"/>
      <w:r w:rsidRPr="003C7219">
        <w:rPr>
          <w:rStyle w:val="Domylnaczcionkaakapitu0"/>
          <w:lang w:val="en-GB"/>
        </w:rPr>
        <w:t xml:space="preserve">, M., </w:t>
      </w:r>
      <w:proofErr w:type="spellStart"/>
      <w:r w:rsidRPr="003C7219">
        <w:rPr>
          <w:rStyle w:val="Domylnaczcionkaakapitu0"/>
          <w:lang w:val="en-GB"/>
        </w:rPr>
        <w:t>Jańczak</w:t>
      </w:r>
      <w:proofErr w:type="spellEnd"/>
      <w:r w:rsidRPr="003C7219">
        <w:rPr>
          <w:rStyle w:val="Domylnaczcionkaakapitu0"/>
          <w:lang w:val="en-GB"/>
        </w:rPr>
        <w:t xml:space="preserve">, D., </w:t>
      </w:r>
      <w:proofErr w:type="spellStart"/>
      <w:r w:rsidRPr="003C7219">
        <w:rPr>
          <w:rStyle w:val="Domylnaczcionkaakapitu0"/>
          <w:lang w:val="en-GB"/>
        </w:rPr>
        <w:t>Czekała</w:t>
      </w:r>
      <w:proofErr w:type="spellEnd"/>
      <w:r w:rsidRPr="003C7219">
        <w:rPr>
          <w:rStyle w:val="Domylnaczcionkaakapitu0"/>
          <w:lang w:val="en-GB"/>
        </w:rPr>
        <w:t xml:space="preserve">, W., </w:t>
      </w:r>
      <w:proofErr w:type="spellStart"/>
      <w:r w:rsidRPr="003C7219">
        <w:rPr>
          <w:rStyle w:val="Domylnaczcionkaakapitu0"/>
          <w:lang w:val="en-GB"/>
        </w:rPr>
        <w:t>Smurzyńska</w:t>
      </w:r>
      <w:proofErr w:type="spellEnd"/>
      <w:r w:rsidRPr="003C7219">
        <w:rPr>
          <w:rStyle w:val="Domylnaczcionkaakapitu0"/>
          <w:lang w:val="en-GB"/>
        </w:rPr>
        <w:t xml:space="preserve">, A., Dach, J. (2016). </w:t>
      </w:r>
      <w:proofErr w:type="spellStart"/>
      <w:r w:rsidRPr="003C7219">
        <w:rPr>
          <w:rStyle w:val="Domylnaczcionkaakapitu0"/>
          <w:lang w:val="en-GB"/>
        </w:rPr>
        <w:t>Biologiczne</w:t>
      </w:r>
      <w:proofErr w:type="spellEnd"/>
      <w:r w:rsidRPr="003C7219">
        <w:rPr>
          <w:rStyle w:val="Domylnaczcionkaakapitu0"/>
          <w:lang w:val="en-GB"/>
        </w:rPr>
        <w:t xml:space="preserve"> </w:t>
      </w:r>
      <w:proofErr w:type="spellStart"/>
      <w:r w:rsidRPr="003C7219">
        <w:rPr>
          <w:rStyle w:val="Domylnaczcionkaakapitu0"/>
          <w:lang w:val="en-GB"/>
        </w:rPr>
        <w:t>metody</w:t>
      </w:r>
      <w:proofErr w:type="spellEnd"/>
      <w:r w:rsidRPr="003C7219">
        <w:rPr>
          <w:rStyle w:val="Domylnaczcionkaakapitu0"/>
          <w:lang w:val="en-GB"/>
        </w:rPr>
        <w:t xml:space="preserve"> </w:t>
      </w:r>
      <w:proofErr w:type="spellStart"/>
      <w:r w:rsidRPr="003C7219">
        <w:rPr>
          <w:rStyle w:val="Domylnaczcionkaakapitu0"/>
          <w:lang w:val="en-GB"/>
        </w:rPr>
        <w:t>produkcji</w:t>
      </w:r>
      <w:proofErr w:type="spellEnd"/>
      <w:r w:rsidRPr="003C7219">
        <w:rPr>
          <w:rStyle w:val="Domylnaczcionkaakapitu0"/>
          <w:lang w:val="en-GB"/>
        </w:rPr>
        <w:t xml:space="preserve"> </w:t>
      </w:r>
      <w:proofErr w:type="spellStart"/>
      <w:r w:rsidRPr="003C7219">
        <w:rPr>
          <w:rStyle w:val="Domylnaczcionkaakapitu0"/>
          <w:lang w:val="en-GB"/>
        </w:rPr>
        <w:t>wodoru</w:t>
      </w:r>
      <w:proofErr w:type="spellEnd"/>
      <w:r w:rsidRPr="003C7219">
        <w:rPr>
          <w:rStyle w:val="Domylnaczcionkaakapitu0"/>
          <w:lang w:val="en-GB"/>
        </w:rPr>
        <w:t xml:space="preserve">. </w:t>
      </w:r>
      <w:proofErr w:type="spellStart"/>
      <w:r w:rsidRPr="003C7219">
        <w:rPr>
          <w:rStyle w:val="Domylnaczcionkaakapitu0"/>
          <w:i/>
          <w:lang w:val="en-GB"/>
        </w:rPr>
        <w:t>Technika</w:t>
      </w:r>
      <w:proofErr w:type="spellEnd"/>
      <w:r w:rsidRPr="003C7219">
        <w:rPr>
          <w:rStyle w:val="Domylnaczcionkaakapitu0"/>
          <w:i/>
          <w:lang w:val="en-GB"/>
        </w:rPr>
        <w:t xml:space="preserve"> </w:t>
      </w:r>
      <w:proofErr w:type="spellStart"/>
      <w:r w:rsidRPr="003C7219">
        <w:rPr>
          <w:rStyle w:val="Domylnaczcionkaakapitu0"/>
          <w:i/>
          <w:lang w:val="en-GB"/>
        </w:rPr>
        <w:t>Rolnicza</w:t>
      </w:r>
      <w:proofErr w:type="spellEnd"/>
      <w:r w:rsidRPr="003C7219">
        <w:rPr>
          <w:rStyle w:val="Domylnaczcionkaakapitu0"/>
          <w:i/>
          <w:lang w:val="en-GB"/>
        </w:rPr>
        <w:t xml:space="preserve"> </w:t>
      </w:r>
      <w:proofErr w:type="spellStart"/>
      <w:r w:rsidRPr="003C7219">
        <w:rPr>
          <w:rStyle w:val="Domylnaczcionkaakapitu0"/>
          <w:i/>
          <w:lang w:val="en-GB"/>
        </w:rPr>
        <w:t>Ogrodnicza</w:t>
      </w:r>
      <w:proofErr w:type="spellEnd"/>
      <w:r w:rsidRPr="003C7219">
        <w:rPr>
          <w:rStyle w:val="Domylnaczcionkaakapitu0"/>
          <w:i/>
          <w:lang w:val="en-GB"/>
        </w:rPr>
        <w:t xml:space="preserve"> </w:t>
      </w:r>
      <w:proofErr w:type="spellStart"/>
      <w:r w:rsidRPr="003C7219">
        <w:rPr>
          <w:rStyle w:val="Domylnaczcionkaakapitu0"/>
          <w:i/>
          <w:lang w:val="en-GB"/>
        </w:rPr>
        <w:t>Leśna</w:t>
      </w:r>
      <w:proofErr w:type="spellEnd"/>
      <w:r w:rsidRPr="003C7219">
        <w:rPr>
          <w:rStyle w:val="Domylnaczcionkaakapitu0"/>
          <w:lang w:val="en-GB"/>
        </w:rPr>
        <w:t>, 5, 26</w:t>
      </w:r>
      <w:r w:rsidR="009B457C">
        <w:rPr>
          <w:rStyle w:val="Domylnaczcionkaakapitu0"/>
          <w:lang w:val="en-GB"/>
        </w:rPr>
        <w:t>-</w:t>
      </w:r>
      <w:r w:rsidRPr="003C7219">
        <w:rPr>
          <w:rStyle w:val="Domylnaczcionkaakapitu0"/>
          <w:lang w:val="en-GB"/>
        </w:rPr>
        <w:t>28.</w:t>
      </w:r>
      <w:r w:rsidR="009B457C">
        <w:rPr>
          <w:rStyle w:val="Domylnaczcionkaakapitu0"/>
          <w:lang w:val="en-GB"/>
        </w:rPr>
        <w:t xml:space="preserve"> </w:t>
      </w:r>
      <w:r w:rsidR="009B457C" w:rsidRPr="003C7219">
        <w:t>(in Polish)</w:t>
      </w:r>
    </w:p>
    <w:p w14:paraId="68C169BF" w14:textId="12EF48DA" w:rsidR="00AB316E" w:rsidRPr="003C7219" w:rsidRDefault="00AB316E" w:rsidP="009B457C">
      <w:pPr>
        <w:pStyle w:val="Rlit"/>
        <w:jc w:val="left"/>
        <w:rPr>
          <w:rStyle w:val="Domylnaczcionkaakapitu0"/>
          <w:lang w:val="en-GB"/>
        </w:rPr>
      </w:pPr>
      <w:r w:rsidRPr="003C7219">
        <w:rPr>
          <w:rStyle w:val="Domylnaczcionkaakapitu0"/>
          <w:lang w:val="en-GB"/>
        </w:rPr>
        <w:t>Książek</w:t>
      </w:r>
      <w:r w:rsidR="009B457C">
        <w:rPr>
          <w:rStyle w:val="Domylnaczcionkaakapitu0"/>
          <w:lang w:val="en-GB"/>
        </w:rPr>
        <w:t>,</w:t>
      </w:r>
      <w:r w:rsidRPr="003C7219">
        <w:rPr>
          <w:rStyle w:val="Domylnaczcionkaakapitu0"/>
          <w:lang w:val="en-GB"/>
        </w:rPr>
        <w:t xml:space="preserve"> S.</w:t>
      </w:r>
      <w:r w:rsidR="003C7219">
        <w:rPr>
          <w:rStyle w:val="Domylnaczcionkaakapitu0"/>
          <w:lang w:val="en-GB"/>
        </w:rPr>
        <w:t>,</w:t>
      </w:r>
      <w:r w:rsidRPr="003C7219">
        <w:rPr>
          <w:rStyle w:val="Domylnaczcionkaakapitu0"/>
          <w:lang w:val="en-GB"/>
        </w:rPr>
        <w:t xml:space="preserve"> Kida</w:t>
      </w:r>
      <w:r w:rsidR="009B457C">
        <w:rPr>
          <w:rStyle w:val="Domylnaczcionkaakapitu0"/>
          <w:lang w:val="en-GB"/>
        </w:rPr>
        <w:t>,</w:t>
      </w:r>
      <w:r w:rsidRPr="003C7219">
        <w:rPr>
          <w:rStyle w:val="Domylnaczcionkaakapitu0"/>
          <w:lang w:val="en-GB"/>
        </w:rPr>
        <w:t xml:space="preserve"> M.</w:t>
      </w:r>
      <w:r w:rsidR="003C7219">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Koszelnik</w:t>
      </w:r>
      <w:proofErr w:type="spellEnd"/>
      <w:r w:rsidR="009B457C">
        <w:rPr>
          <w:rStyle w:val="Domylnaczcionkaakapitu0"/>
          <w:lang w:val="en-GB"/>
        </w:rPr>
        <w:t>,</w:t>
      </w:r>
      <w:r w:rsidRPr="003C7219">
        <w:rPr>
          <w:rStyle w:val="Domylnaczcionkaakapitu0"/>
          <w:lang w:val="en-GB"/>
        </w:rPr>
        <w:t xml:space="preserve"> P. </w:t>
      </w:r>
      <w:r w:rsidR="009B457C">
        <w:rPr>
          <w:rStyle w:val="Domylnaczcionkaakapitu0"/>
          <w:lang w:val="en-GB"/>
        </w:rPr>
        <w:t>(</w:t>
      </w:r>
      <w:r w:rsidR="009B457C" w:rsidRPr="003C7219">
        <w:rPr>
          <w:rStyle w:val="Domylnaczcionkaakapitu0"/>
          <w:lang w:val="en-GB"/>
        </w:rPr>
        <w:t>2017</w:t>
      </w:r>
      <w:r w:rsidR="009B457C">
        <w:rPr>
          <w:rStyle w:val="Domylnaczcionkaakapitu0"/>
          <w:lang w:val="en-GB"/>
        </w:rPr>
        <w:t xml:space="preserve">). </w:t>
      </w:r>
      <w:proofErr w:type="spellStart"/>
      <w:r w:rsidRPr="003C7219">
        <w:rPr>
          <w:rStyle w:val="Domylnaczcionkaakapitu0"/>
          <w:lang w:val="en-GB"/>
        </w:rPr>
        <w:t>Możliwości</w:t>
      </w:r>
      <w:proofErr w:type="spellEnd"/>
      <w:r w:rsidRPr="003C7219">
        <w:rPr>
          <w:rStyle w:val="Domylnaczcionkaakapitu0"/>
          <w:lang w:val="en-GB"/>
        </w:rPr>
        <w:t xml:space="preserve"> </w:t>
      </w:r>
      <w:proofErr w:type="spellStart"/>
      <w:r w:rsidRPr="003C7219">
        <w:rPr>
          <w:rStyle w:val="Domylnaczcionkaakapitu0"/>
          <w:lang w:val="en-GB"/>
        </w:rPr>
        <w:t>Katalitycznego</w:t>
      </w:r>
      <w:proofErr w:type="spellEnd"/>
      <w:r w:rsidRPr="003C7219">
        <w:rPr>
          <w:rStyle w:val="Domylnaczcionkaakapitu0"/>
          <w:lang w:val="en-GB"/>
        </w:rPr>
        <w:t xml:space="preserve"> </w:t>
      </w:r>
      <w:proofErr w:type="spellStart"/>
      <w:r w:rsidRPr="003C7219">
        <w:rPr>
          <w:rStyle w:val="Domylnaczcionkaakapitu0"/>
          <w:lang w:val="en-GB"/>
        </w:rPr>
        <w:t>Zastosowania</w:t>
      </w:r>
      <w:proofErr w:type="spellEnd"/>
      <w:r w:rsidRPr="003C7219">
        <w:rPr>
          <w:rStyle w:val="Domylnaczcionkaakapitu0"/>
          <w:lang w:val="en-GB"/>
        </w:rPr>
        <w:t xml:space="preserve"> </w:t>
      </w:r>
      <w:proofErr w:type="spellStart"/>
      <w:r w:rsidRPr="003C7219">
        <w:rPr>
          <w:rStyle w:val="Domylnaczcionkaakapitu0"/>
          <w:lang w:val="en-GB"/>
        </w:rPr>
        <w:t>Materiałów</w:t>
      </w:r>
      <w:proofErr w:type="spellEnd"/>
      <w:r w:rsidRPr="003C7219">
        <w:rPr>
          <w:rStyle w:val="Domylnaczcionkaakapitu0"/>
          <w:lang w:val="en-GB"/>
        </w:rPr>
        <w:t xml:space="preserve"> </w:t>
      </w:r>
      <w:proofErr w:type="spellStart"/>
      <w:r w:rsidRPr="003C7219">
        <w:rPr>
          <w:rStyle w:val="Domylnaczcionkaakapitu0"/>
          <w:lang w:val="en-GB"/>
        </w:rPr>
        <w:t>Odpadowych</w:t>
      </w:r>
      <w:proofErr w:type="spellEnd"/>
      <w:r w:rsidR="003C7219">
        <w:rPr>
          <w:rStyle w:val="Domylnaczcionkaakapitu0"/>
          <w:lang w:val="en-GB"/>
        </w:rPr>
        <w:t>,</w:t>
      </w:r>
      <w:r w:rsidRPr="003C7219">
        <w:rPr>
          <w:rStyle w:val="Domylnaczcionkaakapitu0"/>
          <w:lang w:val="en-GB"/>
        </w:rPr>
        <w:t xml:space="preserve"> </w:t>
      </w:r>
      <w:r w:rsidRPr="005F7DF5">
        <w:rPr>
          <w:rStyle w:val="Domylnaczcionkaakapitu0"/>
          <w:i/>
          <w:iCs/>
          <w:lang w:val="en-GB"/>
        </w:rPr>
        <w:t xml:space="preserve">Journal </w:t>
      </w:r>
      <w:r w:rsidR="009B457C" w:rsidRPr="005F7DF5">
        <w:rPr>
          <w:rStyle w:val="Domylnaczcionkaakapitu0"/>
          <w:i/>
          <w:iCs/>
          <w:lang w:val="en-GB"/>
        </w:rPr>
        <w:t>o</w:t>
      </w:r>
      <w:r w:rsidRPr="005F7DF5">
        <w:rPr>
          <w:rStyle w:val="Domylnaczcionkaakapitu0"/>
          <w:i/>
          <w:iCs/>
          <w:lang w:val="en-GB"/>
        </w:rPr>
        <w:t xml:space="preserve">f Civil Engineering, Environment </w:t>
      </w:r>
      <w:r w:rsidR="009B457C" w:rsidRPr="005F7DF5">
        <w:rPr>
          <w:rStyle w:val="Domylnaczcionkaakapitu0"/>
          <w:i/>
          <w:iCs/>
          <w:lang w:val="en-GB"/>
        </w:rPr>
        <w:t>a</w:t>
      </w:r>
      <w:r w:rsidRPr="005F7DF5">
        <w:rPr>
          <w:rStyle w:val="Domylnaczcionkaakapitu0"/>
          <w:i/>
          <w:iCs/>
          <w:lang w:val="en-GB"/>
        </w:rPr>
        <w:t>nd Architecture</w:t>
      </w:r>
      <w:r w:rsidR="005F7DF5">
        <w:rPr>
          <w:rStyle w:val="Domylnaczcionkaakapitu0"/>
          <w:lang w:val="en-GB"/>
        </w:rPr>
        <w:t>,</w:t>
      </w:r>
      <w:r w:rsidRPr="003C7219">
        <w:rPr>
          <w:rStyle w:val="Domylnaczcionkaakapitu0"/>
          <w:lang w:val="en-GB"/>
        </w:rPr>
        <w:t xml:space="preserve"> XXXIV, 64</w:t>
      </w:r>
      <w:r w:rsidR="009B457C">
        <w:rPr>
          <w:rStyle w:val="Domylnaczcionkaakapitu0"/>
          <w:lang w:val="en-GB"/>
        </w:rPr>
        <w:t>,</w:t>
      </w:r>
      <w:r w:rsidRPr="003C7219">
        <w:rPr>
          <w:rStyle w:val="Domylnaczcionkaakapitu0"/>
          <w:lang w:val="en-GB"/>
        </w:rPr>
        <w:t xml:space="preserve"> (2/II/17), 55-62</w:t>
      </w:r>
      <w:r w:rsidR="005F7DF5">
        <w:rPr>
          <w:rStyle w:val="Domylnaczcionkaakapitu0"/>
          <w:lang w:val="en-GB"/>
        </w:rPr>
        <w:t>.</w:t>
      </w:r>
      <w:r w:rsidRPr="003C7219">
        <w:rPr>
          <w:rStyle w:val="Domylnaczcionkaakapitu0"/>
          <w:lang w:val="en-GB"/>
        </w:rPr>
        <w:t xml:space="preserve"> </w:t>
      </w:r>
      <w:r w:rsidR="009B457C" w:rsidRPr="003C7219">
        <w:t>https://doi.org/</w:t>
      </w:r>
      <w:r w:rsidRPr="003C7219">
        <w:rPr>
          <w:rStyle w:val="Domylnaczcionkaakapitu0"/>
          <w:lang w:val="en-GB"/>
        </w:rPr>
        <w:t>10.78</w:t>
      </w:r>
      <w:r w:rsidR="00FC53E5" w:rsidRPr="003C7219">
        <w:rPr>
          <w:rStyle w:val="Domylnaczcionkaakapitu0"/>
          <w:lang w:val="en-GB"/>
        </w:rPr>
        <w:t>62/rb.2017.81</w:t>
      </w:r>
    </w:p>
    <w:p w14:paraId="5F02A6C4" w14:textId="657151F4" w:rsidR="0055264A" w:rsidRPr="003C7219" w:rsidRDefault="0055264A" w:rsidP="003C7219">
      <w:pPr>
        <w:pStyle w:val="Rlit"/>
      </w:pPr>
      <w:r w:rsidRPr="003C7219">
        <w:t>Lewandowski</w:t>
      </w:r>
      <w:r w:rsidR="009B457C">
        <w:t>,</w:t>
      </w:r>
      <w:r w:rsidRPr="003C7219">
        <w:t xml:space="preserve"> W., Klugmann-</w:t>
      </w:r>
      <w:proofErr w:type="spellStart"/>
      <w:r w:rsidRPr="003C7219">
        <w:t>Radziemska</w:t>
      </w:r>
      <w:proofErr w:type="spellEnd"/>
      <w:r w:rsidR="009B457C">
        <w:t>,</w:t>
      </w:r>
      <w:r w:rsidRPr="003C7219">
        <w:t xml:space="preserve"> E., </w:t>
      </w:r>
      <w:proofErr w:type="spellStart"/>
      <w:r w:rsidRPr="003C7219">
        <w:t>Ryms</w:t>
      </w:r>
      <w:proofErr w:type="spellEnd"/>
      <w:r w:rsidR="009B457C">
        <w:t>,</w:t>
      </w:r>
      <w:r w:rsidRPr="003C7219">
        <w:t xml:space="preserve"> M., Ostrowski, P. (2011). Modern Methods of Thermochemical Biomass Conversion into Gas, Liquid and Solid Fuels. </w:t>
      </w:r>
      <w:r w:rsidRPr="009B457C">
        <w:rPr>
          <w:i/>
          <w:iCs/>
        </w:rPr>
        <w:t>Ecological Chemistry and Engineering S</w:t>
      </w:r>
      <w:r w:rsidRPr="003C7219">
        <w:t xml:space="preserve">, </w:t>
      </w:r>
      <w:r w:rsidRPr="009B457C">
        <w:rPr>
          <w:i/>
          <w:iCs/>
        </w:rPr>
        <w:t>18</w:t>
      </w:r>
      <w:r w:rsidR="009B457C">
        <w:t>,</w:t>
      </w:r>
      <w:r w:rsidRPr="003C7219">
        <w:t xml:space="preserve"> 39-47.</w:t>
      </w:r>
    </w:p>
    <w:p w14:paraId="03C49A01" w14:textId="7C1A3AA0" w:rsidR="0055264A" w:rsidRPr="003C7219" w:rsidRDefault="0055264A" w:rsidP="003C7219">
      <w:pPr>
        <w:pStyle w:val="Rlit"/>
      </w:pPr>
      <w:r w:rsidRPr="003C7219">
        <w:rPr>
          <w:rStyle w:val="Domylnaczcionkaakapitu0"/>
          <w:lang w:val="en-GB"/>
        </w:rPr>
        <w:t xml:space="preserve">Logan, B. (2007). </w:t>
      </w:r>
      <w:r w:rsidRPr="009B457C">
        <w:rPr>
          <w:rStyle w:val="Domylnaczcionkaakapitu0"/>
          <w:i/>
          <w:iCs/>
          <w:lang w:val="en-GB"/>
        </w:rPr>
        <w:t>Microbial fuel cells</w:t>
      </w:r>
      <w:r w:rsidRPr="003C7219">
        <w:rPr>
          <w:rStyle w:val="Domylnaczcionkaakapitu0"/>
          <w:lang w:val="en-GB"/>
        </w:rPr>
        <w:t>, John Wiley and Sons, New York</w:t>
      </w:r>
      <w:r w:rsidR="00607A40">
        <w:rPr>
          <w:rStyle w:val="Domylnaczcionkaakapitu0"/>
          <w:lang w:val="en-GB"/>
        </w:rPr>
        <w:t>.</w:t>
      </w:r>
    </w:p>
    <w:p w14:paraId="2854C1F3" w14:textId="708C489B" w:rsidR="0055264A" w:rsidRPr="003C7219" w:rsidRDefault="0055264A" w:rsidP="009B457C">
      <w:pPr>
        <w:pStyle w:val="Rlit"/>
        <w:jc w:val="left"/>
        <w:rPr>
          <w:rStyle w:val="Domylnaczcionkaakapitu0"/>
          <w:lang w:val="en-GB"/>
        </w:rPr>
      </w:pPr>
      <w:proofErr w:type="spellStart"/>
      <w:r w:rsidRPr="003C7219">
        <w:rPr>
          <w:rStyle w:val="Domylnaczcionkaakapitu0"/>
          <w:lang w:val="en-GB"/>
        </w:rPr>
        <w:t>Łukajtis</w:t>
      </w:r>
      <w:proofErr w:type="spellEnd"/>
      <w:r w:rsidRPr="003C7219">
        <w:rPr>
          <w:rStyle w:val="Domylnaczcionkaakapitu0"/>
          <w:lang w:val="en-GB"/>
        </w:rPr>
        <w:t xml:space="preserve">, R., </w:t>
      </w:r>
      <w:proofErr w:type="spellStart"/>
      <w:r w:rsidRPr="003C7219">
        <w:rPr>
          <w:rStyle w:val="Domylnaczcionkaakapitu0"/>
          <w:lang w:val="en-GB"/>
        </w:rPr>
        <w:t>Hołowacz</w:t>
      </w:r>
      <w:proofErr w:type="spellEnd"/>
      <w:r w:rsidRPr="003C7219">
        <w:rPr>
          <w:rStyle w:val="Domylnaczcionkaakapitu0"/>
          <w:lang w:val="en-GB"/>
        </w:rPr>
        <w:t xml:space="preserve">, I., Kucharska, K., Glinka, M., Rybarczyk, P., </w:t>
      </w:r>
      <w:proofErr w:type="spellStart"/>
      <w:r w:rsidRPr="003C7219">
        <w:rPr>
          <w:rStyle w:val="Domylnaczcionkaakapitu0"/>
          <w:lang w:val="en-GB"/>
        </w:rPr>
        <w:t>Przyjazny</w:t>
      </w:r>
      <w:proofErr w:type="spellEnd"/>
      <w:r w:rsidRPr="003C7219">
        <w:rPr>
          <w:rStyle w:val="Domylnaczcionkaakapitu0"/>
          <w:lang w:val="en-GB"/>
        </w:rPr>
        <w:t xml:space="preserve">, A., Kamiński, M. (2018). Hydrogen production from biomass using dark fermentation. </w:t>
      </w:r>
      <w:r w:rsidRPr="003C7219">
        <w:rPr>
          <w:rStyle w:val="Domylnaczcionkaakapitu0"/>
          <w:i/>
          <w:lang w:val="en-GB"/>
        </w:rPr>
        <w:t>Renewable &amp; Sustainable Energy Reviews</w:t>
      </w:r>
      <w:r w:rsidRPr="003C7219">
        <w:rPr>
          <w:rStyle w:val="Domylnaczcionkaakapitu0"/>
          <w:lang w:val="en-GB"/>
        </w:rPr>
        <w:t xml:space="preserve">, </w:t>
      </w:r>
      <w:r w:rsidRPr="009B457C">
        <w:rPr>
          <w:rStyle w:val="Domylnaczcionkaakapitu0"/>
          <w:i/>
          <w:iCs/>
          <w:lang w:val="en-GB"/>
        </w:rPr>
        <w:t>91</w:t>
      </w:r>
      <w:r w:rsidRPr="003C7219">
        <w:rPr>
          <w:rStyle w:val="Domylnaczcionkaakapitu0"/>
          <w:lang w:val="en-GB"/>
        </w:rPr>
        <w:t>, 665</w:t>
      </w:r>
      <w:r w:rsidR="009B457C">
        <w:rPr>
          <w:rStyle w:val="Domylnaczcionkaakapitu0"/>
          <w:lang w:val="en-GB"/>
        </w:rPr>
        <w:t>-</w:t>
      </w:r>
      <w:r w:rsidRPr="003C7219">
        <w:rPr>
          <w:rStyle w:val="Domylnaczcionkaakapitu0"/>
          <w:lang w:val="en-GB"/>
        </w:rPr>
        <w:t xml:space="preserve">694. </w:t>
      </w:r>
      <w:r w:rsidR="009B457C" w:rsidRPr="003C7219">
        <w:t>https://doi.org/</w:t>
      </w:r>
      <w:r w:rsidRPr="003C7219">
        <w:rPr>
          <w:rStyle w:val="Domylnaczcionkaakapitu0"/>
          <w:lang w:val="en-GB"/>
        </w:rPr>
        <w:t>10.1016/j.rser.2018.04.043</w:t>
      </w:r>
    </w:p>
    <w:p w14:paraId="56A159D9" w14:textId="44E517BD" w:rsidR="0055264A" w:rsidRPr="003C7219" w:rsidRDefault="0055264A" w:rsidP="003C7219">
      <w:pPr>
        <w:pStyle w:val="Rlit"/>
        <w:rPr>
          <w:rStyle w:val="Domylnaczcionkaakapitu0"/>
          <w:lang w:val="en-GB"/>
        </w:rPr>
      </w:pPr>
      <w:r w:rsidRPr="003C7219">
        <w:rPr>
          <w:rStyle w:val="Domylnaczcionkaakapitu0"/>
          <w:lang w:val="en-GB"/>
        </w:rPr>
        <w:t xml:space="preserve">Manish, S., Banerjee, R. (2008), Comparison of biohydrogen production processes. </w:t>
      </w:r>
      <w:r w:rsidRPr="003C7219">
        <w:rPr>
          <w:rStyle w:val="Domylnaczcionkaakapitu0"/>
          <w:i/>
          <w:lang w:val="en-GB"/>
        </w:rPr>
        <w:t>International Journal of Hydrogen Energy</w:t>
      </w:r>
      <w:r w:rsidRPr="003C7219">
        <w:rPr>
          <w:rStyle w:val="Domylnaczcionkaakapitu0"/>
          <w:lang w:val="en-GB"/>
        </w:rPr>
        <w:t>, 33, 279</w:t>
      </w:r>
      <w:r w:rsidR="009B457C">
        <w:rPr>
          <w:rStyle w:val="Domylnaczcionkaakapitu0"/>
          <w:lang w:val="en-GB"/>
        </w:rPr>
        <w:t>-</w:t>
      </w:r>
      <w:r w:rsidRPr="003C7219">
        <w:rPr>
          <w:rStyle w:val="Domylnaczcionkaakapitu0"/>
          <w:lang w:val="en-GB"/>
        </w:rPr>
        <w:t xml:space="preserve">86. </w:t>
      </w:r>
      <w:r w:rsidR="009B457C" w:rsidRPr="003C7219">
        <w:t>https://doi.org/</w:t>
      </w:r>
      <w:r w:rsidRPr="003C7219">
        <w:rPr>
          <w:rStyle w:val="Domylnaczcionkaakapitu0"/>
          <w:lang w:val="en-GB"/>
        </w:rPr>
        <w:t>10.1016/</w:t>
      </w:r>
      <w:proofErr w:type="spellStart"/>
      <w:r w:rsidRPr="003C7219">
        <w:rPr>
          <w:rStyle w:val="Domylnaczcionkaakapitu0"/>
          <w:lang w:val="en-GB"/>
        </w:rPr>
        <w:t>j.ijhydene</w:t>
      </w:r>
      <w:proofErr w:type="spellEnd"/>
      <w:r w:rsidRPr="003C7219">
        <w:rPr>
          <w:rStyle w:val="Domylnaczcionkaakapitu0"/>
          <w:lang w:val="en-GB"/>
        </w:rPr>
        <w:t>. 2007.07.026</w:t>
      </w:r>
    </w:p>
    <w:p w14:paraId="0700BA1E" w14:textId="69C2B4D8" w:rsidR="00DE37CA" w:rsidRPr="003C7219" w:rsidRDefault="00DE37CA" w:rsidP="003C7219">
      <w:pPr>
        <w:pStyle w:val="Rlit"/>
        <w:rPr>
          <w:rStyle w:val="Domylnaczcionkaakapitu0"/>
          <w:lang w:val="en-GB"/>
        </w:rPr>
      </w:pPr>
      <w:r w:rsidRPr="003C7219">
        <w:rPr>
          <w:shd w:val="clear" w:color="auto" w:fill="FFFFFF"/>
        </w:rPr>
        <w:t>Mohan, D., Pittman Jr., C.U.</w:t>
      </w:r>
      <w:r w:rsidR="00A022AE">
        <w:rPr>
          <w:shd w:val="clear" w:color="auto" w:fill="FFFFFF"/>
        </w:rPr>
        <w:t>,</w:t>
      </w:r>
      <w:r w:rsidRPr="003C7219">
        <w:rPr>
          <w:shd w:val="clear" w:color="auto" w:fill="FFFFFF"/>
        </w:rPr>
        <w:t xml:space="preserve"> Steele, P.H. (2006)</w:t>
      </w:r>
      <w:r w:rsidR="00A022AE">
        <w:rPr>
          <w:shd w:val="clear" w:color="auto" w:fill="FFFFFF"/>
        </w:rPr>
        <w:t>.</w:t>
      </w:r>
      <w:r w:rsidRPr="003C7219">
        <w:rPr>
          <w:shd w:val="clear" w:color="auto" w:fill="FFFFFF"/>
        </w:rPr>
        <w:t xml:space="preserve"> Pyrolysis of Wood/Biomass for Bio-Oil: A Critical Review. </w:t>
      </w:r>
      <w:r w:rsidRPr="003C7219">
        <w:rPr>
          <w:i/>
          <w:shd w:val="clear" w:color="auto" w:fill="FFFFFF"/>
        </w:rPr>
        <w:t>Energy Fuels</w:t>
      </w:r>
      <w:r w:rsidRPr="003C7219">
        <w:rPr>
          <w:shd w:val="clear" w:color="auto" w:fill="FFFFFF"/>
        </w:rPr>
        <w:t xml:space="preserve">, 20, 848-889. </w:t>
      </w:r>
      <w:hyperlink r:id="rId17" w:history="1">
        <w:r w:rsidRPr="003C7219">
          <w:rPr>
            <w:rStyle w:val="Hipercze"/>
            <w:color w:val="auto"/>
            <w:u w:val="none"/>
            <w:shd w:val="clear" w:color="auto" w:fill="FFFFFF"/>
            <w:lang w:val="en-GB"/>
          </w:rPr>
          <w:t>http://dx.doi.org/10.1021/ef0502397</w:t>
        </w:r>
      </w:hyperlink>
    </w:p>
    <w:p w14:paraId="4F032D84" w14:textId="361EEBF1" w:rsidR="0055264A" w:rsidRPr="003C7219" w:rsidRDefault="0055264A" w:rsidP="003C7219">
      <w:pPr>
        <w:pStyle w:val="Rlit"/>
      </w:pPr>
      <w:proofErr w:type="spellStart"/>
      <w:r w:rsidRPr="003C7219">
        <w:rPr>
          <w:rStyle w:val="Domylnaczcionkaakapitu0"/>
          <w:lang w:val="en-GB"/>
        </w:rPr>
        <w:t>Nadziakiewicz</w:t>
      </w:r>
      <w:proofErr w:type="spellEnd"/>
      <w:r w:rsidR="00A022AE">
        <w:rPr>
          <w:rStyle w:val="Domylnaczcionkaakapitu0"/>
          <w:lang w:val="en-GB"/>
        </w:rPr>
        <w:t>,</w:t>
      </w:r>
      <w:r w:rsidRPr="003C7219">
        <w:rPr>
          <w:rStyle w:val="Domylnaczcionkaakapitu0"/>
          <w:lang w:val="en-GB"/>
        </w:rPr>
        <w:t xml:space="preserve"> J., </w:t>
      </w:r>
      <w:proofErr w:type="spellStart"/>
      <w:r w:rsidRPr="003C7219">
        <w:rPr>
          <w:rStyle w:val="Domylnaczcionkaakapitu0"/>
          <w:lang w:val="en-GB"/>
        </w:rPr>
        <w:t>Wacławiak</w:t>
      </w:r>
      <w:proofErr w:type="spellEnd"/>
      <w:r w:rsidR="00A022AE">
        <w:rPr>
          <w:rStyle w:val="Domylnaczcionkaakapitu0"/>
          <w:lang w:val="en-GB"/>
        </w:rPr>
        <w:t>,</w:t>
      </w:r>
      <w:r w:rsidRPr="003C7219">
        <w:rPr>
          <w:rStyle w:val="Domylnaczcionkaakapitu0"/>
          <w:lang w:val="en-GB"/>
        </w:rPr>
        <w:t xml:space="preserve"> K., Stelmach</w:t>
      </w:r>
      <w:r w:rsidR="00A022AE">
        <w:rPr>
          <w:rStyle w:val="Domylnaczcionkaakapitu0"/>
          <w:lang w:val="en-GB"/>
        </w:rPr>
        <w:t>,</w:t>
      </w:r>
      <w:r w:rsidRPr="003C7219">
        <w:rPr>
          <w:rStyle w:val="Domylnaczcionkaakapitu0"/>
          <w:lang w:val="en-GB"/>
        </w:rPr>
        <w:t xml:space="preserve"> S. (2012)</w:t>
      </w:r>
      <w:r w:rsidR="00A022AE">
        <w:rPr>
          <w:rStyle w:val="Domylnaczcionkaakapitu0"/>
          <w:lang w:val="en-GB"/>
        </w:rPr>
        <w:t>.</w:t>
      </w:r>
      <w:r w:rsidRPr="003C7219">
        <w:rPr>
          <w:rStyle w:val="Domylnaczcionkaakapitu0"/>
          <w:lang w:val="en-GB"/>
        </w:rPr>
        <w:t xml:space="preserve"> </w:t>
      </w:r>
      <w:proofErr w:type="spellStart"/>
      <w:r w:rsidRPr="00A022AE">
        <w:rPr>
          <w:rStyle w:val="Domylnaczcionkaakapitu0"/>
          <w:i/>
          <w:iCs/>
          <w:lang w:val="en-GB"/>
        </w:rPr>
        <w:t>Procesy</w:t>
      </w:r>
      <w:proofErr w:type="spellEnd"/>
      <w:r w:rsidRPr="00A022AE">
        <w:rPr>
          <w:rStyle w:val="Domylnaczcionkaakapitu0"/>
          <w:i/>
          <w:iCs/>
          <w:lang w:val="en-GB"/>
        </w:rPr>
        <w:t xml:space="preserve"> </w:t>
      </w:r>
      <w:proofErr w:type="spellStart"/>
      <w:r w:rsidRPr="00A022AE">
        <w:rPr>
          <w:rStyle w:val="Domylnaczcionkaakapitu0"/>
          <w:i/>
          <w:iCs/>
          <w:lang w:val="en-GB"/>
        </w:rPr>
        <w:t>termiczne</w:t>
      </w:r>
      <w:proofErr w:type="spellEnd"/>
      <w:r w:rsidRPr="00A022AE">
        <w:rPr>
          <w:rStyle w:val="Domylnaczcionkaakapitu0"/>
          <w:i/>
          <w:iCs/>
          <w:lang w:val="en-GB"/>
        </w:rPr>
        <w:t xml:space="preserve"> </w:t>
      </w:r>
      <w:proofErr w:type="spellStart"/>
      <w:r w:rsidRPr="00A022AE">
        <w:rPr>
          <w:rStyle w:val="Domylnaczcionkaakapitu0"/>
          <w:i/>
          <w:iCs/>
          <w:lang w:val="en-GB"/>
        </w:rPr>
        <w:t>utylizacji</w:t>
      </w:r>
      <w:proofErr w:type="spellEnd"/>
      <w:r w:rsidRPr="00A022AE">
        <w:rPr>
          <w:rStyle w:val="Domylnaczcionkaakapitu0"/>
          <w:i/>
          <w:iCs/>
          <w:lang w:val="en-GB"/>
        </w:rPr>
        <w:t xml:space="preserve"> </w:t>
      </w:r>
      <w:proofErr w:type="spellStart"/>
      <w:r w:rsidRPr="00A022AE">
        <w:rPr>
          <w:rStyle w:val="Domylnaczcionkaakapitu0"/>
          <w:i/>
          <w:iCs/>
          <w:lang w:val="en-GB"/>
        </w:rPr>
        <w:t>odpadów</w:t>
      </w:r>
      <w:proofErr w:type="spellEnd"/>
      <w:r w:rsidRPr="003C7219">
        <w:rPr>
          <w:rStyle w:val="Domylnaczcionkaakapitu0"/>
          <w:lang w:val="en-GB"/>
        </w:rPr>
        <w:t xml:space="preserve">, </w:t>
      </w:r>
      <w:proofErr w:type="spellStart"/>
      <w:r w:rsidRPr="003C7219">
        <w:rPr>
          <w:rStyle w:val="Domylnaczcionkaakapitu0"/>
          <w:lang w:val="en-GB"/>
        </w:rPr>
        <w:t>Wydawnictwo</w:t>
      </w:r>
      <w:proofErr w:type="spellEnd"/>
      <w:r w:rsidR="00A022AE">
        <w:rPr>
          <w:rStyle w:val="Domylnaczcionkaakapitu0"/>
          <w:lang w:val="en-GB"/>
        </w:rPr>
        <w:t xml:space="preserve"> </w:t>
      </w:r>
      <w:proofErr w:type="spellStart"/>
      <w:r w:rsidRPr="003C7219">
        <w:t>Politechniki</w:t>
      </w:r>
      <w:proofErr w:type="spellEnd"/>
      <w:r w:rsidRPr="003C7219">
        <w:t xml:space="preserve"> </w:t>
      </w:r>
      <w:proofErr w:type="spellStart"/>
      <w:r w:rsidRPr="003C7219">
        <w:t>Śląskiej</w:t>
      </w:r>
      <w:proofErr w:type="spellEnd"/>
      <w:r w:rsidRPr="003C7219">
        <w:t>, Gliwice</w:t>
      </w:r>
      <w:r w:rsidR="00A022AE">
        <w:t>.</w:t>
      </w:r>
      <w:r w:rsidRPr="003C7219">
        <w:t xml:space="preserve"> (in Polish)</w:t>
      </w:r>
    </w:p>
    <w:p w14:paraId="47F60F66" w14:textId="15480942" w:rsidR="0055264A" w:rsidRPr="003C7219" w:rsidRDefault="0055264A" w:rsidP="003C7219">
      <w:pPr>
        <w:pStyle w:val="Rlit"/>
        <w:rPr>
          <w:rStyle w:val="Domylnaczcionkaakapitu0"/>
          <w:lang w:val="en-GB"/>
        </w:rPr>
      </w:pPr>
      <w:r w:rsidRPr="003C7219">
        <w:rPr>
          <w:rStyle w:val="Domylnaczcionkaakapitu0"/>
          <w:lang w:val="en-GB"/>
        </w:rPr>
        <w:t>Narang</w:t>
      </w:r>
      <w:r w:rsidR="00A022AE">
        <w:rPr>
          <w:rStyle w:val="Domylnaczcionkaakapitu0"/>
          <w:lang w:val="en-GB"/>
        </w:rPr>
        <w:t>,</w:t>
      </w:r>
      <w:r w:rsidRPr="003C7219">
        <w:rPr>
          <w:rStyle w:val="Domylnaczcionkaakapitu0"/>
          <w:lang w:val="en-GB"/>
        </w:rPr>
        <w:t xml:space="preserve"> K. (2019)</w:t>
      </w:r>
      <w:r w:rsidR="00A022AE">
        <w:rPr>
          <w:rStyle w:val="Domylnaczcionkaakapitu0"/>
          <w:lang w:val="en-GB"/>
        </w:rPr>
        <w:t>.</w:t>
      </w:r>
      <w:r w:rsidRPr="003C7219">
        <w:rPr>
          <w:rStyle w:val="Domylnaczcionkaakapitu0"/>
          <w:lang w:val="en-GB"/>
        </w:rPr>
        <w:t xml:space="preserve"> Tailoring of adsorptive properties of zeolites for Biogas Upgrading</w:t>
      </w:r>
      <w:r w:rsidR="00A022AE">
        <w:rPr>
          <w:rStyle w:val="Domylnaczcionkaakapitu0"/>
          <w:lang w:val="en-GB"/>
        </w:rPr>
        <w:t>.</w:t>
      </w:r>
      <w:r w:rsidRPr="003C7219">
        <w:rPr>
          <w:rStyle w:val="Domylnaczcionkaakapitu0"/>
          <w:lang w:val="en-GB"/>
        </w:rPr>
        <w:t xml:space="preserve"> </w:t>
      </w:r>
      <w:r w:rsidRPr="00A022AE">
        <w:rPr>
          <w:rStyle w:val="Domylnaczcionkaakapitu0"/>
          <w:i/>
          <w:iCs/>
          <w:lang w:val="en-GB"/>
        </w:rPr>
        <w:t>Engineering Materials Division of Materials Science Department of Engineering Sciences and Mathematics (TVM)</w:t>
      </w:r>
      <w:r w:rsidR="003C7219">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Luleĺ</w:t>
      </w:r>
      <w:proofErr w:type="spellEnd"/>
      <w:r w:rsidR="00607A40">
        <w:rPr>
          <w:rStyle w:val="Domylnaczcionkaakapitu0"/>
          <w:lang w:val="en-GB"/>
        </w:rPr>
        <w:t>.</w:t>
      </w:r>
    </w:p>
    <w:p w14:paraId="45B98BDA" w14:textId="42AB5C0A" w:rsidR="00DE37CA" w:rsidRPr="003C7219" w:rsidRDefault="00DE37CA" w:rsidP="003C7219">
      <w:pPr>
        <w:pStyle w:val="Rlit"/>
        <w:rPr>
          <w:rStyle w:val="Domylnaczcionkaakapitu0"/>
          <w:lang w:val="en-GB"/>
        </w:rPr>
      </w:pPr>
      <w:proofErr w:type="spellStart"/>
      <w:r w:rsidRPr="003C7219">
        <w:rPr>
          <w:rStyle w:val="Domylnaczcionkaakapitu0"/>
          <w:lang w:val="en-GB"/>
        </w:rPr>
        <w:t>Parkhey</w:t>
      </w:r>
      <w:proofErr w:type="spellEnd"/>
      <w:r w:rsidRPr="003C7219">
        <w:rPr>
          <w:rStyle w:val="Domylnaczcionkaakapitu0"/>
          <w:lang w:val="en-GB"/>
        </w:rPr>
        <w:t xml:space="preserve">, P., Gupta, P. (2017). Improvisations in structural features of microbial electrolytic cell and process parameters of </w:t>
      </w:r>
      <w:proofErr w:type="spellStart"/>
      <w:r w:rsidRPr="003C7219">
        <w:rPr>
          <w:rStyle w:val="Domylnaczcionkaakapitu0"/>
          <w:lang w:val="en-GB"/>
        </w:rPr>
        <w:t>electrohydrogenesis</w:t>
      </w:r>
      <w:proofErr w:type="spellEnd"/>
      <w:r w:rsidRPr="003C7219">
        <w:rPr>
          <w:rStyle w:val="Domylnaczcionkaakapitu0"/>
          <w:lang w:val="en-GB"/>
        </w:rPr>
        <w:t xml:space="preserve"> for efficient biohydrogen production: a review. </w:t>
      </w:r>
      <w:r w:rsidRPr="003C7219">
        <w:rPr>
          <w:rStyle w:val="Domylnaczcionkaakapitu0"/>
          <w:i/>
          <w:lang w:val="en-GB"/>
        </w:rPr>
        <w:t>Renewable and Sustainable Energy Reviews</w:t>
      </w:r>
      <w:r w:rsidRPr="003C7219">
        <w:rPr>
          <w:rStyle w:val="Domylnaczcionkaakapitu0"/>
          <w:lang w:val="en-GB"/>
        </w:rPr>
        <w:t xml:space="preserve">, </w:t>
      </w:r>
      <w:r w:rsidRPr="00A022AE">
        <w:rPr>
          <w:rStyle w:val="Domylnaczcionkaakapitu0"/>
          <w:i/>
          <w:iCs/>
          <w:lang w:val="en-GB"/>
        </w:rPr>
        <w:t>69</w:t>
      </w:r>
      <w:r w:rsidRPr="003C7219">
        <w:rPr>
          <w:rStyle w:val="Domylnaczcionkaakapitu0"/>
          <w:lang w:val="en-GB"/>
        </w:rPr>
        <w:t>, 1085</w:t>
      </w:r>
      <w:r w:rsidR="00A022AE">
        <w:rPr>
          <w:rStyle w:val="Domylnaczcionkaakapitu0"/>
          <w:lang w:val="en-GB"/>
        </w:rPr>
        <w:t>-</w:t>
      </w:r>
      <w:r w:rsidRPr="003C7219">
        <w:rPr>
          <w:rStyle w:val="Domylnaczcionkaakapitu0"/>
          <w:lang w:val="en-GB"/>
        </w:rPr>
        <w:t xml:space="preserve">1099. </w:t>
      </w:r>
      <w:r w:rsidR="00A022AE" w:rsidRPr="003C7219">
        <w:t>https://doi.org/</w:t>
      </w:r>
      <w:r w:rsidRPr="003C7219">
        <w:rPr>
          <w:rStyle w:val="Domylnaczcionkaakapitu0"/>
          <w:lang w:val="en-GB"/>
        </w:rPr>
        <w:t>10.1016/j.rser.2016.09.101</w:t>
      </w:r>
    </w:p>
    <w:p w14:paraId="7A371531" w14:textId="16DFF57D" w:rsidR="0055264A" w:rsidRPr="003C7219" w:rsidRDefault="0055264A" w:rsidP="003C7219">
      <w:pPr>
        <w:pStyle w:val="Rlit"/>
        <w:rPr>
          <w:rStyle w:val="Pogrubienie"/>
          <w:b w:val="0"/>
          <w:lang w:val="en-GB"/>
        </w:rPr>
      </w:pPr>
      <w:proofErr w:type="spellStart"/>
      <w:r w:rsidRPr="003C7219">
        <w:lastRenderedPageBreak/>
        <w:t>Produkcja</w:t>
      </w:r>
      <w:proofErr w:type="spellEnd"/>
      <w:r w:rsidRPr="003C7219">
        <w:t xml:space="preserve"> </w:t>
      </w:r>
      <w:proofErr w:type="spellStart"/>
      <w:r w:rsidRPr="003C7219">
        <w:t>energii</w:t>
      </w:r>
      <w:proofErr w:type="spellEnd"/>
      <w:r w:rsidRPr="003C7219">
        <w:t xml:space="preserve"> </w:t>
      </w:r>
      <w:proofErr w:type="spellStart"/>
      <w:r w:rsidRPr="003C7219">
        <w:t>elektrycznej</w:t>
      </w:r>
      <w:proofErr w:type="spellEnd"/>
      <w:r w:rsidRPr="003C7219">
        <w:t xml:space="preserve"> w </w:t>
      </w:r>
      <w:proofErr w:type="spellStart"/>
      <w:r w:rsidRPr="003C7219">
        <w:t>Polsce</w:t>
      </w:r>
      <w:proofErr w:type="spellEnd"/>
      <w:r w:rsidR="00A022AE">
        <w:t>.</w:t>
      </w:r>
      <w:r w:rsidRPr="003C7219">
        <w:t xml:space="preserve"> (2023)</w:t>
      </w:r>
      <w:r w:rsidR="00A022AE">
        <w:t>.</w:t>
      </w:r>
      <w:r w:rsidRPr="003C7219">
        <w:t xml:space="preserve"> </w:t>
      </w:r>
      <w:proofErr w:type="spellStart"/>
      <w:r w:rsidRPr="003C7219">
        <w:t>Retrived</w:t>
      </w:r>
      <w:proofErr w:type="spellEnd"/>
      <w:r w:rsidRPr="003C7219">
        <w:t xml:space="preserve"> from</w:t>
      </w:r>
      <w:r w:rsidR="00A022AE">
        <w:t>:</w:t>
      </w:r>
      <w:r w:rsidRPr="003C7219">
        <w:t xml:space="preserve"> </w:t>
      </w:r>
      <w:r w:rsidRPr="003C7219">
        <w:rPr>
          <w:rStyle w:val="Pogrubienie"/>
          <w:b w:val="0"/>
          <w:lang w:val="en-GB"/>
        </w:rPr>
        <w:t>https://globenergia.pl/produkcja-energii-elektrycznej-w-polsce-mamy-nowe-statystyki/</w:t>
      </w:r>
      <w:r w:rsidR="00A022AE">
        <w:rPr>
          <w:rStyle w:val="Pogrubienie"/>
          <w:b w:val="0"/>
          <w:lang w:val="en-GB"/>
        </w:rPr>
        <w:t xml:space="preserve"> </w:t>
      </w:r>
      <w:r w:rsidR="00A022AE" w:rsidRPr="003C7219">
        <w:t>(in Polish)</w:t>
      </w:r>
    </w:p>
    <w:p w14:paraId="2E34E154" w14:textId="0797E9A5" w:rsidR="00DE37CA" w:rsidRPr="003C7219" w:rsidRDefault="00DE37CA" w:rsidP="00607A40">
      <w:pPr>
        <w:pStyle w:val="Rlit"/>
        <w:jc w:val="left"/>
        <w:rPr>
          <w:rStyle w:val="Domylnaczcionkaakapitu0"/>
          <w:lang w:val="en-GB"/>
        </w:rPr>
      </w:pPr>
      <w:r w:rsidRPr="003C7219">
        <w:rPr>
          <w:rStyle w:val="Domylnaczcionkaakapitu0"/>
          <w:lang w:val="en-GB"/>
        </w:rPr>
        <w:t>Qazi, U.</w:t>
      </w:r>
      <w:r w:rsidR="003C7219">
        <w:rPr>
          <w:rStyle w:val="Domylnaczcionkaakapitu0"/>
          <w:lang w:val="en-GB"/>
        </w:rPr>
        <w:t>,</w:t>
      </w:r>
      <w:r w:rsidRPr="003C7219">
        <w:rPr>
          <w:rStyle w:val="Domylnaczcionkaakapitu0"/>
          <w:lang w:val="en-GB"/>
        </w:rPr>
        <w:t xml:space="preserve"> Javaid, R.</w:t>
      </w:r>
      <w:r w:rsidR="003C7219">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Ikhlaq</w:t>
      </w:r>
      <w:proofErr w:type="spellEnd"/>
      <w:r w:rsidRPr="003C7219">
        <w:rPr>
          <w:rStyle w:val="Domylnaczcionkaakapitu0"/>
          <w:lang w:val="en-GB"/>
        </w:rPr>
        <w:t>, A.</w:t>
      </w:r>
      <w:r w:rsidR="003C7219">
        <w:rPr>
          <w:rStyle w:val="Domylnaczcionkaakapitu0"/>
          <w:lang w:val="en-GB"/>
        </w:rPr>
        <w:t>,</w:t>
      </w:r>
      <w:r w:rsidRPr="003C7219">
        <w:rPr>
          <w:rStyle w:val="Domylnaczcionkaakapitu0"/>
          <w:lang w:val="en-GB"/>
        </w:rPr>
        <w:t xml:space="preserve"> Khoja, A.</w:t>
      </w:r>
      <w:r w:rsidR="003C7219">
        <w:rPr>
          <w:rStyle w:val="Domylnaczcionkaakapitu0"/>
          <w:lang w:val="en-GB"/>
        </w:rPr>
        <w:t>,</w:t>
      </w:r>
      <w:r w:rsidRPr="003C7219">
        <w:rPr>
          <w:rStyle w:val="Domylnaczcionkaakapitu0"/>
          <w:lang w:val="en-GB"/>
        </w:rPr>
        <w:t xml:space="preserve"> Saleem, F. (2022)</w:t>
      </w:r>
      <w:r w:rsidR="00A022AE">
        <w:rPr>
          <w:rStyle w:val="Domylnaczcionkaakapitu0"/>
          <w:lang w:val="en-GB"/>
        </w:rPr>
        <w:t>.</w:t>
      </w:r>
      <w:r w:rsidRPr="003C7219">
        <w:rPr>
          <w:rStyle w:val="Domylnaczcionkaakapitu0"/>
          <w:lang w:val="en-GB"/>
        </w:rPr>
        <w:t xml:space="preserve"> A Comprehensive Review on Zeolite Chemistry for Catalytic Conversion of Biomass/Waste into Green Fuels. </w:t>
      </w:r>
      <w:r w:rsidRPr="003C7219">
        <w:rPr>
          <w:rStyle w:val="Domylnaczcionkaakapitu0"/>
          <w:i/>
          <w:lang w:val="en-GB"/>
        </w:rPr>
        <w:t>Molecules</w:t>
      </w:r>
      <w:r w:rsidRPr="003C7219">
        <w:rPr>
          <w:rStyle w:val="Domylnaczcionkaakapitu0"/>
          <w:lang w:val="en-GB"/>
        </w:rPr>
        <w:t xml:space="preserve">, </w:t>
      </w:r>
      <w:r w:rsidRPr="00A022AE">
        <w:rPr>
          <w:rStyle w:val="Domylnaczcionkaakapitu0"/>
          <w:i/>
          <w:iCs/>
          <w:lang w:val="en-GB"/>
        </w:rPr>
        <w:t>27</w:t>
      </w:r>
      <w:r w:rsidRPr="003C7219">
        <w:rPr>
          <w:rStyle w:val="Domylnaczcionkaakapitu0"/>
          <w:lang w:val="en-GB"/>
        </w:rPr>
        <w:t>(23), 8578</w:t>
      </w:r>
      <w:r w:rsidR="003C7219">
        <w:rPr>
          <w:rStyle w:val="Domylnaczcionkaakapitu0"/>
          <w:lang w:val="en-GB"/>
        </w:rPr>
        <w:t>,</w:t>
      </w:r>
      <w:r w:rsidRPr="003C7219">
        <w:rPr>
          <w:rStyle w:val="Domylnaczcionkaakapitu0"/>
          <w:lang w:val="en-GB"/>
        </w:rPr>
        <w:t xml:space="preserve"> </w:t>
      </w:r>
      <w:r w:rsidR="00607A40">
        <w:rPr>
          <w:rStyle w:val="Domylnaczcionkaakapitu0"/>
          <w:lang w:val="en-GB"/>
        </w:rPr>
        <w:br/>
      </w:r>
      <w:r w:rsidRPr="003C7219">
        <w:rPr>
          <w:rStyle w:val="Domylnaczcionkaakapitu0"/>
          <w:lang w:val="en-GB"/>
        </w:rPr>
        <w:t>https://doi.org/10.3390/molecules27238578</w:t>
      </w:r>
    </w:p>
    <w:p w14:paraId="3DB515FA" w14:textId="28D9779B" w:rsidR="004B5615" w:rsidRPr="00607A40" w:rsidRDefault="004B5615" w:rsidP="003C7219">
      <w:pPr>
        <w:pStyle w:val="Rlit"/>
        <w:rPr>
          <w:spacing w:val="-4"/>
        </w:rPr>
      </w:pPr>
      <w:proofErr w:type="spellStart"/>
      <w:r w:rsidRPr="00607A40">
        <w:rPr>
          <w:spacing w:val="-4"/>
        </w:rPr>
        <w:t>Retajczyk</w:t>
      </w:r>
      <w:proofErr w:type="spellEnd"/>
      <w:r w:rsidR="00A022AE" w:rsidRPr="00607A40">
        <w:rPr>
          <w:spacing w:val="-4"/>
        </w:rPr>
        <w:t>,</w:t>
      </w:r>
      <w:r w:rsidRPr="00607A40">
        <w:rPr>
          <w:spacing w:val="-4"/>
        </w:rPr>
        <w:t xml:space="preserve"> M.</w:t>
      </w:r>
      <w:r w:rsidR="00A022AE" w:rsidRPr="00607A40">
        <w:rPr>
          <w:spacing w:val="-4"/>
        </w:rPr>
        <w:t>,</w:t>
      </w:r>
      <w:r w:rsidRPr="00607A40">
        <w:rPr>
          <w:spacing w:val="-4"/>
        </w:rPr>
        <w:t xml:space="preserve"> </w:t>
      </w:r>
      <w:proofErr w:type="spellStart"/>
      <w:r w:rsidRPr="00607A40">
        <w:rPr>
          <w:spacing w:val="-4"/>
        </w:rPr>
        <w:t>Wróblewska</w:t>
      </w:r>
      <w:proofErr w:type="spellEnd"/>
      <w:r w:rsidR="00A022AE" w:rsidRPr="00607A40">
        <w:rPr>
          <w:spacing w:val="-4"/>
        </w:rPr>
        <w:t>,</w:t>
      </w:r>
      <w:r w:rsidRPr="00607A40">
        <w:rPr>
          <w:spacing w:val="-4"/>
        </w:rPr>
        <w:t xml:space="preserve"> A.</w:t>
      </w:r>
      <w:r w:rsidR="00B24F33" w:rsidRPr="00607A40">
        <w:rPr>
          <w:spacing w:val="-4"/>
        </w:rPr>
        <w:t xml:space="preserve"> (2018)</w:t>
      </w:r>
      <w:r w:rsidR="00A022AE" w:rsidRPr="00607A40">
        <w:rPr>
          <w:spacing w:val="-4"/>
        </w:rPr>
        <w:t>.</w:t>
      </w:r>
      <w:r w:rsidRPr="00607A40">
        <w:rPr>
          <w:spacing w:val="-4"/>
        </w:rPr>
        <w:t xml:space="preserve"> Pyrolysis of biomass as a source of energy</w:t>
      </w:r>
      <w:r w:rsidR="00A022AE" w:rsidRPr="00607A40">
        <w:rPr>
          <w:spacing w:val="-4"/>
        </w:rPr>
        <w:t>.</w:t>
      </w:r>
      <w:r w:rsidRPr="00607A40">
        <w:rPr>
          <w:spacing w:val="-4"/>
        </w:rPr>
        <w:t xml:space="preserve"> </w:t>
      </w:r>
      <w:proofErr w:type="spellStart"/>
      <w:r w:rsidRPr="00607A40">
        <w:rPr>
          <w:i/>
          <w:spacing w:val="-4"/>
        </w:rPr>
        <w:t>Wiadomości</w:t>
      </w:r>
      <w:proofErr w:type="spellEnd"/>
      <w:r w:rsidRPr="00607A40">
        <w:rPr>
          <w:i/>
          <w:spacing w:val="-4"/>
        </w:rPr>
        <w:t xml:space="preserve"> </w:t>
      </w:r>
      <w:proofErr w:type="spellStart"/>
      <w:r w:rsidRPr="00607A40">
        <w:rPr>
          <w:i/>
          <w:spacing w:val="-4"/>
        </w:rPr>
        <w:t>chemiczne</w:t>
      </w:r>
      <w:proofErr w:type="spellEnd"/>
      <w:r w:rsidRPr="00607A40">
        <w:rPr>
          <w:spacing w:val="-4"/>
        </w:rPr>
        <w:t xml:space="preserve">, </w:t>
      </w:r>
      <w:r w:rsidRPr="00607A40">
        <w:rPr>
          <w:i/>
          <w:iCs/>
          <w:spacing w:val="-4"/>
        </w:rPr>
        <w:t>72</w:t>
      </w:r>
      <w:r w:rsidRPr="00607A40">
        <w:rPr>
          <w:spacing w:val="-4"/>
        </w:rPr>
        <w:t>, 3-4</w:t>
      </w:r>
      <w:r w:rsidR="00A022AE" w:rsidRPr="00607A40">
        <w:rPr>
          <w:spacing w:val="-4"/>
        </w:rPr>
        <w:t>.</w:t>
      </w:r>
      <w:r w:rsidR="00B24F33" w:rsidRPr="00607A40">
        <w:rPr>
          <w:spacing w:val="-4"/>
        </w:rPr>
        <w:t xml:space="preserve"> (</w:t>
      </w:r>
      <w:r w:rsidR="00A022AE" w:rsidRPr="00607A40">
        <w:rPr>
          <w:spacing w:val="-4"/>
        </w:rPr>
        <w:t>i</w:t>
      </w:r>
      <w:r w:rsidR="00B24F33" w:rsidRPr="00607A40">
        <w:rPr>
          <w:spacing w:val="-4"/>
        </w:rPr>
        <w:t>n Polish)</w:t>
      </w:r>
    </w:p>
    <w:p w14:paraId="6718F614" w14:textId="04289C2E" w:rsidR="00DE37CA" w:rsidRPr="003C7219" w:rsidRDefault="00DE37CA" w:rsidP="003C7219">
      <w:pPr>
        <w:pStyle w:val="Rlit"/>
      </w:pPr>
      <w:r w:rsidRPr="003C7219">
        <w:rPr>
          <w:rStyle w:val="Domylnaczcionkaakapitu0"/>
          <w:lang w:val="en-GB"/>
        </w:rPr>
        <w:t>Shabani, J.</w:t>
      </w:r>
      <w:r w:rsidR="003C7219">
        <w:rPr>
          <w:rStyle w:val="Domylnaczcionkaakapitu0"/>
          <w:lang w:val="en-GB"/>
        </w:rPr>
        <w:t>,</w:t>
      </w:r>
      <w:r w:rsidRPr="003C7219">
        <w:rPr>
          <w:rStyle w:val="Domylnaczcionkaakapitu0"/>
          <w:lang w:val="en-GB"/>
        </w:rPr>
        <w:t xml:space="preserve"> Ameh, A.</w:t>
      </w:r>
      <w:r w:rsidR="003C7219">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Oyekola</w:t>
      </w:r>
      <w:proofErr w:type="spellEnd"/>
      <w:r w:rsidRPr="003C7219">
        <w:rPr>
          <w:rStyle w:val="Domylnaczcionkaakapitu0"/>
          <w:lang w:val="en-GB"/>
        </w:rPr>
        <w:t>, O.</w:t>
      </w:r>
      <w:r w:rsidR="003C7219">
        <w:rPr>
          <w:rStyle w:val="Domylnaczcionkaakapitu0"/>
          <w:lang w:val="en-GB"/>
        </w:rPr>
        <w:t>,</w:t>
      </w:r>
      <w:r w:rsidRPr="003C7219">
        <w:rPr>
          <w:rStyle w:val="Domylnaczcionkaakapitu0"/>
          <w:lang w:val="en-GB"/>
        </w:rPr>
        <w:t xml:space="preserve"> Babajide, O.</w:t>
      </w:r>
      <w:r w:rsidR="003C7219">
        <w:rPr>
          <w:rStyle w:val="Domylnaczcionkaakapitu0"/>
          <w:lang w:val="en-GB"/>
        </w:rPr>
        <w:t>,</w:t>
      </w:r>
      <w:r w:rsidRPr="003C7219">
        <w:rPr>
          <w:rStyle w:val="Domylnaczcionkaakapitu0"/>
          <w:lang w:val="en-GB"/>
        </w:rPr>
        <w:t xml:space="preserve"> Petrik, L. (2022)</w:t>
      </w:r>
      <w:r w:rsidR="00A022AE">
        <w:rPr>
          <w:rStyle w:val="Domylnaczcionkaakapitu0"/>
          <w:lang w:val="en-GB"/>
        </w:rPr>
        <w:t>.</w:t>
      </w:r>
      <w:r w:rsidRPr="003C7219">
        <w:rPr>
          <w:rStyle w:val="Domylnaczcionkaakapitu0"/>
          <w:lang w:val="en-GB"/>
        </w:rPr>
        <w:t xml:space="preserve"> Fusion-Assisted Hydrothermal Synthesis and Post-Synthesis Modification of Mesoporous Hydroxy Sodalite Zeolite Prepared from Waste Coal Fly Ash for Biodiesel Production. </w:t>
      </w:r>
      <w:r w:rsidRPr="003C7219">
        <w:rPr>
          <w:rStyle w:val="Domylnaczcionkaakapitu0"/>
          <w:i/>
          <w:lang w:val="en-GB"/>
        </w:rPr>
        <w:t>Catalysts</w:t>
      </w:r>
      <w:r w:rsidRPr="00A022AE">
        <w:rPr>
          <w:rStyle w:val="Domylnaczcionkaakapitu0"/>
          <w:iCs/>
          <w:lang w:val="en-GB"/>
        </w:rPr>
        <w:t xml:space="preserve">, </w:t>
      </w:r>
      <w:r w:rsidRPr="00A022AE">
        <w:rPr>
          <w:rStyle w:val="Domylnaczcionkaakapitu0"/>
          <w:i/>
          <w:iCs/>
          <w:lang w:val="en-GB"/>
        </w:rPr>
        <w:t>12</w:t>
      </w:r>
      <w:r w:rsidRPr="003C7219">
        <w:rPr>
          <w:rStyle w:val="Domylnaczcionkaakapitu0"/>
          <w:lang w:val="en-GB"/>
        </w:rPr>
        <w:t>(12), 1652</w:t>
      </w:r>
      <w:r w:rsidR="00A022AE">
        <w:rPr>
          <w:rStyle w:val="Domylnaczcionkaakapitu0"/>
          <w:lang w:val="en-GB"/>
        </w:rPr>
        <w:t>.</w:t>
      </w:r>
      <w:r w:rsidRPr="003C7219">
        <w:rPr>
          <w:rStyle w:val="Domylnaczcionkaakapitu0"/>
          <w:lang w:val="en-GB"/>
        </w:rPr>
        <w:t xml:space="preserve"> </w:t>
      </w:r>
      <w:r w:rsidRPr="003C7219">
        <w:t>https://doi.org/10.3390/catal12121652</w:t>
      </w:r>
    </w:p>
    <w:p w14:paraId="43A54A70" w14:textId="3DF38E8B" w:rsidR="004B5615" w:rsidRPr="003C7219" w:rsidRDefault="004B5615" w:rsidP="003C7219">
      <w:pPr>
        <w:pStyle w:val="Rlit"/>
      </w:pPr>
      <w:r w:rsidRPr="003C7219">
        <w:t xml:space="preserve">Sharma, A., Pareek, V., Zhang, D. </w:t>
      </w:r>
      <w:r w:rsidR="0018216B" w:rsidRPr="003C7219">
        <w:t>(</w:t>
      </w:r>
      <w:r w:rsidRPr="003C7219">
        <w:t>2015</w:t>
      </w:r>
      <w:r w:rsidR="0018216B" w:rsidRPr="003C7219">
        <w:t>)</w:t>
      </w:r>
      <w:r w:rsidRPr="003C7219">
        <w:t>. Biomass pyrolysis</w:t>
      </w:r>
      <w:r w:rsidR="00A022AE">
        <w:t xml:space="preserve"> – </w:t>
      </w:r>
      <w:r w:rsidRPr="003C7219">
        <w:t xml:space="preserve">A review of modelling, process parameters and catalytic studies. </w:t>
      </w:r>
      <w:r w:rsidRPr="003C7219">
        <w:rPr>
          <w:i/>
        </w:rPr>
        <w:t>Renewable and Sustainable Energy Reviews</w:t>
      </w:r>
      <w:r w:rsidRPr="003C7219">
        <w:t xml:space="preserve">, </w:t>
      </w:r>
      <w:r w:rsidRPr="00A022AE">
        <w:rPr>
          <w:i/>
          <w:iCs/>
        </w:rPr>
        <w:t>50</w:t>
      </w:r>
      <w:r w:rsidRPr="003C7219">
        <w:t>, 1081</w:t>
      </w:r>
      <w:r w:rsidR="00A022AE">
        <w:t>-</w:t>
      </w:r>
      <w:r w:rsidRPr="003C7219">
        <w:t xml:space="preserve">1096. </w:t>
      </w:r>
      <w:r w:rsidR="00A022AE" w:rsidRPr="003C7219">
        <w:t>https://doi.org/</w:t>
      </w:r>
      <w:r w:rsidRPr="003C7219">
        <w:t>10.1016/j.rser.2015.04.193</w:t>
      </w:r>
    </w:p>
    <w:p w14:paraId="3725771D" w14:textId="08724D8E" w:rsidR="004B5615" w:rsidRPr="003C7219" w:rsidRDefault="004B5615" w:rsidP="00607A40">
      <w:pPr>
        <w:pStyle w:val="Rlit"/>
        <w:jc w:val="left"/>
        <w:rPr>
          <w:rStyle w:val="Domylnaczcionkaakapitu0"/>
          <w:lang w:val="en-GB"/>
        </w:rPr>
      </w:pPr>
      <w:proofErr w:type="spellStart"/>
      <w:r w:rsidRPr="003C7219">
        <w:rPr>
          <w:rStyle w:val="Domylnaczcionkaakapitu0"/>
          <w:lang w:val="en-GB"/>
        </w:rPr>
        <w:t>Szufa</w:t>
      </w:r>
      <w:proofErr w:type="spellEnd"/>
      <w:r w:rsidR="00A022AE">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Sz</w:t>
      </w:r>
      <w:proofErr w:type="spellEnd"/>
      <w:r w:rsidRPr="003C7219">
        <w:rPr>
          <w:rStyle w:val="Domylnaczcionkaakapitu0"/>
          <w:lang w:val="en-GB"/>
        </w:rPr>
        <w:t>.</w:t>
      </w:r>
      <w:r w:rsidR="007F1B35" w:rsidRPr="003C7219">
        <w:rPr>
          <w:rStyle w:val="Domylnaczcionkaakapitu0"/>
          <w:lang w:val="en-GB"/>
        </w:rPr>
        <w:t xml:space="preserve"> (2015)</w:t>
      </w:r>
      <w:r w:rsidR="00A022AE">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Sposoby</w:t>
      </w:r>
      <w:proofErr w:type="spellEnd"/>
      <w:r w:rsidRPr="003C7219">
        <w:rPr>
          <w:rStyle w:val="Domylnaczcionkaakapitu0"/>
          <w:lang w:val="en-GB"/>
        </w:rPr>
        <w:t xml:space="preserve"> </w:t>
      </w:r>
      <w:proofErr w:type="spellStart"/>
      <w:r w:rsidRPr="003C7219">
        <w:rPr>
          <w:rStyle w:val="Domylnaczcionkaakapitu0"/>
          <w:lang w:val="en-GB"/>
        </w:rPr>
        <w:t>konwersji</w:t>
      </w:r>
      <w:proofErr w:type="spellEnd"/>
      <w:r w:rsidRPr="003C7219">
        <w:rPr>
          <w:rStyle w:val="Domylnaczcionkaakapitu0"/>
          <w:lang w:val="en-GB"/>
        </w:rPr>
        <w:t xml:space="preserve"> </w:t>
      </w:r>
      <w:proofErr w:type="spellStart"/>
      <w:r w:rsidRPr="003C7219">
        <w:rPr>
          <w:rStyle w:val="Domylnaczcionkaakapitu0"/>
          <w:lang w:val="en-GB"/>
        </w:rPr>
        <w:t>biomasy</w:t>
      </w:r>
      <w:proofErr w:type="spellEnd"/>
      <w:r w:rsidRPr="003C7219">
        <w:rPr>
          <w:rStyle w:val="Domylnaczcionkaakapitu0"/>
          <w:lang w:val="en-GB"/>
        </w:rPr>
        <w:t xml:space="preserve"> w </w:t>
      </w:r>
      <w:proofErr w:type="spellStart"/>
      <w:r w:rsidRPr="003C7219">
        <w:rPr>
          <w:rStyle w:val="Domylnaczcionkaakapitu0"/>
          <w:lang w:val="en-GB"/>
        </w:rPr>
        <w:t>celu</w:t>
      </w:r>
      <w:proofErr w:type="spellEnd"/>
      <w:r w:rsidRPr="003C7219">
        <w:rPr>
          <w:rStyle w:val="Domylnaczcionkaakapitu0"/>
          <w:lang w:val="en-GB"/>
        </w:rPr>
        <w:t xml:space="preserve"> </w:t>
      </w:r>
      <w:proofErr w:type="spellStart"/>
      <w:r w:rsidRPr="003C7219">
        <w:rPr>
          <w:rStyle w:val="Domylnaczcionkaakapitu0"/>
          <w:lang w:val="en-GB"/>
        </w:rPr>
        <w:t>poprawy</w:t>
      </w:r>
      <w:proofErr w:type="spellEnd"/>
      <w:r w:rsidRPr="003C7219">
        <w:rPr>
          <w:rStyle w:val="Domylnaczcionkaakapitu0"/>
          <w:lang w:val="en-GB"/>
        </w:rPr>
        <w:t xml:space="preserve"> </w:t>
      </w:r>
      <w:proofErr w:type="spellStart"/>
      <w:r w:rsidRPr="003C7219">
        <w:rPr>
          <w:rStyle w:val="Domylnaczcionkaakapitu0"/>
          <w:lang w:val="en-GB"/>
        </w:rPr>
        <w:t>jej</w:t>
      </w:r>
      <w:proofErr w:type="spellEnd"/>
      <w:r w:rsidRPr="003C7219">
        <w:rPr>
          <w:rStyle w:val="Domylnaczcionkaakapitu0"/>
          <w:lang w:val="en-GB"/>
        </w:rPr>
        <w:t xml:space="preserve"> </w:t>
      </w:r>
      <w:proofErr w:type="spellStart"/>
      <w:r w:rsidRPr="003C7219">
        <w:rPr>
          <w:rStyle w:val="Domylnaczcionkaakapitu0"/>
          <w:lang w:val="en-GB"/>
        </w:rPr>
        <w:t>właściwości</w:t>
      </w:r>
      <w:proofErr w:type="spellEnd"/>
      <w:r w:rsidRPr="003C7219">
        <w:rPr>
          <w:rStyle w:val="Domylnaczcionkaakapitu0"/>
          <w:lang w:val="en-GB"/>
        </w:rPr>
        <w:t xml:space="preserve"> </w:t>
      </w:r>
      <w:proofErr w:type="spellStart"/>
      <w:r w:rsidRPr="003C7219">
        <w:rPr>
          <w:rStyle w:val="Domylnaczcionkaakapitu0"/>
          <w:lang w:val="en-GB"/>
        </w:rPr>
        <w:t>paliwowych</w:t>
      </w:r>
      <w:proofErr w:type="spellEnd"/>
      <w:r w:rsidR="00607A40">
        <w:rPr>
          <w:rStyle w:val="Domylnaczcionkaakapitu0"/>
          <w:lang w:val="en-GB"/>
        </w:rPr>
        <w:t>.</w:t>
      </w:r>
      <w:r w:rsidR="007F1B35" w:rsidRPr="003C7219">
        <w:rPr>
          <w:rStyle w:val="Domylnaczcionkaakapitu0"/>
          <w:lang w:val="en-GB"/>
        </w:rPr>
        <w:t xml:space="preserve"> </w:t>
      </w:r>
      <w:r w:rsidR="00607A40">
        <w:rPr>
          <w:rStyle w:val="Domylnaczcionkaakapitu0"/>
          <w:lang w:val="en-GB"/>
        </w:rPr>
        <w:br/>
      </w:r>
      <w:proofErr w:type="spellStart"/>
      <w:r w:rsidR="007F1B35" w:rsidRPr="003C7219">
        <w:rPr>
          <w:rStyle w:val="Domylnaczcionkaakapitu0"/>
          <w:lang w:val="en-GB"/>
        </w:rPr>
        <w:t>Retrived</w:t>
      </w:r>
      <w:proofErr w:type="spellEnd"/>
      <w:r w:rsidR="007F1B35" w:rsidRPr="003C7219">
        <w:rPr>
          <w:rStyle w:val="Domylnaczcionkaakapitu0"/>
          <w:lang w:val="en-GB"/>
        </w:rPr>
        <w:t xml:space="preserve"> from</w:t>
      </w:r>
      <w:r w:rsidR="00A022AE">
        <w:rPr>
          <w:rStyle w:val="Domylnaczcionkaakapitu0"/>
          <w:lang w:val="en-GB"/>
        </w:rPr>
        <w:t>:</w:t>
      </w:r>
      <w:r w:rsidR="007F1B35" w:rsidRPr="003C7219">
        <w:rPr>
          <w:rStyle w:val="Domylnaczcionkaakapitu0"/>
          <w:lang w:val="en-GB"/>
        </w:rPr>
        <w:t xml:space="preserve"> https://www.proakademia.eu/gfx/baza_wiedzy/165/szufa7.pdf</w:t>
      </w:r>
      <w:r w:rsidR="00A022AE">
        <w:rPr>
          <w:rStyle w:val="Domylnaczcionkaakapitu0"/>
          <w:lang w:val="en-GB"/>
        </w:rPr>
        <w:t xml:space="preserve"> </w:t>
      </w:r>
      <w:r w:rsidR="00A022AE" w:rsidRPr="003C7219">
        <w:t>(in Polish)</w:t>
      </w:r>
    </w:p>
    <w:p w14:paraId="335777DE" w14:textId="6644B462" w:rsidR="00212FBC" w:rsidRPr="003C7219" w:rsidRDefault="007F1B35" w:rsidP="003C7219">
      <w:pPr>
        <w:pStyle w:val="Rlit"/>
        <w:rPr>
          <w:rStyle w:val="Domylnaczcionkaakapitu0"/>
          <w:lang w:val="en-GB"/>
        </w:rPr>
      </w:pPr>
      <w:r w:rsidRPr="003C7219">
        <w:rPr>
          <w:rStyle w:val="Domylnaczcionkaakapitu0"/>
          <w:lang w:val="en-GB"/>
        </w:rPr>
        <w:t>Szymańska</w:t>
      </w:r>
      <w:r w:rsidR="00A022AE">
        <w:rPr>
          <w:rStyle w:val="Domylnaczcionkaakapitu0"/>
          <w:lang w:val="en-GB"/>
        </w:rPr>
        <w:t>,</w:t>
      </w:r>
      <w:r w:rsidRPr="003C7219">
        <w:rPr>
          <w:rStyle w:val="Domylnaczcionkaakapitu0"/>
          <w:lang w:val="en-GB"/>
        </w:rPr>
        <w:t xml:space="preserve"> M. (2019)</w:t>
      </w:r>
      <w:r w:rsidR="00A022AE">
        <w:rPr>
          <w:rStyle w:val="Domylnaczcionkaakapitu0"/>
          <w:lang w:val="en-GB"/>
        </w:rPr>
        <w:t>.</w:t>
      </w:r>
      <w:r w:rsidRPr="003C7219">
        <w:rPr>
          <w:rStyle w:val="Domylnaczcionkaakapitu0"/>
          <w:lang w:val="en-GB"/>
        </w:rPr>
        <w:t xml:space="preserve"> </w:t>
      </w:r>
      <w:proofErr w:type="spellStart"/>
      <w:r w:rsidRPr="00A022AE">
        <w:rPr>
          <w:i/>
          <w:iCs/>
        </w:rPr>
        <w:t>Produkcja</w:t>
      </w:r>
      <w:proofErr w:type="spellEnd"/>
      <w:r w:rsidRPr="00A022AE">
        <w:rPr>
          <w:i/>
          <w:iCs/>
        </w:rPr>
        <w:t xml:space="preserve"> </w:t>
      </w:r>
      <w:proofErr w:type="spellStart"/>
      <w:r w:rsidRPr="00A022AE">
        <w:rPr>
          <w:i/>
          <w:iCs/>
        </w:rPr>
        <w:t>biopaliw</w:t>
      </w:r>
      <w:proofErr w:type="spellEnd"/>
      <w:r w:rsidRPr="00A022AE">
        <w:rPr>
          <w:i/>
          <w:iCs/>
        </w:rPr>
        <w:t xml:space="preserve"> </w:t>
      </w:r>
      <w:proofErr w:type="spellStart"/>
      <w:r w:rsidRPr="00A022AE">
        <w:rPr>
          <w:i/>
          <w:iCs/>
        </w:rPr>
        <w:t>szansą</w:t>
      </w:r>
      <w:proofErr w:type="spellEnd"/>
      <w:r w:rsidRPr="00A022AE">
        <w:rPr>
          <w:i/>
          <w:iCs/>
        </w:rPr>
        <w:t xml:space="preserve"> </w:t>
      </w:r>
      <w:proofErr w:type="spellStart"/>
      <w:r w:rsidRPr="00A022AE">
        <w:rPr>
          <w:i/>
          <w:iCs/>
        </w:rPr>
        <w:t>dla</w:t>
      </w:r>
      <w:proofErr w:type="spellEnd"/>
      <w:r w:rsidRPr="00A022AE">
        <w:rPr>
          <w:i/>
          <w:iCs/>
        </w:rPr>
        <w:t xml:space="preserve"> </w:t>
      </w:r>
      <w:proofErr w:type="spellStart"/>
      <w:r w:rsidRPr="00A022AE">
        <w:rPr>
          <w:i/>
          <w:iCs/>
        </w:rPr>
        <w:t>wyższych</w:t>
      </w:r>
      <w:proofErr w:type="spellEnd"/>
      <w:r w:rsidRPr="00A022AE">
        <w:rPr>
          <w:i/>
          <w:iCs/>
        </w:rPr>
        <w:t xml:space="preserve"> </w:t>
      </w:r>
      <w:proofErr w:type="spellStart"/>
      <w:r w:rsidRPr="00A022AE">
        <w:rPr>
          <w:i/>
          <w:iCs/>
        </w:rPr>
        <w:t>cen</w:t>
      </w:r>
      <w:proofErr w:type="spellEnd"/>
      <w:r w:rsidRPr="00A022AE">
        <w:rPr>
          <w:i/>
          <w:iCs/>
        </w:rPr>
        <w:t xml:space="preserve"> </w:t>
      </w:r>
      <w:proofErr w:type="spellStart"/>
      <w:r w:rsidRPr="00A022AE">
        <w:rPr>
          <w:i/>
          <w:iCs/>
        </w:rPr>
        <w:t>rzepaku</w:t>
      </w:r>
      <w:proofErr w:type="spellEnd"/>
      <w:r w:rsidR="00A022AE">
        <w:t>.</w:t>
      </w:r>
      <w:r w:rsidRPr="003C7219">
        <w:t xml:space="preserve"> </w:t>
      </w:r>
      <w:proofErr w:type="spellStart"/>
      <w:r w:rsidRPr="003C7219">
        <w:t>Retrived</w:t>
      </w:r>
      <w:proofErr w:type="spellEnd"/>
      <w:r w:rsidRPr="003C7219">
        <w:t xml:space="preserve"> from</w:t>
      </w:r>
      <w:r w:rsidR="00A022AE">
        <w:t>:</w:t>
      </w:r>
      <w:r w:rsidRPr="003C7219">
        <w:t xml:space="preserve"> </w:t>
      </w:r>
      <w:r w:rsidR="004B5615" w:rsidRPr="003C7219">
        <w:rPr>
          <w:rStyle w:val="Domylnaczcionkaakapitu0"/>
          <w:lang w:val="en-GB"/>
        </w:rPr>
        <w:t xml:space="preserve">https://www.tygodnik-rolniczy.pl/pieniadze/produkcja-biopaliw-szansa-dla-wyzszych-cen-rzepaku-2377573 </w:t>
      </w:r>
      <w:r w:rsidR="00A022AE" w:rsidRPr="003C7219">
        <w:t>(in Polish)</w:t>
      </w:r>
    </w:p>
    <w:p w14:paraId="3D9E3B71" w14:textId="48E94FB0" w:rsidR="00DE37CA" w:rsidRPr="003C7219" w:rsidRDefault="00DE37CA" w:rsidP="00A022AE">
      <w:pPr>
        <w:pStyle w:val="Rlit"/>
        <w:jc w:val="left"/>
      </w:pPr>
      <w:r w:rsidRPr="003C7219">
        <w:t xml:space="preserve">Tripathi, M., Sahu, J.N., Ganesan, P. (2016). Effect of process parameters on production of biochar from biomass waste through pyrolysis: A review. </w:t>
      </w:r>
      <w:r w:rsidRPr="003C7219">
        <w:rPr>
          <w:i/>
        </w:rPr>
        <w:t>Renewable and Sustainable Energy Reviews</w:t>
      </w:r>
      <w:r w:rsidRPr="003C7219">
        <w:t xml:space="preserve">, </w:t>
      </w:r>
      <w:r w:rsidRPr="00A022AE">
        <w:rPr>
          <w:i/>
          <w:iCs/>
        </w:rPr>
        <w:t>55</w:t>
      </w:r>
      <w:r w:rsidRPr="003C7219">
        <w:t>, 467</w:t>
      </w:r>
      <w:r w:rsidR="00A022AE">
        <w:t>-</w:t>
      </w:r>
      <w:r w:rsidRPr="003C7219">
        <w:t xml:space="preserve">481. </w:t>
      </w:r>
      <w:r w:rsidR="00A022AE" w:rsidRPr="003C7219">
        <w:t>https://doi.org/</w:t>
      </w:r>
      <w:r w:rsidRPr="003C7219">
        <w:t>10.1016/j.rser.2015.10.122</w:t>
      </w:r>
    </w:p>
    <w:p w14:paraId="7A5B35F0" w14:textId="7644F7E4" w:rsidR="004B5615" w:rsidRPr="003C7219" w:rsidRDefault="004B5615" w:rsidP="003C7219">
      <w:pPr>
        <w:pStyle w:val="Rlit"/>
        <w:rPr>
          <w:rStyle w:val="Domylnaczcionkaakapitu0"/>
          <w:lang w:val="en-GB"/>
        </w:rPr>
      </w:pPr>
      <w:r w:rsidRPr="003C7219">
        <w:rPr>
          <w:rStyle w:val="Domylnaczcionkaakapitu0"/>
          <w:lang w:val="en-GB"/>
        </w:rPr>
        <w:t xml:space="preserve">Wyman, C.E. </w:t>
      </w:r>
      <w:r w:rsidR="00627C49" w:rsidRPr="003C7219">
        <w:rPr>
          <w:rStyle w:val="Domylnaczcionkaakapitu0"/>
          <w:lang w:val="en-GB"/>
        </w:rPr>
        <w:t>(</w:t>
      </w:r>
      <w:r w:rsidRPr="003C7219">
        <w:rPr>
          <w:rStyle w:val="Domylnaczcionkaakapitu0"/>
          <w:lang w:val="en-GB"/>
        </w:rPr>
        <w:t>1994</w:t>
      </w:r>
      <w:r w:rsidR="00627C49" w:rsidRPr="003C7219">
        <w:rPr>
          <w:rStyle w:val="Domylnaczcionkaakapitu0"/>
          <w:lang w:val="en-GB"/>
        </w:rPr>
        <w:t>)</w:t>
      </w:r>
      <w:r w:rsidRPr="003C7219">
        <w:rPr>
          <w:rStyle w:val="Domylnaczcionkaakapitu0"/>
          <w:lang w:val="en-GB"/>
        </w:rPr>
        <w:t xml:space="preserve">. Ethanol from lignocellulosic biomass: Technology, economics, and opportunities. </w:t>
      </w:r>
      <w:r w:rsidRPr="003C7219">
        <w:rPr>
          <w:rStyle w:val="Domylnaczcionkaakapitu0"/>
          <w:i/>
          <w:lang w:val="en-GB"/>
        </w:rPr>
        <w:t>Bioresource Technology</w:t>
      </w:r>
      <w:r w:rsidRPr="003C7219">
        <w:rPr>
          <w:rStyle w:val="Domylnaczcionkaakapitu0"/>
          <w:lang w:val="en-GB"/>
        </w:rPr>
        <w:t>, 50, 3</w:t>
      </w:r>
      <w:r w:rsidR="00A022AE">
        <w:rPr>
          <w:rStyle w:val="Domylnaczcionkaakapitu0"/>
          <w:lang w:val="en-GB"/>
        </w:rPr>
        <w:t>-</w:t>
      </w:r>
      <w:r w:rsidRPr="003C7219">
        <w:rPr>
          <w:rStyle w:val="Domylnaczcionkaakapitu0"/>
          <w:lang w:val="en-GB"/>
        </w:rPr>
        <w:t xml:space="preserve">15. </w:t>
      </w:r>
      <w:r w:rsidR="00A022AE" w:rsidRPr="003C7219">
        <w:t>https://doi.org/</w:t>
      </w:r>
      <w:r w:rsidRPr="003C7219">
        <w:rPr>
          <w:rStyle w:val="Domylnaczcionkaakapitu0"/>
          <w:lang w:val="en-GB"/>
        </w:rPr>
        <w:t>10.1016/0960-8524(94)90214-3.</w:t>
      </w:r>
    </w:p>
    <w:p w14:paraId="18313ADD" w14:textId="22AE9790" w:rsidR="00212FBC" w:rsidRPr="003C7219" w:rsidRDefault="00212FBC" w:rsidP="003C7219">
      <w:pPr>
        <w:pStyle w:val="Rlit"/>
        <w:rPr>
          <w:rStyle w:val="Domylnaczcionkaakapitu0"/>
          <w:lang w:val="en-GB"/>
        </w:rPr>
      </w:pPr>
      <w:proofErr w:type="spellStart"/>
      <w:r w:rsidRPr="003C7219">
        <w:rPr>
          <w:rStyle w:val="Domylnaczcionkaakapitu0"/>
          <w:lang w:val="en-GB"/>
        </w:rPr>
        <w:t>Załęcki</w:t>
      </w:r>
      <w:proofErr w:type="spellEnd"/>
      <w:r w:rsidR="00A022AE">
        <w:rPr>
          <w:rStyle w:val="Domylnaczcionkaakapitu0"/>
          <w:lang w:val="en-GB"/>
        </w:rPr>
        <w:t>,</w:t>
      </w:r>
      <w:r w:rsidRPr="003C7219">
        <w:rPr>
          <w:rStyle w:val="Domylnaczcionkaakapitu0"/>
          <w:lang w:val="en-GB"/>
        </w:rPr>
        <w:t xml:space="preserve"> J., Molenda</w:t>
      </w:r>
      <w:r w:rsidR="00A022AE">
        <w:rPr>
          <w:rStyle w:val="Domylnaczcionkaakapitu0"/>
          <w:lang w:val="en-GB"/>
        </w:rPr>
        <w:t>,</w:t>
      </w:r>
      <w:r w:rsidRPr="003C7219">
        <w:rPr>
          <w:rStyle w:val="Domylnaczcionkaakapitu0"/>
          <w:lang w:val="en-GB"/>
        </w:rPr>
        <w:t xml:space="preserve"> P. (2022). </w:t>
      </w:r>
      <w:proofErr w:type="spellStart"/>
      <w:r w:rsidRPr="003C7219">
        <w:rPr>
          <w:rStyle w:val="Domylnaczcionkaakapitu0"/>
          <w:lang w:val="en-GB"/>
        </w:rPr>
        <w:t>Instalacje</w:t>
      </w:r>
      <w:proofErr w:type="spellEnd"/>
      <w:r w:rsidRPr="003C7219">
        <w:rPr>
          <w:rStyle w:val="Domylnaczcionkaakapitu0"/>
          <w:lang w:val="en-GB"/>
        </w:rPr>
        <w:t xml:space="preserve"> </w:t>
      </w:r>
      <w:r w:rsidR="00FF150C">
        <w:rPr>
          <w:rStyle w:val="Domylnaczcionkaakapitu0"/>
          <w:lang w:val="en-GB"/>
        </w:rPr>
        <w:t>OZE</w:t>
      </w:r>
      <w:r w:rsidRPr="003C7219">
        <w:rPr>
          <w:rStyle w:val="Domylnaczcionkaakapitu0"/>
          <w:lang w:val="en-GB"/>
        </w:rPr>
        <w:t xml:space="preserve"> w </w:t>
      </w:r>
      <w:proofErr w:type="spellStart"/>
      <w:r w:rsidR="00FF150C">
        <w:rPr>
          <w:rStyle w:val="Domylnaczcionkaakapitu0"/>
          <w:lang w:val="en-GB"/>
        </w:rPr>
        <w:t>P</w:t>
      </w:r>
      <w:r w:rsidRPr="003C7219">
        <w:rPr>
          <w:rStyle w:val="Domylnaczcionkaakapitu0"/>
          <w:lang w:val="en-GB"/>
        </w:rPr>
        <w:t>olsce</w:t>
      </w:r>
      <w:proofErr w:type="spellEnd"/>
      <w:r w:rsidRPr="003C7219">
        <w:rPr>
          <w:rStyle w:val="Domylnaczcionkaakapitu0"/>
          <w:lang w:val="en-GB"/>
        </w:rPr>
        <w:t xml:space="preserve"> – </w:t>
      </w:r>
      <w:proofErr w:type="spellStart"/>
      <w:r w:rsidRPr="003C7219">
        <w:rPr>
          <w:rStyle w:val="Domylnaczcionkaakapitu0"/>
          <w:lang w:val="en-GB"/>
        </w:rPr>
        <w:t>raport</w:t>
      </w:r>
      <w:proofErr w:type="spellEnd"/>
      <w:r w:rsidRPr="003C7219">
        <w:rPr>
          <w:rStyle w:val="Domylnaczcionkaakapitu0"/>
          <w:lang w:val="en-GB"/>
        </w:rPr>
        <w:t xml:space="preserve"> za </w:t>
      </w:r>
      <w:proofErr w:type="spellStart"/>
      <w:r w:rsidRPr="003C7219">
        <w:rPr>
          <w:rStyle w:val="Domylnaczcionkaakapitu0"/>
          <w:lang w:val="en-GB"/>
        </w:rPr>
        <w:t>pierwsze</w:t>
      </w:r>
      <w:proofErr w:type="spellEnd"/>
      <w:r w:rsidRPr="003C7219">
        <w:rPr>
          <w:rStyle w:val="Domylnaczcionkaakapitu0"/>
          <w:lang w:val="en-GB"/>
        </w:rPr>
        <w:t xml:space="preserve"> </w:t>
      </w:r>
      <w:proofErr w:type="spellStart"/>
      <w:r w:rsidRPr="003C7219">
        <w:rPr>
          <w:rStyle w:val="Domylnaczcionkaakapitu0"/>
          <w:lang w:val="en-GB"/>
        </w:rPr>
        <w:t>półrocze</w:t>
      </w:r>
      <w:proofErr w:type="spellEnd"/>
      <w:r w:rsidRPr="003C7219">
        <w:rPr>
          <w:rStyle w:val="Domylnaczcionkaakapitu0"/>
          <w:lang w:val="en-GB"/>
        </w:rPr>
        <w:t xml:space="preserve"> 2022 </w:t>
      </w:r>
      <w:proofErr w:type="spellStart"/>
      <w:r w:rsidRPr="003C7219">
        <w:rPr>
          <w:rStyle w:val="Domylnaczcionkaakapitu0"/>
          <w:lang w:val="en-GB"/>
        </w:rPr>
        <w:t>roku</w:t>
      </w:r>
      <w:proofErr w:type="spellEnd"/>
      <w:r w:rsidR="00A022AE">
        <w:rPr>
          <w:rStyle w:val="Domylnaczcionkaakapitu0"/>
          <w:lang w:val="en-GB"/>
        </w:rPr>
        <w:t>.</w:t>
      </w:r>
      <w:r w:rsidRPr="003C7219">
        <w:rPr>
          <w:rStyle w:val="Domylnaczcionkaakapitu0"/>
          <w:lang w:val="en-GB"/>
        </w:rPr>
        <w:t xml:space="preserve"> </w:t>
      </w:r>
      <w:proofErr w:type="spellStart"/>
      <w:r w:rsidRPr="003C7219">
        <w:rPr>
          <w:rStyle w:val="Domylnaczcionkaakapitu0"/>
          <w:lang w:val="en-GB"/>
        </w:rPr>
        <w:t>Retrived</w:t>
      </w:r>
      <w:proofErr w:type="spellEnd"/>
      <w:r w:rsidRPr="003C7219">
        <w:rPr>
          <w:rStyle w:val="Domylnaczcionkaakapitu0"/>
          <w:lang w:val="en-GB"/>
        </w:rPr>
        <w:t xml:space="preserve"> from</w:t>
      </w:r>
      <w:r w:rsidR="00A022AE">
        <w:rPr>
          <w:rStyle w:val="Domylnaczcionkaakapitu0"/>
          <w:lang w:val="en-GB"/>
        </w:rPr>
        <w:t>:</w:t>
      </w:r>
      <w:r w:rsidRPr="003C7219">
        <w:rPr>
          <w:rStyle w:val="Domylnaczcionkaakapitu0"/>
          <w:lang w:val="en-GB"/>
        </w:rPr>
        <w:t xml:space="preserve"> https://top-oze.pl/instalacje-oze-w-polsce-raport-za-pierwsze-polrocze-2022-roku </w:t>
      </w:r>
      <w:r w:rsidR="00607A40" w:rsidRPr="00607A40">
        <w:rPr>
          <w:rStyle w:val="Domylnaczcionkaakapitu0"/>
          <w:lang w:val="en-GB"/>
        </w:rPr>
        <w:t xml:space="preserve">Department of Thermal Technology and Refrigeration, Faculty of Mechanical Engineering, Lodz University of Technology. </w:t>
      </w:r>
      <w:r w:rsidRPr="003C7219">
        <w:rPr>
          <w:rStyle w:val="Domylnaczcionkaakapitu0"/>
          <w:lang w:val="en-GB"/>
        </w:rPr>
        <w:t>(in Polish)</w:t>
      </w:r>
    </w:p>
    <w:p w14:paraId="68CB4DC7" w14:textId="665F4D29" w:rsidR="004B5615" w:rsidRPr="003C7219" w:rsidRDefault="004B5615" w:rsidP="003C7219">
      <w:pPr>
        <w:pStyle w:val="Rlit"/>
      </w:pPr>
    </w:p>
    <w:sectPr w:rsidR="004B5615" w:rsidRPr="003C7219" w:rsidSect="005E0952">
      <w:headerReference w:type="even" r:id="rId18"/>
      <w:headerReference w:type="default" r:id="rId19"/>
      <w:footerReference w:type="first" r:id="rId20"/>
      <w:footnotePr>
        <w:pos w:val="beneathText"/>
      </w:footnotePr>
      <w:pgSz w:w="11906" w:h="16838" w:code="9"/>
      <w:pgMar w:top="1134" w:right="1134" w:bottom="1134" w:left="1134" w:header="567" w:footer="567" w:gutter="0"/>
      <w:pgNumType w:start="8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3109" w14:textId="77777777" w:rsidR="005E0952" w:rsidRDefault="005E0952" w:rsidP="002C1A0E">
      <w:pPr>
        <w:spacing w:line="240" w:lineRule="auto"/>
      </w:pPr>
      <w:r>
        <w:separator/>
      </w:r>
    </w:p>
  </w:endnote>
  <w:endnote w:type="continuationSeparator" w:id="0">
    <w:p w14:paraId="756BC6B0" w14:textId="77777777" w:rsidR="005E0952" w:rsidRDefault="005E0952" w:rsidP="002C1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2C1A0E" w:rsidRPr="006365A0" w14:paraId="55FEEE00" w14:textId="77777777" w:rsidTr="00067346">
      <w:trPr>
        <w:trHeight w:val="198"/>
      </w:trPr>
      <w:tc>
        <w:tcPr>
          <w:tcW w:w="1384" w:type="dxa"/>
          <w:shd w:val="clear" w:color="auto" w:fill="auto"/>
          <w:vAlign w:val="center"/>
        </w:tcPr>
        <w:p w14:paraId="325F829A" w14:textId="77777777" w:rsidR="002C1A0E" w:rsidRPr="003A29B8" w:rsidRDefault="002C1A0E" w:rsidP="002C1A0E">
          <w:pPr>
            <w:spacing w:line="240" w:lineRule="auto"/>
            <w:ind w:left="-112"/>
          </w:pPr>
          <w:bookmarkStart w:id="4" w:name="_Hlk104286226"/>
          <w:bookmarkStart w:id="5" w:name="_Hlk104286227"/>
          <w:bookmarkStart w:id="6" w:name="_Hlk154270864"/>
          <w:bookmarkStart w:id="7" w:name="_Hlk154270865"/>
          <w:r w:rsidRPr="003A29B8">
            <w:rPr>
              <w:noProof/>
            </w:rPr>
            <w:drawing>
              <wp:inline distT="0" distB="0" distL="0" distR="0" wp14:anchorId="22A22BA7" wp14:editId="42716642">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5220AA4" w14:textId="77777777" w:rsidR="002C1A0E" w:rsidRPr="003A29B8" w:rsidRDefault="002C1A0E" w:rsidP="002C1A0E">
          <w:pPr>
            <w:suppressAutoHyphens/>
            <w:spacing w:line="240" w:lineRule="auto"/>
            <w:ind w:left="-78"/>
            <w:rPr>
              <w:sz w:val="18"/>
              <w:szCs w:val="18"/>
              <w:lang w:val="en-GB"/>
            </w:rPr>
          </w:pPr>
          <w:r w:rsidRPr="003A29B8">
            <w:rPr>
              <w:sz w:val="18"/>
              <w:szCs w:val="18"/>
              <w:lang w:val="en-GB"/>
            </w:rPr>
            <w:t>© 202</w:t>
          </w:r>
          <w:r>
            <w:rPr>
              <w:sz w:val="18"/>
              <w:szCs w:val="18"/>
              <w:lang w:val="en-GB"/>
            </w:rPr>
            <w:t>4</w:t>
          </w:r>
          <w:r w:rsidRPr="003A29B8">
            <w:rPr>
              <w:sz w:val="18"/>
              <w:szCs w:val="18"/>
              <w:lang w:val="en-GB"/>
            </w:rPr>
            <w:t>. Author(s). This work is licensed under a Creative Commons Attribution 4.0 International License (CC BY-SA)</w:t>
          </w:r>
        </w:p>
      </w:tc>
    </w:tr>
    <w:bookmarkEnd w:id="4"/>
    <w:bookmarkEnd w:id="5"/>
    <w:bookmarkEnd w:id="6"/>
    <w:bookmarkEnd w:id="7"/>
  </w:tbl>
  <w:p w14:paraId="2FFD4739" w14:textId="77777777" w:rsidR="002C1A0E" w:rsidRPr="003A29B8" w:rsidRDefault="002C1A0E" w:rsidP="002C1A0E">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416CF" w14:textId="77777777" w:rsidR="005E0952" w:rsidRDefault="005E0952" w:rsidP="002C1A0E">
      <w:pPr>
        <w:spacing w:line="240" w:lineRule="auto"/>
      </w:pPr>
      <w:r>
        <w:separator/>
      </w:r>
    </w:p>
  </w:footnote>
  <w:footnote w:type="continuationSeparator" w:id="0">
    <w:p w14:paraId="4EA4E1CE" w14:textId="77777777" w:rsidR="005E0952" w:rsidRDefault="005E0952" w:rsidP="002C1A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2C1A0E" w:rsidRPr="003337FB" w14:paraId="72F3DCC0" w14:textId="77777777" w:rsidTr="00067346">
      <w:trPr>
        <w:trHeight w:hRule="exact" w:val="284"/>
        <w:jc w:val="right"/>
      </w:trPr>
      <w:tc>
        <w:tcPr>
          <w:tcW w:w="9243" w:type="dxa"/>
          <w:shd w:val="clear" w:color="auto" w:fill="auto"/>
          <w:vAlign w:val="center"/>
        </w:tcPr>
        <w:p w14:paraId="27FC164C" w14:textId="61C842F4" w:rsidR="002C1A0E" w:rsidRPr="003337FB" w:rsidRDefault="00275A63" w:rsidP="002C1A0E">
          <w:pPr>
            <w:pStyle w:val="Nagwek0"/>
            <w:jc w:val="center"/>
            <w:rPr>
              <w:rFonts w:ascii="Arial" w:hAnsi="Arial" w:cs="Arial"/>
              <w:i/>
              <w:sz w:val="20"/>
              <w:szCs w:val="16"/>
              <w:lang w:val="en-GB"/>
            </w:rPr>
          </w:pPr>
          <w:r w:rsidRPr="002C1A0E">
            <w:rPr>
              <w:rFonts w:ascii="Arial" w:hAnsi="Arial" w:cs="Arial"/>
              <w:i/>
              <w:sz w:val="20"/>
              <w:lang w:val="en-GB"/>
            </w:rPr>
            <w:t>Paweł Lesiak</w:t>
          </w:r>
        </w:p>
      </w:tc>
      <w:tc>
        <w:tcPr>
          <w:tcW w:w="397" w:type="dxa"/>
          <w:shd w:val="clear" w:color="auto" w:fill="auto"/>
          <w:vAlign w:val="center"/>
        </w:tcPr>
        <w:p w14:paraId="0CF01F77" w14:textId="77777777" w:rsidR="002C1A0E" w:rsidRPr="003337FB" w:rsidRDefault="002C1A0E" w:rsidP="002C1A0E">
          <w:pPr>
            <w:pStyle w:val="Nagwek0"/>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1068A302" w14:textId="77777777" w:rsidR="002C1A0E" w:rsidRPr="003337FB" w:rsidRDefault="002C1A0E" w:rsidP="002C1A0E">
    <w:pPr>
      <w:pStyle w:val="Nagwek0"/>
      <w:rPr>
        <w:rFonts w:ascii="Arial" w:hAnsi="Arial" w:cs="Arial"/>
        <w:sz w:val="6"/>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2C1A0E" w:rsidRPr="00C970C2" w14:paraId="2D239B69" w14:textId="77777777" w:rsidTr="00067346">
      <w:trPr>
        <w:trHeight w:hRule="exact" w:val="284"/>
      </w:trPr>
      <w:tc>
        <w:tcPr>
          <w:tcW w:w="397" w:type="dxa"/>
          <w:shd w:val="clear" w:color="auto" w:fill="auto"/>
          <w:vAlign w:val="center"/>
        </w:tcPr>
        <w:p w14:paraId="7B5ADF6F" w14:textId="77777777" w:rsidR="002C1A0E" w:rsidRPr="00C970C2" w:rsidRDefault="002C1A0E" w:rsidP="002C1A0E">
          <w:pPr>
            <w:pStyle w:val="Nagwek0"/>
            <w:rPr>
              <w:rFonts w:ascii="Arial" w:hAnsi="Arial" w:cs="Arial"/>
              <w:i/>
              <w:sz w:val="20"/>
              <w:lang w:val="en-GB"/>
            </w:rPr>
          </w:pPr>
          <w:r w:rsidRPr="00C970C2">
            <w:rPr>
              <w:rFonts w:ascii="Arial" w:hAnsi="Arial" w:cs="Arial"/>
              <w:sz w:val="20"/>
              <w:lang w:val="en-GB"/>
            </w:rPr>
            <w:fldChar w:fldCharType="begin"/>
          </w:r>
          <w:r w:rsidRPr="00C970C2">
            <w:rPr>
              <w:rFonts w:ascii="Arial" w:hAnsi="Arial" w:cs="Arial"/>
              <w:sz w:val="20"/>
              <w:lang w:val="en-GB"/>
            </w:rPr>
            <w:instrText xml:space="preserve"> PAGE   \* MERGEFORMAT </w:instrText>
          </w:r>
          <w:r w:rsidRPr="00C970C2">
            <w:rPr>
              <w:rFonts w:ascii="Arial" w:hAnsi="Arial" w:cs="Arial"/>
              <w:sz w:val="20"/>
              <w:lang w:val="en-GB"/>
            </w:rPr>
            <w:fldChar w:fldCharType="separate"/>
          </w:r>
          <w:r>
            <w:rPr>
              <w:rFonts w:ascii="Arial" w:hAnsi="Arial" w:cs="Arial"/>
              <w:sz w:val="20"/>
              <w:lang w:val="en-GB"/>
            </w:rPr>
            <w:t>2</w:t>
          </w:r>
          <w:r w:rsidRPr="00C970C2">
            <w:rPr>
              <w:rFonts w:ascii="Arial" w:hAnsi="Arial" w:cs="Arial"/>
              <w:sz w:val="20"/>
              <w:lang w:val="en-GB"/>
            </w:rPr>
            <w:fldChar w:fldCharType="end"/>
          </w:r>
        </w:p>
      </w:tc>
      <w:tc>
        <w:tcPr>
          <w:tcW w:w="9242" w:type="dxa"/>
          <w:shd w:val="clear" w:color="auto" w:fill="auto"/>
          <w:vAlign w:val="center"/>
        </w:tcPr>
        <w:p w14:paraId="683AA6F3" w14:textId="677A8189" w:rsidR="002C1A0E" w:rsidRPr="00C970C2" w:rsidRDefault="00275A63" w:rsidP="002C1A0E">
          <w:pPr>
            <w:pStyle w:val="Nagwek0"/>
            <w:jc w:val="center"/>
            <w:rPr>
              <w:rFonts w:ascii="Arial" w:hAnsi="Arial" w:cs="Arial"/>
              <w:i/>
              <w:sz w:val="20"/>
              <w:lang w:val="en-GB"/>
            </w:rPr>
          </w:pPr>
          <w:r w:rsidRPr="002C1A0E">
            <w:rPr>
              <w:rFonts w:ascii="Arial" w:hAnsi="Arial" w:cs="Arial"/>
              <w:i/>
              <w:sz w:val="20"/>
              <w:szCs w:val="16"/>
              <w:lang w:val="en-GB"/>
            </w:rPr>
            <w:t>Review of Methods for Converting Biomass into Biofuels</w:t>
          </w:r>
        </w:p>
      </w:tc>
    </w:tr>
  </w:tbl>
  <w:p w14:paraId="4A0DCA89" w14:textId="77777777" w:rsidR="002C1A0E" w:rsidRPr="00C970C2" w:rsidRDefault="002C1A0E" w:rsidP="002C1A0E">
    <w:pPr>
      <w:pStyle w:val="Nagwek0"/>
      <w:rPr>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67054EE"/>
    <w:lvl w:ilvl="0">
      <w:start w:val="1"/>
      <w:numFmt w:val="none"/>
      <w:pStyle w:val="Nagwek1"/>
      <w:suff w:val="nothing"/>
      <w:lvlText w:val=""/>
      <w:lvlJc w:val="left"/>
    </w:lvl>
    <w:lvl w:ilvl="1">
      <w:numFmt w:val="none"/>
      <w:lvlText w:val=""/>
      <w:lvlJc w:val="left"/>
    </w:lvl>
    <w:lvl w:ilvl="2">
      <w:start w:val="1"/>
      <w:numFmt w:val="none"/>
      <w:pStyle w:val="Nagwek3"/>
      <w:lvlText w:val=""/>
      <w:legacy w:legacy="1" w:legacySpace="0" w:legacyIndent="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3C7E35B2"/>
    <w:lvl w:ilvl="0">
      <w:numFmt w:val="bullet"/>
      <w:lvlText w:val="*"/>
      <w:lvlJc w:val="left"/>
    </w:lvl>
  </w:abstractNum>
  <w:abstractNum w:abstractNumId="2" w15:restartNumberingAfterBreak="0">
    <w:nsid w:val="05FC5535"/>
    <w:multiLevelType w:val="singleLevel"/>
    <w:tmpl w:val="9998D072"/>
    <w:lvl w:ilvl="0">
      <w:start w:val="1"/>
      <w:numFmt w:val="decimal"/>
      <w:lvlText w:val="%1"/>
      <w:legacy w:legacy="1" w:legacySpace="0" w:legacyIndent="0"/>
      <w:lvlJc w:val="left"/>
      <w:pPr>
        <w:ind w:left="283" w:firstLine="0"/>
      </w:pPr>
    </w:lvl>
  </w:abstractNum>
  <w:num w:numId="1" w16cid:durableId="2082101008">
    <w:abstractNumId w:val="0"/>
  </w:num>
  <w:num w:numId="2" w16cid:durableId="1839734171">
    <w:abstractNumId w:val="2"/>
  </w:num>
  <w:num w:numId="3" w16cid:durableId="1091856619">
    <w:abstractNumId w:val="1"/>
    <w:lvlOverride w:ilvl="0">
      <w:lvl w:ilvl="0">
        <w:start w:val="1"/>
        <w:numFmt w:val="bullet"/>
        <w:lvlText w:val="%1"/>
        <w:legacy w:legacy="1" w:legacySpace="0" w:legacyIndent="0"/>
        <w:lvlJc w:val="left"/>
        <w:rPr>
          <w:rFonts w:ascii="Symbol" w:hAnsi="Symbol" w:hint="default"/>
        </w:rPr>
      </w:lvl>
    </w:lvlOverride>
  </w:num>
  <w:num w:numId="4" w16cid:durableId="6907557">
    <w:abstractNumId w:val="1"/>
    <w:lvlOverride w:ilvl="0">
      <w:lvl w:ilvl="0">
        <w:start w:val="1"/>
        <w:numFmt w:val="bullet"/>
        <w:lvlText w:val="%1"/>
        <w:legacy w:legacy="1" w:legacySpace="0" w:legacyIndent="0"/>
        <w:lvlJc w:val="left"/>
        <w:rPr>
          <w:rFonts w:ascii="Symbol" w:hAnsi="Symbol" w:hint="default"/>
        </w:rPr>
      </w:lvl>
    </w:lvlOverride>
  </w:num>
  <w:num w:numId="5" w16cid:durableId="475340811">
    <w:abstractNumId w:val="1"/>
    <w:lvlOverride w:ilvl="0">
      <w:lvl w:ilvl="0">
        <w:start w:val="1"/>
        <w:numFmt w:val="bullet"/>
        <w:lvlText w:val="%1"/>
        <w:legacy w:legacy="1" w:legacySpace="0" w:legacyIndent="0"/>
        <w:lvlJc w:val="left"/>
        <w:rPr>
          <w:rFonts w:ascii="Symbol" w:hAnsi="Symbol" w:hint="default"/>
        </w:rPr>
      </w:lvl>
    </w:lvlOverride>
  </w:num>
  <w:num w:numId="6" w16cid:durableId="985356397">
    <w:abstractNumId w:val="1"/>
    <w:lvlOverride w:ilvl="0">
      <w:lvl w:ilvl="0">
        <w:start w:val="1"/>
        <w:numFmt w:val="bullet"/>
        <w:lvlText w:val="%1"/>
        <w:legacy w:legacy="1" w:legacySpace="0" w:legacyIndent="0"/>
        <w:lvlJc w:val="left"/>
        <w:rPr>
          <w:rFonts w:ascii="Symbol" w:hAnsi="Symbol" w:hint="default"/>
        </w:rPr>
      </w:lvl>
    </w:lvlOverride>
  </w:num>
  <w:num w:numId="7" w16cid:durableId="779379932">
    <w:abstractNumId w:val="1"/>
    <w:lvlOverride w:ilvl="0">
      <w:lvl w:ilvl="0">
        <w:start w:val="1"/>
        <w:numFmt w:val="bullet"/>
        <w:lvlText w:val="%1"/>
        <w:legacy w:legacy="1" w:legacySpace="0" w:legacyIndent="0"/>
        <w:lvlJc w:val="left"/>
        <w:rPr>
          <w:rFonts w:ascii="Symbol" w:hAnsi="Symbol" w:hint="default"/>
        </w:rPr>
      </w:lvl>
    </w:lvlOverride>
  </w:num>
  <w:num w:numId="8" w16cid:durableId="457726211">
    <w:abstractNumId w:val="1"/>
    <w:lvlOverride w:ilvl="0">
      <w:lvl w:ilvl="0">
        <w:start w:val="1"/>
        <w:numFmt w:val="bullet"/>
        <w:lvlText w:val="%1"/>
        <w:legacy w:legacy="1" w:legacySpace="0" w:legacyIndent="0"/>
        <w:lvlJc w:val="left"/>
        <w:rPr>
          <w:rFonts w:ascii="Symbol" w:hAnsi="Symbol" w:hint="default"/>
        </w:rPr>
      </w:lvl>
    </w:lvlOverride>
  </w:num>
  <w:num w:numId="9" w16cid:durableId="1436167665">
    <w:abstractNumId w:val="1"/>
    <w:lvlOverride w:ilvl="0">
      <w:lvl w:ilvl="0">
        <w:start w:val="1"/>
        <w:numFmt w:val="bullet"/>
        <w:lvlText w:val="%1"/>
        <w:legacy w:legacy="1" w:legacySpace="0" w:legacyIndent="0"/>
        <w:lvlJc w:val="left"/>
        <w:rPr>
          <w:rFonts w:ascii="Symbol" w:hAnsi="Symbol" w:hint="default"/>
        </w:rPr>
      </w:lvl>
    </w:lvlOverride>
  </w:num>
  <w:num w:numId="10" w16cid:durableId="1972057334">
    <w:abstractNumId w:val="1"/>
    <w:lvlOverride w:ilvl="0">
      <w:lvl w:ilvl="0">
        <w:start w:val="1"/>
        <w:numFmt w:val="bullet"/>
        <w:lvlText w:val="%1"/>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SpellingErrors/>
  <w:hideGrammaticalErrors/>
  <w:proofState w:spelling="clean"/>
  <w:defaultTabStop w:val="706"/>
  <w:autoHyphenation/>
  <w:hyphenationZone w:val="425"/>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wMLcwNjE0NjAyMzRS0lEKTi0uzszPAykwrAUAMIlxSCwAAAA="/>
  </w:docVars>
  <w:rsids>
    <w:rsidRoot w:val="00F22506"/>
    <w:rsid w:val="000253B9"/>
    <w:rsid w:val="00037378"/>
    <w:rsid w:val="00063638"/>
    <w:rsid w:val="00071B7F"/>
    <w:rsid w:val="000753E7"/>
    <w:rsid w:val="00076556"/>
    <w:rsid w:val="00090C05"/>
    <w:rsid w:val="0009551F"/>
    <w:rsid w:val="000C0964"/>
    <w:rsid w:val="000C2919"/>
    <w:rsid w:val="000C6E91"/>
    <w:rsid w:val="000D21DF"/>
    <w:rsid w:val="001121AD"/>
    <w:rsid w:val="00126D8E"/>
    <w:rsid w:val="001523A0"/>
    <w:rsid w:val="0015390B"/>
    <w:rsid w:val="00163851"/>
    <w:rsid w:val="0018216B"/>
    <w:rsid w:val="00194E90"/>
    <w:rsid w:val="001B0BB8"/>
    <w:rsid w:val="001B3D06"/>
    <w:rsid w:val="001B44A5"/>
    <w:rsid w:val="001B7CAD"/>
    <w:rsid w:val="001F4C9D"/>
    <w:rsid w:val="00212FBC"/>
    <w:rsid w:val="00232DA3"/>
    <w:rsid w:val="00247358"/>
    <w:rsid w:val="002519E0"/>
    <w:rsid w:val="00275A63"/>
    <w:rsid w:val="00286904"/>
    <w:rsid w:val="002A0856"/>
    <w:rsid w:val="002C1A0E"/>
    <w:rsid w:val="002C5D34"/>
    <w:rsid w:val="002F3D02"/>
    <w:rsid w:val="00314DCC"/>
    <w:rsid w:val="00331844"/>
    <w:rsid w:val="00336EC3"/>
    <w:rsid w:val="0034565B"/>
    <w:rsid w:val="00354F69"/>
    <w:rsid w:val="00387DB3"/>
    <w:rsid w:val="0039695D"/>
    <w:rsid w:val="003A55D7"/>
    <w:rsid w:val="003A5E6B"/>
    <w:rsid w:val="003C4D66"/>
    <w:rsid w:val="003C7219"/>
    <w:rsid w:val="003D5BBA"/>
    <w:rsid w:val="004125AF"/>
    <w:rsid w:val="004257E1"/>
    <w:rsid w:val="00451625"/>
    <w:rsid w:val="0045605C"/>
    <w:rsid w:val="004729FF"/>
    <w:rsid w:val="004858C5"/>
    <w:rsid w:val="004B25A8"/>
    <w:rsid w:val="004B348C"/>
    <w:rsid w:val="004B5615"/>
    <w:rsid w:val="004C38AE"/>
    <w:rsid w:val="004F57AF"/>
    <w:rsid w:val="00523000"/>
    <w:rsid w:val="00534317"/>
    <w:rsid w:val="00535DD5"/>
    <w:rsid w:val="0055264A"/>
    <w:rsid w:val="00553634"/>
    <w:rsid w:val="00556B9A"/>
    <w:rsid w:val="00562C14"/>
    <w:rsid w:val="005A4326"/>
    <w:rsid w:val="005A492A"/>
    <w:rsid w:val="005A69AA"/>
    <w:rsid w:val="005B3856"/>
    <w:rsid w:val="005B6AA7"/>
    <w:rsid w:val="005E0952"/>
    <w:rsid w:val="005F7DF5"/>
    <w:rsid w:val="00607A40"/>
    <w:rsid w:val="00613604"/>
    <w:rsid w:val="00627C49"/>
    <w:rsid w:val="006319AF"/>
    <w:rsid w:val="00637605"/>
    <w:rsid w:val="0064639D"/>
    <w:rsid w:val="006931E3"/>
    <w:rsid w:val="006B3BAE"/>
    <w:rsid w:val="006D0A69"/>
    <w:rsid w:val="006D5C9D"/>
    <w:rsid w:val="007038D2"/>
    <w:rsid w:val="00706F1E"/>
    <w:rsid w:val="00711616"/>
    <w:rsid w:val="0074596A"/>
    <w:rsid w:val="007502F1"/>
    <w:rsid w:val="00766CDD"/>
    <w:rsid w:val="00780DC6"/>
    <w:rsid w:val="00787F47"/>
    <w:rsid w:val="007C7349"/>
    <w:rsid w:val="007D064F"/>
    <w:rsid w:val="007F1B35"/>
    <w:rsid w:val="008036B1"/>
    <w:rsid w:val="00807560"/>
    <w:rsid w:val="008255B3"/>
    <w:rsid w:val="00876F83"/>
    <w:rsid w:val="00884470"/>
    <w:rsid w:val="0088555F"/>
    <w:rsid w:val="008B2700"/>
    <w:rsid w:val="008B3630"/>
    <w:rsid w:val="008B3D7B"/>
    <w:rsid w:val="008C17A4"/>
    <w:rsid w:val="008D6FAD"/>
    <w:rsid w:val="008E4F31"/>
    <w:rsid w:val="008F71FE"/>
    <w:rsid w:val="0093555D"/>
    <w:rsid w:val="009514EA"/>
    <w:rsid w:val="00992F0E"/>
    <w:rsid w:val="00996B25"/>
    <w:rsid w:val="009A6EF1"/>
    <w:rsid w:val="009B457C"/>
    <w:rsid w:val="009C300F"/>
    <w:rsid w:val="009C36EC"/>
    <w:rsid w:val="009D618E"/>
    <w:rsid w:val="009D7049"/>
    <w:rsid w:val="009F1AF9"/>
    <w:rsid w:val="00A022AE"/>
    <w:rsid w:val="00A10269"/>
    <w:rsid w:val="00A16C86"/>
    <w:rsid w:val="00A20C7C"/>
    <w:rsid w:val="00A23986"/>
    <w:rsid w:val="00A26BCD"/>
    <w:rsid w:val="00A42658"/>
    <w:rsid w:val="00A62BAC"/>
    <w:rsid w:val="00A639B4"/>
    <w:rsid w:val="00A869F8"/>
    <w:rsid w:val="00AA329D"/>
    <w:rsid w:val="00AA5B75"/>
    <w:rsid w:val="00AA6708"/>
    <w:rsid w:val="00AB316E"/>
    <w:rsid w:val="00AB4C0A"/>
    <w:rsid w:val="00AB4E4A"/>
    <w:rsid w:val="00AC7919"/>
    <w:rsid w:val="00AC7E93"/>
    <w:rsid w:val="00AD03BF"/>
    <w:rsid w:val="00AF417A"/>
    <w:rsid w:val="00B0255D"/>
    <w:rsid w:val="00B11D71"/>
    <w:rsid w:val="00B24F33"/>
    <w:rsid w:val="00B755A6"/>
    <w:rsid w:val="00B913D2"/>
    <w:rsid w:val="00BA4086"/>
    <w:rsid w:val="00BC1F60"/>
    <w:rsid w:val="00BD5619"/>
    <w:rsid w:val="00BE2807"/>
    <w:rsid w:val="00BF5E2A"/>
    <w:rsid w:val="00C1107A"/>
    <w:rsid w:val="00C20FED"/>
    <w:rsid w:val="00C31C07"/>
    <w:rsid w:val="00C51121"/>
    <w:rsid w:val="00C60876"/>
    <w:rsid w:val="00C6099B"/>
    <w:rsid w:val="00C87210"/>
    <w:rsid w:val="00C97C19"/>
    <w:rsid w:val="00CA0726"/>
    <w:rsid w:val="00CA3F00"/>
    <w:rsid w:val="00CA6F22"/>
    <w:rsid w:val="00CB19ED"/>
    <w:rsid w:val="00CB7A70"/>
    <w:rsid w:val="00D22F8D"/>
    <w:rsid w:val="00D34F9E"/>
    <w:rsid w:val="00D66B83"/>
    <w:rsid w:val="00D774EE"/>
    <w:rsid w:val="00D82D2E"/>
    <w:rsid w:val="00DA3B99"/>
    <w:rsid w:val="00DB1B44"/>
    <w:rsid w:val="00DB7DD1"/>
    <w:rsid w:val="00DC3C88"/>
    <w:rsid w:val="00DE355B"/>
    <w:rsid w:val="00DE37CA"/>
    <w:rsid w:val="00DE59DB"/>
    <w:rsid w:val="00DF0836"/>
    <w:rsid w:val="00DF18E4"/>
    <w:rsid w:val="00DF27B5"/>
    <w:rsid w:val="00E027B4"/>
    <w:rsid w:val="00E21D7A"/>
    <w:rsid w:val="00E73F9D"/>
    <w:rsid w:val="00E86B3B"/>
    <w:rsid w:val="00ED1678"/>
    <w:rsid w:val="00EF2C4F"/>
    <w:rsid w:val="00F04A99"/>
    <w:rsid w:val="00F04DEF"/>
    <w:rsid w:val="00F106BF"/>
    <w:rsid w:val="00F157ED"/>
    <w:rsid w:val="00F22506"/>
    <w:rsid w:val="00F40239"/>
    <w:rsid w:val="00F435D3"/>
    <w:rsid w:val="00F756B3"/>
    <w:rsid w:val="00F90740"/>
    <w:rsid w:val="00F94B4F"/>
    <w:rsid w:val="00FC53E5"/>
    <w:rsid w:val="00FF1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FA2C"/>
  <w15:docId w15:val="{0936ACBB-A822-40AE-9998-BA781E9F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F0E"/>
    <w:pPr>
      <w:widowControl w:val="0"/>
      <w:overflowPunct w:val="0"/>
      <w:autoSpaceDE w:val="0"/>
      <w:autoSpaceDN w:val="0"/>
      <w:adjustRightInd w:val="0"/>
      <w:spacing w:line="100" w:lineRule="atLeast"/>
      <w:textAlignment w:val="baseline"/>
    </w:pPr>
    <w:rPr>
      <w:kern w:val="1"/>
      <w:sz w:val="24"/>
      <w:lang w:val="de-DE"/>
    </w:rPr>
  </w:style>
  <w:style w:type="paragraph" w:styleId="Nagwek1">
    <w:name w:val="heading 1"/>
    <w:basedOn w:val="Nagwek"/>
    <w:next w:val="Tekstpodstawowy"/>
    <w:rsid w:val="00992F0E"/>
    <w:pPr>
      <w:numPr>
        <w:numId w:val="1"/>
      </w:numPr>
      <w:outlineLvl w:val="0"/>
    </w:pPr>
    <w:rPr>
      <w:rFonts w:ascii="Times New Roman" w:hAnsi="Times New Roman"/>
      <w:b/>
      <w:sz w:val="48"/>
    </w:rPr>
  </w:style>
  <w:style w:type="paragraph" w:styleId="Nagwek2">
    <w:name w:val="heading 2"/>
    <w:basedOn w:val="Normalny"/>
    <w:next w:val="Normalny"/>
    <w:link w:val="Nagwek2Znak"/>
    <w:uiPriority w:val="9"/>
    <w:unhideWhenUsed/>
    <w:qFormat/>
    <w:rsid w:val="003A55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agwek"/>
    <w:next w:val="Tekstpodstawowy"/>
    <w:link w:val="Nagwek3Znak"/>
    <w:rsid w:val="00992F0E"/>
    <w:pPr>
      <w:numPr>
        <w:ilvl w:val="2"/>
        <w:numId w:val="1"/>
      </w:numPr>
      <w:outlineLvl w:val="2"/>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0">
    <w:name w:val="Domy?lna czcionka akapitu"/>
    <w:rsid w:val="00992F0E"/>
  </w:style>
  <w:style w:type="character" w:styleId="Uwydatnienie">
    <w:name w:val="Emphasis"/>
    <w:qFormat/>
    <w:rsid w:val="00992F0E"/>
    <w:rPr>
      <w:i/>
    </w:rPr>
  </w:style>
  <w:style w:type="character" w:styleId="Pogrubienie">
    <w:name w:val="Strong"/>
    <w:uiPriority w:val="22"/>
    <w:qFormat/>
    <w:rsid w:val="00992F0E"/>
    <w:rPr>
      <w:b/>
    </w:rPr>
  </w:style>
  <w:style w:type="character" w:customStyle="1" w:styleId="Symbolewypunktowania">
    <w:name w:val="Symbole wypunktowania"/>
    <w:rsid w:val="00992F0E"/>
    <w:rPr>
      <w:rFonts w:ascii="OpenSymbol" w:hAnsi="OpenSymbol"/>
    </w:rPr>
  </w:style>
  <w:style w:type="character" w:customStyle="1" w:styleId="Znakinumeracji">
    <w:name w:val="Znaki numeracji"/>
    <w:rsid w:val="00992F0E"/>
  </w:style>
  <w:style w:type="character" w:styleId="Hipercze">
    <w:name w:val="Hyperlink"/>
    <w:semiHidden/>
    <w:rsid w:val="00992F0E"/>
    <w:rPr>
      <w:color w:val="000080"/>
      <w:u w:val="single"/>
    </w:rPr>
  </w:style>
  <w:style w:type="character" w:customStyle="1" w:styleId="Odwoaniedokomentarza">
    <w:name w:val="Odwo?anie do komentarza"/>
    <w:basedOn w:val="Domylnaczcionkaakapitu0"/>
    <w:rsid w:val="00992F0E"/>
    <w:rPr>
      <w:sz w:val="16"/>
    </w:rPr>
  </w:style>
  <w:style w:type="character" w:customStyle="1" w:styleId="TekstkomentarzaZnak">
    <w:name w:val="Tekst komentarza Znak"/>
    <w:basedOn w:val="Domylnaczcionkaakapitu0"/>
    <w:rsid w:val="00992F0E"/>
    <w:rPr>
      <w:sz w:val="20"/>
    </w:rPr>
  </w:style>
  <w:style w:type="character" w:customStyle="1" w:styleId="TematkomentarzaZnak">
    <w:name w:val="Temat komentarza Znak"/>
    <w:basedOn w:val="TekstkomentarzaZnak"/>
    <w:rsid w:val="00992F0E"/>
    <w:rPr>
      <w:b/>
      <w:sz w:val="20"/>
    </w:rPr>
  </w:style>
  <w:style w:type="character" w:customStyle="1" w:styleId="TekstdymkaZnak">
    <w:name w:val="Tekst dymka Znak"/>
    <w:basedOn w:val="Domylnaczcionkaakapitu0"/>
    <w:rsid w:val="00992F0E"/>
    <w:rPr>
      <w:rFonts w:ascii="Segoe UI" w:hAnsi="Segoe UI"/>
      <w:sz w:val="18"/>
    </w:rPr>
  </w:style>
  <w:style w:type="character" w:customStyle="1" w:styleId="WWCharLFO2LVL1">
    <w:name w:val="WW_CharLFO2LVL1"/>
    <w:rsid w:val="00992F0E"/>
    <w:rPr>
      <w:rFonts w:ascii="OpenSymbol" w:hAnsi="OpenSymbol"/>
    </w:rPr>
  </w:style>
  <w:style w:type="character" w:customStyle="1" w:styleId="WWCharLFO2LVL2">
    <w:name w:val="WW_CharLFO2LVL2"/>
    <w:rsid w:val="00992F0E"/>
    <w:rPr>
      <w:rFonts w:ascii="OpenSymbol" w:hAnsi="OpenSymbol"/>
    </w:rPr>
  </w:style>
  <w:style w:type="character" w:customStyle="1" w:styleId="WWCharLFO2LVL3">
    <w:name w:val="WW_CharLFO2LVL3"/>
    <w:rsid w:val="00992F0E"/>
    <w:rPr>
      <w:rFonts w:ascii="OpenSymbol" w:hAnsi="OpenSymbol"/>
    </w:rPr>
  </w:style>
  <w:style w:type="character" w:customStyle="1" w:styleId="WWCharLFO2LVL4">
    <w:name w:val="WW_CharLFO2LVL4"/>
    <w:rsid w:val="00992F0E"/>
    <w:rPr>
      <w:rFonts w:ascii="OpenSymbol" w:hAnsi="OpenSymbol"/>
    </w:rPr>
  </w:style>
  <w:style w:type="character" w:customStyle="1" w:styleId="WWCharLFO2LVL5">
    <w:name w:val="WW_CharLFO2LVL5"/>
    <w:rsid w:val="00992F0E"/>
    <w:rPr>
      <w:rFonts w:ascii="OpenSymbol" w:hAnsi="OpenSymbol"/>
    </w:rPr>
  </w:style>
  <w:style w:type="character" w:customStyle="1" w:styleId="WWCharLFO2LVL6">
    <w:name w:val="WW_CharLFO2LVL6"/>
    <w:rsid w:val="00992F0E"/>
    <w:rPr>
      <w:rFonts w:ascii="OpenSymbol" w:hAnsi="OpenSymbol"/>
    </w:rPr>
  </w:style>
  <w:style w:type="character" w:customStyle="1" w:styleId="WWCharLFO2LVL7">
    <w:name w:val="WW_CharLFO2LVL7"/>
    <w:rsid w:val="00992F0E"/>
    <w:rPr>
      <w:rFonts w:ascii="OpenSymbol" w:hAnsi="OpenSymbol"/>
    </w:rPr>
  </w:style>
  <w:style w:type="character" w:customStyle="1" w:styleId="WWCharLFO2LVL8">
    <w:name w:val="WW_CharLFO2LVL8"/>
    <w:rsid w:val="00992F0E"/>
    <w:rPr>
      <w:rFonts w:ascii="OpenSymbol" w:hAnsi="OpenSymbol"/>
    </w:rPr>
  </w:style>
  <w:style w:type="character" w:customStyle="1" w:styleId="WWCharLFO2LVL9">
    <w:name w:val="WW_CharLFO2LVL9"/>
    <w:rsid w:val="00992F0E"/>
    <w:rPr>
      <w:rFonts w:ascii="OpenSymbol" w:hAnsi="OpenSymbol"/>
    </w:rPr>
  </w:style>
  <w:style w:type="character" w:customStyle="1" w:styleId="WWCharLFO3LVL1">
    <w:name w:val="WW_CharLFO3LVL1"/>
    <w:rsid w:val="00992F0E"/>
    <w:rPr>
      <w:rFonts w:ascii="OpenSymbol" w:hAnsi="OpenSymbol"/>
    </w:rPr>
  </w:style>
  <w:style w:type="character" w:customStyle="1" w:styleId="WWCharLFO3LVL2">
    <w:name w:val="WW_CharLFO3LVL2"/>
    <w:rsid w:val="00992F0E"/>
    <w:rPr>
      <w:rFonts w:ascii="OpenSymbol" w:hAnsi="OpenSymbol"/>
    </w:rPr>
  </w:style>
  <w:style w:type="character" w:customStyle="1" w:styleId="WWCharLFO3LVL3">
    <w:name w:val="WW_CharLFO3LVL3"/>
    <w:rsid w:val="00992F0E"/>
    <w:rPr>
      <w:rFonts w:ascii="OpenSymbol" w:hAnsi="OpenSymbol"/>
    </w:rPr>
  </w:style>
  <w:style w:type="character" w:customStyle="1" w:styleId="WWCharLFO3LVL4">
    <w:name w:val="WW_CharLFO3LVL4"/>
    <w:rsid w:val="00992F0E"/>
    <w:rPr>
      <w:rFonts w:ascii="OpenSymbol" w:hAnsi="OpenSymbol"/>
    </w:rPr>
  </w:style>
  <w:style w:type="character" w:customStyle="1" w:styleId="WWCharLFO3LVL5">
    <w:name w:val="WW_CharLFO3LVL5"/>
    <w:rsid w:val="00992F0E"/>
    <w:rPr>
      <w:rFonts w:ascii="OpenSymbol" w:hAnsi="OpenSymbol"/>
    </w:rPr>
  </w:style>
  <w:style w:type="character" w:customStyle="1" w:styleId="WWCharLFO3LVL6">
    <w:name w:val="WW_CharLFO3LVL6"/>
    <w:rsid w:val="00992F0E"/>
    <w:rPr>
      <w:rFonts w:ascii="OpenSymbol" w:hAnsi="OpenSymbol"/>
    </w:rPr>
  </w:style>
  <w:style w:type="character" w:customStyle="1" w:styleId="WWCharLFO3LVL7">
    <w:name w:val="WW_CharLFO3LVL7"/>
    <w:rsid w:val="00992F0E"/>
    <w:rPr>
      <w:rFonts w:ascii="OpenSymbol" w:hAnsi="OpenSymbol"/>
    </w:rPr>
  </w:style>
  <w:style w:type="character" w:customStyle="1" w:styleId="WWCharLFO3LVL8">
    <w:name w:val="WW_CharLFO3LVL8"/>
    <w:rsid w:val="00992F0E"/>
    <w:rPr>
      <w:rFonts w:ascii="OpenSymbol" w:hAnsi="OpenSymbol"/>
    </w:rPr>
  </w:style>
  <w:style w:type="character" w:customStyle="1" w:styleId="WWCharLFO3LVL9">
    <w:name w:val="WW_CharLFO3LVL9"/>
    <w:rsid w:val="00992F0E"/>
    <w:rPr>
      <w:rFonts w:ascii="OpenSymbol" w:hAnsi="OpenSymbol"/>
    </w:rPr>
  </w:style>
  <w:style w:type="character" w:customStyle="1" w:styleId="WWCharLFO4LVL1">
    <w:name w:val="WW_CharLFO4LVL1"/>
    <w:rsid w:val="00992F0E"/>
    <w:rPr>
      <w:rFonts w:ascii="OpenSymbol" w:hAnsi="OpenSymbol"/>
    </w:rPr>
  </w:style>
  <w:style w:type="character" w:customStyle="1" w:styleId="WWCharLFO4LVL2">
    <w:name w:val="WW_CharLFO4LVL2"/>
    <w:rsid w:val="00992F0E"/>
    <w:rPr>
      <w:rFonts w:ascii="OpenSymbol" w:hAnsi="OpenSymbol"/>
    </w:rPr>
  </w:style>
  <w:style w:type="character" w:customStyle="1" w:styleId="WWCharLFO4LVL3">
    <w:name w:val="WW_CharLFO4LVL3"/>
    <w:rsid w:val="00992F0E"/>
    <w:rPr>
      <w:rFonts w:ascii="OpenSymbol" w:hAnsi="OpenSymbol"/>
    </w:rPr>
  </w:style>
  <w:style w:type="character" w:customStyle="1" w:styleId="WWCharLFO4LVL4">
    <w:name w:val="WW_CharLFO4LVL4"/>
    <w:rsid w:val="00992F0E"/>
    <w:rPr>
      <w:rFonts w:ascii="OpenSymbol" w:hAnsi="OpenSymbol"/>
    </w:rPr>
  </w:style>
  <w:style w:type="character" w:customStyle="1" w:styleId="WWCharLFO4LVL5">
    <w:name w:val="WW_CharLFO4LVL5"/>
    <w:rsid w:val="00992F0E"/>
    <w:rPr>
      <w:rFonts w:ascii="OpenSymbol" w:hAnsi="OpenSymbol"/>
    </w:rPr>
  </w:style>
  <w:style w:type="character" w:customStyle="1" w:styleId="WWCharLFO4LVL6">
    <w:name w:val="WW_CharLFO4LVL6"/>
    <w:rsid w:val="00992F0E"/>
    <w:rPr>
      <w:rFonts w:ascii="OpenSymbol" w:hAnsi="OpenSymbol"/>
    </w:rPr>
  </w:style>
  <w:style w:type="character" w:customStyle="1" w:styleId="WWCharLFO4LVL7">
    <w:name w:val="WW_CharLFO4LVL7"/>
    <w:rsid w:val="00992F0E"/>
    <w:rPr>
      <w:rFonts w:ascii="OpenSymbol" w:hAnsi="OpenSymbol"/>
    </w:rPr>
  </w:style>
  <w:style w:type="character" w:customStyle="1" w:styleId="WWCharLFO4LVL8">
    <w:name w:val="WW_CharLFO4LVL8"/>
    <w:rsid w:val="00992F0E"/>
    <w:rPr>
      <w:rFonts w:ascii="OpenSymbol" w:hAnsi="OpenSymbol"/>
    </w:rPr>
  </w:style>
  <w:style w:type="character" w:customStyle="1" w:styleId="WWCharLFO4LVL9">
    <w:name w:val="WW_CharLFO4LVL9"/>
    <w:rsid w:val="00992F0E"/>
    <w:rPr>
      <w:rFonts w:ascii="OpenSymbol" w:hAnsi="OpenSymbol"/>
    </w:rPr>
  </w:style>
  <w:style w:type="character" w:customStyle="1" w:styleId="WWCharLFO5LVL1">
    <w:name w:val="WW_CharLFO5LVL1"/>
    <w:rsid w:val="00992F0E"/>
    <w:rPr>
      <w:rFonts w:ascii="OpenSymbol" w:hAnsi="OpenSymbol"/>
    </w:rPr>
  </w:style>
  <w:style w:type="character" w:customStyle="1" w:styleId="WWCharLFO5LVL2">
    <w:name w:val="WW_CharLFO5LVL2"/>
    <w:rsid w:val="00992F0E"/>
    <w:rPr>
      <w:rFonts w:ascii="OpenSymbol" w:hAnsi="OpenSymbol"/>
    </w:rPr>
  </w:style>
  <w:style w:type="character" w:customStyle="1" w:styleId="WWCharLFO5LVL3">
    <w:name w:val="WW_CharLFO5LVL3"/>
    <w:rsid w:val="00992F0E"/>
    <w:rPr>
      <w:rFonts w:ascii="OpenSymbol" w:hAnsi="OpenSymbol"/>
    </w:rPr>
  </w:style>
  <w:style w:type="character" w:customStyle="1" w:styleId="WWCharLFO5LVL4">
    <w:name w:val="WW_CharLFO5LVL4"/>
    <w:rsid w:val="00992F0E"/>
    <w:rPr>
      <w:rFonts w:ascii="OpenSymbol" w:hAnsi="OpenSymbol"/>
    </w:rPr>
  </w:style>
  <w:style w:type="character" w:customStyle="1" w:styleId="WWCharLFO5LVL5">
    <w:name w:val="WW_CharLFO5LVL5"/>
    <w:rsid w:val="00992F0E"/>
    <w:rPr>
      <w:rFonts w:ascii="OpenSymbol" w:hAnsi="OpenSymbol"/>
    </w:rPr>
  </w:style>
  <w:style w:type="character" w:customStyle="1" w:styleId="WWCharLFO5LVL6">
    <w:name w:val="WW_CharLFO5LVL6"/>
    <w:rsid w:val="00992F0E"/>
    <w:rPr>
      <w:rFonts w:ascii="OpenSymbol" w:hAnsi="OpenSymbol"/>
    </w:rPr>
  </w:style>
  <w:style w:type="character" w:customStyle="1" w:styleId="WWCharLFO5LVL7">
    <w:name w:val="WW_CharLFO5LVL7"/>
    <w:rsid w:val="00992F0E"/>
    <w:rPr>
      <w:rFonts w:ascii="OpenSymbol" w:hAnsi="OpenSymbol"/>
    </w:rPr>
  </w:style>
  <w:style w:type="character" w:customStyle="1" w:styleId="WWCharLFO5LVL8">
    <w:name w:val="WW_CharLFO5LVL8"/>
    <w:rsid w:val="00992F0E"/>
    <w:rPr>
      <w:rFonts w:ascii="OpenSymbol" w:hAnsi="OpenSymbol"/>
    </w:rPr>
  </w:style>
  <w:style w:type="character" w:customStyle="1" w:styleId="WWCharLFO5LVL9">
    <w:name w:val="WW_CharLFO5LVL9"/>
    <w:rsid w:val="00992F0E"/>
    <w:rPr>
      <w:rFonts w:ascii="OpenSymbol" w:hAnsi="OpenSymbol"/>
    </w:rPr>
  </w:style>
  <w:style w:type="character" w:customStyle="1" w:styleId="WWCharLFO6LVL1">
    <w:name w:val="WW_CharLFO6LVL1"/>
    <w:rsid w:val="00992F0E"/>
    <w:rPr>
      <w:rFonts w:ascii="OpenSymbol" w:hAnsi="OpenSymbol"/>
    </w:rPr>
  </w:style>
  <w:style w:type="character" w:customStyle="1" w:styleId="WWCharLFO6LVL2">
    <w:name w:val="WW_CharLFO6LVL2"/>
    <w:rsid w:val="00992F0E"/>
    <w:rPr>
      <w:rFonts w:ascii="OpenSymbol" w:hAnsi="OpenSymbol"/>
    </w:rPr>
  </w:style>
  <w:style w:type="character" w:customStyle="1" w:styleId="WWCharLFO6LVL3">
    <w:name w:val="WW_CharLFO6LVL3"/>
    <w:rsid w:val="00992F0E"/>
    <w:rPr>
      <w:rFonts w:ascii="OpenSymbol" w:hAnsi="OpenSymbol"/>
    </w:rPr>
  </w:style>
  <w:style w:type="character" w:customStyle="1" w:styleId="WWCharLFO6LVL4">
    <w:name w:val="WW_CharLFO6LVL4"/>
    <w:rsid w:val="00992F0E"/>
    <w:rPr>
      <w:rFonts w:ascii="OpenSymbol" w:hAnsi="OpenSymbol"/>
    </w:rPr>
  </w:style>
  <w:style w:type="character" w:customStyle="1" w:styleId="WWCharLFO6LVL5">
    <w:name w:val="WW_CharLFO6LVL5"/>
    <w:rsid w:val="00992F0E"/>
    <w:rPr>
      <w:rFonts w:ascii="OpenSymbol" w:hAnsi="OpenSymbol"/>
    </w:rPr>
  </w:style>
  <w:style w:type="character" w:customStyle="1" w:styleId="WWCharLFO6LVL6">
    <w:name w:val="WW_CharLFO6LVL6"/>
    <w:rsid w:val="00992F0E"/>
    <w:rPr>
      <w:rFonts w:ascii="OpenSymbol" w:hAnsi="OpenSymbol"/>
    </w:rPr>
  </w:style>
  <w:style w:type="character" w:customStyle="1" w:styleId="WWCharLFO6LVL7">
    <w:name w:val="WW_CharLFO6LVL7"/>
    <w:rsid w:val="00992F0E"/>
    <w:rPr>
      <w:rFonts w:ascii="OpenSymbol" w:hAnsi="OpenSymbol"/>
    </w:rPr>
  </w:style>
  <w:style w:type="character" w:customStyle="1" w:styleId="WWCharLFO6LVL8">
    <w:name w:val="WW_CharLFO6LVL8"/>
    <w:rsid w:val="00992F0E"/>
    <w:rPr>
      <w:rFonts w:ascii="OpenSymbol" w:hAnsi="OpenSymbol"/>
    </w:rPr>
  </w:style>
  <w:style w:type="character" w:customStyle="1" w:styleId="WWCharLFO6LVL9">
    <w:name w:val="WW_CharLFO6LVL9"/>
    <w:rsid w:val="00992F0E"/>
    <w:rPr>
      <w:rFonts w:ascii="OpenSymbol" w:hAnsi="OpenSymbol"/>
    </w:rPr>
  </w:style>
  <w:style w:type="character" w:customStyle="1" w:styleId="WWCharLFO7LVL1">
    <w:name w:val="WW_CharLFO7LVL1"/>
    <w:rsid w:val="00992F0E"/>
    <w:rPr>
      <w:rFonts w:ascii="OpenSymbol" w:hAnsi="OpenSymbol"/>
    </w:rPr>
  </w:style>
  <w:style w:type="character" w:customStyle="1" w:styleId="WWCharLFO7LVL2">
    <w:name w:val="WW_CharLFO7LVL2"/>
    <w:rsid w:val="00992F0E"/>
    <w:rPr>
      <w:rFonts w:ascii="OpenSymbol" w:hAnsi="OpenSymbol"/>
    </w:rPr>
  </w:style>
  <w:style w:type="character" w:customStyle="1" w:styleId="WWCharLFO7LVL3">
    <w:name w:val="WW_CharLFO7LVL3"/>
    <w:rsid w:val="00992F0E"/>
    <w:rPr>
      <w:rFonts w:ascii="OpenSymbol" w:hAnsi="OpenSymbol"/>
    </w:rPr>
  </w:style>
  <w:style w:type="character" w:customStyle="1" w:styleId="WWCharLFO7LVL4">
    <w:name w:val="WW_CharLFO7LVL4"/>
    <w:rsid w:val="00992F0E"/>
    <w:rPr>
      <w:rFonts w:ascii="OpenSymbol" w:hAnsi="OpenSymbol"/>
    </w:rPr>
  </w:style>
  <w:style w:type="character" w:customStyle="1" w:styleId="WWCharLFO7LVL5">
    <w:name w:val="WW_CharLFO7LVL5"/>
    <w:rsid w:val="00992F0E"/>
    <w:rPr>
      <w:rFonts w:ascii="OpenSymbol" w:hAnsi="OpenSymbol"/>
    </w:rPr>
  </w:style>
  <w:style w:type="character" w:customStyle="1" w:styleId="WWCharLFO7LVL6">
    <w:name w:val="WW_CharLFO7LVL6"/>
    <w:rsid w:val="00992F0E"/>
    <w:rPr>
      <w:rFonts w:ascii="OpenSymbol" w:hAnsi="OpenSymbol"/>
    </w:rPr>
  </w:style>
  <w:style w:type="character" w:customStyle="1" w:styleId="WWCharLFO7LVL7">
    <w:name w:val="WW_CharLFO7LVL7"/>
    <w:rsid w:val="00992F0E"/>
    <w:rPr>
      <w:rFonts w:ascii="OpenSymbol" w:hAnsi="OpenSymbol"/>
    </w:rPr>
  </w:style>
  <w:style w:type="character" w:customStyle="1" w:styleId="WWCharLFO7LVL8">
    <w:name w:val="WW_CharLFO7LVL8"/>
    <w:rsid w:val="00992F0E"/>
    <w:rPr>
      <w:rFonts w:ascii="OpenSymbol" w:hAnsi="OpenSymbol"/>
    </w:rPr>
  </w:style>
  <w:style w:type="character" w:customStyle="1" w:styleId="WWCharLFO7LVL9">
    <w:name w:val="WW_CharLFO7LVL9"/>
    <w:rsid w:val="00992F0E"/>
    <w:rPr>
      <w:rFonts w:ascii="OpenSymbol" w:hAnsi="OpenSymbol"/>
    </w:rPr>
  </w:style>
  <w:style w:type="character" w:customStyle="1" w:styleId="WWCharLFO8LVL1">
    <w:name w:val="WW_CharLFO8LVL1"/>
    <w:rsid w:val="00992F0E"/>
    <w:rPr>
      <w:rFonts w:ascii="OpenSymbol" w:hAnsi="OpenSymbol"/>
    </w:rPr>
  </w:style>
  <w:style w:type="character" w:customStyle="1" w:styleId="WWCharLFO8LVL2">
    <w:name w:val="WW_CharLFO8LVL2"/>
    <w:rsid w:val="00992F0E"/>
    <w:rPr>
      <w:rFonts w:ascii="OpenSymbol" w:hAnsi="OpenSymbol"/>
    </w:rPr>
  </w:style>
  <w:style w:type="character" w:customStyle="1" w:styleId="WWCharLFO8LVL3">
    <w:name w:val="WW_CharLFO8LVL3"/>
    <w:rsid w:val="00992F0E"/>
    <w:rPr>
      <w:rFonts w:ascii="OpenSymbol" w:hAnsi="OpenSymbol"/>
    </w:rPr>
  </w:style>
  <w:style w:type="character" w:customStyle="1" w:styleId="WWCharLFO8LVL4">
    <w:name w:val="WW_CharLFO8LVL4"/>
    <w:rsid w:val="00992F0E"/>
    <w:rPr>
      <w:rFonts w:ascii="OpenSymbol" w:hAnsi="OpenSymbol"/>
    </w:rPr>
  </w:style>
  <w:style w:type="character" w:customStyle="1" w:styleId="WWCharLFO8LVL5">
    <w:name w:val="WW_CharLFO8LVL5"/>
    <w:rsid w:val="00992F0E"/>
    <w:rPr>
      <w:rFonts w:ascii="OpenSymbol" w:hAnsi="OpenSymbol"/>
    </w:rPr>
  </w:style>
  <w:style w:type="character" w:customStyle="1" w:styleId="WWCharLFO8LVL6">
    <w:name w:val="WW_CharLFO8LVL6"/>
    <w:rsid w:val="00992F0E"/>
    <w:rPr>
      <w:rFonts w:ascii="OpenSymbol" w:hAnsi="OpenSymbol"/>
    </w:rPr>
  </w:style>
  <w:style w:type="character" w:customStyle="1" w:styleId="WWCharLFO8LVL7">
    <w:name w:val="WW_CharLFO8LVL7"/>
    <w:rsid w:val="00992F0E"/>
    <w:rPr>
      <w:rFonts w:ascii="OpenSymbol" w:hAnsi="OpenSymbol"/>
    </w:rPr>
  </w:style>
  <w:style w:type="character" w:customStyle="1" w:styleId="WWCharLFO8LVL8">
    <w:name w:val="WW_CharLFO8LVL8"/>
    <w:rsid w:val="00992F0E"/>
    <w:rPr>
      <w:rFonts w:ascii="OpenSymbol" w:hAnsi="OpenSymbol"/>
    </w:rPr>
  </w:style>
  <w:style w:type="character" w:customStyle="1" w:styleId="WWCharLFO8LVL9">
    <w:name w:val="WW_CharLFO8LVL9"/>
    <w:rsid w:val="00992F0E"/>
    <w:rPr>
      <w:rFonts w:ascii="OpenSymbol" w:hAnsi="OpenSymbol"/>
    </w:rPr>
  </w:style>
  <w:style w:type="paragraph" w:customStyle="1" w:styleId="Nagwek">
    <w:name w:val="Nag?ówek"/>
    <w:basedOn w:val="Normalny"/>
    <w:next w:val="Tekstpodstawowy"/>
    <w:rsid w:val="00992F0E"/>
    <w:pPr>
      <w:keepNext/>
      <w:suppressAutoHyphens/>
      <w:spacing w:before="240" w:after="120"/>
    </w:pPr>
    <w:rPr>
      <w:rFonts w:ascii="Arial" w:hAnsi="Arial"/>
      <w:sz w:val="28"/>
    </w:rPr>
  </w:style>
  <w:style w:type="paragraph" w:styleId="Tekstpodstawowy">
    <w:name w:val="Body Text"/>
    <w:basedOn w:val="Normalny"/>
    <w:semiHidden/>
    <w:rsid w:val="00992F0E"/>
    <w:pPr>
      <w:suppressAutoHyphens/>
      <w:spacing w:after="120"/>
    </w:pPr>
  </w:style>
  <w:style w:type="paragraph" w:customStyle="1" w:styleId="Normalny1">
    <w:name w:val="Normalny1"/>
    <w:rsid w:val="00992F0E"/>
    <w:pPr>
      <w:widowControl w:val="0"/>
      <w:suppressAutoHyphens/>
      <w:overflowPunct w:val="0"/>
      <w:autoSpaceDE w:val="0"/>
      <w:autoSpaceDN w:val="0"/>
      <w:adjustRightInd w:val="0"/>
      <w:spacing w:line="100" w:lineRule="atLeast"/>
      <w:textAlignment w:val="baseline"/>
    </w:pPr>
    <w:rPr>
      <w:kern w:val="1"/>
      <w:sz w:val="24"/>
      <w:lang w:val="de-DE"/>
    </w:rPr>
  </w:style>
  <w:style w:type="paragraph" w:styleId="Lista">
    <w:name w:val="List"/>
    <w:basedOn w:val="Tekstpodstawowy"/>
    <w:semiHidden/>
    <w:rsid w:val="00992F0E"/>
  </w:style>
  <w:style w:type="paragraph" w:styleId="Legenda">
    <w:name w:val="caption"/>
    <w:basedOn w:val="Normalny"/>
    <w:rsid w:val="00992F0E"/>
    <w:pPr>
      <w:suppressLineNumbers/>
      <w:suppressAutoHyphens/>
      <w:spacing w:before="120" w:after="120"/>
    </w:pPr>
    <w:rPr>
      <w:i/>
    </w:rPr>
  </w:style>
  <w:style w:type="paragraph" w:customStyle="1" w:styleId="Indeks">
    <w:name w:val="Indeks"/>
    <w:basedOn w:val="Normalny"/>
    <w:rsid w:val="00992F0E"/>
    <w:pPr>
      <w:suppressLineNumbers/>
      <w:suppressAutoHyphens/>
    </w:pPr>
  </w:style>
  <w:style w:type="paragraph" w:customStyle="1" w:styleId="Default">
    <w:name w:val="Default"/>
    <w:basedOn w:val="Normalny"/>
    <w:rsid w:val="00992F0E"/>
    <w:pPr>
      <w:suppressAutoHyphens/>
    </w:pPr>
    <w:rPr>
      <w:color w:val="000000"/>
    </w:rPr>
  </w:style>
  <w:style w:type="paragraph" w:customStyle="1" w:styleId="Zawartotabeli">
    <w:name w:val="Zawarto?? tabeli"/>
    <w:basedOn w:val="Normalny"/>
    <w:rsid w:val="00992F0E"/>
    <w:pPr>
      <w:suppressLineNumbers/>
      <w:suppressAutoHyphens/>
    </w:pPr>
  </w:style>
  <w:style w:type="paragraph" w:customStyle="1" w:styleId="Nagwektabeli">
    <w:name w:val="Nag?ówek tabeli"/>
    <w:basedOn w:val="Zawartotabeli"/>
    <w:rsid w:val="00992F0E"/>
    <w:pPr>
      <w:jc w:val="center"/>
    </w:pPr>
    <w:rPr>
      <w:b/>
    </w:rPr>
  </w:style>
  <w:style w:type="paragraph" w:customStyle="1" w:styleId="Pa52">
    <w:name w:val="Pa52"/>
    <w:basedOn w:val="Default"/>
    <w:next w:val="Default"/>
    <w:rsid w:val="00992F0E"/>
    <w:pPr>
      <w:spacing w:line="181" w:lineRule="atLeast"/>
    </w:pPr>
    <w:rPr>
      <w:color w:val="auto"/>
    </w:rPr>
  </w:style>
  <w:style w:type="paragraph" w:styleId="Tekstkomentarza">
    <w:name w:val="annotation text"/>
    <w:basedOn w:val="Normalny1"/>
    <w:rsid w:val="00992F0E"/>
    <w:rPr>
      <w:sz w:val="20"/>
    </w:rPr>
  </w:style>
  <w:style w:type="paragraph" w:styleId="Tematkomentarza">
    <w:name w:val="annotation subject"/>
    <w:basedOn w:val="Tekstkomentarza"/>
    <w:next w:val="Tekstkomentarza"/>
    <w:rsid w:val="00992F0E"/>
    <w:rPr>
      <w:b/>
    </w:rPr>
  </w:style>
  <w:style w:type="paragraph" w:styleId="Tekstdymka">
    <w:name w:val="Balloon Text"/>
    <w:basedOn w:val="Normalny1"/>
    <w:rsid w:val="00992F0E"/>
    <w:rPr>
      <w:rFonts w:ascii="Segoe UI" w:hAnsi="Segoe UI"/>
      <w:sz w:val="18"/>
    </w:rPr>
  </w:style>
  <w:style w:type="paragraph" w:customStyle="1" w:styleId="Pa11">
    <w:name w:val="Pa11"/>
    <w:basedOn w:val="Default"/>
    <w:next w:val="Default"/>
    <w:rsid w:val="00992F0E"/>
    <w:pPr>
      <w:spacing w:line="209" w:lineRule="atLeast"/>
    </w:pPr>
    <w:rPr>
      <w:color w:val="auto"/>
    </w:rPr>
  </w:style>
  <w:style w:type="paragraph" w:customStyle="1" w:styleId="Pa17">
    <w:name w:val="Pa17"/>
    <w:basedOn w:val="Default"/>
    <w:next w:val="Default"/>
    <w:rsid w:val="00992F0E"/>
    <w:pPr>
      <w:spacing w:line="161" w:lineRule="atLeast"/>
    </w:pPr>
    <w:rPr>
      <w:color w:val="auto"/>
    </w:rPr>
  </w:style>
  <w:style w:type="paragraph" w:customStyle="1" w:styleId="Tekstwstpniesformatowany">
    <w:name w:val="Tekst wst?pnie sformatowany"/>
    <w:basedOn w:val="Normalny"/>
    <w:rsid w:val="00992F0E"/>
    <w:rPr>
      <w:rFonts w:ascii="Courier New" w:hAnsi="Courier New"/>
      <w:sz w:val="20"/>
    </w:rPr>
  </w:style>
  <w:style w:type="paragraph" w:styleId="Nagwek0">
    <w:name w:val="header"/>
    <w:basedOn w:val="Normalny"/>
    <w:link w:val="NagwekZnak"/>
    <w:uiPriority w:val="99"/>
    <w:rsid w:val="00992F0E"/>
    <w:pPr>
      <w:suppressLineNumbers/>
      <w:tabs>
        <w:tab w:val="center" w:pos="4819"/>
        <w:tab w:val="right" w:pos="9638"/>
      </w:tabs>
    </w:pPr>
  </w:style>
  <w:style w:type="paragraph" w:styleId="Stopka">
    <w:name w:val="footer"/>
    <w:basedOn w:val="Normalny"/>
    <w:link w:val="StopkaZnak"/>
    <w:uiPriority w:val="99"/>
    <w:rsid w:val="00992F0E"/>
    <w:pPr>
      <w:suppressLineNumbers/>
      <w:tabs>
        <w:tab w:val="center" w:pos="4819"/>
        <w:tab w:val="right" w:pos="9638"/>
      </w:tabs>
    </w:pPr>
  </w:style>
  <w:style w:type="paragraph" w:styleId="NormalnyWeb">
    <w:name w:val="Normal (Web)"/>
    <w:basedOn w:val="Normalny"/>
    <w:uiPriority w:val="99"/>
    <w:unhideWhenUsed/>
    <w:rsid w:val="00F106BF"/>
    <w:pPr>
      <w:widowControl/>
      <w:overflowPunct/>
      <w:autoSpaceDE/>
      <w:autoSpaceDN/>
      <w:adjustRightInd/>
      <w:spacing w:before="100" w:beforeAutospacing="1" w:after="100" w:afterAutospacing="1" w:line="240" w:lineRule="auto"/>
      <w:textAlignment w:val="auto"/>
    </w:pPr>
    <w:rPr>
      <w:kern w:val="0"/>
      <w:szCs w:val="24"/>
      <w:lang w:val="pl-PL"/>
    </w:rPr>
  </w:style>
  <w:style w:type="character" w:customStyle="1" w:styleId="Nagwek2Znak">
    <w:name w:val="Nagłówek 2 Znak"/>
    <w:basedOn w:val="Domylnaczcionkaakapitu"/>
    <w:link w:val="Nagwek2"/>
    <w:uiPriority w:val="9"/>
    <w:rsid w:val="003A55D7"/>
    <w:rPr>
      <w:rFonts w:asciiTheme="majorHAnsi" w:eastAsiaTheme="majorEastAsia" w:hAnsiTheme="majorHAnsi" w:cstheme="majorBidi"/>
      <w:b/>
      <w:bCs/>
      <w:color w:val="4F81BD" w:themeColor="accent1"/>
      <w:kern w:val="1"/>
      <w:sz w:val="26"/>
      <w:szCs w:val="26"/>
      <w:lang w:val="de-DE"/>
    </w:rPr>
  </w:style>
  <w:style w:type="character" w:styleId="Odwoaniedokomentarza0">
    <w:name w:val="annotation reference"/>
    <w:basedOn w:val="Domylnaczcionkaakapitu"/>
    <w:uiPriority w:val="99"/>
    <w:semiHidden/>
    <w:unhideWhenUsed/>
    <w:rsid w:val="00876F83"/>
    <w:rPr>
      <w:sz w:val="16"/>
      <w:szCs w:val="16"/>
    </w:rPr>
  </w:style>
  <w:style w:type="paragraph" w:styleId="Akapitzlist">
    <w:name w:val="List Paragraph"/>
    <w:basedOn w:val="Normalny"/>
    <w:uiPriority w:val="34"/>
    <w:qFormat/>
    <w:rsid w:val="00A62BAC"/>
    <w:pPr>
      <w:ind w:left="720"/>
      <w:contextualSpacing/>
    </w:pPr>
  </w:style>
  <w:style w:type="paragraph" w:customStyle="1" w:styleId="Rab1">
    <w:name w:val="R_ab1"/>
    <w:next w:val="Normalny"/>
    <w:autoRedefine/>
    <w:qFormat/>
    <w:rsid w:val="00A62BAC"/>
    <w:pPr>
      <w:suppressAutoHyphens/>
      <w:spacing w:before="120"/>
      <w:ind w:left="567" w:right="567"/>
      <w:jc w:val="both"/>
    </w:pPr>
    <w:rPr>
      <w:rFonts w:eastAsia="SimSun"/>
      <w:kern w:val="2"/>
      <w:sz w:val="18"/>
      <w:lang w:val="en-GB"/>
      <w14:ligatures w14:val="standardContextual"/>
    </w:rPr>
  </w:style>
  <w:style w:type="paragraph" w:customStyle="1" w:styleId="Rab2">
    <w:name w:val="R_ab2"/>
    <w:basedOn w:val="Rab1"/>
    <w:next w:val="Normalny"/>
    <w:autoRedefine/>
    <w:qFormat/>
    <w:rsid w:val="00A62BAC"/>
    <w:pPr>
      <w:spacing w:before="60"/>
    </w:pPr>
  </w:style>
  <w:style w:type="paragraph" w:customStyle="1" w:styleId="Rafiliacja">
    <w:name w:val="R_afiliacja"/>
    <w:basedOn w:val="Normalny"/>
    <w:link w:val="RafiliacjaZnak"/>
    <w:qFormat/>
    <w:rsid w:val="00A62BAC"/>
    <w:pPr>
      <w:widowControl/>
      <w:suppressAutoHyphens/>
      <w:overflowPunct/>
      <w:autoSpaceDE/>
      <w:autoSpaceDN/>
      <w:adjustRightInd/>
      <w:spacing w:line="240" w:lineRule="auto"/>
      <w:jc w:val="center"/>
      <w:textAlignment w:val="auto"/>
    </w:pPr>
    <w:rPr>
      <w:rFonts w:eastAsiaTheme="minorHAnsi"/>
      <w:i/>
      <w:kern w:val="2"/>
      <w:sz w:val="20"/>
      <w:szCs w:val="28"/>
      <w:lang w:val="pl-PL" w:eastAsia="en-US"/>
      <w14:ligatures w14:val="standardContextual"/>
    </w:rPr>
  </w:style>
  <w:style w:type="character" w:customStyle="1" w:styleId="RafiliacjaZnak">
    <w:name w:val="R_afiliacja Znak"/>
    <w:basedOn w:val="Domylnaczcionkaakapitu"/>
    <w:link w:val="Rafiliacja"/>
    <w:rsid w:val="00A62BAC"/>
    <w:rPr>
      <w:rFonts w:eastAsiaTheme="minorHAnsi"/>
      <w:i/>
      <w:kern w:val="2"/>
      <w:szCs w:val="28"/>
      <w:lang w:eastAsia="en-US"/>
      <w14:ligatures w14:val="standardContextual"/>
    </w:rPr>
  </w:style>
  <w:style w:type="paragraph" w:customStyle="1" w:styleId="Rauco">
    <w:name w:val="R_au_co"/>
    <w:basedOn w:val="Rafiliacja"/>
    <w:autoRedefine/>
    <w:qFormat/>
    <w:rsid w:val="00A62BAC"/>
    <w:pPr>
      <w:spacing w:before="120"/>
    </w:pPr>
    <w:rPr>
      <w:lang w:val="en-GB"/>
    </w:rPr>
  </w:style>
  <w:style w:type="paragraph" w:customStyle="1" w:styleId="Rn1">
    <w:name w:val="R_n1"/>
    <w:basedOn w:val="Normalny"/>
    <w:link w:val="Rn1Znak"/>
    <w:qFormat/>
    <w:rsid w:val="00A62BAC"/>
    <w:pPr>
      <w:widowControl/>
      <w:suppressAutoHyphens/>
      <w:overflowPunct/>
      <w:autoSpaceDE/>
      <w:autoSpaceDN/>
      <w:adjustRightInd/>
      <w:spacing w:before="240" w:after="120" w:line="240" w:lineRule="auto"/>
      <w:jc w:val="both"/>
      <w:textAlignment w:val="auto"/>
    </w:pPr>
    <w:rPr>
      <w:rFonts w:eastAsiaTheme="minorHAnsi" w:cstheme="minorBidi"/>
      <w:b/>
      <w:kern w:val="2"/>
      <w:szCs w:val="22"/>
      <w:lang w:val="pl-PL" w:eastAsia="en-US"/>
      <w14:ligatures w14:val="standardContextual"/>
    </w:rPr>
  </w:style>
  <w:style w:type="character" w:customStyle="1" w:styleId="Rn1Znak">
    <w:name w:val="R_n1 Znak"/>
    <w:basedOn w:val="Domylnaczcionkaakapitu"/>
    <w:link w:val="Rn1"/>
    <w:rsid w:val="00A62BAC"/>
    <w:rPr>
      <w:rFonts w:eastAsiaTheme="minorHAnsi" w:cstheme="minorBidi"/>
      <w:b/>
      <w:kern w:val="2"/>
      <w:sz w:val="24"/>
      <w:szCs w:val="22"/>
      <w:lang w:eastAsia="en-US"/>
      <w14:ligatures w14:val="standardContextual"/>
    </w:rPr>
  </w:style>
  <w:style w:type="paragraph" w:customStyle="1" w:styleId="Rn2">
    <w:name w:val="R_n2"/>
    <w:basedOn w:val="Rn1"/>
    <w:link w:val="Rn2Znak"/>
    <w:qFormat/>
    <w:rsid w:val="00A62BAC"/>
    <w:pPr>
      <w:spacing w:before="120"/>
      <w:jc w:val="left"/>
    </w:pPr>
    <w:rPr>
      <w:sz w:val="22"/>
    </w:rPr>
  </w:style>
  <w:style w:type="character" w:customStyle="1" w:styleId="Rn2Znak">
    <w:name w:val="R_n2 Znak"/>
    <w:link w:val="Rn2"/>
    <w:rsid w:val="00A62BAC"/>
    <w:rPr>
      <w:rFonts w:eastAsiaTheme="minorHAnsi" w:cstheme="minorBidi"/>
      <w:b/>
      <w:kern w:val="2"/>
      <w:sz w:val="22"/>
      <w:szCs w:val="22"/>
      <w:lang w:eastAsia="en-US"/>
      <w14:ligatures w14:val="standardContextual"/>
    </w:rPr>
  </w:style>
  <w:style w:type="paragraph" w:customStyle="1" w:styleId="Rtytu">
    <w:name w:val="R_tytuł"/>
    <w:basedOn w:val="Rn2"/>
    <w:link w:val="RtytuZnak"/>
    <w:autoRedefine/>
    <w:qFormat/>
    <w:rsid w:val="00A62BAC"/>
    <w:pPr>
      <w:spacing w:before="240" w:after="0"/>
      <w:jc w:val="center"/>
    </w:pPr>
    <w:rPr>
      <w:sz w:val="24"/>
      <w:szCs w:val="28"/>
    </w:rPr>
  </w:style>
  <w:style w:type="character" w:customStyle="1" w:styleId="RtytuZnak">
    <w:name w:val="R_tytuł Znak"/>
    <w:basedOn w:val="Rn2Znak"/>
    <w:link w:val="Rtytu"/>
    <w:rsid w:val="00A62BAC"/>
    <w:rPr>
      <w:rFonts w:eastAsiaTheme="minorHAnsi" w:cstheme="minorBidi"/>
      <w:b/>
      <w:kern w:val="2"/>
      <w:sz w:val="24"/>
      <w:szCs w:val="28"/>
      <w:lang w:eastAsia="en-US"/>
      <w14:ligatures w14:val="standardContextual"/>
    </w:rPr>
  </w:style>
  <w:style w:type="paragraph" w:customStyle="1" w:styleId="Rautor">
    <w:name w:val="R_autor"/>
    <w:basedOn w:val="Rtytu"/>
    <w:link w:val="RautorZnak"/>
    <w:autoRedefine/>
    <w:qFormat/>
    <w:rsid w:val="00A62BAC"/>
    <w:pPr>
      <w:spacing w:before="120"/>
    </w:pPr>
    <w:rPr>
      <w:rFonts w:eastAsia="Calibri" w:cs="Times New Roman"/>
      <w:b w:val="0"/>
      <w:i/>
    </w:rPr>
  </w:style>
  <w:style w:type="character" w:customStyle="1" w:styleId="RautorZnak">
    <w:name w:val="R_autor Znak"/>
    <w:link w:val="Rautor"/>
    <w:rsid w:val="00A62BAC"/>
    <w:rPr>
      <w:rFonts w:eastAsia="Calibri"/>
      <w:i/>
      <w:kern w:val="2"/>
      <w:sz w:val="24"/>
      <w:szCs w:val="28"/>
      <w:lang w:eastAsia="en-US"/>
      <w14:ligatures w14:val="standardContextual"/>
    </w:rPr>
  </w:style>
  <w:style w:type="paragraph" w:customStyle="1" w:styleId="Rlit">
    <w:name w:val="R_lit"/>
    <w:basedOn w:val="Normalny"/>
    <w:link w:val="RlitZnak"/>
    <w:qFormat/>
    <w:rsid w:val="00A62BAC"/>
    <w:pPr>
      <w:widowControl/>
      <w:overflowPunct/>
      <w:autoSpaceDE/>
      <w:autoSpaceDN/>
      <w:adjustRightInd/>
      <w:spacing w:line="240" w:lineRule="auto"/>
      <w:ind w:left="425" w:hanging="425"/>
      <w:jc w:val="both"/>
      <w:textAlignment w:val="auto"/>
    </w:pPr>
    <w:rPr>
      <w:kern w:val="2"/>
      <w:sz w:val="20"/>
      <w:lang w:val="en-US"/>
      <w14:ligatures w14:val="standardContextual"/>
    </w:rPr>
  </w:style>
  <w:style w:type="character" w:customStyle="1" w:styleId="RlitZnak">
    <w:name w:val="R_lit Znak"/>
    <w:basedOn w:val="Domylnaczcionkaakapitu"/>
    <w:link w:val="Rlit"/>
    <w:rsid w:val="00A62BAC"/>
    <w:rPr>
      <w:kern w:val="2"/>
      <w:lang w:val="en-US"/>
      <w14:ligatures w14:val="standardContextual"/>
    </w:rPr>
  </w:style>
  <w:style w:type="paragraph" w:customStyle="1" w:styleId="Rtab">
    <w:name w:val="R_tab"/>
    <w:basedOn w:val="Normalny"/>
    <w:link w:val="RtabZnak"/>
    <w:qFormat/>
    <w:rsid w:val="00A62BAC"/>
    <w:pPr>
      <w:widowControl/>
      <w:suppressAutoHyphens/>
      <w:overflowPunct/>
      <w:autoSpaceDE/>
      <w:autoSpaceDN/>
      <w:adjustRightInd/>
      <w:spacing w:after="120" w:line="240" w:lineRule="auto"/>
      <w:textAlignment w:val="auto"/>
    </w:pPr>
    <w:rPr>
      <w:rFonts w:eastAsiaTheme="minorHAnsi" w:cstheme="minorBidi"/>
      <w:kern w:val="2"/>
      <w:sz w:val="20"/>
      <w:szCs w:val="22"/>
      <w:lang w:val="pl-PL" w:eastAsia="en-US"/>
      <w14:ligatures w14:val="standardContextual"/>
    </w:rPr>
  </w:style>
  <w:style w:type="character" w:customStyle="1" w:styleId="RtabZnak">
    <w:name w:val="R_tab Znak"/>
    <w:basedOn w:val="Domylnaczcionkaakapitu"/>
    <w:link w:val="Rtab"/>
    <w:rsid w:val="00A62BAC"/>
    <w:rPr>
      <w:rFonts w:eastAsiaTheme="minorHAnsi" w:cstheme="minorBidi"/>
      <w:kern w:val="2"/>
      <w:szCs w:val="22"/>
      <w:lang w:eastAsia="en-US"/>
      <w14:ligatures w14:val="standardContextual"/>
    </w:rPr>
  </w:style>
  <w:style w:type="paragraph" w:customStyle="1" w:styleId="Rn3">
    <w:name w:val="R_n3"/>
    <w:basedOn w:val="Rtab"/>
    <w:link w:val="Rn3Znak"/>
    <w:qFormat/>
    <w:rsid w:val="00A62BAC"/>
    <w:pPr>
      <w:spacing w:before="120"/>
      <w:jc w:val="both"/>
    </w:pPr>
    <w:rPr>
      <w:i/>
    </w:rPr>
  </w:style>
  <w:style w:type="character" w:customStyle="1" w:styleId="Rn3Znak">
    <w:name w:val="R_n3 Znak"/>
    <w:basedOn w:val="RtabZnak"/>
    <w:link w:val="Rn3"/>
    <w:rsid w:val="00A62BAC"/>
    <w:rPr>
      <w:rFonts w:eastAsiaTheme="minorHAnsi" w:cstheme="minorBidi"/>
      <w:i/>
      <w:kern w:val="2"/>
      <w:szCs w:val="22"/>
      <w:lang w:eastAsia="en-US"/>
      <w14:ligatures w14:val="standardContextual"/>
    </w:rPr>
  </w:style>
  <w:style w:type="paragraph" w:customStyle="1" w:styleId="Rrys">
    <w:name w:val="R_rys"/>
    <w:basedOn w:val="Rafiliacja"/>
    <w:link w:val="RrysZnak"/>
    <w:qFormat/>
    <w:rsid w:val="00A62BAC"/>
    <w:pPr>
      <w:spacing w:before="120"/>
      <w:jc w:val="left"/>
    </w:pPr>
    <w:rPr>
      <w:i w:val="0"/>
    </w:rPr>
  </w:style>
  <w:style w:type="character" w:customStyle="1" w:styleId="RrysZnak">
    <w:name w:val="R_rys Znak"/>
    <w:basedOn w:val="RafiliacjaZnak"/>
    <w:link w:val="Rrys"/>
    <w:rsid w:val="00A62BAC"/>
    <w:rPr>
      <w:rFonts w:eastAsiaTheme="minorHAnsi"/>
      <w:i w:val="0"/>
      <w:kern w:val="2"/>
      <w:szCs w:val="28"/>
      <w:lang w:eastAsia="en-US"/>
      <w14:ligatures w14:val="standardContextual"/>
    </w:rPr>
  </w:style>
  <w:style w:type="character" w:customStyle="1" w:styleId="Nagwek3Znak">
    <w:name w:val="Nagłówek 3 Znak"/>
    <w:basedOn w:val="Domylnaczcionkaakapitu"/>
    <w:link w:val="Nagwek3"/>
    <w:rsid w:val="00E21D7A"/>
    <w:rPr>
      <w:b/>
      <w:kern w:val="1"/>
      <w:sz w:val="28"/>
      <w:lang w:val="de-DE"/>
    </w:rPr>
  </w:style>
  <w:style w:type="table" w:styleId="Siatkatabelijasna">
    <w:name w:val="Grid Table Light"/>
    <w:basedOn w:val="Standardowy"/>
    <w:uiPriority w:val="40"/>
    <w:rsid w:val="00996B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A022AE"/>
    <w:rPr>
      <w:color w:val="605E5C"/>
      <w:shd w:val="clear" w:color="auto" w:fill="E1DFDD"/>
    </w:rPr>
  </w:style>
  <w:style w:type="character" w:customStyle="1" w:styleId="NagwekZnak">
    <w:name w:val="Nagłówek Znak"/>
    <w:basedOn w:val="Domylnaczcionkaakapitu"/>
    <w:link w:val="Nagwek0"/>
    <w:uiPriority w:val="99"/>
    <w:rsid w:val="002C1A0E"/>
    <w:rPr>
      <w:kern w:val="1"/>
      <w:sz w:val="24"/>
      <w:lang w:val="de-DE"/>
    </w:rPr>
  </w:style>
  <w:style w:type="character" w:customStyle="1" w:styleId="StopkaZnak">
    <w:name w:val="Stopka Znak"/>
    <w:basedOn w:val="Domylnaczcionkaakapitu"/>
    <w:link w:val="Stopka"/>
    <w:uiPriority w:val="99"/>
    <w:rsid w:val="002C1A0E"/>
    <w:rPr>
      <w:kern w:val="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1246">
      <w:bodyDiv w:val="1"/>
      <w:marLeft w:val="0"/>
      <w:marRight w:val="0"/>
      <w:marTop w:val="0"/>
      <w:marBottom w:val="0"/>
      <w:divBdr>
        <w:top w:val="none" w:sz="0" w:space="0" w:color="auto"/>
        <w:left w:val="none" w:sz="0" w:space="0" w:color="auto"/>
        <w:bottom w:val="none" w:sz="0" w:space="0" w:color="auto"/>
        <w:right w:val="none" w:sz="0" w:space="0" w:color="auto"/>
      </w:divBdr>
    </w:div>
    <w:div w:id="70473259">
      <w:bodyDiv w:val="1"/>
      <w:marLeft w:val="0"/>
      <w:marRight w:val="0"/>
      <w:marTop w:val="0"/>
      <w:marBottom w:val="0"/>
      <w:divBdr>
        <w:top w:val="none" w:sz="0" w:space="0" w:color="auto"/>
        <w:left w:val="none" w:sz="0" w:space="0" w:color="auto"/>
        <w:bottom w:val="none" w:sz="0" w:space="0" w:color="auto"/>
        <w:right w:val="none" w:sz="0" w:space="0" w:color="auto"/>
      </w:divBdr>
    </w:div>
    <w:div w:id="99112012">
      <w:bodyDiv w:val="1"/>
      <w:marLeft w:val="0"/>
      <w:marRight w:val="0"/>
      <w:marTop w:val="0"/>
      <w:marBottom w:val="0"/>
      <w:divBdr>
        <w:top w:val="none" w:sz="0" w:space="0" w:color="auto"/>
        <w:left w:val="none" w:sz="0" w:space="0" w:color="auto"/>
        <w:bottom w:val="none" w:sz="0" w:space="0" w:color="auto"/>
        <w:right w:val="none" w:sz="0" w:space="0" w:color="auto"/>
      </w:divBdr>
    </w:div>
    <w:div w:id="473256733">
      <w:bodyDiv w:val="1"/>
      <w:marLeft w:val="0"/>
      <w:marRight w:val="0"/>
      <w:marTop w:val="0"/>
      <w:marBottom w:val="0"/>
      <w:divBdr>
        <w:top w:val="none" w:sz="0" w:space="0" w:color="auto"/>
        <w:left w:val="none" w:sz="0" w:space="0" w:color="auto"/>
        <w:bottom w:val="none" w:sz="0" w:space="0" w:color="auto"/>
        <w:right w:val="none" w:sz="0" w:space="0" w:color="auto"/>
      </w:divBdr>
    </w:div>
    <w:div w:id="760494416">
      <w:bodyDiv w:val="1"/>
      <w:marLeft w:val="0"/>
      <w:marRight w:val="0"/>
      <w:marTop w:val="0"/>
      <w:marBottom w:val="0"/>
      <w:divBdr>
        <w:top w:val="none" w:sz="0" w:space="0" w:color="auto"/>
        <w:left w:val="none" w:sz="0" w:space="0" w:color="auto"/>
        <w:bottom w:val="none" w:sz="0" w:space="0" w:color="auto"/>
        <w:right w:val="none" w:sz="0" w:space="0" w:color="auto"/>
      </w:divBdr>
    </w:div>
    <w:div w:id="1109197561">
      <w:bodyDiv w:val="1"/>
      <w:marLeft w:val="0"/>
      <w:marRight w:val="0"/>
      <w:marTop w:val="0"/>
      <w:marBottom w:val="0"/>
      <w:divBdr>
        <w:top w:val="none" w:sz="0" w:space="0" w:color="auto"/>
        <w:left w:val="none" w:sz="0" w:space="0" w:color="auto"/>
        <w:bottom w:val="none" w:sz="0" w:space="0" w:color="auto"/>
        <w:right w:val="none" w:sz="0" w:space="0" w:color="auto"/>
      </w:divBdr>
    </w:div>
    <w:div w:id="1610429667">
      <w:bodyDiv w:val="1"/>
      <w:marLeft w:val="0"/>
      <w:marRight w:val="0"/>
      <w:marTop w:val="0"/>
      <w:marBottom w:val="0"/>
      <w:divBdr>
        <w:top w:val="none" w:sz="0" w:space="0" w:color="auto"/>
        <w:left w:val="none" w:sz="0" w:space="0" w:color="auto"/>
        <w:bottom w:val="none" w:sz="0" w:space="0" w:color="auto"/>
        <w:right w:val="none" w:sz="0" w:space="0" w:color="auto"/>
      </w:divBdr>
    </w:div>
    <w:div w:id="1700663986">
      <w:bodyDiv w:val="1"/>
      <w:marLeft w:val="0"/>
      <w:marRight w:val="0"/>
      <w:marTop w:val="0"/>
      <w:marBottom w:val="0"/>
      <w:divBdr>
        <w:top w:val="none" w:sz="0" w:space="0" w:color="auto"/>
        <w:left w:val="none" w:sz="0" w:space="0" w:color="auto"/>
        <w:bottom w:val="none" w:sz="0" w:space="0" w:color="auto"/>
        <w:right w:val="none" w:sz="0" w:space="0" w:color="auto"/>
      </w:divBdr>
    </w:div>
    <w:div w:id="1754937254">
      <w:bodyDiv w:val="1"/>
      <w:marLeft w:val="0"/>
      <w:marRight w:val="0"/>
      <w:marTop w:val="0"/>
      <w:marBottom w:val="0"/>
      <w:divBdr>
        <w:top w:val="none" w:sz="0" w:space="0" w:color="auto"/>
        <w:left w:val="none" w:sz="0" w:space="0" w:color="auto"/>
        <w:bottom w:val="none" w:sz="0" w:space="0" w:color="auto"/>
        <w:right w:val="none" w:sz="0" w:space="0" w:color="auto"/>
      </w:divBdr>
    </w:div>
    <w:div w:id="1775511358">
      <w:bodyDiv w:val="1"/>
      <w:marLeft w:val="0"/>
      <w:marRight w:val="0"/>
      <w:marTop w:val="0"/>
      <w:marBottom w:val="0"/>
      <w:divBdr>
        <w:top w:val="none" w:sz="0" w:space="0" w:color="auto"/>
        <w:left w:val="none" w:sz="0" w:space="0" w:color="auto"/>
        <w:bottom w:val="none" w:sz="0" w:space="0" w:color="auto"/>
        <w:right w:val="none" w:sz="0" w:space="0" w:color="auto"/>
      </w:divBdr>
    </w:div>
    <w:div w:id="1852407323">
      <w:bodyDiv w:val="1"/>
      <w:marLeft w:val="0"/>
      <w:marRight w:val="0"/>
      <w:marTop w:val="0"/>
      <w:marBottom w:val="0"/>
      <w:divBdr>
        <w:top w:val="none" w:sz="0" w:space="0" w:color="auto"/>
        <w:left w:val="none" w:sz="0" w:space="0" w:color="auto"/>
        <w:bottom w:val="none" w:sz="0" w:space="0" w:color="auto"/>
        <w:right w:val="none" w:sz="0" w:space="0" w:color="auto"/>
      </w:divBdr>
    </w:div>
    <w:div w:id="1933587429">
      <w:bodyDiv w:val="1"/>
      <w:marLeft w:val="0"/>
      <w:marRight w:val="0"/>
      <w:marTop w:val="0"/>
      <w:marBottom w:val="0"/>
      <w:divBdr>
        <w:top w:val="none" w:sz="0" w:space="0" w:color="auto"/>
        <w:left w:val="none" w:sz="0" w:space="0" w:color="auto"/>
        <w:bottom w:val="none" w:sz="0" w:space="0" w:color="auto"/>
        <w:right w:val="none" w:sz="0" w:space="0" w:color="auto"/>
      </w:divBdr>
    </w:div>
    <w:div w:id="1959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dx.doi.org/10.1021/ef0502397" TargetMode="External"/><Relationship Id="rId2" Type="http://schemas.openxmlformats.org/officeDocument/2006/relationships/numbering" Target="numbering.xml"/><Relationship Id="rId16" Type="http://schemas.openxmlformats.org/officeDocument/2006/relationships/hyperlink" Target="https://www.bp.com/content/dam/bp/business-sites/en/global/corporate/pdfs/energy-economics/energy-outlook/bp-energy-outlook-202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3390/molecules27217221" TargetMode="Externa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lesiak@tu.kielce.pl" TargetMode="Externa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5EA73-4B35-44F5-9E27-C710EFD4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5264</Words>
  <Characters>31590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 L</dc:creator>
  <cp:lastModifiedBy>Janusz Dabrowski NA</cp:lastModifiedBy>
  <cp:revision>25</cp:revision>
  <dcterms:created xsi:type="dcterms:W3CDTF">2024-03-12T09:40:00Z</dcterms:created>
  <dcterms:modified xsi:type="dcterms:W3CDTF">2024-04-10T09:37:00Z</dcterms:modified>
</cp:coreProperties>
</file>