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3A4841" w:rsidRPr="00B56BEE" w14:paraId="61FA9310" w14:textId="77777777" w:rsidTr="00D941B5">
        <w:trPr>
          <w:trHeight w:hRule="exact" w:val="142"/>
        </w:trPr>
        <w:tc>
          <w:tcPr>
            <w:tcW w:w="709" w:type="dxa"/>
            <w:vMerge w:val="restart"/>
            <w:shd w:val="clear" w:color="auto" w:fill="auto"/>
            <w:vAlign w:val="center"/>
          </w:tcPr>
          <w:p w14:paraId="4CFD5C3E" w14:textId="77777777" w:rsidR="003A4841" w:rsidRPr="00B56BEE" w:rsidRDefault="003A4841" w:rsidP="00D941B5">
            <w:pPr>
              <w:rPr>
                <w:lang w:val="en-GB"/>
              </w:rPr>
            </w:pPr>
            <w:bookmarkStart w:id="0" w:name="_Hlk145412337"/>
            <w:bookmarkStart w:id="1" w:name="_Hlk103340665"/>
            <w:bookmarkStart w:id="2" w:name="_Hlk24804592"/>
            <w:bookmarkEnd w:id="0"/>
            <w:bookmarkEnd w:id="1"/>
            <w:r w:rsidRPr="00B56BEE">
              <w:rPr>
                <w:noProof/>
                <w:lang w:val="en-GB"/>
              </w:rPr>
              <w:drawing>
                <wp:anchor distT="0" distB="0" distL="114300" distR="114300" simplePos="0" relativeHeight="251659264" behindDoc="0" locked="0" layoutInCell="1" allowOverlap="1" wp14:anchorId="4D2B1948" wp14:editId="0975B926">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2EC8A1F9" w14:textId="77777777" w:rsidR="003A4841" w:rsidRPr="00B56BEE" w:rsidRDefault="003A4841" w:rsidP="00D941B5">
            <w:pPr>
              <w:jc w:val="center"/>
              <w:rPr>
                <w:lang w:val="en-GB"/>
              </w:rPr>
            </w:pPr>
          </w:p>
        </w:tc>
      </w:tr>
      <w:tr w:rsidR="003A4841" w:rsidRPr="00B56BEE" w14:paraId="0BED4957" w14:textId="77777777" w:rsidTr="00D941B5">
        <w:trPr>
          <w:trHeight w:hRule="exact" w:val="283"/>
        </w:trPr>
        <w:tc>
          <w:tcPr>
            <w:tcW w:w="709" w:type="dxa"/>
            <w:vMerge/>
            <w:shd w:val="clear" w:color="auto" w:fill="auto"/>
          </w:tcPr>
          <w:p w14:paraId="64E8C333" w14:textId="77777777" w:rsidR="003A4841" w:rsidRPr="00B56BEE" w:rsidRDefault="003A4841" w:rsidP="00D941B5">
            <w:pPr>
              <w:jc w:val="center"/>
              <w:rPr>
                <w:lang w:val="en-GB"/>
              </w:rPr>
            </w:pPr>
          </w:p>
        </w:tc>
        <w:tc>
          <w:tcPr>
            <w:tcW w:w="8930" w:type="dxa"/>
            <w:gridSpan w:val="3"/>
            <w:tcBorders>
              <w:bottom w:val="single" w:sz="2" w:space="0" w:color="auto"/>
            </w:tcBorders>
            <w:shd w:val="clear" w:color="auto" w:fill="auto"/>
            <w:vAlign w:val="center"/>
          </w:tcPr>
          <w:p w14:paraId="50955511" w14:textId="77777777" w:rsidR="003A4841" w:rsidRPr="00B56BEE" w:rsidRDefault="003A4841" w:rsidP="00D941B5">
            <w:pPr>
              <w:jc w:val="center"/>
              <w:rPr>
                <w:lang w:val="en-GB"/>
              </w:rPr>
            </w:pPr>
            <w:proofErr w:type="spellStart"/>
            <w:r w:rsidRPr="0091490A">
              <w:rPr>
                <w:b/>
                <w:sz w:val="20"/>
                <w:szCs w:val="16"/>
                <w:lang w:val="en-GB"/>
              </w:rPr>
              <w:t>Rocznik</w:t>
            </w:r>
            <w:proofErr w:type="spellEnd"/>
            <w:r w:rsidRPr="0091490A">
              <w:rPr>
                <w:b/>
                <w:sz w:val="20"/>
                <w:szCs w:val="16"/>
                <w:lang w:val="en-GB"/>
              </w:rPr>
              <w:t xml:space="preserve"> </w:t>
            </w:r>
            <w:proofErr w:type="spellStart"/>
            <w:r w:rsidRPr="0091490A">
              <w:rPr>
                <w:b/>
                <w:sz w:val="20"/>
                <w:szCs w:val="16"/>
                <w:lang w:val="en-GB"/>
              </w:rPr>
              <w:t>Ochrona</w:t>
            </w:r>
            <w:proofErr w:type="spellEnd"/>
            <w:r w:rsidRPr="0091490A">
              <w:rPr>
                <w:b/>
                <w:sz w:val="20"/>
                <w:szCs w:val="16"/>
                <w:lang w:val="en-GB"/>
              </w:rPr>
              <w:t xml:space="preserve"> </w:t>
            </w:r>
            <w:proofErr w:type="spellStart"/>
            <w:r w:rsidRPr="0091490A">
              <w:rPr>
                <w:b/>
                <w:sz w:val="20"/>
                <w:szCs w:val="16"/>
                <w:lang w:val="en-GB"/>
              </w:rPr>
              <w:t>Środowiska</w:t>
            </w:r>
            <w:proofErr w:type="spellEnd"/>
          </w:p>
        </w:tc>
      </w:tr>
      <w:tr w:rsidR="003A4841" w:rsidRPr="00B56BEE" w14:paraId="3547BDCF" w14:textId="77777777" w:rsidTr="00D941B5">
        <w:trPr>
          <w:trHeight w:hRule="exact" w:val="283"/>
        </w:trPr>
        <w:tc>
          <w:tcPr>
            <w:tcW w:w="709" w:type="dxa"/>
            <w:vMerge/>
            <w:shd w:val="clear" w:color="auto" w:fill="auto"/>
          </w:tcPr>
          <w:p w14:paraId="2923521E" w14:textId="77777777" w:rsidR="003A4841" w:rsidRPr="00B56BEE" w:rsidRDefault="003A4841" w:rsidP="00D941B5">
            <w:pPr>
              <w:jc w:val="center"/>
              <w:rPr>
                <w:lang w:val="en-GB"/>
              </w:rPr>
            </w:pPr>
          </w:p>
        </w:tc>
        <w:tc>
          <w:tcPr>
            <w:tcW w:w="992" w:type="dxa"/>
            <w:tcBorders>
              <w:top w:val="single" w:sz="2" w:space="0" w:color="auto"/>
              <w:bottom w:val="single" w:sz="2" w:space="0" w:color="auto"/>
            </w:tcBorders>
            <w:shd w:val="clear" w:color="auto" w:fill="auto"/>
            <w:vAlign w:val="center"/>
          </w:tcPr>
          <w:p w14:paraId="4B1215A0" w14:textId="77777777" w:rsidR="003A4841" w:rsidRPr="00B56BEE" w:rsidRDefault="003A4841" w:rsidP="00D941B5">
            <w:pPr>
              <w:rPr>
                <w:sz w:val="18"/>
                <w:szCs w:val="18"/>
                <w:lang w:val="en-GB"/>
              </w:rPr>
            </w:pPr>
            <w:r w:rsidRPr="00B56BEE">
              <w:rPr>
                <w:sz w:val="18"/>
                <w:szCs w:val="18"/>
                <w:lang w:val="en-GB"/>
              </w:rPr>
              <w:t>Volume 26</w:t>
            </w:r>
          </w:p>
        </w:tc>
        <w:tc>
          <w:tcPr>
            <w:tcW w:w="6304" w:type="dxa"/>
            <w:tcBorders>
              <w:top w:val="single" w:sz="2" w:space="0" w:color="auto"/>
              <w:bottom w:val="single" w:sz="2" w:space="0" w:color="auto"/>
            </w:tcBorders>
            <w:shd w:val="clear" w:color="auto" w:fill="auto"/>
            <w:vAlign w:val="center"/>
          </w:tcPr>
          <w:p w14:paraId="0FD474F8" w14:textId="77777777" w:rsidR="003A4841" w:rsidRPr="00B56BEE" w:rsidRDefault="003A4841" w:rsidP="00D941B5">
            <w:pPr>
              <w:tabs>
                <w:tab w:val="left" w:pos="3057"/>
              </w:tabs>
              <w:ind w:left="141"/>
              <w:rPr>
                <w:sz w:val="18"/>
                <w:szCs w:val="18"/>
                <w:lang w:val="en-GB"/>
              </w:rPr>
            </w:pPr>
            <w:r w:rsidRPr="00B56BEE">
              <w:rPr>
                <w:sz w:val="18"/>
                <w:szCs w:val="18"/>
                <w:lang w:val="en-GB"/>
              </w:rPr>
              <w:t>Year 2024</w:t>
            </w:r>
            <w:r w:rsidRPr="00B56BEE">
              <w:rPr>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6497F967" w14:textId="46E3E092" w:rsidR="003A4841" w:rsidRPr="00B56BEE" w:rsidRDefault="003A4841" w:rsidP="00D941B5">
            <w:pPr>
              <w:jc w:val="right"/>
              <w:rPr>
                <w:sz w:val="18"/>
                <w:szCs w:val="18"/>
                <w:lang w:val="en-GB"/>
              </w:rPr>
            </w:pPr>
            <w:r w:rsidRPr="00B56BEE">
              <w:rPr>
                <w:sz w:val="18"/>
                <w:szCs w:val="18"/>
                <w:lang w:val="en-GB"/>
              </w:rPr>
              <w:t xml:space="preserve">pp. </w:t>
            </w:r>
            <w:r w:rsidR="0022715F">
              <w:rPr>
                <w:sz w:val="18"/>
                <w:szCs w:val="18"/>
                <w:lang w:val="en-GB"/>
              </w:rPr>
              <w:t>30</w:t>
            </w:r>
            <w:r w:rsidRPr="00B56BEE">
              <w:rPr>
                <w:sz w:val="18"/>
                <w:szCs w:val="18"/>
                <w:lang w:val="en-GB"/>
              </w:rPr>
              <w:t>-</w:t>
            </w:r>
            <w:r w:rsidR="0022715F">
              <w:rPr>
                <w:sz w:val="18"/>
                <w:szCs w:val="18"/>
                <w:lang w:val="en-GB"/>
              </w:rPr>
              <w:t>40</w:t>
            </w:r>
          </w:p>
        </w:tc>
      </w:tr>
      <w:tr w:rsidR="003A4841" w:rsidRPr="00B56BEE" w14:paraId="41D3A1AC" w14:textId="77777777" w:rsidTr="00D941B5">
        <w:trPr>
          <w:trHeight w:hRule="exact" w:val="283"/>
        </w:trPr>
        <w:tc>
          <w:tcPr>
            <w:tcW w:w="709" w:type="dxa"/>
            <w:shd w:val="clear" w:color="auto" w:fill="auto"/>
          </w:tcPr>
          <w:p w14:paraId="1C497C6D" w14:textId="77777777" w:rsidR="003A4841" w:rsidRPr="00B56BEE" w:rsidRDefault="003A4841" w:rsidP="00D941B5">
            <w:pPr>
              <w:jc w:val="center"/>
              <w:rPr>
                <w:lang w:val="en-GB"/>
              </w:rPr>
            </w:pPr>
          </w:p>
        </w:tc>
        <w:tc>
          <w:tcPr>
            <w:tcW w:w="8930" w:type="dxa"/>
            <w:gridSpan w:val="3"/>
            <w:tcBorders>
              <w:top w:val="single" w:sz="2" w:space="0" w:color="auto"/>
              <w:bottom w:val="single" w:sz="2" w:space="0" w:color="auto"/>
            </w:tcBorders>
            <w:shd w:val="clear" w:color="auto" w:fill="auto"/>
            <w:vAlign w:val="center"/>
          </w:tcPr>
          <w:p w14:paraId="4A372D5A" w14:textId="1E062484" w:rsidR="003A4841" w:rsidRPr="00B56BEE" w:rsidRDefault="003A4841" w:rsidP="00D941B5">
            <w:pPr>
              <w:tabs>
                <w:tab w:val="right" w:pos="8928"/>
              </w:tabs>
              <w:rPr>
                <w:sz w:val="18"/>
                <w:szCs w:val="18"/>
                <w:lang w:val="en-GB"/>
              </w:rPr>
            </w:pPr>
            <w:r w:rsidRPr="00B56BEE">
              <w:rPr>
                <w:sz w:val="18"/>
                <w:szCs w:val="18"/>
                <w:lang w:val="en-GB"/>
              </w:rPr>
              <w:t>https://doi.org/10.54740/ros.202</w:t>
            </w:r>
            <w:r w:rsidR="00764AAB">
              <w:rPr>
                <w:sz w:val="18"/>
                <w:szCs w:val="18"/>
                <w:lang w:val="en-GB"/>
              </w:rPr>
              <w:t>4</w:t>
            </w:r>
            <w:r w:rsidRPr="00B56BEE">
              <w:rPr>
                <w:sz w:val="18"/>
                <w:szCs w:val="18"/>
                <w:lang w:val="en-GB"/>
              </w:rPr>
              <w:t>.0</w:t>
            </w:r>
            <w:r>
              <w:rPr>
                <w:sz w:val="18"/>
                <w:szCs w:val="18"/>
                <w:lang w:val="en-GB"/>
              </w:rPr>
              <w:t>0</w:t>
            </w:r>
            <w:r w:rsidR="0022715F">
              <w:rPr>
                <w:sz w:val="18"/>
                <w:szCs w:val="18"/>
                <w:lang w:val="en-GB"/>
              </w:rPr>
              <w:t>3</w:t>
            </w:r>
            <w:r w:rsidRPr="00B56BEE">
              <w:rPr>
                <w:sz w:val="18"/>
                <w:szCs w:val="18"/>
                <w:lang w:val="en-GB"/>
              </w:rPr>
              <w:tab/>
              <w:t>open access</w:t>
            </w:r>
          </w:p>
        </w:tc>
      </w:tr>
      <w:tr w:rsidR="003A4841" w:rsidRPr="00B56BEE" w14:paraId="3837BBC4" w14:textId="77777777" w:rsidTr="00D941B5">
        <w:trPr>
          <w:trHeight w:hRule="exact" w:val="283"/>
        </w:trPr>
        <w:tc>
          <w:tcPr>
            <w:tcW w:w="709" w:type="dxa"/>
            <w:shd w:val="clear" w:color="auto" w:fill="auto"/>
          </w:tcPr>
          <w:p w14:paraId="6EEE245D" w14:textId="77777777" w:rsidR="003A4841" w:rsidRPr="00B56BEE" w:rsidRDefault="003A4841" w:rsidP="00D941B5">
            <w:pPr>
              <w:jc w:val="center"/>
              <w:rPr>
                <w:lang w:val="en-GB"/>
              </w:rPr>
            </w:pPr>
          </w:p>
        </w:tc>
        <w:tc>
          <w:tcPr>
            <w:tcW w:w="8930" w:type="dxa"/>
            <w:gridSpan w:val="3"/>
            <w:tcBorders>
              <w:top w:val="single" w:sz="2" w:space="0" w:color="auto"/>
            </w:tcBorders>
            <w:shd w:val="clear" w:color="auto" w:fill="auto"/>
            <w:vAlign w:val="center"/>
          </w:tcPr>
          <w:p w14:paraId="40F5FEAB" w14:textId="64EF9FF3" w:rsidR="003A4841" w:rsidRPr="00B56BEE" w:rsidRDefault="003A4841" w:rsidP="00D941B5">
            <w:pPr>
              <w:tabs>
                <w:tab w:val="left" w:pos="3810"/>
                <w:tab w:val="right" w:pos="8928"/>
              </w:tabs>
              <w:rPr>
                <w:sz w:val="18"/>
                <w:szCs w:val="18"/>
                <w:lang w:val="en-GB"/>
              </w:rPr>
            </w:pPr>
            <w:r w:rsidRPr="00B56BEE">
              <w:rPr>
                <w:sz w:val="18"/>
                <w:szCs w:val="18"/>
                <w:lang w:val="en-GB"/>
              </w:rPr>
              <w:t>Received: January 202</w:t>
            </w:r>
            <w:r w:rsidR="0022715F">
              <w:rPr>
                <w:sz w:val="18"/>
                <w:szCs w:val="18"/>
                <w:lang w:val="en-GB"/>
              </w:rPr>
              <w:t>4</w:t>
            </w:r>
            <w:r w:rsidRPr="00B56BEE">
              <w:rPr>
                <w:sz w:val="18"/>
                <w:szCs w:val="18"/>
                <w:lang w:val="en-GB"/>
              </w:rPr>
              <w:tab/>
              <w:t>Accepted: January 202</w:t>
            </w:r>
            <w:r w:rsidR="0022715F">
              <w:rPr>
                <w:sz w:val="18"/>
                <w:szCs w:val="18"/>
                <w:lang w:val="en-GB"/>
              </w:rPr>
              <w:t>4</w:t>
            </w:r>
            <w:r w:rsidRPr="00B56BEE">
              <w:rPr>
                <w:sz w:val="18"/>
                <w:szCs w:val="18"/>
                <w:lang w:val="en-GB"/>
              </w:rPr>
              <w:tab/>
              <w:t xml:space="preserve">Published: </w:t>
            </w:r>
            <w:r w:rsidR="0022715F">
              <w:rPr>
                <w:sz w:val="18"/>
                <w:szCs w:val="18"/>
                <w:lang w:val="en-GB"/>
              </w:rPr>
              <w:t>February</w:t>
            </w:r>
            <w:r w:rsidRPr="00B56BEE">
              <w:rPr>
                <w:sz w:val="18"/>
                <w:szCs w:val="18"/>
                <w:lang w:val="en-GB"/>
              </w:rPr>
              <w:t xml:space="preserve"> 2024</w:t>
            </w:r>
          </w:p>
        </w:tc>
      </w:tr>
    </w:tbl>
    <w:bookmarkEnd w:id="2"/>
    <w:p w14:paraId="5FA16F2A" w14:textId="16551A75" w:rsidR="0016385D" w:rsidRPr="008B5F4E" w:rsidRDefault="00A54E11" w:rsidP="00E60B44">
      <w:pPr>
        <w:pStyle w:val="Rtytu"/>
        <w:rPr>
          <w:bCs/>
          <w:lang w:val="en-GB"/>
        </w:rPr>
      </w:pPr>
      <w:r w:rsidRPr="008B5F4E">
        <w:rPr>
          <w:lang w:val="en-GB"/>
        </w:rPr>
        <w:t xml:space="preserve">Investigation of </w:t>
      </w:r>
      <w:r w:rsidR="00E60B44" w:rsidRPr="008B5F4E">
        <w:rPr>
          <w:lang w:val="en-GB"/>
        </w:rPr>
        <w:t>T</w:t>
      </w:r>
      <w:r w:rsidRPr="008B5F4E">
        <w:rPr>
          <w:lang w:val="en-GB"/>
        </w:rPr>
        <w:t xml:space="preserve">hermal </w:t>
      </w:r>
      <w:r w:rsidR="00E60B44" w:rsidRPr="008B5F4E">
        <w:rPr>
          <w:lang w:val="en-GB"/>
        </w:rPr>
        <w:t>C</w:t>
      </w:r>
      <w:r w:rsidRPr="008B5F4E">
        <w:rPr>
          <w:lang w:val="en-GB"/>
        </w:rPr>
        <w:t xml:space="preserve">omfort, </w:t>
      </w:r>
      <w:r w:rsidR="00E60B44" w:rsidRPr="008B5F4E">
        <w:rPr>
          <w:lang w:val="en-GB"/>
        </w:rPr>
        <w:t>P</w:t>
      </w:r>
      <w:r w:rsidRPr="008B5F4E">
        <w:rPr>
          <w:lang w:val="en-GB"/>
        </w:rPr>
        <w:t xml:space="preserve">roductivity and </w:t>
      </w:r>
      <w:r w:rsidR="00E60B44" w:rsidRPr="008B5F4E">
        <w:rPr>
          <w:lang w:val="en-GB"/>
        </w:rPr>
        <w:t>L</w:t>
      </w:r>
      <w:r w:rsidRPr="008B5F4E">
        <w:rPr>
          <w:lang w:val="en-GB"/>
        </w:rPr>
        <w:t xml:space="preserve">ighting </w:t>
      </w:r>
      <w:r w:rsidR="00E60B44" w:rsidRPr="008B5F4E">
        <w:rPr>
          <w:lang w:val="en-GB"/>
        </w:rPr>
        <w:t>C</w:t>
      </w:r>
      <w:r w:rsidRPr="008B5F4E">
        <w:rPr>
          <w:lang w:val="en-GB"/>
        </w:rPr>
        <w:t xml:space="preserve">onditions </w:t>
      </w:r>
      <w:r w:rsidR="00EE6A02">
        <w:rPr>
          <w:lang w:val="en-GB"/>
        </w:rPr>
        <w:br/>
      </w:r>
      <w:r w:rsidRPr="008B5F4E">
        <w:rPr>
          <w:lang w:val="en-GB"/>
        </w:rPr>
        <w:t xml:space="preserve">in </w:t>
      </w:r>
      <w:r w:rsidR="00E60B44" w:rsidRPr="008B5F4E">
        <w:rPr>
          <w:lang w:val="en-GB"/>
        </w:rPr>
        <w:t>H</w:t>
      </w:r>
      <w:r w:rsidRPr="008B5F4E">
        <w:rPr>
          <w:lang w:val="en-GB"/>
        </w:rPr>
        <w:t xml:space="preserve">igher </w:t>
      </w:r>
      <w:r w:rsidR="00E60B44" w:rsidRPr="008B5F4E">
        <w:rPr>
          <w:lang w:val="en-GB"/>
        </w:rPr>
        <w:t>E</w:t>
      </w:r>
      <w:r w:rsidRPr="008B5F4E">
        <w:rPr>
          <w:lang w:val="en-GB"/>
        </w:rPr>
        <w:t xml:space="preserve">ducation </w:t>
      </w:r>
      <w:r w:rsidR="00E60B44" w:rsidRPr="008B5F4E">
        <w:rPr>
          <w:lang w:val="en-GB"/>
        </w:rPr>
        <w:t>B</w:t>
      </w:r>
      <w:r w:rsidRPr="008B5F4E">
        <w:rPr>
          <w:lang w:val="en-GB"/>
        </w:rPr>
        <w:t>uildings</w:t>
      </w:r>
    </w:p>
    <w:p w14:paraId="4F3294A5" w14:textId="77777777" w:rsidR="00346515" w:rsidRPr="00E60B44" w:rsidRDefault="00346515" w:rsidP="00E60B44">
      <w:pPr>
        <w:pStyle w:val="Rautor"/>
        <w:rPr>
          <w:lang w:eastAsia="en-GB"/>
        </w:rPr>
      </w:pPr>
      <w:r w:rsidRPr="00E60B44">
        <w:t>Natalia Siwczuk</w:t>
      </w:r>
      <w:r w:rsidRPr="00E60B44">
        <w:rPr>
          <w:vertAlign w:val="superscript"/>
        </w:rPr>
        <w:t>1*</w:t>
      </w:r>
      <w:r w:rsidRPr="00E60B44">
        <w:t>, Jerzy Zb. Piotrowski</w:t>
      </w:r>
      <w:r w:rsidRPr="00E60B44">
        <w:rPr>
          <w:vertAlign w:val="superscript"/>
        </w:rPr>
        <w:t>2</w:t>
      </w:r>
      <w:r w:rsidRPr="00E60B44">
        <w:t xml:space="preserve">, </w:t>
      </w:r>
      <w:proofErr w:type="spellStart"/>
      <w:r w:rsidRPr="00E60B44">
        <w:t>Stanislav</w:t>
      </w:r>
      <w:proofErr w:type="spellEnd"/>
      <w:r w:rsidRPr="00E60B44">
        <w:t xml:space="preserve"> Honus</w:t>
      </w:r>
      <w:r w:rsidRPr="00E60B44">
        <w:rPr>
          <w:vertAlign w:val="superscript"/>
        </w:rPr>
        <w:t>3</w:t>
      </w:r>
    </w:p>
    <w:p w14:paraId="7D91E5D8" w14:textId="26701C1B" w:rsidR="00346515" w:rsidRPr="008B5F4E" w:rsidRDefault="00346515" w:rsidP="00E60B44">
      <w:pPr>
        <w:pStyle w:val="Rafiliacja"/>
        <w:rPr>
          <w:lang w:val="en-GB"/>
        </w:rPr>
      </w:pPr>
      <w:r w:rsidRPr="008B5F4E">
        <w:rPr>
          <w:iCs/>
          <w:vertAlign w:val="superscript"/>
          <w:lang w:val="en-GB"/>
        </w:rPr>
        <w:t>1</w:t>
      </w:r>
      <w:r w:rsidRPr="008B5F4E">
        <w:rPr>
          <w:lang w:val="en-GB"/>
        </w:rPr>
        <w:t xml:space="preserve">Faculty of Environmental Engineering, Geodesy and Renewable Energy, </w:t>
      </w:r>
      <w:r w:rsidR="00E60B44" w:rsidRPr="008B5F4E">
        <w:rPr>
          <w:lang w:val="en-GB"/>
        </w:rPr>
        <w:br/>
      </w:r>
      <w:r w:rsidRPr="008B5F4E">
        <w:rPr>
          <w:lang w:val="en-GB"/>
        </w:rPr>
        <w:t>Kielce University of Technology, Kielce, Poland</w:t>
      </w:r>
      <w:r w:rsidR="00E60B44" w:rsidRPr="008B5F4E">
        <w:rPr>
          <w:lang w:val="en-GB"/>
        </w:rPr>
        <w:t xml:space="preserve"> </w:t>
      </w:r>
      <w:r w:rsidR="00E60B44" w:rsidRPr="008B5F4E">
        <w:rPr>
          <w:lang w:val="en-GB"/>
        </w:rPr>
        <w:br/>
      </w:r>
      <w:r w:rsidRPr="008B5F4E">
        <w:rPr>
          <w:lang w:val="en-GB"/>
        </w:rPr>
        <w:t>https://orcid.org/0000-0002-4003-3355</w:t>
      </w:r>
    </w:p>
    <w:p w14:paraId="5BDAF1C5" w14:textId="2A22DEB3" w:rsidR="00346515" w:rsidRPr="008B5F4E" w:rsidRDefault="00346515" w:rsidP="00E60B44">
      <w:pPr>
        <w:pStyle w:val="Rafiliacja"/>
        <w:rPr>
          <w:lang w:val="en-GB"/>
        </w:rPr>
      </w:pPr>
      <w:r w:rsidRPr="008B5F4E">
        <w:rPr>
          <w:iCs/>
          <w:vertAlign w:val="superscript"/>
          <w:lang w:val="en-GB"/>
        </w:rPr>
        <w:t>2</w:t>
      </w:r>
      <w:r w:rsidRPr="008B5F4E">
        <w:rPr>
          <w:lang w:val="en-GB"/>
        </w:rPr>
        <w:t xml:space="preserve">Faculty of Environmental Engineering, Geodesy and Renewable Energy, </w:t>
      </w:r>
      <w:r w:rsidR="00E60B44" w:rsidRPr="008B5F4E">
        <w:rPr>
          <w:lang w:val="en-GB"/>
        </w:rPr>
        <w:br/>
      </w:r>
      <w:r w:rsidRPr="008B5F4E">
        <w:rPr>
          <w:lang w:val="en-GB"/>
        </w:rPr>
        <w:t>Kielce University of Technology, Kielce, Poland</w:t>
      </w:r>
      <w:r w:rsidR="00E60B44" w:rsidRPr="008B5F4E">
        <w:rPr>
          <w:lang w:val="en-GB"/>
        </w:rPr>
        <w:t xml:space="preserve"> </w:t>
      </w:r>
      <w:r w:rsidR="00E60B44" w:rsidRPr="008B5F4E">
        <w:rPr>
          <w:lang w:val="en-GB"/>
        </w:rPr>
        <w:br/>
      </w:r>
      <w:r w:rsidRPr="008B5F4E">
        <w:rPr>
          <w:lang w:val="en-GB"/>
        </w:rPr>
        <w:t>https://orcid.org/0000-0002-8479-1406</w:t>
      </w:r>
    </w:p>
    <w:p w14:paraId="7979F35F" w14:textId="4E77A213" w:rsidR="00346515" w:rsidRPr="008B5F4E" w:rsidRDefault="00346515" w:rsidP="00E60B44">
      <w:pPr>
        <w:pStyle w:val="Rafiliacja"/>
        <w:rPr>
          <w:lang w:val="en-GB"/>
        </w:rPr>
      </w:pPr>
      <w:r w:rsidRPr="008B5F4E">
        <w:rPr>
          <w:iCs/>
          <w:vertAlign w:val="superscript"/>
          <w:lang w:val="en-GB"/>
        </w:rPr>
        <w:t>3</w:t>
      </w:r>
      <w:r w:rsidRPr="008B5F4E">
        <w:rPr>
          <w:lang w:val="en-GB"/>
        </w:rPr>
        <w:t xml:space="preserve">Faculty of Mechanical Engineering, </w:t>
      </w:r>
      <w:r w:rsidR="00E60B44" w:rsidRPr="008B5F4E">
        <w:rPr>
          <w:lang w:val="en-GB"/>
        </w:rPr>
        <w:br/>
      </w:r>
      <w:r w:rsidRPr="008B5F4E">
        <w:rPr>
          <w:lang w:val="en-GB"/>
        </w:rPr>
        <w:t>VSB – Technical University of Ostrava, Ostrava-Poruba, Czech Republic</w:t>
      </w:r>
    </w:p>
    <w:p w14:paraId="567A776D" w14:textId="15BAAB9A" w:rsidR="00346515" w:rsidRPr="00E60B44" w:rsidRDefault="00346515" w:rsidP="00E60B44">
      <w:pPr>
        <w:pStyle w:val="Rauco"/>
      </w:pPr>
      <w:r w:rsidRPr="00E60B44">
        <w:rPr>
          <w:vertAlign w:val="superscript"/>
        </w:rPr>
        <w:t>*</w:t>
      </w:r>
      <w:r w:rsidR="00554589" w:rsidRPr="00633CF1">
        <w:t>corresponding author</w:t>
      </w:r>
      <w:r w:rsidR="008B5F4E">
        <w:t>'</w:t>
      </w:r>
      <w:r w:rsidR="00554589" w:rsidRPr="00633CF1">
        <w:t>s e-mail:</w:t>
      </w:r>
      <w:r w:rsidRPr="00E60B44">
        <w:t xml:space="preserve"> nkrawczyk@tu.kielce.pl</w:t>
      </w:r>
    </w:p>
    <w:p w14:paraId="33446A70" w14:textId="3E671A92" w:rsidR="00346515" w:rsidRPr="00E60B44" w:rsidRDefault="00346515" w:rsidP="00E60B44">
      <w:pPr>
        <w:pStyle w:val="Rab1"/>
      </w:pPr>
      <w:r w:rsidRPr="00E60B44">
        <w:rPr>
          <w:b/>
          <w:bCs/>
        </w:rPr>
        <w:t>Abstract</w:t>
      </w:r>
      <w:r w:rsidR="00B37798">
        <w:rPr>
          <w:b/>
          <w:bCs/>
        </w:rPr>
        <w:t>:</w:t>
      </w:r>
      <w:r w:rsidRPr="00E60B44">
        <w:t xml:space="preserve"> Thermal comfort and lighting conditions are </w:t>
      </w:r>
      <w:r w:rsidR="00EE6A02">
        <w:t>essential</w:t>
      </w:r>
      <w:r w:rsidRPr="00E60B44">
        <w:t xml:space="preserve"> aspects of indoor environmental quality. They are considered to influence </w:t>
      </w:r>
      <w:r w:rsidR="00EE6A02">
        <w:t xml:space="preserve">the </w:t>
      </w:r>
      <w:r w:rsidRPr="00E60B44">
        <w:t xml:space="preserve">productivity of room users. The paper presents the experimental test results of research conducted in </w:t>
      </w:r>
      <w:r w:rsidR="00EE6A02">
        <w:t xml:space="preserve">the </w:t>
      </w:r>
      <w:r w:rsidRPr="00E60B44">
        <w:t>university educational building of Kielce University of Technology (</w:t>
      </w:r>
      <w:smartTag w:uri="urn:schemas-microsoft-com:office:smarttags" w:element="place">
        <w:r w:rsidRPr="00E60B44">
          <w:t>Central Poland</w:t>
        </w:r>
      </w:smartTag>
      <w:r w:rsidRPr="00E60B44">
        <w:t>) using anonymous questionnaires and physical measurements of indoor air parameters with a high</w:t>
      </w:r>
      <w:r w:rsidR="00EE6A02">
        <w:t>-</w:t>
      </w:r>
      <w:r w:rsidRPr="00E60B44">
        <w:t>precision microclimate meter. It covers the analysis of the subjective assessment of thermal sensations, acceptability and preference</w:t>
      </w:r>
      <w:r w:rsidR="00EE6A02">
        <w:t>,</w:t>
      </w:r>
      <w:r w:rsidRPr="00E60B44">
        <w:t xml:space="preserve"> as well as productivity, lighting and air quality in eleven rooms (both lecture rooms and classrooms). The study analyses the impact of the indoor environment (mostly air temperature and illuminance) on the subjective sensations of the respondents </w:t>
      </w:r>
      <w:r w:rsidR="00EE6A02">
        <w:t>they expressed</w:t>
      </w:r>
      <w:r w:rsidRPr="00E60B44">
        <w:t xml:space="preserve"> in the questionnaires. The experiments have enabled </w:t>
      </w:r>
      <w:r w:rsidR="00EE6A02">
        <w:t xml:space="preserve">us </w:t>
      </w:r>
      <w:r w:rsidRPr="00E60B44">
        <w:t xml:space="preserve">to provide valuable insights into </w:t>
      </w:r>
      <w:r w:rsidR="00EE6A02">
        <w:t>developing</w:t>
      </w:r>
      <w:r w:rsidRPr="00E60B44">
        <w:t xml:space="preserve"> the proper indoor environmental conditions t</w:t>
      </w:r>
      <w:r w:rsidR="00EE6A02">
        <w:t>o maximise room users' comfort and productivity</w:t>
      </w:r>
      <w:r w:rsidRPr="00E60B44">
        <w:t>.</w:t>
      </w:r>
    </w:p>
    <w:p w14:paraId="62B41C5C" w14:textId="77777777" w:rsidR="00346515" w:rsidRPr="00E60B44" w:rsidRDefault="00346515" w:rsidP="00E60B44">
      <w:pPr>
        <w:pStyle w:val="Rab2"/>
      </w:pPr>
      <w:r w:rsidRPr="00E60B44">
        <w:rPr>
          <w:b/>
          <w:bCs/>
        </w:rPr>
        <w:t>Keywords:</w:t>
      </w:r>
      <w:r w:rsidRPr="00E60B44">
        <w:t xml:space="preserve"> lighting, productivity, thermal comfort</w:t>
      </w:r>
    </w:p>
    <w:p w14:paraId="32B0CED0" w14:textId="77777777" w:rsidR="003A287B" w:rsidRPr="008B5F4E" w:rsidRDefault="00594219" w:rsidP="00554589">
      <w:pPr>
        <w:pStyle w:val="Rn1"/>
        <w:rPr>
          <w:caps/>
          <w:sz w:val="20"/>
          <w:lang w:val="en-GB"/>
        </w:rPr>
      </w:pPr>
      <w:r w:rsidRPr="008B5F4E">
        <w:rPr>
          <w:lang w:val="en-GB"/>
        </w:rPr>
        <w:t>1. Introduction</w:t>
      </w:r>
    </w:p>
    <w:p w14:paraId="43FACFCA" w14:textId="522C8A55" w:rsidR="000C051A" w:rsidRPr="00E60B44" w:rsidRDefault="000C051A" w:rsidP="001F5F7A">
      <w:pPr>
        <w:ind w:firstLine="284"/>
        <w:jc w:val="both"/>
        <w:rPr>
          <w:sz w:val="22"/>
          <w:szCs w:val="22"/>
          <w:lang w:val="en-GB"/>
        </w:rPr>
      </w:pPr>
      <w:r w:rsidRPr="00E60B44">
        <w:rPr>
          <w:sz w:val="22"/>
          <w:szCs w:val="22"/>
          <w:lang w:val="en-GB"/>
        </w:rPr>
        <w:t xml:space="preserve">Thermal comfort is a key aspect of everyday life, </w:t>
      </w:r>
      <w:r w:rsidR="00EE6A02">
        <w:rPr>
          <w:sz w:val="22"/>
          <w:szCs w:val="22"/>
          <w:lang w:val="en-GB"/>
        </w:rPr>
        <w:t>significantly impacting the well-being and efficiency of people in various</w:t>
      </w:r>
      <w:r w:rsidRPr="00E60B44">
        <w:rPr>
          <w:sz w:val="22"/>
          <w:szCs w:val="22"/>
          <w:lang w:val="en-GB"/>
        </w:rPr>
        <w:t xml:space="preserve"> environments. As society progresses and climatic conditions change, issues related to thermal comfort are becoming more and more important both in the context of building design and in the field of research on the relationship between humans and the environment. Understanding and ensuring appropriate thermal comfort is becoming a priority in architecture, environmental engineering and urban design. However, the mechanisms influencing the thermal sensations of individuals are complicated, covering both physiological and psychological aspects. Therefore, </w:t>
      </w:r>
      <w:r w:rsidR="00EE6A02">
        <w:rPr>
          <w:sz w:val="22"/>
          <w:szCs w:val="22"/>
          <w:lang w:val="en-GB"/>
        </w:rPr>
        <w:t>researching</w:t>
      </w:r>
      <w:r w:rsidRPr="00E60B44">
        <w:rPr>
          <w:sz w:val="22"/>
          <w:szCs w:val="22"/>
          <w:lang w:val="en-GB"/>
        </w:rPr>
        <w:t xml:space="preserve"> thermal comfort is essential for the effective design of spaces that not only serve a functional purpose </w:t>
      </w:r>
      <w:r w:rsidR="00EE6A02">
        <w:rPr>
          <w:sz w:val="22"/>
          <w:szCs w:val="22"/>
          <w:lang w:val="en-GB"/>
        </w:rPr>
        <w:t>and promote users' health and mental well-being</w:t>
      </w:r>
      <w:r w:rsidRPr="00E60B44">
        <w:rPr>
          <w:sz w:val="22"/>
          <w:szCs w:val="22"/>
          <w:lang w:val="en-GB"/>
        </w:rPr>
        <w:t>.</w:t>
      </w:r>
    </w:p>
    <w:p w14:paraId="08024424" w14:textId="182DDDB3" w:rsidR="000C051A" w:rsidRPr="00E60B44" w:rsidRDefault="000C051A" w:rsidP="001F5F7A">
      <w:pPr>
        <w:ind w:firstLine="284"/>
        <w:jc w:val="both"/>
        <w:rPr>
          <w:sz w:val="22"/>
          <w:szCs w:val="22"/>
          <w:lang w:val="en-GB"/>
        </w:rPr>
      </w:pPr>
      <w:r w:rsidRPr="00E60B44">
        <w:rPr>
          <w:sz w:val="22"/>
          <w:szCs w:val="22"/>
          <w:lang w:val="en-GB"/>
        </w:rPr>
        <w:t>Thermal comfort is the level of awareness at which an individual experiences satisfaction with the thermal environment. In turn, thermal sensations are a subjective assessment of the environment as "cold" or "hot"</w:t>
      </w:r>
      <w:r w:rsidR="008843B0" w:rsidRPr="00E60B44">
        <w:rPr>
          <w:sz w:val="22"/>
          <w:szCs w:val="22"/>
          <w:lang w:val="en-GB"/>
        </w:rPr>
        <w:t xml:space="preserve"> (ASHRAE Standard 55-2017)</w:t>
      </w:r>
      <w:r w:rsidRPr="00E60B44">
        <w:rPr>
          <w:sz w:val="22"/>
          <w:szCs w:val="22"/>
          <w:lang w:val="en-GB"/>
        </w:rPr>
        <w:t>. The authors of</w:t>
      </w:r>
      <w:r w:rsidR="008843B0" w:rsidRPr="00E60B44">
        <w:rPr>
          <w:sz w:val="22"/>
          <w:szCs w:val="22"/>
          <w:lang w:val="en-GB"/>
        </w:rPr>
        <w:t xml:space="preserve"> (Su et al. 2023)</w:t>
      </w:r>
      <w:r w:rsidRPr="00E60B44">
        <w:rPr>
          <w:sz w:val="22"/>
          <w:szCs w:val="22"/>
          <w:lang w:val="en-GB"/>
        </w:rPr>
        <w:t xml:space="preserve"> focus on the </w:t>
      </w:r>
      <w:r w:rsidR="00EE6A02">
        <w:rPr>
          <w:sz w:val="22"/>
          <w:szCs w:val="22"/>
          <w:lang w:val="en-GB"/>
        </w:rPr>
        <w:t>research analysis of how people perceive and react to various environmental thermal conditions</w:t>
      </w:r>
      <w:r w:rsidRPr="00E60B44">
        <w:rPr>
          <w:sz w:val="22"/>
          <w:szCs w:val="22"/>
          <w:lang w:val="en-GB"/>
        </w:rPr>
        <w:t xml:space="preserve">. They also raise issues related to the impact of heterogeneous thermal conditions on the experience of thermal comfort, thermoregulatory behaviour of people and possible implications for the design of thermal environments. </w:t>
      </w:r>
      <w:r w:rsidR="0029042A" w:rsidRPr="00E60B44">
        <w:rPr>
          <w:sz w:val="22"/>
          <w:szCs w:val="22"/>
          <w:lang w:val="en-GB"/>
        </w:rPr>
        <w:t>The authors (Kramer et al. 2023) discuss a</w:t>
      </w:r>
      <w:r w:rsidR="0022715F">
        <w:rPr>
          <w:sz w:val="22"/>
          <w:szCs w:val="22"/>
          <w:lang w:val="en-GB"/>
        </w:rPr>
        <w:t> </w:t>
      </w:r>
      <w:r w:rsidR="0029042A" w:rsidRPr="00E60B44">
        <w:rPr>
          <w:sz w:val="22"/>
          <w:szCs w:val="22"/>
          <w:lang w:val="en-GB"/>
        </w:rPr>
        <w:t xml:space="preserve">study on thermal comfort conducted in 13 air-conditioned office buildings in </w:t>
      </w:r>
      <w:smartTag w:uri="urn:schemas-microsoft-com:office:smarttags" w:element="place">
        <w:smartTag w:uri="urn:schemas-microsoft-com:office:smarttags" w:element="country-region">
          <w:r w:rsidR="0029042A" w:rsidRPr="00E60B44">
            <w:rPr>
              <w:sz w:val="22"/>
              <w:szCs w:val="22"/>
              <w:lang w:val="en-GB"/>
            </w:rPr>
            <w:t>Australia</w:t>
          </w:r>
        </w:smartTag>
      </w:smartTag>
      <w:r w:rsidR="0029042A" w:rsidRPr="00E60B44">
        <w:rPr>
          <w:sz w:val="22"/>
          <w:szCs w:val="22"/>
          <w:lang w:val="en-GB"/>
        </w:rPr>
        <w:t xml:space="preserve">. </w:t>
      </w:r>
      <w:r w:rsidRPr="00E60B44">
        <w:rPr>
          <w:sz w:val="22"/>
          <w:szCs w:val="22"/>
          <w:lang w:val="en-GB"/>
        </w:rPr>
        <w:t>This article focuses on personal differences in the perception of thermal comfort based on observations made during a field study, in which they found a high level of discomfort among residents (as much as 28%) caused by the cold and hypothermia of the workplace. They also showed that offices are characteri</w:t>
      </w:r>
      <w:r w:rsidR="00EE6A02">
        <w:rPr>
          <w:sz w:val="22"/>
          <w:szCs w:val="22"/>
          <w:lang w:val="en-GB"/>
        </w:rPr>
        <w:t>s</w:t>
      </w:r>
      <w:r w:rsidRPr="00E60B44">
        <w:rPr>
          <w:sz w:val="22"/>
          <w:szCs w:val="22"/>
          <w:lang w:val="en-GB"/>
        </w:rPr>
        <w:t xml:space="preserve">ed by extremely heterogeneous internal thermal conditions, </w:t>
      </w:r>
      <w:r w:rsidR="00EE6A02">
        <w:rPr>
          <w:sz w:val="22"/>
          <w:szCs w:val="22"/>
          <w:lang w:val="en-GB"/>
        </w:rPr>
        <w:t>significantly affecting</w:t>
      </w:r>
      <w:r w:rsidRPr="00E60B44">
        <w:rPr>
          <w:sz w:val="22"/>
          <w:szCs w:val="22"/>
          <w:lang w:val="en-GB"/>
        </w:rPr>
        <w:t xml:space="preserve"> user dissatisfaction. The range of comfort temperatures for office workers in different cities and building types was thoroughly examined in the literature review conducted as part of this study. Research conducted in </w:t>
      </w:r>
      <w:smartTag w:uri="urn:schemas-microsoft-com:office:smarttags" w:element="place">
        <w:smartTag w:uri="urn:schemas-microsoft-com:office:smarttags" w:element="country-region">
          <w:r w:rsidRPr="00E60B44">
            <w:rPr>
              <w:sz w:val="22"/>
              <w:szCs w:val="22"/>
              <w:lang w:val="en-GB"/>
            </w:rPr>
            <w:t>Singapore</w:t>
          </w:r>
        </w:smartTag>
      </w:smartTag>
      <w:r w:rsidRPr="00E60B44">
        <w:rPr>
          <w:sz w:val="22"/>
          <w:szCs w:val="22"/>
          <w:lang w:val="en-GB"/>
        </w:rPr>
        <w:t xml:space="preserve"> </w:t>
      </w:r>
      <w:r w:rsidR="0029042A" w:rsidRPr="00E60B44">
        <w:rPr>
          <w:sz w:val="22"/>
          <w:szCs w:val="22"/>
          <w:lang w:val="en-GB"/>
        </w:rPr>
        <w:t>(</w:t>
      </w:r>
      <w:r w:rsidRPr="00E60B44">
        <w:rPr>
          <w:sz w:val="22"/>
          <w:szCs w:val="22"/>
          <w:lang w:val="en-GB"/>
        </w:rPr>
        <w:t xml:space="preserve">Wang et al. </w:t>
      </w:r>
      <w:r w:rsidR="0029042A" w:rsidRPr="00E60B44">
        <w:rPr>
          <w:sz w:val="22"/>
          <w:szCs w:val="22"/>
          <w:lang w:val="en-GB"/>
        </w:rPr>
        <w:t>2018)</w:t>
      </w:r>
      <w:r w:rsidRPr="00E60B44">
        <w:rPr>
          <w:sz w:val="22"/>
          <w:szCs w:val="22"/>
          <w:lang w:val="en-GB"/>
        </w:rPr>
        <w:t xml:space="preserve"> concerned both houses without air conditioning (NV) and offices with air conditioning (AC), with designated neutral temperatures of 28.5</w:t>
      </w:r>
      <w:r w:rsidR="00B30A10" w:rsidRPr="00B30A10">
        <w:rPr>
          <w:sz w:val="22"/>
          <w:szCs w:val="22"/>
          <w:lang w:val="en-GB"/>
        </w:rPr>
        <w:t>°</w:t>
      </w:r>
      <w:r w:rsidRPr="00E60B44">
        <w:rPr>
          <w:sz w:val="22"/>
          <w:szCs w:val="22"/>
          <w:lang w:val="en-GB"/>
        </w:rPr>
        <w:t>C and 24.2</w:t>
      </w:r>
      <w:r w:rsidR="00B30A10" w:rsidRPr="00B30A10">
        <w:rPr>
          <w:sz w:val="22"/>
          <w:szCs w:val="22"/>
          <w:lang w:val="en-GB"/>
        </w:rPr>
        <w:t>°</w:t>
      </w:r>
      <w:r w:rsidRPr="00E60B44">
        <w:rPr>
          <w:sz w:val="22"/>
          <w:szCs w:val="22"/>
          <w:lang w:val="en-GB"/>
        </w:rPr>
        <w:t xml:space="preserve">C, respectively. A study </w:t>
      </w:r>
      <w:r w:rsidR="0029042A" w:rsidRPr="00E60B44">
        <w:rPr>
          <w:sz w:val="22"/>
          <w:szCs w:val="22"/>
          <w:lang w:val="en-GB"/>
        </w:rPr>
        <w:t>(Taib et al. 2022)</w:t>
      </w:r>
      <w:r w:rsidRPr="00E60B44">
        <w:rPr>
          <w:sz w:val="22"/>
          <w:szCs w:val="22"/>
          <w:lang w:val="en-GB"/>
        </w:rPr>
        <w:t xml:space="preserve"> conducted in air-conditioned offices in </w:t>
      </w:r>
      <w:smartTag w:uri="urn:schemas-microsoft-com:office:smarttags" w:element="place">
        <w:smartTag w:uri="urn:schemas-microsoft-com:office:smarttags" w:element="country-region">
          <w:r w:rsidRPr="00E60B44">
            <w:rPr>
              <w:sz w:val="22"/>
              <w:szCs w:val="22"/>
              <w:lang w:val="en-GB"/>
            </w:rPr>
            <w:t>Singapore</w:t>
          </w:r>
        </w:smartTag>
      </w:smartTag>
      <w:r w:rsidRPr="00E60B44">
        <w:rPr>
          <w:sz w:val="22"/>
          <w:szCs w:val="22"/>
          <w:lang w:val="en-GB"/>
        </w:rPr>
        <w:t xml:space="preserve"> found that the optimal temperature range for these environments is between 23.6</w:t>
      </w:r>
      <w:r w:rsidR="00B30A10">
        <w:rPr>
          <w:sz w:val="22"/>
          <w:szCs w:val="22"/>
          <w:lang w:val="en-GB"/>
        </w:rPr>
        <w:t>°</w:t>
      </w:r>
      <w:r w:rsidRPr="00E60B44">
        <w:rPr>
          <w:sz w:val="22"/>
          <w:szCs w:val="22"/>
          <w:lang w:val="en-GB"/>
        </w:rPr>
        <w:t>C and 26.4</w:t>
      </w:r>
      <w:r w:rsidR="00B30A10" w:rsidRPr="00B30A10">
        <w:rPr>
          <w:sz w:val="22"/>
          <w:szCs w:val="22"/>
          <w:lang w:val="en-GB"/>
        </w:rPr>
        <w:t>°</w:t>
      </w:r>
      <w:r w:rsidRPr="00E60B44">
        <w:rPr>
          <w:sz w:val="22"/>
          <w:szCs w:val="22"/>
          <w:lang w:val="en-GB"/>
        </w:rPr>
        <w:t>C, with 24.8</w:t>
      </w:r>
      <w:r w:rsidR="00B30A10" w:rsidRPr="00B30A10">
        <w:rPr>
          <w:sz w:val="22"/>
          <w:szCs w:val="22"/>
          <w:lang w:val="en-GB"/>
        </w:rPr>
        <w:t>°</w:t>
      </w:r>
      <w:r w:rsidRPr="00E60B44">
        <w:rPr>
          <w:sz w:val="22"/>
          <w:szCs w:val="22"/>
          <w:lang w:val="en-GB"/>
        </w:rPr>
        <w:t xml:space="preserve">C considered a neutral temperature. In turn, the authors </w:t>
      </w:r>
      <w:r w:rsidR="0029042A" w:rsidRPr="00E60B44">
        <w:rPr>
          <w:sz w:val="22"/>
          <w:szCs w:val="22"/>
          <w:lang w:val="en-GB"/>
        </w:rPr>
        <w:t xml:space="preserve">(Allah et al. 2023) </w:t>
      </w:r>
      <w:r w:rsidRPr="00E60B44">
        <w:rPr>
          <w:sz w:val="22"/>
          <w:szCs w:val="22"/>
          <w:lang w:val="en-GB"/>
        </w:rPr>
        <w:t xml:space="preserve">demonstrated several factors affecting thermal comfort, including workplace dress codes and an environment with diverse ventilation techniques. Workers who had the opportunity to choose from </w:t>
      </w:r>
      <w:r w:rsidR="00EE6A02">
        <w:rPr>
          <w:sz w:val="22"/>
          <w:szCs w:val="22"/>
          <w:lang w:val="en-GB"/>
        </w:rPr>
        <w:t xml:space="preserve">various clothing insulation options expressed greater thermal </w:t>
      </w:r>
      <w:r w:rsidR="00EE6A02">
        <w:rPr>
          <w:sz w:val="22"/>
          <w:szCs w:val="22"/>
          <w:lang w:val="en-GB"/>
        </w:rPr>
        <w:lastRenderedPageBreak/>
        <w:t>satisfaction than thos</w:t>
      </w:r>
      <w:r w:rsidRPr="00E60B44">
        <w:rPr>
          <w:sz w:val="22"/>
          <w:szCs w:val="22"/>
          <w:lang w:val="en-GB"/>
        </w:rPr>
        <w:t xml:space="preserve">e required to adhere to restrictive clothing standards. </w:t>
      </w:r>
      <w:r w:rsidR="00EE6A02">
        <w:rPr>
          <w:sz w:val="22"/>
          <w:szCs w:val="22"/>
          <w:lang w:val="en-GB"/>
        </w:rPr>
        <w:t>It</w:t>
      </w:r>
      <w:r w:rsidRPr="00E60B44">
        <w:rPr>
          <w:sz w:val="22"/>
          <w:szCs w:val="22"/>
          <w:lang w:val="en-GB"/>
        </w:rPr>
        <w:t xml:space="preserve"> highlights the importance of providing a variety of clothing options to enable adjustments to individual comfort preferences. Thermal conditions perceived as optimal by humans are subjective and depend on the specific climate.</w:t>
      </w:r>
    </w:p>
    <w:p w14:paraId="59FCBEB1" w14:textId="0AE47B3E" w:rsidR="00346515" w:rsidRPr="00E60B44" w:rsidRDefault="00346515" w:rsidP="00346515">
      <w:pPr>
        <w:ind w:firstLine="284"/>
        <w:jc w:val="both"/>
        <w:rPr>
          <w:sz w:val="22"/>
          <w:szCs w:val="22"/>
          <w:lang w:val="en-GB"/>
        </w:rPr>
      </w:pPr>
      <w:r w:rsidRPr="00E60B44">
        <w:rPr>
          <w:sz w:val="22"/>
          <w:szCs w:val="22"/>
          <w:lang w:val="en-GB"/>
        </w:rPr>
        <w:t xml:space="preserve">A study conducted (Singh et al. 2018) during the summer in </w:t>
      </w:r>
      <w:smartTag w:uri="urn:schemas-microsoft-com:office:smarttags" w:element="country-region">
        <w:smartTag w:uri="urn:schemas-microsoft-com:office:smarttags" w:element="place">
          <w:r w:rsidRPr="00E60B44">
            <w:rPr>
              <w:sz w:val="22"/>
              <w:szCs w:val="22"/>
              <w:lang w:val="en-GB"/>
            </w:rPr>
            <w:t>India</w:t>
          </w:r>
        </w:smartTag>
      </w:smartTag>
      <w:r w:rsidRPr="00E60B44">
        <w:rPr>
          <w:sz w:val="22"/>
          <w:szCs w:val="22"/>
          <w:lang w:val="en-GB"/>
        </w:rPr>
        <w:t>, which included 900 mostly male students, focused on assessing thermal comfort in naturally ventilated classrooms. The average comfort temperature was 29.8</w:t>
      </w:r>
      <w:r w:rsidR="00B30A10" w:rsidRPr="00B30A10">
        <w:rPr>
          <w:sz w:val="22"/>
          <w:szCs w:val="22"/>
          <w:lang w:val="en-GB"/>
        </w:rPr>
        <w:t>°</w:t>
      </w:r>
      <w:r w:rsidRPr="00E60B44">
        <w:rPr>
          <w:sz w:val="22"/>
          <w:szCs w:val="22"/>
          <w:lang w:val="en-GB"/>
        </w:rPr>
        <w:t>C. The rooms had an average air temperature of 30.4</w:t>
      </w:r>
      <w:r w:rsidR="00B30A10" w:rsidRPr="00B30A10">
        <w:rPr>
          <w:sz w:val="22"/>
          <w:szCs w:val="22"/>
          <w:lang w:val="en-GB"/>
        </w:rPr>
        <w:t>°</w:t>
      </w:r>
      <w:r w:rsidRPr="00E60B44">
        <w:rPr>
          <w:sz w:val="22"/>
          <w:szCs w:val="22"/>
          <w:lang w:val="en-GB"/>
        </w:rPr>
        <w:t>C (ranging from approximately 26.6</w:t>
      </w:r>
      <w:r w:rsidR="00B30A10" w:rsidRPr="00B30A10">
        <w:rPr>
          <w:sz w:val="22"/>
          <w:szCs w:val="22"/>
          <w:lang w:val="en-GB"/>
        </w:rPr>
        <w:t>°</w:t>
      </w:r>
      <w:r w:rsidRPr="00E60B44">
        <w:rPr>
          <w:sz w:val="22"/>
          <w:szCs w:val="22"/>
          <w:lang w:val="en-GB"/>
        </w:rPr>
        <w:t>C to approximately 36</w:t>
      </w:r>
      <w:r w:rsidR="00B30A10" w:rsidRPr="00B30A10">
        <w:rPr>
          <w:sz w:val="22"/>
          <w:szCs w:val="22"/>
          <w:lang w:val="en-GB"/>
        </w:rPr>
        <w:t>°</w:t>
      </w:r>
      <w:r w:rsidRPr="00E60B44">
        <w:rPr>
          <w:sz w:val="22"/>
          <w:szCs w:val="22"/>
          <w:lang w:val="en-GB"/>
        </w:rPr>
        <w:t>C). It was reported that 59% of respondents expressed a neutral feeling of warmth, and 69% indicated "no change" as their preferred temperature. Additionally, approximately 81% of the responses were within the comfort range. The survey</w:t>
      </w:r>
      <w:r w:rsidR="00EE6A02">
        <w:rPr>
          <w:sz w:val="22"/>
          <w:szCs w:val="22"/>
          <w:lang w:val="en-GB"/>
        </w:rPr>
        <w:t xml:space="preserve"> indicates that most</w:t>
      </w:r>
      <w:r w:rsidRPr="00E60B44">
        <w:rPr>
          <w:sz w:val="22"/>
          <w:szCs w:val="22"/>
          <w:lang w:val="en-GB"/>
        </w:rPr>
        <w:t xml:space="preserve"> participants were satisfied with conditions that could be considered unsatisfactory for European respondents. </w:t>
      </w:r>
      <w:r w:rsidR="00EE6A02">
        <w:rPr>
          <w:sz w:val="22"/>
          <w:szCs w:val="22"/>
          <w:lang w:val="en-GB"/>
        </w:rPr>
        <w:t xml:space="preserve">The authors </w:t>
      </w:r>
      <w:r w:rsidR="00EE6A02" w:rsidRPr="00E60B44">
        <w:rPr>
          <w:sz w:val="22"/>
          <w:szCs w:val="22"/>
          <w:lang w:val="en-GB"/>
        </w:rPr>
        <w:t xml:space="preserve">(Yang et al. 2018) </w:t>
      </w:r>
      <w:r w:rsidR="00EE6A02">
        <w:rPr>
          <w:sz w:val="22"/>
          <w:szCs w:val="22"/>
          <w:lang w:val="en-GB"/>
        </w:rPr>
        <w:t>presented research in school building</w:t>
      </w:r>
      <w:r w:rsidRPr="00E60B44">
        <w:rPr>
          <w:sz w:val="22"/>
          <w:szCs w:val="22"/>
          <w:lang w:val="en-GB"/>
        </w:rPr>
        <w:t xml:space="preserve">s </w:t>
      </w:r>
      <w:r w:rsidR="00EE6A02">
        <w:rPr>
          <w:sz w:val="22"/>
          <w:szCs w:val="22"/>
          <w:lang w:val="en-GB"/>
        </w:rPr>
        <w:t>that</w:t>
      </w:r>
      <w:r w:rsidRPr="00E60B44">
        <w:rPr>
          <w:sz w:val="22"/>
          <w:szCs w:val="22"/>
          <w:lang w:val="en-GB"/>
        </w:rPr>
        <w:t xml:space="preserve"> assessed the health and thermal comfort of school-age people in 54 classrooms in the </w:t>
      </w:r>
      <w:smartTag w:uri="urn:schemas-microsoft-com:office:smarttags" w:element="country-region">
        <w:smartTag w:uri="urn:schemas-microsoft-com:office:smarttags" w:element="place">
          <w:r w:rsidRPr="00E60B44">
            <w:rPr>
              <w:sz w:val="22"/>
              <w:szCs w:val="22"/>
              <w:lang w:val="en-GB"/>
            </w:rPr>
            <w:t>Netherlands</w:t>
          </w:r>
        </w:smartTag>
      </w:smartTag>
      <w:r w:rsidRPr="00E60B44">
        <w:rPr>
          <w:sz w:val="22"/>
          <w:szCs w:val="22"/>
          <w:lang w:val="en-GB"/>
        </w:rPr>
        <w:t>. They measured parameters such as carbon dioxide concentration, temperature and air humidity. Research showed that students were most bothered by noise and sunlight. Less than 40% of respondents did not like the temperature in the classroom, with a wide temperature range (from 21</w:t>
      </w:r>
      <w:r w:rsidR="00B30A10" w:rsidRPr="00B30A10">
        <w:rPr>
          <w:sz w:val="22"/>
          <w:szCs w:val="22"/>
          <w:lang w:val="en-GB"/>
        </w:rPr>
        <w:t>°</w:t>
      </w:r>
      <w:r w:rsidRPr="00E60B44">
        <w:rPr>
          <w:sz w:val="22"/>
          <w:szCs w:val="22"/>
          <w:lang w:val="en-GB"/>
        </w:rPr>
        <w:t>C to 26.2</w:t>
      </w:r>
      <w:r w:rsidR="00B30A10" w:rsidRPr="00B30A10">
        <w:rPr>
          <w:sz w:val="22"/>
          <w:szCs w:val="22"/>
          <w:lang w:val="en-GB"/>
        </w:rPr>
        <w:t>°</w:t>
      </w:r>
      <w:r w:rsidRPr="00E60B44">
        <w:rPr>
          <w:sz w:val="22"/>
          <w:szCs w:val="22"/>
          <w:lang w:val="en-GB"/>
        </w:rPr>
        <w:t>C). The authors (Homed et al. 2012) concluded that air temperature and humidity have the greatest impact on the feeling of thermal comfort.</w:t>
      </w:r>
    </w:p>
    <w:p w14:paraId="502C6D2F" w14:textId="4680E210" w:rsidR="008843B0" w:rsidRPr="00E60B44" w:rsidRDefault="0029042A" w:rsidP="001F5F7A">
      <w:pPr>
        <w:ind w:firstLine="284"/>
        <w:jc w:val="both"/>
        <w:rPr>
          <w:sz w:val="22"/>
          <w:szCs w:val="22"/>
          <w:lang w:val="en-GB"/>
        </w:rPr>
      </w:pPr>
      <w:r w:rsidRPr="00E60B44">
        <w:rPr>
          <w:sz w:val="22"/>
          <w:szCs w:val="22"/>
          <w:lang w:val="en-GB"/>
        </w:rPr>
        <w:t>A study (</w:t>
      </w:r>
      <w:proofErr w:type="spellStart"/>
      <w:r w:rsidR="008843B0" w:rsidRPr="00E60B44">
        <w:rPr>
          <w:sz w:val="22"/>
          <w:szCs w:val="22"/>
          <w:lang w:val="en-GB"/>
        </w:rPr>
        <w:t>Jungsoo</w:t>
      </w:r>
      <w:proofErr w:type="spellEnd"/>
      <w:r w:rsidR="008843B0" w:rsidRPr="00E60B44">
        <w:rPr>
          <w:sz w:val="22"/>
          <w:szCs w:val="22"/>
          <w:lang w:val="en-GB"/>
        </w:rPr>
        <w:t xml:space="preserve"> </w:t>
      </w:r>
      <w:r w:rsidR="004A1968" w:rsidRPr="00E60B44">
        <w:rPr>
          <w:sz w:val="22"/>
          <w:szCs w:val="22"/>
          <w:lang w:val="en-GB"/>
        </w:rPr>
        <w:t>&amp;</w:t>
      </w:r>
      <w:r w:rsidR="008843B0" w:rsidRPr="00E60B44">
        <w:rPr>
          <w:sz w:val="22"/>
          <w:szCs w:val="22"/>
          <w:lang w:val="en-GB"/>
        </w:rPr>
        <w:t xml:space="preserve"> Richard </w:t>
      </w:r>
      <w:r w:rsidRPr="00E60B44">
        <w:rPr>
          <w:sz w:val="22"/>
          <w:szCs w:val="22"/>
          <w:lang w:val="en-GB"/>
        </w:rPr>
        <w:t xml:space="preserve">2018) </w:t>
      </w:r>
      <w:r w:rsidR="008843B0" w:rsidRPr="00E60B44">
        <w:rPr>
          <w:sz w:val="22"/>
          <w:szCs w:val="22"/>
          <w:lang w:val="en-GB"/>
        </w:rPr>
        <w:t xml:space="preserve">focused on </w:t>
      </w:r>
      <w:r w:rsidR="00EE6A02">
        <w:rPr>
          <w:sz w:val="22"/>
          <w:szCs w:val="22"/>
          <w:lang w:val="en-GB"/>
        </w:rPr>
        <w:t>analysing</w:t>
      </w:r>
      <w:r w:rsidR="008843B0" w:rsidRPr="00E60B44">
        <w:rPr>
          <w:sz w:val="22"/>
          <w:szCs w:val="22"/>
          <w:lang w:val="en-GB"/>
        </w:rPr>
        <w:t xml:space="preserve"> activities regulating thermoregulation in students. As part of their study, they </w:t>
      </w:r>
      <w:r w:rsidR="00EE6A02">
        <w:rPr>
          <w:sz w:val="22"/>
          <w:szCs w:val="22"/>
          <w:lang w:val="en-GB"/>
        </w:rPr>
        <w:t>surveyed</w:t>
      </w:r>
      <w:r w:rsidR="008843B0" w:rsidRPr="00E60B44">
        <w:rPr>
          <w:sz w:val="22"/>
          <w:szCs w:val="22"/>
          <w:lang w:val="en-GB"/>
        </w:rPr>
        <w:t xml:space="preserve"> primary and secondary school students. Respondents were asked to assess their current thermal comfort and express their </w:t>
      </w:r>
      <w:r w:rsidR="00EE6A02">
        <w:rPr>
          <w:sz w:val="22"/>
          <w:szCs w:val="22"/>
          <w:lang w:val="en-GB"/>
        </w:rPr>
        <w:t>classroom temperature preference</w:t>
      </w:r>
      <w:r w:rsidR="008843B0" w:rsidRPr="00E60B44">
        <w:rPr>
          <w:sz w:val="22"/>
          <w:szCs w:val="22"/>
          <w:lang w:val="en-GB"/>
        </w:rPr>
        <w:t xml:space="preserve">s. Additionally, students were asked about their adaptive habits, such as changing clothes, opening windows, using fans, etc., in case of thermal discomfort. Based on the 4866 responses collected, the authors concluded that students </w:t>
      </w:r>
      <w:r w:rsidR="00EE6A02">
        <w:rPr>
          <w:sz w:val="22"/>
          <w:szCs w:val="22"/>
          <w:lang w:val="en-GB"/>
        </w:rPr>
        <w:t>preferred</w:t>
      </w:r>
      <w:r w:rsidR="008843B0" w:rsidRPr="00E60B44">
        <w:rPr>
          <w:sz w:val="22"/>
          <w:szCs w:val="22"/>
          <w:lang w:val="en-GB"/>
        </w:rPr>
        <w:t xml:space="preserve"> colder climatic conditions. However, primary school students showed a wider range of tolerance in terms of thermal sensations.</w:t>
      </w:r>
    </w:p>
    <w:p w14:paraId="53657898" w14:textId="53C96213" w:rsidR="004A1968" w:rsidRPr="00E60B44" w:rsidRDefault="004A1968" w:rsidP="00D37431">
      <w:pPr>
        <w:ind w:firstLine="284"/>
        <w:jc w:val="both"/>
        <w:rPr>
          <w:sz w:val="22"/>
          <w:szCs w:val="22"/>
          <w:lang w:val="en-GB"/>
        </w:rPr>
      </w:pPr>
      <w:r w:rsidRPr="00E60B44">
        <w:rPr>
          <w:sz w:val="22"/>
          <w:szCs w:val="22"/>
          <w:lang w:val="en-GB"/>
        </w:rPr>
        <w:t xml:space="preserve">It </w:t>
      </w:r>
      <w:r w:rsidR="00EE6A02">
        <w:rPr>
          <w:sz w:val="22"/>
          <w:szCs w:val="22"/>
          <w:lang w:val="en-GB"/>
        </w:rPr>
        <w:t>must</w:t>
      </w:r>
      <w:r w:rsidRPr="00E60B44">
        <w:rPr>
          <w:sz w:val="22"/>
          <w:szCs w:val="22"/>
          <w:lang w:val="en-GB"/>
        </w:rPr>
        <w:t xml:space="preserve"> be added that </w:t>
      </w:r>
      <w:r w:rsidR="00EE6A02">
        <w:rPr>
          <w:sz w:val="22"/>
          <w:szCs w:val="22"/>
          <w:lang w:val="en-GB"/>
        </w:rPr>
        <w:t xml:space="preserve">the </w:t>
      </w:r>
      <w:r w:rsidRPr="00E60B44">
        <w:rPr>
          <w:sz w:val="22"/>
          <w:szCs w:val="22"/>
          <w:lang w:val="en-GB"/>
        </w:rPr>
        <w:t>indoor thermal environment is also investigated in buildings supplied with heat through the district heating systems</w:t>
      </w:r>
      <w:r w:rsidR="00EE6A02">
        <w:rPr>
          <w:sz w:val="22"/>
          <w:szCs w:val="22"/>
          <w:lang w:val="en-GB"/>
        </w:rPr>
        <w:t>,</w:t>
      </w:r>
      <w:r w:rsidRPr="00E60B44">
        <w:rPr>
          <w:sz w:val="22"/>
          <w:szCs w:val="22"/>
          <w:lang w:val="en-GB"/>
        </w:rPr>
        <w:t xml:space="preserve"> as indicated in (Nogaj et al. 2017, </w:t>
      </w:r>
      <w:proofErr w:type="spellStart"/>
      <w:r w:rsidRPr="00E60B44">
        <w:rPr>
          <w:sz w:val="22"/>
          <w:szCs w:val="22"/>
          <w:lang w:val="en-GB"/>
        </w:rPr>
        <w:t>Stokowiec</w:t>
      </w:r>
      <w:proofErr w:type="spellEnd"/>
      <w:r w:rsidRPr="00E60B44">
        <w:rPr>
          <w:sz w:val="22"/>
          <w:szCs w:val="22"/>
          <w:lang w:val="en-GB"/>
        </w:rPr>
        <w:t xml:space="preserve"> et al. 2023, Turski &amp; </w:t>
      </w:r>
      <w:proofErr w:type="spellStart"/>
      <w:r w:rsidRPr="00E60B44">
        <w:rPr>
          <w:sz w:val="22"/>
          <w:szCs w:val="22"/>
          <w:lang w:val="en-GB"/>
        </w:rPr>
        <w:t>Sekret</w:t>
      </w:r>
      <w:proofErr w:type="spellEnd"/>
      <w:r w:rsidRPr="00E60B44">
        <w:rPr>
          <w:sz w:val="22"/>
          <w:szCs w:val="22"/>
          <w:lang w:val="en-GB"/>
        </w:rPr>
        <w:t xml:space="preserve"> 2017). However, regardless of the type of heat source</w:t>
      </w:r>
      <w:r w:rsidR="00EE6A02">
        <w:rPr>
          <w:sz w:val="22"/>
          <w:szCs w:val="22"/>
          <w:lang w:val="en-GB"/>
        </w:rPr>
        <w:t>,</w:t>
      </w:r>
      <w:r w:rsidRPr="00E60B44">
        <w:rPr>
          <w:sz w:val="22"/>
          <w:szCs w:val="22"/>
          <w:lang w:val="en-GB"/>
        </w:rPr>
        <w:t xml:space="preserve"> the most crucial aspect in terms of thermal comfort is always an efficient way of releasing heat from the human body to the environment as latent or sensible heat (</w:t>
      </w:r>
      <w:proofErr w:type="spellStart"/>
      <w:r w:rsidRPr="00E60B44">
        <w:rPr>
          <w:sz w:val="22"/>
          <w:szCs w:val="22"/>
          <w:lang w:val="en-GB"/>
        </w:rPr>
        <w:t>Koshlak</w:t>
      </w:r>
      <w:proofErr w:type="spellEnd"/>
      <w:r w:rsidRPr="00E60B44">
        <w:rPr>
          <w:sz w:val="22"/>
          <w:szCs w:val="22"/>
          <w:lang w:val="en-GB"/>
        </w:rPr>
        <w:t xml:space="preserve"> &amp; Pavlenko 20</w:t>
      </w:r>
      <w:r w:rsidR="00D37431" w:rsidRPr="00E60B44">
        <w:rPr>
          <w:sz w:val="22"/>
          <w:szCs w:val="22"/>
          <w:lang w:val="en-GB"/>
        </w:rPr>
        <w:t>20</w:t>
      </w:r>
      <w:r w:rsidRPr="00E60B44">
        <w:rPr>
          <w:sz w:val="22"/>
          <w:szCs w:val="22"/>
          <w:lang w:val="en-GB"/>
        </w:rPr>
        <w:t xml:space="preserve">, Orman 2014, Orman &amp; </w:t>
      </w:r>
      <w:proofErr w:type="spellStart"/>
      <w:r w:rsidRPr="00E60B44">
        <w:rPr>
          <w:sz w:val="22"/>
          <w:szCs w:val="22"/>
          <w:lang w:val="en-GB"/>
        </w:rPr>
        <w:t>Chatys</w:t>
      </w:r>
      <w:proofErr w:type="spellEnd"/>
      <w:r w:rsidRPr="00E60B44">
        <w:rPr>
          <w:sz w:val="22"/>
          <w:szCs w:val="22"/>
          <w:lang w:val="en-GB"/>
        </w:rPr>
        <w:t xml:space="preserve"> 2011, Pavlenko </w:t>
      </w:r>
      <w:r w:rsidR="00D37431" w:rsidRPr="00E60B44">
        <w:rPr>
          <w:sz w:val="22"/>
          <w:szCs w:val="22"/>
          <w:lang w:val="en-GB"/>
        </w:rPr>
        <w:t xml:space="preserve">&amp; </w:t>
      </w:r>
      <w:proofErr w:type="spellStart"/>
      <w:r w:rsidR="00D37431" w:rsidRPr="00E60B44">
        <w:rPr>
          <w:sz w:val="22"/>
          <w:szCs w:val="22"/>
          <w:lang w:val="en-GB"/>
        </w:rPr>
        <w:t>Szkarowski</w:t>
      </w:r>
      <w:proofErr w:type="spellEnd"/>
      <w:r w:rsidRPr="00E60B44">
        <w:rPr>
          <w:sz w:val="22"/>
          <w:szCs w:val="22"/>
          <w:lang w:val="en-GB"/>
        </w:rPr>
        <w:t xml:space="preserve"> 20</w:t>
      </w:r>
      <w:r w:rsidR="00D37431" w:rsidRPr="00E60B44">
        <w:rPr>
          <w:sz w:val="22"/>
          <w:szCs w:val="22"/>
          <w:lang w:val="en-GB"/>
        </w:rPr>
        <w:t>18</w:t>
      </w:r>
      <w:r w:rsidRPr="00E60B44">
        <w:rPr>
          <w:sz w:val="22"/>
          <w:szCs w:val="22"/>
          <w:lang w:val="en-GB"/>
        </w:rPr>
        <w:t xml:space="preserve">). This issue is especially vital when </w:t>
      </w:r>
      <w:r w:rsidR="00EE6A02">
        <w:rPr>
          <w:sz w:val="22"/>
          <w:szCs w:val="22"/>
          <w:lang w:val="en-GB"/>
        </w:rPr>
        <w:t>using radiant heat sources</w:t>
      </w:r>
      <w:r w:rsidRPr="00E60B44">
        <w:rPr>
          <w:sz w:val="22"/>
          <w:szCs w:val="22"/>
          <w:lang w:val="en-GB"/>
        </w:rPr>
        <w:t xml:space="preserve"> (Dudkiewicz et al. 2022).</w:t>
      </w:r>
    </w:p>
    <w:p w14:paraId="76D034DC" w14:textId="5DD0B685" w:rsidR="00453B0F" w:rsidRPr="00E60B44" w:rsidRDefault="008843B0" w:rsidP="00453B0F">
      <w:pPr>
        <w:ind w:firstLine="284"/>
        <w:jc w:val="both"/>
        <w:rPr>
          <w:sz w:val="22"/>
          <w:szCs w:val="22"/>
          <w:lang w:val="en-GB"/>
        </w:rPr>
      </w:pPr>
      <w:r w:rsidRPr="00E60B44">
        <w:rPr>
          <w:sz w:val="22"/>
          <w:szCs w:val="22"/>
          <w:lang w:val="en-GB"/>
        </w:rPr>
        <w:t xml:space="preserve">Research on thermal comfort in the context of productivity shows that optimal thermal conditions are crucial for effective work. People working in rooms with thermal comfort demonstrate increased efficiency, concentration and problem-solving ability. Appropriate thermal conditions may also affect psychomotor aspects of work, such as reaction speed or precision of movements. </w:t>
      </w:r>
      <w:r w:rsidR="004A1968" w:rsidRPr="00E60B44">
        <w:rPr>
          <w:sz w:val="22"/>
          <w:szCs w:val="22"/>
          <w:lang w:val="en-GB"/>
        </w:rPr>
        <w:t>The researchers</w:t>
      </w:r>
      <w:r w:rsidR="0029042A" w:rsidRPr="00E60B44">
        <w:rPr>
          <w:sz w:val="22"/>
          <w:szCs w:val="22"/>
          <w:lang w:val="en-GB"/>
        </w:rPr>
        <w:t xml:space="preserve"> (</w:t>
      </w:r>
      <w:r w:rsidRPr="00E60B44">
        <w:rPr>
          <w:sz w:val="22"/>
          <w:szCs w:val="22"/>
          <w:lang w:val="en-GB"/>
        </w:rPr>
        <w:t>Akimoto et al.</w:t>
      </w:r>
      <w:r w:rsidR="0029042A" w:rsidRPr="00E60B44">
        <w:rPr>
          <w:sz w:val="22"/>
          <w:szCs w:val="22"/>
          <w:lang w:val="en-GB"/>
        </w:rPr>
        <w:t xml:space="preserve"> 2010)</w:t>
      </w:r>
      <w:r w:rsidRPr="00E60B44">
        <w:rPr>
          <w:sz w:val="22"/>
          <w:szCs w:val="22"/>
          <w:lang w:val="en-GB"/>
        </w:rPr>
        <w:t xml:space="preserve"> conducted </w:t>
      </w:r>
      <w:r w:rsidR="008C5F22" w:rsidRPr="00E60B44">
        <w:rPr>
          <w:sz w:val="22"/>
          <w:szCs w:val="22"/>
          <w:lang w:val="en-GB"/>
        </w:rPr>
        <w:t>tests</w:t>
      </w:r>
      <w:r w:rsidRPr="00E60B44">
        <w:rPr>
          <w:sz w:val="22"/>
          <w:szCs w:val="22"/>
          <w:lang w:val="en-GB"/>
        </w:rPr>
        <w:t xml:space="preserve"> in which they compared thermal comfort with productivity, analysing parameters such as air temperature, radiation temperature, airflow speed and relative humidity. In the context of feeling tired, the study showed that the most common complaint among participants was drowsiness, which mainly depended on the type of work performed. According to the </w:t>
      </w:r>
      <w:r w:rsidR="00EE6A02">
        <w:rPr>
          <w:sz w:val="22"/>
          <w:szCs w:val="22"/>
          <w:lang w:val="en-GB"/>
        </w:rPr>
        <w:t>study's results</w:t>
      </w:r>
      <w:r w:rsidR="0029042A" w:rsidRPr="00E60B44">
        <w:rPr>
          <w:sz w:val="22"/>
          <w:szCs w:val="22"/>
          <w:lang w:val="en-GB"/>
        </w:rPr>
        <w:t xml:space="preserve"> (</w:t>
      </w:r>
      <w:proofErr w:type="spellStart"/>
      <w:r w:rsidR="0029042A" w:rsidRPr="00E60B44">
        <w:rPr>
          <w:sz w:val="22"/>
          <w:szCs w:val="22"/>
          <w:lang w:val="en-GB"/>
        </w:rPr>
        <w:t>Aghniaey</w:t>
      </w:r>
      <w:proofErr w:type="spellEnd"/>
      <w:r w:rsidR="0029042A" w:rsidRPr="00E60B44">
        <w:rPr>
          <w:sz w:val="22"/>
          <w:szCs w:val="22"/>
          <w:lang w:val="en-GB"/>
        </w:rPr>
        <w:t xml:space="preserve"> </w:t>
      </w:r>
      <w:r w:rsidR="00453B0F" w:rsidRPr="00E60B44">
        <w:rPr>
          <w:sz w:val="22"/>
          <w:szCs w:val="22"/>
          <w:lang w:val="en-GB"/>
        </w:rPr>
        <w:t>&amp;</w:t>
      </w:r>
      <w:r w:rsidR="0029042A" w:rsidRPr="00E60B44">
        <w:rPr>
          <w:sz w:val="22"/>
          <w:szCs w:val="22"/>
          <w:lang w:val="en-GB"/>
        </w:rPr>
        <w:t xml:space="preserve"> Lawrence 2017)</w:t>
      </w:r>
      <w:r w:rsidRPr="00E60B44">
        <w:rPr>
          <w:sz w:val="22"/>
          <w:szCs w:val="22"/>
          <w:lang w:val="en-GB"/>
        </w:rPr>
        <w:t>, relative humidity had a</w:t>
      </w:r>
      <w:r w:rsidR="0022715F">
        <w:rPr>
          <w:sz w:val="22"/>
          <w:szCs w:val="22"/>
          <w:lang w:val="en-GB"/>
        </w:rPr>
        <w:t> </w:t>
      </w:r>
      <w:r w:rsidRPr="00E60B44">
        <w:rPr>
          <w:sz w:val="22"/>
          <w:szCs w:val="22"/>
          <w:lang w:val="en-GB"/>
        </w:rPr>
        <w:t xml:space="preserve">stronger and </w:t>
      </w:r>
      <w:r w:rsidR="00EE6A02">
        <w:rPr>
          <w:sz w:val="22"/>
          <w:szCs w:val="22"/>
          <w:lang w:val="en-GB"/>
        </w:rPr>
        <w:t>more direct effect on productivity and thermal comfort than</w:t>
      </w:r>
      <w:r w:rsidRPr="00E60B44">
        <w:rPr>
          <w:sz w:val="22"/>
          <w:szCs w:val="22"/>
          <w:lang w:val="en-GB"/>
        </w:rPr>
        <w:t xml:space="preserve"> carbon dioxide. It was found that relative humidity </w:t>
      </w:r>
      <w:r w:rsidR="00EE6A02">
        <w:rPr>
          <w:sz w:val="22"/>
          <w:szCs w:val="22"/>
          <w:lang w:val="en-GB"/>
        </w:rPr>
        <w:t>positively affected</w:t>
      </w:r>
      <w:r w:rsidRPr="00E60B44">
        <w:rPr>
          <w:sz w:val="22"/>
          <w:szCs w:val="22"/>
          <w:lang w:val="en-GB"/>
        </w:rPr>
        <w:t xml:space="preserve"> the productivity and thermal comfort of users up to 55%. </w:t>
      </w:r>
      <w:r w:rsidRPr="0022715F">
        <w:rPr>
          <w:spacing w:val="-2"/>
          <w:sz w:val="22"/>
          <w:szCs w:val="22"/>
          <w:lang w:val="en-GB"/>
        </w:rPr>
        <w:t xml:space="preserve">A study </w:t>
      </w:r>
      <w:r w:rsidR="0029042A" w:rsidRPr="0022715F">
        <w:rPr>
          <w:spacing w:val="-2"/>
          <w:sz w:val="22"/>
          <w:szCs w:val="22"/>
          <w:lang w:val="en-GB"/>
        </w:rPr>
        <w:t>(</w:t>
      </w:r>
      <w:r w:rsidRPr="0022715F">
        <w:rPr>
          <w:spacing w:val="-2"/>
          <w:sz w:val="22"/>
          <w:szCs w:val="22"/>
          <w:lang w:val="en-GB"/>
        </w:rPr>
        <w:t xml:space="preserve">Tsay et al. </w:t>
      </w:r>
      <w:r w:rsidR="0029042A" w:rsidRPr="0022715F">
        <w:rPr>
          <w:spacing w:val="-2"/>
          <w:sz w:val="22"/>
          <w:szCs w:val="22"/>
          <w:lang w:val="en-GB"/>
        </w:rPr>
        <w:t>2022)</w:t>
      </w:r>
      <w:r w:rsidRPr="0022715F">
        <w:rPr>
          <w:spacing w:val="-2"/>
          <w:sz w:val="22"/>
          <w:szCs w:val="22"/>
          <w:lang w:val="en-GB"/>
        </w:rPr>
        <w:t xml:space="preserve"> in Taiwan involving participants aged 20 showed that the most comfortable conditions for the subjects occurred in the temperature range from 25.4</w:t>
      </w:r>
      <w:r w:rsidR="00B30A10" w:rsidRPr="0022715F">
        <w:rPr>
          <w:spacing w:val="-2"/>
          <w:sz w:val="22"/>
          <w:szCs w:val="22"/>
          <w:lang w:val="en-GB"/>
        </w:rPr>
        <w:t>°</w:t>
      </w:r>
      <w:r w:rsidRPr="0022715F">
        <w:rPr>
          <w:spacing w:val="-2"/>
          <w:sz w:val="22"/>
          <w:szCs w:val="22"/>
          <w:lang w:val="en-GB"/>
        </w:rPr>
        <w:t>C to 27.4</w:t>
      </w:r>
      <w:r w:rsidR="00B30A10" w:rsidRPr="0022715F">
        <w:rPr>
          <w:spacing w:val="-2"/>
          <w:sz w:val="22"/>
          <w:szCs w:val="22"/>
          <w:lang w:val="en-GB"/>
        </w:rPr>
        <w:t>°</w:t>
      </w:r>
      <w:r w:rsidRPr="0022715F">
        <w:rPr>
          <w:spacing w:val="-2"/>
          <w:sz w:val="22"/>
          <w:szCs w:val="22"/>
          <w:lang w:val="en-GB"/>
        </w:rPr>
        <w:t>C.</w:t>
      </w:r>
      <w:r w:rsidRPr="00E60B44">
        <w:rPr>
          <w:sz w:val="22"/>
          <w:szCs w:val="22"/>
          <w:lang w:val="en-GB"/>
        </w:rPr>
        <w:t xml:space="preserve"> However, the optimal temperature from the point of view of productivity turned out to be different for women, amounting to 25</w:t>
      </w:r>
      <w:r w:rsidR="00B30A10" w:rsidRPr="00B30A10">
        <w:rPr>
          <w:sz w:val="22"/>
          <w:szCs w:val="22"/>
          <w:lang w:val="en-GB"/>
        </w:rPr>
        <w:t>°</w:t>
      </w:r>
      <w:r w:rsidRPr="00E60B44">
        <w:rPr>
          <w:sz w:val="22"/>
          <w:szCs w:val="22"/>
          <w:lang w:val="en-GB"/>
        </w:rPr>
        <w:t>C, then for men, where it was higher and amounted to 27</w:t>
      </w:r>
      <w:r w:rsidR="00B30A10">
        <w:rPr>
          <w:sz w:val="22"/>
          <w:szCs w:val="22"/>
          <w:lang w:val="en-GB"/>
        </w:rPr>
        <w:t>°</w:t>
      </w:r>
      <w:r w:rsidRPr="00E60B44">
        <w:rPr>
          <w:sz w:val="22"/>
          <w:szCs w:val="22"/>
          <w:lang w:val="en-GB"/>
        </w:rPr>
        <w:t xml:space="preserve">C. It was also discovered that the colour of the walls can </w:t>
      </w:r>
      <w:r w:rsidR="00EE6A02">
        <w:rPr>
          <w:sz w:val="22"/>
          <w:szCs w:val="22"/>
          <w:lang w:val="en-GB"/>
        </w:rPr>
        <w:t>significantly impact</w:t>
      </w:r>
      <w:r w:rsidRPr="00E60B44">
        <w:rPr>
          <w:sz w:val="22"/>
          <w:szCs w:val="22"/>
          <w:lang w:val="en-GB"/>
        </w:rPr>
        <w:t xml:space="preserve"> work efficiency. In the authors' research </w:t>
      </w:r>
      <w:r w:rsidR="0029042A" w:rsidRPr="00E60B44">
        <w:rPr>
          <w:sz w:val="22"/>
          <w:szCs w:val="22"/>
          <w:lang w:val="en-GB"/>
        </w:rPr>
        <w:t>(Latini et al. 2021)</w:t>
      </w:r>
      <w:r w:rsidRPr="00E60B44">
        <w:rPr>
          <w:sz w:val="22"/>
          <w:szCs w:val="22"/>
          <w:lang w:val="en-GB"/>
        </w:rPr>
        <w:t xml:space="preserve">, conducted on a group of 23 people, the impact of wall colour on </w:t>
      </w:r>
      <w:r w:rsidR="00EE6A02">
        <w:rPr>
          <w:sz w:val="22"/>
          <w:szCs w:val="22"/>
          <w:lang w:val="en-GB"/>
        </w:rPr>
        <w:t>users' efficiency</w:t>
      </w:r>
      <w:r w:rsidRPr="00E60B44">
        <w:rPr>
          <w:sz w:val="22"/>
          <w:szCs w:val="22"/>
          <w:lang w:val="en-GB"/>
        </w:rPr>
        <w:t xml:space="preserve"> was assessed at two different temperatures and using three different wall colours. The </w:t>
      </w:r>
      <w:r w:rsidR="00EE6A02">
        <w:rPr>
          <w:sz w:val="22"/>
          <w:szCs w:val="22"/>
          <w:lang w:val="en-GB"/>
        </w:rPr>
        <w:t>study results indicated that the most favourable wall colour was white, while red negatively impacted</w:t>
      </w:r>
      <w:r w:rsidRPr="00E60B44">
        <w:rPr>
          <w:sz w:val="22"/>
          <w:szCs w:val="22"/>
          <w:lang w:val="en-GB"/>
        </w:rPr>
        <w:t xml:space="preserve"> the participants' comfort </w:t>
      </w:r>
      <w:r w:rsidR="00EE6A02">
        <w:rPr>
          <w:sz w:val="22"/>
          <w:szCs w:val="22"/>
          <w:lang w:val="en-GB"/>
        </w:rPr>
        <w:t>at</w:t>
      </w:r>
      <w:r w:rsidRPr="00E60B44">
        <w:rPr>
          <w:sz w:val="22"/>
          <w:szCs w:val="22"/>
          <w:lang w:val="en-GB"/>
        </w:rPr>
        <w:t xml:space="preserve"> work. </w:t>
      </w:r>
      <w:r w:rsidR="0029042A" w:rsidRPr="00E60B44">
        <w:rPr>
          <w:sz w:val="22"/>
          <w:szCs w:val="22"/>
          <w:lang w:val="en-GB"/>
        </w:rPr>
        <w:t>The authors (</w:t>
      </w:r>
      <w:r w:rsidRPr="00E60B44">
        <w:rPr>
          <w:sz w:val="22"/>
          <w:szCs w:val="22"/>
          <w:lang w:val="en-GB"/>
        </w:rPr>
        <w:t>Xie et al.</w:t>
      </w:r>
      <w:r w:rsidR="00FC5566" w:rsidRPr="00E60B44">
        <w:rPr>
          <w:sz w:val="22"/>
          <w:szCs w:val="22"/>
          <w:lang w:val="en-GB"/>
        </w:rPr>
        <w:t xml:space="preserve"> 2023)</w:t>
      </w:r>
      <w:r w:rsidRPr="00E60B44">
        <w:rPr>
          <w:sz w:val="22"/>
          <w:szCs w:val="22"/>
          <w:lang w:val="en-GB"/>
        </w:rPr>
        <w:t xml:space="preserve"> conducted a study on thermal comfort and productivity, in which they showed that increasing control of the personal environment marginally affects the improvement of occupant comfort. The authors showed that residents w</w:t>
      </w:r>
      <w:r w:rsidR="00EE6A02">
        <w:rPr>
          <w:sz w:val="22"/>
          <w:szCs w:val="22"/>
          <w:lang w:val="en-GB"/>
        </w:rPr>
        <w:t>ith</w:t>
      </w:r>
      <w:r w:rsidRPr="00E60B44">
        <w:rPr>
          <w:sz w:val="22"/>
          <w:szCs w:val="22"/>
          <w:lang w:val="en-GB"/>
        </w:rPr>
        <w:t xml:space="preserve"> control over thermal conditions show significant </w:t>
      </w:r>
      <w:r w:rsidR="00EE6A02">
        <w:rPr>
          <w:sz w:val="22"/>
          <w:szCs w:val="22"/>
          <w:lang w:val="en-GB"/>
        </w:rPr>
        <w:t>preference dif</w:t>
      </w:r>
      <w:r w:rsidRPr="00E60B44">
        <w:rPr>
          <w:sz w:val="22"/>
          <w:szCs w:val="22"/>
          <w:lang w:val="en-GB"/>
        </w:rPr>
        <w:t>ferences.</w:t>
      </w:r>
      <w:r w:rsidR="00453B0F" w:rsidRPr="00E60B44">
        <w:rPr>
          <w:sz w:val="22"/>
          <w:szCs w:val="22"/>
          <w:lang w:val="en-GB"/>
        </w:rPr>
        <w:t xml:space="preserve"> However, </w:t>
      </w:r>
      <w:r w:rsidR="00EE6A02">
        <w:rPr>
          <w:sz w:val="22"/>
          <w:szCs w:val="22"/>
          <w:lang w:val="en-GB"/>
        </w:rPr>
        <w:t>no significant effects on thermal preferences are observed without such a belief</w:t>
      </w:r>
      <w:r w:rsidR="00453B0F" w:rsidRPr="00E60B44">
        <w:rPr>
          <w:sz w:val="22"/>
          <w:szCs w:val="22"/>
          <w:lang w:val="en-GB"/>
        </w:rPr>
        <w:t xml:space="preserve">. The tests carried out in </w:t>
      </w:r>
      <w:smartTag w:uri="urn:schemas-microsoft-com:office:smarttags" w:element="country-region">
        <w:smartTag w:uri="urn:schemas-microsoft-com:office:smarttags" w:element="place">
          <w:r w:rsidR="00453B0F" w:rsidRPr="00E60B44">
            <w:rPr>
              <w:sz w:val="22"/>
              <w:szCs w:val="22"/>
              <w:lang w:val="en-GB"/>
            </w:rPr>
            <w:t>Poland</w:t>
          </w:r>
        </w:smartTag>
      </w:smartTag>
      <w:r w:rsidR="00453B0F" w:rsidRPr="00E60B44">
        <w:rPr>
          <w:sz w:val="22"/>
          <w:szCs w:val="22"/>
          <w:lang w:val="en-GB"/>
        </w:rPr>
        <w:t xml:space="preserve"> (Dudkiewicz et al. 2021) on 323 students in a </w:t>
      </w:r>
      <w:r w:rsidR="00EE6A02">
        <w:rPr>
          <w:sz w:val="22"/>
          <w:szCs w:val="22"/>
          <w:lang w:val="en-GB"/>
        </w:rPr>
        <w:t>Wroclaw University of Science and Technology lecture room</w:t>
      </w:r>
      <w:r w:rsidR="00453B0F" w:rsidRPr="00E60B44">
        <w:rPr>
          <w:sz w:val="22"/>
          <w:szCs w:val="22"/>
          <w:lang w:val="en-GB"/>
        </w:rPr>
        <w:t xml:space="preserve"> showed that the largest willingness to work was at the mean room temperature of 24.28</w:t>
      </w:r>
      <w:r w:rsidR="00B30A10" w:rsidRPr="00B30A10">
        <w:rPr>
          <w:sz w:val="22"/>
          <w:szCs w:val="22"/>
          <w:lang w:val="en-GB"/>
        </w:rPr>
        <w:t>°</w:t>
      </w:r>
      <w:r w:rsidR="00453B0F" w:rsidRPr="00E60B44">
        <w:rPr>
          <w:sz w:val="22"/>
          <w:szCs w:val="22"/>
          <w:lang w:val="en-GB"/>
        </w:rPr>
        <w:t xml:space="preserve">C. Moreover, it was also reported that the neutral temperature was not perceived as </w:t>
      </w:r>
      <w:r w:rsidR="00EE6A02">
        <w:rPr>
          <w:sz w:val="22"/>
          <w:szCs w:val="22"/>
          <w:lang w:val="en-GB"/>
        </w:rPr>
        <w:t>comfortabl</w:t>
      </w:r>
      <w:r w:rsidR="00453B0F" w:rsidRPr="00E60B44">
        <w:rPr>
          <w:sz w:val="22"/>
          <w:szCs w:val="22"/>
          <w:lang w:val="en-GB"/>
        </w:rPr>
        <w:t>e.</w:t>
      </w:r>
    </w:p>
    <w:p w14:paraId="6C6C3876" w14:textId="77777777" w:rsidR="008F1EE7" w:rsidRDefault="008F1EE7">
      <w:pPr>
        <w:rPr>
          <w:sz w:val="22"/>
          <w:szCs w:val="22"/>
          <w:lang w:val="en-GB"/>
        </w:rPr>
      </w:pPr>
      <w:r>
        <w:rPr>
          <w:sz w:val="22"/>
          <w:szCs w:val="22"/>
          <w:lang w:val="en-GB"/>
        </w:rPr>
        <w:br w:type="page"/>
      </w:r>
    </w:p>
    <w:p w14:paraId="2C88CD5D" w14:textId="05D235F2" w:rsidR="008843B0" w:rsidRPr="00E60B44" w:rsidRDefault="008843B0" w:rsidP="001F5F7A">
      <w:pPr>
        <w:ind w:firstLine="284"/>
        <w:jc w:val="both"/>
        <w:rPr>
          <w:sz w:val="22"/>
          <w:szCs w:val="22"/>
          <w:lang w:val="en-GB"/>
        </w:rPr>
      </w:pPr>
      <w:r w:rsidRPr="00E60B44">
        <w:rPr>
          <w:sz w:val="22"/>
          <w:szCs w:val="22"/>
          <w:lang w:val="en-GB"/>
        </w:rPr>
        <w:lastRenderedPageBreak/>
        <w:t xml:space="preserve">In turn, research on the impact of lighting on thermal comfort was conducted by the authors </w:t>
      </w:r>
      <w:r w:rsidR="00FC5566" w:rsidRPr="00E60B44">
        <w:rPr>
          <w:sz w:val="22"/>
          <w:szCs w:val="22"/>
          <w:lang w:val="en-GB"/>
        </w:rPr>
        <w:t>(Hu et al. 2023)</w:t>
      </w:r>
      <w:r w:rsidRPr="00E60B44">
        <w:rPr>
          <w:sz w:val="22"/>
          <w:szCs w:val="22"/>
          <w:lang w:val="en-GB"/>
        </w:rPr>
        <w:t>, who showed that people staying indoors for a short time are more sensitive to changes in lighting. It should be noted that people spending a longer time in a given place may adapt to a darker environment, but such conditions will not provide them with adequate lighting. Therefore, when designing lighting in an underground building, special attention should be paid to the comfort of people staying there for a short time</w:t>
      </w:r>
      <w:r w:rsidR="00EE6A02">
        <w:rPr>
          <w:sz w:val="22"/>
          <w:szCs w:val="22"/>
          <w:lang w:val="en-GB"/>
        </w:rPr>
        <w:t>, and the needs of those who spend more time there should be considered</w:t>
      </w:r>
      <w:r w:rsidRPr="00E60B44">
        <w:rPr>
          <w:sz w:val="22"/>
          <w:szCs w:val="22"/>
          <w:lang w:val="en-GB"/>
        </w:rPr>
        <w:t>, ensuring a brighter working environment. The optimal summer temperature range for people staying in the building for longer periods was 25.6</w:t>
      </w:r>
      <w:r w:rsidR="00B30A10" w:rsidRPr="00B30A10">
        <w:rPr>
          <w:sz w:val="22"/>
          <w:szCs w:val="22"/>
          <w:lang w:val="en-GB"/>
        </w:rPr>
        <w:t>-</w:t>
      </w:r>
      <w:r w:rsidRPr="00E60B44">
        <w:rPr>
          <w:sz w:val="22"/>
          <w:szCs w:val="22"/>
          <w:lang w:val="en-GB"/>
        </w:rPr>
        <w:t>26.3</w:t>
      </w:r>
      <w:r w:rsidR="00B30A10" w:rsidRPr="00B30A10">
        <w:rPr>
          <w:sz w:val="22"/>
          <w:szCs w:val="22"/>
          <w:lang w:val="en-GB"/>
        </w:rPr>
        <w:t>°</w:t>
      </w:r>
      <w:r w:rsidRPr="00E60B44">
        <w:rPr>
          <w:sz w:val="22"/>
          <w:szCs w:val="22"/>
          <w:lang w:val="en-GB"/>
        </w:rPr>
        <w:t>C</w:t>
      </w:r>
      <w:r w:rsidR="00EE6A02">
        <w:rPr>
          <w:sz w:val="22"/>
          <w:szCs w:val="22"/>
          <w:lang w:val="en-GB"/>
        </w:rPr>
        <w:t>; for shorter periods,</w:t>
      </w:r>
      <w:r w:rsidRPr="00E60B44">
        <w:rPr>
          <w:sz w:val="22"/>
          <w:szCs w:val="22"/>
          <w:lang w:val="en-GB"/>
        </w:rPr>
        <w:t xml:space="preserve"> it was 24.5</w:t>
      </w:r>
      <w:r w:rsidR="00B30A10" w:rsidRPr="00B30A10">
        <w:rPr>
          <w:sz w:val="22"/>
          <w:szCs w:val="22"/>
          <w:lang w:val="en-GB"/>
        </w:rPr>
        <w:t>-</w:t>
      </w:r>
      <w:r w:rsidRPr="00E60B44">
        <w:rPr>
          <w:sz w:val="22"/>
          <w:szCs w:val="22"/>
          <w:lang w:val="en-GB"/>
        </w:rPr>
        <w:t>24.8</w:t>
      </w:r>
      <w:r w:rsidR="00B30A10" w:rsidRPr="00B30A10">
        <w:rPr>
          <w:sz w:val="22"/>
          <w:szCs w:val="22"/>
          <w:lang w:val="en-GB"/>
        </w:rPr>
        <w:t>°</w:t>
      </w:r>
      <w:r w:rsidRPr="00E60B44">
        <w:rPr>
          <w:sz w:val="22"/>
          <w:szCs w:val="22"/>
          <w:lang w:val="en-GB"/>
        </w:rPr>
        <w:t xml:space="preserve">C. </w:t>
      </w:r>
      <w:r w:rsidR="00453B0F" w:rsidRPr="00E60B44">
        <w:rPr>
          <w:sz w:val="22"/>
          <w:szCs w:val="22"/>
          <w:lang w:val="en-GB"/>
        </w:rPr>
        <w:t>In</w:t>
      </w:r>
      <w:r w:rsidR="00FC5566" w:rsidRPr="00E60B44">
        <w:rPr>
          <w:sz w:val="22"/>
          <w:szCs w:val="22"/>
          <w:lang w:val="en-GB"/>
        </w:rPr>
        <w:t xml:space="preserve"> work</w:t>
      </w:r>
      <w:r w:rsidR="00EE6A02">
        <w:rPr>
          <w:sz w:val="22"/>
          <w:szCs w:val="22"/>
          <w:lang w:val="en-GB"/>
        </w:rPr>
        <w:t>,</w:t>
      </w:r>
      <w:r w:rsidR="00FC5566" w:rsidRPr="00E60B44">
        <w:rPr>
          <w:sz w:val="22"/>
          <w:szCs w:val="22"/>
          <w:lang w:val="en-GB"/>
        </w:rPr>
        <w:t xml:space="preserve"> (</w:t>
      </w:r>
      <w:proofErr w:type="spellStart"/>
      <w:r w:rsidRPr="00E60B44">
        <w:rPr>
          <w:sz w:val="22"/>
          <w:szCs w:val="22"/>
          <w:lang w:val="en-GB"/>
        </w:rPr>
        <w:t>Elbellahy</w:t>
      </w:r>
      <w:proofErr w:type="spellEnd"/>
      <w:r w:rsidRPr="00E60B44">
        <w:rPr>
          <w:sz w:val="22"/>
          <w:szCs w:val="22"/>
          <w:lang w:val="en-GB"/>
        </w:rPr>
        <w:t xml:space="preserve"> et al.</w:t>
      </w:r>
      <w:r w:rsidR="00FC5566" w:rsidRPr="00E60B44">
        <w:rPr>
          <w:sz w:val="22"/>
          <w:szCs w:val="22"/>
          <w:lang w:val="en-GB"/>
        </w:rPr>
        <w:t xml:space="preserve"> 2024)</w:t>
      </w:r>
      <w:r w:rsidR="00EE6A02">
        <w:rPr>
          <w:sz w:val="22"/>
          <w:szCs w:val="22"/>
          <w:lang w:val="en-GB"/>
        </w:rPr>
        <w:t>,</w:t>
      </w:r>
      <w:r w:rsidRPr="00E60B44">
        <w:rPr>
          <w:sz w:val="22"/>
          <w:szCs w:val="22"/>
          <w:lang w:val="en-GB"/>
        </w:rPr>
        <w:t xml:space="preserve"> </w:t>
      </w:r>
      <w:r w:rsidR="00453B0F" w:rsidRPr="00E60B44">
        <w:rPr>
          <w:sz w:val="22"/>
          <w:szCs w:val="22"/>
          <w:lang w:val="en-GB"/>
        </w:rPr>
        <w:t xml:space="preserve">day lighting was assessed </w:t>
      </w:r>
      <w:r w:rsidRPr="00E60B44">
        <w:rPr>
          <w:sz w:val="22"/>
          <w:szCs w:val="22"/>
          <w:lang w:val="en-GB"/>
        </w:rPr>
        <w:t xml:space="preserve">in a dry and hot climate in </w:t>
      </w:r>
      <w:smartTag w:uri="urn:schemas-microsoft-com:office:smarttags" w:element="place">
        <w:smartTag w:uri="urn:schemas-microsoft-com:office:smarttags" w:element="country-region">
          <w:r w:rsidRPr="00E60B44">
            <w:rPr>
              <w:sz w:val="22"/>
              <w:szCs w:val="22"/>
              <w:lang w:val="en-GB"/>
            </w:rPr>
            <w:t>Saudi Arabia</w:t>
          </w:r>
        </w:smartTag>
      </w:smartTag>
      <w:r w:rsidRPr="00E60B44">
        <w:rPr>
          <w:sz w:val="22"/>
          <w:szCs w:val="22"/>
          <w:lang w:val="en-GB"/>
        </w:rPr>
        <w:t>. The research showed that the daily illumination did not exceed 100lx</w:t>
      </w:r>
      <w:r w:rsidR="00EE6A02">
        <w:rPr>
          <w:sz w:val="22"/>
          <w:szCs w:val="22"/>
          <w:lang w:val="en-GB"/>
        </w:rPr>
        <w:t>. O</w:t>
      </w:r>
      <w:r w:rsidRPr="00E60B44">
        <w:rPr>
          <w:sz w:val="22"/>
          <w:szCs w:val="22"/>
          <w:lang w:val="en-GB"/>
        </w:rPr>
        <w:t>nly in a few workplaces the daylight exceeded this value. The results showed that 73.1% of respondents were satisfied with the lighting intensity at temperatures ranging from 14.3</w:t>
      </w:r>
      <w:r w:rsidR="00B30A10" w:rsidRPr="00B30A10">
        <w:rPr>
          <w:sz w:val="22"/>
          <w:szCs w:val="22"/>
          <w:lang w:val="en-GB"/>
        </w:rPr>
        <w:t>-</w:t>
      </w:r>
      <w:r w:rsidRPr="00E60B44">
        <w:rPr>
          <w:sz w:val="22"/>
          <w:szCs w:val="22"/>
          <w:lang w:val="en-GB"/>
        </w:rPr>
        <w:t>25.33</w:t>
      </w:r>
      <w:r w:rsidR="00B30A10" w:rsidRPr="00B30A10">
        <w:rPr>
          <w:sz w:val="22"/>
          <w:szCs w:val="22"/>
          <w:lang w:val="en-GB"/>
        </w:rPr>
        <w:t>°</w:t>
      </w:r>
      <w:r w:rsidRPr="00E60B44">
        <w:rPr>
          <w:sz w:val="22"/>
          <w:szCs w:val="22"/>
          <w:lang w:val="en-GB"/>
        </w:rPr>
        <w:t>C.</w:t>
      </w:r>
    </w:p>
    <w:p w14:paraId="173B42ED" w14:textId="41244258" w:rsidR="002B29F2" w:rsidRPr="00E60B44" w:rsidRDefault="008843B0" w:rsidP="00C13EBC">
      <w:pPr>
        <w:ind w:firstLine="284"/>
        <w:jc w:val="both"/>
        <w:rPr>
          <w:sz w:val="22"/>
          <w:szCs w:val="22"/>
          <w:lang w:val="en-GB"/>
        </w:rPr>
      </w:pPr>
      <w:r w:rsidRPr="00E60B44">
        <w:rPr>
          <w:sz w:val="22"/>
          <w:szCs w:val="22"/>
          <w:lang w:val="en-GB"/>
        </w:rPr>
        <w:t xml:space="preserve">To sum up, creating thermal comfort conditions in the workplace or study is an investment in the effectiveness of the team and the overall quality of the tasks performed. Room users who feel comfortable in terms of temperature are more likely to engage in work, which translates into </w:t>
      </w:r>
      <w:r w:rsidR="00EE6A02">
        <w:rPr>
          <w:sz w:val="22"/>
          <w:szCs w:val="22"/>
          <w:lang w:val="en-GB"/>
        </w:rPr>
        <w:t>increased</w:t>
      </w:r>
      <w:r w:rsidRPr="00E60B44">
        <w:rPr>
          <w:sz w:val="22"/>
          <w:szCs w:val="22"/>
          <w:lang w:val="en-GB"/>
        </w:rPr>
        <w:t xml:space="preserve"> productivity and the quality of services provided. Previously</w:t>
      </w:r>
      <w:r w:rsidR="00EE6A02">
        <w:rPr>
          <w:sz w:val="22"/>
          <w:szCs w:val="22"/>
          <w:lang w:val="en-GB"/>
        </w:rPr>
        <w:t>,</w:t>
      </w:r>
      <w:r w:rsidRPr="00E60B44">
        <w:rPr>
          <w:sz w:val="22"/>
          <w:szCs w:val="22"/>
          <w:lang w:val="en-GB"/>
        </w:rPr>
        <w:t xml:space="preserve"> the authors focused on the phenomenon of the sick building syndrome (Krawczyk et al</w:t>
      </w:r>
      <w:r w:rsidR="009847A4">
        <w:rPr>
          <w:sz w:val="22"/>
          <w:szCs w:val="22"/>
          <w:lang w:val="en-GB"/>
        </w:rPr>
        <w:t>.</w:t>
      </w:r>
      <w:r w:rsidRPr="00E60B44">
        <w:rPr>
          <w:sz w:val="22"/>
          <w:szCs w:val="22"/>
          <w:lang w:val="en-GB"/>
        </w:rPr>
        <w:t xml:space="preserve"> 2023), while the present paper analyses selected indoor environment parameters and their impact on human sensations due to the importance of this issue in </w:t>
      </w:r>
      <w:r w:rsidR="00EE6A02">
        <w:rPr>
          <w:sz w:val="22"/>
          <w:szCs w:val="22"/>
          <w:lang w:val="en-GB"/>
        </w:rPr>
        <w:t>several</w:t>
      </w:r>
      <w:r w:rsidRPr="00E60B44">
        <w:rPr>
          <w:sz w:val="22"/>
          <w:szCs w:val="22"/>
          <w:lang w:val="en-GB"/>
        </w:rPr>
        <w:t xml:space="preserve"> aspects (</w:t>
      </w:r>
      <w:proofErr w:type="spellStart"/>
      <w:r w:rsidRPr="00E60B44">
        <w:rPr>
          <w:sz w:val="22"/>
          <w:szCs w:val="22"/>
          <w:lang w:val="en-GB"/>
        </w:rPr>
        <w:t>Amanowicz</w:t>
      </w:r>
      <w:proofErr w:type="spellEnd"/>
      <w:r w:rsidRPr="00E60B44">
        <w:rPr>
          <w:sz w:val="22"/>
          <w:szCs w:val="22"/>
          <w:lang w:val="en-GB"/>
        </w:rPr>
        <w:t xml:space="preserve"> et al. 2023, Kotrys-</w:t>
      </w:r>
      <w:proofErr w:type="spellStart"/>
      <w:r w:rsidRPr="00E60B44">
        <w:rPr>
          <w:sz w:val="22"/>
          <w:szCs w:val="22"/>
          <w:lang w:val="en-GB"/>
        </w:rPr>
        <w:t>Działak</w:t>
      </w:r>
      <w:proofErr w:type="spellEnd"/>
      <w:r w:rsidRPr="00E60B44">
        <w:rPr>
          <w:sz w:val="22"/>
          <w:szCs w:val="22"/>
          <w:lang w:val="en-GB"/>
        </w:rPr>
        <w:t xml:space="preserve"> &amp; </w:t>
      </w:r>
      <w:proofErr w:type="spellStart"/>
      <w:r w:rsidRPr="00E60B44">
        <w:rPr>
          <w:sz w:val="22"/>
          <w:szCs w:val="22"/>
          <w:lang w:val="en-GB"/>
        </w:rPr>
        <w:t>Stokowiec</w:t>
      </w:r>
      <w:proofErr w:type="spellEnd"/>
      <w:r w:rsidRPr="00E60B44">
        <w:rPr>
          <w:sz w:val="22"/>
          <w:szCs w:val="22"/>
          <w:lang w:val="en-GB"/>
        </w:rPr>
        <w:t xml:space="preserve"> 2023).</w:t>
      </w:r>
      <w:r w:rsidR="00F16B1E" w:rsidRPr="00E60B44">
        <w:t xml:space="preserve"> </w:t>
      </w:r>
      <w:r w:rsidR="00F16B1E" w:rsidRPr="00E60B44">
        <w:rPr>
          <w:sz w:val="22"/>
          <w:szCs w:val="22"/>
          <w:lang w:val="en-GB"/>
        </w:rPr>
        <w:t xml:space="preserve">The insufficient data available in </w:t>
      </w:r>
      <w:r w:rsidR="00EE6A02">
        <w:rPr>
          <w:sz w:val="22"/>
          <w:szCs w:val="22"/>
          <w:lang w:val="en-GB"/>
        </w:rPr>
        <w:t xml:space="preserve">the </w:t>
      </w:r>
      <w:r w:rsidR="00F16B1E" w:rsidRPr="00E60B44">
        <w:rPr>
          <w:sz w:val="22"/>
          <w:szCs w:val="22"/>
          <w:lang w:val="en-GB"/>
        </w:rPr>
        <w:t>literature regarding the analysed research area need</w:t>
      </w:r>
      <w:r w:rsidR="00EE6A02">
        <w:rPr>
          <w:sz w:val="22"/>
          <w:szCs w:val="22"/>
          <w:lang w:val="en-GB"/>
        </w:rPr>
        <w:t>s</w:t>
      </w:r>
      <w:r w:rsidR="00F16B1E" w:rsidRPr="00E60B44">
        <w:rPr>
          <w:sz w:val="22"/>
          <w:szCs w:val="22"/>
          <w:lang w:val="en-GB"/>
        </w:rPr>
        <w:t xml:space="preserve"> to be supported by new data, which is the aim of the present paper.</w:t>
      </w:r>
    </w:p>
    <w:p w14:paraId="57834547" w14:textId="77777777" w:rsidR="00594219" w:rsidRPr="008B5F4E" w:rsidRDefault="00594219" w:rsidP="00554589">
      <w:pPr>
        <w:pStyle w:val="Rn1"/>
        <w:rPr>
          <w:caps/>
          <w:sz w:val="20"/>
          <w:lang w:val="en-GB"/>
        </w:rPr>
      </w:pPr>
      <w:r w:rsidRPr="008B5F4E">
        <w:rPr>
          <w:lang w:val="en-GB"/>
        </w:rPr>
        <w:t>2. E</w:t>
      </w:r>
      <w:r w:rsidR="00D60C42" w:rsidRPr="008B5F4E">
        <w:rPr>
          <w:lang w:val="en-GB"/>
        </w:rPr>
        <w:t>xperimental</w:t>
      </w:r>
    </w:p>
    <w:p w14:paraId="6205A40F" w14:textId="5E722C7C" w:rsidR="008A02D6" w:rsidRPr="00E60B44" w:rsidRDefault="008A02D6" w:rsidP="00A0489A">
      <w:pPr>
        <w:ind w:firstLine="284"/>
        <w:jc w:val="both"/>
        <w:rPr>
          <w:sz w:val="22"/>
          <w:szCs w:val="22"/>
        </w:rPr>
      </w:pPr>
      <w:r w:rsidRPr="00E60B44">
        <w:rPr>
          <w:sz w:val="22"/>
          <w:szCs w:val="22"/>
        </w:rPr>
        <w:t xml:space="preserve">Thermal comfort tests were carried out in the Central part of </w:t>
      </w:r>
      <w:smartTag w:uri="urn:schemas-microsoft-com:office:smarttags" w:element="place">
        <w:smartTag w:uri="urn:schemas-microsoft-com:office:smarttags" w:element="country-region">
          <w:r w:rsidRPr="00E60B44">
            <w:rPr>
              <w:sz w:val="22"/>
              <w:szCs w:val="22"/>
            </w:rPr>
            <w:t>Poland</w:t>
          </w:r>
        </w:smartTag>
      </w:smartTag>
      <w:r w:rsidRPr="00E60B44">
        <w:rPr>
          <w:sz w:val="22"/>
          <w:szCs w:val="22"/>
        </w:rPr>
        <w:t xml:space="preserve"> in the </w:t>
      </w:r>
      <w:proofErr w:type="spellStart"/>
      <w:r w:rsidRPr="00E60B44">
        <w:rPr>
          <w:sz w:val="22"/>
          <w:szCs w:val="22"/>
        </w:rPr>
        <w:t>Swietokrzyskie</w:t>
      </w:r>
      <w:proofErr w:type="spellEnd"/>
      <w:r w:rsidRPr="00E60B44">
        <w:rPr>
          <w:sz w:val="22"/>
          <w:szCs w:val="22"/>
        </w:rPr>
        <w:t xml:space="preserve"> Voivodship at the Kielce University of Technology, i.e. in the </w:t>
      </w:r>
      <w:proofErr w:type="spellStart"/>
      <w:r w:rsidRPr="00E60B44">
        <w:rPr>
          <w:sz w:val="22"/>
          <w:szCs w:val="22"/>
        </w:rPr>
        <w:t>Energis</w:t>
      </w:r>
      <w:proofErr w:type="spellEnd"/>
      <w:r w:rsidRPr="00E60B44">
        <w:rPr>
          <w:sz w:val="22"/>
          <w:szCs w:val="22"/>
        </w:rPr>
        <w:t xml:space="preserve"> building (Faculty of Environmental Engineering, </w:t>
      </w:r>
      <w:r w:rsidR="00F16B1E" w:rsidRPr="00E60B44">
        <w:rPr>
          <w:sz w:val="22"/>
          <w:szCs w:val="22"/>
        </w:rPr>
        <w:t>Geodesy</w:t>
      </w:r>
      <w:r w:rsidRPr="00E60B44">
        <w:rPr>
          <w:sz w:val="22"/>
          <w:szCs w:val="22"/>
        </w:rPr>
        <w:t xml:space="preserve"> and Renewable Energy). Th</w:t>
      </w:r>
      <w:r w:rsidR="00D151FB" w:rsidRPr="00E60B44">
        <w:rPr>
          <w:sz w:val="22"/>
          <w:szCs w:val="22"/>
        </w:rPr>
        <w:t>is</w:t>
      </w:r>
      <w:r w:rsidRPr="00E60B44">
        <w:rPr>
          <w:sz w:val="22"/>
          <w:szCs w:val="22"/>
        </w:rPr>
        <w:t xml:space="preserve"> smart building dates back to 2012</w:t>
      </w:r>
      <w:r w:rsidR="00EE6A02">
        <w:rPr>
          <w:sz w:val="22"/>
          <w:szCs w:val="22"/>
        </w:rPr>
        <w:t xml:space="preserve"> and has mechanical ventilation,</w:t>
      </w:r>
      <w:r w:rsidRPr="00E60B44">
        <w:rPr>
          <w:sz w:val="22"/>
          <w:szCs w:val="22"/>
        </w:rPr>
        <w:t xml:space="preserve"> and a</w:t>
      </w:r>
      <w:r w:rsidR="0022715F">
        <w:rPr>
          <w:sz w:val="22"/>
          <w:szCs w:val="22"/>
        </w:rPr>
        <w:t> </w:t>
      </w:r>
      <w:r w:rsidRPr="00E60B44">
        <w:rPr>
          <w:sz w:val="22"/>
          <w:szCs w:val="22"/>
        </w:rPr>
        <w:t xml:space="preserve">BMS (Building </w:t>
      </w:r>
      <w:r w:rsidR="00F16B1E" w:rsidRPr="00E60B44">
        <w:rPr>
          <w:sz w:val="22"/>
          <w:szCs w:val="22"/>
        </w:rPr>
        <w:t xml:space="preserve">Management </w:t>
      </w:r>
      <w:r w:rsidRPr="00E60B44">
        <w:rPr>
          <w:sz w:val="22"/>
          <w:szCs w:val="22"/>
        </w:rPr>
        <w:t xml:space="preserve">System) that manages the entire building. </w:t>
      </w:r>
      <w:r w:rsidR="00EE6A02">
        <w:rPr>
          <w:sz w:val="22"/>
          <w:szCs w:val="22"/>
        </w:rPr>
        <w:t>The building has</w:t>
      </w:r>
      <w:r w:rsidRPr="00E60B44">
        <w:rPr>
          <w:sz w:val="22"/>
          <w:szCs w:val="22"/>
        </w:rPr>
        <w:t xml:space="preserve"> 22 classrooms</w:t>
      </w:r>
      <w:r w:rsidR="00EE6A02">
        <w:rPr>
          <w:sz w:val="22"/>
          <w:szCs w:val="22"/>
        </w:rPr>
        <w:t>,</w:t>
      </w:r>
      <w:r w:rsidRPr="00E60B44">
        <w:rPr>
          <w:sz w:val="22"/>
          <w:szCs w:val="22"/>
        </w:rPr>
        <w:t xml:space="preserve"> staff offices</w:t>
      </w:r>
      <w:r w:rsidR="00EE6A02">
        <w:rPr>
          <w:sz w:val="22"/>
          <w:szCs w:val="22"/>
        </w:rPr>
        <w:t>, and</w:t>
      </w:r>
      <w:r w:rsidRPr="00E60B44">
        <w:rPr>
          <w:sz w:val="22"/>
          <w:szCs w:val="22"/>
        </w:rPr>
        <w:t xml:space="preserve"> laboratories for research. The building in question is shown in Photo 1.</w:t>
      </w:r>
    </w:p>
    <w:p w14:paraId="0D73C98A" w14:textId="77777777" w:rsidR="002B29F2" w:rsidRPr="00E60B44" w:rsidRDefault="002B29F2" w:rsidP="00333144">
      <w:pPr>
        <w:pStyle w:val="Paragraph"/>
      </w:pPr>
    </w:p>
    <w:p w14:paraId="2E0770CD" w14:textId="40E02B87" w:rsidR="007023D7" w:rsidRPr="00E60B44" w:rsidRDefault="006C5250" w:rsidP="00D60C42">
      <w:pPr>
        <w:spacing w:after="120"/>
        <w:jc w:val="center"/>
        <w:rPr>
          <w:b/>
          <w:caps/>
          <w:sz w:val="20"/>
        </w:rPr>
      </w:pPr>
      <w:r w:rsidRPr="00E60B44">
        <w:rPr>
          <w:noProof/>
          <w:sz w:val="22"/>
          <w:lang w:val="en-GB"/>
        </w:rPr>
        <w:drawing>
          <wp:inline distT="0" distB="0" distL="0" distR="0" wp14:anchorId="322062B6" wp14:editId="217164AD">
            <wp:extent cx="3028950" cy="2524125"/>
            <wp:effectExtent l="0" t="0" r="0" b="0"/>
            <wp:docPr id="1" name="Obraz 3" descr="C:\Natalia\Natka\Studia\III Stopień\Zdjęcia budynków\20221112_103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Natalia\Natka\Studia\III Stopień\Zdjęcia budynków\20221112_103755.jpg"/>
                    <pic:cNvPicPr>
                      <a:picLocks noChangeAspect="1" noChangeArrowheads="1"/>
                    </pic:cNvPicPr>
                  </pic:nvPicPr>
                  <pic:blipFill>
                    <a:blip r:embed="rId8">
                      <a:extLst>
                        <a:ext uri="{28A0092B-C50C-407E-A947-70E740481C1C}">
                          <a14:useLocalDpi xmlns:a14="http://schemas.microsoft.com/office/drawing/2010/main" val="0"/>
                        </a:ext>
                      </a:extLst>
                    </a:blip>
                    <a:srcRect l="11174" t="9415" r="17671" b="11766"/>
                    <a:stretch>
                      <a:fillRect/>
                    </a:stretch>
                  </pic:blipFill>
                  <pic:spPr bwMode="auto">
                    <a:xfrm>
                      <a:off x="0" y="0"/>
                      <a:ext cx="3028950" cy="2524125"/>
                    </a:xfrm>
                    <a:prstGeom prst="rect">
                      <a:avLst/>
                    </a:prstGeom>
                    <a:noFill/>
                    <a:ln>
                      <a:noFill/>
                    </a:ln>
                  </pic:spPr>
                </pic:pic>
              </a:graphicData>
            </a:graphic>
          </wp:inline>
        </w:drawing>
      </w:r>
    </w:p>
    <w:p w14:paraId="6E7F2EC1" w14:textId="77777777" w:rsidR="002B29F2" w:rsidRPr="0022715F" w:rsidRDefault="008A02D6" w:rsidP="00E60B44">
      <w:pPr>
        <w:pStyle w:val="Rrys"/>
        <w:rPr>
          <w:spacing w:val="-2"/>
          <w:lang w:val="en-GB"/>
        </w:rPr>
      </w:pPr>
      <w:r w:rsidRPr="0022715F">
        <w:rPr>
          <w:b/>
          <w:bCs/>
          <w:spacing w:val="-2"/>
          <w:lang w:val="en-GB"/>
        </w:rPr>
        <w:t>Photo</w:t>
      </w:r>
      <w:r w:rsidR="007023D7" w:rsidRPr="0022715F">
        <w:rPr>
          <w:b/>
          <w:bCs/>
          <w:spacing w:val="-2"/>
          <w:lang w:val="en-GB"/>
        </w:rPr>
        <w:t xml:space="preserve"> 1.</w:t>
      </w:r>
      <w:r w:rsidR="007023D7" w:rsidRPr="0022715F">
        <w:rPr>
          <w:spacing w:val="-2"/>
          <w:lang w:val="en-GB"/>
        </w:rPr>
        <w:t xml:space="preserve"> </w:t>
      </w:r>
      <w:r w:rsidRPr="0022715F">
        <w:rPr>
          <w:spacing w:val="-2"/>
          <w:lang w:val="en-GB"/>
        </w:rPr>
        <w:t xml:space="preserve">Department of </w:t>
      </w:r>
      <w:r w:rsidR="00F16B1E" w:rsidRPr="0022715F">
        <w:rPr>
          <w:spacing w:val="-2"/>
          <w:lang w:val="en-GB"/>
        </w:rPr>
        <w:t xml:space="preserve">Environmental </w:t>
      </w:r>
      <w:r w:rsidRPr="0022715F">
        <w:rPr>
          <w:spacing w:val="-2"/>
          <w:lang w:val="en-GB"/>
        </w:rPr>
        <w:t>Engineering, Geodesy and Renewable Energy at Kielce University of Technology</w:t>
      </w:r>
    </w:p>
    <w:p w14:paraId="6F0424F4" w14:textId="77777777" w:rsidR="00E60B44" w:rsidRPr="00E60B44" w:rsidRDefault="00E60B44" w:rsidP="008A02D6">
      <w:pPr>
        <w:ind w:firstLine="284"/>
        <w:jc w:val="both"/>
        <w:rPr>
          <w:sz w:val="22"/>
          <w:szCs w:val="22"/>
        </w:rPr>
      </w:pPr>
    </w:p>
    <w:p w14:paraId="20318A7E" w14:textId="6F00C2F9" w:rsidR="008A02D6" w:rsidRPr="00E60B44" w:rsidRDefault="008A02D6" w:rsidP="008A02D6">
      <w:pPr>
        <w:ind w:firstLine="284"/>
        <w:jc w:val="both"/>
        <w:rPr>
          <w:sz w:val="22"/>
          <w:szCs w:val="22"/>
        </w:rPr>
      </w:pPr>
      <w:r w:rsidRPr="00E60B44">
        <w:rPr>
          <w:sz w:val="22"/>
          <w:szCs w:val="22"/>
        </w:rPr>
        <w:t xml:space="preserve">The research </w:t>
      </w:r>
      <w:r w:rsidR="00EE6A02">
        <w:rPr>
          <w:sz w:val="22"/>
          <w:szCs w:val="22"/>
        </w:rPr>
        <w:t xml:space="preserve">involved </w:t>
      </w:r>
      <w:proofErr w:type="spellStart"/>
      <w:r w:rsidR="00EE6A02">
        <w:rPr>
          <w:sz w:val="22"/>
          <w:szCs w:val="22"/>
        </w:rPr>
        <w:t>analysing</w:t>
      </w:r>
      <w:proofErr w:type="spellEnd"/>
      <w:r w:rsidR="00EE6A02">
        <w:rPr>
          <w:sz w:val="22"/>
          <w:szCs w:val="22"/>
        </w:rPr>
        <w:t xml:space="preserve"> the subjective assessment of thermal sensations, acceptability and preferences,</w:t>
      </w:r>
      <w:r w:rsidRPr="00E60B44">
        <w:rPr>
          <w:sz w:val="22"/>
          <w:szCs w:val="22"/>
        </w:rPr>
        <w:t xml:space="preserve"> productivity, lighting and air quality in eleven rooms. The research was carried out using two methods, i.e. measuring microclimate parameters using </w:t>
      </w:r>
      <w:proofErr w:type="spellStart"/>
      <w:r w:rsidRPr="00E60B44">
        <w:rPr>
          <w:sz w:val="22"/>
          <w:szCs w:val="22"/>
        </w:rPr>
        <w:t>speciali</w:t>
      </w:r>
      <w:r w:rsidR="00EE6A02">
        <w:rPr>
          <w:sz w:val="22"/>
          <w:szCs w:val="22"/>
        </w:rPr>
        <w:t>s</w:t>
      </w:r>
      <w:r w:rsidRPr="00E60B44">
        <w:rPr>
          <w:sz w:val="22"/>
          <w:szCs w:val="22"/>
        </w:rPr>
        <w:t>ed</w:t>
      </w:r>
      <w:proofErr w:type="spellEnd"/>
      <w:r w:rsidRPr="00E60B44">
        <w:rPr>
          <w:sz w:val="22"/>
          <w:szCs w:val="22"/>
        </w:rPr>
        <w:t xml:space="preserve"> equipment</w:t>
      </w:r>
      <w:r w:rsidR="00EE6A02">
        <w:rPr>
          <w:sz w:val="22"/>
          <w:szCs w:val="22"/>
        </w:rPr>
        <w:t>,</w:t>
      </w:r>
      <w:r w:rsidRPr="00E60B44">
        <w:rPr>
          <w:sz w:val="22"/>
          <w:szCs w:val="22"/>
        </w:rPr>
        <w:t xml:space="preserve"> the Testo 400 meter and its probes, and conducting and </w:t>
      </w:r>
      <w:proofErr w:type="spellStart"/>
      <w:r w:rsidRPr="00E60B44">
        <w:rPr>
          <w:sz w:val="22"/>
          <w:szCs w:val="22"/>
        </w:rPr>
        <w:t>analy</w:t>
      </w:r>
      <w:r w:rsidR="00EE6A02">
        <w:rPr>
          <w:sz w:val="22"/>
          <w:szCs w:val="22"/>
        </w:rPr>
        <w:t>s</w:t>
      </w:r>
      <w:r w:rsidRPr="00E60B44">
        <w:rPr>
          <w:sz w:val="22"/>
          <w:szCs w:val="22"/>
        </w:rPr>
        <w:t>ing</w:t>
      </w:r>
      <w:proofErr w:type="spellEnd"/>
      <w:r w:rsidRPr="00E60B44">
        <w:rPr>
          <w:sz w:val="22"/>
          <w:szCs w:val="22"/>
        </w:rPr>
        <w:t xml:space="preserve"> anonymous surveys completed by respondents during the research. </w:t>
      </w:r>
      <w:r w:rsidR="00EE6A02">
        <w:rPr>
          <w:sz w:val="22"/>
          <w:szCs w:val="22"/>
        </w:rPr>
        <w:t>110 users assessed thermal comfort</w:t>
      </w:r>
      <w:r w:rsidRPr="00E60B44">
        <w:rPr>
          <w:sz w:val="22"/>
          <w:szCs w:val="22"/>
        </w:rPr>
        <w:t xml:space="preserve">. </w:t>
      </w:r>
      <w:r w:rsidR="00EE6A02">
        <w:rPr>
          <w:sz w:val="22"/>
          <w:szCs w:val="22"/>
        </w:rPr>
        <w:t>Photo 2 below</w:t>
      </w:r>
      <w:r w:rsidRPr="00E60B44">
        <w:rPr>
          <w:sz w:val="22"/>
          <w:szCs w:val="22"/>
        </w:rPr>
        <w:t xml:space="preserve"> shows the Testo 400 microclimate meter with probes.</w:t>
      </w:r>
    </w:p>
    <w:p w14:paraId="279AB84D" w14:textId="1029D5C0" w:rsidR="008A02D6" w:rsidRPr="00E60B44" w:rsidRDefault="006C5250" w:rsidP="008A02D6">
      <w:pPr>
        <w:spacing w:after="120"/>
        <w:jc w:val="center"/>
        <w:rPr>
          <w:b/>
          <w:caps/>
          <w:sz w:val="20"/>
        </w:rPr>
      </w:pPr>
      <w:r w:rsidRPr="00E60B44">
        <w:rPr>
          <w:noProof/>
          <w:lang w:val="en-GB"/>
        </w:rPr>
        <w:lastRenderedPageBreak/>
        <w:drawing>
          <wp:inline distT="0" distB="0" distL="0" distR="0" wp14:anchorId="1F77AB9C" wp14:editId="326CF245">
            <wp:extent cx="3736888" cy="2535382"/>
            <wp:effectExtent l="0" t="0" r="0" b="0"/>
            <wp:docPr id="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9682" cy="2544063"/>
                    </a:xfrm>
                    <a:prstGeom prst="rect">
                      <a:avLst/>
                    </a:prstGeom>
                    <a:noFill/>
                    <a:ln>
                      <a:noFill/>
                    </a:ln>
                  </pic:spPr>
                </pic:pic>
              </a:graphicData>
            </a:graphic>
          </wp:inline>
        </w:drawing>
      </w:r>
    </w:p>
    <w:p w14:paraId="759D221C" w14:textId="77777777" w:rsidR="008A02D6" w:rsidRPr="008B5F4E" w:rsidRDefault="008A02D6" w:rsidP="00E60B44">
      <w:pPr>
        <w:pStyle w:val="Rrys"/>
        <w:rPr>
          <w:lang w:val="en-GB"/>
        </w:rPr>
      </w:pPr>
      <w:r w:rsidRPr="008B5F4E">
        <w:rPr>
          <w:b/>
          <w:bCs/>
          <w:lang w:val="en-GB"/>
        </w:rPr>
        <w:t>Photo 2.</w:t>
      </w:r>
      <w:r w:rsidRPr="008B5F4E">
        <w:rPr>
          <w:lang w:val="en-GB"/>
        </w:rPr>
        <w:t xml:space="preserve"> Testo 400 microclimate meter with probes: light intensity (yellow circle) and air temperature and humidity (blue circle)</w:t>
      </w:r>
    </w:p>
    <w:p w14:paraId="28327898" w14:textId="2EC1CDD9" w:rsidR="008A02D6" w:rsidRPr="008B5F4E" w:rsidRDefault="008A02D6" w:rsidP="00554589">
      <w:pPr>
        <w:pStyle w:val="Rn1"/>
        <w:rPr>
          <w:lang w:val="en-GB"/>
        </w:rPr>
      </w:pPr>
      <w:r w:rsidRPr="008B5F4E">
        <w:rPr>
          <w:lang w:val="en-GB"/>
        </w:rPr>
        <w:t xml:space="preserve">3. Results and </w:t>
      </w:r>
      <w:r w:rsidR="00554589" w:rsidRPr="008B5F4E">
        <w:rPr>
          <w:lang w:val="en-GB"/>
        </w:rPr>
        <w:t>D</w:t>
      </w:r>
      <w:r w:rsidRPr="008B5F4E">
        <w:rPr>
          <w:lang w:val="en-GB"/>
        </w:rPr>
        <w:t>iscussion</w:t>
      </w:r>
    </w:p>
    <w:p w14:paraId="334932C4" w14:textId="77777777" w:rsidR="008A02D6" w:rsidRPr="008B5F4E" w:rsidRDefault="008A02D6" w:rsidP="00554589">
      <w:pPr>
        <w:pStyle w:val="Rn2"/>
        <w:rPr>
          <w:lang w:val="en-GB"/>
        </w:rPr>
      </w:pPr>
      <w:r w:rsidRPr="008B5F4E">
        <w:rPr>
          <w:lang w:val="en-GB"/>
        </w:rPr>
        <w:t>3.1. Thermal sensations and preferences</w:t>
      </w:r>
    </w:p>
    <w:p w14:paraId="1A2D50FD" w14:textId="66D80151" w:rsidR="008A02D6" w:rsidRDefault="008A02D6" w:rsidP="00237983">
      <w:pPr>
        <w:ind w:firstLine="284"/>
        <w:jc w:val="both"/>
        <w:rPr>
          <w:sz w:val="22"/>
          <w:szCs w:val="22"/>
          <w:lang w:val="en-GB"/>
        </w:rPr>
      </w:pPr>
      <w:r w:rsidRPr="00E60B44">
        <w:rPr>
          <w:sz w:val="22"/>
          <w:szCs w:val="22"/>
          <w:lang w:val="en-GB"/>
        </w:rPr>
        <w:t xml:space="preserve">The results obtained from the questionnaire surveys allowed the respondents to assess the thermal sensations in the examined rooms. First, the respondents were asked about their feelings (TSV - Thermal Sensation Vote), which are on a seven-point scale </w:t>
      </w:r>
      <w:r w:rsidR="00EE6A02">
        <w:rPr>
          <w:sz w:val="22"/>
          <w:szCs w:val="22"/>
          <w:lang w:val="en-GB"/>
        </w:rPr>
        <w:t>following</w:t>
      </w:r>
      <w:r w:rsidRPr="00E60B44">
        <w:rPr>
          <w:sz w:val="22"/>
          <w:szCs w:val="22"/>
          <w:lang w:val="en-GB"/>
        </w:rPr>
        <w:t xml:space="preserve"> the (ASHRAE Standard 55</w:t>
      </w:r>
      <w:r w:rsidR="00D62508" w:rsidRPr="00E60B44">
        <w:rPr>
          <w:sz w:val="22"/>
          <w:szCs w:val="22"/>
          <w:lang w:val="en-GB"/>
        </w:rPr>
        <w:t xml:space="preserve"> </w:t>
      </w:r>
      <w:r w:rsidRPr="00E60B44">
        <w:rPr>
          <w:sz w:val="22"/>
          <w:szCs w:val="22"/>
          <w:lang w:val="en-GB"/>
        </w:rPr>
        <w:t>2017) and the international standard (ISO Standard 7730 2005). On the x-axis, these values mean: 0 – comfortable, 1 – pleasantly warm, 2 – too warm, 3 – too hot, -1 – pleasantly cool, -2 – too cool and -3 – too cold. The question was: "How could you rate yo</w:t>
      </w:r>
      <w:r w:rsidR="000D738D" w:rsidRPr="00E60B44">
        <w:rPr>
          <w:sz w:val="22"/>
          <w:szCs w:val="22"/>
          <w:lang w:val="en-GB"/>
        </w:rPr>
        <w:t>ur thermal sensation now?". Figure</w:t>
      </w:r>
      <w:r w:rsidRPr="00E60B44">
        <w:rPr>
          <w:sz w:val="22"/>
          <w:szCs w:val="22"/>
          <w:lang w:val="en-GB"/>
        </w:rPr>
        <w:t xml:space="preserve"> 1 below shows a chart showing the frequency of responses regarding thermal sensations felt by the respondents.</w:t>
      </w:r>
    </w:p>
    <w:p w14:paraId="09F43F7F" w14:textId="77777777" w:rsidR="00237983" w:rsidRPr="00E60B44" w:rsidRDefault="00237983" w:rsidP="00237983">
      <w:pPr>
        <w:ind w:firstLine="284"/>
        <w:jc w:val="both"/>
        <w:rPr>
          <w:sz w:val="22"/>
          <w:szCs w:val="22"/>
          <w:lang w:val="en-GB"/>
        </w:rPr>
      </w:pPr>
    </w:p>
    <w:p w14:paraId="5788ADD6" w14:textId="71EF427A" w:rsidR="003B6DC3" w:rsidRPr="00E60B44" w:rsidRDefault="006C5250" w:rsidP="00D90336">
      <w:pPr>
        <w:pStyle w:val="Paragraph"/>
        <w:ind w:firstLine="0"/>
        <w:jc w:val="center"/>
      </w:pPr>
      <w:r w:rsidRPr="00E60B44">
        <w:rPr>
          <w:noProof/>
          <w:lang w:val="en-GB" w:eastAsia="pl-PL"/>
        </w:rPr>
        <w:drawing>
          <wp:inline distT="0" distB="0" distL="0" distR="0" wp14:anchorId="4CFF4671" wp14:editId="4A3B6F9A">
            <wp:extent cx="3299530" cy="2617891"/>
            <wp:effectExtent l="0" t="0" r="0" b="0"/>
            <wp:docPr id="3" name="Obraz 0" descr="1.TSV,czestosc.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1.TSV,czestosc.WMF"/>
                    <pic:cNvPicPr>
                      <a:picLocks noChangeAspect="1" noChangeArrowheads="1"/>
                    </pic:cNvPicPr>
                  </pic:nvPicPr>
                  <pic:blipFill>
                    <a:blip r:embed="rId10" cstate="print">
                      <a:extLst>
                        <a:ext uri="{28A0092B-C50C-407E-A947-70E740481C1C}">
                          <a14:useLocalDpi xmlns:a14="http://schemas.microsoft.com/office/drawing/2010/main" val="0"/>
                        </a:ext>
                      </a:extLst>
                    </a:blip>
                    <a:srcRect l="6229" t="5566" r="3703" b="6598"/>
                    <a:stretch>
                      <a:fillRect/>
                    </a:stretch>
                  </pic:blipFill>
                  <pic:spPr bwMode="auto">
                    <a:xfrm>
                      <a:off x="0" y="0"/>
                      <a:ext cx="3320377" cy="2634432"/>
                    </a:xfrm>
                    <a:prstGeom prst="rect">
                      <a:avLst/>
                    </a:prstGeom>
                    <a:noFill/>
                    <a:ln>
                      <a:noFill/>
                    </a:ln>
                  </pic:spPr>
                </pic:pic>
              </a:graphicData>
            </a:graphic>
          </wp:inline>
        </w:drawing>
      </w:r>
    </w:p>
    <w:p w14:paraId="3181BFDD" w14:textId="77777777" w:rsidR="00D90336" w:rsidRPr="008B5F4E" w:rsidRDefault="00A333DD" w:rsidP="00E60B44">
      <w:pPr>
        <w:pStyle w:val="Rrys"/>
        <w:rPr>
          <w:lang w:val="en-GB"/>
        </w:rPr>
      </w:pPr>
      <w:r w:rsidRPr="008B5F4E">
        <w:rPr>
          <w:b/>
          <w:bCs/>
          <w:lang w:val="en-GB"/>
        </w:rPr>
        <w:t>Fig.</w:t>
      </w:r>
      <w:r w:rsidR="00D90336" w:rsidRPr="008B5F4E">
        <w:rPr>
          <w:b/>
          <w:bCs/>
          <w:lang w:val="en-GB"/>
        </w:rPr>
        <w:t xml:space="preserve"> </w:t>
      </w:r>
      <w:r w:rsidR="00054E2F" w:rsidRPr="008B5F4E">
        <w:rPr>
          <w:b/>
          <w:bCs/>
          <w:lang w:val="en-GB"/>
        </w:rPr>
        <w:t>1</w:t>
      </w:r>
      <w:r w:rsidR="00D90336" w:rsidRPr="008B5F4E">
        <w:rPr>
          <w:b/>
          <w:bCs/>
          <w:lang w:val="en-GB"/>
        </w:rPr>
        <w:t>.</w:t>
      </w:r>
      <w:r w:rsidR="00D90336" w:rsidRPr="008B5F4E">
        <w:rPr>
          <w:lang w:val="en-GB"/>
        </w:rPr>
        <w:t xml:space="preserve"> </w:t>
      </w:r>
      <w:r w:rsidR="00054E2F" w:rsidRPr="008B5F4E">
        <w:rPr>
          <w:lang w:val="en-GB"/>
        </w:rPr>
        <w:t>Frequency of response given by respondents regarding thermal sensations</w:t>
      </w:r>
    </w:p>
    <w:p w14:paraId="5F6BE9A9" w14:textId="77777777" w:rsidR="00E60B44" w:rsidRPr="00E60B44" w:rsidRDefault="00E60B44" w:rsidP="003958C9">
      <w:pPr>
        <w:ind w:firstLine="284"/>
        <w:jc w:val="both"/>
        <w:rPr>
          <w:sz w:val="22"/>
          <w:szCs w:val="22"/>
          <w:lang w:val="en-GB" w:eastAsia="en-GB"/>
        </w:rPr>
      </w:pPr>
    </w:p>
    <w:p w14:paraId="59AA41F2" w14:textId="064C640F" w:rsidR="00054E2F" w:rsidRPr="00E60B44" w:rsidRDefault="00EE6A02" w:rsidP="003958C9">
      <w:pPr>
        <w:ind w:firstLine="284"/>
        <w:jc w:val="both"/>
        <w:rPr>
          <w:sz w:val="22"/>
          <w:szCs w:val="22"/>
          <w:lang w:val="en-GB" w:eastAsia="en-GB"/>
        </w:rPr>
      </w:pPr>
      <w:r>
        <w:rPr>
          <w:sz w:val="22"/>
          <w:szCs w:val="22"/>
          <w:lang w:val="en-GB" w:eastAsia="en-GB"/>
        </w:rPr>
        <w:t>Using questionnaires, the students expressed their opinion on the thermal sensations (how they felt)</w:t>
      </w:r>
      <w:r w:rsidR="00054E2F" w:rsidRPr="00E60B44">
        <w:rPr>
          <w:sz w:val="22"/>
          <w:szCs w:val="22"/>
          <w:lang w:val="en-GB" w:eastAsia="en-GB"/>
        </w:rPr>
        <w:t xml:space="preserve">. The figure shows the results for the eleven analysed rooms. Zero means </w:t>
      </w:r>
      <w:r>
        <w:rPr>
          <w:sz w:val="22"/>
          <w:szCs w:val="22"/>
          <w:lang w:val="en-GB" w:eastAsia="en-GB"/>
        </w:rPr>
        <w:t xml:space="preserve">a </w:t>
      </w:r>
      <w:r w:rsidR="00054E2F" w:rsidRPr="00E60B44">
        <w:rPr>
          <w:sz w:val="22"/>
          <w:szCs w:val="22"/>
          <w:lang w:val="en-GB" w:eastAsia="en-GB"/>
        </w:rPr>
        <w:t>comfortable and most favourable state, while the positive values (1, 2, 3) describe that the person feels warmth (1) or strong heat (3), while negative (-1, -2,</w:t>
      </w:r>
      <w:r w:rsidR="00153308" w:rsidRPr="00E60B44">
        <w:rPr>
          <w:sz w:val="22"/>
          <w:szCs w:val="22"/>
          <w:lang w:val="en-GB" w:eastAsia="en-GB"/>
        </w:rPr>
        <w:t xml:space="preserve"> </w:t>
      </w:r>
      <w:r w:rsidR="00054E2F" w:rsidRPr="00E60B44">
        <w:rPr>
          <w:sz w:val="22"/>
          <w:szCs w:val="22"/>
          <w:lang w:val="en-GB" w:eastAsia="en-GB"/>
        </w:rPr>
        <w:t xml:space="preserve">-3) </w:t>
      </w:r>
      <w:r>
        <w:rPr>
          <w:sz w:val="22"/>
          <w:szCs w:val="22"/>
          <w:lang w:val="en-GB" w:eastAsia="en-GB"/>
        </w:rPr>
        <w:t xml:space="preserve">is </w:t>
      </w:r>
      <w:r w:rsidR="00054E2F" w:rsidRPr="00E60B44">
        <w:rPr>
          <w:sz w:val="22"/>
          <w:szCs w:val="22"/>
          <w:lang w:val="en-GB" w:eastAsia="en-GB"/>
        </w:rPr>
        <w:t xml:space="preserve">the opposite (cool and then cold). In general, it can be noted that respondents indicated that the rooms were warm (positive TSV values). </w:t>
      </w:r>
      <w:r>
        <w:rPr>
          <w:sz w:val="22"/>
          <w:szCs w:val="22"/>
          <w:lang w:val="en-GB" w:eastAsia="en-GB"/>
        </w:rPr>
        <w:t>It</w:t>
      </w:r>
      <w:r w:rsidR="00054E2F" w:rsidRPr="00E60B44">
        <w:rPr>
          <w:sz w:val="22"/>
          <w:szCs w:val="22"/>
          <w:lang w:val="en-GB" w:eastAsia="en-GB"/>
        </w:rPr>
        <w:t xml:space="preserve"> is probably due to the prevailing temperature in the rooms, which most often ranged from 21.5</w:t>
      </w:r>
      <w:r w:rsidR="00B30A10" w:rsidRPr="00B30A10">
        <w:rPr>
          <w:sz w:val="22"/>
          <w:szCs w:val="22"/>
          <w:lang w:val="en-GB" w:eastAsia="en-GB"/>
        </w:rPr>
        <w:t>°</w:t>
      </w:r>
      <w:r w:rsidR="00054E2F" w:rsidRPr="00E60B44">
        <w:rPr>
          <w:sz w:val="22"/>
          <w:szCs w:val="22"/>
          <w:lang w:val="en-GB" w:eastAsia="en-GB"/>
        </w:rPr>
        <w:t xml:space="preserve">C </w:t>
      </w:r>
      <w:r w:rsidR="00B30A10">
        <w:rPr>
          <w:sz w:val="22"/>
          <w:szCs w:val="22"/>
          <w:lang w:val="en-GB" w:eastAsia="en-GB"/>
        </w:rPr>
        <w:t>to</w:t>
      </w:r>
      <w:r w:rsidR="00054E2F" w:rsidRPr="00E60B44">
        <w:rPr>
          <w:sz w:val="22"/>
          <w:szCs w:val="22"/>
          <w:lang w:val="en-GB" w:eastAsia="en-GB"/>
        </w:rPr>
        <w:t xml:space="preserve"> 25.5</w:t>
      </w:r>
      <w:r w:rsidR="00B30A10" w:rsidRPr="00B30A10">
        <w:rPr>
          <w:sz w:val="22"/>
          <w:szCs w:val="22"/>
          <w:lang w:val="en-GB" w:eastAsia="en-GB"/>
        </w:rPr>
        <w:t>°</w:t>
      </w:r>
      <w:r w:rsidR="00054E2F" w:rsidRPr="00E60B44">
        <w:rPr>
          <w:sz w:val="22"/>
          <w:szCs w:val="22"/>
          <w:lang w:val="en-GB" w:eastAsia="en-GB"/>
        </w:rPr>
        <w:t xml:space="preserve">C. In the presented diagram, it was noted that the answer comfortable was the most frequently given. It amounted to </w:t>
      </w:r>
      <w:r>
        <w:rPr>
          <w:sz w:val="22"/>
          <w:szCs w:val="22"/>
          <w:lang w:val="en-GB" w:eastAsia="en-GB"/>
        </w:rPr>
        <w:t>more than</w:t>
      </w:r>
      <w:r w:rsidR="00054E2F" w:rsidRPr="00E60B44">
        <w:rPr>
          <w:sz w:val="22"/>
          <w:szCs w:val="22"/>
          <w:lang w:val="en-GB" w:eastAsia="en-GB"/>
        </w:rPr>
        <w:t xml:space="preserve"> 36.36% of all the answers provided. Then</w:t>
      </w:r>
      <w:r>
        <w:rPr>
          <w:sz w:val="22"/>
          <w:szCs w:val="22"/>
          <w:lang w:val="en-GB" w:eastAsia="en-GB"/>
        </w:rPr>
        <w:t>, the students chose pleasantly warm and too warm, which were 30.91% and 19.09%, respectively</w:t>
      </w:r>
      <w:r w:rsidR="00054E2F" w:rsidRPr="00E60B44">
        <w:rPr>
          <w:sz w:val="22"/>
          <w:szCs w:val="22"/>
          <w:lang w:val="en-GB" w:eastAsia="en-GB"/>
        </w:rPr>
        <w:t xml:space="preserve">. Almost 5% answered </w:t>
      </w:r>
      <w:r w:rsidR="00054E2F" w:rsidRPr="00E60B44">
        <w:rPr>
          <w:sz w:val="22"/>
          <w:szCs w:val="22"/>
          <w:lang w:val="en-GB" w:eastAsia="en-GB"/>
        </w:rPr>
        <w:lastRenderedPageBreak/>
        <w:t>pleasantly cool and too cool. The least chosen option was the answer too hot</w:t>
      </w:r>
      <w:r>
        <w:rPr>
          <w:sz w:val="22"/>
          <w:szCs w:val="22"/>
          <w:lang w:val="en-GB" w:eastAsia="en-GB"/>
        </w:rPr>
        <w:t>, which</w:t>
      </w:r>
      <w:r w:rsidR="00054E2F" w:rsidRPr="00E60B44">
        <w:rPr>
          <w:sz w:val="22"/>
          <w:szCs w:val="22"/>
          <w:lang w:val="en-GB" w:eastAsia="en-GB"/>
        </w:rPr>
        <w:t xml:space="preserve"> amounted to 4.0%. Less than 5% chose the answer too cold and too hot. The next graph of Fig</w:t>
      </w:r>
      <w:r w:rsidR="00367A31" w:rsidRPr="00E60B44">
        <w:rPr>
          <w:sz w:val="22"/>
          <w:szCs w:val="22"/>
          <w:lang w:val="en-GB" w:eastAsia="en-GB"/>
        </w:rPr>
        <w:t>u</w:t>
      </w:r>
      <w:r w:rsidR="001C25F9" w:rsidRPr="00E60B44">
        <w:rPr>
          <w:sz w:val="22"/>
          <w:szCs w:val="22"/>
          <w:lang w:val="en-GB" w:eastAsia="en-GB"/>
        </w:rPr>
        <w:t>re</w:t>
      </w:r>
      <w:r w:rsidR="00054E2F" w:rsidRPr="00E60B44">
        <w:rPr>
          <w:sz w:val="22"/>
          <w:szCs w:val="22"/>
          <w:lang w:val="en-GB" w:eastAsia="en-GB"/>
        </w:rPr>
        <w:t xml:space="preserve"> 2 shows the relationship between TSV (Thermal Sensation Vote) and air temperature </w:t>
      </w:r>
      <w:r w:rsidR="007D6B8A" w:rsidRPr="00E60B44">
        <w:rPr>
          <w:sz w:val="22"/>
          <w:szCs w:val="22"/>
          <w:lang w:val="en-GB" w:eastAsia="en-GB"/>
        </w:rPr>
        <w:t xml:space="preserve">(AT) </w:t>
      </w:r>
      <w:r w:rsidR="00054E2F" w:rsidRPr="00E60B44">
        <w:rPr>
          <w:sz w:val="22"/>
          <w:szCs w:val="22"/>
          <w:lang w:val="en-GB" w:eastAsia="en-GB"/>
        </w:rPr>
        <w:t>in the surveyed rooms.</w:t>
      </w:r>
    </w:p>
    <w:p w14:paraId="73B0D7BF" w14:textId="77777777" w:rsidR="00033D08" w:rsidRPr="00E60B44" w:rsidRDefault="00033D08" w:rsidP="00D90336">
      <w:pPr>
        <w:ind w:firstLine="284"/>
        <w:jc w:val="both"/>
        <w:rPr>
          <w:sz w:val="22"/>
          <w:szCs w:val="22"/>
          <w:lang w:val="en-GB" w:eastAsia="en-GB"/>
        </w:rPr>
      </w:pPr>
    </w:p>
    <w:p w14:paraId="6251BDBC" w14:textId="02CDCFB5" w:rsidR="003B6DC3" w:rsidRPr="00E60B44" w:rsidRDefault="006C5250" w:rsidP="003B6DC3">
      <w:pPr>
        <w:pStyle w:val="Paragraph"/>
        <w:ind w:firstLine="0"/>
        <w:jc w:val="center"/>
      </w:pPr>
      <w:r w:rsidRPr="00E60B44">
        <w:rPr>
          <w:noProof/>
        </w:rPr>
        <w:drawing>
          <wp:inline distT="0" distB="0" distL="0" distR="0" wp14:anchorId="783E392C" wp14:editId="07BD435C">
            <wp:extent cx="3267075" cy="2524125"/>
            <wp:effectExtent l="0" t="0" r="0"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cstate="print">
                      <a:extLst>
                        <a:ext uri="{28A0092B-C50C-407E-A947-70E740481C1C}">
                          <a14:useLocalDpi xmlns:a14="http://schemas.microsoft.com/office/drawing/2010/main" val="0"/>
                        </a:ext>
                      </a:extLst>
                    </a:blip>
                    <a:srcRect l="6482" t="8755" r="11244" b="3693"/>
                    <a:stretch>
                      <a:fillRect/>
                    </a:stretch>
                  </pic:blipFill>
                  <pic:spPr bwMode="auto">
                    <a:xfrm>
                      <a:off x="0" y="0"/>
                      <a:ext cx="3267075" cy="2524125"/>
                    </a:xfrm>
                    <a:prstGeom prst="rect">
                      <a:avLst/>
                    </a:prstGeom>
                    <a:noFill/>
                    <a:ln>
                      <a:noFill/>
                    </a:ln>
                  </pic:spPr>
                </pic:pic>
              </a:graphicData>
            </a:graphic>
          </wp:inline>
        </w:drawing>
      </w:r>
    </w:p>
    <w:p w14:paraId="74E8BF2B" w14:textId="77777777" w:rsidR="003B6DC3" w:rsidRPr="008B5F4E" w:rsidRDefault="00033D08" w:rsidP="00E60B44">
      <w:pPr>
        <w:pStyle w:val="Rrys"/>
        <w:rPr>
          <w:lang w:val="en-GB"/>
        </w:rPr>
      </w:pPr>
      <w:r w:rsidRPr="008B5F4E">
        <w:rPr>
          <w:b/>
          <w:bCs/>
          <w:lang w:val="en-GB"/>
        </w:rPr>
        <w:t>Fig</w:t>
      </w:r>
      <w:r w:rsidR="00A333DD" w:rsidRPr="008B5F4E">
        <w:rPr>
          <w:b/>
          <w:bCs/>
          <w:lang w:val="en-GB"/>
        </w:rPr>
        <w:t>.</w:t>
      </w:r>
      <w:r w:rsidRPr="008B5F4E">
        <w:rPr>
          <w:b/>
          <w:bCs/>
          <w:lang w:val="en-GB"/>
        </w:rPr>
        <w:t xml:space="preserve"> </w:t>
      </w:r>
      <w:r w:rsidR="00054E2F" w:rsidRPr="008B5F4E">
        <w:rPr>
          <w:b/>
          <w:bCs/>
          <w:lang w:val="en-GB"/>
        </w:rPr>
        <w:t>2</w:t>
      </w:r>
      <w:r w:rsidRPr="008B5F4E">
        <w:rPr>
          <w:b/>
          <w:bCs/>
          <w:lang w:val="en-GB"/>
        </w:rPr>
        <w:t>.</w:t>
      </w:r>
      <w:r w:rsidRPr="008B5F4E">
        <w:rPr>
          <w:lang w:val="en-GB"/>
        </w:rPr>
        <w:t xml:space="preserve"> </w:t>
      </w:r>
      <w:r w:rsidR="00054E2F" w:rsidRPr="008B5F4E">
        <w:rPr>
          <w:lang w:val="en-GB"/>
        </w:rPr>
        <w:t>Mean thermal sensation vote vs air temperature</w:t>
      </w:r>
    </w:p>
    <w:p w14:paraId="4A95ABF8" w14:textId="77777777" w:rsidR="00E60B44" w:rsidRDefault="00E60B44" w:rsidP="001E2696">
      <w:pPr>
        <w:ind w:firstLine="284"/>
        <w:jc w:val="both"/>
        <w:rPr>
          <w:sz w:val="22"/>
          <w:szCs w:val="22"/>
        </w:rPr>
      </w:pPr>
    </w:p>
    <w:p w14:paraId="1FFAC7B7" w14:textId="3BA74474" w:rsidR="001D72EE" w:rsidRPr="00E60B44" w:rsidRDefault="00054E2F" w:rsidP="001E2696">
      <w:pPr>
        <w:ind w:firstLine="284"/>
        <w:jc w:val="both"/>
        <w:rPr>
          <w:sz w:val="22"/>
          <w:szCs w:val="22"/>
        </w:rPr>
      </w:pPr>
      <w:r w:rsidRPr="00E60B44">
        <w:rPr>
          <w:sz w:val="22"/>
          <w:szCs w:val="22"/>
        </w:rPr>
        <w:t>The graph above shows the relationship between air temperature and the average results of thermal sensation voting conducted in 11 rooms. From the graph</w:t>
      </w:r>
      <w:r w:rsidR="00EE6A02">
        <w:rPr>
          <w:sz w:val="22"/>
          <w:szCs w:val="22"/>
        </w:rPr>
        <w:t>,</w:t>
      </w:r>
      <w:r w:rsidRPr="00E60B44">
        <w:rPr>
          <w:sz w:val="22"/>
          <w:szCs w:val="22"/>
        </w:rPr>
        <w:t xml:space="preserve"> it can be concluded that thermal sensations are in fact closely related to air temperature</w:t>
      </w:r>
      <w:r w:rsidR="00F16B1E" w:rsidRPr="00E60B44">
        <w:rPr>
          <w:sz w:val="22"/>
          <w:szCs w:val="22"/>
        </w:rPr>
        <w:t xml:space="preserve"> (although the regression coefficient was only </w:t>
      </w:r>
      <w:r w:rsidRPr="00E60B44">
        <w:rPr>
          <w:sz w:val="22"/>
          <w:szCs w:val="22"/>
        </w:rPr>
        <w:t>R</w:t>
      </w:r>
      <w:r w:rsidRPr="00E60B44">
        <w:rPr>
          <w:sz w:val="22"/>
          <w:szCs w:val="22"/>
          <w:vertAlign w:val="superscript"/>
        </w:rPr>
        <w:t>2</w:t>
      </w:r>
      <w:r w:rsidRPr="00E60B44">
        <w:rPr>
          <w:sz w:val="22"/>
          <w:szCs w:val="22"/>
        </w:rPr>
        <w:t xml:space="preserve"> = 0.30</w:t>
      </w:r>
      <w:r w:rsidR="00F16B1E" w:rsidRPr="00E60B44">
        <w:rPr>
          <w:sz w:val="22"/>
          <w:szCs w:val="22"/>
        </w:rPr>
        <w:t>)</w:t>
      </w:r>
      <w:r w:rsidRPr="00E60B44">
        <w:rPr>
          <w:sz w:val="22"/>
          <w:szCs w:val="22"/>
        </w:rPr>
        <w:t>. As the air temperature increases, the average TSV value also increases. At the same time, it is worth noting that the most comfortable conditions (i.e. -0.5&lt;TSV&lt;0.5) were observed for temperatures in the range of 21.5</w:t>
      </w:r>
      <w:r w:rsidR="00B30A10" w:rsidRPr="00B30A10">
        <w:rPr>
          <w:sz w:val="22"/>
          <w:szCs w:val="22"/>
        </w:rPr>
        <w:t>°</w:t>
      </w:r>
      <w:r w:rsidRPr="00E60B44">
        <w:rPr>
          <w:sz w:val="22"/>
          <w:szCs w:val="22"/>
        </w:rPr>
        <w:t>C to 22</w:t>
      </w:r>
      <w:r w:rsidR="00B30A10" w:rsidRPr="00B30A10">
        <w:rPr>
          <w:sz w:val="22"/>
          <w:szCs w:val="22"/>
        </w:rPr>
        <w:t>°</w:t>
      </w:r>
      <w:r w:rsidRPr="00E60B44">
        <w:rPr>
          <w:sz w:val="22"/>
          <w:szCs w:val="22"/>
        </w:rPr>
        <w:t xml:space="preserve">C. </w:t>
      </w:r>
      <w:bookmarkStart w:id="3" w:name="_Hlk156922455"/>
      <w:r w:rsidR="001D72EE" w:rsidRPr="00E60B44">
        <w:rPr>
          <w:sz w:val="22"/>
          <w:szCs w:val="22"/>
        </w:rPr>
        <w:t xml:space="preserve">The resulting relationship is of the </w:t>
      </w:r>
      <w:r w:rsidR="007D6B8A" w:rsidRPr="00E60B44">
        <w:rPr>
          <w:sz w:val="22"/>
          <w:szCs w:val="22"/>
        </w:rPr>
        <w:t xml:space="preserve">following </w:t>
      </w:r>
      <w:r w:rsidR="001D72EE" w:rsidRPr="00E60B44">
        <w:rPr>
          <w:sz w:val="22"/>
          <w:szCs w:val="22"/>
        </w:rPr>
        <w:t>form:</w:t>
      </w:r>
      <w:bookmarkEnd w:id="3"/>
    </w:p>
    <w:p w14:paraId="27300AAD" w14:textId="5A60C185" w:rsidR="001D72EE" w:rsidRPr="00E60B44" w:rsidRDefault="001D72EE" w:rsidP="00E60B44">
      <w:pPr>
        <w:tabs>
          <w:tab w:val="right" w:pos="9639"/>
        </w:tabs>
        <w:spacing w:before="120" w:after="120"/>
        <w:ind w:left="3686"/>
        <w:jc w:val="right"/>
        <w:rPr>
          <w:sz w:val="22"/>
          <w:szCs w:val="22"/>
        </w:rPr>
      </w:pPr>
      <w:r w:rsidRPr="00E60B44">
        <w:rPr>
          <w:sz w:val="22"/>
          <w:szCs w:val="22"/>
        </w:rPr>
        <w:t>TSV = 0.2828</w:t>
      </w:r>
      <w:r w:rsidR="00CC21D7" w:rsidRPr="00E60B44">
        <w:rPr>
          <w:sz w:val="22"/>
          <w:szCs w:val="22"/>
        </w:rPr>
        <w:t>AT</w:t>
      </w:r>
      <w:r w:rsidRPr="00E60B44">
        <w:rPr>
          <w:sz w:val="22"/>
          <w:szCs w:val="22"/>
        </w:rPr>
        <w:t xml:space="preserve"> - 6.3761</w:t>
      </w:r>
      <w:r w:rsidRPr="00E60B44">
        <w:rPr>
          <w:sz w:val="22"/>
          <w:szCs w:val="22"/>
        </w:rPr>
        <w:tab/>
      </w:r>
      <w:r w:rsidR="00E60B44" w:rsidRPr="00E60B44">
        <w:rPr>
          <w:sz w:val="22"/>
          <w:szCs w:val="22"/>
        </w:rPr>
        <w:t xml:space="preserve"> </w:t>
      </w:r>
      <w:r w:rsidRPr="00E60B44">
        <w:rPr>
          <w:sz w:val="22"/>
          <w:szCs w:val="22"/>
        </w:rPr>
        <w:t>(1)</w:t>
      </w:r>
    </w:p>
    <w:p w14:paraId="6BAF7A20" w14:textId="74CF18E6" w:rsidR="000D15AC" w:rsidRPr="00E60B44" w:rsidRDefault="00054E2F" w:rsidP="007D6B8A">
      <w:pPr>
        <w:ind w:firstLine="284"/>
        <w:jc w:val="both"/>
        <w:rPr>
          <w:sz w:val="22"/>
          <w:szCs w:val="22"/>
        </w:rPr>
      </w:pPr>
      <w:r w:rsidRPr="00E60B44">
        <w:rPr>
          <w:sz w:val="22"/>
          <w:szCs w:val="22"/>
        </w:rPr>
        <w:t xml:space="preserve">Another question related to the feeling of temperature inside rooms is about the preferences of the surveyed people (TPV </w:t>
      </w:r>
      <w:r w:rsidR="00E60B44">
        <w:rPr>
          <w:sz w:val="22"/>
          <w:szCs w:val="22"/>
        </w:rPr>
        <w:t>–</w:t>
      </w:r>
      <w:r w:rsidRPr="00E60B44">
        <w:rPr>
          <w:sz w:val="22"/>
          <w:szCs w:val="22"/>
        </w:rPr>
        <w:t xml:space="preserve"> Thermal Preferences Vote).</w:t>
      </w:r>
    </w:p>
    <w:p w14:paraId="45ED07A6" w14:textId="77777777" w:rsidR="00041FA1" w:rsidRPr="00E60B44" w:rsidRDefault="00041FA1" w:rsidP="003B6DC3">
      <w:pPr>
        <w:pStyle w:val="Paragraph"/>
      </w:pPr>
    </w:p>
    <w:p w14:paraId="314B460B" w14:textId="3339521D" w:rsidR="00BA315C" w:rsidRPr="00E60B44" w:rsidRDefault="006C5250" w:rsidP="00237983">
      <w:pPr>
        <w:pStyle w:val="Paragraph"/>
        <w:ind w:firstLine="0"/>
        <w:jc w:val="center"/>
      </w:pPr>
      <w:r w:rsidRPr="00E60B44">
        <w:rPr>
          <w:noProof/>
          <w:lang w:val="en-GB" w:eastAsia="pl-PL"/>
        </w:rPr>
        <w:drawing>
          <wp:inline distT="0" distB="0" distL="0" distR="0" wp14:anchorId="06244686" wp14:editId="13F82F3F">
            <wp:extent cx="3276600" cy="2524125"/>
            <wp:effectExtent l="0" t="0" r="0" b="0"/>
            <wp:docPr id="5" name="Obraz 10" descr="3.TPV,czestosc.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3.TPV,czestosc.WMF"/>
                    <pic:cNvPicPr>
                      <a:picLocks noChangeAspect="1" noChangeArrowheads="1"/>
                    </pic:cNvPicPr>
                  </pic:nvPicPr>
                  <pic:blipFill>
                    <a:blip r:embed="rId12" cstate="print">
                      <a:extLst>
                        <a:ext uri="{28A0092B-C50C-407E-A947-70E740481C1C}">
                          <a14:useLocalDpi xmlns:a14="http://schemas.microsoft.com/office/drawing/2010/main" val="0"/>
                        </a:ext>
                      </a:extLst>
                    </a:blip>
                    <a:srcRect l="4651" t="6186" r="2824" b="5566"/>
                    <a:stretch>
                      <a:fillRect/>
                    </a:stretch>
                  </pic:blipFill>
                  <pic:spPr bwMode="auto">
                    <a:xfrm>
                      <a:off x="0" y="0"/>
                      <a:ext cx="3276600" cy="2524125"/>
                    </a:xfrm>
                    <a:prstGeom prst="rect">
                      <a:avLst/>
                    </a:prstGeom>
                    <a:noFill/>
                    <a:ln>
                      <a:noFill/>
                    </a:ln>
                  </pic:spPr>
                </pic:pic>
              </a:graphicData>
            </a:graphic>
          </wp:inline>
        </w:drawing>
      </w:r>
    </w:p>
    <w:p w14:paraId="2FCAEC90" w14:textId="77777777" w:rsidR="00041FA1" w:rsidRPr="008B5F4E" w:rsidRDefault="00A333DD" w:rsidP="00E60B44">
      <w:pPr>
        <w:pStyle w:val="Rrys"/>
        <w:rPr>
          <w:lang w:val="en-GB"/>
        </w:rPr>
      </w:pPr>
      <w:r w:rsidRPr="008B5F4E">
        <w:rPr>
          <w:b/>
          <w:bCs/>
          <w:lang w:val="en-GB"/>
        </w:rPr>
        <w:t xml:space="preserve">Fig. </w:t>
      </w:r>
      <w:r w:rsidR="00054E2F" w:rsidRPr="008B5F4E">
        <w:rPr>
          <w:b/>
          <w:bCs/>
          <w:lang w:val="en-GB"/>
        </w:rPr>
        <w:t>3</w:t>
      </w:r>
      <w:r w:rsidRPr="008B5F4E">
        <w:rPr>
          <w:b/>
          <w:bCs/>
          <w:lang w:val="en-GB"/>
        </w:rPr>
        <w:t>.</w:t>
      </w:r>
      <w:r w:rsidRPr="008B5F4E">
        <w:rPr>
          <w:lang w:val="en-GB"/>
        </w:rPr>
        <w:t xml:space="preserve"> </w:t>
      </w:r>
      <w:r w:rsidR="00054E2F" w:rsidRPr="008B5F4E">
        <w:rPr>
          <w:lang w:val="en-GB"/>
        </w:rPr>
        <w:t>Frequency of response given by respondents regarding thermal preferences</w:t>
      </w:r>
    </w:p>
    <w:p w14:paraId="140C8AD4" w14:textId="77777777" w:rsidR="00E60B44" w:rsidRDefault="00E60B44" w:rsidP="000C4423">
      <w:pPr>
        <w:ind w:firstLine="284"/>
        <w:jc w:val="both"/>
        <w:rPr>
          <w:sz w:val="22"/>
          <w:szCs w:val="22"/>
        </w:rPr>
      </w:pPr>
    </w:p>
    <w:p w14:paraId="16E21E9E" w14:textId="50D64264" w:rsidR="003B6DC3" w:rsidRPr="0022715F" w:rsidRDefault="00054E2F" w:rsidP="000C4423">
      <w:pPr>
        <w:ind w:firstLine="284"/>
        <w:jc w:val="both"/>
        <w:rPr>
          <w:spacing w:val="-2"/>
          <w:sz w:val="22"/>
          <w:szCs w:val="22"/>
        </w:rPr>
      </w:pPr>
      <w:r w:rsidRPr="0022715F">
        <w:rPr>
          <w:sz w:val="22"/>
          <w:szCs w:val="22"/>
        </w:rPr>
        <w:t xml:space="preserve">When asked about their preferences regarding a possible change in air temperatures, respondents had the following answers to choose from: -2 – definitely cooler, -1 – cooler, 0 – normal, +1 – warmer, +2 – definitely warmer. The chart shows that </w:t>
      </w:r>
      <w:r w:rsidR="00EE6A02" w:rsidRPr="0022715F">
        <w:rPr>
          <w:sz w:val="22"/>
          <w:szCs w:val="22"/>
        </w:rPr>
        <w:t>most</w:t>
      </w:r>
      <w:r w:rsidRPr="0022715F">
        <w:rPr>
          <w:sz w:val="22"/>
          <w:szCs w:val="22"/>
        </w:rPr>
        <w:t xml:space="preserve"> respondents, i.e. 57 out of 110 people (51.82% of all respondents)</w:t>
      </w:r>
      <w:r w:rsidR="00EE6A02" w:rsidRPr="0022715F">
        <w:rPr>
          <w:sz w:val="22"/>
          <w:szCs w:val="22"/>
        </w:rPr>
        <w:t>,</w:t>
      </w:r>
      <w:r w:rsidRPr="0022715F">
        <w:rPr>
          <w:sz w:val="22"/>
          <w:szCs w:val="22"/>
        </w:rPr>
        <w:t xml:space="preserve"> admitted that they would like the room temperatures to remain unchanged. 38 people (34.55%) would like there to be cooler in the room, 13 people (11.82%) </w:t>
      </w:r>
      <w:r w:rsidR="00EE6A02" w:rsidRPr="0022715F">
        <w:rPr>
          <w:sz w:val="22"/>
          <w:szCs w:val="22"/>
        </w:rPr>
        <w:t>to be</w:t>
      </w:r>
      <w:r w:rsidRPr="0022715F">
        <w:rPr>
          <w:sz w:val="22"/>
          <w:szCs w:val="22"/>
        </w:rPr>
        <w:t xml:space="preserve"> warmer, and one person each (about 1%) would like there to be a definitely cooler and definitely warmer.</w:t>
      </w:r>
      <w:r w:rsidRPr="0022715F">
        <w:rPr>
          <w:spacing w:val="-2"/>
          <w:sz w:val="22"/>
          <w:szCs w:val="22"/>
        </w:rPr>
        <w:t xml:space="preserve"> The research results are reflected in Fig</w:t>
      </w:r>
      <w:r w:rsidR="001C25F9" w:rsidRPr="0022715F">
        <w:rPr>
          <w:spacing w:val="-2"/>
          <w:sz w:val="22"/>
          <w:szCs w:val="22"/>
        </w:rPr>
        <w:t xml:space="preserve">ure </w:t>
      </w:r>
      <w:r w:rsidRPr="0022715F">
        <w:rPr>
          <w:spacing w:val="-2"/>
          <w:sz w:val="22"/>
          <w:szCs w:val="22"/>
        </w:rPr>
        <w:t xml:space="preserve">1. </w:t>
      </w:r>
      <w:r w:rsidR="00EE6A02" w:rsidRPr="0022715F">
        <w:rPr>
          <w:spacing w:val="-2"/>
          <w:sz w:val="22"/>
          <w:szCs w:val="22"/>
        </w:rPr>
        <w:t>Since</w:t>
      </w:r>
      <w:r w:rsidRPr="0022715F">
        <w:rPr>
          <w:spacing w:val="-2"/>
          <w:sz w:val="22"/>
          <w:szCs w:val="22"/>
        </w:rPr>
        <w:t xml:space="preserve"> many respondents </w:t>
      </w:r>
      <w:r w:rsidRPr="0022715F">
        <w:rPr>
          <w:spacing w:val="-2"/>
          <w:sz w:val="22"/>
          <w:szCs w:val="22"/>
        </w:rPr>
        <w:lastRenderedPageBreak/>
        <w:t>assessed the indoor environment as too warm, they would like to reduce the air temperature, which is shown in Fig</w:t>
      </w:r>
      <w:r w:rsidR="001C25F9" w:rsidRPr="0022715F">
        <w:rPr>
          <w:spacing w:val="-2"/>
          <w:sz w:val="22"/>
          <w:szCs w:val="22"/>
        </w:rPr>
        <w:t xml:space="preserve">ure </w:t>
      </w:r>
      <w:r w:rsidRPr="0022715F">
        <w:rPr>
          <w:spacing w:val="-2"/>
          <w:sz w:val="22"/>
          <w:szCs w:val="22"/>
        </w:rPr>
        <w:t>3 by a significant number of people who marked the answer (-1). Undoubtedly, TSV and TPV must be closely correlated, which is confirmed by Figure 4</w:t>
      </w:r>
      <w:r w:rsidR="003B6DC3" w:rsidRPr="0022715F">
        <w:rPr>
          <w:spacing w:val="-2"/>
          <w:sz w:val="22"/>
          <w:szCs w:val="22"/>
        </w:rPr>
        <w:t>.</w:t>
      </w:r>
    </w:p>
    <w:p w14:paraId="7BBD3FC1" w14:textId="77777777" w:rsidR="00FB6587" w:rsidRPr="00E60B44" w:rsidRDefault="00FB6587" w:rsidP="003B6DC3">
      <w:pPr>
        <w:pStyle w:val="Paragraph"/>
      </w:pPr>
    </w:p>
    <w:p w14:paraId="2643BD56" w14:textId="632F57AB" w:rsidR="000956C5" w:rsidRPr="00E60B44" w:rsidRDefault="006C5250" w:rsidP="000956C5">
      <w:pPr>
        <w:pStyle w:val="Paragraph"/>
        <w:ind w:firstLine="0"/>
        <w:jc w:val="center"/>
      </w:pPr>
      <w:r w:rsidRPr="00E60B44">
        <w:rPr>
          <w:noProof/>
        </w:rPr>
        <w:drawing>
          <wp:inline distT="0" distB="0" distL="0" distR="0" wp14:anchorId="38B227C5" wp14:editId="30ADEB5F">
            <wp:extent cx="2954367" cy="2282529"/>
            <wp:effectExtent l="0" t="0" r="0" b="0"/>
            <wp:docPr id="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3" cstate="print">
                      <a:extLst>
                        <a:ext uri="{28A0092B-C50C-407E-A947-70E740481C1C}">
                          <a14:useLocalDpi xmlns:a14="http://schemas.microsoft.com/office/drawing/2010/main" val="0"/>
                        </a:ext>
                      </a:extLst>
                    </a:blip>
                    <a:srcRect l="8202" t="8755" r="10484" b="4773"/>
                    <a:stretch>
                      <a:fillRect/>
                    </a:stretch>
                  </pic:blipFill>
                  <pic:spPr bwMode="auto">
                    <a:xfrm>
                      <a:off x="0" y="0"/>
                      <a:ext cx="2973899" cy="2297619"/>
                    </a:xfrm>
                    <a:prstGeom prst="rect">
                      <a:avLst/>
                    </a:prstGeom>
                    <a:noFill/>
                    <a:ln>
                      <a:noFill/>
                    </a:ln>
                  </pic:spPr>
                </pic:pic>
              </a:graphicData>
            </a:graphic>
          </wp:inline>
        </w:drawing>
      </w:r>
    </w:p>
    <w:p w14:paraId="0FC34737" w14:textId="77777777" w:rsidR="000956C5" w:rsidRPr="008B5F4E" w:rsidRDefault="00A4222E" w:rsidP="00E60B44">
      <w:pPr>
        <w:pStyle w:val="Rrys"/>
        <w:rPr>
          <w:lang w:val="en-GB"/>
        </w:rPr>
      </w:pPr>
      <w:r w:rsidRPr="008B5F4E">
        <w:rPr>
          <w:b/>
          <w:bCs/>
          <w:lang w:val="en-GB"/>
        </w:rPr>
        <w:t xml:space="preserve">Fig. </w:t>
      </w:r>
      <w:r w:rsidR="00054E2F" w:rsidRPr="008B5F4E">
        <w:rPr>
          <w:b/>
          <w:bCs/>
          <w:lang w:val="en-GB"/>
        </w:rPr>
        <w:t>4</w:t>
      </w:r>
      <w:r w:rsidRPr="008B5F4E">
        <w:rPr>
          <w:b/>
          <w:bCs/>
          <w:lang w:val="en-GB"/>
        </w:rPr>
        <w:t>.</w:t>
      </w:r>
      <w:r w:rsidRPr="008B5F4E">
        <w:rPr>
          <w:lang w:val="en-GB"/>
        </w:rPr>
        <w:t xml:space="preserve"> </w:t>
      </w:r>
      <w:r w:rsidR="00054E2F" w:rsidRPr="008B5F4E">
        <w:rPr>
          <w:lang w:val="en-GB"/>
        </w:rPr>
        <w:t>Relationship between thermal sensation vote (TSV) and thermal assessment vote (TAV)</w:t>
      </w:r>
    </w:p>
    <w:p w14:paraId="24EBAC85" w14:textId="77777777" w:rsidR="00E60B44" w:rsidRDefault="00E60B44" w:rsidP="000D366B">
      <w:pPr>
        <w:ind w:firstLine="284"/>
        <w:jc w:val="both"/>
        <w:rPr>
          <w:sz w:val="22"/>
          <w:szCs w:val="22"/>
          <w:lang w:val="en-GB"/>
        </w:rPr>
      </w:pPr>
    </w:p>
    <w:p w14:paraId="518FBA95" w14:textId="64F7AB2E" w:rsidR="00054E2F" w:rsidRPr="00E60B44" w:rsidRDefault="00054E2F" w:rsidP="000D366B">
      <w:pPr>
        <w:ind w:firstLine="284"/>
        <w:jc w:val="both"/>
        <w:rPr>
          <w:sz w:val="22"/>
          <w:szCs w:val="22"/>
          <w:lang w:val="en-GB"/>
        </w:rPr>
      </w:pPr>
      <w:r w:rsidRPr="0022715F">
        <w:rPr>
          <w:spacing w:val="-2"/>
          <w:sz w:val="22"/>
          <w:szCs w:val="22"/>
          <w:lang w:val="en-GB"/>
        </w:rPr>
        <w:t xml:space="preserve">Based on the analysis of 110 surveys, the relationship between average thermal sensations and preferences was presented. Average ratings for Thermal Subjective Sensation (TSV) and Thermal Subjective Preferences (TPV) were calculated for each of the 11 rooms. It is noticeable that people who felt thermal comfort (TSV = 0) </w:t>
      </w:r>
      <w:r w:rsidR="00EE6A02" w:rsidRPr="0022715F">
        <w:rPr>
          <w:spacing w:val="-2"/>
          <w:sz w:val="22"/>
          <w:szCs w:val="22"/>
          <w:lang w:val="en-GB"/>
        </w:rPr>
        <w:t>preferred</w:t>
      </w:r>
      <w:r w:rsidRPr="0022715F">
        <w:rPr>
          <w:spacing w:val="-2"/>
          <w:sz w:val="22"/>
          <w:szCs w:val="22"/>
          <w:lang w:val="en-GB"/>
        </w:rPr>
        <w:t xml:space="preserve"> no temperature changes (TPV close to 0).</w:t>
      </w:r>
      <w:r w:rsidRPr="00E60B44">
        <w:rPr>
          <w:sz w:val="22"/>
          <w:szCs w:val="22"/>
          <w:lang w:val="en-GB"/>
        </w:rPr>
        <w:t xml:space="preserve"> The linear approximation of 11 points determining the average values from the rooms turned out to be so precise that for TSV = 0</w:t>
      </w:r>
      <w:r w:rsidR="00EE6A02">
        <w:rPr>
          <w:sz w:val="22"/>
          <w:szCs w:val="22"/>
          <w:lang w:val="en-GB"/>
        </w:rPr>
        <w:t>,</w:t>
      </w:r>
      <w:r w:rsidRPr="00E60B44">
        <w:rPr>
          <w:sz w:val="22"/>
          <w:szCs w:val="22"/>
          <w:lang w:val="en-GB"/>
        </w:rPr>
        <w:t xml:space="preserve"> we obtain TPV = 0.1. From the above data, it is worth noting that thermal comfort was present in 7 rooms. </w:t>
      </w:r>
      <w:r w:rsidR="00EE6A02">
        <w:rPr>
          <w:sz w:val="22"/>
          <w:szCs w:val="22"/>
          <w:lang w:val="en-GB"/>
        </w:rPr>
        <w:t>It</w:t>
      </w:r>
      <w:r w:rsidRPr="00E60B44">
        <w:rPr>
          <w:sz w:val="22"/>
          <w:szCs w:val="22"/>
          <w:lang w:val="en-GB"/>
        </w:rPr>
        <w:t xml:space="preserve"> means that the respondents rated their well-being as comfortable and did not want any changes in the rooms examined. However, they found three rooms too cold and similarly wanted the room to be warmer. Only one room was too warm for the respondents, so they want</w:t>
      </w:r>
      <w:r w:rsidR="00EE6A02">
        <w:rPr>
          <w:sz w:val="22"/>
          <w:szCs w:val="22"/>
          <w:lang w:val="en-GB"/>
        </w:rPr>
        <w:t>ed</w:t>
      </w:r>
      <w:r w:rsidRPr="00E60B44">
        <w:rPr>
          <w:sz w:val="22"/>
          <w:szCs w:val="22"/>
          <w:lang w:val="en-GB"/>
        </w:rPr>
        <w:t xml:space="preserve"> the temperature in the room to be lower. The coefficient of determination for this relationship is</w:t>
      </w:r>
      <w:r w:rsidR="00F16B1E" w:rsidRPr="00E60B44">
        <w:rPr>
          <w:sz w:val="22"/>
          <w:szCs w:val="22"/>
          <w:lang w:val="en-GB"/>
        </w:rPr>
        <w:t xml:space="preserve"> very</w:t>
      </w:r>
      <w:r w:rsidRPr="00E60B44">
        <w:rPr>
          <w:sz w:val="22"/>
          <w:szCs w:val="22"/>
          <w:lang w:val="en-GB"/>
        </w:rPr>
        <w:t xml:space="preserve"> high and amounts to R</w:t>
      </w:r>
      <w:r w:rsidRPr="00E60B44">
        <w:rPr>
          <w:sz w:val="22"/>
          <w:szCs w:val="22"/>
          <w:vertAlign w:val="superscript"/>
          <w:lang w:val="en-GB"/>
        </w:rPr>
        <w:t>2</w:t>
      </w:r>
      <w:r w:rsidRPr="00E60B44">
        <w:rPr>
          <w:sz w:val="22"/>
          <w:szCs w:val="22"/>
          <w:lang w:val="en-GB"/>
        </w:rPr>
        <w:t xml:space="preserve"> = 0.94, and the correlation between these two variables is strong, which is presented as:</w:t>
      </w:r>
    </w:p>
    <w:p w14:paraId="1D3C8E79" w14:textId="121F8B13" w:rsidR="00054E2F" w:rsidRPr="00E60B44" w:rsidRDefault="00054E2F" w:rsidP="00E60B44">
      <w:pPr>
        <w:tabs>
          <w:tab w:val="right" w:pos="9639"/>
        </w:tabs>
        <w:spacing w:before="120" w:after="120"/>
        <w:ind w:left="3402"/>
        <w:jc w:val="right"/>
        <w:rPr>
          <w:sz w:val="22"/>
          <w:szCs w:val="22"/>
        </w:rPr>
      </w:pPr>
      <w:r w:rsidRPr="00E60B44">
        <w:rPr>
          <w:sz w:val="22"/>
          <w:szCs w:val="22"/>
        </w:rPr>
        <w:t>TPV = -0.5151TSV + 0.1192</w:t>
      </w:r>
      <w:r w:rsidRPr="00E60B44">
        <w:rPr>
          <w:sz w:val="22"/>
          <w:szCs w:val="22"/>
        </w:rPr>
        <w:tab/>
        <w:t>(</w:t>
      </w:r>
      <w:r w:rsidR="00CC21D7" w:rsidRPr="00E60B44">
        <w:rPr>
          <w:sz w:val="22"/>
          <w:szCs w:val="22"/>
        </w:rPr>
        <w:t>2</w:t>
      </w:r>
      <w:r w:rsidRPr="00E60B44">
        <w:rPr>
          <w:sz w:val="22"/>
          <w:szCs w:val="22"/>
        </w:rPr>
        <w:t>)</w:t>
      </w:r>
    </w:p>
    <w:p w14:paraId="26EB34FF" w14:textId="77777777" w:rsidR="00054E2F" w:rsidRPr="008B5F4E" w:rsidRDefault="00054E2F" w:rsidP="00554589">
      <w:pPr>
        <w:pStyle w:val="Rn2"/>
        <w:rPr>
          <w:lang w:val="en-GB"/>
        </w:rPr>
      </w:pPr>
      <w:r w:rsidRPr="008B5F4E">
        <w:rPr>
          <w:lang w:val="en-GB"/>
        </w:rPr>
        <w:t>3.2. Overall comfort, lighting conditions and productivity</w:t>
      </w:r>
    </w:p>
    <w:p w14:paraId="285CD0A9" w14:textId="0977C5D8" w:rsidR="00FB6587" w:rsidRPr="0022715F" w:rsidRDefault="00EE6A02" w:rsidP="00054E2F">
      <w:pPr>
        <w:pStyle w:val="Paragraph"/>
        <w:rPr>
          <w:spacing w:val="-2"/>
          <w:sz w:val="22"/>
          <w:szCs w:val="22"/>
          <w:lang w:val="en-GB"/>
        </w:rPr>
      </w:pPr>
      <w:r w:rsidRPr="0022715F">
        <w:rPr>
          <w:spacing w:val="-2"/>
          <w:sz w:val="22"/>
          <w:szCs w:val="22"/>
          <w:lang w:val="en-GB"/>
        </w:rPr>
        <w:t>The research asked respondents</w:t>
      </w:r>
      <w:r w:rsidR="00054E2F" w:rsidRPr="0022715F">
        <w:rPr>
          <w:spacing w:val="-2"/>
          <w:sz w:val="22"/>
          <w:szCs w:val="22"/>
          <w:lang w:val="en-GB"/>
        </w:rPr>
        <w:t xml:space="preserve"> about their general well-being (GSV) in the examined rooms. When asked</w:t>
      </w:r>
      <w:r w:rsidRPr="0022715F">
        <w:rPr>
          <w:spacing w:val="-2"/>
          <w:sz w:val="22"/>
          <w:szCs w:val="22"/>
          <w:lang w:val="en-GB"/>
        </w:rPr>
        <w:t>,</w:t>
      </w:r>
      <w:r w:rsidR="00054E2F" w:rsidRPr="0022715F">
        <w:rPr>
          <w:spacing w:val="-2"/>
          <w:sz w:val="22"/>
          <w:szCs w:val="22"/>
          <w:lang w:val="en-GB"/>
        </w:rPr>
        <w:t xml:space="preserve"> "How do you feel overall?" respondents had five answers to choose from</w:t>
      </w:r>
      <w:r w:rsidRPr="0022715F">
        <w:rPr>
          <w:spacing w:val="-2"/>
          <w:sz w:val="22"/>
          <w:szCs w:val="22"/>
          <w:lang w:val="en-GB"/>
        </w:rPr>
        <w:t>:</w:t>
      </w:r>
      <w:r w:rsidR="00054E2F" w:rsidRPr="0022715F">
        <w:rPr>
          <w:spacing w:val="-2"/>
          <w:sz w:val="22"/>
          <w:szCs w:val="22"/>
          <w:lang w:val="en-GB"/>
        </w:rPr>
        <w:t xml:space="preserve"> positive values meant good and very good, "0" </w:t>
      </w:r>
      <w:r w:rsidRPr="0022715F">
        <w:rPr>
          <w:spacing w:val="-2"/>
          <w:sz w:val="22"/>
          <w:szCs w:val="22"/>
          <w:lang w:val="en-GB"/>
        </w:rPr>
        <w:t>meant</w:t>
      </w:r>
      <w:r w:rsidR="00054E2F" w:rsidRPr="0022715F">
        <w:rPr>
          <w:spacing w:val="-2"/>
          <w:sz w:val="22"/>
          <w:szCs w:val="22"/>
          <w:lang w:val="en-GB"/>
        </w:rPr>
        <w:t xml:space="preserve"> indifferent, and negative values meant bad and very bad. Below is a frequency chart (Fig</w:t>
      </w:r>
      <w:r w:rsidR="00F16B1E" w:rsidRPr="0022715F">
        <w:rPr>
          <w:spacing w:val="-2"/>
          <w:sz w:val="22"/>
          <w:szCs w:val="22"/>
          <w:lang w:val="en-GB"/>
        </w:rPr>
        <w:t>ure</w:t>
      </w:r>
      <w:r w:rsidR="00054E2F" w:rsidRPr="0022715F">
        <w:rPr>
          <w:spacing w:val="-2"/>
          <w:sz w:val="22"/>
          <w:szCs w:val="22"/>
          <w:lang w:val="en-GB"/>
        </w:rPr>
        <w:t xml:space="preserve"> 5) regarding</w:t>
      </w:r>
      <w:r w:rsidR="00F16B1E" w:rsidRPr="0022715F">
        <w:rPr>
          <w:spacing w:val="-2"/>
          <w:sz w:val="22"/>
          <w:szCs w:val="22"/>
          <w:lang w:val="en-GB"/>
        </w:rPr>
        <w:t xml:space="preserve"> the</w:t>
      </w:r>
      <w:r w:rsidR="00054E2F" w:rsidRPr="0022715F">
        <w:rPr>
          <w:spacing w:val="-2"/>
          <w:sz w:val="22"/>
          <w:szCs w:val="22"/>
          <w:lang w:val="en-GB"/>
        </w:rPr>
        <w:t xml:space="preserve"> respondents' feelings.</w:t>
      </w:r>
    </w:p>
    <w:p w14:paraId="7A309806" w14:textId="77777777" w:rsidR="00E60B44" w:rsidRPr="00E60B44" w:rsidRDefault="00E60B44" w:rsidP="00054E2F">
      <w:pPr>
        <w:pStyle w:val="Paragraph"/>
      </w:pPr>
    </w:p>
    <w:p w14:paraId="0BBDBBD0" w14:textId="33F73C22" w:rsidR="00683DB9" w:rsidRPr="00E60B44" w:rsidRDefault="006C5250" w:rsidP="00683DB9">
      <w:pPr>
        <w:pStyle w:val="Paragraph"/>
        <w:ind w:firstLine="0"/>
        <w:jc w:val="center"/>
      </w:pPr>
      <w:r w:rsidRPr="00E60B44">
        <w:rPr>
          <w:noProof/>
          <w:lang w:val="en-GB" w:eastAsia="pl-PL"/>
        </w:rPr>
        <w:drawing>
          <wp:inline distT="0" distB="0" distL="0" distR="0" wp14:anchorId="25AC8709" wp14:editId="138889BE">
            <wp:extent cx="3401273" cy="2612572"/>
            <wp:effectExtent l="0" t="0" r="0" b="0"/>
            <wp:docPr id="7" name="Obraz 6" descr="7.GSV czestosc.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7.GSV czestosc.WMF"/>
                    <pic:cNvPicPr>
                      <a:picLocks noChangeAspect="1" noChangeArrowheads="1"/>
                    </pic:cNvPicPr>
                  </pic:nvPicPr>
                  <pic:blipFill>
                    <a:blip r:embed="rId14" cstate="print">
                      <a:extLst>
                        <a:ext uri="{28A0092B-C50C-407E-A947-70E740481C1C}">
                          <a14:useLocalDpi xmlns:a14="http://schemas.microsoft.com/office/drawing/2010/main" val="0"/>
                        </a:ext>
                      </a:extLst>
                    </a:blip>
                    <a:srcRect l="4489" t="5154" r="3073" b="6804"/>
                    <a:stretch>
                      <a:fillRect/>
                    </a:stretch>
                  </pic:blipFill>
                  <pic:spPr bwMode="auto">
                    <a:xfrm>
                      <a:off x="0" y="0"/>
                      <a:ext cx="3404782" cy="2615267"/>
                    </a:xfrm>
                    <a:prstGeom prst="rect">
                      <a:avLst/>
                    </a:prstGeom>
                    <a:noFill/>
                    <a:ln>
                      <a:noFill/>
                    </a:ln>
                  </pic:spPr>
                </pic:pic>
              </a:graphicData>
            </a:graphic>
          </wp:inline>
        </w:drawing>
      </w:r>
    </w:p>
    <w:p w14:paraId="08DADAEE" w14:textId="77777777" w:rsidR="004E5533" w:rsidRPr="00E60B44" w:rsidRDefault="00794840" w:rsidP="00E60B44">
      <w:pPr>
        <w:pStyle w:val="Rrys"/>
        <w:rPr>
          <w:lang w:val="en-GB"/>
        </w:rPr>
      </w:pPr>
      <w:r w:rsidRPr="008B5F4E">
        <w:rPr>
          <w:b/>
          <w:bCs/>
          <w:lang w:val="en-GB"/>
        </w:rPr>
        <w:t xml:space="preserve">Fig. </w:t>
      </w:r>
      <w:r w:rsidR="00054E2F" w:rsidRPr="008B5F4E">
        <w:rPr>
          <w:b/>
          <w:bCs/>
          <w:lang w:val="en-GB"/>
        </w:rPr>
        <w:t>5</w:t>
      </w:r>
      <w:r w:rsidRPr="008B5F4E">
        <w:rPr>
          <w:b/>
          <w:bCs/>
          <w:lang w:val="en-GB"/>
        </w:rPr>
        <w:t>.</w:t>
      </w:r>
      <w:r w:rsidRPr="008B5F4E">
        <w:rPr>
          <w:lang w:val="en-GB"/>
        </w:rPr>
        <w:t xml:space="preserve"> </w:t>
      </w:r>
      <w:r w:rsidR="00054E2F" w:rsidRPr="008B5F4E">
        <w:rPr>
          <w:lang w:val="en-GB"/>
        </w:rPr>
        <w:t>Frequency of responses provided about General Sensation Vote (well-being)</w:t>
      </w:r>
    </w:p>
    <w:p w14:paraId="4F0D910F" w14:textId="1B08A723" w:rsidR="00566EF1" w:rsidRPr="00E60B44" w:rsidRDefault="00566EF1" w:rsidP="00566EF1">
      <w:pPr>
        <w:ind w:firstLine="284"/>
        <w:jc w:val="both"/>
        <w:rPr>
          <w:sz w:val="22"/>
          <w:szCs w:val="22"/>
          <w:lang w:val="en-GB"/>
        </w:rPr>
      </w:pPr>
      <w:r w:rsidRPr="00E60B44">
        <w:rPr>
          <w:sz w:val="22"/>
          <w:szCs w:val="22"/>
          <w:lang w:val="en-GB"/>
        </w:rPr>
        <w:lastRenderedPageBreak/>
        <w:t>Regarding temperatures and air humidity</w:t>
      </w:r>
      <w:r w:rsidR="00EE6A02">
        <w:rPr>
          <w:sz w:val="22"/>
          <w:szCs w:val="22"/>
          <w:lang w:val="en-GB"/>
        </w:rPr>
        <w:t>,</w:t>
      </w:r>
      <w:r w:rsidRPr="00E60B44">
        <w:rPr>
          <w:sz w:val="22"/>
          <w:szCs w:val="22"/>
          <w:lang w:val="en-GB"/>
        </w:rPr>
        <w:t xml:space="preserve"> almost 50% of respondents were satisfied with the indoor environment. Only 7.27% of respondents did not respond to the climate conditions well</w:t>
      </w:r>
      <w:r w:rsidR="00EE6A02">
        <w:rPr>
          <w:sz w:val="22"/>
          <w:szCs w:val="22"/>
          <w:lang w:val="en-GB"/>
        </w:rPr>
        <w:t>,</w:t>
      </w:r>
      <w:r w:rsidRPr="00E60B44">
        <w:rPr>
          <w:sz w:val="22"/>
          <w:szCs w:val="22"/>
          <w:lang w:val="en-GB"/>
        </w:rPr>
        <w:t xml:space="preserve"> and they marked the answer </w:t>
      </w:r>
      <w:r w:rsidR="00EE6A02">
        <w:rPr>
          <w:sz w:val="22"/>
          <w:szCs w:val="22"/>
          <w:lang w:val="en-GB"/>
        </w:rPr>
        <w:t xml:space="preserve">as </w:t>
      </w:r>
      <w:r w:rsidRPr="00E60B44">
        <w:rPr>
          <w:sz w:val="22"/>
          <w:szCs w:val="22"/>
          <w:lang w:val="en-GB"/>
        </w:rPr>
        <w:t xml:space="preserve">bad. </w:t>
      </w:r>
      <w:r w:rsidR="00EE6A02">
        <w:rPr>
          <w:sz w:val="22"/>
          <w:szCs w:val="22"/>
          <w:lang w:val="en-GB"/>
        </w:rPr>
        <w:t>It may probabl</w:t>
      </w:r>
      <w:r w:rsidRPr="00E60B44">
        <w:rPr>
          <w:sz w:val="22"/>
          <w:szCs w:val="22"/>
          <w:lang w:val="en-GB"/>
        </w:rPr>
        <w:t xml:space="preserve">y be related to factors other than the thermal environment. 39.09% of respondents </w:t>
      </w:r>
      <w:r w:rsidR="00EE6A02">
        <w:rPr>
          <w:sz w:val="22"/>
          <w:szCs w:val="22"/>
          <w:lang w:val="en-GB"/>
        </w:rPr>
        <w:t>were</w:t>
      </w:r>
      <w:r w:rsidRPr="00E60B44">
        <w:rPr>
          <w:sz w:val="22"/>
          <w:szCs w:val="22"/>
          <w:lang w:val="en-GB"/>
        </w:rPr>
        <w:t xml:space="preserve"> indifferen</w:t>
      </w:r>
      <w:r w:rsidR="00EE6A02">
        <w:rPr>
          <w:sz w:val="22"/>
          <w:szCs w:val="22"/>
          <w:lang w:val="en-GB"/>
        </w:rPr>
        <w:t>t</w:t>
      </w:r>
      <w:r w:rsidRPr="00E60B44">
        <w:rPr>
          <w:sz w:val="22"/>
          <w:szCs w:val="22"/>
          <w:lang w:val="en-GB"/>
        </w:rPr>
        <w:t xml:space="preserve"> to indoor conditions. 4.55% of respondents felt very well. </w:t>
      </w:r>
    </w:p>
    <w:p w14:paraId="5682D9EB" w14:textId="5E83E2F0" w:rsidR="00566EF1" w:rsidRPr="00E60B44" w:rsidRDefault="00566EF1" w:rsidP="00566EF1">
      <w:pPr>
        <w:ind w:firstLine="284"/>
        <w:jc w:val="both"/>
        <w:rPr>
          <w:sz w:val="22"/>
          <w:szCs w:val="22"/>
          <w:lang w:val="en-GB"/>
        </w:rPr>
      </w:pPr>
      <w:r w:rsidRPr="00E60B44">
        <w:rPr>
          <w:sz w:val="22"/>
          <w:szCs w:val="22"/>
          <w:lang w:val="en-GB"/>
        </w:rPr>
        <w:t xml:space="preserve">Good lighting where we do our work or study should be necessary to perform our tasks </w:t>
      </w:r>
      <w:r w:rsidR="00EE6A02">
        <w:rPr>
          <w:sz w:val="22"/>
          <w:szCs w:val="22"/>
          <w:lang w:val="en-GB"/>
        </w:rPr>
        <w:t>comfortably and qualitativel</w:t>
      </w:r>
      <w:r w:rsidRPr="00E60B44">
        <w:rPr>
          <w:sz w:val="22"/>
          <w:szCs w:val="22"/>
          <w:lang w:val="en-GB"/>
        </w:rPr>
        <w:t>y. Lighting should have a positive impact on the quality of work performed. The level of light intensity can also affect concentration during school or work. Therefore, the respondents were asked to complete a survey about the lighting in the examined rooms, as illustrated in Fig</w:t>
      </w:r>
      <w:r w:rsidR="00F16B1E" w:rsidRPr="00E60B44">
        <w:rPr>
          <w:sz w:val="22"/>
          <w:szCs w:val="22"/>
          <w:lang w:val="en-GB"/>
        </w:rPr>
        <w:t>ure</w:t>
      </w:r>
      <w:r w:rsidRPr="00E60B44">
        <w:rPr>
          <w:sz w:val="22"/>
          <w:szCs w:val="22"/>
          <w:lang w:val="en-GB"/>
        </w:rPr>
        <w:t xml:space="preserve"> 6.</w:t>
      </w:r>
    </w:p>
    <w:p w14:paraId="74EEF4AB" w14:textId="02FA3ED8" w:rsidR="00BB2BCE" w:rsidRPr="00E60B44" w:rsidRDefault="00BB2BCE" w:rsidP="00EF41C8">
      <w:pPr>
        <w:ind w:firstLine="284"/>
        <w:jc w:val="both"/>
        <w:rPr>
          <w:sz w:val="22"/>
          <w:szCs w:val="22"/>
        </w:rPr>
      </w:pPr>
    </w:p>
    <w:p w14:paraId="0E2D3E55" w14:textId="315C8EC2" w:rsidR="00683DB9" w:rsidRPr="00E60B44" w:rsidRDefault="006C5250" w:rsidP="00237983">
      <w:pPr>
        <w:pStyle w:val="Paragraph"/>
        <w:ind w:firstLine="0"/>
        <w:jc w:val="center"/>
      </w:pPr>
      <w:r w:rsidRPr="00E60B44">
        <w:rPr>
          <w:noProof/>
        </w:rPr>
        <w:drawing>
          <wp:inline distT="0" distB="0" distL="0" distR="0" wp14:anchorId="66C52F45" wp14:editId="73CA4240">
            <wp:extent cx="3171825" cy="2524125"/>
            <wp:effectExtent l="0" t="0" r="0" b="0"/>
            <wp:docPr id="8"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5" cstate="print">
                      <a:extLst>
                        <a:ext uri="{28A0092B-C50C-407E-A947-70E740481C1C}">
                          <a14:useLocalDpi xmlns:a14="http://schemas.microsoft.com/office/drawing/2010/main" val="0"/>
                        </a:ext>
                      </a:extLst>
                    </a:blip>
                    <a:srcRect l="8379" t="7536" r="11287" b="4359"/>
                    <a:stretch>
                      <a:fillRect/>
                    </a:stretch>
                  </pic:blipFill>
                  <pic:spPr bwMode="auto">
                    <a:xfrm>
                      <a:off x="0" y="0"/>
                      <a:ext cx="3171825" cy="2524125"/>
                    </a:xfrm>
                    <a:prstGeom prst="rect">
                      <a:avLst/>
                    </a:prstGeom>
                    <a:noFill/>
                    <a:ln>
                      <a:noFill/>
                    </a:ln>
                  </pic:spPr>
                </pic:pic>
              </a:graphicData>
            </a:graphic>
          </wp:inline>
        </w:drawing>
      </w:r>
    </w:p>
    <w:p w14:paraId="78BD003E" w14:textId="77777777" w:rsidR="004E5533" w:rsidRPr="008B5F4E" w:rsidRDefault="009B2E95" w:rsidP="00E60B44">
      <w:pPr>
        <w:pStyle w:val="Rrys"/>
        <w:rPr>
          <w:lang w:val="en-GB"/>
        </w:rPr>
      </w:pPr>
      <w:r w:rsidRPr="008B5F4E">
        <w:rPr>
          <w:b/>
          <w:bCs/>
          <w:lang w:val="en-GB"/>
        </w:rPr>
        <w:t xml:space="preserve">Fig. </w:t>
      </w:r>
      <w:r w:rsidR="00566EF1" w:rsidRPr="008B5F4E">
        <w:rPr>
          <w:b/>
          <w:bCs/>
          <w:lang w:val="en-GB"/>
        </w:rPr>
        <w:t>6</w:t>
      </w:r>
      <w:r w:rsidRPr="008B5F4E">
        <w:rPr>
          <w:b/>
          <w:bCs/>
          <w:lang w:val="en-GB"/>
        </w:rPr>
        <w:t>.</w:t>
      </w:r>
      <w:r w:rsidRPr="008B5F4E">
        <w:rPr>
          <w:lang w:val="en-GB"/>
        </w:rPr>
        <w:t xml:space="preserve"> </w:t>
      </w:r>
      <w:r w:rsidR="00566EF1" w:rsidRPr="008B5F4E">
        <w:rPr>
          <w:lang w:val="en-GB"/>
        </w:rPr>
        <w:t>Light intensity assessment (LIA) in the rooms according to respondents</w:t>
      </w:r>
    </w:p>
    <w:p w14:paraId="05A353B0" w14:textId="77777777" w:rsidR="00E60B44" w:rsidRDefault="00E60B44" w:rsidP="00566EF1">
      <w:pPr>
        <w:ind w:firstLine="284"/>
        <w:jc w:val="both"/>
        <w:rPr>
          <w:sz w:val="22"/>
          <w:szCs w:val="22"/>
        </w:rPr>
      </w:pPr>
    </w:p>
    <w:p w14:paraId="05BF41AA" w14:textId="3AFD3B0A" w:rsidR="00566EF1" w:rsidRPr="00E60B44" w:rsidRDefault="00EE6A02" w:rsidP="00566EF1">
      <w:pPr>
        <w:ind w:firstLine="284"/>
        <w:jc w:val="both"/>
        <w:rPr>
          <w:sz w:val="22"/>
          <w:szCs w:val="22"/>
        </w:rPr>
      </w:pPr>
      <w:r>
        <w:rPr>
          <w:sz w:val="22"/>
          <w:szCs w:val="22"/>
        </w:rPr>
        <w:t xml:space="preserve">According to the people survey, this chart shows the overall assessment of lighting in the </w:t>
      </w:r>
      <w:proofErr w:type="spellStart"/>
      <w:r>
        <w:rPr>
          <w:sz w:val="22"/>
          <w:szCs w:val="22"/>
        </w:rPr>
        <w:t>Energis</w:t>
      </w:r>
      <w:proofErr w:type="spellEnd"/>
      <w:r>
        <w:rPr>
          <w:sz w:val="22"/>
          <w:szCs w:val="22"/>
        </w:rPr>
        <w:t xml:space="preserve"> building</w:t>
      </w:r>
      <w:r w:rsidR="00566EF1" w:rsidRPr="00E60B44">
        <w:rPr>
          <w:sz w:val="22"/>
          <w:szCs w:val="22"/>
        </w:rPr>
        <w:t>. The temperature for the tested rooms ranged from 21.5</w:t>
      </w:r>
      <w:r w:rsidR="00B30A10" w:rsidRPr="00B30A10">
        <w:rPr>
          <w:sz w:val="22"/>
          <w:szCs w:val="22"/>
        </w:rPr>
        <w:t>°</w:t>
      </w:r>
      <w:r w:rsidR="00566EF1" w:rsidRPr="00E60B44">
        <w:rPr>
          <w:sz w:val="22"/>
          <w:szCs w:val="22"/>
        </w:rPr>
        <w:t xml:space="preserve">C </w:t>
      </w:r>
      <w:r w:rsidR="00B30A10">
        <w:rPr>
          <w:sz w:val="22"/>
          <w:szCs w:val="22"/>
        </w:rPr>
        <w:t>to</w:t>
      </w:r>
      <w:r w:rsidR="00566EF1" w:rsidRPr="00E60B44">
        <w:rPr>
          <w:sz w:val="22"/>
          <w:szCs w:val="22"/>
        </w:rPr>
        <w:t xml:space="preserve"> 25.5</w:t>
      </w:r>
      <w:r w:rsidR="00B30A10" w:rsidRPr="00B30A10">
        <w:rPr>
          <w:sz w:val="22"/>
          <w:szCs w:val="22"/>
        </w:rPr>
        <w:t>°</w:t>
      </w:r>
      <w:r w:rsidR="00566EF1" w:rsidRPr="00E60B44">
        <w:rPr>
          <w:sz w:val="22"/>
          <w:szCs w:val="22"/>
        </w:rPr>
        <w:t>C</w:t>
      </w:r>
      <w:r>
        <w:rPr>
          <w:sz w:val="22"/>
          <w:szCs w:val="22"/>
        </w:rPr>
        <w:t>,</w:t>
      </w:r>
      <w:r w:rsidR="00566EF1" w:rsidRPr="00E60B44">
        <w:rPr>
          <w:sz w:val="22"/>
          <w:szCs w:val="22"/>
        </w:rPr>
        <w:t xml:space="preserve"> and the light intensity </w:t>
      </w:r>
      <w:r>
        <w:rPr>
          <w:sz w:val="22"/>
          <w:szCs w:val="22"/>
        </w:rPr>
        <w:t>ranged from 23.8 t</w:t>
      </w:r>
      <w:r w:rsidR="00566EF1" w:rsidRPr="00E60B44">
        <w:rPr>
          <w:sz w:val="22"/>
          <w:szCs w:val="22"/>
        </w:rPr>
        <w:t>o 505lx. Respondents rated the lighting according to the scale: -1 – too weak, 0 – appropriate, 1 – too strong. The analysis of the results showed that the respondents generally rate</w:t>
      </w:r>
      <w:r>
        <w:rPr>
          <w:sz w:val="22"/>
          <w:szCs w:val="22"/>
        </w:rPr>
        <w:t>d</w:t>
      </w:r>
      <w:r w:rsidR="00566EF1" w:rsidRPr="00E60B44">
        <w:rPr>
          <w:sz w:val="22"/>
          <w:szCs w:val="22"/>
        </w:rPr>
        <w:t xml:space="preserve"> the lighting in the room as appropriate at around 52.73%. For about 46.36%</w:t>
      </w:r>
      <w:r>
        <w:rPr>
          <w:sz w:val="22"/>
          <w:szCs w:val="22"/>
        </w:rPr>
        <w:t>,</w:t>
      </w:r>
      <w:r w:rsidR="00566EF1" w:rsidRPr="00E60B44">
        <w:rPr>
          <w:sz w:val="22"/>
          <w:szCs w:val="22"/>
        </w:rPr>
        <w:t xml:space="preserve"> the lighting was too strong, and for about 1%</w:t>
      </w:r>
      <w:r>
        <w:rPr>
          <w:sz w:val="22"/>
          <w:szCs w:val="22"/>
        </w:rPr>
        <w:t>,</w:t>
      </w:r>
      <w:r w:rsidR="00566EF1" w:rsidRPr="00E60B44">
        <w:rPr>
          <w:sz w:val="22"/>
          <w:szCs w:val="22"/>
        </w:rPr>
        <w:t xml:space="preserve"> it turned out to be too weak. However, this does not change the fact that more than half of the surveyed people rated the lighting as appropriate and </w:t>
      </w:r>
      <w:r>
        <w:rPr>
          <w:sz w:val="22"/>
          <w:szCs w:val="22"/>
        </w:rPr>
        <w:t>we</w:t>
      </w:r>
      <w:r w:rsidR="00566EF1" w:rsidRPr="00E60B44">
        <w:rPr>
          <w:sz w:val="22"/>
          <w:szCs w:val="22"/>
        </w:rPr>
        <w:t>re satisfied with its intensity. Fig</w:t>
      </w:r>
      <w:r w:rsidR="00F16B1E" w:rsidRPr="00E60B44">
        <w:rPr>
          <w:sz w:val="22"/>
          <w:szCs w:val="22"/>
        </w:rPr>
        <w:t>ure</w:t>
      </w:r>
      <w:r w:rsidR="00566EF1" w:rsidRPr="00E60B44">
        <w:rPr>
          <w:sz w:val="22"/>
          <w:szCs w:val="22"/>
        </w:rPr>
        <w:t xml:space="preserve"> 7 shows the relationship between the average well-being score (GSV) and the average lighting score (LIA). </w:t>
      </w:r>
    </w:p>
    <w:p w14:paraId="1546C30B" w14:textId="77777777" w:rsidR="00566EF1" w:rsidRPr="00E60B44" w:rsidRDefault="00566EF1" w:rsidP="00566EF1">
      <w:pPr>
        <w:jc w:val="both"/>
        <w:rPr>
          <w:sz w:val="22"/>
          <w:szCs w:val="22"/>
        </w:rPr>
      </w:pPr>
    </w:p>
    <w:p w14:paraId="56B53DE2" w14:textId="5B19034E" w:rsidR="00566EF1" w:rsidRPr="00237983" w:rsidRDefault="006C5250" w:rsidP="00566EF1">
      <w:pPr>
        <w:spacing w:after="120"/>
        <w:jc w:val="center"/>
        <w:rPr>
          <w:sz w:val="22"/>
          <w:szCs w:val="18"/>
        </w:rPr>
      </w:pPr>
      <w:r w:rsidRPr="00237983">
        <w:rPr>
          <w:noProof/>
          <w:sz w:val="22"/>
          <w:szCs w:val="18"/>
        </w:rPr>
        <w:drawing>
          <wp:inline distT="0" distB="0" distL="0" distR="0" wp14:anchorId="35B36374" wp14:editId="40C18506">
            <wp:extent cx="3114675" cy="2524125"/>
            <wp:effectExtent l="0" t="0" r="0" b="0"/>
            <wp:docPr id="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6" cstate="print">
                      <a:extLst>
                        <a:ext uri="{28A0092B-C50C-407E-A947-70E740481C1C}">
                          <a14:useLocalDpi xmlns:a14="http://schemas.microsoft.com/office/drawing/2010/main" val="0"/>
                        </a:ext>
                      </a:extLst>
                    </a:blip>
                    <a:srcRect l="8730" t="6567" r="11639" b="4546"/>
                    <a:stretch>
                      <a:fillRect/>
                    </a:stretch>
                  </pic:blipFill>
                  <pic:spPr bwMode="auto">
                    <a:xfrm>
                      <a:off x="0" y="0"/>
                      <a:ext cx="3114675" cy="2524125"/>
                    </a:xfrm>
                    <a:prstGeom prst="rect">
                      <a:avLst/>
                    </a:prstGeom>
                    <a:noFill/>
                    <a:ln>
                      <a:noFill/>
                    </a:ln>
                  </pic:spPr>
                </pic:pic>
              </a:graphicData>
            </a:graphic>
          </wp:inline>
        </w:drawing>
      </w:r>
    </w:p>
    <w:p w14:paraId="0213EC7C" w14:textId="77777777" w:rsidR="00566EF1" w:rsidRPr="008B5F4E" w:rsidRDefault="00566EF1" w:rsidP="00E60B44">
      <w:pPr>
        <w:pStyle w:val="Rrys"/>
        <w:rPr>
          <w:lang w:val="en-GB"/>
        </w:rPr>
      </w:pPr>
      <w:r w:rsidRPr="008B5F4E">
        <w:rPr>
          <w:b/>
          <w:bCs/>
          <w:lang w:val="en-GB"/>
        </w:rPr>
        <w:t>Fig. 7.</w:t>
      </w:r>
      <w:r w:rsidRPr="008B5F4E">
        <w:rPr>
          <w:lang w:val="en-GB"/>
        </w:rPr>
        <w:t xml:space="preserve"> Relationship between the average well-being rating and the mean lighting rating</w:t>
      </w:r>
    </w:p>
    <w:p w14:paraId="32E67AB7" w14:textId="77777777" w:rsidR="00E60B44" w:rsidRDefault="00E60B44" w:rsidP="0040088B">
      <w:pPr>
        <w:ind w:firstLine="284"/>
        <w:jc w:val="both"/>
        <w:rPr>
          <w:sz w:val="22"/>
          <w:szCs w:val="22"/>
          <w:lang w:val="en-GB"/>
        </w:rPr>
      </w:pPr>
    </w:p>
    <w:p w14:paraId="5163FB4E" w14:textId="11A74FD5" w:rsidR="00566EF1" w:rsidRPr="00E60B44" w:rsidRDefault="00566EF1" w:rsidP="0040088B">
      <w:pPr>
        <w:ind w:firstLine="284"/>
        <w:jc w:val="both"/>
        <w:rPr>
          <w:sz w:val="22"/>
          <w:szCs w:val="22"/>
          <w:lang w:val="en-GB"/>
        </w:rPr>
      </w:pPr>
      <w:r w:rsidRPr="00E60B44">
        <w:rPr>
          <w:sz w:val="22"/>
          <w:szCs w:val="22"/>
          <w:lang w:val="en-GB"/>
        </w:rPr>
        <w:t xml:space="preserve">When comparing the average rating on lighting in the rooms studied with the rating on well-being, the study showed that the range of best well-being (maximal value of GSV) is for the LIA value of 0.3. </w:t>
      </w:r>
      <w:r w:rsidR="00EE6A02">
        <w:rPr>
          <w:sz w:val="22"/>
          <w:szCs w:val="22"/>
          <w:lang w:val="en-GB"/>
        </w:rPr>
        <w:t>It</w:t>
      </w:r>
      <w:r w:rsidRPr="00E60B44">
        <w:rPr>
          <w:sz w:val="22"/>
          <w:szCs w:val="22"/>
          <w:lang w:val="en-GB"/>
        </w:rPr>
        <w:t xml:space="preserve"> means that the lower or higher the light intensity, the worse people feel. However, the regression coefficient is very low</w:t>
      </w:r>
      <w:r w:rsidR="00CC21D7" w:rsidRPr="00E60B44">
        <w:rPr>
          <w:sz w:val="22"/>
          <w:szCs w:val="22"/>
          <w:lang w:val="en-GB"/>
        </w:rPr>
        <w:t xml:space="preserve"> </w:t>
      </w:r>
      <w:r w:rsidR="0022715F">
        <w:rPr>
          <w:sz w:val="22"/>
          <w:szCs w:val="22"/>
          <w:lang w:val="en-GB"/>
        </w:rPr>
        <w:br/>
      </w:r>
      <w:r w:rsidR="00CC21D7" w:rsidRPr="00E60B44">
        <w:rPr>
          <w:sz w:val="22"/>
          <w:szCs w:val="22"/>
          <w:lang w:val="en-GB"/>
        </w:rPr>
        <w:lastRenderedPageBreak/>
        <w:t>(R</w:t>
      </w:r>
      <w:r w:rsidR="00CC21D7" w:rsidRPr="00E60B44">
        <w:rPr>
          <w:sz w:val="22"/>
          <w:szCs w:val="22"/>
          <w:vertAlign w:val="superscript"/>
          <w:lang w:val="en-GB"/>
        </w:rPr>
        <w:t>2</w:t>
      </w:r>
      <w:r w:rsidR="00CC21D7" w:rsidRPr="00E60B44">
        <w:rPr>
          <w:sz w:val="22"/>
          <w:szCs w:val="22"/>
          <w:lang w:val="en-GB"/>
        </w:rPr>
        <w:t xml:space="preserve"> = 0.0</w:t>
      </w:r>
      <w:r w:rsidR="00B71FC0" w:rsidRPr="00E60B44">
        <w:rPr>
          <w:sz w:val="22"/>
          <w:szCs w:val="22"/>
          <w:lang w:val="en-GB"/>
        </w:rPr>
        <w:t>2</w:t>
      </w:r>
      <w:r w:rsidR="00CC21D7" w:rsidRPr="00E60B44">
        <w:rPr>
          <w:sz w:val="22"/>
          <w:szCs w:val="22"/>
          <w:lang w:val="en-GB"/>
        </w:rPr>
        <w:t>)</w:t>
      </w:r>
      <w:r w:rsidRPr="00E60B44">
        <w:rPr>
          <w:sz w:val="22"/>
          <w:szCs w:val="22"/>
          <w:lang w:val="en-GB"/>
        </w:rPr>
        <w:t>, thus this conclusion is difficult to prove decisively.</w:t>
      </w:r>
      <w:r w:rsidR="0040088B" w:rsidRPr="00E60B44">
        <w:t xml:space="preserve"> </w:t>
      </w:r>
      <w:r w:rsidR="00EE6A02">
        <w:rPr>
          <w:sz w:val="22"/>
          <w:szCs w:val="22"/>
          <w:lang w:val="en-GB"/>
        </w:rPr>
        <w:t>It</w:t>
      </w:r>
      <w:r w:rsidR="0040088B" w:rsidRPr="00E60B44">
        <w:rPr>
          <w:sz w:val="22"/>
          <w:szCs w:val="22"/>
          <w:lang w:val="en-GB"/>
        </w:rPr>
        <w:t xml:space="preserve"> means that people </w:t>
      </w:r>
      <w:r w:rsidR="00EE6A02">
        <w:rPr>
          <w:sz w:val="22"/>
          <w:szCs w:val="22"/>
          <w:lang w:val="en-GB"/>
        </w:rPr>
        <w:t>cannot accurately relate the magnitude of illumination with rating on well-being</w:t>
      </w:r>
      <w:r w:rsidR="0040088B" w:rsidRPr="00E60B44">
        <w:rPr>
          <w:sz w:val="22"/>
          <w:szCs w:val="22"/>
          <w:lang w:val="en-GB"/>
        </w:rPr>
        <w:t xml:space="preserve">. </w:t>
      </w:r>
      <w:r w:rsidRPr="00E60B44">
        <w:rPr>
          <w:sz w:val="22"/>
          <w:szCs w:val="22"/>
          <w:lang w:val="en-GB"/>
        </w:rPr>
        <w:t xml:space="preserve">The next figure shows the measured light intensity and the average </w:t>
      </w:r>
      <w:r w:rsidR="00EE6A02">
        <w:rPr>
          <w:sz w:val="22"/>
          <w:szCs w:val="22"/>
          <w:lang w:val="en-GB"/>
        </w:rPr>
        <w:t>lighting evaluation</w:t>
      </w:r>
      <w:r w:rsidRPr="00E60B44">
        <w:rPr>
          <w:sz w:val="22"/>
          <w:szCs w:val="22"/>
          <w:lang w:val="en-GB"/>
        </w:rPr>
        <w:t xml:space="preserve"> according to the respondents. One data point was removed due to a possible large error.</w:t>
      </w:r>
    </w:p>
    <w:p w14:paraId="03ACCA44" w14:textId="77777777" w:rsidR="00566EF1" w:rsidRPr="00E60B44" w:rsidRDefault="00566EF1" w:rsidP="00566EF1">
      <w:pPr>
        <w:jc w:val="both"/>
        <w:rPr>
          <w:sz w:val="22"/>
          <w:szCs w:val="22"/>
        </w:rPr>
      </w:pPr>
    </w:p>
    <w:p w14:paraId="16D83E8A" w14:textId="1F790268" w:rsidR="00566EF1" w:rsidRPr="00237983" w:rsidRDefault="006C5250" w:rsidP="00566EF1">
      <w:pPr>
        <w:spacing w:after="120"/>
        <w:jc w:val="center"/>
        <w:rPr>
          <w:sz w:val="22"/>
          <w:szCs w:val="18"/>
        </w:rPr>
      </w:pPr>
      <w:r w:rsidRPr="00237983">
        <w:rPr>
          <w:noProof/>
          <w:sz w:val="22"/>
          <w:szCs w:val="18"/>
        </w:rPr>
        <w:drawing>
          <wp:inline distT="0" distB="0" distL="0" distR="0" wp14:anchorId="3DFB1682" wp14:editId="14381CA0">
            <wp:extent cx="3102059" cy="2410691"/>
            <wp:effectExtent l="0" t="0" r="0" b="0"/>
            <wp:docPr id="10"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7" cstate="print">
                      <a:extLst>
                        <a:ext uri="{28A0092B-C50C-407E-A947-70E740481C1C}">
                          <a14:useLocalDpi xmlns:a14="http://schemas.microsoft.com/office/drawing/2010/main" val="0"/>
                        </a:ext>
                      </a:extLst>
                    </a:blip>
                    <a:srcRect l="8377" t="8755" r="10846" b="4544"/>
                    <a:stretch>
                      <a:fillRect/>
                    </a:stretch>
                  </pic:blipFill>
                  <pic:spPr bwMode="auto">
                    <a:xfrm>
                      <a:off x="0" y="0"/>
                      <a:ext cx="3105638" cy="2413472"/>
                    </a:xfrm>
                    <a:prstGeom prst="rect">
                      <a:avLst/>
                    </a:prstGeom>
                    <a:noFill/>
                    <a:ln>
                      <a:noFill/>
                    </a:ln>
                  </pic:spPr>
                </pic:pic>
              </a:graphicData>
            </a:graphic>
          </wp:inline>
        </w:drawing>
      </w:r>
    </w:p>
    <w:p w14:paraId="00E3F194" w14:textId="77777777" w:rsidR="00566EF1" w:rsidRPr="00E60B44" w:rsidRDefault="00566EF1" w:rsidP="00E60B44">
      <w:pPr>
        <w:pStyle w:val="Rrys"/>
        <w:rPr>
          <w:sz w:val="22"/>
          <w:szCs w:val="22"/>
          <w:lang w:val="en-GB"/>
        </w:rPr>
      </w:pPr>
      <w:r w:rsidRPr="008B5F4E">
        <w:rPr>
          <w:b/>
          <w:bCs/>
          <w:lang w:val="en-GB"/>
        </w:rPr>
        <w:t>Fig. 8.</w:t>
      </w:r>
      <w:r w:rsidRPr="008B5F4E">
        <w:rPr>
          <w:lang w:val="en-GB"/>
        </w:rPr>
        <w:t xml:space="preserve"> Relationship between the average rating of lighting in the studied rooms and the intensity of lighting </w:t>
      </w:r>
    </w:p>
    <w:p w14:paraId="25A75E08" w14:textId="77777777" w:rsidR="00E60B44" w:rsidRDefault="00E60B44" w:rsidP="00566EF1">
      <w:pPr>
        <w:ind w:firstLine="284"/>
        <w:jc w:val="both"/>
        <w:rPr>
          <w:sz w:val="22"/>
          <w:szCs w:val="22"/>
        </w:rPr>
      </w:pPr>
    </w:p>
    <w:p w14:paraId="43B76C25" w14:textId="11EE0391" w:rsidR="00566EF1" w:rsidRPr="00E60B44" w:rsidRDefault="00566EF1" w:rsidP="00566EF1">
      <w:pPr>
        <w:ind w:firstLine="284"/>
        <w:jc w:val="both"/>
        <w:rPr>
          <w:sz w:val="22"/>
          <w:szCs w:val="22"/>
          <w:lang w:val="en-GB"/>
        </w:rPr>
      </w:pPr>
      <w:r w:rsidRPr="00E60B44">
        <w:rPr>
          <w:sz w:val="22"/>
          <w:szCs w:val="22"/>
        </w:rPr>
        <w:t>The figure above shows data on the average lighting rating (based on questionnaires) for 10</w:t>
      </w:r>
      <w:r w:rsidR="00942584" w:rsidRPr="00E60B44">
        <w:rPr>
          <w:sz w:val="22"/>
          <w:szCs w:val="22"/>
        </w:rPr>
        <w:t xml:space="preserve"> rooms</w:t>
      </w:r>
      <w:r w:rsidR="00EE6A02">
        <w:rPr>
          <w:sz w:val="22"/>
          <w:szCs w:val="22"/>
        </w:rPr>
        <w:t xml:space="preserve"> and</w:t>
      </w:r>
      <w:r w:rsidRPr="00E60B44">
        <w:rPr>
          <w:sz w:val="22"/>
          <w:szCs w:val="22"/>
        </w:rPr>
        <w:t xml:space="preserve"> the </w:t>
      </w:r>
      <w:r w:rsidR="00EE6A02">
        <w:rPr>
          <w:sz w:val="22"/>
          <w:szCs w:val="22"/>
        </w:rPr>
        <w:t>light intensity meter (x-axis) results</w:t>
      </w:r>
      <w:r w:rsidRPr="00E60B44">
        <w:rPr>
          <w:sz w:val="22"/>
          <w:szCs w:val="22"/>
        </w:rPr>
        <w:t xml:space="preserve">. Out of the classrooms, only 2 classrooms were satisfactory regarding the light intensity, which ranged from 274lx to 303lx. The standard (EN 12464-1: 2012) indicates that the satisfactory light intensity in classrooms is 300 lx. The light intensity in most rooms ranged from 23.8 to 505lx. The equation for the LIA (Light Assessment Vote) value </w:t>
      </w:r>
      <w:r w:rsidR="00EE6A02">
        <w:rPr>
          <w:sz w:val="22"/>
          <w:szCs w:val="22"/>
        </w:rPr>
        <w:t xml:space="preserve">in </w:t>
      </w:r>
      <w:r w:rsidRPr="00E60B44">
        <w:rPr>
          <w:sz w:val="22"/>
          <w:szCs w:val="22"/>
        </w:rPr>
        <w:t>Fig</w:t>
      </w:r>
      <w:r w:rsidR="00942584" w:rsidRPr="00E60B44">
        <w:rPr>
          <w:sz w:val="22"/>
          <w:szCs w:val="22"/>
        </w:rPr>
        <w:t xml:space="preserve">ure </w:t>
      </w:r>
      <w:r w:rsidRPr="00E60B44">
        <w:rPr>
          <w:sz w:val="22"/>
          <w:szCs w:val="22"/>
        </w:rPr>
        <w:t>8 is:</w:t>
      </w:r>
    </w:p>
    <w:p w14:paraId="53CC5814" w14:textId="7DB56371" w:rsidR="00A9594F" w:rsidRPr="00E60B44" w:rsidRDefault="00566EF1" w:rsidP="00E60B44">
      <w:pPr>
        <w:tabs>
          <w:tab w:val="right" w:pos="9639"/>
        </w:tabs>
        <w:spacing w:before="120" w:after="120"/>
        <w:ind w:left="3827"/>
        <w:jc w:val="right"/>
        <w:rPr>
          <w:sz w:val="22"/>
          <w:szCs w:val="22"/>
        </w:rPr>
      </w:pPr>
      <w:r w:rsidRPr="00E60B44">
        <w:rPr>
          <w:sz w:val="22"/>
          <w:szCs w:val="22"/>
        </w:rPr>
        <w:t>LIA = 0.003x - 0.20936</w:t>
      </w:r>
      <w:r w:rsidRPr="00E60B44">
        <w:rPr>
          <w:sz w:val="22"/>
          <w:szCs w:val="22"/>
        </w:rPr>
        <w:tab/>
      </w:r>
      <w:r w:rsidR="00A9594F" w:rsidRPr="00E60B44">
        <w:rPr>
          <w:sz w:val="22"/>
          <w:szCs w:val="22"/>
        </w:rPr>
        <w:t>(</w:t>
      </w:r>
      <w:r w:rsidR="00CC21D7" w:rsidRPr="00E60B44">
        <w:rPr>
          <w:sz w:val="22"/>
          <w:szCs w:val="22"/>
        </w:rPr>
        <w:t>3</w:t>
      </w:r>
      <w:r w:rsidR="00A9594F" w:rsidRPr="00E60B44">
        <w:rPr>
          <w:sz w:val="22"/>
          <w:szCs w:val="22"/>
        </w:rPr>
        <w:t>)</w:t>
      </w:r>
    </w:p>
    <w:p w14:paraId="1BB3BC00" w14:textId="77777777" w:rsidR="00942584" w:rsidRPr="00E60B44" w:rsidRDefault="00942584" w:rsidP="00E60B44">
      <w:pPr>
        <w:jc w:val="both"/>
        <w:rPr>
          <w:sz w:val="22"/>
          <w:szCs w:val="22"/>
        </w:rPr>
      </w:pPr>
      <w:r w:rsidRPr="00E60B44">
        <w:rPr>
          <w:sz w:val="22"/>
          <w:szCs w:val="22"/>
        </w:rPr>
        <w:t>where x is the illuminance value</w:t>
      </w:r>
      <w:r w:rsidR="00CC21D7" w:rsidRPr="00E60B44">
        <w:t xml:space="preserve"> </w:t>
      </w:r>
      <w:r w:rsidR="00CC21D7" w:rsidRPr="00E60B44">
        <w:rPr>
          <w:sz w:val="22"/>
          <w:szCs w:val="22"/>
        </w:rPr>
        <w:t>and the regression coefficient was only R</w:t>
      </w:r>
      <w:r w:rsidR="00CC21D7" w:rsidRPr="00E60B44">
        <w:rPr>
          <w:sz w:val="22"/>
          <w:szCs w:val="22"/>
          <w:vertAlign w:val="superscript"/>
        </w:rPr>
        <w:t>2</w:t>
      </w:r>
      <w:r w:rsidR="00CC21D7" w:rsidRPr="00E60B44">
        <w:rPr>
          <w:sz w:val="22"/>
          <w:szCs w:val="22"/>
        </w:rPr>
        <w:t xml:space="preserve"> = 0.0</w:t>
      </w:r>
      <w:r w:rsidR="00B71FC0" w:rsidRPr="00E60B44">
        <w:rPr>
          <w:sz w:val="22"/>
          <w:szCs w:val="22"/>
        </w:rPr>
        <w:t>7</w:t>
      </w:r>
      <w:r w:rsidRPr="00E60B44">
        <w:rPr>
          <w:sz w:val="22"/>
          <w:szCs w:val="22"/>
        </w:rPr>
        <w:t>. As the illuminance rose, people reported higher LIA values, which is in agreement with common sense and knowledge and proved the correctness of the experimental set-up.</w:t>
      </w:r>
    </w:p>
    <w:p w14:paraId="593FFDD3" w14:textId="730B9B7A" w:rsidR="00A31A64" w:rsidRPr="00E60B44" w:rsidRDefault="001C25F9" w:rsidP="00942584">
      <w:pPr>
        <w:ind w:firstLine="284"/>
        <w:jc w:val="both"/>
        <w:rPr>
          <w:sz w:val="22"/>
          <w:szCs w:val="22"/>
        </w:rPr>
      </w:pPr>
      <w:r w:rsidRPr="00E60B44">
        <w:rPr>
          <w:sz w:val="22"/>
          <w:szCs w:val="22"/>
        </w:rPr>
        <w:t>The survey also asked respondents about their assessment of productivity (i.e. their subjective ability to acquire knowledge, which they determined independently), as shown in Figure 9.</w:t>
      </w:r>
    </w:p>
    <w:p w14:paraId="06F97FD7" w14:textId="77777777" w:rsidR="002E74A6" w:rsidRPr="00E60B44" w:rsidRDefault="002E74A6" w:rsidP="002E74A6">
      <w:pPr>
        <w:jc w:val="both"/>
        <w:rPr>
          <w:sz w:val="22"/>
          <w:szCs w:val="22"/>
        </w:rPr>
      </w:pPr>
    </w:p>
    <w:p w14:paraId="2CAA1C12" w14:textId="6DE5CA24" w:rsidR="002E74A6" w:rsidRPr="00E60B44" w:rsidRDefault="006C5250" w:rsidP="00272368">
      <w:pPr>
        <w:jc w:val="center"/>
        <w:rPr>
          <w:sz w:val="22"/>
          <w:szCs w:val="22"/>
        </w:rPr>
      </w:pPr>
      <w:r w:rsidRPr="00E60B44">
        <w:rPr>
          <w:noProof/>
          <w:lang w:val="en-GB" w:eastAsia="pl-PL"/>
        </w:rPr>
        <w:drawing>
          <wp:inline distT="0" distB="0" distL="0" distR="0" wp14:anchorId="649B49FF" wp14:editId="40CC04ED">
            <wp:extent cx="3143250" cy="2514600"/>
            <wp:effectExtent l="0" t="0" r="0" b="0"/>
            <wp:docPr id="11" name="Obraz 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9"/>
                    <pic:cNvPicPr>
                      <a:picLocks noChangeAspect="1" noChangeArrowheads="1"/>
                    </pic:cNvPicPr>
                  </pic:nvPicPr>
                  <pic:blipFill>
                    <a:blip r:embed="rId18" cstate="print">
                      <a:extLst>
                        <a:ext uri="{28A0092B-C50C-407E-A947-70E740481C1C}">
                          <a14:useLocalDpi xmlns:a14="http://schemas.microsoft.com/office/drawing/2010/main" val="0"/>
                        </a:ext>
                      </a:extLst>
                    </a:blip>
                    <a:srcRect l="3494" t="5994" r="2957" b="5994"/>
                    <a:stretch>
                      <a:fillRect/>
                    </a:stretch>
                  </pic:blipFill>
                  <pic:spPr bwMode="auto">
                    <a:xfrm>
                      <a:off x="0" y="0"/>
                      <a:ext cx="3143250" cy="2514600"/>
                    </a:xfrm>
                    <a:prstGeom prst="rect">
                      <a:avLst/>
                    </a:prstGeom>
                    <a:noFill/>
                    <a:ln>
                      <a:noFill/>
                    </a:ln>
                  </pic:spPr>
                </pic:pic>
              </a:graphicData>
            </a:graphic>
          </wp:inline>
        </w:drawing>
      </w:r>
    </w:p>
    <w:p w14:paraId="1503A486" w14:textId="77777777" w:rsidR="002E74A6" w:rsidRPr="008B5F4E" w:rsidRDefault="002E74A6" w:rsidP="00E60B44">
      <w:pPr>
        <w:pStyle w:val="Rrys"/>
        <w:rPr>
          <w:lang w:val="en-GB"/>
        </w:rPr>
      </w:pPr>
      <w:r w:rsidRPr="008B5F4E">
        <w:rPr>
          <w:b/>
          <w:bCs/>
          <w:lang w:val="en-GB"/>
        </w:rPr>
        <w:t xml:space="preserve">Fig. </w:t>
      </w:r>
      <w:r w:rsidR="0092189A" w:rsidRPr="008B5F4E">
        <w:rPr>
          <w:b/>
          <w:bCs/>
          <w:lang w:val="en-GB"/>
        </w:rPr>
        <w:t>9</w:t>
      </w:r>
      <w:r w:rsidRPr="008B5F4E">
        <w:rPr>
          <w:b/>
          <w:bCs/>
          <w:lang w:val="en-GB"/>
        </w:rPr>
        <w:t>.</w:t>
      </w:r>
      <w:r w:rsidRPr="008B5F4E">
        <w:rPr>
          <w:lang w:val="en-GB"/>
        </w:rPr>
        <w:t xml:space="preserve"> </w:t>
      </w:r>
      <w:r w:rsidR="00566EF1" w:rsidRPr="008B5F4E">
        <w:rPr>
          <w:lang w:val="en-GB"/>
        </w:rPr>
        <w:t>Overall assessment of student productivity for the audited classrooms throughout the building</w:t>
      </w:r>
    </w:p>
    <w:p w14:paraId="5EB5A6E6" w14:textId="77777777" w:rsidR="00E60B44" w:rsidRDefault="00E60B44" w:rsidP="007D6B8A">
      <w:pPr>
        <w:ind w:firstLine="284"/>
        <w:jc w:val="both"/>
        <w:rPr>
          <w:sz w:val="22"/>
          <w:szCs w:val="22"/>
          <w:lang w:val="en-GB"/>
        </w:rPr>
      </w:pPr>
    </w:p>
    <w:p w14:paraId="47CB752E" w14:textId="213BF26A" w:rsidR="00566EF1" w:rsidRPr="00E60B44" w:rsidRDefault="00566EF1" w:rsidP="007D6B8A">
      <w:pPr>
        <w:ind w:firstLine="284"/>
        <w:jc w:val="both"/>
        <w:rPr>
          <w:sz w:val="22"/>
          <w:szCs w:val="22"/>
          <w:lang w:val="en-GB"/>
        </w:rPr>
      </w:pPr>
      <w:r w:rsidRPr="00E60B44">
        <w:rPr>
          <w:sz w:val="22"/>
          <w:szCs w:val="22"/>
          <w:lang w:val="en-GB"/>
        </w:rPr>
        <w:t>The figure presents the frequency of the answers regarding the learning productivity in the building under study, where</w:t>
      </w:r>
      <w:r w:rsidR="00EE6A02">
        <w:rPr>
          <w:sz w:val="22"/>
          <w:szCs w:val="22"/>
          <w:lang w:val="en-GB"/>
        </w:rPr>
        <w:t xml:space="preserve"> -1 is weak, 0 is normal, and 1 is</w:t>
      </w:r>
      <w:r w:rsidRPr="00E60B44">
        <w:rPr>
          <w:sz w:val="22"/>
          <w:szCs w:val="22"/>
          <w:lang w:val="en-GB"/>
        </w:rPr>
        <w:t xml:space="preserve"> high. It can be seen in the </w:t>
      </w:r>
      <w:r w:rsidR="00EE6A02">
        <w:rPr>
          <w:sz w:val="22"/>
          <w:szCs w:val="22"/>
          <w:lang w:val="en-GB"/>
        </w:rPr>
        <w:t>chart that the most frequently given answer was normal, which</w:t>
      </w:r>
      <w:r w:rsidRPr="00E60B44">
        <w:rPr>
          <w:sz w:val="22"/>
          <w:szCs w:val="22"/>
          <w:lang w:val="en-GB"/>
        </w:rPr>
        <w:t xml:space="preserve"> amounted to 66.36% of all the answers. The second answer</w:t>
      </w:r>
      <w:r w:rsidR="00EE6A02">
        <w:rPr>
          <w:sz w:val="22"/>
          <w:szCs w:val="22"/>
          <w:lang w:val="en-GB"/>
        </w:rPr>
        <w:t>,</w:t>
      </w:r>
      <w:r w:rsidRPr="00E60B44">
        <w:rPr>
          <w:sz w:val="22"/>
          <w:szCs w:val="22"/>
          <w:lang w:val="en-GB"/>
        </w:rPr>
        <w:t xml:space="preserve"> </w:t>
      </w:r>
      <w:r w:rsidR="00EE6A02" w:rsidRPr="00E60B44">
        <w:rPr>
          <w:sz w:val="22"/>
          <w:szCs w:val="22"/>
          <w:lang w:val="en-GB"/>
        </w:rPr>
        <w:t xml:space="preserve">27.27%, </w:t>
      </w:r>
      <w:r w:rsidR="00EE6A02">
        <w:rPr>
          <w:sz w:val="22"/>
          <w:szCs w:val="22"/>
          <w:lang w:val="en-GB"/>
        </w:rPr>
        <w:t xml:space="preserve">was weak, </w:t>
      </w:r>
      <w:r w:rsidRPr="00E60B44">
        <w:rPr>
          <w:sz w:val="22"/>
          <w:szCs w:val="22"/>
          <w:lang w:val="en-GB"/>
        </w:rPr>
        <w:t>while high was the least chosen answer (6.36%).</w:t>
      </w:r>
    </w:p>
    <w:p w14:paraId="635B5102" w14:textId="1C9B5F22" w:rsidR="00566EF1" w:rsidRPr="00E60B44" w:rsidRDefault="00566EF1" w:rsidP="007D6B8A">
      <w:pPr>
        <w:ind w:firstLine="284"/>
        <w:jc w:val="both"/>
        <w:rPr>
          <w:sz w:val="22"/>
          <w:szCs w:val="22"/>
        </w:rPr>
      </w:pPr>
      <w:r w:rsidRPr="00E60B44">
        <w:rPr>
          <w:sz w:val="22"/>
          <w:szCs w:val="22"/>
          <w:lang w:val="en-GB"/>
        </w:rPr>
        <w:lastRenderedPageBreak/>
        <w:t>The impact of positive well-being on work efficiency is quite subjective</w:t>
      </w:r>
      <w:r w:rsidR="00EE6A02">
        <w:rPr>
          <w:sz w:val="22"/>
          <w:szCs w:val="22"/>
          <w:lang w:val="en-GB"/>
        </w:rPr>
        <w:t>. It</w:t>
      </w:r>
      <w:r w:rsidRPr="00E60B44">
        <w:rPr>
          <w:sz w:val="22"/>
          <w:szCs w:val="22"/>
          <w:lang w:val="en-GB"/>
        </w:rPr>
        <w:t xml:space="preserve"> requires a detailed discussion on the impact of atmospheric conditions indoors on the learning abilities of the respondents. Figure 10 shows the relationships between the air temperature in 11 different rooms and the average work efficiency results reported in the surveys.</w:t>
      </w:r>
    </w:p>
    <w:p w14:paraId="413F97C3" w14:textId="77777777" w:rsidR="00566EF1" w:rsidRPr="00E60B44" w:rsidRDefault="00566EF1" w:rsidP="00566EF1">
      <w:pPr>
        <w:jc w:val="both"/>
        <w:rPr>
          <w:sz w:val="22"/>
          <w:szCs w:val="22"/>
        </w:rPr>
      </w:pPr>
    </w:p>
    <w:p w14:paraId="3FADEC1B" w14:textId="48E94172" w:rsidR="00566EF1" w:rsidRPr="00E60B44" w:rsidRDefault="006C5250" w:rsidP="00566EF1">
      <w:pPr>
        <w:jc w:val="center"/>
        <w:rPr>
          <w:sz w:val="22"/>
          <w:szCs w:val="22"/>
        </w:rPr>
      </w:pPr>
      <w:r w:rsidRPr="00E60B44">
        <w:rPr>
          <w:noProof/>
        </w:rPr>
        <w:drawing>
          <wp:inline distT="0" distB="0" distL="0" distR="0" wp14:anchorId="3472B47F" wp14:editId="31BD5EC4">
            <wp:extent cx="3209925" cy="2524125"/>
            <wp:effectExtent l="0" t="0" r="0" b="0"/>
            <wp:docPr id="12"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9" cstate="print">
                      <a:extLst>
                        <a:ext uri="{28A0092B-C50C-407E-A947-70E740481C1C}">
                          <a14:useLocalDpi xmlns:a14="http://schemas.microsoft.com/office/drawing/2010/main" val="0"/>
                        </a:ext>
                      </a:extLst>
                    </a:blip>
                    <a:srcRect l="7848" t="9122" r="11639" b="3571"/>
                    <a:stretch>
                      <a:fillRect/>
                    </a:stretch>
                  </pic:blipFill>
                  <pic:spPr bwMode="auto">
                    <a:xfrm>
                      <a:off x="0" y="0"/>
                      <a:ext cx="3209925" cy="2524125"/>
                    </a:xfrm>
                    <a:prstGeom prst="rect">
                      <a:avLst/>
                    </a:prstGeom>
                    <a:noFill/>
                    <a:ln>
                      <a:noFill/>
                    </a:ln>
                  </pic:spPr>
                </pic:pic>
              </a:graphicData>
            </a:graphic>
          </wp:inline>
        </w:drawing>
      </w:r>
    </w:p>
    <w:p w14:paraId="0E47A09A" w14:textId="77777777" w:rsidR="00566EF1" w:rsidRPr="00E60B44" w:rsidRDefault="00566EF1" w:rsidP="002D4C4D">
      <w:pPr>
        <w:pStyle w:val="Rrys"/>
        <w:rPr>
          <w:lang w:val="en-GB"/>
        </w:rPr>
      </w:pPr>
      <w:r w:rsidRPr="008B5F4E">
        <w:rPr>
          <w:b/>
          <w:bCs/>
          <w:lang w:val="en-GB"/>
        </w:rPr>
        <w:t>Fig. 10.</w:t>
      </w:r>
      <w:r w:rsidRPr="008B5F4E">
        <w:rPr>
          <w:lang w:val="en-GB"/>
        </w:rPr>
        <w:t xml:space="preserve"> The average productivity assessment in the rooms and air temperature</w:t>
      </w:r>
    </w:p>
    <w:p w14:paraId="481C62F0" w14:textId="77777777" w:rsidR="002D4C4D" w:rsidRDefault="002D4C4D" w:rsidP="00566EF1">
      <w:pPr>
        <w:ind w:firstLine="284"/>
        <w:jc w:val="both"/>
        <w:rPr>
          <w:sz w:val="22"/>
          <w:szCs w:val="22"/>
          <w:lang w:val="en-GB"/>
        </w:rPr>
      </w:pPr>
    </w:p>
    <w:p w14:paraId="6CE8F0C9" w14:textId="46B8E5D2" w:rsidR="00566EF1" w:rsidRPr="00E60B44" w:rsidRDefault="00566EF1" w:rsidP="00566EF1">
      <w:pPr>
        <w:ind w:firstLine="284"/>
        <w:jc w:val="both"/>
        <w:rPr>
          <w:sz w:val="22"/>
          <w:szCs w:val="22"/>
          <w:lang w:val="en-GB"/>
        </w:rPr>
      </w:pPr>
      <w:r w:rsidRPr="00E60B44">
        <w:rPr>
          <w:sz w:val="22"/>
          <w:szCs w:val="22"/>
          <w:lang w:val="en-GB"/>
        </w:rPr>
        <w:t>From the chart above it can be concluded that the temperature from 21</w:t>
      </w:r>
      <w:r w:rsidR="00B30A10" w:rsidRPr="00B30A10">
        <w:rPr>
          <w:sz w:val="22"/>
          <w:szCs w:val="22"/>
          <w:lang w:val="en-GB"/>
        </w:rPr>
        <w:t>°</w:t>
      </w:r>
      <w:r w:rsidRPr="00E60B44">
        <w:rPr>
          <w:sz w:val="22"/>
          <w:szCs w:val="22"/>
          <w:lang w:val="en-GB"/>
        </w:rPr>
        <w:t>C to 22</w:t>
      </w:r>
      <w:r w:rsidR="00B30A10" w:rsidRPr="00B30A10">
        <w:rPr>
          <w:sz w:val="22"/>
          <w:szCs w:val="22"/>
          <w:lang w:val="en-GB"/>
        </w:rPr>
        <w:t>°</w:t>
      </w:r>
      <w:r w:rsidRPr="00E60B44">
        <w:rPr>
          <w:sz w:val="22"/>
          <w:szCs w:val="22"/>
          <w:lang w:val="en-GB"/>
        </w:rPr>
        <w:t>C provides highest productivity. However, looking at the downward trend, the productivity above 24</w:t>
      </w:r>
      <w:r w:rsidR="00B30A10" w:rsidRPr="00B30A10">
        <w:rPr>
          <w:sz w:val="22"/>
          <w:szCs w:val="22"/>
          <w:lang w:val="en-GB"/>
        </w:rPr>
        <w:t>°</w:t>
      </w:r>
      <w:r w:rsidRPr="00E60B44">
        <w:rPr>
          <w:sz w:val="22"/>
          <w:szCs w:val="22"/>
          <w:lang w:val="en-GB"/>
        </w:rPr>
        <w:t xml:space="preserve">C will be </w:t>
      </w:r>
      <w:r w:rsidR="00EE6A02">
        <w:rPr>
          <w:sz w:val="22"/>
          <w:szCs w:val="22"/>
          <w:lang w:val="en-GB"/>
        </w:rPr>
        <w:t>lower</w:t>
      </w:r>
      <w:r w:rsidRPr="00E60B44">
        <w:rPr>
          <w:sz w:val="22"/>
          <w:szCs w:val="22"/>
          <w:lang w:val="en-GB"/>
        </w:rPr>
        <w:t xml:space="preserve">. The figure shows that the best learning productivity occurs at </w:t>
      </w:r>
      <w:r w:rsidR="00942584" w:rsidRPr="00E60B44">
        <w:rPr>
          <w:sz w:val="22"/>
          <w:szCs w:val="22"/>
          <w:lang w:val="en-GB"/>
        </w:rPr>
        <w:t xml:space="preserve">the </w:t>
      </w:r>
      <w:r w:rsidRPr="00E60B44">
        <w:rPr>
          <w:sz w:val="22"/>
          <w:szCs w:val="22"/>
          <w:lang w:val="en-GB"/>
        </w:rPr>
        <w:t>temperature of 21.5</w:t>
      </w:r>
      <w:r w:rsidR="00B30A10" w:rsidRPr="00B30A10">
        <w:rPr>
          <w:sz w:val="22"/>
          <w:szCs w:val="22"/>
          <w:lang w:val="en-GB"/>
        </w:rPr>
        <w:t>°</w:t>
      </w:r>
      <w:r w:rsidRPr="00E60B44">
        <w:rPr>
          <w:sz w:val="22"/>
          <w:szCs w:val="22"/>
          <w:lang w:val="en-GB"/>
        </w:rPr>
        <w:t xml:space="preserve">C. </w:t>
      </w:r>
      <w:r w:rsidR="00EE6A02">
        <w:rPr>
          <w:sz w:val="22"/>
          <w:szCs w:val="22"/>
          <w:lang w:val="en-GB"/>
        </w:rPr>
        <w:t>It</w:t>
      </w:r>
      <w:r w:rsidRPr="00E60B44">
        <w:rPr>
          <w:sz w:val="22"/>
          <w:szCs w:val="22"/>
          <w:lang w:val="en-GB"/>
        </w:rPr>
        <w:t xml:space="preserve"> means that students learn best because they are warm enough. The resulting </w:t>
      </w:r>
      <w:r w:rsidR="00942584" w:rsidRPr="00E60B44">
        <w:rPr>
          <w:sz w:val="22"/>
          <w:szCs w:val="22"/>
          <w:lang w:val="en-GB"/>
        </w:rPr>
        <w:t>linear fit</w:t>
      </w:r>
      <w:r w:rsidRPr="00E60B44">
        <w:rPr>
          <w:sz w:val="22"/>
          <w:szCs w:val="22"/>
          <w:lang w:val="en-GB"/>
        </w:rPr>
        <w:t xml:space="preserve"> formula is:</w:t>
      </w:r>
    </w:p>
    <w:p w14:paraId="6982B114" w14:textId="3670B7A4" w:rsidR="00566EF1" w:rsidRPr="00E60B44" w:rsidRDefault="00566EF1" w:rsidP="002D4C4D">
      <w:pPr>
        <w:tabs>
          <w:tab w:val="right" w:pos="9639"/>
        </w:tabs>
        <w:spacing w:before="120" w:after="120"/>
        <w:ind w:left="3402"/>
        <w:jc w:val="right"/>
        <w:rPr>
          <w:sz w:val="22"/>
          <w:szCs w:val="22"/>
        </w:rPr>
      </w:pPr>
      <w:r w:rsidRPr="00E60B44">
        <w:rPr>
          <w:sz w:val="22"/>
          <w:szCs w:val="22"/>
        </w:rPr>
        <w:t>Productivity = -0.0772</w:t>
      </w:r>
      <w:r w:rsidR="007D6B8A" w:rsidRPr="00E60B44">
        <w:rPr>
          <w:sz w:val="22"/>
          <w:szCs w:val="22"/>
        </w:rPr>
        <w:t>AT</w:t>
      </w:r>
      <w:r w:rsidRPr="00E60B44">
        <w:rPr>
          <w:sz w:val="22"/>
          <w:szCs w:val="22"/>
        </w:rPr>
        <w:t xml:space="preserve"> + 1.662</w:t>
      </w:r>
      <w:r w:rsidRPr="00E60B44">
        <w:rPr>
          <w:sz w:val="22"/>
          <w:szCs w:val="22"/>
        </w:rPr>
        <w:tab/>
        <w:t>(</w:t>
      </w:r>
      <w:r w:rsidR="00CC21D7" w:rsidRPr="00E60B44">
        <w:rPr>
          <w:sz w:val="22"/>
          <w:szCs w:val="22"/>
        </w:rPr>
        <w:t>4</w:t>
      </w:r>
      <w:r w:rsidRPr="00E60B44">
        <w:rPr>
          <w:sz w:val="22"/>
          <w:szCs w:val="22"/>
        </w:rPr>
        <w:t>)</w:t>
      </w:r>
    </w:p>
    <w:p w14:paraId="2DE544E3" w14:textId="708BE68E" w:rsidR="00367A31" w:rsidRPr="00E60B44" w:rsidRDefault="00367A31" w:rsidP="00333144">
      <w:pPr>
        <w:jc w:val="both"/>
        <w:rPr>
          <w:sz w:val="22"/>
          <w:szCs w:val="22"/>
        </w:rPr>
      </w:pPr>
      <w:r w:rsidRPr="00E60B44">
        <w:rPr>
          <w:sz w:val="22"/>
          <w:szCs w:val="22"/>
        </w:rPr>
        <w:t xml:space="preserve">where x </w:t>
      </w:r>
      <w:r w:rsidR="00333144">
        <w:rPr>
          <w:sz w:val="22"/>
          <w:szCs w:val="22"/>
        </w:rPr>
        <w:t>–</w:t>
      </w:r>
      <w:r w:rsidRPr="00E60B44">
        <w:rPr>
          <w:sz w:val="22"/>
          <w:szCs w:val="22"/>
        </w:rPr>
        <w:t xml:space="preserve"> air temperature. The regression coefficient turned out to be R</w:t>
      </w:r>
      <w:r w:rsidRPr="00E60B44">
        <w:rPr>
          <w:sz w:val="22"/>
          <w:szCs w:val="22"/>
          <w:vertAlign w:val="superscript"/>
        </w:rPr>
        <w:t>2</w:t>
      </w:r>
      <w:r w:rsidRPr="00E60B44">
        <w:rPr>
          <w:sz w:val="22"/>
          <w:szCs w:val="22"/>
        </w:rPr>
        <w:t xml:space="preserve"> = 0.33. The data show that the higher the air temperature, the lower the quality of learning. The next chart (Figure 11) shows the relationship between the average productivity </w:t>
      </w:r>
      <w:r w:rsidR="00EE6A02">
        <w:rPr>
          <w:sz w:val="22"/>
          <w:szCs w:val="22"/>
        </w:rPr>
        <w:t>and well-being ratings</w:t>
      </w:r>
      <w:r w:rsidRPr="00E60B44">
        <w:rPr>
          <w:sz w:val="22"/>
          <w:szCs w:val="22"/>
        </w:rPr>
        <w:t xml:space="preserve">. </w:t>
      </w:r>
    </w:p>
    <w:p w14:paraId="75780C77" w14:textId="77777777" w:rsidR="00566EF1" w:rsidRPr="00E60B44" w:rsidRDefault="00566EF1" w:rsidP="00566EF1">
      <w:pPr>
        <w:jc w:val="both"/>
        <w:rPr>
          <w:sz w:val="22"/>
          <w:szCs w:val="22"/>
        </w:rPr>
      </w:pPr>
    </w:p>
    <w:p w14:paraId="19832F90" w14:textId="34DE9AC5" w:rsidR="00566EF1" w:rsidRPr="00E60B44" w:rsidRDefault="006C5250" w:rsidP="00566EF1">
      <w:pPr>
        <w:jc w:val="center"/>
        <w:rPr>
          <w:sz w:val="22"/>
          <w:szCs w:val="22"/>
        </w:rPr>
      </w:pPr>
      <w:r w:rsidRPr="00E60B44">
        <w:rPr>
          <w:noProof/>
        </w:rPr>
        <w:drawing>
          <wp:inline distT="0" distB="0" distL="0" distR="0" wp14:anchorId="2F834574" wp14:editId="0746740C">
            <wp:extent cx="3324225" cy="2524125"/>
            <wp:effectExtent l="0" t="0" r="0" b="0"/>
            <wp:docPr id="13"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20" cstate="print">
                      <a:extLst>
                        <a:ext uri="{28A0092B-C50C-407E-A947-70E740481C1C}">
                          <a14:useLocalDpi xmlns:a14="http://schemas.microsoft.com/office/drawing/2010/main" val="0"/>
                        </a:ext>
                      </a:extLst>
                    </a:blip>
                    <a:srcRect l="7318" t="9850" r="11993" b="5882"/>
                    <a:stretch>
                      <a:fillRect/>
                    </a:stretch>
                  </pic:blipFill>
                  <pic:spPr bwMode="auto">
                    <a:xfrm>
                      <a:off x="0" y="0"/>
                      <a:ext cx="3324225" cy="2524125"/>
                    </a:xfrm>
                    <a:prstGeom prst="rect">
                      <a:avLst/>
                    </a:prstGeom>
                    <a:noFill/>
                    <a:ln>
                      <a:noFill/>
                    </a:ln>
                  </pic:spPr>
                </pic:pic>
              </a:graphicData>
            </a:graphic>
          </wp:inline>
        </w:drawing>
      </w:r>
    </w:p>
    <w:p w14:paraId="58C46461" w14:textId="77777777" w:rsidR="00566EF1" w:rsidRPr="00E60B44" w:rsidRDefault="00566EF1" w:rsidP="002D4C4D">
      <w:pPr>
        <w:pStyle w:val="Rrys"/>
        <w:rPr>
          <w:lang w:val="en-GB"/>
        </w:rPr>
      </w:pPr>
      <w:r w:rsidRPr="008B5F4E">
        <w:rPr>
          <w:b/>
          <w:bCs/>
          <w:lang w:val="en-GB"/>
        </w:rPr>
        <w:t>Fig. 10.</w:t>
      </w:r>
      <w:r w:rsidRPr="008B5F4E">
        <w:rPr>
          <w:lang w:val="en-GB"/>
        </w:rPr>
        <w:t xml:space="preserve"> </w:t>
      </w:r>
      <w:r w:rsidR="001842EA" w:rsidRPr="008B5F4E">
        <w:rPr>
          <w:lang w:val="en-GB"/>
        </w:rPr>
        <w:t>Relationship between the average productivity rating in rooms and the average general well-being</w:t>
      </w:r>
    </w:p>
    <w:p w14:paraId="15869F42" w14:textId="77777777" w:rsidR="002D4C4D" w:rsidRDefault="002D4C4D" w:rsidP="007D6B8A">
      <w:pPr>
        <w:ind w:firstLine="284"/>
        <w:jc w:val="both"/>
        <w:rPr>
          <w:sz w:val="22"/>
          <w:szCs w:val="22"/>
          <w:lang w:val="en-GB"/>
        </w:rPr>
      </w:pPr>
    </w:p>
    <w:p w14:paraId="014BB881" w14:textId="64F2C1C2" w:rsidR="00B71FC0" w:rsidRPr="00E60B44" w:rsidRDefault="001842EA" w:rsidP="007D6B8A">
      <w:pPr>
        <w:ind w:firstLine="284"/>
        <w:jc w:val="both"/>
        <w:rPr>
          <w:sz w:val="22"/>
          <w:szCs w:val="22"/>
          <w:lang w:val="en-GB"/>
        </w:rPr>
      </w:pPr>
      <w:r w:rsidRPr="00E60B44">
        <w:rPr>
          <w:sz w:val="22"/>
          <w:szCs w:val="22"/>
          <w:lang w:val="en-GB"/>
        </w:rPr>
        <w:t xml:space="preserve">The diagram illustrates the mean </w:t>
      </w:r>
      <w:r w:rsidR="00EE6A02">
        <w:rPr>
          <w:sz w:val="22"/>
          <w:szCs w:val="22"/>
          <w:lang w:val="en-GB"/>
        </w:rPr>
        <w:t>survey rating</w:t>
      </w:r>
      <w:r w:rsidRPr="00E60B44">
        <w:rPr>
          <w:sz w:val="22"/>
          <w:szCs w:val="22"/>
          <w:lang w:val="en-GB"/>
        </w:rPr>
        <w:t xml:space="preserve">s, comparing the relationship between well-being and productivity in the examined rooms. It is important to highlight that when individuals experience a sense of comfort indoors, their productivity </w:t>
      </w:r>
      <w:r w:rsidR="00EE6A02">
        <w:rPr>
          <w:sz w:val="22"/>
          <w:szCs w:val="22"/>
          <w:lang w:val="en-GB"/>
        </w:rPr>
        <w:t>increases</w:t>
      </w:r>
      <w:r w:rsidRPr="00E60B44">
        <w:rPr>
          <w:sz w:val="22"/>
          <w:szCs w:val="22"/>
          <w:lang w:val="en-GB"/>
        </w:rPr>
        <w:t xml:space="preserve">. </w:t>
      </w:r>
      <w:r w:rsidR="00EE6A02">
        <w:rPr>
          <w:sz w:val="22"/>
          <w:szCs w:val="22"/>
          <w:lang w:val="en-GB"/>
        </w:rPr>
        <w:t>As expected, the linear regression line (depicted in red) follows a logical pattern</w:t>
      </w:r>
      <w:r w:rsidRPr="00E60B44">
        <w:rPr>
          <w:sz w:val="22"/>
          <w:szCs w:val="22"/>
          <w:lang w:val="en-GB"/>
        </w:rPr>
        <w:t xml:space="preserve"> – people demonstrate enhanced work and learning capabilities when they are content with their indoor surroundings. </w:t>
      </w:r>
      <w:r w:rsidR="00B71FC0" w:rsidRPr="00E60B44">
        <w:rPr>
          <w:sz w:val="22"/>
          <w:szCs w:val="22"/>
          <w:lang w:val="en-GB"/>
        </w:rPr>
        <w:t xml:space="preserve">The </w:t>
      </w:r>
      <w:r w:rsidR="007D6B8A" w:rsidRPr="00E60B44">
        <w:rPr>
          <w:sz w:val="22"/>
          <w:szCs w:val="22"/>
          <w:lang w:val="en-GB"/>
        </w:rPr>
        <w:t>linear fit equation</w:t>
      </w:r>
      <w:r w:rsidR="00B71FC0" w:rsidRPr="00E60B44">
        <w:rPr>
          <w:sz w:val="22"/>
          <w:szCs w:val="22"/>
          <w:lang w:val="en-GB"/>
        </w:rPr>
        <w:t xml:space="preserve"> </w:t>
      </w:r>
      <w:r w:rsidR="007D6B8A" w:rsidRPr="00E60B44">
        <w:rPr>
          <w:sz w:val="22"/>
          <w:szCs w:val="22"/>
          <w:lang w:val="en-GB"/>
        </w:rPr>
        <w:t>takes the following form</w:t>
      </w:r>
      <w:r w:rsidR="00B71FC0" w:rsidRPr="00E60B44">
        <w:rPr>
          <w:sz w:val="22"/>
          <w:szCs w:val="22"/>
          <w:lang w:val="en-GB"/>
        </w:rPr>
        <w:t>:</w:t>
      </w:r>
    </w:p>
    <w:p w14:paraId="6B96EB80" w14:textId="6C44B421" w:rsidR="00B71FC0" w:rsidRPr="00E60B44" w:rsidRDefault="00B71FC0" w:rsidP="002D4C4D">
      <w:pPr>
        <w:tabs>
          <w:tab w:val="right" w:pos="9639"/>
        </w:tabs>
        <w:spacing w:before="120" w:after="120"/>
        <w:ind w:left="3260"/>
        <w:jc w:val="right"/>
        <w:rPr>
          <w:sz w:val="22"/>
          <w:szCs w:val="22"/>
        </w:rPr>
      </w:pPr>
      <w:r w:rsidRPr="00E60B44">
        <w:rPr>
          <w:sz w:val="22"/>
          <w:szCs w:val="22"/>
        </w:rPr>
        <w:lastRenderedPageBreak/>
        <w:t>Productivity = 0.216GSV - 0.2972</w:t>
      </w:r>
      <w:r w:rsidRPr="00E60B44">
        <w:rPr>
          <w:sz w:val="22"/>
          <w:szCs w:val="22"/>
        </w:rPr>
        <w:tab/>
        <w:t>(5)</w:t>
      </w:r>
    </w:p>
    <w:p w14:paraId="71F59A3F" w14:textId="78813C84" w:rsidR="00566EF1" w:rsidRPr="00E60B44" w:rsidRDefault="00B71FC0" w:rsidP="007D6B8A">
      <w:pPr>
        <w:spacing w:after="120"/>
        <w:jc w:val="both"/>
        <w:rPr>
          <w:sz w:val="22"/>
          <w:szCs w:val="22"/>
          <w:lang w:val="en-GB"/>
        </w:rPr>
      </w:pPr>
      <w:r w:rsidRPr="00E60B44">
        <w:rPr>
          <w:sz w:val="22"/>
          <w:szCs w:val="22"/>
        </w:rPr>
        <w:t>a</w:t>
      </w:r>
      <w:r w:rsidR="007D6B8A" w:rsidRPr="00E60B44">
        <w:rPr>
          <w:sz w:val="22"/>
          <w:szCs w:val="22"/>
        </w:rPr>
        <w:t xml:space="preserve">nd the regression coefficient amounts to </w:t>
      </w:r>
      <w:r w:rsidRPr="00E60B44">
        <w:rPr>
          <w:sz w:val="22"/>
          <w:szCs w:val="22"/>
        </w:rPr>
        <w:t>R</w:t>
      </w:r>
      <w:r w:rsidRPr="00E60B44">
        <w:rPr>
          <w:sz w:val="22"/>
          <w:szCs w:val="22"/>
          <w:vertAlign w:val="superscript"/>
        </w:rPr>
        <w:t>2</w:t>
      </w:r>
      <w:r w:rsidRPr="00E60B44">
        <w:rPr>
          <w:sz w:val="22"/>
          <w:szCs w:val="22"/>
        </w:rPr>
        <w:t xml:space="preserve"> = 0.05. </w:t>
      </w:r>
      <w:r w:rsidR="001842EA" w:rsidRPr="00E60B44">
        <w:rPr>
          <w:sz w:val="22"/>
          <w:szCs w:val="22"/>
          <w:lang w:val="en-GB"/>
        </w:rPr>
        <w:t>Upon scrutini</w:t>
      </w:r>
      <w:r w:rsidR="00EE6A02">
        <w:rPr>
          <w:sz w:val="22"/>
          <w:szCs w:val="22"/>
          <w:lang w:val="en-GB"/>
        </w:rPr>
        <w:t>s</w:t>
      </w:r>
      <w:r w:rsidR="001842EA" w:rsidRPr="00E60B44">
        <w:rPr>
          <w:sz w:val="22"/>
          <w:szCs w:val="22"/>
          <w:lang w:val="en-GB"/>
        </w:rPr>
        <w:t xml:space="preserve">ing the graph above, one can observe that an improvement in well-being </w:t>
      </w:r>
      <w:r w:rsidR="00A421E3" w:rsidRPr="00E60B44">
        <w:rPr>
          <w:sz w:val="22"/>
          <w:szCs w:val="22"/>
          <w:lang w:val="en-GB"/>
        </w:rPr>
        <w:t>might correlate</w:t>
      </w:r>
      <w:r w:rsidR="001842EA" w:rsidRPr="00E60B44">
        <w:rPr>
          <w:sz w:val="22"/>
          <w:szCs w:val="22"/>
          <w:lang w:val="en-GB"/>
        </w:rPr>
        <w:t xml:space="preserve"> with an elevation in productivity</w:t>
      </w:r>
      <w:r w:rsidR="00EE6A02">
        <w:rPr>
          <w:sz w:val="22"/>
          <w:szCs w:val="22"/>
          <w:lang w:val="en-GB"/>
        </w:rPr>
        <w:t>,</w:t>
      </w:r>
      <w:r w:rsidR="007D6B8A" w:rsidRPr="00E60B44">
        <w:rPr>
          <w:sz w:val="22"/>
          <w:szCs w:val="22"/>
          <w:lang w:val="en-GB"/>
        </w:rPr>
        <w:t xml:space="preserve"> </w:t>
      </w:r>
      <w:r w:rsidR="00EE6A02">
        <w:rPr>
          <w:sz w:val="22"/>
          <w:szCs w:val="22"/>
          <w:lang w:val="en-GB"/>
        </w:rPr>
        <w:t>although</w:t>
      </w:r>
      <w:r w:rsidR="007D6B8A" w:rsidRPr="00E60B44">
        <w:rPr>
          <w:sz w:val="22"/>
          <w:szCs w:val="22"/>
          <w:lang w:val="en-GB"/>
        </w:rPr>
        <w:t xml:space="preserve"> the </w:t>
      </w:r>
      <w:r w:rsidR="00EE6A02">
        <w:rPr>
          <w:sz w:val="22"/>
          <w:szCs w:val="22"/>
          <w:lang w:val="en-GB"/>
        </w:rPr>
        <w:t>regression coefficient</w:t>
      </w:r>
      <w:r w:rsidR="007D6B8A" w:rsidRPr="00E60B44">
        <w:rPr>
          <w:sz w:val="22"/>
          <w:szCs w:val="22"/>
          <w:lang w:val="en-GB"/>
        </w:rPr>
        <w:t xml:space="preserve"> is very low</w:t>
      </w:r>
      <w:r w:rsidR="001842EA" w:rsidRPr="00E60B44">
        <w:rPr>
          <w:sz w:val="22"/>
          <w:szCs w:val="22"/>
          <w:lang w:val="en-GB"/>
        </w:rPr>
        <w:t>. People work more efficiently when they feel satisfied and happy.</w:t>
      </w:r>
    </w:p>
    <w:p w14:paraId="762B6303" w14:textId="5FC196D4" w:rsidR="005F7475" w:rsidRPr="008B5F4E" w:rsidRDefault="001842EA" w:rsidP="00554589">
      <w:pPr>
        <w:pStyle w:val="Rn1"/>
        <w:rPr>
          <w:lang w:val="en-GB"/>
        </w:rPr>
      </w:pPr>
      <w:r w:rsidRPr="008B5F4E">
        <w:rPr>
          <w:lang w:val="en-GB"/>
        </w:rPr>
        <w:t>4</w:t>
      </w:r>
      <w:r w:rsidR="005C072F" w:rsidRPr="008B5F4E">
        <w:rPr>
          <w:lang w:val="en-GB"/>
        </w:rPr>
        <w:t xml:space="preserve">. Summary and </w:t>
      </w:r>
      <w:r w:rsidR="00554589" w:rsidRPr="008B5F4E">
        <w:rPr>
          <w:lang w:val="en-GB"/>
        </w:rPr>
        <w:t>C</w:t>
      </w:r>
      <w:r w:rsidR="005C072F" w:rsidRPr="008B5F4E">
        <w:rPr>
          <w:lang w:val="en-GB"/>
        </w:rPr>
        <w:t>onclusions</w:t>
      </w:r>
    </w:p>
    <w:p w14:paraId="79825B4E" w14:textId="6F14541B" w:rsidR="001842EA" w:rsidRPr="00E60B44" w:rsidRDefault="001842EA" w:rsidP="001842EA">
      <w:pPr>
        <w:ind w:firstLine="284"/>
        <w:jc w:val="both"/>
        <w:rPr>
          <w:sz w:val="22"/>
          <w:szCs w:val="22"/>
          <w:lang w:val="en-GB"/>
        </w:rPr>
      </w:pPr>
      <w:r w:rsidRPr="00E60B44">
        <w:rPr>
          <w:sz w:val="22"/>
          <w:szCs w:val="22"/>
          <w:lang w:val="en-GB"/>
        </w:rPr>
        <w:t>The respondents were generally satisfied with their indoor thermal conditions. A relation between thermal sensation and air temperature was confirmed. Similarly, a strong correlation between thermal sensations and thermal preferences was observed.</w:t>
      </w:r>
    </w:p>
    <w:p w14:paraId="18F5AADC" w14:textId="5163E1C6" w:rsidR="001842EA" w:rsidRPr="00E60B44" w:rsidRDefault="001842EA" w:rsidP="001842EA">
      <w:pPr>
        <w:ind w:firstLine="284"/>
        <w:jc w:val="both"/>
        <w:rPr>
          <w:sz w:val="22"/>
          <w:szCs w:val="22"/>
          <w:lang w:val="en-GB"/>
        </w:rPr>
      </w:pPr>
      <w:r w:rsidRPr="00E60B44">
        <w:rPr>
          <w:sz w:val="22"/>
          <w:szCs w:val="22"/>
          <w:lang w:val="en-GB"/>
        </w:rPr>
        <w:t>The investigation conducted within a building revealed that 53% of individuals express</w:t>
      </w:r>
      <w:r w:rsidR="00EE6A02">
        <w:rPr>
          <w:sz w:val="22"/>
          <w:szCs w:val="22"/>
          <w:lang w:val="en-GB"/>
        </w:rPr>
        <w:t>ed</w:t>
      </w:r>
      <w:r w:rsidRPr="00E60B44">
        <w:rPr>
          <w:sz w:val="22"/>
          <w:szCs w:val="22"/>
          <w:lang w:val="en-GB"/>
        </w:rPr>
        <w:t xml:space="preserve"> contentment with the lighting conditions. Specifically, students </w:t>
      </w:r>
      <w:r w:rsidR="00EE6A02">
        <w:rPr>
          <w:sz w:val="22"/>
          <w:szCs w:val="22"/>
          <w:lang w:val="en-GB"/>
        </w:rPr>
        <w:t>clearly prefe</w:t>
      </w:r>
      <w:r w:rsidRPr="00E60B44">
        <w:rPr>
          <w:sz w:val="22"/>
          <w:szCs w:val="22"/>
          <w:lang w:val="en-GB"/>
        </w:rPr>
        <w:t>r lighting ranging from 200 to 400 lux, with the most favourable conditions perceived at 300 lux.</w:t>
      </w:r>
    </w:p>
    <w:p w14:paraId="23A88693" w14:textId="0174082C" w:rsidR="009D0012" w:rsidRPr="00E60B44" w:rsidRDefault="001842EA" w:rsidP="001D1E9E">
      <w:pPr>
        <w:ind w:firstLine="284"/>
        <w:jc w:val="both"/>
        <w:rPr>
          <w:sz w:val="22"/>
          <w:szCs w:val="22"/>
          <w:lang w:val="en-GB"/>
        </w:rPr>
      </w:pPr>
      <w:r w:rsidRPr="00E60B44">
        <w:rPr>
          <w:sz w:val="22"/>
          <w:szCs w:val="22"/>
          <w:lang w:val="en-GB"/>
        </w:rPr>
        <w:t xml:space="preserve">In a broader sense, the overall light intensity was deemed </w:t>
      </w:r>
      <w:r w:rsidR="00EE6A02">
        <w:rPr>
          <w:sz w:val="22"/>
          <w:szCs w:val="22"/>
          <w:lang w:val="en-GB"/>
        </w:rPr>
        <w:t>appropriate, although a few respondents found it</w:t>
      </w:r>
      <w:r w:rsidRPr="00E60B44">
        <w:rPr>
          <w:sz w:val="22"/>
          <w:szCs w:val="22"/>
          <w:lang w:val="en-GB"/>
        </w:rPr>
        <w:t xml:space="preserve"> excessively bright. Productivity levels were generally considered normal. It was inversely proportional to air temperature and proportional to the well-being of the students. </w:t>
      </w:r>
      <w:r w:rsidR="00EE6A02">
        <w:rPr>
          <w:sz w:val="22"/>
          <w:szCs w:val="22"/>
          <w:lang w:val="en-GB"/>
        </w:rPr>
        <w:t>It</w:t>
      </w:r>
      <w:r w:rsidRPr="00E60B44">
        <w:rPr>
          <w:sz w:val="22"/>
          <w:szCs w:val="22"/>
          <w:lang w:val="en-GB"/>
        </w:rPr>
        <w:t xml:space="preserve"> underscores the importance of conducting further research to ascertain whether the relationships among the tested variables will become more pronounced.</w:t>
      </w:r>
    </w:p>
    <w:p w14:paraId="1EFF61FF" w14:textId="77777777" w:rsidR="002D4C4D" w:rsidRDefault="002D4C4D" w:rsidP="00EF737C">
      <w:pPr>
        <w:ind w:firstLine="284"/>
        <w:jc w:val="both"/>
        <w:rPr>
          <w:sz w:val="22"/>
          <w:szCs w:val="22"/>
        </w:rPr>
      </w:pPr>
    </w:p>
    <w:p w14:paraId="652A52B8" w14:textId="728AEB1E" w:rsidR="00EF737C" w:rsidRPr="002D4C4D" w:rsidRDefault="00EE19E6" w:rsidP="002D4C4D">
      <w:pPr>
        <w:jc w:val="center"/>
        <w:rPr>
          <w:i/>
          <w:iCs/>
          <w:sz w:val="22"/>
          <w:szCs w:val="22"/>
        </w:rPr>
      </w:pPr>
      <w:r w:rsidRPr="002D4C4D">
        <w:rPr>
          <w:i/>
          <w:iCs/>
          <w:sz w:val="22"/>
          <w:szCs w:val="22"/>
        </w:rPr>
        <w:t xml:space="preserve">The work in the paper was supported by the project: </w:t>
      </w:r>
      <w:r w:rsidR="008B5F4E">
        <w:rPr>
          <w:i/>
          <w:iCs/>
          <w:sz w:val="22"/>
          <w:szCs w:val="22"/>
        </w:rPr>
        <w:t>"</w:t>
      </w:r>
      <w:r w:rsidRPr="002D4C4D">
        <w:rPr>
          <w:i/>
          <w:iCs/>
          <w:sz w:val="22"/>
          <w:szCs w:val="22"/>
        </w:rPr>
        <w:t>REFRESH – Research Excellence For R</w:t>
      </w:r>
      <w:r w:rsidR="002D4C4D">
        <w:rPr>
          <w:i/>
          <w:iCs/>
          <w:sz w:val="22"/>
          <w:szCs w:val="22"/>
        </w:rPr>
        <w:t>e</w:t>
      </w:r>
      <w:r w:rsidRPr="002D4C4D">
        <w:rPr>
          <w:i/>
          <w:iCs/>
          <w:sz w:val="22"/>
          <w:szCs w:val="22"/>
        </w:rPr>
        <w:t xml:space="preserve">gion </w:t>
      </w:r>
      <w:r w:rsidR="002D4C4D">
        <w:rPr>
          <w:i/>
          <w:iCs/>
          <w:sz w:val="22"/>
          <w:szCs w:val="22"/>
        </w:rPr>
        <w:br/>
      </w:r>
      <w:r w:rsidRPr="002D4C4D">
        <w:rPr>
          <w:i/>
          <w:iCs/>
          <w:sz w:val="22"/>
          <w:szCs w:val="22"/>
        </w:rPr>
        <w:t xml:space="preserve">Sustainability and High-tech Industries, (VP2), (Reg. No.: CZ.10.03.01/00/22_003/0000048) </w:t>
      </w:r>
      <w:r w:rsidR="002D4C4D">
        <w:rPr>
          <w:i/>
          <w:iCs/>
          <w:sz w:val="22"/>
          <w:szCs w:val="22"/>
        </w:rPr>
        <w:br/>
      </w:r>
      <w:r w:rsidRPr="002D4C4D">
        <w:rPr>
          <w:i/>
          <w:iCs/>
          <w:sz w:val="22"/>
          <w:szCs w:val="22"/>
        </w:rPr>
        <w:t>co-funded by the European Union</w:t>
      </w:r>
      <w:r w:rsidR="008B5F4E">
        <w:rPr>
          <w:i/>
          <w:iCs/>
          <w:sz w:val="22"/>
          <w:szCs w:val="22"/>
        </w:rPr>
        <w:t>"</w:t>
      </w:r>
      <w:r w:rsidRPr="002D4C4D">
        <w:rPr>
          <w:i/>
          <w:iCs/>
          <w:sz w:val="22"/>
          <w:szCs w:val="22"/>
        </w:rPr>
        <w:t>.</w:t>
      </w:r>
    </w:p>
    <w:p w14:paraId="23B454F5" w14:textId="77777777" w:rsidR="00613B4D" w:rsidRPr="008B5F4E" w:rsidRDefault="0016385D" w:rsidP="002D4C4D">
      <w:pPr>
        <w:pStyle w:val="Rn2"/>
        <w:rPr>
          <w:lang w:val="en-GB"/>
        </w:rPr>
      </w:pPr>
      <w:r w:rsidRPr="008B5F4E">
        <w:rPr>
          <w:lang w:val="en-GB"/>
        </w:rPr>
        <w:t>References</w:t>
      </w:r>
    </w:p>
    <w:p w14:paraId="582BF4FF" w14:textId="4E1D6445" w:rsidR="001842EA" w:rsidRPr="00E60B44" w:rsidRDefault="001842EA" w:rsidP="002D4C4D">
      <w:pPr>
        <w:pStyle w:val="Rlit"/>
        <w:rPr>
          <w:lang w:val="en-GB"/>
        </w:rPr>
      </w:pPr>
      <w:proofErr w:type="spellStart"/>
      <w:r w:rsidRPr="00E60B44">
        <w:rPr>
          <w:lang w:val="en-GB"/>
        </w:rPr>
        <w:t>Aghniaey</w:t>
      </w:r>
      <w:proofErr w:type="spellEnd"/>
      <w:r w:rsidRPr="00E60B44">
        <w:rPr>
          <w:lang w:val="en-GB"/>
        </w:rPr>
        <w:t>, S., Lawrence, T.M. (2017). Cooling season demand response and the real world</w:t>
      </w:r>
      <w:r w:rsidR="00365837" w:rsidRPr="00E60B44">
        <w:rPr>
          <w:lang w:val="en-GB"/>
        </w:rPr>
        <w:t>,</w:t>
      </w:r>
      <w:r w:rsidRPr="00E60B44">
        <w:rPr>
          <w:i/>
          <w:iCs/>
          <w:lang w:val="en-GB"/>
        </w:rPr>
        <w:t xml:space="preserve"> </w:t>
      </w:r>
      <w:r w:rsidR="00365837" w:rsidRPr="00E60B44">
        <w:rPr>
          <w:i/>
          <w:iCs/>
          <w:lang w:val="en-GB"/>
        </w:rPr>
        <w:t>ASHRAE Journal</w:t>
      </w:r>
      <w:r w:rsidR="00365837" w:rsidRPr="00333144">
        <w:rPr>
          <w:lang w:val="en-GB"/>
        </w:rPr>
        <w:t xml:space="preserve">, </w:t>
      </w:r>
      <w:r w:rsidR="00365837" w:rsidRPr="00E60B44">
        <w:rPr>
          <w:i/>
          <w:iCs/>
          <w:lang w:val="en-GB"/>
        </w:rPr>
        <w:t>59</w:t>
      </w:r>
      <w:r w:rsidRPr="00E60B44">
        <w:rPr>
          <w:lang w:val="en-GB"/>
        </w:rPr>
        <w:t>, 68</w:t>
      </w:r>
      <w:r w:rsidR="00B30A10" w:rsidRPr="00B30A10">
        <w:rPr>
          <w:lang w:val="en-GB"/>
        </w:rPr>
        <w:t>-</w:t>
      </w:r>
      <w:r w:rsidRPr="00E60B44">
        <w:rPr>
          <w:lang w:val="en-GB"/>
        </w:rPr>
        <w:t>70.</w:t>
      </w:r>
    </w:p>
    <w:p w14:paraId="2962CB1B" w14:textId="544A43DD" w:rsidR="001842EA" w:rsidRPr="00E60B44" w:rsidRDefault="001842EA" w:rsidP="002D4C4D">
      <w:pPr>
        <w:pStyle w:val="Rlit"/>
        <w:rPr>
          <w:lang w:val="en-GB"/>
        </w:rPr>
      </w:pPr>
      <w:proofErr w:type="spellStart"/>
      <w:r w:rsidRPr="00E60B44">
        <w:rPr>
          <w:lang w:val="pl-PL"/>
        </w:rPr>
        <w:t>Akimoto</w:t>
      </w:r>
      <w:proofErr w:type="spellEnd"/>
      <w:r w:rsidRPr="00E60B44">
        <w:rPr>
          <w:lang w:val="pl-PL"/>
        </w:rPr>
        <w:t xml:space="preserve">, T., </w:t>
      </w:r>
      <w:proofErr w:type="spellStart"/>
      <w:r w:rsidRPr="00E60B44">
        <w:rPr>
          <w:lang w:val="pl-PL"/>
        </w:rPr>
        <w:t>Tanabe</w:t>
      </w:r>
      <w:proofErr w:type="spellEnd"/>
      <w:r w:rsidRPr="00E60B44">
        <w:rPr>
          <w:lang w:val="pl-PL"/>
        </w:rPr>
        <w:t xml:space="preserve">, S., </w:t>
      </w:r>
      <w:proofErr w:type="spellStart"/>
      <w:r w:rsidRPr="00E60B44">
        <w:rPr>
          <w:lang w:val="pl-PL"/>
        </w:rPr>
        <w:t>Yanai</w:t>
      </w:r>
      <w:proofErr w:type="spellEnd"/>
      <w:r w:rsidRPr="00E60B44">
        <w:rPr>
          <w:lang w:val="pl-PL"/>
        </w:rPr>
        <w:t xml:space="preserve">, T., </w:t>
      </w:r>
      <w:proofErr w:type="spellStart"/>
      <w:r w:rsidRPr="00E60B44">
        <w:rPr>
          <w:lang w:val="pl-PL"/>
        </w:rPr>
        <w:t>Sasaki</w:t>
      </w:r>
      <w:proofErr w:type="spellEnd"/>
      <w:r w:rsidRPr="00E60B44">
        <w:rPr>
          <w:lang w:val="pl-PL"/>
        </w:rPr>
        <w:t xml:space="preserve">, M. (2010). </w:t>
      </w:r>
      <w:r w:rsidRPr="00E60B44">
        <w:rPr>
          <w:lang w:val="en-GB"/>
        </w:rPr>
        <w:t>Thermal comfort and productivity - Evaluation of workplace environme</w:t>
      </w:r>
      <w:r w:rsidR="00365837" w:rsidRPr="00E60B44">
        <w:rPr>
          <w:lang w:val="en-GB"/>
        </w:rPr>
        <w:t>nt in a task conditioned office</w:t>
      </w:r>
      <w:r w:rsidR="00333144">
        <w:rPr>
          <w:lang w:val="en-GB"/>
        </w:rPr>
        <w:t>.</w:t>
      </w:r>
      <w:r w:rsidRPr="00E60B44">
        <w:rPr>
          <w:lang w:val="en-GB"/>
        </w:rPr>
        <w:t xml:space="preserve"> </w:t>
      </w:r>
      <w:r w:rsidRPr="00E60B44">
        <w:rPr>
          <w:i/>
          <w:lang w:val="en-GB"/>
        </w:rPr>
        <w:t>Building and Environment</w:t>
      </w:r>
      <w:r w:rsidRPr="00333144">
        <w:rPr>
          <w:lang w:val="en-GB"/>
        </w:rPr>
        <w:t xml:space="preserve">, </w:t>
      </w:r>
      <w:r w:rsidRPr="00E60B44">
        <w:rPr>
          <w:i/>
          <w:iCs/>
          <w:lang w:val="en-GB"/>
        </w:rPr>
        <w:t>45</w:t>
      </w:r>
      <w:r w:rsidRPr="00333144">
        <w:rPr>
          <w:lang w:val="en-GB"/>
        </w:rPr>
        <w:t xml:space="preserve">(1), </w:t>
      </w:r>
      <w:r w:rsidRPr="00E60B44">
        <w:rPr>
          <w:lang w:val="en-GB"/>
        </w:rPr>
        <w:t>45</w:t>
      </w:r>
      <w:r w:rsidR="00B30A10" w:rsidRPr="00B30A10">
        <w:rPr>
          <w:lang w:val="en-GB"/>
        </w:rPr>
        <w:t>-</w:t>
      </w:r>
      <w:r w:rsidRPr="00E60B44">
        <w:rPr>
          <w:lang w:val="en-GB"/>
        </w:rPr>
        <w:t>50.</w:t>
      </w:r>
      <w:r w:rsidR="00D870DF" w:rsidRPr="00E60B44">
        <w:rPr>
          <w:lang w:val="en-GB"/>
        </w:rPr>
        <w:t xml:space="preserve"> https://doi.org/10.1016/j.buildenv.2009.06.022</w:t>
      </w:r>
    </w:p>
    <w:p w14:paraId="4E1696EF" w14:textId="4E851756" w:rsidR="001842EA" w:rsidRPr="00E60B44" w:rsidRDefault="001842EA" w:rsidP="002D4C4D">
      <w:pPr>
        <w:pStyle w:val="Rlit"/>
        <w:rPr>
          <w:lang w:val="en-GB"/>
        </w:rPr>
      </w:pPr>
      <w:r w:rsidRPr="00E60B44">
        <w:rPr>
          <w:lang w:val="en-GB"/>
        </w:rPr>
        <w:t>Allah, M.Z., Kamar, H.M., Hariri, A., Wong, K.Y. (2023). Investigating adaptive thermal comfort in office settings: A</w:t>
      </w:r>
      <w:r w:rsidR="00333144">
        <w:rPr>
          <w:lang w:val="en-GB"/>
        </w:rPr>
        <w:t> </w:t>
      </w:r>
      <w:r w:rsidRPr="00E60B44">
        <w:rPr>
          <w:lang w:val="en-GB"/>
        </w:rPr>
        <w:t>case study in Johor Bahru, Malaysia</w:t>
      </w:r>
      <w:r w:rsidR="00333144">
        <w:rPr>
          <w:lang w:val="en-GB"/>
        </w:rPr>
        <w:t>.</w:t>
      </w:r>
      <w:r w:rsidRPr="00E60B44">
        <w:rPr>
          <w:lang w:val="en-GB"/>
        </w:rPr>
        <w:t xml:space="preserve"> </w:t>
      </w:r>
      <w:r w:rsidRPr="00E60B44">
        <w:rPr>
          <w:i/>
          <w:lang w:val="en-GB"/>
        </w:rPr>
        <w:t>Case Studies in Chemical and Environmental Engineering</w:t>
      </w:r>
      <w:r w:rsidRPr="00333144">
        <w:rPr>
          <w:iCs/>
          <w:lang w:val="en-GB"/>
        </w:rPr>
        <w:t xml:space="preserve">, </w:t>
      </w:r>
      <w:r w:rsidRPr="00E60B44">
        <w:rPr>
          <w:i/>
          <w:lang w:val="en-GB"/>
        </w:rPr>
        <w:t>8</w:t>
      </w:r>
      <w:r w:rsidRPr="00333144">
        <w:rPr>
          <w:iCs/>
          <w:lang w:val="en-GB"/>
        </w:rPr>
        <w:t xml:space="preserve">, </w:t>
      </w:r>
      <w:r w:rsidRPr="00E60B44">
        <w:rPr>
          <w:lang w:val="en-GB"/>
        </w:rPr>
        <w:t xml:space="preserve">100466, </w:t>
      </w:r>
      <w:r w:rsidR="00D870DF" w:rsidRPr="00E60B44">
        <w:rPr>
          <w:lang w:val="en-GB"/>
        </w:rPr>
        <w:t>https://doi.org/10.1016/j.cscee.2023.100466</w:t>
      </w:r>
    </w:p>
    <w:p w14:paraId="53A93DA4" w14:textId="325B064F" w:rsidR="00D870DF" w:rsidRPr="00E60B44" w:rsidRDefault="00D870DF" w:rsidP="002D4C4D">
      <w:pPr>
        <w:pStyle w:val="Rlit"/>
        <w:rPr>
          <w:lang w:val="en-GB"/>
        </w:rPr>
      </w:pPr>
      <w:r w:rsidRPr="008B5F4E">
        <w:rPr>
          <w:lang w:val="pl-PL"/>
        </w:rPr>
        <w:t>Amanowicz</w:t>
      </w:r>
      <w:r w:rsidR="00333144" w:rsidRPr="008B5F4E">
        <w:rPr>
          <w:lang w:val="pl-PL"/>
        </w:rPr>
        <w:t>,</w:t>
      </w:r>
      <w:r w:rsidRPr="008B5F4E">
        <w:rPr>
          <w:lang w:val="pl-PL"/>
        </w:rPr>
        <w:t xml:space="preserve"> Ł</w:t>
      </w:r>
      <w:r w:rsidR="00333144" w:rsidRPr="008B5F4E">
        <w:rPr>
          <w:lang w:val="pl-PL"/>
        </w:rPr>
        <w:t>.</w:t>
      </w:r>
      <w:r w:rsidRPr="008B5F4E">
        <w:rPr>
          <w:lang w:val="pl-PL"/>
        </w:rPr>
        <w:t>, Ratajczak</w:t>
      </w:r>
      <w:r w:rsidR="00333144" w:rsidRPr="008B5F4E">
        <w:rPr>
          <w:lang w:val="pl-PL"/>
        </w:rPr>
        <w:t>,</w:t>
      </w:r>
      <w:r w:rsidRPr="008B5F4E">
        <w:rPr>
          <w:lang w:val="pl-PL"/>
        </w:rPr>
        <w:t xml:space="preserve"> K</w:t>
      </w:r>
      <w:r w:rsidR="00333144" w:rsidRPr="008B5F4E">
        <w:rPr>
          <w:lang w:val="pl-PL"/>
        </w:rPr>
        <w:t>.</w:t>
      </w:r>
      <w:r w:rsidRPr="008B5F4E">
        <w:rPr>
          <w:lang w:val="pl-PL"/>
        </w:rPr>
        <w:t>, Dudkiewicz</w:t>
      </w:r>
      <w:r w:rsidR="00333144" w:rsidRPr="008B5F4E">
        <w:rPr>
          <w:lang w:val="pl-PL"/>
        </w:rPr>
        <w:t>,</w:t>
      </w:r>
      <w:r w:rsidRPr="008B5F4E">
        <w:rPr>
          <w:lang w:val="pl-PL"/>
        </w:rPr>
        <w:t xml:space="preserve"> E. (2023)</w:t>
      </w:r>
      <w:r w:rsidR="00333144" w:rsidRPr="008B5F4E">
        <w:rPr>
          <w:lang w:val="pl-PL"/>
        </w:rPr>
        <w:t>.</w:t>
      </w:r>
      <w:r w:rsidRPr="008B5F4E">
        <w:rPr>
          <w:lang w:val="pl-PL"/>
        </w:rPr>
        <w:t xml:space="preserve"> </w:t>
      </w:r>
      <w:r w:rsidRPr="00E60B44">
        <w:rPr>
          <w:lang w:val="en-GB"/>
        </w:rPr>
        <w:t>Recent Advancements in Ventilation Systems Used to Decrease Energy Consumption in Buildings-</w:t>
      </w:r>
      <w:r w:rsidR="00365837" w:rsidRPr="00E60B44">
        <w:rPr>
          <w:lang w:val="en-GB"/>
        </w:rPr>
        <w:t>Literature Review</w:t>
      </w:r>
      <w:r w:rsidR="00333144">
        <w:rPr>
          <w:lang w:val="en-GB"/>
        </w:rPr>
        <w:t>.</w:t>
      </w:r>
      <w:r w:rsidRPr="00E60B44">
        <w:rPr>
          <w:lang w:val="en-GB"/>
        </w:rPr>
        <w:t xml:space="preserve"> </w:t>
      </w:r>
      <w:r w:rsidRPr="00E60B44">
        <w:rPr>
          <w:i/>
          <w:lang w:val="en-GB"/>
        </w:rPr>
        <w:t>Energies</w:t>
      </w:r>
      <w:r w:rsidR="00365837" w:rsidRPr="00E60B44">
        <w:rPr>
          <w:lang w:val="en-GB"/>
        </w:rPr>
        <w:t>,</w:t>
      </w:r>
      <w:r w:rsidRPr="00E60B44">
        <w:rPr>
          <w:lang w:val="en-GB"/>
        </w:rPr>
        <w:t xml:space="preserve"> </w:t>
      </w:r>
      <w:r w:rsidRPr="00E60B44">
        <w:rPr>
          <w:i/>
          <w:iCs/>
          <w:lang w:val="en-GB"/>
        </w:rPr>
        <w:t>16</w:t>
      </w:r>
      <w:r w:rsidRPr="00333144">
        <w:rPr>
          <w:lang w:val="en-GB"/>
        </w:rPr>
        <w:t>(4)</w:t>
      </w:r>
      <w:r w:rsidR="00367A31" w:rsidRPr="00333144">
        <w:rPr>
          <w:lang w:val="en-GB"/>
        </w:rPr>
        <w:t>,</w:t>
      </w:r>
      <w:r w:rsidR="00367A31" w:rsidRPr="00E60B44">
        <w:rPr>
          <w:lang w:val="en-GB"/>
        </w:rPr>
        <w:t xml:space="preserve"> </w:t>
      </w:r>
      <w:r w:rsidRPr="00E60B44">
        <w:rPr>
          <w:lang w:val="en-GB"/>
        </w:rPr>
        <w:t>1853. https://doi.org/10.3390/en16041853</w:t>
      </w:r>
    </w:p>
    <w:p w14:paraId="1EAEAF39" w14:textId="77777777" w:rsidR="001842EA" w:rsidRPr="00E60B44" w:rsidRDefault="001842EA" w:rsidP="002D4C4D">
      <w:pPr>
        <w:pStyle w:val="Rlit"/>
        <w:rPr>
          <w:lang w:val="en-GB"/>
        </w:rPr>
      </w:pPr>
      <w:r w:rsidRPr="00E60B44">
        <w:rPr>
          <w:lang w:val="en-GB"/>
        </w:rPr>
        <w:t>ANSI/ASHRAE Standard 55 (2017). Thermal environmental conditions for human occupancy, Atlanta: American Society of Heating, Ventilation and Air-conditioning Engineers Inc.</w:t>
      </w:r>
    </w:p>
    <w:p w14:paraId="2E84CDBD" w14:textId="5ADD73F4" w:rsidR="00942584" w:rsidRPr="008B5F4E" w:rsidRDefault="00942584" w:rsidP="002D4C4D">
      <w:pPr>
        <w:pStyle w:val="Rlit"/>
        <w:rPr>
          <w:lang w:val="pl-PL"/>
        </w:rPr>
      </w:pPr>
      <w:r w:rsidRPr="008B5F4E">
        <w:rPr>
          <w:lang w:val="pl-PL"/>
        </w:rPr>
        <w:t>Dudkiewicz, E., Fidorów-Kaprawy, N., Szałański, P. (2022)</w:t>
      </w:r>
      <w:r w:rsidR="00333144" w:rsidRPr="008B5F4E">
        <w:rPr>
          <w:lang w:val="pl-PL"/>
        </w:rPr>
        <w:t>.</w:t>
      </w:r>
      <w:r w:rsidRPr="008B5F4E">
        <w:rPr>
          <w:lang w:val="pl-PL"/>
        </w:rPr>
        <w:t xml:space="preserve"> </w:t>
      </w:r>
      <w:r w:rsidRPr="00E60B44">
        <w:rPr>
          <w:lang w:val="en-GB"/>
        </w:rPr>
        <w:t>Environmental Benefits and Energy Savings from Gas Radiant Heaters</w:t>
      </w:r>
      <w:r w:rsidR="008B5F4E">
        <w:rPr>
          <w:lang w:val="en-GB"/>
        </w:rPr>
        <w:t>'</w:t>
      </w:r>
      <w:r w:rsidR="00365837" w:rsidRPr="00E60B44">
        <w:rPr>
          <w:lang w:val="en-GB"/>
        </w:rPr>
        <w:t xml:space="preserve"> Flue-Gas Heat Recovery</w:t>
      </w:r>
      <w:r w:rsidR="00333144">
        <w:rPr>
          <w:lang w:val="en-GB"/>
        </w:rPr>
        <w:t>.</w:t>
      </w:r>
      <w:r w:rsidRPr="00E60B44">
        <w:rPr>
          <w:lang w:val="en-GB"/>
        </w:rPr>
        <w:t xml:space="preserve"> </w:t>
      </w:r>
      <w:r w:rsidRPr="008B5F4E">
        <w:rPr>
          <w:i/>
          <w:iCs/>
          <w:lang w:val="pl-PL"/>
        </w:rPr>
        <w:t>Sustainability</w:t>
      </w:r>
      <w:r w:rsidRPr="008B5F4E">
        <w:rPr>
          <w:lang w:val="pl-PL"/>
        </w:rPr>
        <w:t xml:space="preserve">, </w:t>
      </w:r>
      <w:r w:rsidRPr="008B5F4E">
        <w:rPr>
          <w:i/>
          <w:iCs/>
          <w:lang w:val="pl-PL"/>
        </w:rPr>
        <w:t>14</w:t>
      </w:r>
      <w:r w:rsidRPr="008B5F4E">
        <w:rPr>
          <w:lang w:val="pl-PL"/>
        </w:rPr>
        <w:t>, 8013. https://doi.org/10.3390/su14138013</w:t>
      </w:r>
    </w:p>
    <w:p w14:paraId="37D58FB2" w14:textId="7505284F" w:rsidR="00942584" w:rsidRPr="00E60B44" w:rsidRDefault="00942584" w:rsidP="002D4C4D">
      <w:pPr>
        <w:pStyle w:val="Rlit"/>
        <w:rPr>
          <w:lang w:val="en-GB"/>
        </w:rPr>
      </w:pPr>
      <w:r w:rsidRPr="008B5F4E">
        <w:rPr>
          <w:lang w:val="pl-PL"/>
        </w:rPr>
        <w:t>Dudkiewicz, E., Laska, M., Fidorów-Kaprawy, N. (2021)</w:t>
      </w:r>
      <w:r w:rsidR="00333144" w:rsidRPr="008B5F4E">
        <w:rPr>
          <w:lang w:val="pl-PL"/>
        </w:rPr>
        <w:t>.</w:t>
      </w:r>
      <w:r w:rsidRPr="008B5F4E">
        <w:rPr>
          <w:lang w:val="pl-PL"/>
        </w:rPr>
        <w:t xml:space="preserve"> </w:t>
      </w:r>
      <w:r w:rsidRPr="00E60B44">
        <w:rPr>
          <w:lang w:val="en-GB"/>
        </w:rPr>
        <w:t>Users</w:t>
      </w:r>
      <w:r w:rsidR="008B5F4E">
        <w:rPr>
          <w:lang w:val="en-GB"/>
        </w:rPr>
        <w:t>'</w:t>
      </w:r>
      <w:r w:rsidRPr="00E60B44">
        <w:rPr>
          <w:lang w:val="en-GB"/>
        </w:rPr>
        <w:t xml:space="preserve"> Sensations in the Context of Energy Efficiency Maintena</w:t>
      </w:r>
      <w:r w:rsidR="00365837" w:rsidRPr="00E60B44">
        <w:rPr>
          <w:lang w:val="en-GB"/>
        </w:rPr>
        <w:t>nce in Public Utility Buildings</w:t>
      </w:r>
      <w:r w:rsidR="00333144">
        <w:rPr>
          <w:lang w:val="en-GB"/>
        </w:rPr>
        <w:t>.</w:t>
      </w:r>
      <w:r w:rsidRPr="00E60B44">
        <w:rPr>
          <w:lang w:val="en-GB"/>
        </w:rPr>
        <w:t xml:space="preserve"> </w:t>
      </w:r>
      <w:r w:rsidRPr="00E60B44">
        <w:rPr>
          <w:i/>
          <w:iCs/>
          <w:lang w:val="en-GB"/>
        </w:rPr>
        <w:t>Energies</w:t>
      </w:r>
      <w:r w:rsidRPr="00333144">
        <w:rPr>
          <w:i/>
          <w:iCs/>
          <w:lang w:val="en-GB"/>
        </w:rPr>
        <w:t xml:space="preserve">, </w:t>
      </w:r>
      <w:r w:rsidRPr="00E60B44">
        <w:rPr>
          <w:i/>
          <w:iCs/>
          <w:lang w:val="en-GB"/>
        </w:rPr>
        <w:t>14</w:t>
      </w:r>
      <w:r w:rsidRPr="00333144">
        <w:rPr>
          <w:lang w:val="en-GB"/>
        </w:rPr>
        <w:t xml:space="preserve">, </w:t>
      </w:r>
      <w:r w:rsidRPr="00E60B44">
        <w:rPr>
          <w:lang w:val="en-GB"/>
        </w:rPr>
        <w:t>8159. https://doi.org/10.3390/en14238159</w:t>
      </w:r>
    </w:p>
    <w:p w14:paraId="16F676CF" w14:textId="4039E4A0" w:rsidR="00D870DF" w:rsidRPr="00E60B44" w:rsidRDefault="00D870DF" w:rsidP="002D4C4D">
      <w:pPr>
        <w:pStyle w:val="Rlit"/>
        <w:rPr>
          <w:lang w:val="en-GB"/>
        </w:rPr>
      </w:pPr>
      <w:proofErr w:type="spellStart"/>
      <w:r w:rsidRPr="00E60B44">
        <w:rPr>
          <w:lang w:val="en-GB"/>
        </w:rPr>
        <w:t>Elbellahy</w:t>
      </w:r>
      <w:proofErr w:type="spellEnd"/>
      <w:r w:rsidRPr="00E60B44">
        <w:rPr>
          <w:lang w:val="en-GB"/>
        </w:rPr>
        <w:t xml:space="preserve">, S., Alotaibi, B.S., </w:t>
      </w:r>
      <w:proofErr w:type="spellStart"/>
      <w:r w:rsidRPr="00E60B44">
        <w:rPr>
          <w:lang w:val="en-GB"/>
        </w:rPr>
        <w:t>Abuhussain</w:t>
      </w:r>
      <w:proofErr w:type="spellEnd"/>
      <w:r w:rsidRPr="00E60B44">
        <w:rPr>
          <w:lang w:val="en-GB"/>
        </w:rPr>
        <w:t>, M.A. (2024). Field measurements of post-operation evaluation of daylighting and thermal comfort in hot and arid climates: A pilot study of three educational buildings on the Najran University campus in Saudi Arabia</w:t>
      </w:r>
      <w:r w:rsidR="00333144">
        <w:rPr>
          <w:lang w:val="en-GB"/>
        </w:rPr>
        <w:t>.</w:t>
      </w:r>
      <w:r w:rsidRPr="00E60B44">
        <w:rPr>
          <w:lang w:val="en-GB"/>
        </w:rPr>
        <w:t xml:space="preserve"> </w:t>
      </w:r>
      <w:r w:rsidRPr="00E60B44">
        <w:rPr>
          <w:i/>
          <w:lang w:val="en-GB"/>
        </w:rPr>
        <w:t>Journal of Building Engineering</w:t>
      </w:r>
      <w:r w:rsidRPr="00333144">
        <w:rPr>
          <w:lang w:val="en-GB"/>
        </w:rPr>
        <w:t xml:space="preserve">, </w:t>
      </w:r>
      <w:r w:rsidRPr="00E60B44">
        <w:rPr>
          <w:i/>
          <w:iCs/>
          <w:lang w:val="en-GB"/>
        </w:rPr>
        <w:t>82</w:t>
      </w:r>
      <w:r w:rsidRPr="00333144">
        <w:rPr>
          <w:lang w:val="en-GB"/>
        </w:rPr>
        <w:t>,</w:t>
      </w:r>
      <w:r w:rsidRPr="00E60B44">
        <w:rPr>
          <w:lang w:val="en-GB"/>
        </w:rPr>
        <w:t xml:space="preserve"> 108174</w:t>
      </w:r>
      <w:r w:rsidR="00333144">
        <w:rPr>
          <w:lang w:val="en-GB"/>
        </w:rPr>
        <w:t>.</w:t>
      </w:r>
      <w:r w:rsidRPr="00E60B44">
        <w:rPr>
          <w:lang w:val="en-GB"/>
        </w:rPr>
        <w:t xml:space="preserve"> </w:t>
      </w:r>
      <w:r w:rsidR="00EF0279" w:rsidRPr="00E60B44">
        <w:rPr>
          <w:lang w:val="en-GB"/>
        </w:rPr>
        <w:t>https://doi.org/10.1016/j.jobe.2023.108174</w:t>
      </w:r>
    </w:p>
    <w:p w14:paraId="0838A032" w14:textId="386E7ECD" w:rsidR="00EF0279" w:rsidRPr="00E60B44" w:rsidRDefault="00EF0279" w:rsidP="002D4C4D">
      <w:pPr>
        <w:pStyle w:val="Rlit"/>
        <w:rPr>
          <w:lang w:val="en-GB"/>
        </w:rPr>
      </w:pPr>
      <w:r w:rsidRPr="00E60B44">
        <w:rPr>
          <w:lang w:val="en-GB"/>
        </w:rPr>
        <w:t xml:space="preserve">EN 12464-1 (2012). Light and lighting </w:t>
      </w:r>
      <w:r w:rsidR="00333144">
        <w:rPr>
          <w:lang w:val="en-GB"/>
        </w:rPr>
        <w:t>–</w:t>
      </w:r>
      <w:r w:rsidRPr="00E60B44">
        <w:rPr>
          <w:lang w:val="en-GB"/>
        </w:rPr>
        <w:t xml:space="preserve"> Lighting of workplaces </w:t>
      </w:r>
      <w:r w:rsidR="00333144">
        <w:rPr>
          <w:lang w:val="en-GB"/>
        </w:rPr>
        <w:t>–</w:t>
      </w:r>
      <w:r w:rsidRPr="00E60B44">
        <w:rPr>
          <w:lang w:val="en-GB"/>
        </w:rPr>
        <w:t xml:space="preserve"> Part 1: Indoor workplaces.</w:t>
      </w:r>
    </w:p>
    <w:p w14:paraId="7F664C17" w14:textId="56BE76F5" w:rsidR="00D870DF" w:rsidRPr="00E60B44" w:rsidRDefault="00D870DF" w:rsidP="00333144">
      <w:pPr>
        <w:pStyle w:val="Rlit"/>
        <w:jc w:val="left"/>
        <w:rPr>
          <w:lang w:val="en-GB"/>
        </w:rPr>
      </w:pPr>
      <w:proofErr w:type="spellStart"/>
      <w:r w:rsidRPr="00E60B44">
        <w:rPr>
          <w:lang w:val="en-GB"/>
        </w:rPr>
        <w:t>Homod</w:t>
      </w:r>
      <w:proofErr w:type="spellEnd"/>
      <w:r w:rsidRPr="00E60B44">
        <w:rPr>
          <w:lang w:val="en-GB"/>
        </w:rPr>
        <w:t xml:space="preserve">, R.Z., Mohamed Sahari, K.S., </w:t>
      </w:r>
      <w:proofErr w:type="spellStart"/>
      <w:r w:rsidRPr="00E60B44">
        <w:rPr>
          <w:lang w:val="en-GB"/>
        </w:rPr>
        <w:t>Almurib</w:t>
      </w:r>
      <w:proofErr w:type="spellEnd"/>
      <w:r w:rsidRPr="00E60B44">
        <w:rPr>
          <w:lang w:val="en-GB"/>
        </w:rPr>
        <w:t>, H.A.F., Nagi, F.H. (2012). RLF and TS fuzzy model identification of indoor t</w:t>
      </w:r>
      <w:r w:rsidR="00365837" w:rsidRPr="00E60B44">
        <w:rPr>
          <w:lang w:val="en-GB"/>
        </w:rPr>
        <w:t>hermal comfort based on PMV/PPD</w:t>
      </w:r>
      <w:r w:rsidR="00333144">
        <w:rPr>
          <w:lang w:val="en-GB"/>
        </w:rPr>
        <w:t>.</w:t>
      </w:r>
      <w:r w:rsidRPr="00E60B44">
        <w:rPr>
          <w:lang w:val="en-GB"/>
        </w:rPr>
        <w:t xml:space="preserve"> </w:t>
      </w:r>
      <w:r w:rsidRPr="00E60B44">
        <w:rPr>
          <w:i/>
          <w:lang w:val="en-GB"/>
        </w:rPr>
        <w:t>Building and Environment</w:t>
      </w:r>
      <w:r w:rsidRPr="00E60B44">
        <w:rPr>
          <w:lang w:val="en-GB"/>
        </w:rPr>
        <w:t>,</w:t>
      </w:r>
      <w:r w:rsidRPr="00E60B44">
        <w:rPr>
          <w:i/>
          <w:iCs/>
          <w:lang w:val="en-GB"/>
        </w:rPr>
        <w:t xml:space="preserve"> 49</w:t>
      </w:r>
      <w:r w:rsidRPr="00333144">
        <w:rPr>
          <w:lang w:val="en-GB"/>
        </w:rPr>
        <w:t>(1)</w:t>
      </w:r>
      <w:r w:rsidR="00942584" w:rsidRPr="00333144">
        <w:rPr>
          <w:lang w:val="en-GB"/>
        </w:rPr>
        <w:t>,</w:t>
      </w:r>
      <w:r w:rsidR="00942584" w:rsidRPr="00E60B44">
        <w:rPr>
          <w:lang w:val="en-GB"/>
        </w:rPr>
        <w:t xml:space="preserve"> </w:t>
      </w:r>
      <w:r w:rsidRPr="00E60B44">
        <w:rPr>
          <w:lang w:val="en-GB"/>
        </w:rPr>
        <w:t>141</w:t>
      </w:r>
      <w:r w:rsidR="00B30A10" w:rsidRPr="00B30A10">
        <w:rPr>
          <w:lang w:val="en-GB"/>
        </w:rPr>
        <w:t>-</w:t>
      </w:r>
      <w:r w:rsidRPr="00E60B44">
        <w:rPr>
          <w:lang w:val="en-GB"/>
        </w:rPr>
        <w:t xml:space="preserve">153. </w:t>
      </w:r>
      <w:r w:rsidRPr="00E60B44">
        <w:t>https://doi.org/</w:t>
      </w:r>
      <w:r w:rsidRPr="00E60B44">
        <w:rPr>
          <w:lang w:val="en-GB"/>
        </w:rPr>
        <w:t>10.1016/j.buildenv.2011.09.012</w:t>
      </w:r>
    </w:p>
    <w:p w14:paraId="12821BD3" w14:textId="7BB0B352" w:rsidR="00D870DF" w:rsidRPr="00E60B44" w:rsidRDefault="00D870DF" w:rsidP="002D4C4D">
      <w:pPr>
        <w:pStyle w:val="Rlit"/>
        <w:rPr>
          <w:lang w:val="en-GB"/>
        </w:rPr>
      </w:pPr>
      <w:r w:rsidRPr="00E60B44">
        <w:rPr>
          <w:lang w:val="en-GB"/>
        </w:rPr>
        <w:t xml:space="preserve">Hu, X., Li, N., Gu, J., He, Y., </w:t>
      </w:r>
      <w:proofErr w:type="spellStart"/>
      <w:r w:rsidRPr="00E60B44">
        <w:rPr>
          <w:lang w:val="en-GB"/>
        </w:rPr>
        <w:t>Yongga</w:t>
      </w:r>
      <w:proofErr w:type="spellEnd"/>
      <w:r w:rsidRPr="00E60B44">
        <w:rPr>
          <w:lang w:val="en-GB"/>
        </w:rPr>
        <w:t>, A. (2023). Lighting and thermal factors on human comfort, work performance, and sick building syndrome in the underground building environment</w:t>
      </w:r>
      <w:r w:rsidR="00333144">
        <w:rPr>
          <w:lang w:val="en-GB"/>
        </w:rPr>
        <w:t>.</w:t>
      </w:r>
      <w:r w:rsidRPr="00E60B44">
        <w:rPr>
          <w:lang w:val="en-GB"/>
        </w:rPr>
        <w:t xml:space="preserve"> </w:t>
      </w:r>
      <w:r w:rsidRPr="00E60B44">
        <w:rPr>
          <w:i/>
          <w:lang w:val="en-GB"/>
        </w:rPr>
        <w:t>Journal of Building Engineering</w:t>
      </w:r>
      <w:r w:rsidRPr="00333144">
        <w:rPr>
          <w:lang w:val="en-GB"/>
        </w:rPr>
        <w:t>,</w:t>
      </w:r>
      <w:r w:rsidRPr="00E60B44">
        <w:rPr>
          <w:i/>
          <w:iCs/>
          <w:lang w:val="en-GB"/>
        </w:rPr>
        <w:t xml:space="preserve"> 79</w:t>
      </w:r>
      <w:r w:rsidRPr="00333144">
        <w:rPr>
          <w:lang w:val="en-GB"/>
        </w:rPr>
        <w:t>,</w:t>
      </w:r>
      <w:r w:rsidRPr="00E60B44">
        <w:rPr>
          <w:i/>
          <w:iCs/>
          <w:lang w:val="en-GB"/>
        </w:rPr>
        <w:t xml:space="preserve"> </w:t>
      </w:r>
      <w:r w:rsidRPr="00E60B44">
        <w:rPr>
          <w:lang w:val="en-GB"/>
        </w:rPr>
        <w:t>107878</w:t>
      </w:r>
      <w:r w:rsidR="00333144">
        <w:rPr>
          <w:lang w:val="en-GB"/>
        </w:rPr>
        <w:t>.</w:t>
      </w:r>
      <w:r w:rsidRPr="00E60B44">
        <w:rPr>
          <w:lang w:val="en-GB"/>
        </w:rPr>
        <w:t xml:space="preserve"> </w:t>
      </w:r>
      <w:r w:rsidR="00EF0279" w:rsidRPr="00E60B44">
        <w:rPr>
          <w:lang w:val="en-GB"/>
        </w:rPr>
        <w:t>https://doi.org/10.1016/j.jobe.2023.107878</w:t>
      </w:r>
    </w:p>
    <w:p w14:paraId="24721EBB" w14:textId="45A6F83D" w:rsidR="00EF0279" w:rsidRPr="00E60B44" w:rsidRDefault="00EF0279" w:rsidP="002D4C4D">
      <w:pPr>
        <w:pStyle w:val="Rlit"/>
      </w:pPr>
      <w:r w:rsidRPr="00E60B44">
        <w:t xml:space="preserve">ISO Standard 7730 (2005). Ergonomics of the Thermal Environment </w:t>
      </w:r>
      <w:r w:rsidR="00333144">
        <w:t>–</w:t>
      </w:r>
      <w:r w:rsidRPr="00E60B44">
        <w:t xml:space="preserve"> Analytical Determination and Interpretation of Thermal Comfort Using Calculation of the PMV and PPD Indices and Local Thermal Comfort Criteria; Geneva, Switzerland, 2005</w:t>
      </w:r>
      <w:r w:rsidR="00333144">
        <w:t>.</w:t>
      </w:r>
    </w:p>
    <w:p w14:paraId="4911C4CC" w14:textId="353C1529" w:rsidR="00A647C8" w:rsidRPr="00E60B44" w:rsidRDefault="00A647C8" w:rsidP="002D4C4D">
      <w:pPr>
        <w:pStyle w:val="Rlit"/>
        <w:rPr>
          <w:lang w:val="en-GB"/>
        </w:rPr>
      </w:pPr>
      <w:r w:rsidRPr="00E60B44">
        <w:rPr>
          <w:lang w:val="en-GB"/>
        </w:rPr>
        <w:t>Kim, J., De Dear, R. (2018). Thermal comfort expectations and adaptive behavioural characteristics of primary and secondary school students</w:t>
      </w:r>
      <w:r w:rsidR="00333144">
        <w:rPr>
          <w:lang w:val="en-GB"/>
        </w:rPr>
        <w:t>.</w:t>
      </w:r>
      <w:r w:rsidRPr="00E60B44">
        <w:rPr>
          <w:lang w:val="en-GB"/>
        </w:rPr>
        <w:t xml:space="preserve"> </w:t>
      </w:r>
      <w:r w:rsidRPr="00E60B44">
        <w:rPr>
          <w:i/>
          <w:lang w:val="en-GB"/>
        </w:rPr>
        <w:t>Building and Environment</w:t>
      </w:r>
      <w:r w:rsidRPr="00333144">
        <w:rPr>
          <w:lang w:val="en-GB"/>
        </w:rPr>
        <w:t xml:space="preserve">, </w:t>
      </w:r>
      <w:r w:rsidRPr="00E60B44">
        <w:rPr>
          <w:i/>
          <w:iCs/>
          <w:lang w:val="en-GB"/>
        </w:rPr>
        <w:t>127</w:t>
      </w:r>
      <w:r w:rsidRPr="00333144">
        <w:rPr>
          <w:lang w:val="en-GB"/>
        </w:rPr>
        <w:t>,</w:t>
      </w:r>
      <w:r w:rsidRPr="00E60B44">
        <w:rPr>
          <w:lang w:val="en-GB"/>
        </w:rPr>
        <w:t xml:space="preserve"> 13</w:t>
      </w:r>
      <w:r w:rsidR="00B30A10" w:rsidRPr="00B30A10">
        <w:rPr>
          <w:lang w:val="en-GB"/>
        </w:rPr>
        <w:t>-</w:t>
      </w:r>
      <w:r w:rsidRPr="00E60B44">
        <w:rPr>
          <w:lang w:val="en-GB"/>
        </w:rPr>
        <w:t>22.</w:t>
      </w:r>
    </w:p>
    <w:p w14:paraId="49B7B048" w14:textId="153FE32C" w:rsidR="00D870DF" w:rsidRPr="00E60B44" w:rsidRDefault="00D870DF" w:rsidP="002D4C4D">
      <w:pPr>
        <w:pStyle w:val="Rlit"/>
        <w:rPr>
          <w:lang w:val="en-GB"/>
        </w:rPr>
      </w:pPr>
      <w:proofErr w:type="spellStart"/>
      <w:r w:rsidRPr="00E60B44">
        <w:rPr>
          <w:lang w:val="en-GB"/>
        </w:rPr>
        <w:t>Koshlak</w:t>
      </w:r>
      <w:proofErr w:type="spellEnd"/>
      <w:r w:rsidRPr="00E60B44">
        <w:rPr>
          <w:lang w:val="en-GB"/>
        </w:rPr>
        <w:t>, H., Pavlenko, A. (20</w:t>
      </w:r>
      <w:r w:rsidR="00D37431" w:rsidRPr="00E60B44">
        <w:rPr>
          <w:lang w:val="en-GB"/>
        </w:rPr>
        <w:t>20</w:t>
      </w:r>
      <w:r w:rsidRPr="00E60B44">
        <w:rPr>
          <w:lang w:val="en-GB"/>
        </w:rPr>
        <w:t xml:space="preserve">). </w:t>
      </w:r>
      <w:r w:rsidR="00D37431" w:rsidRPr="00E60B44">
        <w:rPr>
          <w:lang w:val="en-GB"/>
        </w:rPr>
        <w:t>Mathematical model of particle free settling in a vortex apparatus</w:t>
      </w:r>
      <w:r w:rsidR="00333144">
        <w:rPr>
          <w:lang w:val="en-GB"/>
        </w:rPr>
        <w:t>.</w:t>
      </w:r>
      <w:r w:rsidR="00D37431" w:rsidRPr="00E60B44">
        <w:rPr>
          <w:lang w:val="en-GB"/>
        </w:rPr>
        <w:t xml:space="preserve"> </w:t>
      </w:r>
      <w:proofErr w:type="spellStart"/>
      <w:r w:rsidR="00D37431" w:rsidRPr="00E60B44">
        <w:rPr>
          <w:i/>
          <w:iCs/>
          <w:lang w:val="en-GB"/>
        </w:rPr>
        <w:t>Rocznik</w:t>
      </w:r>
      <w:proofErr w:type="spellEnd"/>
      <w:r w:rsidR="00D37431" w:rsidRPr="00E60B44">
        <w:rPr>
          <w:i/>
          <w:iCs/>
          <w:lang w:val="en-GB"/>
        </w:rPr>
        <w:t xml:space="preserve"> </w:t>
      </w:r>
      <w:proofErr w:type="spellStart"/>
      <w:r w:rsidR="00D37431" w:rsidRPr="00E60B44">
        <w:rPr>
          <w:i/>
          <w:iCs/>
          <w:lang w:val="en-GB"/>
        </w:rPr>
        <w:t>Ochrona</w:t>
      </w:r>
      <w:proofErr w:type="spellEnd"/>
      <w:r w:rsidR="00D37431" w:rsidRPr="00E60B44">
        <w:rPr>
          <w:i/>
          <w:iCs/>
          <w:lang w:val="en-GB"/>
        </w:rPr>
        <w:t xml:space="preserve"> </w:t>
      </w:r>
      <w:proofErr w:type="spellStart"/>
      <w:r w:rsidR="00D37431" w:rsidRPr="00E60B44">
        <w:rPr>
          <w:i/>
          <w:iCs/>
          <w:lang w:val="en-GB"/>
        </w:rPr>
        <w:t>Środowiska</w:t>
      </w:r>
      <w:proofErr w:type="spellEnd"/>
      <w:r w:rsidR="00D37431" w:rsidRPr="00E60B44">
        <w:rPr>
          <w:lang w:val="en-GB"/>
        </w:rPr>
        <w:t xml:space="preserve">, </w:t>
      </w:r>
      <w:r w:rsidR="00D37431" w:rsidRPr="00E60B44">
        <w:rPr>
          <w:i/>
          <w:iCs/>
          <w:lang w:val="en-GB"/>
        </w:rPr>
        <w:t>22</w:t>
      </w:r>
      <w:r w:rsidR="00D37431" w:rsidRPr="00333144">
        <w:rPr>
          <w:lang w:val="en-GB"/>
        </w:rPr>
        <w:t xml:space="preserve">, </w:t>
      </w:r>
      <w:r w:rsidR="00D37431" w:rsidRPr="00E60B44">
        <w:rPr>
          <w:lang w:val="en-GB"/>
        </w:rPr>
        <w:t>727</w:t>
      </w:r>
      <w:r w:rsidR="00B30A10" w:rsidRPr="00B30A10">
        <w:rPr>
          <w:lang w:val="en-GB"/>
        </w:rPr>
        <w:t>-</w:t>
      </w:r>
      <w:r w:rsidR="00D37431" w:rsidRPr="00E60B44">
        <w:rPr>
          <w:lang w:val="en-GB"/>
        </w:rPr>
        <w:t>734.</w:t>
      </w:r>
    </w:p>
    <w:p w14:paraId="26F2A2C2" w14:textId="03F1E6D4" w:rsidR="00D870DF" w:rsidRPr="008B5F4E" w:rsidRDefault="00D870DF" w:rsidP="00333144">
      <w:pPr>
        <w:pStyle w:val="Rlit"/>
        <w:jc w:val="left"/>
        <w:rPr>
          <w:lang w:val="pl-PL"/>
        </w:rPr>
      </w:pPr>
      <w:r w:rsidRPr="008B5F4E">
        <w:rPr>
          <w:lang w:val="en-GB"/>
        </w:rPr>
        <w:t xml:space="preserve">Kotrys-Działak, D., Stokowiec, K. (2023). </w:t>
      </w:r>
      <w:r w:rsidRPr="00E60B44">
        <w:rPr>
          <w:lang w:val="en-GB"/>
        </w:rPr>
        <w:t>Temperature Distribution Analysis on the Surface of the Radiator: Infrared Camera and T</w:t>
      </w:r>
      <w:r w:rsidR="00365837" w:rsidRPr="00E60B44">
        <w:rPr>
          <w:lang w:val="en-GB"/>
        </w:rPr>
        <w:t>hermocouples Results Comparison</w:t>
      </w:r>
      <w:r w:rsidR="00333144">
        <w:rPr>
          <w:lang w:val="en-GB"/>
        </w:rPr>
        <w:t>.</w:t>
      </w:r>
      <w:r w:rsidRPr="00E60B44">
        <w:rPr>
          <w:lang w:val="en-GB"/>
        </w:rPr>
        <w:t xml:space="preserve"> </w:t>
      </w:r>
      <w:r w:rsidRPr="008B5F4E">
        <w:rPr>
          <w:i/>
          <w:lang w:val="pl-PL"/>
        </w:rPr>
        <w:t>Rocznik Ochrona Środowiska</w:t>
      </w:r>
      <w:r w:rsidRPr="008B5F4E">
        <w:rPr>
          <w:lang w:val="pl-PL"/>
        </w:rPr>
        <w:t>,</w:t>
      </w:r>
      <w:r w:rsidRPr="008B5F4E">
        <w:rPr>
          <w:i/>
          <w:iCs/>
          <w:lang w:val="pl-PL"/>
        </w:rPr>
        <w:t xml:space="preserve"> 25</w:t>
      </w:r>
      <w:r w:rsidRPr="008B5F4E">
        <w:rPr>
          <w:lang w:val="pl-PL"/>
        </w:rPr>
        <w:t xml:space="preserve">, 37-44. </w:t>
      </w:r>
      <w:r w:rsidR="003E55DC" w:rsidRPr="008B5F4E">
        <w:rPr>
          <w:lang w:val="pl-PL"/>
        </w:rPr>
        <w:t>https://doi.org/10.54740/ros.2023.005</w:t>
      </w:r>
    </w:p>
    <w:p w14:paraId="455AB5D5" w14:textId="235A9F0E" w:rsidR="003E55DC" w:rsidRPr="00E60B44" w:rsidRDefault="003E55DC" w:rsidP="00333144">
      <w:pPr>
        <w:pStyle w:val="Rlit"/>
        <w:jc w:val="left"/>
        <w:rPr>
          <w:lang w:val="en-GB"/>
        </w:rPr>
      </w:pPr>
      <w:r w:rsidRPr="008B5F4E">
        <w:rPr>
          <w:lang w:val="pl-PL"/>
        </w:rPr>
        <w:lastRenderedPageBreak/>
        <w:t xml:space="preserve">Kramer, T., Garcia-Hansen, V., Omrani, S., Zhou, J., Chen, D. (2023). </w:t>
      </w:r>
      <w:r w:rsidRPr="00E60B44">
        <w:rPr>
          <w:lang w:val="en-GB"/>
        </w:rPr>
        <w:t>Personal differences in thermal comfort perception: Observations from a field study in Brisbane, Australia</w:t>
      </w:r>
      <w:r w:rsidR="00333144">
        <w:rPr>
          <w:lang w:val="en-GB"/>
        </w:rPr>
        <w:t>.</w:t>
      </w:r>
      <w:r w:rsidRPr="00E60B44">
        <w:rPr>
          <w:lang w:val="en-GB"/>
        </w:rPr>
        <w:t xml:space="preserve"> </w:t>
      </w:r>
      <w:r w:rsidRPr="00E60B44">
        <w:rPr>
          <w:i/>
          <w:lang w:val="en-GB"/>
        </w:rPr>
        <w:t>Building and Environment</w:t>
      </w:r>
      <w:r w:rsidRPr="00333144">
        <w:rPr>
          <w:iCs/>
          <w:lang w:val="en-GB"/>
        </w:rPr>
        <w:t xml:space="preserve">, </w:t>
      </w:r>
      <w:r w:rsidRPr="00E60B44">
        <w:rPr>
          <w:i/>
          <w:lang w:val="en-GB"/>
        </w:rPr>
        <w:t>245</w:t>
      </w:r>
      <w:r w:rsidRPr="00333144">
        <w:rPr>
          <w:iCs/>
          <w:lang w:val="en-GB"/>
        </w:rPr>
        <w:t>,</w:t>
      </w:r>
      <w:r w:rsidRPr="00E60B44">
        <w:rPr>
          <w:lang w:val="en-GB"/>
        </w:rPr>
        <w:t xml:space="preserve"> 110873</w:t>
      </w:r>
      <w:r w:rsidR="00333144">
        <w:rPr>
          <w:lang w:val="en-GB"/>
        </w:rPr>
        <w:t>.</w:t>
      </w:r>
      <w:r w:rsidRPr="00E60B44">
        <w:rPr>
          <w:lang w:val="en-GB"/>
        </w:rPr>
        <w:t xml:space="preserve"> https://doi.org/10.1016/j.buildenv.2023.110873</w:t>
      </w:r>
    </w:p>
    <w:p w14:paraId="43FE7F8D" w14:textId="5DC21A7C" w:rsidR="00D870DF" w:rsidRPr="008B5F4E" w:rsidRDefault="00D870DF" w:rsidP="00333144">
      <w:pPr>
        <w:pStyle w:val="Rlit"/>
        <w:jc w:val="left"/>
        <w:rPr>
          <w:lang w:val="pl-PL"/>
        </w:rPr>
      </w:pPr>
      <w:r w:rsidRPr="008B5F4E">
        <w:rPr>
          <w:lang w:val="en-GB"/>
        </w:rPr>
        <w:t>Krawczyk</w:t>
      </w:r>
      <w:r w:rsidR="00333144" w:rsidRPr="008B5F4E">
        <w:rPr>
          <w:lang w:val="en-GB"/>
        </w:rPr>
        <w:t>,</w:t>
      </w:r>
      <w:r w:rsidRPr="008B5F4E">
        <w:rPr>
          <w:lang w:val="en-GB"/>
        </w:rPr>
        <w:t xml:space="preserve"> N</w:t>
      </w:r>
      <w:r w:rsidR="003E55DC" w:rsidRPr="008B5F4E">
        <w:rPr>
          <w:lang w:val="en-GB"/>
        </w:rPr>
        <w:t>.</w:t>
      </w:r>
      <w:r w:rsidRPr="008B5F4E">
        <w:rPr>
          <w:lang w:val="en-GB"/>
        </w:rPr>
        <w:t>, Dębska</w:t>
      </w:r>
      <w:r w:rsidR="00333144" w:rsidRPr="008B5F4E">
        <w:rPr>
          <w:lang w:val="en-GB"/>
        </w:rPr>
        <w:t>,</w:t>
      </w:r>
      <w:r w:rsidRPr="008B5F4E">
        <w:rPr>
          <w:lang w:val="en-GB"/>
        </w:rPr>
        <w:t xml:space="preserve"> L., Piotrowski</w:t>
      </w:r>
      <w:r w:rsidR="00333144" w:rsidRPr="008B5F4E">
        <w:rPr>
          <w:lang w:val="en-GB"/>
        </w:rPr>
        <w:t>,</w:t>
      </w:r>
      <w:r w:rsidRPr="008B5F4E">
        <w:rPr>
          <w:lang w:val="en-GB"/>
        </w:rPr>
        <w:t xml:space="preserve"> J.Zb., Honus</w:t>
      </w:r>
      <w:r w:rsidR="00333144" w:rsidRPr="008B5F4E">
        <w:rPr>
          <w:lang w:val="en-GB"/>
        </w:rPr>
        <w:t>,</w:t>
      </w:r>
      <w:r w:rsidRPr="008B5F4E">
        <w:rPr>
          <w:lang w:val="en-GB"/>
        </w:rPr>
        <w:t xml:space="preserve"> S., Majewski</w:t>
      </w:r>
      <w:r w:rsidR="00333144" w:rsidRPr="008B5F4E">
        <w:rPr>
          <w:lang w:val="en-GB"/>
        </w:rPr>
        <w:t>,</w:t>
      </w:r>
      <w:r w:rsidRPr="008B5F4E">
        <w:rPr>
          <w:lang w:val="en-GB"/>
        </w:rPr>
        <w:t xml:space="preserve"> G. (2023). </w:t>
      </w:r>
      <w:r w:rsidRPr="00E60B44">
        <w:rPr>
          <w:lang w:val="en-GB"/>
        </w:rPr>
        <w:t>Validation of the Fanger Model and Assessment of SBS Symptoms in the Lecture Room</w:t>
      </w:r>
      <w:r w:rsidR="00333144">
        <w:rPr>
          <w:lang w:val="en-GB"/>
        </w:rPr>
        <w:t>.</w:t>
      </w:r>
      <w:r w:rsidRPr="00E60B44">
        <w:rPr>
          <w:lang w:val="en-GB"/>
        </w:rPr>
        <w:t xml:space="preserve"> </w:t>
      </w:r>
      <w:r w:rsidRPr="008B5F4E">
        <w:rPr>
          <w:i/>
          <w:lang w:val="pl-PL"/>
        </w:rPr>
        <w:t>Rocznik Ochrona Środowiska</w:t>
      </w:r>
      <w:r w:rsidRPr="008B5F4E">
        <w:rPr>
          <w:lang w:val="pl-PL"/>
        </w:rPr>
        <w:t xml:space="preserve">, </w:t>
      </w:r>
      <w:r w:rsidRPr="008B5F4E">
        <w:rPr>
          <w:i/>
          <w:iCs/>
          <w:lang w:val="pl-PL"/>
        </w:rPr>
        <w:t>25</w:t>
      </w:r>
      <w:r w:rsidRPr="008B5F4E">
        <w:rPr>
          <w:lang w:val="pl-PL"/>
        </w:rPr>
        <w:t xml:space="preserve">, 68-76. </w:t>
      </w:r>
      <w:r w:rsidR="003E55DC" w:rsidRPr="008B5F4E">
        <w:rPr>
          <w:lang w:val="pl-PL"/>
        </w:rPr>
        <w:t>https://doi.org/10.54740/ros.2023.008</w:t>
      </w:r>
    </w:p>
    <w:p w14:paraId="15700F87" w14:textId="296862DC" w:rsidR="003E55DC" w:rsidRPr="00E60B44" w:rsidRDefault="003E55DC" w:rsidP="002D4C4D">
      <w:pPr>
        <w:pStyle w:val="Rlit"/>
        <w:rPr>
          <w:lang w:val="en-GB"/>
        </w:rPr>
      </w:pPr>
      <w:r w:rsidRPr="008B5F4E">
        <w:rPr>
          <w:lang w:val="pl-PL"/>
        </w:rPr>
        <w:t xml:space="preserve">Latini, A., Giuseppe, E., Di. </w:t>
      </w:r>
      <w:proofErr w:type="spellStart"/>
      <w:r w:rsidRPr="00E60B44">
        <w:rPr>
          <w:lang w:val="pl-PL"/>
        </w:rPr>
        <w:t>D’Orazio</w:t>
      </w:r>
      <w:proofErr w:type="spellEnd"/>
      <w:r w:rsidRPr="00E60B44">
        <w:rPr>
          <w:lang w:val="pl-PL"/>
        </w:rPr>
        <w:t xml:space="preserve">, M., </w:t>
      </w:r>
      <w:proofErr w:type="spellStart"/>
      <w:r w:rsidRPr="00E60B44">
        <w:rPr>
          <w:lang w:val="pl-PL"/>
        </w:rPr>
        <w:t>Perna</w:t>
      </w:r>
      <w:proofErr w:type="spellEnd"/>
      <w:r w:rsidRPr="00E60B44">
        <w:rPr>
          <w:lang w:val="pl-PL"/>
        </w:rPr>
        <w:t xml:space="preserve">, C. Di (2021). </w:t>
      </w:r>
      <w:r w:rsidRPr="00E60B44">
        <w:rPr>
          <w:lang w:val="en-GB"/>
        </w:rPr>
        <w:t>Exploring the use of immersive virtual reality to assess occupants</w:t>
      </w:r>
      <w:r w:rsidR="008B5F4E">
        <w:rPr>
          <w:lang w:val="en-GB"/>
        </w:rPr>
        <w:t>'</w:t>
      </w:r>
      <w:r w:rsidRPr="00E60B44">
        <w:rPr>
          <w:lang w:val="en-GB"/>
        </w:rPr>
        <w:t xml:space="preserve"> productivity and comfort in workplaces: An experimental st</w:t>
      </w:r>
      <w:r w:rsidR="00365837" w:rsidRPr="00E60B44">
        <w:rPr>
          <w:lang w:val="en-GB"/>
        </w:rPr>
        <w:t>udy on the role of walls colour</w:t>
      </w:r>
      <w:r w:rsidR="00333144">
        <w:rPr>
          <w:lang w:val="en-GB"/>
        </w:rPr>
        <w:t>.</w:t>
      </w:r>
      <w:r w:rsidRPr="00E60B44">
        <w:rPr>
          <w:lang w:val="en-GB"/>
        </w:rPr>
        <w:t xml:space="preserve"> </w:t>
      </w:r>
      <w:r w:rsidRPr="00E60B44">
        <w:rPr>
          <w:i/>
          <w:lang w:val="en-GB"/>
        </w:rPr>
        <w:t>Energy &amp; Buildings</w:t>
      </w:r>
      <w:r w:rsidRPr="00E60B44">
        <w:rPr>
          <w:lang w:val="en-GB"/>
        </w:rPr>
        <w:t xml:space="preserve">, </w:t>
      </w:r>
      <w:r w:rsidRPr="00E60B44">
        <w:rPr>
          <w:i/>
          <w:iCs/>
          <w:lang w:val="en-GB"/>
        </w:rPr>
        <w:t>253</w:t>
      </w:r>
      <w:r w:rsidRPr="00333144">
        <w:rPr>
          <w:lang w:val="en-GB"/>
        </w:rPr>
        <w:t>,</w:t>
      </w:r>
      <w:r w:rsidRPr="00E60B44">
        <w:rPr>
          <w:lang w:val="en-GB"/>
        </w:rPr>
        <w:t xml:space="preserve"> 111508</w:t>
      </w:r>
      <w:r w:rsidR="00333144">
        <w:rPr>
          <w:lang w:val="en-GB"/>
        </w:rPr>
        <w:t>.</w:t>
      </w:r>
      <w:r w:rsidRPr="00E60B44">
        <w:rPr>
          <w:lang w:val="en-GB"/>
        </w:rPr>
        <w:t xml:space="preserve"> https://doi.org/10.1016/j.enbuild.2021.111508</w:t>
      </w:r>
    </w:p>
    <w:p w14:paraId="07107694" w14:textId="019B6035" w:rsidR="00D870DF" w:rsidRPr="00E60B44" w:rsidRDefault="00D870DF" w:rsidP="002D4C4D">
      <w:pPr>
        <w:pStyle w:val="Rlit"/>
        <w:rPr>
          <w:lang w:val="en-GB"/>
        </w:rPr>
      </w:pPr>
      <w:r w:rsidRPr="008B5F4E">
        <w:rPr>
          <w:lang w:val="en-GB"/>
        </w:rPr>
        <w:t xml:space="preserve">Nogaj, K., Turski, M., Sekret R. (2017). </w:t>
      </w:r>
      <w:r w:rsidRPr="00E60B44">
        <w:rPr>
          <w:lang w:val="en-GB"/>
        </w:rPr>
        <w:t>The influence of using heat storage with PCM on inlet and outlet temperatures in substation in DHS</w:t>
      </w:r>
      <w:r w:rsidR="00333144">
        <w:rPr>
          <w:lang w:val="en-GB"/>
        </w:rPr>
        <w:t>.</w:t>
      </w:r>
      <w:r w:rsidRPr="00E60B44">
        <w:rPr>
          <w:lang w:val="en-GB"/>
        </w:rPr>
        <w:t xml:space="preserve"> </w:t>
      </w:r>
      <w:r w:rsidRPr="00E60B44">
        <w:rPr>
          <w:i/>
          <w:lang w:val="en-GB"/>
        </w:rPr>
        <w:t>Proc of Int. Conf. on Advances in Energy Systems and Environmental Engineering</w:t>
      </w:r>
      <w:r w:rsidRPr="00E60B44">
        <w:rPr>
          <w:lang w:val="en-GB"/>
        </w:rPr>
        <w:t xml:space="preserve"> (ASEE17),</w:t>
      </w:r>
      <w:r w:rsidR="00D1364A" w:rsidRPr="00E60B44">
        <w:rPr>
          <w:lang w:val="en-GB"/>
        </w:rPr>
        <w:t xml:space="preserve"> </w:t>
      </w:r>
      <w:proofErr w:type="spellStart"/>
      <w:r w:rsidR="00D1364A" w:rsidRPr="00E60B44">
        <w:rPr>
          <w:lang w:val="en-GB"/>
        </w:rPr>
        <w:t>Wrocław</w:t>
      </w:r>
      <w:proofErr w:type="spellEnd"/>
      <w:r w:rsidR="00D1364A" w:rsidRPr="00E60B44">
        <w:rPr>
          <w:lang w:val="en-GB"/>
        </w:rPr>
        <w:t xml:space="preserve">, Poland, July 2-5, 2017, </w:t>
      </w:r>
      <w:r w:rsidRPr="00E60B44">
        <w:rPr>
          <w:i/>
          <w:lang w:val="en-GB"/>
        </w:rPr>
        <w:t>E3S Web of Conferences</w:t>
      </w:r>
      <w:r w:rsidRPr="00333144">
        <w:rPr>
          <w:lang w:val="en-GB"/>
        </w:rPr>
        <w:t xml:space="preserve">, </w:t>
      </w:r>
      <w:r w:rsidRPr="00E60B44">
        <w:rPr>
          <w:i/>
          <w:iCs/>
          <w:lang w:val="en-GB"/>
        </w:rPr>
        <w:t>22</w:t>
      </w:r>
      <w:r w:rsidRPr="00333144">
        <w:rPr>
          <w:lang w:val="en-GB"/>
        </w:rPr>
        <w:t>,</w:t>
      </w:r>
      <w:r w:rsidRPr="00E60B44">
        <w:rPr>
          <w:lang w:val="en-GB"/>
        </w:rPr>
        <w:t xml:space="preserve"> 00124. </w:t>
      </w:r>
      <w:r w:rsidR="003E55DC" w:rsidRPr="00E60B44">
        <w:rPr>
          <w:lang w:val="en-GB"/>
        </w:rPr>
        <w:t>https://doi.org/10.1051/e3sconf/20172200124</w:t>
      </w:r>
    </w:p>
    <w:p w14:paraId="1DA1B8A6" w14:textId="04D5581F" w:rsidR="003E55DC" w:rsidRPr="00E60B44" w:rsidRDefault="003E55DC" w:rsidP="002D4C4D">
      <w:pPr>
        <w:pStyle w:val="Rlit"/>
      </w:pPr>
      <w:r w:rsidRPr="00E60B44">
        <w:t>Orman, Ł.J. (2014). Boiling heat transfer on meshed surfaces of different aperture</w:t>
      </w:r>
      <w:r w:rsidR="00776340">
        <w:t>.</w:t>
      </w:r>
      <w:r w:rsidRPr="00E60B44">
        <w:t xml:space="preserve"> </w:t>
      </w:r>
      <w:r w:rsidRPr="00E60B44">
        <w:rPr>
          <w:i/>
          <w:iCs/>
        </w:rPr>
        <w:t>Proc of Int. Conf. on Application of Experimental and Numerical Methods in Fluid Mechanics and Energetics (Slovakia), AIP Conference Proceedings</w:t>
      </w:r>
      <w:r w:rsidRPr="00333144">
        <w:t xml:space="preserve">, </w:t>
      </w:r>
      <w:r w:rsidRPr="00E60B44">
        <w:rPr>
          <w:i/>
          <w:iCs/>
        </w:rPr>
        <w:t>1608</w:t>
      </w:r>
      <w:r w:rsidRPr="00E60B44">
        <w:t>, 169-172. https://doi.org/10.1063/1.4892728</w:t>
      </w:r>
    </w:p>
    <w:p w14:paraId="60358A93" w14:textId="55A3D1BA" w:rsidR="003E55DC" w:rsidRPr="00E60B44" w:rsidRDefault="003E55DC" w:rsidP="002D4C4D">
      <w:pPr>
        <w:pStyle w:val="Rlit"/>
      </w:pPr>
      <w:r w:rsidRPr="00E60B44">
        <w:t xml:space="preserve">Orman, Ł.J., </w:t>
      </w:r>
      <w:proofErr w:type="spellStart"/>
      <w:r w:rsidRPr="00E60B44">
        <w:t>Chatys</w:t>
      </w:r>
      <w:proofErr w:type="spellEnd"/>
      <w:r w:rsidRPr="00E60B44">
        <w:t>, R. (2011). Heat transfer augmentation possibility for vehicle heat exchangers</w:t>
      </w:r>
      <w:r w:rsidR="00776340">
        <w:t>.</w:t>
      </w:r>
      <w:r w:rsidRPr="00E60B44">
        <w:t xml:space="preserve"> </w:t>
      </w:r>
      <w:r w:rsidRPr="00E60B44">
        <w:rPr>
          <w:i/>
          <w:iCs/>
        </w:rPr>
        <w:t>Proc. of 15th Int. Conf. "TRANSPORT MEANS" (Kaunas, Lithuania)</w:t>
      </w:r>
      <w:r w:rsidR="00776340" w:rsidRPr="00776340">
        <w:t>,</w:t>
      </w:r>
      <w:r w:rsidR="00776340">
        <w:t xml:space="preserve"> </w:t>
      </w:r>
      <w:r w:rsidRPr="00E60B44">
        <w:t>9-12</w:t>
      </w:r>
      <w:r w:rsidR="00776340">
        <w:t>.</w:t>
      </w:r>
    </w:p>
    <w:p w14:paraId="0112142E" w14:textId="2274F9E1" w:rsidR="00A647C8" w:rsidRPr="008B5F4E" w:rsidRDefault="00A647C8" w:rsidP="002D4C4D">
      <w:pPr>
        <w:pStyle w:val="Rlit"/>
        <w:rPr>
          <w:lang w:val="pl-PL"/>
        </w:rPr>
      </w:pPr>
      <w:proofErr w:type="spellStart"/>
      <w:r w:rsidRPr="00E60B44">
        <w:t>Pavlenkо</w:t>
      </w:r>
      <w:proofErr w:type="spellEnd"/>
      <w:r w:rsidRPr="00E60B44">
        <w:t xml:space="preserve">, A., </w:t>
      </w:r>
      <w:proofErr w:type="spellStart"/>
      <w:r w:rsidR="00D37431" w:rsidRPr="00E60B44">
        <w:t>Szkarowski</w:t>
      </w:r>
      <w:proofErr w:type="spellEnd"/>
      <w:r w:rsidR="00D37431" w:rsidRPr="00E60B44">
        <w:t>, A. (2018). Thermal insulation materials with high-porous structure based on the soluble glass and technogenic mineral fillers</w:t>
      </w:r>
      <w:r w:rsidR="00776340">
        <w:t>.</w:t>
      </w:r>
      <w:r w:rsidR="00D37431" w:rsidRPr="00E60B44">
        <w:t xml:space="preserve"> </w:t>
      </w:r>
      <w:r w:rsidR="00D37431" w:rsidRPr="008B5F4E">
        <w:rPr>
          <w:i/>
          <w:iCs/>
          <w:lang w:val="pl-PL"/>
        </w:rPr>
        <w:t xml:space="preserve">Rocznik Ochrona </w:t>
      </w:r>
      <w:r w:rsidR="00365837" w:rsidRPr="008B5F4E">
        <w:rPr>
          <w:i/>
          <w:iCs/>
          <w:lang w:val="pl-PL"/>
        </w:rPr>
        <w:t>Ś</w:t>
      </w:r>
      <w:r w:rsidR="00D37431" w:rsidRPr="008B5F4E">
        <w:rPr>
          <w:i/>
          <w:iCs/>
          <w:lang w:val="pl-PL"/>
        </w:rPr>
        <w:t>rodowiska</w:t>
      </w:r>
      <w:r w:rsidR="00365837" w:rsidRPr="008B5F4E">
        <w:rPr>
          <w:lang w:val="pl-PL"/>
        </w:rPr>
        <w:t>,</w:t>
      </w:r>
      <w:r w:rsidR="00D37431" w:rsidRPr="008B5F4E">
        <w:rPr>
          <w:i/>
          <w:iCs/>
          <w:lang w:val="pl-PL"/>
        </w:rPr>
        <w:t xml:space="preserve"> 20</w:t>
      </w:r>
      <w:r w:rsidR="00D37431" w:rsidRPr="008B5F4E">
        <w:rPr>
          <w:lang w:val="pl-PL"/>
        </w:rPr>
        <w:t>, 725</w:t>
      </w:r>
      <w:r w:rsidR="00B30A10" w:rsidRPr="008B5F4E">
        <w:rPr>
          <w:lang w:val="pl-PL"/>
        </w:rPr>
        <w:t>-</w:t>
      </w:r>
      <w:r w:rsidR="00D37431" w:rsidRPr="008B5F4E">
        <w:rPr>
          <w:lang w:val="pl-PL"/>
        </w:rPr>
        <w:t>740</w:t>
      </w:r>
      <w:r w:rsidR="00365837" w:rsidRPr="008B5F4E">
        <w:rPr>
          <w:lang w:val="pl-PL"/>
        </w:rPr>
        <w:t>.</w:t>
      </w:r>
    </w:p>
    <w:p w14:paraId="2D9CD5F8" w14:textId="705E0807" w:rsidR="00A647C8" w:rsidRPr="00776340" w:rsidRDefault="00A647C8" w:rsidP="002D4C4D">
      <w:pPr>
        <w:pStyle w:val="Rlit"/>
        <w:rPr>
          <w:spacing w:val="-2"/>
        </w:rPr>
      </w:pPr>
      <w:r w:rsidRPr="008B5F4E">
        <w:rPr>
          <w:spacing w:val="-2"/>
          <w:lang w:val="pl-PL"/>
        </w:rPr>
        <w:t xml:space="preserve">Singh, M.K., Kumar, S., Ooka, R., Rijal, H.B., Gupta, G., Kumar, A. (2018). </w:t>
      </w:r>
      <w:r w:rsidRPr="00776340">
        <w:rPr>
          <w:spacing w:val="-2"/>
        </w:rPr>
        <w:t>Status of thermal comfort in naturally ventilated classrooms during the summer season in the composite climate of India</w:t>
      </w:r>
      <w:r w:rsidR="00776340" w:rsidRPr="00776340">
        <w:rPr>
          <w:spacing w:val="-2"/>
        </w:rPr>
        <w:t>.</w:t>
      </w:r>
      <w:r w:rsidRPr="00776340">
        <w:rPr>
          <w:spacing w:val="-2"/>
        </w:rPr>
        <w:t xml:space="preserve"> </w:t>
      </w:r>
      <w:r w:rsidRPr="00776340">
        <w:rPr>
          <w:i/>
          <w:spacing w:val="-2"/>
        </w:rPr>
        <w:t>Building and Environment</w:t>
      </w:r>
      <w:r w:rsidRPr="00776340">
        <w:rPr>
          <w:iCs/>
          <w:spacing w:val="-2"/>
        </w:rPr>
        <w:t xml:space="preserve">, </w:t>
      </w:r>
      <w:r w:rsidRPr="00776340">
        <w:rPr>
          <w:i/>
          <w:spacing w:val="-2"/>
        </w:rPr>
        <w:t>128</w:t>
      </w:r>
      <w:r w:rsidRPr="00776340">
        <w:rPr>
          <w:iCs/>
          <w:spacing w:val="-2"/>
        </w:rPr>
        <w:t xml:space="preserve">, </w:t>
      </w:r>
      <w:r w:rsidRPr="00776340">
        <w:rPr>
          <w:spacing w:val="-2"/>
        </w:rPr>
        <w:t>287</w:t>
      </w:r>
      <w:r w:rsidR="00B30A10" w:rsidRPr="00776340">
        <w:rPr>
          <w:spacing w:val="-2"/>
        </w:rPr>
        <w:t>-</w:t>
      </w:r>
      <w:r w:rsidRPr="00776340">
        <w:rPr>
          <w:spacing w:val="-2"/>
        </w:rPr>
        <w:t>304</w:t>
      </w:r>
      <w:r w:rsidR="00776340" w:rsidRPr="00776340">
        <w:rPr>
          <w:spacing w:val="-2"/>
        </w:rPr>
        <w:t>.</w:t>
      </w:r>
    </w:p>
    <w:p w14:paraId="74C959D7" w14:textId="3D21BCCE" w:rsidR="00A647C8" w:rsidRPr="00E60B44" w:rsidRDefault="00A647C8" w:rsidP="00776340">
      <w:pPr>
        <w:pStyle w:val="Rlit"/>
        <w:jc w:val="left"/>
      </w:pPr>
      <w:r w:rsidRPr="008B5F4E">
        <w:rPr>
          <w:lang w:val="en-GB"/>
        </w:rPr>
        <w:t xml:space="preserve">Stokowiec, K., Wciślik, S., Kotrys-Działak, D. (2023). </w:t>
      </w:r>
      <w:r w:rsidRPr="00E60B44">
        <w:t xml:space="preserve">Innovative </w:t>
      </w:r>
      <w:proofErr w:type="spellStart"/>
      <w:r w:rsidRPr="00E60B44">
        <w:t>Moderni</w:t>
      </w:r>
      <w:r w:rsidR="00EE6A02">
        <w:t>s</w:t>
      </w:r>
      <w:r w:rsidRPr="00E60B44">
        <w:t>ation</w:t>
      </w:r>
      <w:proofErr w:type="spellEnd"/>
      <w:r w:rsidRPr="00E60B44">
        <w:t xml:space="preserve"> of Building Heating Systems: The</w:t>
      </w:r>
      <w:r w:rsidR="00776340">
        <w:t> </w:t>
      </w:r>
      <w:r w:rsidRPr="00E60B44">
        <w:t>Economy and Ecology of a Hyb</w:t>
      </w:r>
      <w:r w:rsidR="00A941C4" w:rsidRPr="00E60B44">
        <w:t>rid District-Heating Substation</w:t>
      </w:r>
      <w:r w:rsidR="00776340">
        <w:t>.</w:t>
      </w:r>
      <w:r w:rsidRPr="00E60B44">
        <w:t xml:space="preserve"> </w:t>
      </w:r>
      <w:r w:rsidRPr="00E60B44">
        <w:rPr>
          <w:i/>
        </w:rPr>
        <w:t>Inventions</w:t>
      </w:r>
      <w:r w:rsidRPr="00776340">
        <w:rPr>
          <w:iCs/>
        </w:rPr>
        <w:t xml:space="preserve">, </w:t>
      </w:r>
      <w:r w:rsidRPr="00E60B44">
        <w:rPr>
          <w:i/>
        </w:rPr>
        <w:t>8</w:t>
      </w:r>
      <w:r w:rsidRPr="00776340">
        <w:rPr>
          <w:iCs/>
        </w:rPr>
        <w:t xml:space="preserve">, </w:t>
      </w:r>
      <w:r w:rsidRPr="00E60B44">
        <w:t xml:space="preserve">43. </w:t>
      </w:r>
      <w:r w:rsidR="00EF0279" w:rsidRPr="00E60B44">
        <w:t>https://doi.org/10.3390/inventions8010043</w:t>
      </w:r>
    </w:p>
    <w:p w14:paraId="6B889523" w14:textId="2429F6B0" w:rsidR="00EF0279" w:rsidRPr="00E60B44" w:rsidRDefault="00EF0279" w:rsidP="002D4C4D">
      <w:pPr>
        <w:pStyle w:val="Rlit"/>
      </w:pPr>
      <w:r w:rsidRPr="00E60B44">
        <w:t>Su, X., Yuan, Y., Wang, Z., Liu, W., Lan, L., Lian, Z. (2023). Human thermal comfort in non-uniform thermal environments: A review</w:t>
      </w:r>
      <w:r w:rsidR="00776340">
        <w:t>.</w:t>
      </w:r>
      <w:r w:rsidRPr="00E60B44">
        <w:t xml:space="preserve"> </w:t>
      </w:r>
      <w:r w:rsidRPr="00E60B44">
        <w:rPr>
          <w:i/>
        </w:rPr>
        <w:t>Energy and Built Environment</w:t>
      </w:r>
      <w:r w:rsidR="00776340">
        <w:t>.</w:t>
      </w:r>
      <w:r w:rsidRPr="00E60B44">
        <w:t xml:space="preserve"> https://doi.org/10.1016/j.enbenv.2023.06.012</w:t>
      </w:r>
    </w:p>
    <w:p w14:paraId="71CE43E4" w14:textId="3AEAA6EF" w:rsidR="003E55DC" w:rsidRPr="00E60B44" w:rsidRDefault="003E55DC" w:rsidP="002D4C4D">
      <w:pPr>
        <w:pStyle w:val="Rlit"/>
        <w:rPr>
          <w:lang w:val="en-GB"/>
        </w:rPr>
      </w:pPr>
      <w:r w:rsidRPr="00E60B44">
        <w:rPr>
          <w:lang w:val="en-GB"/>
        </w:rPr>
        <w:t>Taib, N.S.M., Zaki, S.A., Rijal, H.B., Razak A.</w:t>
      </w:r>
      <w:r w:rsidR="00A647C8" w:rsidRPr="00E60B44">
        <w:rPr>
          <w:lang w:val="en-GB"/>
        </w:rPr>
        <w:t>A.</w:t>
      </w:r>
      <w:r w:rsidRPr="00E60B44">
        <w:rPr>
          <w:lang w:val="en-GB"/>
        </w:rPr>
        <w:t xml:space="preserve">, </w:t>
      </w:r>
      <w:proofErr w:type="spellStart"/>
      <w:r w:rsidRPr="00E60B44">
        <w:rPr>
          <w:lang w:val="en-GB"/>
        </w:rPr>
        <w:t>Hagishima</w:t>
      </w:r>
      <w:proofErr w:type="spellEnd"/>
      <w:r w:rsidRPr="00E60B44">
        <w:rPr>
          <w:lang w:val="en-GB"/>
        </w:rPr>
        <w:t>, A., Khalid, W., Ali, M.S. M. (2022). Associating thermal comfort and preference in Malaysian universities</w:t>
      </w:r>
      <w:r w:rsidR="008B5F4E">
        <w:rPr>
          <w:lang w:val="en-GB"/>
        </w:rPr>
        <w:t>'</w:t>
      </w:r>
      <w:r w:rsidRPr="00E60B44">
        <w:rPr>
          <w:lang w:val="en-GB"/>
        </w:rPr>
        <w:t xml:space="preserve"> air-conditioned office rooms under various set-point temperatures</w:t>
      </w:r>
      <w:r w:rsidR="00776340">
        <w:rPr>
          <w:lang w:val="en-GB"/>
        </w:rPr>
        <w:t>.</w:t>
      </w:r>
      <w:r w:rsidRPr="00E60B44">
        <w:rPr>
          <w:lang w:val="en-GB"/>
        </w:rPr>
        <w:t xml:space="preserve"> </w:t>
      </w:r>
      <w:r w:rsidRPr="00E60B44">
        <w:rPr>
          <w:i/>
          <w:lang w:val="en-GB"/>
        </w:rPr>
        <w:t>Journal of Building Engineering</w:t>
      </w:r>
      <w:r w:rsidRPr="00776340">
        <w:rPr>
          <w:iCs/>
          <w:lang w:val="en-GB"/>
        </w:rPr>
        <w:t>,</w:t>
      </w:r>
      <w:r w:rsidRPr="00E60B44">
        <w:rPr>
          <w:i/>
          <w:lang w:val="en-GB"/>
        </w:rPr>
        <w:t xml:space="preserve"> </w:t>
      </w:r>
      <w:r w:rsidRPr="003C1227">
        <w:rPr>
          <w:i/>
          <w:iCs/>
          <w:lang w:val="en-GB"/>
        </w:rPr>
        <w:t>54</w:t>
      </w:r>
      <w:r w:rsidRPr="00E60B44">
        <w:rPr>
          <w:lang w:val="en-GB"/>
        </w:rPr>
        <w:t>, 104575</w:t>
      </w:r>
      <w:r w:rsidR="00A647C8" w:rsidRPr="00E60B44">
        <w:rPr>
          <w:lang w:val="en-GB"/>
        </w:rPr>
        <w:t>.</w:t>
      </w:r>
      <w:r w:rsidRPr="00E60B44">
        <w:rPr>
          <w:lang w:val="en-GB"/>
        </w:rPr>
        <w:t xml:space="preserve"> </w:t>
      </w:r>
      <w:r w:rsidR="00A647C8" w:rsidRPr="00E60B44">
        <w:rPr>
          <w:lang w:val="en-GB"/>
        </w:rPr>
        <w:t>https://doi.org/10.1016/j.jobe.2022.104575</w:t>
      </w:r>
    </w:p>
    <w:p w14:paraId="110F7C7D" w14:textId="1DB85274" w:rsidR="00A647C8" w:rsidRPr="00E60B44" w:rsidRDefault="00A647C8" w:rsidP="002D4C4D">
      <w:pPr>
        <w:pStyle w:val="Rlit"/>
        <w:rPr>
          <w:lang w:val="en-GB"/>
        </w:rPr>
      </w:pPr>
      <w:r w:rsidRPr="00E60B44">
        <w:rPr>
          <w:lang w:val="en-GB"/>
        </w:rPr>
        <w:t>Tsay, Y.S., Chen, R., Fan, Ch.Ch. (2022). Study on thermal comfort and energy conservation potential of office buildings in subtropical Taiwan</w:t>
      </w:r>
      <w:r w:rsidR="00776340">
        <w:rPr>
          <w:lang w:val="en-GB"/>
        </w:rPr>
        <w:t>.</w:t>
      </w:r>
      <w:r w:rsidRPr="00E60B44">
        <w:rPr>
          <w:lang w:val="en-GB"/>
        </w:rPr>
        <w:t xml:space="preserve"> </w:t>
      </w:r>
      <w:r w:rsidRPr="00E60B44">
        <w:rPr>
          <w:i/>
          <w:lang w:val="en-GB"/>
        </w:rPr>
        <w:t>Building and Environment</w:t>
      </w:r>
      <w:r w:rsidRPr="00776340">
        <w:rPr>
          <w:iCs/>
          <w:lang w:val="en-GB"/>
        </w:rPr>
        <w:t xml:space="preserve">, </w:t>
      </w:r>
      <w:r w:rsidRPr="00E60B44">
        <w:rPr>
          <w:lang w:val="en-GB"/>
        </w:rPr>
        <w:t xml:space="preserve">208, 108625. </w:t>
      </w:r>
      <w:r w:rsidR="00D1364A" w:rsidRPr="00E60B44">
        <w:rPr>
          <w:lang w:val="en-GB"/>
        </w:rPr>
        <w:t>https://doi.org/10.1016/j.buildenv.2021.108625</w:t>
      </w:r>
    </w:p>
    <w:p w14:paraId="1A27883A" w14:textId="7672F4A2" w:rsidR="00D1364A" w:rsidRPr="00E60B44" w:rsidRDefault="00D1364A" w:rsidP="00131EDE">
      <w:pPr>
        <w:pStyle w:val="Rlit"/>
        <w:jc w:val="left"/>
        <w:rPr>
          <w:lang w:val="en-GB"/>
        </w:rPr>
      </w:pPr>
      <w:r w:rsidRPr="00E60B44">
        <w:rPr>
          <w:lang w:val="en-GB"/>
        </w:rPr>
        <w:t>Turski</w:t>
      </w:r>
      <w:r w:rsidR="00776340">
        <w:rPr>
          <w:lang w:val="en-GB"/>
        </w:rPr>
        <w:t>,</w:t>
      </w:r>
      <w:r w:rsidRPr="00E60B44">
        <w:rPr>
          <w:lang w:val="en-GB"/>
        </w:rPr>
        <w:t xml:space="preserve"> M., </w:t>
      </w:r>
      <w:proofErr w:type="spellStart"/>
      <w:r w:rsidRPr="00E60B44">
        <w:rPr>
          <w:lang w:val="en-GB"/>
        </w:rPr>
        <w:t>Sekret</w:t>
      </w:r>
      <w:proofErr w:type="spellEnd"/>
      <w:r w:rsidR="00776340">
        <w:rPr>
          <w:lang w:val="en-GB"/>
        </w:rPr>
        <w:t>,</w:t>
      </w:r>
      <w:r w:rsidRPr="00E60B44">
        <w:rPr>
          <w:lang w:val="en-GB"/>
        </w:rPr>
        <w:t xml:space="preserve"> R. (2017)</w:t>
      </w:r>
      <w:r w:rsidR="00A941C4" w:rsidRPr="00E60B44">
        <w:rPr>
          <w:lang w:val="en-GB"/>
        </w:rPr>
        <w:t>.</w:t>
      </w:r>
      <w:r w:rsidRPr="00E60B44">
        <w:rPr>
          <w:lang w:val="en-GB"/>
        </w:rPr>
        <w:t xml:space="preserve"> A method of determining the thermal power demand of buildings connected to the district heating system with usage of heat accumulation</w:t>
      </w:r>
      <w:r w:rsidR="00776340">
        <w:rPr>
          <w:lang w:val="en-GB"/>
        </w:rPr>
        <w:t>.</w:t>
      </w:r>
      <w:r w:rsidRPr="00E60B44">
        <w:rPr>
          <w:lang w:val="en-GB"/>
        </w:rPr>
        <w:t xml:space="preserve"> </w:t>
      </w:r>
      <w:r w:rsidRPr="00E60B44">
        <w:rPr>
          <w:i/>
          <w:lang w:val="en-GB"/>
        </w:rPr>
        <w:t xml:space="preserve">Proc. of Int. Conf. on Advances in Energy Systems and Environmental Engineering </w:t>
      </w:r>
      <w:r w:rsidRPr="00E60B44">
        <w:rPr>
          <w:lang w:val="en-GB"/>
        </w:rPr>
        <w:t xml:space="preserve">(ASEE17) </w:t>
      </w:r>
      <w:proofErr w:type="spellStart"/>
      <w:r w:rsidRPr="00E60B44">
        <w:rPr>
          <w:lang w:val="en-GB"/>
        </w:rPr>
        <w:t>Wrocław</w:t>
      </w:r>
      <w:proofErr w:type="spellEnd"/>
      <w:r w:rsidRPr="00E60B44">
        <w:rPr>
          <w:lang w:val="en-GB"/>
        </w:rPr>
        <w:t xml:space="preserve">, Poland, July 2-5, 2017, </w:t>
      </w:r>
      <w:r w:rsidRPr="00E60B44">
        <w:rPr>
          <w:i/>
          <w:lang w:val="en-GB"/>
        </w:rPr>
        <w:t>E3S Web of Conferences</w:t>
      </w:r>
      <w:r w:rsidR="00A941C4" w:rsidRPr="00776340">
        <w:rPr>
          <w:iCs/>
          <w:lang w:val="en-GB"/>
        </w:rPr>
        <w:t>,</w:t>
      </w:r>
      <w:r w:rsidRPr="00E60B44">
        <w:rPr>
          <w:i/>
          <w:lang w:val="en-GB"/>
        </w:rPr>
        <w:t xml:space="preserve"> 22</w:t>
      </w:r>
      <w:r w:rsidRPr="00E60B44">
        <w:rPr>
          <w:lang w:val="en-GB"/>
        </w:rPr>
        <w:t>, 00180. https://doi.org/10.1051/e3sconf/20172200180</w:t>
      </w:r>
    </w:p>
    <w:p w14:paraId="79A1D11D" w14:textId="68B1DF0A" w:rsidR="00EF0279" w:rsidRPr="00E60B44" w:rsidRDefault="00EF0279" w:rsidP="002D4C4D">
      <w:pPr>
        <w:pStyle w:val="Rlit"/>
        <w:rPr>
          <w:lang w:val="en-GB"/>
        </w:rPr>
      </w:pPr>
      <w:r w:rsidRPr="00E60B44">
        <w:rPr>
          <w:lang w:val="en-GB"/>
        </w:rPr>
        <w:t>Wang, Z., de Dear, R., Luo, M., Lin, B., He, Y., Ghahramani, A., Zhu, Y. (2018). Individual difference in thermal comfort: A literature review</w:t>
      </w:r>
      <w:r w:rsidR="00776340">
        <w:rPr>
          <w:lang w:val="en-GB"/>
        </w:rPr>
        <w:t>.</w:t>
      </w:r>
      <w:r w:rsidRPr="00E60B44">
        <w:rPr>
          <w:lang w:val="en-GB"/>
        </w:rPr>
        <w:t xml:space="preserve"> </w:t>
      </w:r>
      <w:r w:rsidRPr="00E60B44">
        <w:rPr>
          <w:i/>
          <w:lang w:val="en-GB"/>
        </w:rPr>
        <w:t>Building and Environment</w:t>
      </w:r>
      <w:r w:rsidRPr="00776340">
        <w:rPr>
          <w:lang w:val="en-GB"/>
        </w:rPr>
        <w:t>,</w:t>
      </w:r>
      <w:r w:rsidRPr="00E60B44">
        <w:rPr>
          <w:i/>
          <w:iCs/>
          <w:lang w:val="en-GB"/>
        </w:rPr>
        <w:t xml:space="preserve"> 138</w:t>
      </w:r>
      <w:r w:rsidRPr="00776340">
        <w:rPr>
          <w:lang w:val="en-GB"/>
        </w:rPr>
        <w:t>,</w:t>
      </w:r>
      <w:r w:rsidRPr="00E60B44">
        <w:rPr>
          <w:lang w:val="en-GB"/>
        </w:rPr>
        <w:t xml:space="preserve"> 181-193. https://doi.org/10.1016/j.buildenv.2018.04.040</w:t>
      </w:r>
    </w:p>
    <w:p w14:paraId="4FE040A4" w14:textId="31F82ED1" w:rsidR="00A647C8" w:rsidRPr="00E60B44" w:rsidRDefault="00A647C8" w:rsidP="002D4C4D">
      <w:pPr>
        <w:pStyle w:val="Rlit"/>
        <w:rPr>
          <w:lang w:val="en-GB"/>
        </w:rPr>
      </w:pPr>
      <w:r w:rsidRPr="008B5F4E">
        <w:rPr>
          <w:lang w:val="en-GB"/>
        </w:rPr>
        <w:t xml:space="preserve">Xie, K., Lee, M., Khalid, R., Zakka, V.G. (2023). </w:t>
      </w:r>
      <w:r w:rsidRPr="00E60B44">
        <w:rPr>
          <w:lang w:val="en-GB"/>
        </w:rPr>
        <w:t>The impact of personal environmental control on the performance of thermal systems: Building energy consumption, occupant thermal comfort, and productivity</w:t>
      </w:r>
      <w:r w:rsidR="00776340">
        <w:rPr>
          <w:lang w:val="en-GB"/>
        </w:rPr>
        <w:t>.</w:t>
      </w:r>
      <w:r w:rsidRPr="00E60B44">
        <w:rPr>
          <w:lang w:val="en-GB"/>
        </w:rPr>
        <w:t xml:space="preserve"> </w:t>
      </w:r>
      <w:r w:rsidRPr="00E60B44">
        <w:rPr>
          <w:i/>
          <w:lang w:val="en-GB"/>
        </w:rPr>
        <w:t>Energy &amp; Buildings</w:t>
      </w:r>
      <w:r w:rsidRPr="00776340">
        <w:rPr>
          <w:iCs/>
          <w:lang w:val="en-GB"/>
        </w:rPr>
        <w:t>,</w:t>
      </w:r>
      <w:r w:rsidRPr="00E60B44">
        <w:rPr>
          <w:i/>
          <w:lang w:val="en-GB"/>
        </w:rPr>
        <w:t xml:space="preserve"> 298</w:t>
      </w:r>
      <w:r w:rsidRPr="00E60B44">
        <w:rPr>
          <w:lang w:val="en-GB"/>
        </w:rPr>
        <w:t xml:space="preserve">, 113552. </w:t>
      </w:r>
      <w:r w:rsidR="00EF0279" w:rsidRPr="00E60B44">
        <w:rPr>
          <w:lang w:val="en-GB"/>
        </w:rPr>
        <w:t>https://doi.org/10.1016/j.enbuild.2023.113552</w:t>
      </w:r>
    </w:p>
    <w:p w14:paraId="691CBE33" w14:textId="77777777" w:rsidR="00E626A6" w:rsidRPr="00E60B44" w:rsidRDefault="00EF0279" w:rsidP="002D4C4D">
      <w:pPr>
        <w:pStyle w:val="Rlit"/>
        <w:rPr>
          <w:lang w:val="en-GB"/>
        </w:rPr>
      </w:pPr>
      <w:r w:rsidRPr="00E60B44">
        <w:rPr>
          <w:lang w:val="en-GB"/>
        </w:rPr>
        <w:t>Yang, B., Olofsson, T., Wang, F., Lu, W. (2018). Thermal comfort in primary school classrooms: A case study under subarctic climate area of Sweden</w:t>
      </w:r>
      <w:r w:rsidR="00A941C4" w:rsidRPr="00E60B44">
        <w:rPr>
          <w:lang w:val="en-GB"/>
        </w:rPr>
        <w:t>,</w:t>
      </w:r>
      <w:r w:rsidRPr="00E60B44">
        <w:rPr>
          <w:lang w:val="en-GB"/>
        </w:rPr>
        <w:t xml:space="preserve"> </w:t>
      </w:r>
      <w:r w:rsidRPr="00E60B44">
        <w:rPr>
          <w:i/>
          <w:lang w:val="en-GB"/>
        </w:rPr>
        <w:t>Building and Environment</w:t>
      </w:r>
      <w:r w:rsidRPr="00776340">
        <w:rPr>
          <w:iCs/>
          <w:lang w:val="en-GB"/>
        </w:rPr>
        <w:t>,</w:t>
      </w:r>
      <w:r w:rsidRPr="00E60B44">
        <w:rPr>
          <w:lang w:val="en-GB"/>
        </w:rPr>
        <w:t xml:space="preserve"> </w:t>
      </w:r>
      <w:r w:rsidRPr="00E60B44">
        <w:rPr>
          <w:i/>
          <w:iCs/>
          <w:lang w:val="en-GB"/>
        </w:rPr>
        <w:t>135</w:t>
      </w:r>
      <w:r w:rsidRPr="00776340">
        <w:rPr>
          <w:lang w:val="en-GB"/>
        </w:rPr>
        <w:t>,</w:t>
      </w:r>
      <w:r w:rsidRPr="00E60B44">
        <w:rPr>
          <w:lang w:val="en-GB"/>
        </w:rPr>
        <w:t xml:space="preserve"> 237-245. https://doi.org/1010.1016/j.buildenv.2018.03.019</w:t>
      </w:r>
    </w:p>
    <w:sectPr w:rsidR="00E626A6" w:rsidRPr="00E60B44" w:rsidSect="00D53F25">
      <w:headerReference w:type="even" r:id="rId21"/>
      <w:headerReference w:type="default" r:id="rId22"/>
      <w:footerReference w:type="first" r:id="rId23"/>
      <w:pgSz w:w="11907" w:h="16840" w:code="9"/>
      <w:pgMar w:top="1134" w:right="1134" w:bottom="1134" w:left="1134" w:header="567" w:footer="567" w:gutter="0"/>
      <w:pgNumType w:start="3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CAF83" w14:textId="77777777" w:rsidR="00D53F25" w:rsidRDefault="00D53F25" w:rsidP="003A4841">
      <w:r>
        <w:separator/>
      </w:r>
    </w:p>
  </w:endnote>
  <w:endnote w:type="continuationSeparator" w:id="0">
    <w:p w14:paraId="24A2064B" w14:textId="77777777" w:rsidR="00D53F25" w:rsidRDefault="00D53F25" w:rsidP="003A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3A4841" w:rsidRPr="00033682" w14:paraId="0C0D8CA8" w14:textId="77777777" w:rsidTr="00D941B5">
      <w:trPr>
        <w:trHeight w:val="198"/>
      </w:trPr>
      <w:tc>
        <w:tcPr>
          <w:tcW w:w="1384" w:type="dxa"/>
          <w:shd w:val="clear" w:color="auto" w:fill="auto"/>
          <w:vAlign w:val="center"/>
        </w:tcPr>
        <w:p w14:paraId="052A47C8" w14:textId="77777777" w:rsidR="003A4841" w:rsidRPr="00033682" w:rsidRDefault="003A4841" w:rsidP="003A4841">
          <w:pPr>
            <w:ind w:left="-112"/>
          </w:pPr>
          <w:bookmarkStart w:id="4" w:name="_Hlk104286226"/>
          <w:bookmarkStart w:id="5" w:name="_Hlk104286227"/>
          <w:bookmarkStart w:id="6" w:name="_Hlk154270864"/>
          <w:bookmarkStart w:id="7" w:name="_Hlk154270865"/>
          <w:r w:rsidRPr="00033682">
            <w:rPr>
              <w:noProof/>
            </w:rPr>
            <w:drawing>
              <wp:inline distT="0" distB="0" distL="0" distR="0" wp14:anchorId="0401A34E" wp14:editId="4DE29CC2">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421072B6" w14:textId="40A72680" w:rsidR="003A4841" w:rsidRPr="00033682" w:rsidRDefault="003A4841" w:rsidP="003A4841">
          <w:pPr>
            <w:suppressAutoHyphens/>
            <w:ind w:left="-78"/>
            <w:rPr>
              <w:sz w:val="18"/>
              <w:szCs w:val="18"/>
              <w:lang w:val="en-GB"/>
            </w:rPr>
          </w:pPr>
          <w:r w:rsidRPr="00033682">
            <w:rPr>
              <w:sz w:val="18"/>
              <w:szCs w:val="18"/>
              <w:lang w:val="en-GB"/>
            </w:rPr>
            <w:t>© 202</w:t>
          </w:r>
          <w:r w:rsidR="005B0108">
            <w:rPr>
              <w:sz w:val="18"/>
              <w:szCs w:val="18"/>
              <w:lang w:val="en-GB"/>
            </w:rPr>
            <w:t>4</w:t>
          </w:r>
          <w:r w:rsidRPr="00033682">
            <w:rPr>
              <w:sz w:val="18"/>
              <w:szCs w:val="18"/>
              <w:lang w:val="en-GB"/>
            </w:rPr>
            <w:t>. Author(s). This work is licensed under a Creative Commons Attribution 4.0 International License (CC BY-SA)</w:t>
          </w:r>
        </w:p>
      </w:tc>
    </w:tr>
    <w:bookmarkEnd w:id="4"/>
    <w:bookmarkEnd w:id="5"/>
    <w:bookmarkEnd w:id="6"/>
    <w:bookmarkEnd w:id="7"/>
  </w:tbl>
  <w:p w14:paraId="7ED9C904" w14:textId="77777777" w:rsidR="003A4841" w:rsidRPr="00033682" w:rsidRDefault="003A4841" w:rsidP="003A4841">
    <w:pPr>
      <w:pStyle w:val="Stopka"/>
      <w:rPr>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24E27" w14:textId="77777777" w:rsidR="00D53F25" w:rsidRDefault="00D53F25" w:rsidP="003A4841">
      <w:r>
        <w:separator/>
      </w:r>
    </w:p>
  </w:footnote>
  <w:footnote w:type="continuationSeparator" w:id="0">
    <w:p w14:paraId="406331DA" w14:textId="77777777" w:rsidR="00D53F25" w:rsidRDefault="00D53F25" w:rsidP="003A4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3A4841" w:rsidRPr="003337FB" w14:paraId="74042567" w14:textId="77777777" w:rsidTr="00D941B5">
      <w:trPr>
        <w:trHeight w:hRule="exact" w:val="284"/>
      </w:trPr>
      <w:tc>
        <w:tcPr>
          <w:tcW w:w="397" w:type="dxa"/>
          <w:shd w:val="clear" w:color="auto" w:fill="auto"/>
          <w:vAlign w:val="center"/>
        </w:tcPr>
        <w:p w14:paraId="3796AC55" w14:textId="77777777" w:rsidR="003A4841" w:rsidRPr="003337FB" w:rsidRDefault="003A4841" w:rsidP="003A4841">
          <w:pPr>
            <w:pStyle w:val="Nagwek"/>
            <w:rPr>
              <w:rFonts w:ascii="Arial" w:hAnsi="Arial" w:cs="Arial"/>
              <w:i/>
              <w:sz w:val="20"/>
            </w:rPr>
          </w:pPr>
          <w:r w:rsidRPr="003337FB">
            <w:rPr>
              <w:rFonts w:ascii="Arial" w:hAnsi="Arial" w:cs="Arial"/>
              <w:sz w:val="20"/>
            </w:rPr>
            <w:fldChar w:fldCharType="begin"/>
          </w:r>
          <w:r w:rsidRPr="003337FB">
            <w:rPr>
              <w:rFonts w:ascii="Arial" w:hAnsi="Arial" w:cs="Arial"/>
              <w:sz w:val="20"/>
            </w:rPr>
            <w:instrText xml:space="preserve"> PAGE   \* MERGEFORMAT </w:instrText>
          </w:r>
          <w:r w:rsidRPr="003337FB">
            <w:rPr>
              <w:rFonts w:ascii="Arial" w:hAnsi="Arial" w:cs="Arial"/>
              <w:sz w:val="20"/>
            </w:rPr>
            <w:fldChar w:fldCharType="separate"/>
          </w:r>
          <w:r>
            <w:rPr>
              <w:rFonts w:ascii="Arial" w:hAnsi="Arial" w:cs="Arial"/>
              <w:sz w:val="20"/>
            </w:rPr>
            <w:t>2</w:t>
          </w:r>
          <w:r w:rsidRPr="003337FB">
            <w:rPr>
              <w:rFonts w:ascii="Arial" w:hAnsi="Arial" w:cs="Arial"/>
              <w:sz w:val="20"/>
            </w:rPr>
            <w:fldChar w:fldCharType="end"/>
          </w:r>
        </w:p>
      </w:tc>
      <w:tc>
        <w:tcPr>
          <w:tcW w:w="9242" w:type="dxa"/>
          <w:shd w:val="clear" w:color="auto" w:fill="auto"/>
          <w:vAlign w:val="center"/>
        </w:tcPr>
        <w:p w14:paraId="2A5E0575" w14:textId="55168328" w:rsidR="003A4841" w:rsidRPr="003337FB" w:rsidRDefault="003A4841" w:rsidP="003A4841">
          <w:pPr>
            <w:pStyle w:val="Nagwek"/>
            <w:jc w:val="center"/>
            <w:rPr>
              <w:rFonts w:ascii="Arial" w:hAnsi="Arial" w:cs="Arial"/>
              <w:i/>
              <w:sz w:val="20"/>
            </w:rPr>
          </w:pPr>
          <w:r w:rsidRPr="003A4841">
            <w:rPr>
              <w:rFonts w:ascii="Arial" w:hAnsi="Arial" w:cs="Arial"/>
              <w:i/>
              <w:sz w:val="20"/>
            </w:rPr>
            <w:t xml:space="preserve">Natalia </w:t>
          </w:r>
          <w:proofErr w:type="spellStart"/>
          <w:r w:rsidRPr="003A4841">
            <w:rPr>
              <w:rFonts w:ascii="Arial" w:hAnsi="Arial" w:cs="Arial"/>
              <w:i/>
              <w:sz w:val="20"/>
            </w:rPr>
            <w:t>Siwczuk</w:t>
          </w:r>
          <w:proofErr w:type="spellEnd"/>
          <w:r>
            <w:rPr>
              <w:rFonts w:ascii="Arial" w:hAnsi="Arial" w:cs="Arial"/>
              <w:i/>
              <w:sz w:val="20"/>
            </w:rPr>
            <w:t xml:space="preserve"> et al.</w:t>
          </w:r>
        </w:p>
      </w:tc>
    </w:tr>
  </w:tbl>
  <w:p w14:paraId="5E1BE0B2" w14:textId="77777777" w:rsidR="003A4841" w:rsidRPr="003337FB" w:rsidRDefault="003A4841" w:rsidP="003A4841">
    <w:pPr>
      <w:pStyle w:val="Nagwek"/>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3A4841" w:rsidRPr="003337FB" w14:paraId="05631EC2" w14:textId="77777777" w:rsidTr="00D941B5">
      <w:trPr>
        <w:trHeight w:hRule="exact" w:val="284"/>
        <w:jc w:val="right"/>
      </w:trPr>
      <w:tc>
        <w:tcPr>
          <w:tcW w:w="9243" w:type="dxa"/>
          <w:shd w:val="clear" w:color="auto" w:fill="auto"/>
          <w:vAlign w:val="center"/>
        </w:tcPr>
        <w:p w14:paraId="3437EB03" w14:textId="56CE4594" w:rsidR="003A4841" w:rsidRPr="003337FB" w:rsidRDefault="003A4841" w:rsidP="003A4841">
          <w:pPr>
            <w:pStyle w:val="Nagwek"/>
            <w:jc w:val="center"/>
            <w:rPr>
              <w:rFonts w:ascii="Arial" w:hAnsi="Arial" w:cs="Arial"/>
              <w:i/>
              <w:sz w:val="20"/>
              <w:szCs w:val="16"/>
              <w:lang w:val="en-GB"/>
            </w:rPr>
          </w:pPr>
          <w:r w:rsidRPr="003A4841">
            <w:rPr>
              <w:rFonts w:ascii="Arial" w:hAnsi="Arial" w:cs="Arial"/>
              <w:i/>
              <w:sz w:val="20"/>
              <w:szCs w:val="16"/>
              <w:lang w:val="en-GB"/>
            </w:rPr>
            <w:t>Investigation of Thermal Comfort, Productivity and Lighting Conditions</w:t>
          </w:r>
          <w:r>
            <w:rPr>
              <w:rFonts w:ascii="Arial" w:hAnsi="Arial" w:cs="Arial"/>
              <w:i/>
              <w:sz w:val="20"/>
              <w:szCs w:val="16"/>
              <w:lang w:val="en-GB"/>
            </w:rPr>
            <w:t>…</w:t>
          </w:r>
        </w:p>
      </w:tc>
      <w:tc>
        <w:tcPr>
          <w:tcW w:w="397" w:type="dxa"/>
          <w:shd w:val="clear" w:color="auto" w:fill="auto"/>
          <w:vAlign w:val="center"/>
        </w:tcPr>
        <w:p w14:paraId="603FA9D4" w14:textId="77777777" w:rsidR="003A4841" w:rsidRPr="003337FB" w:rsidRDefault="003A4841" w:rsidP="003A4841">
          <w:pPr>
            <w:pStyle w:val="Nagwek"/>
            <w:jc w:val="right"/>
            <w:rPr>
              <w:rFonts w:ascii="Arial" w:hAnsi="Arial" w:cs="Arial"/>
              <w:i/>
              <w:sz w:val="20"/>
              <w:szCs w:val="16"/>
            </w:rPr>
          </w:pPr>
          <w:r w:rsidRPr="003337FB">
            <w:rPr>
              <w:rFonts w:ascii="Arial" w:hAnsi="Arial" w:cs="Arial"/>
              <w:sz w:val="20"/>
              <w:szCs w:val="16"/>
            </w:rPr>
            <w:fldChar w:fldCharType="begin"/>
          </w:r>
          <w:r w:rsidRPr="003337FB">
            <w:rPr>
              <w:rFonts w:ascii="Arial" w:hAnsi="Arial" w:cs="Arial"/>
              <w:sz w:val="20"/>
              <w:szCs w:val="16"/>
            </w:rPr>
            <w:instrText xml:space="preserve"> PAGE   \* MERGEFORMAT </w:instrText>
          </w:r>
          <w:r w:rsidRPr="003337FB">
            <w:rPr>
              <w:rFonts w:ascii="Arial" w:hAnsi="Arial" w:cs="Arial"/>
              <w:sz w:val="20"/>
              <w:szCs w:val="16"/>
            </w:rPr>
            <w:fldChar w:fldCharType="separate"/>
          </w:r>
          <w:r>
            <w:rPr>
              <w:rFonts w:ascii="Arial" w:hAnsi="Arial" w:cs="Arial"/>
              <w:sz w:val="20"/>
              <w:szCs w:val="16"/>
            </w:rPr>
            <w:t>3</w:t>
          </w:r>
          <w:r w:rsidRPr="003337FB">
            <w:rPr>
              <w:rFonts w:ascii="Arial" w:hAnsi="Arial" w:cs="Arial"/>
              <w:sz w:val="20"/>
              <w:szCs w:val="16"/>
            </w:rPr>
            <w:fldChar w:fldCharType="end"/>
          </w:r>
        </w:p>
      </w:tc>
    </w:tr>
  </w:tbl>
  <w:p w14:paraId="469FABCD" w14:textId="77777777" w:rsidR="003A4841" w:rsidRPr="003337FB" w:rsidRDefault="003A4841" w:rsidP="003A4841">
    <w:pPr>
      <w:pStyle w:val="Nagwek"/>
      <w:rPr>
        <w:rFonts w:ascii="Arial" w:hAnsi="Arial" w:cs="Arial"/>
        <w:sz w:val="6"/>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8"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3"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16cid:durableId="143282347">
    <w:abstractNumId w:val="15"/>
  </w:num>
  <w:num w:numId="2" w16cid:durableId="662926832">
    <w:abstractNumId w:val="3"/>
  </w:num>
  <w:num w:numId="3" w16cid:durableId="653290504">
    <w:abstractNumId w:val="12"/>
  </w:num>
  <w:num w:numId="4" w16cid:durableId="842431559">
    <w:abstractNumId w:val="7"/>
  </w:num>
  <w:num w:numId="5" w16cid:durableId="296034200">
    <w:abstractNumId w:val="11"/>
  </w:num>
  <w:num w:numId="6" w16cid:durableId="564225797">
    <w:abstractNumId w:val="4"/>
  </w:num>
  <w:num w:numId="7" w16cid:durableId="1984581917">
    <w:abstractNumId w:val="6"/>
  </w:num>
  <w:num w:numId="8" w16cid:durableId="448551307">
    <w:abstractNumId w:val="1"/>
  </w:num>
  <w:num w:numId="9" w16cid:durableId="1683704783">
    <w:abstractNumId w:val="14"/>
  </w:num>
  <w:num w:numId="10" w16cid:durableId="2058623951">
    <w:abstractNumId w:val="9"/>
  </w:num>
  <w:num w:numId="11" w16cid:durableId="2043087349">
    <w:abstractNumId w:val="13"/>
  </w:num>
  <w:num w:numId="12" w16cid:durableId="1984969242">
    <w:abstractNumId w:val="10"/>
  </w:num>
  <w:num w:numId="13" w16cid:durableId="539165611">
    <w:abstractNumId w:val="5"/>
  </w:num>
  <w:num w:numId="14" w16cid:durableId="15693737">
    <w:abstractNumId w:val="14"/>
  </w:num>
  <w:num w:numId="15" w16cid:durableId="819811912">
    <w:abstractNumId w:val="8"/>
  </w:num>
  <w:num w:numId="16" w16cid:durableId="1630161932">
    <w:abstractNumId w:val="5"/>
  </w:num>
  <w:num w:numId="17" w16cid:durableId="826244595">
    <w:abstractNumId w:val="5"/>
  </w:num>
  <w:num w:numId="18" w16cid:durableId="835728956">
    <w:abstractNumId w:val="5"/>
  </w:num>
  <w:num w:numId="19" w16cid:durableId="693769677">
    <w:abstractNumId w:val="5"/>
  </w:num>
  <w:num w:numId="20" w16cid:durableId="287781213">
    <w:abstractNumId w:val="5"/>
  </w:num>
  <w:num w:numId="21" w16cid:durableId="1403915394">
    <w:abstractNumId w:val="5"/>
  </w:num>
  <w:num w:numId="22" w16cid:durableId="2099711536">
    <w:abstractNumId w:val="5"/>
  </w:num>
  <w:num w:numId="23" w16cid:durableId="1837457099">
    <w:abstractNumId w:val="5"/>
  </w:num>
  <w:num w:numId="24" w16cid:durableId="109327873">
    <w:abstractNumId w:val="5"/>
  </w:num>
  <w:num w:numId="25" w16cid:durableId="1062024644">
    <w:abstractNumId w:val="5"/>
  </w:num>
  <w:num w:numId="26" w16cid:durableId="1865553630">
    <w:abstractNumId w:val="5"/>
  </w:num>
  <w:num w:numId="27" w16cid:durableId="1334647249">
    <w:abstractNumId w:val="5"/>
  </w:num>
  <w:num w:numId="28" w16cid:durableId="1598440875">
    <w:abstractNumId w:val="5"/>
  </w:num>
  <w:num w:numId="29" w16cid:durableId="1880243422">
    <w:abstractNumId w:val="11"/>
  </w:num>
  <w:num w:numId="30" w16cid:durableId="125902911">
    <w:abstractNumId w:val="11"/>
  </w:num>
  <w:num w:numId="31" w16cid:durableId="856382656">
    <w:abstractNumId w:val="11"/>
    <w:lvlOverride w:ilvl="0">
      <w:startOverride w:val="1"/>
    </w:lvlOverride>
  </w:num>
  <w:num w:numId="32" w16cid:durableId="1382898615">
    <w:abstractNumId w:val="11"/>
  </w:num>
  <w:num w:numId="33" w16cid:durableId="1131173727">
    <w:abstractNumId w:val="11"/>
    <w:lvlOverride w:ilvl="0">
      <w:startOverride w:val="1"/>
    </w:lvlOverride>
  </w:num>
  <w:num w:numId="34" w16cid:durableId="1265112267">
    <w:abstractNumId w:val="11"/>
    <w:lvlOverride w:ilvl="0">
      <w:startOverride w:val="1"/>
    </w:lvlOverride>
  </w:num>
  <w:num w:numId="35" w16cid:durableId="653263419">
    <w:abstractNumId w:val="12"/>
    <w:lvlOverride w:ilvl="0">
      <w:startOverride w:val="1"/>
    </w:lvlOverride>
  </w:num>
  <w:num w:numId="36" w16cid:durableId="1410299916">
    <w:abstractNumId w:val="12"/>
  </w:num>
  <w:num w:numId="37" w16cid:durableId="1135215695">
    <w:abstractNumId w:val="12"/>
    <w:lvlOverride w:ilvl="0">
      <w:startOverride w:val="1"/>
    </w:lvlOverride>
  </w:num>
  <w:num w:numId="38" w16cid:durableId="227227883">
    <w:abstractNumId w:val="12"/>
  </w:num>
  <w:num w:numId="39" w16cid:durableId="1741977472">
    <w:abstractNumId w:val="12"/>
    <w:lvlOverride w:ilvl="0">
      <w:startOverride w:val="1"/>
    </w:lvlOverride>
  </w:num>
  <w:num w:numId="40" w16cid:durableId="1320116716">
    <w:abstractNumId w:val="12"/>
    <w:lvlOverride w:ilvl="0">
      <w:startOverride w:val="1"/>
    </w:lvlOverride>
  </w:num>
  <w:num w:numId="41" w16cid:durableId="1098524582">
    <w:abstractNumId w:val="12"/>
    <w:lvlOverride w:ilvl="0">
      <w:startOverride w:val="1"/>
    </w:lvlOverride>
  </w:num>
  <w:num w:numId="42" w16cid:durableId="2106227936">
    <w:abstractNumId w:val="12"/>
  </w:num>
  <w:num w:numId="43" w16cid:durableId="2022508441">
    <w:abstractNumId w:val="12"/>
  </w:num>
  <w:num w:numId="44" w16cid:durableId="1726948782">
    <w:abstractNumId w:val="2"/>
  </w:num>
  <w:num w:numId="45" w16cid:durableId="496651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PostScriptOverText/>
  <w:embedSystemFonts/>
  <w:mirrorMargins/>
  <w:hideSpellingError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autoHyphenation/>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zM7EwtTQ3tzQzsjBR0lEKTi0uzszPAykwqgUAIQHhtCwAAAA="/>
  </w:docVars>
  <w:rsids>
    <w:rsidRoot w:val="00C14B14"/>
    <w:rsid w:val="000007B5"/>
    <w:rsid w:val="00003D7C"/>
    <w:rsid w:val="00014140"/>
    <w:rsid w:val="00020205"/>
    <w:rsid w:val="00027428"/>
    <w:rsid w:val="00031EC9"/>
    <w:rsid w:val="00033D08"/>
    <w:rsid w:val="00041FA1"/>
    <w:rsid w:val="000502E8"/>
    <w:rsid w:val="00054E2F"/>
    <w:rsid w:val="0005641B"/>
    <w:rsid w:val="00061A2C"/>
    <w:rsid w:val="00063B96"/>
    <w:rsid w:val="00066FED"/>
    <w:rsid w:val="00075EA6"/>
    <w:rsid w:val="0007709F"/>
    <w:rsid w:val="00083094"/>
    <w:rsid w:val="00086F62"/>
    <w:rsid w:val="00090674"/>
    <w:rsid w:val="0009320B"/>
    <w:rsid w:val="000956C5"/>
    <w:rsid w:val="00096AE0"/>
    <w:rsid w:val="000A16CB"/>
    <w:rsid w:val="000A4EBD"/>
    <w:rsid w:val="000B1B74"/>
    <w:rsid w:val="000B3A2D"/>
    <w:rsid w:val="000B4859"/>
    <w:rsid w:val="000B49C0"/>
    <w:rsid w:val="000C051A"/>
    <w:rsid w:val="000C4423"/>
    <w:rsid w:val="000C4F1B"/>
    <w:rsid w:val="000C5BE4"/>
    <w:rsid w:val="000C67B8"/>
    <w:rsid w:val="000D15AC"/>
    <w:rsid w:val="000D366B"/>
    <w:rsid w:val="000D4BA7"/>
    <w:rsid w:val="000D738D"/>
    <w:rsid w:val="000E382F"/>
    <w:rsid w:val="000E596E"/>
    <w:rsid w:val="000E75CD"/>
    <w:rsid w:val="000F08A3"/>
    <w:rsid w:val="001036BA"/>
    <w:rsid w:val="0010529A"/>
    <w:rsid w:val="0011431F"/>
    <w:rsid w:val="001146DC"/>
    <w:rsid w:val="00114AB1"/>
    <w:rsid w:val="001230FF"/>
    <w:rsid w:val="00130BD7"/>
    <w:rsid w:val="00131EDE"/>
    <w:rsid w:val="001321A0"/>
    <w:rsid w:val="00153308"/>
    <w:rsid w:val="00155B67"/>
    <w:rsid w:val="00155DD6"/>
    <w:rsid w:val="001562AF"/>
    <w:rsid w:val="00161723"/>
    <w:rsid w:val="00161A5B"/>
    <w:rsid w:val="0016385D"/>
    <w:rsid w:val="0016782F"/>
    <w:rsid w:val="001842EA"/>
    <w:rsid w:val="00185774"/>
    <w:rsid w:val="001911DF"/>
    <w:rsid w:val="001937E9"/>
    <w:rsid w:val="001964B2"/>
    <w:rsid w:val="001964E5"/>
    <w:rsid w:val="001B263B"/>
    <w:rsid w:val="001B476A"/>
    <w:rsid w:val="001C25F9"/>
    <w:rsid w:val="001C4D9E"/>
    <w:rsid w:val="001C764F"/>
    <w:rsid w:val="001C7BB3"/>
    <w:rsid w:val="001D1E9E"/>
    <w:rsid w:val="001D469C"/>
    <w:rsid w:val="001D72EE"/>
    <w:rsid w:val="001E2696"/>
    <w:rsid w:val="001E4283"/>
    <w:rsid w:val="001F2AFC"/>
    <w:rsid w:val="001F5F7A"/>
    <w:rsid w:val="0021619E"/>
    <w:rsid w:val="00217990"/>
    <w:rsid w:val="00220D52"/>
    <w:rsid w:val="00223FE6"/>
    <w:rsid w:val="0022715F"/>
    <w:rsid w:val="00230AD0"/>
    <w:rsid w:val="0023171B"/>
    <w:rsid w:val="00234884"/>
    <w:rsid w:val="00236BFC"/>
    <w:rsid w:val="00237437"/>
    <w:rsid w:val="00237983"/>
    <w:rsid w:val="002502FD"/>
    <w:rsid w:val="002505C9"/>
    <w:rsid w:val="00272368"/>
    <w:rsid w:val="00274622"/>
    <w:rsid w:val="002840D8"/>
    <w:rsid w:val="00285C68"/>
    <w:rsid w:val="00285D24"/>
    <w:rsid w:val="00290390"/>
    <w:rsid w:val="0029042A"/>
    <w:rsid w:val="002915D3"/>
    <w:rsid w:val="002924DB"/>
    <w:rsid w:val="002941DA"/>
    <w:rsid w:val="00297003"/>
    <w:rsid w:val="002A18FC"/>
    <w:rsid w:val="002A3147"/>
    <w:rsid w:val="002A5E40"/>
    <w:rsid w:val="002B29F2"/>
    <w:rsid w:val="002B5648"/>
    <w:rsid w:val="002C4069"/>
    <w:rsid w:val="002C73B6"/>
    <w:rsid w:val="002D01D5"/>
    <w:rsid w:val="002D203F"/>
    <w:rsid w:val="002D4C4D"/>
    <w:rsid w:val="002E3C35"/>
    <w:rsid w:val="002E4359"/>
    <w:rsid w:val="002E74A6"/>
    <w:rsid w:val="002E78AD"/>
    <w:rsid w:val="002F2BEA"/>
    <w:rsid w:val="002F5298"/>
    <w:rsid w:val="003021D2"/>
    <w:rsid w:val="00325C97"/>
    <w:rsid w:val="00326AE0"/>
    <w:rsid w:val="00333144"/>
    <w:rsid w:val="00333E7A"/>
    <w:rsid w:val="00337E4F"/>
    <w:rsid w:val="00340A86"/>
    <w:rsid w:val="00340C36"/>
    <w:rsid w:val="00346515"/>
    <w:rsid w:val="00346A9D"/>
    <w:rsid w:val="0035561A"/>
    <w:rsid w:val="00365837"/>
    <w:rsid w:val="003678F1"/>
    <w:rsid w:val="00367A31"/>
    <w:rsid w:val="00392559"/>
    <w:rsid w:val="0039376F"/>
    <w:rsid w:val="003958C9"/>
    <w:rsid w:val="003A287B"/>
    <w:rsid w:val="003A4841"/>
    <w:rsid w:val="003A5C85"/>
    <w:rsid w:val="003A5DB2"/>
    <w:rsid w:val="003A61B1"/>
    <w:rsid w:val="003B0050"/>
    <w:rsid w:val="003B6DC3"/>
    <w:rsid w:val="003C1227"/>
    <w:rsid w:val="003D5F47"/>
    <w:rsid w:val="003D6312"/>
    <w:rsid w:val="003E4624"/>
    <w:rsid w:val="003E55DC"/>
    <w:rsid w:val="003E7C74"/>
    <w:rsid w:val="003F03AE"/>
    <w:rsid w:val="003F31C6"/>
    <w:rsid w:val="003F6369"/>
    <w:rsid w:val="0040088B"/>
    <w:rsid w:val="0040096A"/>
    <w:rsid w:val="0040225B"/>
    <w:rsid w:val="00402DA2"/>
    <w:rsid w:val="00425AC2"/>
    <w:rsid w:val="00433B60"/>
    <w:rsid w:val="0044331E"/>
    <w:rsid w:val="0044771F"/>
    <w:rsid w:val="00453B0F"/>
    <w:rsid w:val="00460AF7"/>
    <w:rsid w:val="0046763E"/>
    <w:rsid w:val="004737CE"/>
    <w:rsid w:val="00473FE0"/>
    <w:rsid w:val="0048066D"/>
    <w:rsid w:val="00482889"/>
    <w:rsid w:val="0048701A"/>
    <w:rsid w:val="0049452E"/>
    <w:rsid w:val="004953E4"/>
    <w:rsid w:val="004A1968"/>
    <w:rsid w:val="004A50C8"/>
    <w:rsid w:val="004B151D"/>
    <w:rsid w:val="004B7DC0"/>
    <w:rsid w:val="004C0D22"/>
    <w:rsid w:val="004C305B"/>
    <w:rsid w:val="004C46C2"/>
    <w:rsid w:val="004C7243"/>
    <w:rsid w:val="004D621D"/>
    <w:rsid w:val="004E0EE3"/>
    <w:rsid w:val="004E21DE"/>
    <w:rsid w:val="004E3C57"/>
    <w:rsid w:val="004E3CB2"/>
    <w:rsid w:val="004E5533"/>
    <w:rsid w:val="004E7475"/>
    <w:rsid w:val="00514892"/>
    <w:rsid w:val="00514F86"/>
    <w:rsid w:val="00521674"/>
    <w:rsid w:val="00525813"/>
    <w:rsid w:val="005341E0"/>
    <w:rsid w:val="0053513F"/>
    <w:rsid w:val="00542157"/>
    <w:rsid w:val="00544346"/>
    <w:rsid w:val="00545620"/>
    <w:rsid w:val="00552FD6"/>
    <w:rsid w:val="00554589"/>
    <w:rsid w:val="00566EF1"/>
    <w:rsid w:val="00574405"/>
    <w:rsid w:val="00575B24"/>
    <w:rsid w:val="00583503"/>
    <w:rsid w:val="005854B0"/>
    <w:rsid w:val="00594219"/>
    <w:rsid w:val="005A0E21"/>
    <w:rsid w:val="005A2EA7"/>
    <w:rsid w:val="005B0108"/>
    <w:rsid w:val="005B05D9"/>
    <w:rsid w:val="005B15D8"/>
    <w:rsid w:val="005B3A34"/>
    <w:rsid w:val="005C072F"/>
    <w:rsid w:val="005C6912"/>
    <w:rsid w:val="005D49AF"/>
    <w:rsid w:val="005E03B0"/>
    <w:rsid w:val="005E415C"/>
    <w:rsid w:val="005E50A6"/>
    <w:rsid w:val="005E71ED"/>
    <w:rsid w:val="005E7946"/>
    <w:rsid w:val="005F7475"/>
    <w:rsid w:val="00611299"/>
    <w:rsid w:val="00613B4D"/>
    <w:rsid w:val="006141ED"/>
    <w:rsid w:val="00616365"/>
    <w:rsid w:val="00616B1C"/>
    <w:rsid w:val="00616F3B"/>
    <w:rsid w:val="006200DD"/>
    <w:rsid w:val="006249A7"/>
    <w:rsid w:val="006351D9"/>
    <w:rsid w:val="0064225B"/>
    <w:rsid w:val="006443DA"/>
    <w:rsid w:val="00650F97"/>
    <w:rsid w:val="006547DE"/>
    <w:rsid w:val="00665952"/>
    <w:rsid w:val="0067315A"/>
    <w:rsid w:val="006763F9"/>
    <w:rsid w:val="00681584"/>
    <w:rsid w:val="00683DB9"/>
    <w:rsid w:val="006949BC"/>
    <w:rsid w:val="006A29E0"/>
    <w:rsid w:val="006A2D7F"/>
    <w:rsid w:val="006B1B28"/>
    <w:rsid w:val="006B598F"/>
    <w:rsid w:val="006B727C"/>
    <w:rsid w:val="006B7B61"/>
    <w:rsid w:val="006C38C9"/>
    <w:rsid w:val="006C5250"/>
    <w:rsid w:val="006D1229"/>
    <w:rsid w:val="006D372F"/>
    <w:rsid w:val="006D7A18"/>
    <w:rsid w:val="006E09A1"/>
    <w:rsid w:val="006E4474"/>
    <w:rsid w:val="006F25ED"/>
    <w:rsid w:val="00701388"/>
    <w:rsid w:val="007023D7"/>
    <w:rsid w:val="00710CF4"/>
    <w:rsid w:val="00712D20"/>
    <w:rsid w:val="00723200"/>
    <w:rsid w:val="00723B7F"/>
    <w:rsid w:val="00725861"/>
    <w:rsid w:val="00730CCD"/>
    <w:rsid w:val="0073393A"/>
    <w:rsid w:val="0073539D"/>
    <w:rsid w:val="007429FE"/>
    <w:rsid w:val="0075132D"/>
    <w:rsid w:val="0075301F"/>
    <w:rsid w:val="00757991"/>
    <w:rsid w:val="00764AAB"/>
    <w:rsid w:val="007674F9"/>
    <w:rsid w:val="00767B8A"/>
    <w:rsid w:val="007715B6"/>
    <w:rsid w:val="00774F55"/>
    <w:rsid w:val="00775481"/>
    <w:rsid w:val="00776340"/>
    <w:rsid w:val="007851A1"/>
    <w:rsid w:val="00791474"/>
    <w:rsid w:val="00794840"/>
    <w:rsid w:val="007A00C7"/>
    <w:rsid w:val="007A233B"/>
    <w:rsid w:val="007A63A8"/>
    <w:rsid w:val="007A65C7"/>
    <w:rsid w:val="007A6B53"/>
    <w:rsid w:val="007B4863"/>
    <w:rsid w:val="007C65E6"/>
    <w:rsid w:val="007D406B"/>
    <w:rsid w:val="007D4407"/>
    <w:rsid w:val="007D6B8A"/>
    <w:rsid w:val="007E1CA3"/>
    <w:rsid w:val="007E2A5A"/>
    <w:rsid w:val="007E4DFB"/>
    <w:rsid w:val="00810EE9"/>
    <w:rsid w:val="00812D62"/>
    <w:rsid w:val="00812F29"/>
    <w:rsid w:val="008139BE"/>
    <w:rsid w:val="008204A8"/>
    <w:rsid w:val="00821713"/>
    <w:rsid w:val="00827050"/>
    <w:rsid w:val="00827E07"/>
    <w:rsid w:val="0083278B"/>
    <w:rsid w:val="008336D2"/>
    <w:rsid w:val="00834538"/>
    <w:rsid w:val="008363B5"/>
    <w:rsid w:val="0084183C"/>
    <w:rsid w:val="00843423"/>
    <w:rsid w:val="00850E89"/>
    <w:rsid w:val="008644EC"/>
    <w:rsid w:val="00867DC7"/>
    <w:rsid w:val="00876BB2"/>
    <w:rsid w:val="00877622"/>
    <w:rsid w:val="008843B0"/>
    <w:rsid w:val="008930E4"/>
    <w:rsid w:val="00893821"/>
    <w:rsid w:val="00893D39"/>
    <w:rsid w:val="00895542"/>
    <w:rsid w:val="008A02D6"/>
    <w:rsid w:val="008A7B9C"/>
    <w:rsid w:val="008B11D2"/>
    <w:rsid w:val="008B39FA"/>
    <w:rsid w:val="008B4754"/>
    <w:rsid w:val="008B5F4E"/>
    <w:rsid w:val="008C2245"/>
    <w:rsid w:val="008C2351"/>
    <w:rsid w:val="008C5F22"/>
    <w:rsid w:val="008D3048"/>
    <w:rsid w:val="008E6A7A"/>
    <w:rsid w:val="008F1038"/>
    <w:rsid w:val="008F1EE7"/>
    <w:rsid w:val="008F4A41"/>
    <w:rsid w:val="008F6FDC"/>
    <w:rsid w:val="008F7046"/>
    <w:rsid w:val="009005FC"/>
    <w:rsid w:val="0091490A"/>
    <w:rsid w:val="0092189A"/>
    <w:rsid w:val="00922E5A"/>
    <w:rsid w:val="00925CAB"/>
    <w:rsid w:val="0094179D"/>
    <w:rsid w:val="00942584"/>
    <w:rsid w:val="00943315"/>
    <w:rsid w:val="00946C27"/>
    <w:rsid w:val="00950804"/>
    <w:rsid w:val="009657DE"/>
    <w:rsid w:val="009721BF"/>
    <w:rsid w:val="009847A4"/>
    <w:rsid w:val="009901F9"/>
    <w:rsid w:val="009955D1"/>
    <w:rsid w:val="009A1FCC"/>
    <w:rsid w:val="009A4F3D"/>
    <w:rsid w:val="009B1EFD"/>
    <w:rsid w:val="009B2E95"/>
    <w:rsid w:val="009B36F8"/>
    <w:rsid w:val="009B696B"/>
    <w:rsid w:val="009B7671"/>
    <w:rsid w:val="009C4940"/>
    <w:rsid w:val="009C7942"/>
    <w:rsid w:val="009D0012"/>
    <w:rsid w:val="009D0CE6"/>
    <w:rsid w:val="009D5555"/>
    <w:rsid w:val="009E5BA1"/>
    <w:rsid w:val="009F056E"/>
    <w:rsid w:val="00A0489A"/>
    <w:rsid w:val="00A06D14"/>
    <w:rsid w:val="00A15FD0"/>
    <w:rsid w:val="00A174C9"/>
    <w:rsid w:val="00A24F3D"/>
    <w:rsid w:val="00A26DCD"/>
    <w:rsid w:val="00A314BB"/>
    <w:rsid w:val="00A31A64"/>
    <w:rsid w:val="00A32B7D"/>
    <w:rsid w:val="00A333DD"/>
    <w:rsid w:val="00A421E3"/>
    <w:rsid w:val="00A4222E"/>
    <w:rsid w:val="00A4248A"/>
    <w:rsid w:val="00A461C9"/>
    <w:rsid w:val="00A46C66"/>
    <w:rsid w:val="00A54E11"/>
    <w:rsid w:val="00A5596B"/>
    <w:rsid w:val="00A55CBB"/>
    <w:rsid w:val="00A646B3"/>
    <w:rsid w:val="00A647C8"/>
    <w:rsid w:val="00A66E46"/>
    <w:rsid w:val="00A6739B"/>
    <w:rsid w:val="00A726D9"/>
    <w:rsid w:val="00A90413"/>
    <w:rsid w:val="00A9368E"/>
    <w:rsid w:val="00A9396B"/>
    <w:rsid w:val="00A941C4"/>
    <w:rsid w:val="00A9594F"/>
    <w:rsid w:val="00AA04B8"/>
    <w:rsid w:val="00AA728C"/>
    <w:rsid w:val="00AB08D2"/>
    <w:rsid w:val="00AB0A36"/>
    <w:rsid w:val="00AB0A9C"/>
    <w:rsid w:val="00AB7119"/>
    <w:rsid w:val="00AC3C13"/>
    <w:rsid w:val="00AC437A"/>
    <w:rsid w:val="00AC776F"/>
    <w:rsid w:val="00AD4378"/>
    <w:rsid w:val="00AD5855"/>
    <w:rsid w:val="00AD7817"/>
    <w:rsid w:val="00AE7500"/>
    <w:rsid w:val="00AE7F87"/>
    <w:rsid w:val="00AF3542"/>
    <w:rsid w:val="00AF5ABE"/>
    <w:rsid w:val="00AF6C8D"/>
    <w:rsid w:val="00B00415"/>
    <w:rsid w:val="00B03B35"/>
    <w:rsid w:val="00B03C2A"/>
    <w:rsid w:val="00B1000D"/>
    <w:rsid w:val="00B10134"/>
    <w:rsid w:val="00B16BFE"/>
    <w:rsid w:val="00B30A10"/>
    <w:rsid w:val="00B37798"/>
    <w:rsid w:val="00B43853"/>
    <w:rsid w:val="00B44589"/>
    <w:rsid w:val="00B500E5"/>
    <w:rsid w:val="00B530C0"/>
    <w:rsid w:val="00B549CC"/>
    <w:rsid w:val="00B71FC0"/>
    <w:rsid w:val="00B72685"/>
    <w:rsid w:val="00B7427D"/>
    <w:rsid w:val="00B82A5B"/>
    <w:rsid w:val="00B849AF"/>
    <w:rsid w:val="00B85BCF"/>
    <w:rsid w:val="00B87429"/>
    <w:rsid w:val="00BA315C"/>
    <w:rsid w:val="00BA39BB"/>
    <w:rsid w:val="00BA3B3D"/>
    <w:rsid w:val="00BA5438"/>
    <w:rsid w:val="00BA5EA6"/>
    <w:rsid w:val="00BA6A2B"/>
    <w:rsid w:val="00BB2BCE"/>
    <w:rsid w:val="00BB7EEA"/>
    <w:rsid w:val="00BC3194"/>
    <w:rsid w:val="00BC4174"/>
    <w:rsid w:val="00BD1909"/>
    <w:rsid w:val="00BE5E16"/>
    <w:rsid w:val="00BE5FD1"/>
    <w:rsid w:val="00BE601C"/>
    <w:rsid w:val="00C00684"/>
    <w:rsid w:val="00C05E74"/>
    <w:rsid w:val="00C06E05"/>
    <w:rsid w:val="00C13EBC"/>
    <w:rsid w:val="00C14B14"/>
    <w:rsid w:val="00C17370"/>
    <w:rsid w:val="00C2054D"/>
    <w:rsid w:val="00C252EB"/>
    <w:rsid w:val="00C26EC0"/>
    <w:rsid w:val="00C450E0"/>
    <w:rsid w:val="00C56C77"/>
    <w:rsid w:val="00C638BB"/>
    <w:rsid w:val="00C70CCD"/>
    <w:rsid w:val="00C84923"/>
    <w:rsid w:val="00C86AA3"/>
    <w:rsid w:val="00C96B16"/>
    <w:rsid w:val="00C96B56"/>
    <w:rsid w:val="00C96EDF"/>
    <w:rsid w:val="00CA7D72"/>
    <w:rsid w:val="00CB059B"/>
    <w:rsid w:val="00CB719F"/>
    <w:rsid w:val="00CB7B3E"/>
    <w:rsid w:val="00CC21D7"/>
    <w:rsid w:val="00CC3427"/>
    <w:rsid w:val="00CC462D"/>
    <w:rsid w:val="00CC739D"/>
    <w:rsid w:val="00CD160E"/>
    <w:rsid w:val="00CD2631"/>
    <w:rsid w:val="00CF36EE"/>
    <w:rsid w:val="00CF4D24"/>
    <w:rsid w:val="00CF55C7"/>
    <w:rsid w:val="00D0330C"/>
    <w:rsid w:val="00D04468"/>
    <w:rsid w:val="00D05519"/>
    <w:rsid w:val="00D075F9"/>
    <w:rsid w:val="00D1364A"/>
    <w:rsid w:val="00D1381B"/>
    <w:rsid w:val="00D151FB"/>
    <w:rsid w:val="00D22AA6"/>
    <w:rsid w:val="00D251DF"/>
    <w:rsid w:val="00D3066D"/>
    <w:rsid w:val="00D36257"/>
    <w:rsid w:val="00D37431"/>
    <w:rsid w:val="00D41E0F"/>
    <w:rsid w:val="00D4687E"/>
    <w:rsid w:val="00D52487"/>
    <w:rsid w:val="00D53A12"/>
    <w:rsid w:val="00D53F25"/>
    <w:rsid w:val="00D60C42"/>
    <w:rsid w:val="00D62508"/>
    <w:rsid w:val="00D62B45"/>
    <w:rsid w:val="00D65A1B"/>
    <w:rsid w:val="00D71759"/>
    <w:rsid w:val="00D837A6"/>
    <w:rsid w:val="00D870DF"/>
    <w:rsid w:val="00D87254"/>
    <w:rsid w:val="00D87E2A"/>
    <w:rsid w:val="00D902D2"/>
    <w:rsid w:val="00D90336"/>
    <w:rsid w:val="00DA5DA0"/>
    <w:rsid w:val="00DB0C43"/>
    <w:rsid w:val="00DC0C39"/>
    <w:rsid w:val="00DC6139"/>
    <w:rsid w:val="00DC78A1"/>
    <w:rsid w:val="00DE3354"/>
    <w:rsid w:val="00DE654D"/>
    <w:rsid w:val="00DF48BF"/>
    <w:rsid w:val="00DF6781"/>
    <w:rsid w:val="00DF7DCD"/>
    <w:rsid w:val="00E01500"/>
    <w:rsid w:val="00E142F9"/>
    <w:rsid w:val="00E22A39"/>
    <w:rsid w:val="00E37FE9"/>
    <w:rsid w:val="00E42112"/>
    <w:rsid w:val="00E45378"/>
    <w:rsid w:val="00E50B7D"/>
    <w:rsid w:val="00E52D38"/>
    <w:rsid w:val="00E60B44"/>
    <w:rsid w:val="00E626A6"/>
    <w:rsid w:val="00E904A1"/>
    <w:rsid w:val="00EA3C07"/>
    <w:rsid w:val="00EB3DEC"/>
    <w:rsid w:val="00EB7D28"/>
    <w:rsid w:val="00EC0D0C"/>
    <w:rsid w:val="00ED3E1B"/>
    <w:rsid w:val="00ED4A2C"/>
    <w:rsid w:val="00EE19E6"/>
    <w:rsid w:val="00EE6A02"/>
    <w:rsid w:val="00EF0279"/>
    <w:rsid w:val="00EF41C8"/>
    <w:rsid w:val="00EF481C"/>
    <w:rsid w:val="00EF6940"/>
    <w:rsid w:val="00EF737C"/>
    <w:rsid w:val="00F04AB1"/>
    <w:rsid w:val="00F05BB0"/>
    <w:rsid w:val="00F073C5"/>
    <w:rsid w:val="00F123FA"/>
    <w:rsid w:val="00F15871"/>
    <w:rsid w:val="00F16B1E"/>
    <w:rsid w:val="00F2044A"/>
    <w:rsid w:val="00F20BFC"/>
    <w:rsid w:val="00F21F5A"/>
    <w:rsid w:val="00F22888"/>
    <w:rsid w:val="00F24D5F"/>
    <w:rsid w:val="00F253CA"/>
    <w:rsid w:val="00F315CD"/>
    <w:rsid w:val="00F452BD"/>
    <w:rsid w:val="00F557F5"/>
    <w:rsid w:val="00F65095"/>
    <w:rsid w:val="00F726C3"/>
    <w:rsid w:val="00F761B7"/>
    <w:rsid w:val="00F803D9"/>
    <w:rsid w:val="00F81E6F"/>
    <w:rsid w:val="00F820CA"/>
    <w:rsid w:val="00F8490C"/>
    <w:rsid w:val="00F8554C"/>
    <w:rsid w:val="00F869A6"/>
    <w:rsid w:val="00F95F82"/>
    <w:rsid w:val="00F97A90"/>
    <w:rsid w:val="00FA321B"/>
    <w:rsid w:val="00FA3CB7"/>
    <w:rsid w:val="00FA66A6"/>
    <w:rsid w:val="00FB0E22"/>
    <w:rsid w:val="00FB5C8A"/>
    <w:rsid w:val="00FB6587"/>
    <w:rsid w:val="00FC2F35"/>
    <w:rsid w:val="00FC3FD7"/>
    <w:rsid w:val="00FC5566"/>
    <w:rsid w:val="00FC6DA2"/>
    <w:rsid w:val="00FC6E6E"/>
    <w:rsid w:val="00FD1FC6"/>
    <w:rsid w:val="00FE4AB7"/>
    <w:rsid w:val="00FE5869"/>
    <w:rsid w:val="00FF4E3A"/>
    <w:rsid w:val="00FF5872"/>
    <w:rsid w:val="00FF5FEB"/>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12F641D"/>
  <w15:chartTrackingRefBased/>
  <w15:docId w15:val="{1F11E2A4-699F-497E-B061-41EE7419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B71FC0"/>
    <w:rPr>
      <w:sz w:val="24"/>
      <w:lang w:val="en-US" w:eastAsia="en-US"/>
    </w:rPr>
  </w:style>
  <w:style w:type="paragraph" w:styleId="Nagwek1">
    <w:name w:val="heading 1"/>
    <w:basedOn w:val="Normalny"/>
    <w:next w:val="Paragraph"/>
    <w:pPr>
      <w:keepNext/>
      <w:spacing w:before="240" w:after="240"/>
      <w:jc w:val="center"/>
      <w:outlineLvl w:val="0"/>
    </w:pPr>
    <w:rPr>
      <w:b/>
      <w:caps/>
    </w:rPr>
  </w:style>
  <w:style w:type="paragraph" w:styleId="Nagwek2">
    <w:name w:val="heading 2"/>
    <w:basedOn w:val="Normalny"/>
    <w:next w:val="Paragraph"/>
    <w:pPr>
      <w:keepNext/>
      <w:spacing w:before="240" w:after="240"/>
      <w:jc w:val="center"/>
      <w:outlineLvl w:val="1"/>
    </w:pPr>
    <w:rPr>
      <w:b/>
    </w:rPr>
  </w:style>
  <w:style w:type="paragraph" w:styleId="Nagwek3">
    <w:name w:val="heading 3"/>
    <w:basedOn w:val="Normalny"/>
    <w:next w:val="Normalny"/>
    <w:rsid w:val="005854B0"/>
    <w:pPr>
      <w:keepNext/>
      <w:spacing w:before="240" w:after="240"/>
      <w:jc w:val="center"/>
      <w:outlineLvl w:val="2"/>
    </w:pPr>
    <w:rPr>
      <w:i/>
      <w:iCs/>
      <w:sz w:val="20"/>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Pr>
      <w:sz w:val="16"/>
    </w:rPr>
  </w:style>
  <w:style w:type="paragraph" w:customStyle="1" w:styleId="PaperTitle">
    <w:name w:val="Paper Title"/>
    <w:basedOn w:val="Normalny"/>
    <w:next w:val="AuthorName"/>
    <w:pPr>
      <w:spacing w:before="1200"/>
      <w:jc w:val="center"/>
    </w:pPr>
    <w:rPr>
      <w:b/>
      <w:sz w:val="36"/>
    </w:rPr>
  </w:style>
  <w:style w:type="paragraph" w:customStyle="1" w:styleId="AuthorName">
    <w:name w:val="Author Name"/>
    <w:basedOn w:val="Normalny"/>
    <w:next w:val="AuthorAffiliation"/>
    <w:pPr>
      <w:spacing w:before="360" w:after="360"/>
      <w:jc w:val="center"/>
    </w:pPr>
    <w:rPr>
      <w:sz w:val="28"/>
    </w:rPr>
  </w:style>
  <w:style w:type="paragraph" w:customStyle="1" w:styleId="AuthorAffiliation">
    <w:name w:val="Author Affiliation"/>
    <w:basedOn w:val="Normalny"/>
    <w:pPr>
      <w:jc w:val="center"/>
    </w:pPr>
    <w:rPr>
      <w:i/>
      <w:sz w:val="20"/>
    </w:rPr>
  </w:style>
  <w:style w:type="paragraph" w:customStyle="1" w:styleId="Abstract">
    <w:name w:val="Abstract"/>
    <w:basedOn w:val="Normalny"/>
    <w:next w:val="Nagwek1"/>
    <w:rsid w:val="00F20BFC"/>
    <w:pPr>
      <w:spacing w:before="360" w:after="360"/>
      <w:ind w:left="289" w:right="289"/>
      <w:jc w:val="both"/>
    </w:pPr>
    <w:rPr>
      <w:sz w:val="18"/>
    </w:rPr>
  </w:style>
  <w:style w:type="paragraph" w:customStyle="1" w:styleId="Paragraph">
    <w:name w:val="Paragraph"/>
    <w:basedOn w:val="Normalny"/>
    <w:rsid w:val="005E415C"/>
    <w:pPr>
      <w:ind w:firstLine="284"/>
      <w:jc w:val="both"/>
    </w:pPr>
    <w:rPr>
      <w:sz w:val="20"/>
    </w:rPr>
  </w:style>
  <w:style w:type="character" w:styleId="Odwoanieprzypisudolnego">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Tekstdymka">
    <w:name w:val="Balloon Text"/>
    <w:basedOn w:val="Normalny"/>
    <w:link w:val="TekstdymkaZnak"/>
    <w:rsid w:val="00114AB1"/>
    <w:rPr>
      <w:rFonts w:ascii="Tahoma" w:hAnsi="Tahoma" w:cs="Tahoma"/>
      <w:sz w:val="16"/>
      <w:szCs w:val="16"/>
    </w:rPr>
  </w:style>
  <w:style w:type="character" w:customStyle="1" w:styleId="TekstdymkaZnak">
    <w:name w:val="Tekst dymka Znak"/>
    <w:link w:val="Tekstdymka"/>
    <w:rsid w:val="00114AB1"/>
    <w:rPr>
      <w:rFonts w:ascii="Tahoma" w:hAnsi="Tahoma" w:cs="Tahoma"/>
      <w:sz w:val="16"/>
      <w:szCs w:val="16"/>
      <w:lang w:val="en-US" w:eastAsia="en-US"/>
    </w:rPr>
  </w:style>
  <w:style w:type="character" w:styleId="Hipercze">
    <w:name w:val="Hyperlink"/>
    <w:rPr>
      <w:color w:val="0000FF"/>
      <w:u w:val="single"/>
    </w:rPr>
  </w:style>
  <w:style w:type="table" w:styleId="Tabela-Siatka">
    <w:name w:val="Table Grid"/>
    <w:basedOn w:val="Standardowy"/>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ny"/>
    <w:rsid w:val="001D469C"/>
    <w:pPr>
      <w:jc w:val="center"/>
    </w:pPr>
    <w:rPr>
      <w:sz w:val="20"/>
    </w:rPr>
  </w:style>
  <w:style w:type="paragraph" w:styleId="NormalnyWeb">
    <w:name w:val="Normal (Web)"/>
    <w:basedOn w:val="Normalny"/>
    <w:uiPriority w:val="99"/>
    <w:unhideWhenUsed/>
    <w:rsid w:val="005F7475"/>
    <w:pPr>
      <w:spacing w:before="100" w:beforeAutospacing="1" w:after="100" w:afterAutospacing="1"/>
    </w:pPr>
    <w:rPr>
      <w:szCs w:val="24"/>
      <w:lang w:val="en-GB" w:eastAsia="en-GB"/>
    </w:rPr>
  </w:style>
  <w:style w:type="character" w:styleId="Pogrubienie">
    <w:name w:val="Strong"/>
    <w:uiPriority w:val="22"/>
    <w:qFormat/>
    <w:rsid w:val="005F7475"/>
    <w:rPr>
      <w:b/>
      <w:bCs/>
    </w:rPr>
  </w:style>
  <w:style w:type="character" w:styleId="Uwydatnienie">
    <w:name w:val="Emphasis"/>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customStyle="1" w:styleId="Nierozpoznanawzmianka1">
    <w:name w:val="Nierozpoznana wzmianka1"/>
    <w:uiPriority w:val="99"/>
    <w:semiHidden/>
    <w:unhideWhenUsed/>
    <w:rsid w:val="00613B4D"/>
    <w:rPr>
      <w:color w:val="808080"/>
      <w:shd w:val="clear" w:color="auto" w:fill="E6E6E6"/>
    </w:rPr>
  </w:style>
  <w:style w:type="paragraph" w:styleId="Akapitzlist">
    <w:name w:val="List Paragraph"/>
    <w:basedOn w:val="Normalny"/>
    <w:uiPriority w:val="34"/>
    <w:qFormat/>
    <w:rsid w:val="006E4474"/>
    <w:pPr>
      <w:ind w:left="720"/>
      <w:contextualSpacing/>
    </w:pPr>
  </w:style>
  <w:style w:type="character" w:styleId="Odwoaniedokomentarza">
    <w:name w:val="annotation reference"/>
    <w:semiHidden/>
    <w:unhideWhenUsed/>
    <w:rsid w:val="005E71ED"/>
    <w:rPr>
      <w:sz w:val="16"/>
      <w:szCs w:val="16"/>
    </w:rPr>
  </w:style>
  <w:style w:type="paragraph" w:styleId="Tekstkomentarza">
    <w:name w:val="annotation text"/>
    <w:basedOn w:val="Normalny"/>
    <w:link w:val="TekstkomentarzaZnak"/>
    <w:semiHidden/>
    <w:unhideWhenUsed/>
    <w:rsid w:val="005E71ED"/>
    <w:rPr>
      <w:sz w:val="20"/>
    </w:rPr>
  </w:style>
  <w:style w:type="character" w:customStyle="1" w:styleId="TekstkomentarzaZnak">
    <w:name w:val="Tekst komentarza Znak"/>
    <w:link w:val="Tekstkomentarza"/>
    <w:semiHidden/>
    <w:rsid w:val="005E71ED"/>
    <w:rPr>
      <w:lang w:val="en-US" w:eastAsia="en-US"/>
    </w:rPr>
  </w:style>
  <w:style w:type="paragraph" w:styleId="Tematkomentarza">
    <w:name w:val="annotation subject"/>
    <w:basedOn w:val="Tekstkomentarza"/>
    <w:next w:val="Tekstkomentarza"/>
    <w:link w:val="TematkomentarzaZnak"/>
    <w:semiHidden/>
    <w:unhideWhenUsed/>
    <w:rsid w:val="005E71ED"/>
    <w:rPr>
      <w:b/>
      <w:bCs/>
    </w:rPr>
  </w:style>
  <w:style w:type="character" w:customStyle="1" w:styleId="TematkomentarzaZnak">
    <w:name w:val="Temat komentarza Znak"/>
    <w:link w:val="Tematkomentarza"/>
    <w:semiHidden/>
    <w:rsid w:val="005E71ED"/>
    <w:rPr>
      <w:b/>
      <w:bCs/>
      <w:lang w:val="en-US" w:eastAsia="en-US"/>
    </w:rPr>
  </w:style>
  <w:style w:type="character" w:styleId="Nierozpoznanawzmianka">
    <w:name w:val="Unresolved Mention"/>
    <w:uiPriority w:val="99"/>
    <w:semiHidden/>
    <w:unhideWhenUsed/>
    <w:rsid w:val="001842EA"/>
    <w:rPr>
      <w:color w:val="605E5C"/>
      <w:shd w:val="clear" w:color="auto" w:fill="E1DFDD"/>
    </w:rPr>
  </w:style>
  <w:style w:type="paragraph" w:customStyle="1" w:styleId="Rab1">
    <w:name w:val="R_ab1"/>
    <w:next w:val="Normalny"/>
    <w:autoRedefine/>
    <w:qFormat/>
    <w:rsid w:val="00E60B44"/>
    <w:pPr>
      <w:suppressAutoHyphens/>
      <w:spacing w:before="120"/>
      <w:ind w:left="567" w:right="567"/>
      <w:jc w:val="both"/>
    </w:pPr>
    <w:rPr>
      <w:rFonts w:eastAsia="SimSun"/>
      <w:kern w:val="2"/>
      <w:sz w:val="18"/>
      <w:lang w:val="en-GB"/>
      <w14:ligatures w14:val="standardContextual"/>
    </w:rPr>
  </w:style>
  <w:style w:type="paragraph" w:customStyle="1" w:styleId="Rab2">
    <w:name w:val="R_ab2"/>
    <w:basedOn w:val="Rab1"/>
    <w:next w:val="Normalny"/>
    <w:autoRedefine/>
    <w:qFormat/>
    <w:rsid w:val="00E60B44"/>
    <w:pPr>
      <w:spacing w:before="60"/>
    </w:pPr>
  </w:style>
  <w:style w:type="paragraph" w:customStyle="1" w:styleId="Rafiliacja">
    <w:name w:val="R_afiliacja"/>
    <w:basedOn w:val="Normalny"/>
    <w:link w:val="RafiliacjaZnak"/>
    <w:qFormat/>
    <w:rsid w:val="00E60B44"/>
    <w:pPr>
      <w:suppressAutoHyphens/>
      <w:jc w:val="center"/>
    </w:pPr>
    <w:rPr>
      <w:rFonts w:eastAsiaTheme="minorHAnsi"/>
      <w:i/>
      <w:kern w:val="2"/>
      <w:sz w:val="20"/>
      <w:szCs w:val="28"/>
      <w:lang w:val="pl-PL"/>
      <w14:ligatures w14:val="standardContextual"/>
    </w:rPr>
  </w:style>
  <w:style w:type="character" w:customStyle="1" w:styleId="RafiliacjaZnak">
    <w:name w:val="R_afiliacja Znak"/>
    <w:basedOn w:val="Domylnaczcionkaakapitu"/>
    <w:link w:val="Rafiliacja"/>
    <w:rsid w:val="00E60B44"/>
    <w:rPr>
      <w:rFonts w:eastAsiaTheme="minorHAnsi"/>
      <w:i/>
      <w:kern w:val="2"/>
      <w:szCs w:val="28"/>
      <w:lang w:eastAsia="en-US"/>
      <w14:ligatures w14:val="standardContextual"/>
    </w:rPr>
  </w:style>
  <w:style w:type="paragraph" w:customStyle="1" w:styleId="Rauco">
    <w:name w:val="R_au_co"/>
    <w:basedOn w:val="Rafiliacja"/>
    <w:autoRedefine/>
    <w:qFormat/>
    <w:rsid w:val="00E60B44"/>
    <w:pPr>
      <w:spacing w:before="120"/>
    </w:pPr>
    <w:rPr>
      <w:lang w:val="en-GB"/>
    </w:rPr>
  </w:style>
  <w:style w:type="paragraph" w:customStyle="1" w:styleId="Rn1">
    <w:name w:val="R_n1"/>
    <w:basedOn w:val="Normalny"/>
    <w:link w:val="Rn1Znak"/>
    <w:qFormat/>
    <w:rsid w:val="00E60B44"/>
    <w:pPr>
      <w:suppressAutoHyphens/>
      <w:spacing w:before="240" w:after="120"/>
      <w:jc w:val="both"/>
    </w:pPr>
    <w:rPr>
      <w:rFonts w:eastAsiaTheme="minorHAnsi" w:cstheme="minorBidi"/>
      <w:b/>
      <w:kern w:val="2"/>
      <w:szCs w:val="22"/>
      <w:lang w:val="pl-PL"/>
      <w14:ligatures w14:val="standardContextual"/>
    </w:rPr>
  </w:style>
  <w:style w:type="character" w:customStyle="1" w:styleId="Rn1Znak">
    <w:name w:val="R_n1 Znak"/>
    <w:basedOn w:val="Domylnaczcionkaakapitu"/>
    <w:link w:val="Rn1"/>
    <w:rsid w:val="00E60B44"/>
    <w:rPr>
      <w:rFonts w:eastAsiaTheme="minorHAnsi" w:cstheme="minorBidi"/>
      <w:b/>
      <w:kern w:val="2"/>
      <w:sz w:val="24"/>
      <w:szCs w:val="22"/>
      <w:lang w:eastAsia="en-US"/>
      <w14:ligatures w14:val="standardContextual"/>
    </w:rPr>
  </w:style>
  <w:style w:type="paragraph" w:customStyle="1" w:styleId="Rn2">
    <w:name w:val="R_n2"/>
    <w:basedOn w:val="Rn1"/>
    <w:link w:val="Rn2Znak"/>
    <w:qFormat/>
    <w:rsid w:val="00E60B44"/>
    <w:pPr>
      <w:spacing w:before="120"/>
      <w:jc w:val="left"/>
    </w:pPr>
    <w:rPr>
      <w:sz w:val="22"/>
    </w:rPr>
  </w:style>
  <w:style w:type="character" w:customStyle="1" w:styleId="Rn2Znak">
    <w:name w:val="R_n2 Znak"/>
    <w:link w:val="Rn2"/>
    <w:rsid w:val="00E60B44"/>
    <w:rPr>
      <w:rFonts w:eastAsiaTheme="minorHAnsi" w:cstheme="minorBidi"/>
      <w:b/>
      <w:kern w:val="2"/>
      <w:sz w:val="22"/>
      <w:szCs w:val="22"/>
      <w:lang w:eastAsia="en-US"/>
      <w14:ligatures w14:val="standardContextual"/>
    </w:rPr>
  </w:style>
  <w:style w:type="paragraph" w:customStyle="1" w:styleId="Rtytu">
    <w:name w:val="R_tytuł"/>
    <w:basedOn w:val="Rn2"/>
    <w:link w:val="RtytuZnak"/>
    <w:autoRedefine/>
    <w:qFormat/>
    <w:rsid w:val="00E60B44"/>
    <w:pPr>
      <w:spacing w:before="240" w:after="0"/>
      <w:jc w:val="center"/>
    </w:pPr>
    <w:rPr>
      <w:sz w:val="24"/>
      <w:szCs w:val="28"/>
    </w:rPr>
  </w:style>
  <w:style w:type="character" w:customStyle="1" w:styleId="RtytuZnak">
    <w:name w:val="R_tytuł Znak"/>
    <w:basedOn w:val="Rn2Znak"/>
    <w:link w:val="Rtytu"/>
    <w:rsid w:val="00E60B44"/>
    <w:rPr>
      <w:rFonts w:eastAsiaTheme="minorHAnsi" w:cstheme="minorBidi"/>
      <w:b/>
      <w:kern w:val="2"/>
      <w:sz w:val="24"/>
      <w:szCs w:val="28"/>
      <w:lang w:eastAsia="en-US"/>
      <w14:ligatures w14:val="standardContextual"/>
    </w:rPr>
  </w:style>
  <w:style w:type="paragraph" w:customStyle="1" w:styleId="Rautor">
    <w:name w:val="R_autor"/>
    <w:basedOn w:val="Rtytu"/>
    <w:link w:val="RautorZnak"/>
    <w:autoRedefine/>
    <w:qFormat/>
    <w:rsid w:val="00E60B44"/>
    <w:pPr>
      <w:spacing w:before="120"/>
    </w:pPr>
    <w:rPr>
      <w:rFonts w:eastAsia="Calibri" w:cs="Times New Roman"/>
      <w:b w:val="0"/>
      <w:i/>
    </w:rPr>
  </w:style>
  <w:style w:type="character" w:customStyle="1" w:styleId="RautorZnak">
    <w:name w:val="R_autor Znak"/>
    <w:link w:val="Rautor"/>
    <w:rsid w:val="00E60B44"/>
    <w:rPr>
      <w:rFonts w:eastAsia="Calibri"/>
      <w:i/>
      <w:kern w:val="2"/>
      <w:sz w:val="24"/>
      <w:szCs w:val="28"/>
      <w:lang w:eastAsia="en-US"/>
      <w14:ligatures w14:val="standardContextual"/>
    </w:rPr>
  </w:style>
  <w:style w:type="paragraph" w:customStyle="1" w:styleId="Rlit">
    <w:name w:val="R_lit"/>
    <w:basedOn w:val="Normalny"/>
    <w:link w:val="RlitZnak"/>
    <w:qFormat/>
    <w:rsid w:val="00E60B44"/>
    <w:pPr>
      <w:ind w:left="425" w:hanging="425"/>
      <w:jc w:val="both"/>
    </w:pPr>
    <w:rPr>
      <w:kern w:val="2"/>
      <w:sz w:val="20"/>
      <w:lang w:eastAsia="pl-PL"/>
      <w14:ligatures w14:val="standardContextual"/>
    </w:rPr>
  </w:style>
  <w:style w:type="character" w:customStyle="1" w:styleId="RlitZnak">
    <w:name w:val="R_lit Znak"/>
    <w:basedOn w:val="Domylnaczcionkaakapitu"/>
    <w:link w:val="Rlit"/>
    <w:rsid w:val="00E60B44"/>
    <w:rPr>
      <w:kern w:val="2"/>
      <w:lang w:val="en-US"/>
      <w14:ligatures w14:val="standardContextual"/>
    </w:rPr>
  </w:style>
  <w:style w:type="paragraph" w:customStyle="1" w:styleId="Rtab">
    <w:name w:val="R_tab"/>
    <w:basedOn w:val="Normalny"/>
    <w:link w:val="RtabZnak"/>
    <w:qFormat/>
    <w:rsid w:val="00E60B44"/>
    <w:pPr>
      <w:suppressAutoHyphens/>
      <w:spacing w:after="120"/>
    </w:pPr>
    <w:rPr>
      <w:rFonts w:eastAsiaTheme="minorHAnsi" w:cstheme="minorBidi"/>
      <w:kern w:val="2"/>
      <w:sz w:val="20"/>
      <w:szCs w:val="22"/>
      <w:lang w:val="pl-PL"/>
      <w14:ligatures w14:val="standardContextual"/>
    </w:rPr>
  </w:style>
  <w:style w:type="character" w:customStyle="1" w:styleId="RtabZnak">
    <w:name w:val="R_tab Znak"/>
    <w:basedOn w:val="Domylnaczcionkaakapitu"/>
    <w:link w:val="Rtab"/>
    <w:rsid w:val="00E60B44"/>
    <w:rPr>
      <w:rFonts w:eastAsiaTheme="minorHAnsi" w:cstheme="minorBidi"/>
      <w:kern w:val="2"/>
      <w:szCs w:val="22"/>
      <w:lang w:eastAsia="en-US"/>
      <w14:ligatures w14:val="standardContextual"/>
    </w:rPr>
  </w:style>
  <w:style w:type="paragraph" w:customStyle="1" w:styleId="Rn3">
    <w:name w:val="R_n3"/>
    <w:basedOn w:val="Rtab"/>
    <w:link w:val="Rn3Znak"/>
    <w:qFormat/>
    <w:rsid w:val="00E60B44"/>
    <w:pPr>
      <w:spacing w:before="120"/>
      <w:jc w:val="both"/>
    </w:pPr>
    <w:rPr>
      <w:i/>
    </w:rPr>
  </w:style>
  <w:style w:type="character" w:customStyle="1" w:styleId="Rn3Znak">
    <w:name w:val="R_n3 Znak"/>
    <w:basedOn w:val="RtabZnak"/>
    <w:link w:val="Rn3"/>
    <w:rsid w:val="00E60B44"/>
    <w:rPr>
      <w:rFonts w:eastAsiaTheme="minorHAnsi" w:cstheme="minorBidi"/>
      <w:i/>
      <w:kern w:val="2"/>
      <w:szCs w:val="22"/>
      <w:lang w:eastAsia="en-US"/>
      <w14:ligatures w14:val="standardContextual"/>
    </w:rPr>
  </w:style>
  <w:style w:type="paragraph" w:customStyle="1" w:styleId="Rrys">
    <w:name w:val="R_rys"/>
    <w:basedOn w:val="Rafiliacja"/>
    <w:link w:val="RrysZnak"/>
    <w:qFormat/>
    <w:rsid w:val="00E60B44"/>
    <w:pPr>
      <w:spacing w:before="120"/>
      <w:jc w:val="left"/>
    </w:pPr>
    <w:rPr>
      <w:i w:val="0"/>
    </w:rPr>
  </w:style>
  <w:style w:type="character" w:customStyle="1" w:styleId="RrysZnak">
    <w:name w:val="R_rys Znak"/>
    <w:basedOn w:val="RafiliacjaZnak"/>
    <w:link w:val="Rrys"/>
    <w:rsid w:val="00E60B44"/>
    <w:rPr>
      <w:rFonts w:eastAsiaTheme="minorHAnsi"/>
      <w:i w:val="0"/>
      <w:kern w:val="2"/>
      <w:szCs w:val="28"/>
      <w:lang w:eastAsia="en-US"/>
      <w14:ligatures w14:val="standardContextual"/>
    </w:rPr>
  </w:style>
  <w:style w:type="paragraph" w:styleId="Nagwek">
    <w:name w:val="header"/>
    <w:basedOn w:val="Normalny"/>
    <w:link w:val="NagwekZnak"/>
    <w:uiPriority w:val="99"/>
    <w:unhideWhenUsed/>
    <w:rsid w:val="003A4841"/>
    <w:pPr>
      <w:tabs>
        <w:tab w:val="center" w:pos="4536"/>
        <w:tab w:val="right" w:pos="9072"/>
      </w:tabs>
    </w:pPr>
  </w:style>
  <w:style w:type="character" w:customStyle="1" w:styleId="NagwekZnak">
    <w:name w:val="Nagłówek Znak"/>
    <w:basedOn w:val="Domylnaczcionkaakapitu"/>
    <w:link w:val="Nagwek"/>
    <w:uiPriority w:val="99"/>
    <w:rsid w:val="003A4841"/>
    <w:rPr>
      <w:sz w:val="24"/>
      <w:lang w:val="en-US" w:eastAsia="en-US"/>
    </w:rPr>
  </w:style>
  <w:style w:type="paragraph" w:styleId="Stopka">
    <w:name w:val="footer"/>
    <w:basedOn w:val="Normalny"/>
    <w:link w:val="StopkaZnak"/>
    <w:uiPriority w:val="99"/>
    <w:unhideWhenUsed/>
    <w:rsid w:val="003A4841"/>
    <w:pPr>
      <w:tabs>
        <w:tab w:val="center" w:pos="4536"/>
        <w:tab w:val="right" w:pos="9072"/>
      </w:tabs>
    </w:pPr>
  </w:style>
  <w:style w:type="character" w:customStyle="1" w:styleId="StopkaZnak">
    <w:name w:val="Stopka Znak"/>
    <w:basedOn w:val="Domylnaczcionkaakapitu"/>
    <w:link w:val="Stopka"/>
    <w:uiPriority w:val="99"/>
    <w:rsid w:val="003A4841"/>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86096">
      <w:bodyDiv w:val="1"/>
      <w:marLeft w:val="0"/>
      <w:marRight w:val="0"/>
      <w:marTop w:val="0"/>
      <w:marBottom w:val="0"/>
      <w:divBdr>
        <w:top w:val="none" w:sz="0" w:space="0" w:color="auto"/>
        <w:left w:val="none" w:sz="0" w:space="0" w:color="auto"/>
        <w:bottom w:val="none" w:sz="0" w:space="0" w:color="auto"/>
        <w:right w:val="none" w:sz="0" w:space="0" w:color="auto"/>
      </w:divBdr>
    </w:div>
    <w:div w:id="774177912">
      <w:bodyDiv w:val="1"/>
      <w:marLeft w:val="0"/>
      <w:marRight w:val="0"/>
      <w:marTop w:val="0"/>
      <w:marBottom w:val="0"/>
      <w:divBdr>
        <w:top w:val="none" w:sz="0" w:space="0" w:color="auto"/>
        <w:left w:val="none" w:sz="0" w:space="0" w:color="auto"/>
        <w:bottom w:val="none" w:sz="0" w:space="0" w:color="auto"/>
        <w:right w:val="none" w:sz="0" w:space="0" w:color="auto"/>
      </w:divBdr>
    </w:div>
    <w:div w:id="841824254">
      <w:bodyDiv w:val="1"/>
      <w:marLeft w:val="0"/>
      <w:marRight w:val="0"/>
      <w:marTop w:val="0"/>
      <w:marBottom w:val="0"/>
      <w:divBdr>
        <w:top w:val="none" w:sz="0" w:space="0" w:color="auto"/>
        <w:left w:val="none" w:sz="0" w:space="0" w:color="auto"/>
        <w:bottom w:val="none" w:sz="0" w:space="0" w:color="auto"/>
        <w:right w:val="none" w:sz="0" w:space="0" w:color="auto"/>
      </w:divBdr>
    </w:div>
    <w:div w:id="895354811">
      <w:bodyDiv w:val="1"/>
      <w:marLeft w:val="0"/>
      <w:marRight w:val="0"/>
      <w:marTop w:val="0"/>
      <w:marBottom w:val="0"/>
      <w:divBdr>
        <w:top w:val="none" w:sz="0" w:space="0" w:color="auto"/>
        <w:left w:val="none" w:sz="0" w:space="0" w:color="auto"/>
        <w:bottom w:val="none" w:sz="0" w:space="0" w:color="auto"/>
        <w:right w:val="none" w:sz="0" w:space="0" w:color="auto"/>
      </w:divBdr>
    </w:div>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519199954">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 w:id="191122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8_point5_x11_single_column_template</Template>
  <TotalTime>135</TotalTime>
  <Pages>11</Pages>
  <Words>4828</Words>
  <Characters>28973</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Title Goes Here</vt:lpstr>
    </vt:vector>
  </TitlesOfParts>
  <Company/>
  <LinksUpToDate>false</LinksUpToDate>
  <CharactersWithSpaces>33734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subject/>
  <dc:creator>Ruth Levins</dc:creator>
  <cp:keywords/>
  <cp:lastModifiedBy>Janusz Dabrowski NA</cp:lastModifiedBy>
  <cp:revision>19</cp:revision>
  <cp:lastPrinted>2024-02-01T13:23:00Z</cp:lastPrinted>
  <dcterms:created xsi:type="dcterms:W3CDTF">2024-01-24T07:13:00Z</dcterms:created>
  <dcterms:modified xsi:type="dcterms:W3CDTF">2024-03-14T13:04:00Z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