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9009D" w:rsidRPr="0027779C" w14:paraId="583A3FD7" w14:textId="77777777" w:rsidTr="0008698F">
        <w:trPr>
          <w:trHeight w:hRule="exact" w:val="142"/>
        </w:trPr>
        <w:tc>
          <w:tcPr>
            <w:tcW w:w="709" w:type="dxa"/>
            <w:vMerge w:val="restart"/>
            <w:shd w:val="clear" w:color="auto" w:fill="auto"/>
            <w:vAlign w:val="center"/>
          </w:tcPr>
          <w:p w14:paraId="301DCFD5" w14:textId="77777777" w:rsidR="0089009D" w:rsidRPr="0027779C" w:rsidRDefault="0089009D" w:rsidP="0089009D">
            <w:pPr>
              <w:spacing w:before="0" w:after="0" w:line="240" w:lineRule="auto"/>
              <w:ind w:firstLine="0"/>
              <w:rPr>
                <w:lang w:val="en-GB"/>
              </w:rPr>
            </w:pPr>
            <w:bookmarkStart w:id="0" w:name="_Hlk145412337"/>
            <w:bookmarkStart w:id="1" w:name="_Hlk103340665"/>
            <w:bookmarkStart w:id="2" w:name="_Hlk24804592"/>
            <w:bookmarkStart w:id="3" w:name="_Hlk101768977"/>
            <w:bookmarkStart w:id="4" w:name="_Hlk101768807"/>
            <w:bookmarkStart w:id="5" w:name="_Hlk101768736"/>
            <w:bookmarkEnd w:id="0"/>
            <w:bookmarkEnd w:id="1"/>
            <w:r w:rsidRPr="0027779C">
              <w:rPr>
                <w:noProof/>
                <w:lang w:val="en-GB"/>
              </w:rPr>
              <w:drawing>
                <wp:anchor distT="0" distB="0" distL="114300" distR="114300" simplePos="0" relativeHeight="251659264" behindDoc="0" locked="0" layoutInCell="1" allowOverlap="1" wp14:anchorId="004E94F1" wp14:editId="61B48E48">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2BAED9D" w14:textId="77777777" w:rsidR="0089009D" w:rsidRPr="0027779C" w:rsidRDefault="0089009D" w:rsidP="0089009D">
            <w:pPr>
              <w:spacing w:before="0" w:after="0" w:line="240" w:lineRule="auto"/>
              <w:ind w:firstLine="0"/>
              <w:jc w:val="center"/>
              <w:rPr>
                <w:lang w:val="en-GB"/>
              </w:rPr>
            </w:pPr>
          </w:p>
        </w:tc>
      </w:tr>
      <w:tr w:rsidR="0089009D" w:rsidRPr="0027779C" w14:paraId="7B39004A" w14:textId="77777777" w:rsidTr="0008698F">
        <w:trPr>
          <w:trHeight w:hRule="exact" w:val="283"/>
        </w:trPr>
        <w:tc>
          <w:tcPr>
            <w:tcW w:w="709" w:type="dxa"/>
            <w:vMerge/>
            <w:shd w:val="clear" w:color="auto" w:fill="auto"/>
          </w:tcPr>
          <w:p w14:paraId="4DB00C36" w14:textId="77777777" w:rsidR="0089009D" w:rsidRPr="0027779C" w:rsidRDefault="0089009D" w:rsidP="0089009D">
            <w:pPr>
              <w:spacing w:before="0" w:after="0" w:line="240" w:lineRule="auto"/>
              <w:ind w:firstLine="0"/>
              <w:jc w:val="center"/>
              <w:rPr>
                <w:lang w:val="en-GB"/>
              </w:rPr>
            </w:pPr>
          </w:p>
        </w:tc>
        <w:tc>
          <w:tcPr>
            <w:tcW w:w="8930" w:type="dxa"/>
            <w:gridSpan w:val="3"/>
            <w:tcBorders>
              <w:bottom w:val="single" w:sz="2" w:space="0" w:color="auto"/>
            </w:tcBorders>
            <w:shd w:val="clear" w:color="auto" w:fill="auto"/>
            <w:vAlign w:val="center"/>
          </w:tcPr>
          <w:p w14:paraId="75D15865" w14:textId="77777777" w:rsidR="0089009D" w:rsidRPr="0027779C" w:rsidRDefault="0089009D" w:rsidP="0089009D">
            <w:pPr>
              <w:spacing w:before="0" w:after="0" w:line="240" w:lineRule="auto"/>
              <w:ind w:firstLine="0"/>
              <w:jc w:val="center"/>
              <w:rPr>
                <w:lang w:val="en-GB"/>
              </w:rPr>
            </w:pPr>
            <w:proofErr w:type="spellStart"/>
            <w:r w:rsidRPr="0027779C">
              <w:rPr>
                <w:b/>
                <w:lang w:val="en-GB"/>
              </w:rPr>
              <w:t>Rocznik</w:t>
            </w:r>
            <w:proofErr w:type="spellEnd"/>
            <w:r w:rsidRPr="0027779C">
              <w:rPr>
                <w:b/>
                <w:lang w:val="en-GB"/>
              </w:rPr>
              <w:t xml:space="preserve"> </w:t>
            </w:r>
            <w:proofErr w:type="spellStart"/>
            <w:r w:rsidRPr="0027779C">
              <w:rPr>
                <w:b/>
                <w:lang w:val="en-GB"/>
              </w:rPr>
              <w:t>Ochrona</w:t>
            </w:r>
            <w:proofErr w:type="spellEnd"/>
            <w:r w:rsidRPr="0027779C">
              <w:rPr>
                <w:b/>
                <w:lang w:val="en-GB"/>
              </w:rPr>
              <w:t xml:space="preserve"> </w:t>
            </w:r>
            <w:proofErr w:type="spellStart"/>
            <w:r w:rsidRPr="0027779C">
              <w:rPr>
                <w:b/>
                <w:lang w:val="en-GB"/>
              </w:rPr>
              <w:t>Środowiska</w:t>
            </w:r>
            <w:proofErr w:type="spellEnd"/>
          </w:p>
        </w:tc>
      </w:tr>
      <w:tr w:rsidR="0089009D" w:rsidRPr="0027779C" w14:paraId="6B1D8F6C" w14:textId="77777777" w:rsidTr="0008698F">
        <w:trPr>
          <w:trHeight w:hRule="exact" w:val="283"/>
        </w:trPr>
        <w:tc>
          <w:tcPr>
            <w:tcW w:w="709" w:type="dxa"/>
            <w:vMerge/>
            <w:shd w:val="clear" w:color="auto" w:fill="auto"/>
          </w:tcPr>
          <w:p w14:paraId="54CD22C6" w14:textId="77777777" w:rsidR="0089009D" w:rsidRPr="0027779C" w:rsidRDefault="0089009D" w:rsidP="0089009D">
            <w:pPr>
              <w:spacing w:before="0" w:after="0" w:line="240" w:lineRule="auto"/>
              <w:ind w:firstLine="0"/>
              <w:jc w:val="center"/>
              <w:rPr>
                <w:lang w:val="en-GB"/>
              </w:rPr>
            </w:pPr>
          </w:p>
        </w:tc>
        <w:tc>
          <w:tcPr>
            <w:tcW w:w="992" w:type="dxa"/>
            <w:tcBorders>
              <w:top w:val="single" w:sz="2" w:space="0" w:color="auto"/>
              <w:bottom w:val="single" w:sz="2" w:space="0" w:color="auto"/>
            </w:tcBorders>
            <w:shd w:val="clear" w:color="auto" w:fill="auto"/>
            <w:vAlign w:val="center"/>
          </w:tcPr>
          <w:p w14:paraId="5CBBE490" w14:textId="77777777" w:rsidR="0089009D" w:rsidRPr="0027779C" w:rsidRDefault="0089009D" w:rsidP="0089009D">
            <w:pPr>
              <w:spacing w:before="0" w:after="0" w:line="240" w:lineRule="auto"/>
              <w:ind w:firstLine="0"/>
              <w:rPr>
                <w:sz w:val="18"/>
                <w:szCs w:val="18"/>
                <w:lang w:val="en-GB"/>
              </w:rPr>
            </w:pPr>
            <w:r w:rsidRPr="0027779C">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2F3C51F6" w14:textId="77777777" w:rsidR="0089009D" w:rsidRPr="0027779C" w:rsidRDefault="0089009D" w:rsidP="0089009D">
            <w:pPr>
              <w:tabs>
                <w:tab w:val="left" w:pos="3057"/>
              </w:tabs>
              <w:spacing w:before="0" w:after="0" w:line="240" w:lineRule="auto"/>
              <w:ind w:left="141" w:firstLine="0"/>
              <w:rPr>
                <w:sz w:val="18"/>
                <w:szCs w:val="18"/>
                <w:lang w:val="en-GB"/>
              </w:rPr>
            </w:pPr>
            <w:r w:rsidRPr="0027779C">
              <w:rPr>
                <w:sz w:val="18"/>
                <w:szCs w:val="18"/>
                <w:lang w:val="en-GB"/>
              </w:rPr>
              <w:t>Year 2023</w:t>
            </w:r>
            <w:r w:rsidRPr="0027779C">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821288E" w14:textId="300E2368" w:rsidR="0089009D" w:rsidRPr="0027779C" w:rsidRDefault="0089009D" w:rsidP="0089009D">
            <w:pPr>
              <w:spacing w:before="0" w:after="0" w:line="240" w:lineRule="auto"/>
              <w:ind w:firstLine="0"/>
              <w:jc w:val="right"/>
              <w:rPr>
                <w:sz w:val="18"/>
                <w:szCs w:val="18"/>
                <w:lang w:val="en-GB"/>
              </w:rPr>
            </w:pPr>
            <w:r w:rsidRPr="0027779C">
              <w:rPr>
                <w:sz w:val="18"/>
                <w:szCs w:val="18"/>
                <w:lang w:val="en-GB"/>
              </w:rPr>
              <w:t xml:space="preserve">pp. </w:t>
            </w:r>
            <w:r w:rsidR="001A113C">
              <w:rPr>
                <w:sz w:val="18"/>
                <w:szCs w:val="18"/>
                <w:lang w:val="en-GB"/>
              </w:rPr>
              <w:t>367</w:t>
            </w:r>
            <w:r w:rsidRPr="0027779C">
              <w:rPr>
                <w:sz w:val="18"/>
                <w:szCs w:val="18"/>
                <w:lang w:val="en-GB"/>
              </w:rPr>
              <w:t>-</w:t>
            </w:r>
            <w:r w:rsidR="001A113C">
              <w:rPr>
                <w:sz w:val="18"/>
                <w:szCs w:val="18"/>
                <w:lang w:val="en-GB"/>
              </w:rPr>
              <w:t>373</w:t>
            </w:r>
          </w:p>
        </w:tc>
      </w:tr>
      <w:tr w:rsidR="0089009D" w:rsidRPr="0027779C" w14:paraId="6287DC3D" w14:textId="77777777" w:rsidTr="0008698F">
        <w:trPr>
          <w:trHeight w:hRule="exact" w:val="283"/>
        </w:trPr>
        <w:tc>
          <w:tcPr>
            <w:tcW w:w="709" w:type="dxa"/>
            <w:shd w:val="clear" w:color="auto" w:fill="auto"/>
          </w:tcPr>
          <w:p w14:paraId="68141925" w14:textId="77777777" w:rsidR="0089009D" w:rsidRPr="0027779C" w:rsidRDefault="0089009D" w:rsidP="0089009D">
            <w:pPr>
              <w:spacing w:before="0" w:after="0" w:line="240" w:lineRule="auto"/>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66158478" w14:textId="5539DF36" w:rsidR="0089009D" w:rsidRPr="0027779C" w:rsidRDefault="0089009D" w:rsidP="0089009D">
            <w:pPr>
              <w:tabs>
                <w:tab w:val="right" w:pos="8928"/>
              </w:tabs>
              <w:spacing w:before="0" w:after="0" w:line="240" w:lineRule="auto"/>
              <w:ind w:firstLine="0"/>
              <w:rPr>
                <w:sz w:val="18"/>
                <w:szCs w:val="18"/>
                <w:lang w:val="en-GB"/>
              </w:rPr>
            </w:pPr>
            <w:r w:rsidRPr="0027779C">
              <w:rPr>
                <w:sz w:val="18"/>
                <w:szCs w:val="18"/>
                <w:lang w:val="en-GB"/>
              </w:rPr>
              <w:t>https://doi.org/10.54740/ros.2023.0</w:t>
            </w:r>
            <w:r w:rsidR="001A113C">
              <w:rPr>
                <w:sz w:val="18"/>
                <w:szCs w:val="18"/>
                <w:lang w:val="en-GB"/>
              </w:rPr>
              <w:t>37</w:t>
            </w:r>
            <w:r w:rsidRPr="0027779C">
              <w:rPr>
                <w:sz w:val="18"/>
                <w:szCs w:val="18"/>
                <w:lang w:val="en-GB"/>
              </w:rPr>
              <w:tab/>
              <w:t>open access</w:t>
            </w:r>
          </w:p>
        </w:tc>
      </w:tr>
      <w:tr w:rsidR="0089009D" w:rsidRPr="0027779C" w14:paraId="4E8285A9" w14:textId="77777777" w:rsidTr="0008698F">
        <w:trPr>
          <w:trHeight w:hRule="exact" w:val="283"/>
        </w:trPr>
        <w:tc>
          <w:tcPr>
            <w:tcW w:w="709" w:type="dxa"/>
            <w:shd w:val="clear" w:color="auto" w:fill="auto"/>
          </w:tcPr>
          <w:p w14:paraId="1118F88A" w14:textId="77777777" w:rsidR="0089009D" w:rsidRPr="0027779C" w:rsidRDefault="0089009D" w:rsidP="0089009D">
            <w:pPr>
              <w:spacing w:before="0" w:after="0" w:line="240" w:lineRule="auto"/>
              <w:ind w:firstLine="0"/>
              <w:jc w:val="center"/>
              <w:rPr>
                <w:lang w:val="en-GB"/>
              </w:rPr>
            </w:pPr>
          </w:p>
        </w:tc>
        <w:tc>
          <w:tcPr>
            <w:tcW w:w="8930" w:type="dxa"/>
            <w:gridSpan w:val="3"/>
            <w:tcBorders>
              <w:top w:val="single" w:sz="2" w:space="0" w:color="auto"/>
            </w:tcBorders>
            <w:shd w:val="clear" w:color="auto" w:fill="auto"/>
            <w:vAlign w:val="center"/>
          </w:tcPr>
          <w:p w14:paraId="06037A96" w14:textId="77777777" w:rsidR="0089009D" w:rsidRPr="0027779C" w:rsidRDefault="0089009D" w:rsidP="0089009D">
            <w:pPr>
              <w:tabs>
                <w:tab w:val="left" w:pos="3674"/>
                <w:tab w:val="right" w:pos="8928"/>
              </w:tabs>
              <w:spacing w:before="0" w:after="0" w:line="240" w:lineRule="auto"/>
              <w:ind w:firstLine="0"/>
              <w:rPr>
                <w:sz w:val="18"/>
                <w:szCs w:val="18"/>
                <w:lang w:val="en-GB"/>
              </w:rPr>
            </w:pPr>
            <w:r w:rsidRPr="0027779C">
              <w:rPr>
                <w:sz w:val="18"/>
                <w:szCs w:val="18"/>
                <w:lang w:val="en-GB"/>
              </w:rPr>
              <w:t>Received: December 2023</w:t>
            </w:r>
            <w:r w:rsidRPr="0027779C">
              <w:rPr>
                <w:sz w:val="18"/>
                <w:szCs w:val="18"/>
                <w:lang w:val="en-GB"/>
              </w:rPr>
              <w:tab/>
              <w:t>Accepted: December 2023</w:t>
            </w:r>
            <w:r w:rsidRPr="0027779C">
              <w:rPr>
                <w:sz w:val="18"/>
                <w:szCs w:val="18"/>
                <w:lang w:val="en-GB"/>
              </w:rPr>
              <w:tab/>
              <w:t>Published: December 2023</w:t>
            </w:r>
          </w:p>
        </w:tc>
      </w:tr>
    </w:tbl>
    <w:bookmarkEnd w:id="2"/>
    <w:p w14:paraId="5F445B7E" w14:textId="73C41B37" w:rsidR="00485D64" w:rsidRPr="006F2E08" w:rsidRDefault="00FB398D" w:rsidP="006A2564">
      <w:pPr>
        <w:pStyle w:val="Rtytu"/>
        <w:rPr>
          <w:bCs/>
          <w:caps/>
          <w:lang w:val="en-GB"/>
        </w:rPr>
      </w:pPr>
      <w:r w:rsidRPr="006F2E08">
        <w:rPr>
          <w:lang w:val="en-GB"/>
        </w:rPr>
        <w:t xml:space="preserve">Microplastics from </w:t>
      </w:r>
      <w:r w:rsidR="00FC6B84" w:rsidRPr="006F2E08">
        <w:rPr>
          <w:bCs/>
          <w:caps/>
          <w:lang w:val="en-GB"/>
        </w:rPr>
        <w:t>P</w:t>
      </w:r>
      <w:r w:rsidRPr="006F2E08">
        <w:rPr>
          <w:lang w:val="en-GB"/>
        </w:rPr>
        <w:t xml:space="preserve">lastic </w:t>
      </w:r>
      <w:r w:rsidR="00FC6B84" w:rsidRPr="006F2E08">
        <w:rPr>
          <w:bCs/>
          <w:caps/>
          <w:lang w:val="en-GB"/>
        </w:rPr>
        <w:t>W</w:t>
      </w:r>
      <w:r w:rsidRPr="006F2E08">
        <w:rPr>
          <w:lang w:val="en-GB"/>
        </w:rPr>
        <w:t xml:space="preserve">aste as a </w:t>
      </w:r>
      <w:r w:rsidR="00FC6B84" w:rsidRPr="006F2E08">
        <w:rPr>
          <w:bCs/>
          <w:caps/>
          <w:lang w:val="en-GB"/>
        </w:rPr>
        <w:t>L</w:t>
      </w:r>
      <w:r w:rsidRPr="006F2E08">
        <w:rPr>
          <w:lang w:val="en-GB"/>
        </w:rPr>
        <w:t xml:space="preserve">imitation of </w:t>
      </w:r>
      <w:r w:rsidR="00FC6B84" w:rsidRPr="006F2E08">
        <w:rPr>
          <w:bCs/>
          <w:caps/>
          <w:lang w:val="en-GB"/>
        </w:rPr>
        <w:t>S</w:t>
      </w:r>
      <w:r w:rsidRPr="006F2E08">
        <w:rPr>
          <w:lang w:val="en-GB"/>
        </w:rPr>
        <w:t xml:space="preserve">ustainability </w:t>
      </w:r>
      <w:r w:rsidR="00405F9E">
        <w:rPr>
          <w:lang w:val="en-GB"/>
        </w:rPr>
        <w:t xml:space="preserve">of the </w:t>
      </w:r>
      <w:r w:rsidR="00FC6B84" w:rsidRPr="006F2E08">
        <w:rPr>
          <w:bCs/>
          <w:caps/>
          <w:lang w:val="en-GB"/>
        </w:rPr>
        <w:t>E</w:t>
      </w:r>
      <w:r w:rsidRPr="006F2E08">
        <w:rPr>
          <w:lang w:val="en-GB"/>
        </w:rPr>
        <w:t>nvironment</w:t>
      </w:r>
    </w:p>
    <w:p w14:paraId="02EFF044" w14:textId="14FF0FAA" w:rsidR="00757C49" w:rsidRPr="006F2E08" w:rsidRDefault="00757C49" w:rsidP="006A2564">
      <w:pPr>
        <w:pStyle w:val="Rautor"/>
        <w:rPr>
          <w:vertAlign w:val="superscript"/>
          <w:lang w:val="en-GB"/>
        </w:rPr>
      </w:pPr>
      <w:r w:rsidRPr="006F2E08">
        <w:rPr>
          <w:lang w:val="en-GB"/>
        </w:rPr>
        <w:t>Katarzyna Grąz</w:t>
      </w:r>
      <w:r w:rsidRPr="006F2E08">
        <w:rPr>
          <w:vertAlign w:val="superscript"/>
          <w:lang w:val="en-GB"/>
        </w:rPr>
        <w:t>1*</w:t>
      </w:r>
      <w:r w:rsidRPr="006F2E08">
        <w:rPr>
          <w:lang w:val="en-GB"/>
        </w:rPr>
        <w:t>, Agnieszka Generowicz</w:t>
      </w:r>
      <w:r w:rsidRPr="006F2E08">
        <w:rPr>
          <w:vertAlign w:val="superscript"/>
          <w:lang w:val="en-GB"/>
        </w:rPr>
        <w:t>2</w:t>
      </w:r>
      <w:r w:rsidRPr="006F2E08">
        <w:rPr>
          <w:lang w:val="en-GB"/>
        </w:rPr>
        <w:t>, Justyna Kwaśny</w:t>
      </w:r>
      <w:r w:rsidR="00FC6B84" w:rsidRPr="006F2E08">
        <w:rPr>
          <w:vertAlign w:val="superscript"/>
          <w:lang w:val="en-GB"/>
        </w:rPr>
        <w:t>3</w:t>
      </w:r>
      <w:r w:rsidRPr="006F2E08">
        <w:rPr>
          <w:lang w:val="en-GB"/>
        </w:rPr>
        <w:t>, Anna Gronba-Chyła</w:t>
      </w:r>
      <w:r w:rsidR="00FC6B84" w:rsidRPr="006F2E08">
        <w:rPr>
          <w:vertAlign w:val="superscript"/>
          <w:lang w:val="en-GB"/>
        </w:rPr>
        <w:t>4</w:t>
      </w:r>
      <w:r w:rsidRPr="006F2E08">
        <w:rPr>
          <w:lang w:val="en-GB"/>
        </w:rPr>
        <w:t xml:space="preserve">, </w:t>
      </w:r>
      <w:r w:rsidR="00FC6B84" w:rsidRPr="006F2E08">
        <w:rPr>
          <w:lang w:val="en-GB"/>
        </w:rPr>
        <w:br/>
      </w:r>
      <w:r w:rsidRPr="006F2E08">
        <w:rPr>
          <w:lang w:val="en-GB"/>
        </w:rPr>
        <w:t>Paweł Kwaśnicki</w:t>
      </w:r>
      <w:r w:rsidR="006A2564" w:rsidRPr="006F2E08">
        <w:rPr>
          <w:vertAlign w:val="superscript"/>
          <w:lang w:val="en-GB"/>
        </w:rPr>
        <w:t>5</w:t>
      </w:r>
      <w:r w:rsidRPr="006F2E08">
        <w:rPr>
          <w:lang w:val="en-GB"/>
        </w:rPr>
        <w:t>, Józef Ciuła</w:t>
      </w:r>
      <w:r w:rsidR="006A2564" w:rsidRPr="006F2E08">
        <w:rPr>
          <w:vertAlign w:val="superscript"/>
          <w:lang w:val="en-GB"/>
        </w:rPr>
        <w:t>6</w:t>
      </w:r>
      <w:r w:rsidRPr="006F2E08">
        <w:rPr>
          <w:lang w:val="en-GB"/>
        </w:rPr>
        <w:t>, Jacek Łapiński</w:t>
      </w:r>
      <w:r w:rsidR="006A2564" w:rsidRPr="006F2E08">
        <w:rPr>
          <w:vertAlign w:val="superscript"/>
          <w:lang w:val="en-GB"/>
        </w:rPr>
        <w:t>7</w:t>
      </w:r>
      <w:r w:rsidRPr="006F2E08">
        <w:rPr>
          <w:lang w:val="en-GB"/>
        </w:rPr>
        <w:t>, Wioletta Bajdur</w:t>
      </w:r>
      <w:r w:rsidR="006A2564" w:rsidRPr="006F2E08">
        <w:rPr>
          <w:vertAlign w:val="superscript"/>
          <w:lang w:val="en-GB"/>
        </w:rPr>
        <w:t>8</w:t>
      </w:r>
    </w:p>
    <w:p w14:paraId="5AB05BCE" w14:textId="0B0D7D8A" w:rsidR="00757C49" w:rsidRPr="006F2E08" w:rsidRDefault="00757C49" w:rsidP="006A2564">
      <w:pPr>
        <w:pStyle w:val="Rafiliacja"/>
        <w:rPr>
          <w:lang w:val="en-GB"/>
        </w:rPr>
      </w:pPr>
      <w:r w:rsidRPr="006F2E08">
        <w:rPr>
          <w:vertAlign w:val="superscript"/>
          <w:lang w:val="en-GB"/>
        </w:rPr>
        <w:t>1</w:t>
      </w:r>
      <w:r w:rsidRPr="006F2E08">
        <w:rPr>
          <w:lang w:val="en-GB"/>
        </w:rPr>
        <w:t>Faculty of Natural and Technical Sciences, John Paul II Catholic University of Lublin</w:t>
      </w:r>
      <w:r w:rsidR="006A2564" w:rsidRPr="006F2E08">
        <w:rPr>
          <w:lang w:val="en-GB"/>
        </w:rPr>
        <w:t>, Poland</w:t>
      </w:r>
      <w:r w:rsidR="006A2564" w:rsidRPr="006F2E08">
        <w:rPr>
          <w:lang w:val="en-GB"/>
        </w:rPr>
        <w:br/>
      </w:r>
      <w:hyperlink r:id="rId9" w:history="1">
        <w:r w:rsidRPr="006F2E08">
          <w:rPr>
            <w:rStyle w:val="Hipercze"/>
            <w:rFonts w:eastAsia="Calibri"/>
            <w:color w:val="auto"/>
            <w:u w:val="none"/>
            <w:lang w:val="en-GB"/>
          </w:rPr>
          <w:t>https://orcid.org/</w:t>
        </w:r>
      </w:hyperlink>
      <w:r w:rsidR="00B0064A" w:rsidRPr="006F2E08">
        <w:rPr>
          <w:lang w:val="en-GB"/>
        </w:rPr>
        <w:t>0000-0002-2014-9887</w:t>
      </w:r>
    </w:p>
    <w:p w14:paraId="4FC59D01" w14:textId="3F84BE29" w:rsidR="00757C49" w:rsidRPr="006F2E08" w:rsidRDefault="005B3070" w:rsidP="006A2564">
      <w:pPr>
        <w:pStyle w:val="Rafiliacja"/>
        <w:rPr>
          <w:rStyle w:val="Hipercze"/>
          <w:rFonts w:eastAsia="Calibri"/>
          <w:i w:val="0"/>
          <w:color w:val="auto"/>
          <w:u w:val="none"/>
          <w:lang w:val="en-GB"/>
        </w:rPr>
      </w:pPr>
      <w:r w:rsidRPr="006F2E08">
        <w:rPr>
          <w:vertAlign w:val="superscript"/>
          <w:lang w:val="en-GB"/>
        </w:rPr>
        <w:t>2</w:t>
      </w:r>
      <w:r w:rsidRPr="006F2E08">
        <w:rPr>
          <w:lang w:val="en-GB"/>
        </w:rPr>
        <w:t xml:space="preserve">Faculty </w:t>
      </w:r>
      <w:r w:rsidR="00757C49" w:rsidRPr="006F2E08">
        <w:rPr>
          <w:lang w:val="en-GB"/>
        </w:rPr>
        <w:t>of</w:t>
      </w:r>
      <w:r w:rsidR="007C76E0" w:rsidRPr="006F2E08">
        <w:rPr>
          <w:lang w:val="en-GB"/>
        </w:rPr>
        <w:t xml:space="preserve"> Environmental and Power Engineering, Cracow University of Technology</w:t>
      </w:r>
      <w:r w:rsidR="006A2564" w:rsidRPr="006F2E08">
        <w:rPr>
          <w:lang w:val="en-GB"/>
        </w:rPr>
        <w:t>, Poland</w:t>
      </w:r>
      <w:r w:rsidR="006A2564" w:rsidRPr="006F2E08">
        <w:rPr>
          <w:lang w:val="en-GB"/>
        </w:rPr>
        <w:br/>
      </w:r>
      <w:hyperlink r:id="rId10" w:tgtFrame="_blank" w:history="1">
        <w:r w:rsidR="007C76E0" w:rsidRPr="006F2E08">
          <w:rPr>
            <w:rStyle w:val="Hipercze"/>
            <w:rFonts w:eastAsia="Calibri"/>
            <w:color w:val="auto"/>
            <w:u w:val="none"/>
            <w:lang w:val="en-GB"/>
          </w:rPr>
          <w:t>https://orcid.org/0000-0002-8219-0340</w:t>
        </w:r>
      </w:hyperlink>
    </w:p>
    <w:p w14:paraId="21040C83" w14:textId="40F1F81B" w:rsidR="00FC6B84" w:rsidRPr="006F2E08" w:rsidRDefault="00FC6B84" w:rsidP="006A2564">
      <w:pPr>
        <w:pStyle w:val="Rafiliacja"/>
        <w:rPr>
          <w:rStyle w:val="Hipercze"/>
          <w:rFonts w:eastAsia="Calibri"/>
          <w:i w:val="0"/>
          <w:color w:val="auto"/>
          <w:u w:val="none"/>
          <w:lang w:val="en-GB"/>
        </w:rPr>
      </w:pPr>
      <w:r w:rsidRPr="006F2E08">
        <w:rPr>
          <w:vertAlign w:val="superscript"/>
          <w:lang w:val="en-GB"/>
        </w:rPr>
        <w:t>3</w:t>
      </w:r>
      <w:r w:rsidRPr="006F2E08">
        <w:rPr>
          <w:lang w:val="en-GB"/>
        </w:rPr>
        <w:t>Faculty of Environmental and Power Engineering, Cracow University of Technology</w:t>
      </w:r>
      <w:r w:rsidR="006A2564" w:rsidRPr="006F2E08">
        <w:rPr>
          <w:lang w:val="en-GB"/>
        </w:rPr>
        <w:t xml:space="preserve">, Poland </w:t>
      </w:r>
      <w:r w:rsidR="006A2564" w:rsidRPr="006F2E08">
        <w:rPr>
          <w:lang w:val="en-GB"/>
        </w:rPr>
        <w:br/>
      </w:r>
      <w:hyperlink r:id="rId11" w:tgtFrame="_blank" w:history="1">
        <w:r w:rsidRPr="006F2E08">
          <w:rPr>
            <w:rStyle w:val="Hipercze"/>
            <w:rFonts w:eastAsia="Calibri"/>
            <w:color w:val="auto"/>
            <w:u w:val="none"/>
            <w:lang w:val="en-GB"/>
          </w:rPr>
          <w:t>https://orcid.org/0000-0002-7578-6082</w:t>
        </w:r>
      </w:hyperlink>
    </w:p>
    <w:p w14:paraId="27BC1220" w14:textId="5A45E3E8" w:rsidR="00FC6B84" w:rsidRPr="006F2E08" w:rsidRDefault="00FC6B84" w:rsidP="006A2564">
      <w:pPr>
        <w:pStyle w:val="Rafiliacja"/>
        <w:rPr>
          <w:lang w:val="en-GB"/>
        </w:rPr>
      </w:pPr>
      <w:r w:rsidRPr="006F2E08">
        <w:rPr>
          <w:vertAlign w:val="superscript"/>
          <w:lang w:val="en-GB"/>
        </w:rPr>
        <w:t>4</w:t>
      </w:r>
      <w:r w:rsidRPr="006F2E08">
        <w:rPr>
          <w:lang w:val="en-GB"/>
        </w:rPr>
        <w:t>Faculty of Natural and Technical Sciences, John Paul II Catholic University of Lublin</w:t>
      </w:r>
      <w:r w:rsidR="006A2564" w:rsidRPr="006F2E08">
        <w:rPr>
          <w:lang w:val="en-GB"/>
        </w:rPr>
        <w:t xml:space="preserve">, Poland </w:t>
      </w:r>
      <w:r w:rsidR="006A2564" w:rsidRPr="006F2E08">
        <w:rPr>
          <w:lang w:val="en-GB"/>
        </w:rPr>
        <w:br/>
      </w:r>
      <w:hyperlink r:id="rId12" w:history="1">
        <w:r w:rsidRPr="006F2E08">
          <w:rPr>
            <w:rStyle w:val="Hipercze"/>
            <w:rFonts w:eastAsia="Calibri"/>
            <w:color w:val="auto"/>
            <w:u w:val="none"/>
            <w:lang w:val="en-GB"/>
          </w:rPr>
          <w:t>https://orcid.org/</w:t>
        </w:r>
      </w:hyperlink>
      <w:r w:rsidRPr="006F2E08">
        <w:rPr>
          <w:lang w:val="en-GB"/>
        </w:rPr>
        <w:t>0000-0002-0976-7553</w:t>
      </w:r>
    </w:p>
    <w:p w14:paraId="2ECD5400" w14:textId="4645211C" w:rsidR="00FC6B84" w:rsidRPr="006F2E08" w:rsidRDefault="006A2564" w:rsidP="006A2564">
      <w:pPr>
        <w:pStyle w:val="Rafiliacja"/>
        <w:rPr>
          <w:lang w:val="en-GB"/>
        </w:rPr>
      </w:pPr>
      <w:r w:rsidRPr="006F2E08">
        <w:rPr>
          <w:vertAlign w:val="superscript"/>
          <w:lang w:val="en-GB"/>
        </w:rPr>
        <w:t>5</w:t>
      </w:r>
      <w:r w:rsidR="00FC6B84" w:rsidRPr="006F2E08">
        <w:rPr>
          <w:lang w:val="en-GB"/>
        </w:rPr>
        <w:t>Faculty of Natural and Technical Sciences, John Paul II Catholic University of Lublin</w:t>
      </w:r>
      <w:r w:rsidRPr="006F2E08">
        <w:rPr>
          <w:lang w:val="en-GB"/>
        </w:rPr>
        <w:t xml:space="preserve">, Poland </w:t>
      </w:r>
      <w:r w:rsidRPr="006F2E08">
        <w:rPr>
          <w:lang w:val="en-GB"/>
        </w:rPr>
        <w:br/>
      </w:r>
      <w:hyperlink r:id="rId13" w:history="1">
        <w:r w:rsidR="00FC6B84" w:rsidRPr="006F2E08">
          <w:rPr>
            <w:rStyle w:val="Hipercze"/>
            <w:rFonts w:eastAsia="Calibri"/>
            <w:color w:val="auto"/>
            <w:u w:val="none"/>
            <w:lang w:val="en-GB"/>
          </w:rPr>
          <w:t>https://orcid.org/</w:t>
        </w:r>
      </w:hyperlink>
      <w:r w:rsidR="00FC6B84" w:rsidRPr="006F2E08">
        <w:rPr>
          <w:lang w:val="en-GB"/>
        </w:rPr>
        <w:t>0000-0002-2103-0917</w:t>
      </w:r>
    </w:p>
    <w:p w14:paraId="2EDAEC0D" w14:textId="23C4F28F" w:rsidR="005B3070" w:rsidRPr="006F2E08" w:rsidRDefault="006A2564" w:rsidP="006A2564">
      <w:pPr>
        <w:pStyle w:val="Rafiliacja"/>
        <w:rPr>
          <w:rStyle w:val="Hipercze"/>
          <w:rFonts w:eastAsia="Calibri"/>
          <w:i w:val="0"/>
          <w:color w:val="auto"/>
          <w:u w:val="none"/>
          <w:lang w:val="en-GB"/>
        </w:rPr>
      </w:pPr>
      <w:r w:rsidRPr="006F2E08">
        <w:rPr>
          <w:vertAlign w:val="superscript"/>
          <w:lang w:val="en-GB"/>
        </w:rPr>
        <w:t>6</w:t>
      </w:r>
      <w:r w:rsidR="00757C49" w:rsidRPr="006F2E08">
        <w:rPr>
          <w:lang w:val="en-GB"/>
        </w:rPr>
        <w:t xml:space="preserve">Faculty of Engineering Sciences, State University of Applied Sciences in Nowy </w:t>
      </w:r>
      <w:proofErr w:type="spellStart"/>
      <w:r w:rsidR="00757C49" w:rsidRPr="006F2E08">
        <w:rPr>
          <w:lang w:val="en-GB"/>
        </w:rPr>
        <w:t>Sącz</w:t>
      </w:r>
      <w:proofErr w:type="spellEnd"/>
      <w:r w:rsidRPr="006F2E08">
        <w:rPr>
          <w:lang w:val="en-GB"/>
        </w:rPr>
        <w:t xml:space="preserve">, Poland </w:t>
      </w:r>
      <w:r w:rsidRPr="006F2E08">
        <w:rPr>
          <w:lang w:val="en-GB"/>
        </w:rPr>
        <w:br/>
      </w:r>
      <w:hyperlink r:id="rId14" w:history="1">
        <w:r w:rsidR="005B3070" w:rsidRPr="006F2E08">
          <w:rPr>
            <w:rStyle w:val="Hipercze"/>
            <w:rFonts w:eastAsia="Calibri"/>
            <w:color w:val="auto"/>
            <w:u w:val="none"/>
            <w:lang w:val="en-GB"/>
          </w:rPr>
          <w:t>https://orcid.org/0000-0002-9184-9282</w:t>
        </w:r>
      </w:hyperlink>
    </w:p>
    <w:p w14:paraId="6C44645F" w14:textId="6514033D" w:rsidR="006A2564" w:rsidRPr="006F2E08" w:rsidRDefault="006A2564" w:rsidP="006A2564">
      <w:pPr>
        <w:pStyle w:val="Rafiliacja"/>
        <w:rPr>
          <w:lang w:val="en-GB"/>
        </w:rPr>
      </w:pPr>
      <w:r w:rsidRPr="006F2E08">
        <w:rPr>
          <w:vertAlign w:val="superscript"/>
          <w:lang w:val="en-GB"/>
        </w:rPr>
        <w:t>7</w:t>
      </w:r>
      <w:r w:rsidRPr="006F2E08">
        <w:rPr>
          <w:lang w:val="en-GB"/>
        </w:rPr>
        <w:t xml:space="preserve">Faculty of Natural and Technical Sciences, John Paul II Catholic University of Lublin, Poland </w:t>
      </w:r>
      <w:r w:rsidRPr="006F2E08">
        <w:rPr>
          <w:lang w:val="en-GB"/>
        </w:rPr>
        <w:br/>
      </w:r>
      <w:hyperlink r:id="rId15" w:history="1">
        <w:r w:rsidRPr="006F2E08">
          <w:rPr>
            <w:rStyle w:val="Hipercze"/>
            <w:rFonts w:eastAsia="Calibri"/>
            <w:color w:val="auto"/>
            <w:u w:val="none"/>
            <w:lang w:val="en-GB"/>
          </w:rPr>
          <w:t>https://orcid.org/</w:t>
        </w:r>
      </w:hyperlink>
      <w:r w:rsidRPr="006F2E08">
        <w:rPr>
          <w:lang w:val="en-GB"/>
        </w:rPr>
        <w:t>0000-0001-9475-3377</w:t>
      </w:r>
    </w:p>
    <w:p w14:paraId="54232D55" w14:textId="4D869812" w:rsidR="00757C49" w:rsidRPr="006F2E08" w:rsidRDefault="006A2564" w:rsidP="006A2564">
      <w:pPr>
        <w:pStyle w:val="Rafiliacja"/>
        <w:rPr>
          <w:lang w:val="en-GB"/>
        </w:rPr>
      </w:pPr>
      <w:r w:rsidRPr="006F2E08">
        <w:rPr>
          <w:vertAlign w:val="superscript"/>
          <w:lang w:val="en-GB"/>
        </w:rPr>
        <w:t>8</w:t>
      </w:r>
      <w:r w:rsidR="005B3070" w:rsidRPr="006F2E08">
        <w:rPr>
          <w:lang w:val="en-GB"/>
        </w:rPr>
        <w:t>Department of Innovation and Safety Management Systems</w:t>
      </w:r>
      <w:r w:rsidRPr="006F2E08">
        <w:rPr>
          <w:lang w:val="en-GB"/>
        </w:rPr>
        <w:t>,</w:t>
      </w:r>
      <w:r w:rsidR="005B3070" w:rsidRPr="006F2E08">
        <w:rPr>
          <w:lang w:val="en-GB"/>
        </w:rPr>
        <w:t xml:space="preserve"> Faculty of Management,</w:t>
      </w:r>
      <w:r w:rsidRPr="006F2E08">
        <w:rPr>
          <w:lang w:val="en-GB"/>
        </w:rPr>
        <w:t xml:space="preserve"> </w:t>
      </w:r>
      <w:r w:rsidRPr="006F2E08">
        <w:rPr>
          <w:lang w:val="en-GB"/>
        </w:rPr>
        <w:br/>
      </w:r>
      <w:r w:rsidR="005B3070" w:rsidRPr="006F2E08">
        <w:rPr>
          <w:lang w:val="en-GB"/>
        </w:rPr>
        <w:t>Czestochowa University of Technology</w:t>
      </w:r>
      <w:r w:rsidRPr="006F2E08">
        <w:rPr>
          <w:lang w:val="en-GB"/>
        </w:rPr>
        <w:t xml:space="preserve">, Poland </w:t>
      </w:r>
      <w:r w:rsidRPr="006F2E08">
        <w:rPr>
          <w:lang w:val="en-GB"/>
        </w:rPr>
        <w:br/>
      </w:r>
      <w:r w:rsidR="005B3070" w:rsidRPr="006F2E08">
        <w:rPr>
          <w:lang w:val="en-GB"/>
        </w:rPr>
        <w:t>https://orcid.org/0000-0003-4328-6099</w:t>
      </w:r>
    </w:p>
    <w:p w14:paraId="6C96D54D" w14:textId="3C6F7F29" w:rsidR="00757C49" w:rsidRPr="006F2E08" w:rsidRDefault="00757C49" w:rsidP="006A2564">
      <w:pPr>
        <w:pStyle w:val="Rauco"/>
      </w:pPr>
      <w:r w:rsidRPr="006F2E08">
        <w:rPr>
          <w:vertAlign w:val="superscript"/>
        </w:rPr>
        <w:t xml:space="preserve">* </w:t>
      </w:r>
      <w:r w:rsidRPr="006F2E08">
        <w:t>corresponding author</w:t>
      </w:r>
      <w:r w:rsidR="00405F9E">
        <w:t>'</w:t>
      </w:r>
      <w:r w:rsidRPr="006F2E08">
        <w:t xml:space="preserve">s e-mail: </w:t>
      </w:r>
      <w:hyperlink r:id="rId16" w:history="1">
        <w:r w:rsidR="007C76E0" w:rsidRPr="006F2E08">
          <w:rPr>
            <w:rStyle w:val="Hipercze"/>
            <w:rFonts w:eastAsia="Calibri"/>
            <w:color w:val="auto"/>
            <w:u w:val="none"/>
          </w:rPr>
          <w:t>katarzyna.graz@kul.pl</w:t>
        </w:r>
      </w:hyperlink>
    </w:p>
    <w:p w14:paraId="5CDAE056" w14:textId="3065F882" w:rsidR="0092664B" w:rsidRPr="006F2E08" w:rsidRDefault="007C76E0" w:rsidP="006F2E08">
      <w:pPr>
        <w:pStyle w:val="Rab1"/>
      </w:pPr>
      <w:r w:rsidRPr="006F2E08">
        <w:rPr>
          <w:rFonts w:eastAsia="Calibri"/>
          <w:b/>
          <w:lang w:eastAsia="en-US"/>
        </w:rPr>
        <w:t xml:space="preserve">Abstract: </w:t>
      </w:r>
      <w:r w:rsidR="0092664B" w:rsidRPr="006F2E08">
        <w:t xml:space="preserve">The massive emergence of plastics has contributed to their widespread use in everyday life. Unfortunately, the lack of appropriate technologies for processing these materials has contributed to environmental pollution by plastic particles. </w:t>
      </w:r>
      <w:r w:rsidR="00EC082F" w:rsidRPr="006F2E08">
        <w:t>Th</w:t>
      </w:r>
      <w:r w:rsidR="00405F9E">
        <w:t>is study investigated</w:t>
      </w:r>
      <w:r w:rsidR="00EC082F" w:rsidRPr="006F2E08">
        <w:t xml:space="preserve"> the possibility of obtaining nanoparticles from selected plastics such as polyethylene and polyethylene terephthalate. </w:t>
      </w:r>
      <w:r w:rsidR="0092664B" w:rsidRPr="006F2E08">
        <w:t>Polyethylene was obtained from plastic bag</w:t>
      </w:r>
      <w:r w:rsidR="00EC082F" w:rsidRPr="006F2E08">
        <w:t xml:space="preserve"> waste</w:t>
      </w:r>
      <w:r w:rsidR="00405F9E">
        <w:t>,</w:t>
      </w:r>
      <w:r w:rsidR="0092664B" w:rsidRPr="006F2E08">
        <w:t xml:space="preserve"> and polyethylene terephthalate </w:t>
      </w:r>
      <w:r w:rsidR="00405F9E">
        <w:t xml:space="preserve">was </w:t>
      </w:r>
      <w:r w:rsidR="0092664B" w:rsidRPr="006F2E08">
        <w:t>from crushed plastic bottles of mineral water. The first stage of nanoparticle</w:t>
      </w:r>
      <w:r w:rsidR="00405F9E">
        <w:t xml:space="preserve"> production was to grind the collected used plastic waste, i.e., plastic bags and plastic bottles,</w:t>
      </w:r>
      <w:r w:rsidR="0092664B" w:rsidRPr="006F2E08">
        <w:t xml:space="preserve"> to the smallest possible size using a cutting mill. Next, the waste was ground in a planetary-ball mill and then </w:t>
      </w:r>
      <w:r w:rsidR="00405F9E">
        <w:t>homogenised</w:t>
      </w:r>
      <w:r w:rsidR="0092664B" w:rsidRPr="006F2E08">
        <w:t xml:space="preserve"> in a homogeni</w:t>
      </w:r>
      <w:r w:rsidR="00405F9E">
        <w:t>s</w:t>
      </w:r>
      <w:r w:rsidR="0092664B" w:rsidRPr="006F2E08">
        <w:t xml:space="preserve">er. The particle size distribution of the obtained particles for selected waste plastics was examined using the Dynamic Light Scattering (DLS) method. The objective of the work was achieved </w:t>
      </w:r>
      <w:r w:rsidR="003B5E46">
        <w:t>–</w:t>
      </w:r>
      <w:r w:rsidR="0092664B" w:rsidRPr="006F2E08">
        <w:t xml:space="preserve"> as a result of the performed procedures</w:t>
      </w:r>
      <w:r w:rsidR="00405F9E">
        <w:t>,</w:t>
      </w:r>
      <w:r w:rsidR="0092664B" w:rsidRPr="006F2E08">
        <w:t xml:space="preserve"> nanoparticles of waste plastics were obtained. The following average sizes for particular materials were obtained: plastic bottles (PET) 212.81</w:t>
      </w:r>
      <w:r w:rsidR="003B5E46">
        <w:t xml:space="preserve"> </w:t>
      </w:r>
      <w:r w:rsidR="0092664B" w:rsidRPr="006F2E08">
        <w:t>nm, plastic bags (PE) 208.14</w:t>
      </w:r>
      <w:r w:rsidR="00405F9E">
        <w:t> </w:t>
      </w:r>
      <w:r w:rsidR="0092664B" w:rsidRPr="006F2E08">
        <w:t>nm</w:t>
      </w:r>
      <w:r w:rsidR="00311FCD" w:rsidRPr="006F2E08">
        <w:t>, a</w:t>
      </w:r>
      <w:r w:rsidR="00405F9E">
        <w:t>nd</w:t>
      </w:r>
      <w:r w:rsidR="00311FCD" w:rsidRPr="006F2E08">
        <w:t xml:space="preserve"> smaller particles, e.g. 27</w:t>
      </w:r>
      <w:r w:rsidR="00EA3908">
        <w:t>.</w:t>
      </w:r>
      <w:r w:rsidR="00311FCD" w:rsidRPr="006F2E08">
        <w:t>74 nm.</w:t>
      </w:r>
    </w:p>
    <w:p w14:paraId="2E7C5B3A" w14:textId="5BB61E25" w:rsidR="00DF35E3" w:rsidRPr="006F2E08" w:rsidRDefault="0092664B" w:rsidP="006F2E08">
      <w:pPr>
        <w:pStyle w:val="Rab2"/>
      </w:pPr>
      <w:r w:rsidRPr="006F2E08">
        <w:rPr>
          <w:b/>
          <w:bCs/>
        </w:rPr>
        <w:t>Keywords:</w:t>
      </w:r>
      <w:r w:rsidRPr="006F2E08">
        <w:t xml:space="preserve"> nanoparticles, waste plastics, DLS, </w:t>
      </w:r>
      <w:r w:rsidR="005D1B08" w:rsidRPr="006F2E08">
        <w:t>secondary plastic</w:t>
      </w:r>
      <w:bookmarkEnd w:id="3"/>
    </w:p>
    <w:p w14:paraId="46E5C70A" w14:textId="3BF447E0" w:rsidR="00270BC4" w:rsidRPr="006F2E08" w:rsidRDefault="004A6699" w:rsidP="006F2E08">
      <w:pPr>
        <w:pStyle w:val="Rn1"/>
        <w:rPr>
          <w:lang w:val="en-GB"/>
        </w:rPr>
      </w:pPr>
      <w:r>
        <w:rPr>
          <w:lang w:val="en-GB"/>
        </w:rPr>
        <w:t xml:space="preserve">1. </w:t>
      </w:r>
      <w:r w:rsidR="006F2E08" w:rsidRPr="006F2E08">
        <w:rPr>
          <w:lang w:val="en-GB"/>
        </w:rPr>
        <w:t>Introduction</w:t>
      </w:r>
    </w:p>
    <w:p w14:paraId="00E12C37" w14:textId="5F046E4A" w:rsidR="00270BC4" w:rsidRPr="006F2E08" w:rsidRDefault="00B440CC" w:rsidP="006F2E08">
      <w:pPr>
        <w:pStyle w:val="Rn2"/>
        <w:rPr>
          <w:lang w:val="en-GB"/>
        </w:rPr>
      </w:pPr>
      <w:bookmarkStart w:id="6" w:name="_Hlk101768842"/>
      <w:bookmarkStart w:id="7" w:name="_Hlk101769042"/>
      <w:bookmarkEnd w:id="4"/>
      <w:r w:rsidRPr="006F2E08">
        <w:rPr>
          <w:lang w:val="en-GB"/>
        </w:rPr>
        <w:t>Nanotechnologies and nanoparticles and sustainable development</w:t>
      </w:r>
    </w:p>
    <w:p w14:paraId="48F49705" w14:textId="297116BD" w:rsidR="00587541" w:rsidRPr="006F2E08" w:rsidRDefault="00F2039D" w:rsidP="006F2E08">
      <w:pPr>
        <w:spacing w:before="0" w:after="0" w:line="240" w:lineRule="auto"/>
        <w:ind w:firstLine="284"/>
        <w:rPr>
          <w:bCs/>
          <w:sz w:val="22"/>
          <w:szCs w:val="22"/>
          <w:lang w:val="en-GB"/>
        </w:rPr>
      </w:pPr>
      <w:r w:rsidRPr="006F2E08">
        <w:rPr>
          <w:bCs/>
          <w:sz w:val="22"/>
          <w:szCs w:val="22"/>
          <w:lang w:val="en-GB"/>
        </w:rPr>
        <w:t xml:space="preserve">Nanotechnology is probably the most rapidly growing field of materials engineering that deals with structure at the </w:t>
      </w:r>
      <w:proofErr w:type="spellStart"/>
      <w:r w:rsidRPr="006F2E08">
        <w:rPr>
          <w:bCs/>
          <w:sz w:val="22"/>
          <w:szCs w:val="22"/>
          <w:lang w:val="en-GB"/>
        </w:rPr>
        <w:t>nanometer</w:t>
      </w:r>
      <w:proofErr w:type="spellEnd"/>
      <w:r w:rsidRPr="006F2E08">
        <w:rPr>
          <w:bCs/>
          <w:sz w:val="22"/>
          <w:szCs w:val="22"/>
          <w:lang w:val="en-GB"/>
        </w:rPr>
        <w:t xml:space="preserve"> level. Nanotechnology is defined as the fabrication of elements of matter and/or the formation of their morphology on </w:t>
      </w:r>
      <w:r w:rsidR="00405F9E">
        <w:rPr>
          <w:bCs/>
          <w:sz w:val="22"/>
          <w:szCs w:val="22"/>
          <w:lang w:val="en-GB"/>
        </w:rPr>
        <w:t>a</w:t>
      </w:r>
      <w:r w:rsidRPr="006F2E08">
        <w:rPr>
          <w:bCs/>
          <w:sz w:val="22"/>
          <w:szCs w:val="22"/>
          <w:lang w:val="en-GB"/>
        </w:rPr>
        <w:t xml:space="preserve"> scale of 1 to 100 nm. This conventional metric range is often not confirmed </w:t>
      </w:r>
      <w:r w:rsidR="002302DF" w:rsidRPr="006F2E08">
        <w:rPr>
          <w:bCs/>
          <w:sz w:val="22"/>
          <w:szCs w:val="22"/>
          <w:lang w:val="en-GB"/>
        </w:rPr>
        <w:t>in</w:t>
      </w:r>
      <w:r w:rsidRPr="006F2E08">
        <w:rPr>
          <w:bCs/>
          <w:sz w:val="22"/>
          <w:szCs w:val="22"/>
          <w:lang w:val="en-GB"/>
        </w:rPr>
        <w:t xml:space="preserve"> practice. Therefore, a second component of the definition of nanotechnology has been adopted. It refers to physicochemical phenomena and says that nanotechnology exploits unusual properties of a substance, appearing only after a critical size of grains or precipitates, layer thickne</w:t>
      </w:r>
      <w:r w:rsidR="00E8496A" w:rsidRPr="006F2E08">
        <w:rPr>
          <w:bCs/>
          <w:sz w:val="22"/>
          <w:szCs w:val="22"/>
          <w:lang w:val="en-GB"/>
        </w:rPr>
        <w:t xml:space="preserve">ss, or particle size is reached </w:t>
      </w:r>
      <w:r w:rsidR="000B4FE3" w:rsidRPr="006F2E08">
        <w:rPr>
          <w:bCs/>
          <w:sz w:val="22"/>
          <w:szCs w:val="22"/>
          <w:lang w:val="en-GB"/>
        </w:rPr>
        <w:t>(</w:t>
      </w:r>
      <w:proofErr w:type="spellStart"/>
      <w:r w:rsidR="00206330" w:rsidRPr="006F2E08">
        <w:rPr>
          <w:bCs/>
          <w:sz w:val="22"/>
          <w:szCs w:val="22"/>
          <w:lang w:val="en-GB"/>
        </w:rPr>
        <w:t>Sutisna</w:t>
      </w:r>
      <w:proofErr w:type="spellEnd"/>
      <w:r w:rsidR="00206330" w:rsidRPr="006F2E08">
        <w:rPr>
          <w:bCs/>
          <w:sz w:val="22"/>
          <w:szCs w:val="22"/>
          <w:lang w:val="en-GB"/>
        </w:rPr>
        <w:t xml:space="preserve"> et al</w:t>
      </w:r>
      <w:r w:rsidR="000A5A86">
        <w:rPr>
          <w:bCs/>
          <w:sz w:val="22"/>
          <w:szCs w:val="22"/>
          <w:lang w:val="en-GB"/>
        </w:rPr>
        <w:t>.</w:t>
      </w:r>
      <w:r w:rsidR="00206330" w:rsidRPr="006F2E08">
        <w:rPr>
          <w:bCs/>
          <w:sz w:val="22"/>
          <w:szCs w:val="22"/>
          <w:lang w:val="en-GB"/>
        </w:rPr>
        <w:t xml:space="preserve"> 2017</w:t>
      </w:r>
      <w:r w:rsidR="000A5A86">
        <w:rPr>
          <w:bCs/>
          <w:sz w:val="22"/>
          <w:szCs w:val="22"/>
          <w:lang w:val="en-GB"/>
        </w:rPr>
        <w:t>,</w:t>
      </w:r>
      <w:r w:rsidR="00206330" w:rsidRPr="006F2E08">
        <w:rPr>
          <w:bCs/>
          <w:sz w:val="22"/>
          <w:szCs w:val="22"/>
          <w:lang w:val="en-GB"/>
        </w:rPr>
        <w:t xml:space="preserve"> </w:t>
      </w:r>
      <w:r w:rsidR="000B4FE3" w:rsidRPr="006F2E08">
        <w:rPr>
          <w:bCs/>
          <w:sz w:val="22"/>
          <w:szCs w:val="22"/>
          <w:lang w:val="en-GB"/>
        </w:rPr>
        <w:t>Hamdan et al. 2023)</w:t>
      </w:r>
      <w:r w:rsidR="00E8496A" w:rsidRPr="006F2E08">
        <w:rPr>
          <w:bCs/>
          <w:sz w:val="22"/>
          <w:szCs w:val="22"/>
          <w:lang w:val="en-GB"/>
        </w:rPr>
        <w:t xml:space="preserve">. </w:t>
      </w:r>
      <w:r w:rsidRPr="006F2E08">
        <w:rPr>
          <w:bCs/>
          <w:sz w:val="22"/>
          <w:szCs w:val="22"/>
          <w:lang w:val="en-GB"/>
        </w:rPr>
        <w:t xml:space="preserve">Of course, the critical size of a given structural element varies with different physicochemical properties. Nevertheless, to </w:t>
      </w:r>
      <w:r w:rsidR="00405F9E">
        <w:rPr>
          <w:bCs/>
          <w:sz w:val="22"/>
          <w:szCs w:val="22"/>
          <w:lang w:val="en-GB"/>
        </w:rPr>
        <w:t>follow</w:t>
      </w:r>
      <w:r w:rsidRPr="006F2E08">
        <w:rPr>
          <w:bCs/>
          <w:sz w:val="22"/>
          <w:szCs w:val="22"/>
          <w:lang w:val="en-GB"/>
        </w:rPr>
        <w:t xml:space="preserve"> the first criterion of nanotechnology definition, it should be 1 </w:t>
      </w:r>
      <w:r w:rsidR="001A113C">
        <w:rPr>
          <w:bCs/>
          <w:sz w:val="22"/>
          <w:szCs w:val="22"/>
          <w:lang w:val="en-GB"/>
        </w:rPr>
        <w:t> </w:t>
      </w:r>
      <w:r w:rsidRPr="006F2E08">
        <w:rPr>
          <w:bCs/>
          <w:sz w:val="22"/>
          <w:szCs w:val="22"/>
          <w:lang w:val="en-GB"/>
        </w:rPr>
        <w:t>to 100 nm. Nanotechnology is an area of materials engineering that is characteri</w:t>
      </w:r>
      <w:r w:rsidR="00405F9E">
        <w:rPr>
          <w:bCs/>
          <w:sz w:val="22"/>
          <w:szCs w:val="22"/>
          <w:lang w:val="en-GB"/>
        </w:rPr>
        <w:t>s</w:t>
      </w:r>
      <w:r w:rsidRPr="006F2E08">
        <w:rPr>
          <w:bCs/>
          <w:sz w:val="22"/>
          <w:szCs w:val="22"/>
          <w:lang w:val="en-GB"/>
        </w:rPr>
        <w:t xml:space="preserve">ed by the fact that the size and morphology of structural elements can have a greater effect on the properties of a substance than its chemical composition. This effect is often </w:t>
      </w:r>
      <w:r w:rsidR="00405F9E">
        <w:rPr>
          <w:bCs/>
          <w:sz w:val="22"/>
          <w:szCs w:val="22"/>
          <w:lang w:val="en-GB"/>
        </w:rPr>
        <w:t>called</w:t>
      </w:r>
      <w:r w:rsidRPr="006F2E08">
        <w:rPr>
          <w:bCs/>
          <w:sz w:val="22"/>
          <w:szCs w:val="22"/>
          <w:lang w:val="en-GB"/>
        </w:rPr>
        <w:t xml:space="preserve"> the nanoscale effect </w:t>
      </w:r>
      <w:r w:rsidR="000B4FE3" w:rsidRPr="006F2E08">
        <w:rPr>
          <w:bCs/>
          <w:sz w:val="22"/>
          <w:szCs w:val="22"/>
          <w:lang w:val="en-GB"/>
        </w:rPr>
        <w:t>(</w:t>
      </w:r>
      <w:proofErr w:type="spellStart"/>
      <w:r w:rsidR="004B7567" w:rsidRPr="006F2E08">
        <w:rPr>
          <w:bCs/>
          <w:sz w:val="22"/>
          <w:szCs w:val="22"/>
          <w:lang w:val="en-GB"/>
        </w:rPr>
        <w:t>Ciuła</w:t>
      </w:r>
      <w:proofErr w:type="spellEnd"/>
      <w:r w:rsidR="004B7567" w:rsidRPr="006F2E08">
        <w:rPr>
          <w:bCs/>
          <w:sz w:val="22"/>
          <w:szCs w:val="22"/>
          <w:lang w:val="en-GB"/>
        </w:rPr>
        <w:t xml:space="preserve"> et al.</w:t>
      </w:r>
      <w:r w:rsidR="000A5A86">
        <w:rPr>
          <w:bCs/>
          <w:sz w:val="22"/>
          <w:szCs w:val="22"/>
          <w:lang w:val="en-GB"/>
        </w:rPr>
        <w:t xml:space="preserve"> </w:t>
      </w:r>
      <w:r w:rsidR="004B7567" w:rsidRPr="006F2E08">
        <w:rPr>
          <w:bCs/>
          <w:sz w:val="22"/>
          <w:szCs w:val="22"/>
          <w:lang w:val="en-GB"/>
        </w:rPr>
        <w:t>2023</w:t>
      </w:r>
      <w:r w:rsidR="000A5A86">
        <w:rPr>
          <w:bCs/>
          <w:sz w:val="22"/>
          <w:szCs w:val="22"/>
          <w:lang w:val="en-GB"/>
        </w:rPr>
        <w:t>,</w:t>
      </w:r>
      <w:r w:rsidR="00EC5BEA" w:rsidRPr="006F2E08">
        <w:rPr>
          <w:sz w:val="22"/>
          <w:szCs w:val="22"/>
          <w:lang w:val="en-GB"/>
        </w:rPr>
        <w:t xml:space="preserve"> </w:t>
      </w:r>
      <w:r w:rsidR="006B4753" w:rsidRPr="006F2E08">
        <w:rPr>
          <w:sz w:val="22"/>
          <w:szCs w:val="22"/>
          <w:lang w:val="en-GB"/>
        </w:rPr>
        <w:t xml:space="preserve">Gaska </w:t>
      </w:r>
      <w:r w:rsidR="004C110D" w:rsidRPr="006F2E08">
        <w:rPr>
          <w:sz w:val="22"/>
          <w:szCs w:val="22"/>
          <w:lang w:val="en-GB"/>
        </w:rPr>
        <w:t>et al.</w:t>
      </w:r>
      <w:r w:rsidR="000B4FE3" w:rsidRPr="006F2E08">
        <w:rPr>
          <w:sz w:val="22"/>
          <w:szCs w:val="22"/>
          <w:lang w:val="en-GB"/>
        </w:rPr>
        <w:t xml:space="preserve"> 2023)</w:t>
      </w:r>
      <w:r w:rsidR="004C110D" w:rsidRPr="006F2E08">
        <w:rPr>
          <w:sz w:val="22"/>
          <w:szCs w:val="22"/>
          <w:lang w:val="en-GB"/>
        </w:rPr>
        <w:t>.</w:t>
      </w:r>
    </w:p>
    <w:p w14:paraId="6A527361" w14:textId="0782981B" w:rsidR="00F2039D" w:rsidRPr="001A113C" w:rsidRDefault="00F2039D" w:rsidP="006F2E08">
      <w:pPr>
        <w:spacing w:before="0" w:after="0" w:line="240" w:lineRule="auto"/>
        <w:ind w:firstLine="284"/>
        <w:rPr>
          <w:bCs/>
          <w:spacing w:val="-2"/>
          <w:sz w:val="22"/>
          <w:szCs w:val="22"/>
          <w:lang w:val="en-GB"/>
        </w:rPr>
      </w:pPr>
      <w:r w:rsidRPr="001A113C">
        <w:rPr>
          <w:bCs/>
          <w:spacing w:val="-2"/>
          <w:sz w:val="22"/>
          <w:szCs w:val="22"/>
          <w:lang w:val="en-GB"/>
        </w:rPr>
        <w:t>When considering issues related to the impact of nanotechnology on the environment, it should be emphasi</w:t>
      </w:r>
      <w:r w:rsidR="00405F9E" w:rsidRPr="001A113C">
        <w:rPr>
          <w:bCs/>
          <w:spacing w:val="-2"/>
          <w:sz w:val="22"/>
          <w:szCs w:val="22"/>
          <w:lang w:val="en-GB"/>
        </w:rPr>
        <w:t>s</w:t>
      </w:r>
      <w:r w:rsidRPr="001A113C">
        <w:rPr>
          <w:bCs/>
          <w:spacing w:val="-2"/>
          <w:sz w:val="22"/>
          <w:szCs w:val="22"/>
          <w:lang w:val="en-GB"/>
        </w:rPr>
        <w:t>ed that the growing interest in the use of various nanomaterials in technology, industry, medicine and everyday life results in an increase in their production and, consequently, in their emission to the environment</w:t>
      </w:r>
      <w:r w:rsidR="00CD4CC0" w:rsidRPr="001A113C">
        <w:rPr>
          <w:bCs/>
          <w:spacing w:val="-2"/>
          <w:sz w:val="22"/>
          <w:szCs w:val="22"/>
          <w:lang w:val="en-GB"/>
        </w:rPr>
        <w:t xml:space="preserve"> </w:t>
      </w:r>
      <w:r w:rsidR="000B4FE3" w:rsidRPr="001A113C">
        <w:rPr>
          <w:bCs/>
          <w:spacing w:val="-2"/>
          <w:sz w:val="22"/>
          <w:szCs w:val="22"/>
          <w:lang w:val="en-GB"/>
        </w:rPr>
        <w:t>(</w:t>
      </w:r>
      <w:proofErr w:type="spellStart"/>
      <w:r w:rsidR="005D760A" w:rsidRPr="001A113C">
        <w:rPr>
          <w:bCs/>
          <w:spacing w:val="-2"/>
          <w:sz w:val="22"/>
          <w:szCs w:val="22"/>
          <w:lang w:val="en-GB"/>
        </w:rPr>
        <w:t>Grąz</w:t>
      </w:r>
      <w:proofErr w:type="spellEnd"/>
      <w:r w:rsidR="005D760A" w:rsidRPr="001A113C">
        <w:rPr>
          <w:bCs/>
          <w:spacing w:val="-2"/>
          <w:sz w:val="22"/>
          <w:szCs w:val="22"/>
          <w:lang w:val="en-GB"/>
        </w:rPr>
        <w:t xml:space="preserve"> et al. 2023</w:t>
      </w:r>
      <w:r w:rsidR="000B4FE3" w:rsidRPr="001A113C">
        <w:rPr>
          <w:bCs/>
          <w:spacing w:val="-2"/>
          <w:sz w:val="22"/>
          <w:szCs w:val="22"/>
          <w:lang w:val="en-GB"/>
        </w:rPr>
        <w:t>)</w:t>
      </w:r>
      <w:r w:rsidRPr="001A113C">
        <w:rPr>
          <w:bCs/>
          <w:spacing w:val="-2"/>
          <w:sz w:val="22"/>
          <w:szCs w:val="22"/>
          <w:lang w:val="en-GB"/>
        </w:rPr>
        <w:t xml:space="preserve">. Due to numerous reports on the negative impact of nanoparticles on microbial cells, plants </w:t>
      </w:r>
      <w:r w:rsidR="000B4FE3" w:rsidRPr="001A113C">
        <w:rPr>
          <w:bCs/>
          <w:spacing w:val="-2"/>
          <w:sz w:val="22"/>
          <w:szCs w:val="22"/>
          <w:lang w:val="en-GB"/>
        </w:rPr>
        <w:t>(</w:t>
      </w:r>
      <w:r w:rsidR="006D3B37" w:rsidRPr="001A113C">
        <w:rPr>
          <w:spacing w:val="-2"/>
          <w:sz w:val="22"/>
          <w:szCs w:val="22"/>
          <w:lang w:val="en-GB"/>
        </w:rPr>
        <w:t>Mateos-Cardenas</w:t>
      </w:r>
      <w:r w:rsidR="00BC5EB3" w:rsidRPr="001A113C">
        <w:rPr>
          <w:spacing w:val="-2"/>
          <w:sz w:val="22"/>
          <w:szCs w:val="22"/>
          <w:lang w:val="en-GB"/>
        </w:rPr>
        <w:t xml:space="preserve"> </w:t>
      </w:r>
      <w:r w:rsidR="006D3B37" w:rsidRPr="001A113C">
        <w:rPr>
          <w:iCs/>
          <w:spacing w:val="-2"/>
          <w:sz w:val="22"/>
          <w:szCs w:val="22"/>
          <w:lang w:val="en-GB"/>
        </w:rPr>
        <w:t>et al.</w:t>
      </w:r>
      <w:r w:rsidR="006D3B37" w:rsidRPr="001A113C">
        <w:rPr>
          <w:spacing w:val="-2"/>
          <w:sz w:val="22"/>
          <w:szCs w:val="22"/>
          <w:lang w:val="en-GB"/>
        </w:rPr>
        <w:t xml:space="preserve"> 2021</w:t>
      </w:r>
      <w:r w:rsidR="000A5A86" w:rsidRPr="001A113C">
        <w:rPr>
          <w:spacing w:val="-2"/>
          <w:sz w:val="22"/>
          <w:szCs w:val="22"/>
          <w:lang w:val="en-GB"/>
        </w:rPr>
        <w:t>,</w:t>
      </w:r>
      <w:r w:rsidR="006D3B37" w:rsidRPr="001A113C">
        <w:rPr>
          <w:spacing w:val="-2"/>
          <w:sz w:val="22"/>
          <w:szCs w:val="22"/>
          <w:lang w:val="en-GB"/>
        </w:rPr>
        <w:t xml:space="preserve"> </w:t>
      </w:r>
      <w:r w:rsidR="00495897" w:rsidRPr="001A113C">
        <w:rPr>
          <w:spacing w:val="-2"/>
          <w:sz w:val="22"/>
          <w:szCs w:val="22"/>
          <w:lang w:val="en-GB"/>
        </w:rPr>
        <w:t>Yin</w:t>
      </w:r>
      <w:r w:rsidR="00BC5EB3" w:rsidRPr="001A113C">
        <w:rPr>
          <w:spacing w:val="-2"/>
          <w:sz w:val="22"/>
          <w:szCs w:val="22"/>
          <w:lang w:val="en-GB"/>
        </w:rPr>
        <w:t xml:space="preserve"> </w:t>
      </w:r>
      <w:r w:rsidR="00495897" w:rsidRPr="001A113C">
        <w:rPr>
          <w:iCs/>
          <w:spacing w:val="-2"/>
          <w:sz w:val="22"/>
          <w:szCs w:val="22"/>
          <w:lang w:val="en-GB"/>
        </w:rPr>
        <w:t>et al.</w:t>
      </w:r>
      <w:r w:rsidR="000B4FE3" w:rsidRPr="001A113C">
        <w:rPr>
          <w:spacing w:val="-2"/>
          <w:sz w:val="22"/>
          <w:szCs w:val="22"/>
          <w:lang w:val="en-GB"/>
        </w:rPr>
        <w:t xml:space="preserve"> 2021)</w:t>
      </w:r>
      <w:r w:rsidR="002302DF" w:rsidRPr="001A113C">
        <w:rPr>
          <w:bCs/>
          <w:spacing w:val="-2"/>
          <w:sz w:val="22"/>
          <w:szCs w:val="22"/>
          <w:lang w:val="en-GB"/>
        </w:rPr>
        <w:t xml:space="preserve"> </w:t>
      </w:r>
      <w:r w:rsidRPr="001A113C">
        <w:rPr>
          <w:bCs/>
          <w:spacing w:val="-2"/>
          <w:sz w:val="22"/>
          <w:szCs w:val="22"/>
          <w:lang w:val="en-GB"/>
        </w:rPr>
        <w:t>and animals</w:t>
      </w:r>
      <w:r w:rsidR="002302DF" w:rsidRPr="001A113C">
        <w:rPr>
          <w:bCs/>
          <w:spacing w:val="-2"/>
          <w:sz w:val="22"/>
          <w:szCs w:val="22"/>
          <w:lang w:val="en-GB"/>
        </w:rPr>
        <w:t xml:space="preserve"> </w:t>
      </w:r>
      <w:r w:rsidR="000B4FE3" w:rsidRPr="001A113C">
        <w:rPr>
          <w:bCs/>
          <w:spacing w:val="-2"/>
          <w:sz w:val="22"/>
          <w:szCs w:val="22"/>
          <w:lang w:val="en-GB"/>
        </w:rPr>
        <w:t>(</w:t>
      </w:r>
      <w:r w:rsidR="00BC5EB3" w:rsidRPr="001A113C">
        <w:rPr>
          <w:bCs/>
          <w:spacing w:val="-2"/>
          <w:sz w:val="22"/>
          <w:szCs w:val="22"/>
          <w:lang w:val="en-GB"/>
        </w:rPr>
        <w:t xml:space="preserve">Li </w:t>
      </w:r>
      <w:r w:rsidR="00BC5EB3" w:rsidRPr="001A113C">
        <w:rPr>
          <w:bCs/>
          <w:iCs/>
          <w:spacing w:val="-2"/>
          <w:sz w:val="22"/>
          <w:szCs w:val="22"/>
          <w:lang w:val="en-GB"/>
        </w:rPr>
        <w:t>et al.</w:t>
      </w:r>
      <w:r w:rsidR="00BC5EB3" w:rsidRPr="001A113C">
        <w:rPr>
          <w:bCs/>
          <w:spacing w:val="-2"/>
          <w:sz w:val="22"/>
          <w:szCs w:val="22"/>
          <w:lang w:val="en-GB"/>
        </w:rPr>
        <w:t xml:space="preserve"> 2021</w:t>
      </w:r>
      <w:r w:rsidR="000B4FE3" w:rsidRPr="001A113C">
        <w:rPr>
          <w:bCs/>
          <w:spacing w:val="-2"/>
          <w:sz w:val="22"/>
          <w:szCs w:val="22"/>
          <w:lang w:val="en-GB"/>
        </w:rPr>
        <w:t>)</w:t>
      </w:r>
      <w:r w:rsidRPr="001A113C">
        <w:rPr>
          <w:bCs/>
          <w:spacing w:val="-2"/>
          <w:sz w:val="22"/>
          <w:szCs w:val="22"/>
          <w:lang w:val="en-GB"/>
        </w:rPr>
        <w:t xml:space="preserve">, it is necessary to assess their impact on the </w:t>
      </w:r>
      <w:r w:rsidRPr="001A113C">
        <w:rPr>
          <w:bCs/>
          <w:spacing w:val="-2"/>
          <w:sz w:val="22"/>
          <w:szCs w:val="22"/>
          <w:lang w:val="en-GB"/>
        </w:rPr>
        <w:lastRenderedPageBreak/>
        <w:t>environmen</w:t>
      </w:r>
      <w:r w:rsidR="002302DF" w:rsidRPr="001A113C">
        <w:rPr>
          <w:bCs/>
          <w:spacing w:val="-2"/>
          <w:sz w:val="22"/>
          <w:szCs w:val="22"/>
          <w:lang w:val="en-GB"/>
        </w:rPr>
        <w:t xml:space="preserve">t </w:t>
      </w:r>
      <w:r w:rsidR="000B4FE3" w:rsidRPr="001A113C">
        <w:rPr>
          <w:bCs/>
          <w:spacing w:val="-2"/>
          <w:sz w:val="22"/>
          <w:szCs w:val="22"/>
          <w:lang w:val="en-GB"/>
        </w:rPr>
        <w:t>(</w:t>
      </w:r>
      <w:proofErr w:type="spellStart"/>
      <w:r w:rsidR="007733D7" w:rsidRPr="001A113C">
        <w:rPr>
          <w:bCs/>
          <w:spacing w:val="-2"/>
          <w:sz w:val="22"/>
          <w:szCs w:val="22"/>
          <w:lang w:val="en-GB"/>
        </w:rPr>
        <w:t>Schwaferts</w:t>
      </w:r>
      <w:proofErr w:type="spellEnd"/>
      <w:r w:rsidR="007733D7" w:rsidRPr="001A113C">
        <w:rPr>
          <w:bCs/>
          <w:spacing w:val="-2"/>
          <w:sz w:val="22"/>
          <w:szCs w:val="22"/>
          <w:lang w:val="en-GB"/>
        </w:rPr>
        <w:t xml:space="preserve"> </w:t>
      </w:r>
      <w:r w:rsidR="007733D7" w:rsidRPr="001A113C">
        <w:rPr>
          <w:bCs/>
          <w:iCs/>
          <w:spacing w:val="-2"/>
          <w:sz w:val="22"/>
          <w:szCs w:val="22"/>
          <w:lang w:val="en-GB"/>
        </w:rPr>
        <w:t>et al.</w:t>
      </w:r>
      <w:r w:rsidR="007733D7" w:rsidRPr="001A113C">
        <w:rPr>
          <w:bCs/>
          <w:spacing w:val="-2"/>
          <w:sz w:val="22"/>
          <w:szCs w:val="22"/>
          <w:lang w:val="en-GB"/>
        </w:rPr>
        <w:t xml:space="preserve"> 2019</w:t>
      </w:r>
      <w:r w:rsidR="000A5A86" w:rsidRPr="001A113C">
        <w:rPr>
          <w:bCs/>
          <w:spacing w:val="-2"/>
          <w:sz w:val="22"/>
          <w:szCs w:val="22"/>
          <w:lang w:val="en-GB"/>
        </w:rPr>
        <w:t>,</w:t>
      </w:r>
      <w:r w:rsidR="007733D7" w:rsidRPr="001A113C">
        <w:rPr>
          <w:bCs/>
          <w:spacing w:val="-2"/>
          <w:sz w:val="22"/>
          <w:szCs w:val="22"/>
          <w:lang w:val="en-GB"/>
        </w:rPr>
        <w:t xml:space="preserve"> </w:t>
      </w:r>
      <w:r w:rsidR="004E0894" w:rsidRPr="001A113C">
        <w:rPr>
          <w:bCs/>
          <w:spacing w:val="-2"/>
          <w:sz w:val="22"/>
          <w:szCs w:val="22"/>
          <w:lang w:val="en-GB"/>
        </w:rPr>
        <w:t xml:space="preserve">Jeon </w:t>
      </w:r>
      <w:r w:rsidR="004E0894" w:rsidRPr="001A113C">
        <w:rPr>
          <w:bCs/>
          <w:iCs/>
          <w:spacing w:val="-2"/>
          <w:sz w:val="22"/>
          <w:szCs w:val="22"/>
          <w:lang w:val="en-GB"/>
        </w:rPr>
        <w:t>et al.</w:t>
      </w:r>
      <w:r w:rsidR="004E0894" w:rsidRPr="001A113C">
        <w:rPr>
          <w:bCs/>
          <w:spacing w:val="-2"/>
          <w:sz w:val="22"/>
          <w:szCs w:val="22"/>
          <w:lang w:val="en-GB"/>
        </w:rPr>
        <w:t xml:space="preserve"> 2021</w:t>
      </w:r>
      <w:r w:rsidR="002302DF" w:rsidRPr="001A113C">
        <w:rPr>
          <w:bCs/>
          <w:spacing w:val="-2"/>
          <w:sz w:val="22"/>
          <w:szCs w:val="22"/>
          <w:lang w:val="en-GB"/>
        </w:rPr>
        <w:t>,</w:t>
      </w:r>
      <w:r w:rsidR="002302DF" w:rsidRPr="001A113C">
        <w:rPr>
          <w:spacing w:val="-2"/>
          <w:sz w:val="22"/>
          <w:szCs w:val="22"/>
          <w:lang w:val="en-GB"/>
        </w:rPr>
        <w:t xml:space="preserve"> </w:t>
      </w:r>
      <w:proofErr w:type="spellStart"/>
      <w:r w:rsidR="007733D7" w:rsidRPr="001A113C">
        <w:rPr>
          <w:spacing w:val="-2"/>
          <w:sz w:val="22"/>
          <w:szCs w:val="22"/>
          <w:lang w:val="en-GB"/>
        </w:rPr>
        <w:t>Materić</w:t>
      </w:r>
      <w:proofErr w:type="spellEnd"/>
      <w:r w:rsidR="007733D7" w:rsidRPr="001A113C">
        <w:rPr>
          <w:spacing w:val="-2"/>
          <w:sz w:val="22"/>
          <w:szCs w:val="22"/>
          <w:lang w:val="en-GB"/>
        </w:rPr>
        <w:t xml:space="preserve"> </w:t>
      </w:r>
      <w:r w:rsidR="007733D7" w:rsidRPr="001A113C">
        <w:rPr>
          <w:iCs/>
          <w:spacing w:val="-2"/>
          <w:sz w:val="22"/>
          <w:szCs w:val="22"/>
          <w:lang w:val="en-GB"/>
        </w:rPr>
        <w:t>et al.</w:t>
      </w:r>
      <w:r w:rsidR="00E27B16" w:rsidRPr="001A113C">
        <w:rPr>
          <w:spacing w:val="-2"/>
          <w:sz w:val="22"/>
          <w:szCs w:val="22"/>
          <w:lang w:val="en-GB"/>
        </w:rPr>
        <w:t xml:space="preserve"> 2021</w:t>
      </w:r>
      <w:r w:rsidR="000B4FE3" w:rsidRPr="001A113C">
        <w:rPr>
          <w:spacing w:val="-2"/>
          <w:sz w:val="22"/>
          <w:szCs w:val="22"/>
          <w:lang w:val="en-GB"/>
        </w:rPr>
        <w:t>)</w:t>
      </w:r>
      <w:r w:rsidRPr="001A113C">
        <w:rPr>
          <w:bCs/>
          <w:spacing w:val="-2"/>
          <w:sz w:val="22"/>
          <w:szCs w:val="22"/>
          <w:lang w:val="en-GB"/>
        </w:rPr>
        <w:t>. This is particularly important in the case of newly synthesi</w:t>
      </w:r>
      <w:r w:rsidR="00405F9E" w:rsidRPr="001A113C">
        <w:rPr>
          <w:bCs/>
          <w:spacing w:val="-2"/>
          <w:sz w:val="22"/>
          <w:szCs w:val="22"/>
          <w:lang w:val="en-GB"/>
        </w:rPr>
        <w:t>s</w:t>
      </w:r>
      <w:r w:rsidRPr="001A113C">
        <w:rPr>
          <w:bCs/>
          <w:spacing w:val="-2"/>
          <w:sz w:val="22"/>
          <w:szCs w:val="22"/>
          <w:lang w:val="en-GB"/>
        </w:rPr>
        <w:t>ed products with potential appl</w:t>
      </w:r>
      <w:r w:rsidR="00E27B16" w:rsidRPr="001A113C">
        <w:rPr>
          <w:bCs/>
          <w:spacing w:val="-2"/>
          <w:sz w:val="22"/>
          <w:szCs w:val="22"/>
          <w:lang w:val="en-GB"/>
        </w:rPr>
        <w:t>i</w:t>
      </w:r>
      <w:r w:rsidR="000B4FE3" w:rsidRPr="001A113C">
        <w:rPr>
          <w:bCs/>
          <w:spacing w:val="-2"/>
          <w:sz w:val="22"/>
          <w:szCs w:val="22"/>
          <w:lang w:val="en-GB"/>
        </w:rPr>
        <w:t>cations in industry or economy (</w:t>
      </w:r>
      <w:proofErr w:type="spellStart"/>
      <w:r w:rsidR="00E27B16" w:rsidRPr="001A113C">
        <w:rPr>
          <w:bCs/>
          <w:spacing w:val="-2"/>
          <w:sz w:val="22"/>
          <w:szCs w:val="22"/>
          <w:lang w:val="en-GB"/>
        </w:rPr>
        <w:t>Gaylarde</w:t>
      </w:r>
      <w:proofErr w:type="spellEnd"/>
      <w:r w:rsidR="00E27B16" w:rsidRPr="001A113C">
        <w:rPr>
          <w:bCs/>
          <w:spacing w:val="-2"/>
          <w:sz w:val="22"/>
          <w:szCs w:val="22"/>
          <w:lang w:val="en-GB"/>
        </w:rPr>
        <w:t xml:space="preserve"> et al.</w:t>
      </w:r>
      <w:r w:rsidR="000B4FE3" w:rsidRPr="001A113C">
        <w:rPr>
          <w:bCs/>
          <w:spacing w:val="-2"/>
          <w:sz w:val="22"/>
          <w:szCs w:val="22"/>
          <w:lang w:val="en-GB"/>
        </w:rPr>
        <w:t xml:space="preserve"> 2021)</w:t>
      </w:r>
      <w:r w:rsidR="00E27B16" w:rsidRPr="001A113C">
        <w:rPr>
          <w:bCs/>
          <w:spacing w:val="-2"/>
          <w:sz w:val="22"/>
          <w:szCs w:val="22"/>
          <w:lang w:val="en-GB"/>
        </w:rPr>
        <w:t>.</w:t>
      </w:r>
    </w:p>
    <w:p w14:paraId="082509C6" w14:textId="3694E70F" w:rsidR="00E27B16" w:rsidRPr="006F2E08" w:rsidRDefault="00F2039D" w:rsidP="006F2E08">
      <w:pPr>
        <w:spacing w:before="0" w:after="0" w:line="240" w:lineRule="auto"/>
        <w:ind w:firstLine="284"/>
        <w:rPr>
          <w:bCs/>
          <w:sz w:val="22"/>
          <w:szCs w:val="22"/>
          <w:lang w:val="en-GB"/>
        </w:rPr>
      </w:pPr>
      <w:r w:rsidRPr="006F2E08">
        <w:rPr>
          <w:bCs/>
          <w:sz w:val="22"/>
          <w:szCs w:val="22"/>
          <w:lang w:val="en-GB"/>
        </w:rPr>
        <w:t>In recent years, nanotechnology and its products, i.e.</w:t>
      </w:r>
      <w:r w:rsidR="00405F9E">
        <w:rPr>
          <w:bCs/>
          <w:sz w:val="22"/>
          <w:szCs w:val="22"/>
          <w:lang w:val="en-GB"/>
        </w:rPr>
        <w:t>, nanoparticles, have greatly interested</w:t>
      </w:r>
      <w:r w:rsidRPr="006F2E08">
        <w:rPr>
          <w:bCs/>
          <w:sz w:val="22"/>
          <w:szCs w:val="22"/>
          <w:lang w:val="en-GB"/>
        </w:rPr>
        <w:t xml:space="preserve"> scientists. Nanoparticles, however, do not only bring benefits but also certain risks, both for humans </w:t>
      </w:r>
      <w:r w:rsidR="000B4FE3" w:rsidRPr="006F2E08">
        <w:rPr>
          <w:bCs/>
          <w:sz w:val="22"/>
          <w:szCs w:val="22"/>
          <w:lang w:val="en-GB"/>
        </w:rPr>
        <w:t>(</w:t>
      </w:r>
      <w:proofErr w:type="spellStart"/>
      <w:r w:rsidR="00D20662" w:rsidRPr="006F2E08">
        <w:rPr>
          <w:sz w:val="22"/>
          <w:szCs w:val="22"/>
          <w:lang w:val="en-GB"/>
        </w:rPr>
        <w:t>Magrì</w:t>
      </w:r>
      <w:proofErr w:type="spellEnd"/>
      <w:r w:rsidR="00D20662" w:rsidRPr="006F2E08">
        <w:rPr>
          <w:sz w:val="22"/>
          <w:szCs w:val="22"/>
          <w:lang w:val="en-GB"/>
        </w:rPr>
        <w:t xml:space="preserve"> </w:t>
      </w:r>
      <w:r w:rsidR="00D20662" w:rsidRPr="006F2E08">
        <w:rPr>
          <w:iCs/>
          <w:sz w:val="22"/>
          <w:szCs w:val="22"/>
          <w:lang w:val="en-GB"/>
        </w:rPr>
        <w:t>et al.</w:t>
      </w:r>
      <w:r w:rsidR="00D20662" w:rsidRPr="006F2E08">
        <w:rPr>
          <w:sz w:val="22"/>
          <w:szCs w:val="22"/>
          <w:lang w:val="en-GB"/>
        </w:rPr>
        <w:t xml:space="preserve"> 2021</w:t>
      </w:r>
      <w:r w:rsidR="000A5A86">
        <w:rPr>
          <w:sz w:val="22"/>
          <w:szCs w:val="22"/>
          <w:lang w:val="en-GB"/>
        </w:rPr>
        <w:t>,</w:t>
      </w:r>
      <w:r w:rsidR="00D20662" w:rsidRPr="006F2E08">
        <w:rPr>
          <w:bCs/>
          <w:sz w:val="22"/>
          <w:szCs w:val="22"/>
          <w:lang w:val="en-GB"/>
        </w:rPr>
        <w:t xml:space="preserve"> </w:t>
      </w:r>
      <w:r w:rsidR="00D20662" w:rsidRPr="006F2E08">
        <w:rPr>
          <w:sz w:val="22"/>
          <w:szCs w:val="22"/>
          <w:lang w:val="en-GB"/>
        </w:rPr>
        <w:t xml:space="preserve">Morgana </w:t>
      </w:r>
      <w:r w:rsidR="00D20662" w:rsidRPr="006F2E08">
        <w:rPr>
          <w:iCs/>
          <w:sz w:val="22"/>
          <w:szCs w:val="22"/>
          <w:lang w:val="en-GB"/>
        </w:rPr>
        <w:t>et al.</w:t>
      </w:r>
      <w:r w:rsidR="00D20662" w:rsidRPr="006F2E08">
        <w:rPr>
          <w:sz w:val="22"/>
          <w:szCs w:val="22"/>
          <w:lang w:val="en-GB"/>
        </w:rPr>
        <w:t xml:space="preserve"> 2021</w:t>
      </w:r>
      <w:r w:rsidR="000A5A86">
        <w:rPr>
          <w:sz w:val="22"/>
          <w:szCs w:val="22"/>
          <w:lang w:val="en-GB"/>
        </w:rPr>
        <w:t>,</w:t>
      </w:r>
      <w:r w:rsidR="00D20662" w:rsidRPr="006F2E08">
        <w:rPr>
          <w:sz w:val="22"/>
          <w:szCs w:val="22"/>
          <w:lang w:val="en-GB"/>
        </w:rPr>
        <w:t xml:space="preserve"> </w:t>
      </w:r>
      <w:proofErr w:type="spellStart"/>
      <w:r w:rsidR="006E1F59" w:rsidRPr="006F2E08">
        <w:rPr>
          <w:sz w:val="22"/>
          <w:szCs w:val="22"/>
          <w:lang w:val="en-GB"/>
        </w:rPr>
        <w:t>Roshanzadeh</w:t>
      </w:r>
      <w:proofErr w:type="spellEnd"/>
      <w:r w:rsidR="006E1F59" w:rsidRPr="006F2E08">
        <w:rPr>
          <w:sz w:val="22"/>
          <w:szCs w:val="22"/>
          <w:lang w:val="en-GB"/>
        </w:rPr>
        <w:t xml:space="preserve"> </w:t>
      </w:r>
      <w:r w:rsidR="006E1F59" w:rsidRPr="006F2E08">
        <w:rPr>
          <w:iCs/>
          <w:sz w:val="22"/>
          <w:szCs w:val="22"/>
          <w:lang w:val="en-GB"/>
        </w:rPr>
        <w:t>et al</w:t>
      </w:r>
      <w:r w:rsidR="00E27B16" w:rsidRPr="006F2E08">
        <w:rPr>
          <w:sz w:val="22"/>
          <w:szCs w:val="22"/>
          <w:lang w:val="en-GB"/>
        </w:rPr>
        <w:t>. 2021</w:t>
      </w:r>
      <w:bookmarkStart w:id="8" w:name="_Hlk101768862"/>
      <w:bookmarkEnd w:id="6"/>
      <w:bookmarkEnd w:id="7"/>
      <w:r w:rsidR="000B4FE3" w:rsidRPr="006F2E08">
        <w:rPr>
          <w:sz w:val="22"/>
          <w:szCs w:val="22"/>
          <w:lang w:val="en-GB"/>
        </w:rPr>
        <w:t>)</w:t>
      </w:r>
      <w:r w:rsidR="00E27B16" w:rsidRPr="006F2E08">
        <w:rPr>
          <w:sz w:val="22"/>
          <w:szCs w:val="22"/>
          <w:lang w:val="en-GB"/>
        </w:rPr>
        <w:t xml:space="preserve">, </w:t>
      </w:r>
      <w:r w:rsidRPr="006F2E08">
        <w:rPr>
          <w:bCs/>
          <w:sz w:val="22"/>
          <w:szCs w:val="22"/>
          <w:lang w:val="en-GB"/>
        </w:rPr>
        <w:t>and the environment</w:t>
      </w:r>
      <w:r w:rsidR="002302DF" w:rsidRPr="006F2E08">
        <w:rPr>
          <w:bCs/>
          <w:sz w:val="22"/>
          <w:szCs w:val="22"/>
          <w:lang w:val="en-GB"/>
        </w:rPr>
        <w:t xml:space="preserve"> </w:t>
      </w:r>
      <w:r w:rsidR="000B4FE3" w:rsidRPr="006F2E08">
        <w:rPr>
          <w:bCs/>
          <w:sz w:val="22"/>
          <w:szCs w:val="22"/>
          <w:lang w:val="en-GB"/>
        </w:rPr>
        <w:t>(</w:t>
      </w:r>
      <w:proofErr w:type="spellStart"/>
      <w:r w:rsidR="000001B0" w:rsidRPr="006F2E08">
        <w:rPr>
          <w:bCs/>
          <w:sz w:val="22"/>
          <w:szCs w:val="22"/>
          <w:lang w:val="en-GB"/>
        </w:rPr>
        <w:t>Croxatto</w:t>
      </w:r>
      <w:proofErr w:type="spellEnd"/>
      <w:r w:rsidR="000001B0" w:rsidRPr="006F2E08">
        <w:rPr>
          <w:bCs/>
          <w:sz w:val="22"/>
          <w:szCs w:val="22"/>
          <w:lang w:val="en-GB"/>
        </w:rPr>
        <w:t xml:space="preserve"> Vega </w:t>
      </w:r>
      <w:r w:rsidR="000001B0" w:rsidRPr="006F2E08">
        <w:rPr>
          <w:bCs/>
          <w:iCs/>
          <w:sz w:val="22"/>
          <w:szCs w:val="22"/>
          <w:lang w:val="en-GB"/>
        </w:rPr>
        <w:t>et al.</w:t>
      </w:r>
      <w:r w:rsidR="000001B0" w:rsidRPr="006F2E08">
        <w:rPr>
          <w:bCs/>
          <w:sz w:val="22"/>
          <w:szCs w:val="22"/>
          <w:lang w:val="en-GB"/>
        </w:rPr>
        <w:t xml:space="preserve"> 2021</w:t>
      </w:r>
      <w:r w:rsidR="000A5A86">
        <w:rPr>
          <w:bCs/>
          <w:sz w:val="22"/>
          <w:szCs w:val="22"/>
          <w:lang w:val="en-GB"/>
        </w:rPr>
        <w:t>,</w:t>
      </w:r>
      <w:r w:rsidR="00FB2B8F" w:rsidRPr="006F2E08">
        <w:rPr>
          <w:bCs/>
          <w:sz w:val="22"/>
          <w:szCs w:val="22"/>
          <w:lang w:val="en-GB"/>
        </w:rPr>
        <w:t xml:space="preserve"> </w:t>
      </w:r>
      <w:r w:rsidR="00CB27D3" w:rsidRPr="006F2E08">
        <w:rPr>
          <w:sz w:val="22"/>
          <w:szCs w:val="22"/>
          <w:lang w:val="en-GB"/>
        </w:rPr>
        <w:t>Matthews et al. 2021</w:t>
      </w:r>
      <w:r w:rsidR="000A5A86">
        <w:rPr>
          <w:sz w:val="22"/>
          <w:szCs w:val="22"/>
          <w:lang w:val="en-GB"/>
        </w:rPr>
        <w:t>,</w:t>
      </w:r>
      <w:r w:rsidR="00CB27D3" w:rsidRPr="006F2E08">
        <w:rPr>
          <w:sz w:val="22"/>
          <w:szCs w:val="22"/>
          <w:lang w:val="en-GB"/>
        </w:rPr>
        <w:t xml:space="preserve"> </w:t>
      </w:r>
      <w:r w:rsidR="00CB27D3" w:rsidRPr="006F2E08">
        <w:rPr>
          <w:rStyle w:val="fontstyle01"/>
          <w:rFonts w:ascii="Times New Roman" w:hAnsi="Times New Roman"/>
          <w:color w:val="auto"/>
          <w:lang w:val="en-GB"/>
        </w:rPr>
        <w:t xml:space="preserve">Wang </w:t>
      </w:r>
      <w:r w:rsidR="00CB27D3" w:rsidRPr="006F2E08">
        <w:rPr>
          <w:rStyle w:val="fontstyle01"/>
          <w:rFonts w:ascii="Times New Roman" w:hAnsi="Times New Roman"/>
          <w:iCs/>
          <w:color w:val="auto"/>
          <w:lang w:val="en-GB"/>
        </w:rPr>
        <w:t>et al.</w:t>
      </w:r>
      <w:r w:rsidR="00CB27D3" w:rsidRPr="006F2E08">
        <w:rPr>
          <w:rStyle w:val="fontstyle01"/>
          <w:rFonts w:ascii="Times New Roman" w:hAnsi="Times New Roman"/>
          <w:color w:val="auto"/>
          <w:lang w:val="en-GB"/>
        </w:rPr>
        <w:t xml:space="preserve"> 2021</w:t>
      </w:r>
      <w:r w:rsidR="000B4FE3" w:rsidRPr="006F2E08">
        <w:rPr>
          <w:sz w:val="22"/>
          <w:szCs w:val="22"/>
          <w:lang w:val="en-GB"/>
        </w:rPr>
        <w:t>)</w:t>
      </w:r>
      <w:r w:rsidRPr="006F2E08">
        <w:rPr>
          <w:bCs/>
          <w:sz w:val="22"/>
          <w:szCs w:val="22"/>
          <w:lang w:val="en-GB"/>
        </w:rPr>
        <w:t>. Their small size and large surface-to-volume ratio allow them to pass through body barriers unnoticed by humans. The</w:t>
      </w:r>
      <w:r w:rsidR="00405F9E">
        <w:rPr>
          <w:bCs/>
          <w:sz w:val="22"/>
          <w:szCs w:val="22"/>
          <w:lang w:val="en-GB"/>
        </w:rPr>
        <w:t xml:space="preserve"> skin, lungs and digestive tract absorb them</w:t>
      </w:r>
      <w:r w:rsidRPr="006F2E08">
        <w:rPr>
          <w:bCs/>
          <w:sz w:val="22"/>
          <w:szCs w:val="22"/>
          <w:lang w:val="en-GB"/>
        </w:rPr>
        <w:t>. Once inside the body, nanoparticles can circulate freely, interact with biological systems and even penetrate indivi</w:t>
      </w:r>
      <w:r w:rsidR="00E27B16" w:rsidRPr="006F2E08">
        <w:rPr>
          <w:bCs/>
          <w:sz w:val="22"/>
          <w:szCs w:val="22"/>
          <w:lang w:val="en-GB"/>
        </w:rPr>
        <w:t>d</w:t>
      </w:r>
      <w:r w:rsidR="000B4FE3" w:rsidRPr="006F2E08">
        <w:rPr>
          <w:bCs/>
          <w:sz w:val="22"/>
          <w:szCs w:val="22"/>
          <w:lang w:val="en-GB"/>
        </w:rPr>
        <w:t>ual cells without phagocytosis (</w:t>
      </w:r>
      <w:r w:rsidR="00E27B16" w:rsidRPr="006F2E08">
        <w:rPr>
          <w:bCs/>
          <w:sz w:val="22"/>
          <w:szCs w:val="22"/>
          <w:lang w:val="en-GB"/>
        </w:rPr>
        <w:t>Stapleton 2021</w:t>
      </w:r>
      <w:r w:rsidR="000A5A86">
        <w:rPr>
          <w:bCs/>
          <w:sz w:val="22"/>
          <w:szCs w:val="22"/>
          <w:lang w:val="en-GB"/>
        </w:rPr>
        <w:t>,</w:t>
      </w:r>
      <w:r w:rsidR="00E27B16" w:rsidRPr="006F2E08">
        <w:rPr>
          <w:bCs/>
          <w:sz w:val="22"/>
          <w:szCs w:val="22"/>
          <w:lang w:val="en-GB"/>
        </w:rPr>
        <w:t xml:space="preserve"> </w:t>
      </w:r>
      <w:proofErr w:type="spellStart"/>
      <w:r w:rsidR="00E27B16" w:rsidRPr="006F2E08">
        <w:rPr>
          <w:bCs/>
          <w:sz w:val="22"/>
          <w:szCs w:val="22"/>
          <w:lang w:val="en-GB"/>
        </w:rPr>
        <w:t>Grąz</w:t>
      </w:r>
      <w:proofErr w:type="spellEnd"/>
      <w:r w:rsidR="00E27B16" w:rsidRPr="006F2E08">
        <w:rPr>
          <w:bCs/>
          <w:sz w:val="22"/>
          <w:szCs w:val="22"/>
          <w:lang w:val="en-GB"/>
        </w:rPr>
        <w:t xml:space="preserve"> et al.</w:t>
      </w:r>
      <w:r w:rsidR="000B4FE3" w:rsidRPr="006F2E08">
        <w:rPr>
          <w:bCs/>
          <w:sz w:val="22"/>
          <w:szCs w:val="22"/>
          <w:lang w:val="en-GB"/>
        </w:rPr>
        <w:t xml:space="preserve"> 2022)</w:t>
      </w:r>
      <w:r w:rsidR="00E27B16" w:rsidRPr="006F2E08">
        <w:rPr>
          <w:bCs/>
          <w:sz w:val="22"/>
          <w:szCs w:val="22"/>
          <w:lang w:val="en-GB"/>
        </w:rPr>
        <w:t>.</w:t>
      </w:r>
    </w:p>
    <w:p w14:paraId="6AA92870" w14:textId="16071E0E" w:rsidR="002D023C" w:rsidRPr="006F2E08" w:rsidRDefault="00F2039D" w:rsidP="006F2E08">
      <w:pPr>
        <w:spacing w:before="0" w:after="0" w:line="240" w:lineRule="auto"/>
        <w:ind w:firstLine="284"/>
        <w:rPr>
          <w:bCs/>
          <w:sz w:val="22"/>
          <w:szCs w:val="22"/>
          <w:lang w:val="en-GB"/>
        </w:rPr>
      </w:pPr>
      <w:r w:rsidRPr="006F2E08">
        <w:rPr>
          <w:bCs/>
          <w:sz w:val="22"/>
          <w:szCs w:val="22"/>
          <w:lang w:val="en-GB"/>
        </w:rPr>
        <w:t>Different types of nanoparticles can accumulate in lipid vesicles, fibroblasts, cell nucle</w:t>
      </w:r>
      <w:r w:rsidR="00405F9E">
        <w:rPr>
          <w:bCs/>
          <w:sz w:val="22"/>
          <w:szCs w:val="22"/>
          <w:lang w:val="en-GB"/>
        </w:rPr>
        <w:t>i</w:t>
      </w:r>
      <w:r w:rsidRPr="006F2E08">
        <w:rPr>
          <w:bCs/>
          <w:sz w:val="22"/>
          <w:szCs w:val="22"/>
          <w:lang w:val="en-GB"/>
        </w:rPr>
        <w:t xml:space="preserve">, mitochondria or macrophages. </w:t>
      </w:r>
      <w:r w:rsidR="004C09CC" w:rsidRPr="006F2E08">
        <w:rPr>
          <w:bCs/>
          <w:sz w:val="22"/>
          <w:szCs w:val="22"/>
          <w:lang w:val="en-GB"/>
        </w:rPr>
        <w:t xml:space="preserve">Their presence has been found in the hearts of human infants and adults </w:t>
      </w:r>
      <w:r w:rsidR="000B4FE3" w:rsidRPr="006F2E08">
        <w:rPr>
          <w:bCs/>
          <w:sz w:val="22"/>
          <w:szCs w:val="22"/>
          <w:lang w:val="en-GB"/>
        </w:rPr>
        <w:t>(</w:t>
      </w:r>
      <w:proofErr w:type="spellStart"/>
      <w:r w:rsidR="004C09CC" w:rsidRPr="006F2E08">
        <w:rPr>
          <w:sz w:val="22"/>
          <w:szCs w:val="22"/>
          <w:lang w:val="en-GB"/>
        </w:rPr>
        <w:t>Roshanzadeh</w:t>
      </w:r>
      <w:proofErr w:type="spellEnd"/>
      <w:r w:rsidR="004C09CC" w:rsidRPr="006F2E08">
        <w:rPr>
          <w:sz w:val="22"/>
          <w:szCs w:val="22"/>
          <w:lang w:val="en-GB"/>
        </w:rPr>
        <w:t xml:space="preserve"> </w:t>
      </w:r>
      <w:r w:rsidR="004C09CC" w:rsidRPr="006F2E08">
        <w:rPr>
          <w:iCs/>
          <w:sz w:val="22"/>
          <w:szCs w:val="22"/>
          <w:lang w:val="en-GB"/>
        </w:rPr>
        <w:t>et al</w:t>
      </w:r>
      <w:r w:rsidR="004C09CC" w:rsidRPr="006F2E08">
        <w:rPr>
          <w:sz w:val="22"/>
          <w:szCs w:val="22"/>
          <w:lang w:val="en-GB"/>
        </w:rPr>
        <w:t>. 2021</w:t>
      </w:r>
      <w:r w:rsidR="000B4FE3" w:rsidRPr="006F2E08">
        <w:rPr>
          <w:bCs/>
          <w:sz w:val="22"/>
          <w:szCs w:val="22"/>
          <w:lang w:val="en-GB"/>
        </w:rPr>
        <w:t>)</w:t>
      </w:r>
      <w:r w:rsidR="002D023C" w:rsidRPr="006F2E08">
        <w:rPr>
          <w:bCs/>
          <w:sz w:val="22"/>
          <w:szCs w:val="22"/>
          <w:lang w:val="en-GB"/>
        </w:rPr>
        <w:t xml:space="preserve">. </w:t>
      </w:r>
      <w:r w:rsidRPr="006F2E08">
        <w:rPr>
          <w:bCs/>
          <w:sz w:val="22"/>
          <w:szCs w:val="22"/>
          <w:lang w:val="en-GB"/>
        </w:rPr>
        <w:t>Toxicological studies have shown that nanoparticles can be cytotoxic, neurotoxic, genotoxic or ecotoxic</w:t>
      </w:r>
      <w:r w:rsidR="002D023C" w:rsidRPr="006F2E08">
        <w:rPr>
          <w:bCs/>
          <w:sz w:val="22"/>
          <w:szCs w:val="22"/>
          <w:lang w:val="en-GB"/>
        </w:rPr>
        <w:t xml:space="preserve"> </w:t>
      </w:r>
      <w:r w:rsidR="000B4FE3" w:rsidRPr="006F2E08">
        <w:rPr>
          <w:bCs/>
          <w:sz w:val="22"/>
          <w:szCs w:val="22"/>
          <w:lang w:val="en-GB"/>
        </w:rPr>
        <w:t>(</w:t>
      </w:r>
      <w:r w:rsidR="00C11250" w:rsidRPr="006F2E08">
        <w:rPr>
          <w:sz w:val="22"/>
          <w:szCs w:val="22"/>
          <w:lang w:val="en-GB"/>
        </w:rPr>
        <w:t xml:space="preserve">Shen </w:t>
      </w:r>
      <w:r w:rsidR="00C11250" w:rsidRPr="006F2E08">
        <w:rPr>
          <w:iCs/>
          <w:sz w:val="22"/>
          <w:szCs w:val="22"/>
          <w:lang w:val="en-GB"/>
        </w:rPr>
        <w:t>et al.</w:t>
      </w:r>
      <w:r w:rsidR="00C11250" w:rsidRPr="006F2E08">
        <w:rPr>
          <w:sz w:val="22"/>
          <w:szCs w:val="22"/>
          <w:lang w:val="en-GB"/>
        </w:rPr>
        <w:t xml:space="preserve"> 2019</w:t>
      </w:r>
      <w:r w:rsidR="000A5A86">
        <w:rPr>
          <w:sz w:val="22"/>
          <w:szCs w:val="22"/>
          <w:lang w:val="en-GB"/>
        </w:rPr>
        <w:t>,</w:t>
      </w:r>
      <w:r w:rsidR="00C11250" w:rsidRPr="006F2E08">
        <w:rPr>
          <w:bCs/>
          <w:sz w:val="22"/>
          <w:szCs w:val="22"/>
          <w:lang w:val="en-GB"/>
        </w:rPr>
        <w:t xml:space="preserve"> </w:t>
      </w:r>
      <w:proofErr w:type="spellStart"/>
      <w:r w:rsidR="00C11250" w:rsidRPr="006F2E08">
        <w:rPr>
          <w:sz w:val="22"/>
          <w:szCs w:val="22"/>
          <w:lang w:val="en-GB"/>
        </w:rPr>
        <w:t>Jemec</w:t>
      </w:r>
      <w:proofErr w:type="spellEnd"/>
      <w:r w:rsidR="00C11250" w:rsidRPr="006F2E08">
        <w:rPr>
          <w:sz w:val="22"/>
          <w:szCs w:val="22"/>
          <w:lang w:val="en-GB"/>
        </w:rPr>
        <w:t xml:space="preserve"> Kokalj </w:t>
      </w:r>
      <w:r w:rsidR="00C11250" w:rsidRPr="006F2E08">
        <w:rPr>
          <w:iCs/>
          <w:sz w:val="22"/>
          <w:szCs w:val="22"/>
          <w:lang w:val="en-GB"/>
        </w:rPr>
        <w:t>et al.</w:t>
      </w:r>
      <w:r w:rsidR="008E49FA" w:rsidRPr="006F2E08">
        <w:rPr>
          <w:sz w:val="22"/>
          <w:szCs w:val="22"/>
          <w:lang w:val="en-GB"/>
        </w:rPr>
        <w:t xml:space="preserve"> 2021</w:t>
      </w:r>
      <w:r w:rsidR="000B4FE3" w:rsidRPr="006F2E08">
        <w:rPr>
          <w:sz w:val="22"/>
          <w:szCs w:val="22"/>
          <w:lang w:val="en-GB"/>
        </w:rPr>
        <w:t>)</w:t>
      </w:r>
      <w:r w:rsidRPr="006F2E08">
        <w:rPr>
          <w:bCs/>
          <w:sz w:val="22"/>
          <w:szCs w:val="22"/>
          <w:lang w:val="en-GB"/>
        </w:rPr>
        <w:t>. Most contaminants that enter the body are destroyed or neutrali</w:t>
      </w:r>
      <w:r w:rsidR="00405F9E">
        <w:rPr>
          <w:bCs/>
          <w:sz w:val="22"/>
          <w:szCs w:val="22"/>
          <w:lang w:val="en-GB"/>
        </w:rPr>
        <w:t>s</w:t>
      </w:r>
      <w:r w:rsidRPr="006F2E08">
        <w:rPr>
          <w:bCs/>
          <w:sz w:val="22"/>
          <w:szCs w:val="22"/>
          <w:lang w:val="en-GB"/>
        </w:rPr>
        <w:t>ed by macrophages, the body's defen</w:t>
      </w:r>
      <w:r w:rsidR="00405F9E">
        <w:rPr>
          <w:bCs/>
          <w:sz w:val="22"/>
          <w:szCs w:val="22"/>
          <w:lang w:val="en-GB"/>
        </w:rPr>
        <w:t>c</w:t>
      </w:r>
      <w:r w:rsidRPr="006F2E08">
        <w:rPr>
          <w:bCs/>
          <w:sz w:val="22"/>
          <w:szCs w:val="22"/>
          <w:lang w:val="en-GB"/>
        </w:rPr>
        <w:t>e cells. Unfortunately, nanoparticles are extremely vulnerable to this process</w:t>
      </w:r>
      <w:r w:rsidR="00F21233" w:rsidRPr="006F2E08">
        <w:rPr>
          <w:bCs/>
          <w:sz w:val="22"/>
          <w:szCs w:val="22"/>
          <w:lang w:val="en-GB"/>
        </w:rPr>
        <w:t xml:space="preserve"> (</w:t>
      </w:r>
      <w:proofErr w:type="spellStart"/>
      <w:r w:rsidR="00F21233" w:rsidRPr="006F2E08">
        <w:rPr>
          <w:bCs/>
          <w:sz w:val="22"/>
          <w:szCs w:val="22"/>
          <w:lang w:val="en-GB"/>
        </w:rPr>
        <w:t>Alwaeli</w:t>
      </w:r>
      <w:proofErr w:type="spellEnd"/>
      <w:r w:rsidR="00F21233" w:rsidRPr="006F2E08">
        <w:rPr>
          <w:bCs/>
          <w:sz w:val="22"/>
          <w:szCs w:val="22"/>
          <w:lang w:val="en-GB"/>
        </w:rPr>
        <w:t xml:space="preserve"> 2009)</w:t>
      </w:r>
      <w:r w:rsidRPr="006F2E08">
        <w:rPr>
          <w:bCs/>
          <w:sz w:val="22"/>
          <w:szCs w:val="22"/>
          <w:lang w:val="en-GB"/>
        </w:rPr>
        <w:t>. Although the mechanisms of nanoparticles' impact on the human body and the environment are not yet fully understood</w:t>
      </w:r>
      <w:r w:rsidR="00405F9E">
        <w:rPr>
          <w:bCs/>
          <w:sz w:val="22"/>
          <w:szCs w:val="22"/>
          <w:lang w:val="en-GB"/>
        </w:rPr>
        <w:t>,</w:t>
      </w:r>
      <w:r w:rsidRPr="006F2E08">
        <w:rPr>
          <w:bCs/>
          <w:sz w:val="22"/>
          <w:szCs w:val="22"/>
          <w:lang w:val="en-GB"/>
        </w:rPr>
        <w:t xml:space="preserve"> and the current knowledge of nanoparticles' toxicity is still very poor, according to the European Commission's official position, the development of nanotechnology should not be hindered</w:t>
      </w:r>
      <w:r w:rsidR="00405F9E">
        <w:rPr>
          <w:bCs/>
          <w:sz w:val="22"/>
          <w:szCs w:val="22"/>
          <w:lang w:val="en-GB"/>
        </w:rPr>
        <w:t>. Still,</w:t>
      </w:r>
      <w:r w:rsidRPr="006F2E08">
        <w:rPr>
          <w:bCs/>
          <w:sz w:val="22"/>
          <w:szCs w:val="22"/>
          <w:lang w:val="en-GB"/>
        </w:rPr>
        <w:t xml:space="preserve"> all efforts should be made to ensure that </w:t>
      </w:r>
      <w:r w:rsidR="00405F9E">
        <w:rPr>
          <w:bCs/>
          <w:sz w:val="22"/>
          <w:szCs w:val="22"/>
          <w:lang w:val="en-GB"/>
        </w:rPr>
        <w:t>a comprehensive risk assessment accompanies the design of new nanomaterials</w:t>
      </w:r>
      <w:r w:rsidR="000B4FE3" w:rsidRPr="006F2E08">
        <w:rPr>
          <w:bCs/>
          <w:sz w:val="22"/>
          <w:szCs w:val="22"/>
          <w:lang w:val="en-GB"/>
        </w:rPr>
        <w:t xml:space="preserve"> (</w:t>
      </w:r>
      <w:r w:rsidR="008E49FA" w:rsidRPr="006F2E08">
        <w:rPr>
          <w:bCs/>
          <w:sz w:val="22"/>
          <w:szCs w:val="22"/>
          <w:lang w:val="en-GB"/>
        </w:rPr>
        <w:t>Kihara et al. 2021</w:t>
      </w:r>
      <w:r w:rsidR="000A5A86">
        <w:rPr>
          <w:bCs/>
          <w:sz w:val="22"/>
          <w:szCs w:val="22"/>
          <w:lang w:val="en-GB"/>
        </w:rPr>
        <w:t>,</w:t>
      </w:r>
      <w:r w:rsidR="008E49FA" w:rsidRPr="006F2E08">
        <w:rPr>
          <w:bCs/>
          <w:sz w:val="22"/>
          <w:szCs w:val="22"/>
          <w:lang w:val="en-GB"/>
        </w:rPr>
        <w:t xml:space="preserve"> Yang et al. 2021</w:t>
      </w:r>
      <w:r w:rsidR="000A5A86">
        <w:rPr>
          <w:bCs/>
          <w:sz w:val="22"/>
          <w:szCs w:val="22"/>
          <w:lang w:val="en-GB"/>
        </w:rPr>
        <w:t>,</w:t>
      </w:r>
      <w:r w:rsidR="002574FC" w:rsidRPr="006F2E08">
        <w:rPr>
          <w:bCs/>
          <w:sz w:val="22"/>
          <w:szCs w:val="22"/>
          <w:lang w:val="en-GB"/>
        </w:rPr>
        <w:t xml:space="preserve"> El-Baz et al. 2023</w:t>
      </w:r>
      <w:r w:rsidR="000B4FE3" w:rsidRPr="006F2E08">
        <w:rPr>
          <w:bCs/>
          <w:sz w:val="22"/>
          <w:szCs w:val="22"/>
          <w:lang w:val="en-GB"/>
        </w:rPr>
        <w:t>)</w:t>
      </w:r>
      <w:r w:rsidR="008E49FA" w:rsidRPr="006F2E08">
        <w:rPr>
          <w:bCs/>
          <w:sz w:val="22"/>
          <w:szCs w:val="22"/>
          <w:lang w:val="en-GB"/>
        </w:rPr>
        <w:t xml:space="preserve">. </w:t>
      </w:r>
      <w:r w:rsidRPr="006F2E08">
        <w:rPr>
          <w:bCs/>
          <w:sz w:val="22"/>
          <w:szCs w:val="22"/>
          <w:lang w:val="en-GB"/>
        </w:rPr>
        <w:t>Especially that nano</w:t>
      </w:r>
      <w:r w:rsidR="00405F9E">
        <w:rPr>
          <w:bCs/>
          <w:sz w:val="22"/>
          <w:szCs w:val="22"/>
          <w:lang w:val="en-GB"/>
        </w:rPr>
        <w:t xml:space="preserve"> </w:t>
      </w:r>
      <w:r w:rsidRPr="006F2E08">
        <w:rPr>
          <w:bCs/>
          <w:sz w:val="22"/>
          <w:szCs w:val="22"/>
          <w:lang w:val="en-GB"/>
        </w:rPr>
        <w:t>products are not only light, dirt</w:t>
      </w:r>
      <w:r w:rsidR="00405F9E">
        <w:rPr>
          <w:bCs/>
          <w:sz w:val="22"/>
          <w:szCs w:val="22"/>
          <w:lang w:val="en-GB"/>
        </w:rPr>
        <w:t>-</w:t>
      </w:r>
      <w:r w:rsidRPr="006F2E08">
        <w:rPr>
          <w:bCs/>
          <w:sz w:val="22"/>
          <w:szCs w:val="22"/>
          <w:lang w:val="en-GB"/>
        </w:rPr>
        <w:t xml:space="preserve">resistant clothing, self-cleaning glass surfaces or modern regenerating and nourishing cosmetics, but also a chance to produce artificial nerve fibres, contrasting </w:t>
      </w:r>
      <w:proofErr w:type="spellStart"/>
      <w:r w:rsidRPr="006F2E08">
        <w:rPr>
          <w:bCs/>
          <w:sz w:val="22"/>
          <w:szCs w:val="22"/>
          <w:lang w:val="en-GB"/>
        </w:rPr>
        <w:t>nanomarkers</w:t>
      </w:r>
      <w:proofErr w:type="spellEnd"/>
      <w:r w:rsidRPr="006F2E08">
        <w:rPr>
          <w:bCs/>
          <w:sz w:val="22"/>
          <w:szCs w:val="22"/>
          <w:lang w:val="en-GB"/>
        </w:rPr>
        <w:t xml:space="preserve"> for non-invasive me-dynamic procedures or a breakthrough in the treatment of many diseases such as Alzheimer's disease, cancer, glaucoma etc. Among the many benefits, it is important to remember that </w:t>
      </w:r>
      <w:r w:rsidR="00405F9E">
        <w:rPr>
          <w:bCs/>
          <w:sz w:val="22"/>
          <w:szCs w:val="22"/>
          <w:lang w:val="en-GB"/>
        </w:rPr>
        <w:t>nanoparticle exposure</w:t>
      </w:r>
      <w:r w:rsidRPr="006F2E08">
        <w:rPr>
          <w:bCs/>
          <w:sz w:val="22"/>
          <w:szCs w:val="22"/>
          <w:lang w:val="en-GB"/>
        </w:rPr>
        <w:t xml:space="preserve"> can become a serious risk. </w:t>
      </w:r>
      <w:r w:rsidR="00405F9E">
        <w:rPr>
          <w:bCs/>
          <w:sz w:val="22"/>
          <w:szCs w:val="22"/>
          <w:lang w:val="en-GB"/>
        </w:rPr>
        <w:t>Given</w:t>
      </w:r>
      <w:r w:rsidRPr="006F2E08">
        <w:rPr>
          <w:bCs/>
          <w:sz w:val="22"/>
          <w:szCs w:val="22"/>
          <w:lang w:val="en-GB"/>
        </w:rPr>
        <w:t xml:space="preserve"> the rapid development of nanotechnology, it is </w:t>
      </w:r>
      <w:r w:rsidR="00405F9E">
        <w:rPr>
          <w:bCs/>
          <w:sz w:val="22"/>
          <w:szCs w:val="22"/>
          <w:lang w:val="en-GB"/>
        </w:rPr>
        <w:t>crucial</w:t>
      </w:r>
      <w:r w:rsidRPr="006F2E08">
        <w:rPr>
          <w:bCs/>
          <w:sz w:val="22"/>
          <w:szCs w:val="22"/>
          <w:lang w:val="en-GB"/>
        </w:rPr>
        <w:t xml:space="preserve"> to develop risk assessment criteria that pro</w:t>
      </w:r>
      <w:r w:rsidR="00405F9E">
        <w:rPr>
          <w:bCs/>
          <w:sz w:val="22"/>
          <w:szCs w:val="22"/>
          <w:lang w:val="en-GB"/>
        </w:rPr>
        <w:t>tect</w:t>
      </w:r>
      <w:r w:rsidRPr="006F2E08">
        <w:rPr>
          <w:bCs/>
          <w:sz w:val="22"/>
          <w:szCs w:val="22"/>
          <w:lang w:val="en-GB"/>
        </w:rPr>
        <w:t xml:space="preserve"> against potentially harmful effects due to the specific properties of nanoparticles </w:t>
      </w:r>
      <w:bookmarkStart w:id="9" w:name="_Hlk101768879"/>
      <w:bookmarkEnd w:id="8"/>
      <w:r w:rsidR="000B4FE3" w:rsidRPr="006F2E08">
        <w:rPr>
          <w:bCs/>
          <w:sz w:val="22"/>
          <w:szCs w:val="22"/>
          <w:lang w:val="en-GB"/>
        </w:rPr>
        <w:t>(</w:t>
      </w:r>
      <w:r w:rsidR="006F4B62" w:rsidRPr="006F2E08">
        <w:rPr>
          <w:sz w:val="22"/>
          <w:szCs w:val="22"/>
          <w:lang w:val="en-GB"/>
        </w:rPr>
        <w:t xml:space="preserve">Allan </w:t>
      </w:r>
      <w:r w:rsidR="006F4B62" w:rsidRPr="006F2E08">
        <w:rPr>
          <w:iCs/>
          <w:sz w:val="22"/>
          <w:szCs w:val="22"/>
          <w:lang w:val="en-GB"/>
        </w:rPr>
        <w:t>et al.</w:t>
      </w:r>
      <w:r w:rsidR="006F4B62" w:rsidRPr="006F2E08">
        <w:rPr>
          <w:sz w:val="22"/>
          <w:szCs w:val="22"/>
          <w:lang w:val="en-GB"/>
        </w:rPr>
        <w:t xml:space="preserve"> 2021</w:t>
      </w:r>
      <w:r w:rsidR="000A5A86">
        <w:rPr>
          <w:sz w:val="22"/>
          <w:szCs w:val="22"/>
          <w:lang w:val="en-GB"/>
        </w:rPr>
        <w:t>,</w:t>
      </w:r>
      <w:r w:rsidR="002D023C" w:rsidRPr="006F2E08">
        <w:rPr>
          <w:bCs/>
          <w:sz w:val="22"/>
          <w:szCs w:val="22"/>
          <w:lang w:val="en-GB"/>
        </w:rPr>
        <w:t xml:space="preserve"> </w:t>
      </w:r>
      <w:r w:rsidR="00B904C0" w:rsidRPr="006F2E08">
        <w:rPr>
          <w:sz w:val="22"/>
          <w:szCs w:val="22"/>
          <w:lang w:val="en-GB"/>
        </w:rPr>
        <w:t xml:space="preserve">Kumar Das </w:t>
      </w:r>
      <w:r w:rsidR="00B904C0" w:rsidRPr="006F2E08">
        <w:rPr>
          <w:iCs/>
          <w:sz w:val="22"/>
          <w:szCs w:val="22"/>
          <w:lang w:val="en-GB"/>
        </w:rPr>
        <w:t>et al.</w:t>
      </w:r>
      <w:r w:rsidR="00B904C0" w:rsidRPr="006F2E08">
        <w:rPr>
          <w:sz w:val="22"/>
          <w:szCs w:val="22"/>
          <w:lang w:val="en-GB"/>
        </w:rPr>
        <w:t xml:space="preserve"> 2021</w:t>
      </w:r>
      <w:r w:rsidR="000A5A86">
        <w:rPr>
          <w:sz w:val="22"/>
          <w:szCs w:val="22"/>
          <w:lang w:val="en-GB"/>
        </w:rPr>
        <w:t>,</w:t>
      </w:r>
      <w:r w:rsidR="002D023C" w:rsidRPr="006F2E08">
        <w:rPr>
          <w:bCs/>
          <w:sz w:val="22"/>
          <w:szCs w:val="22"/>
          <w:lang w:val="en-GB"/>
        </w:rPr>
        <w:t xml:space="preserve"> </w:t>
      </w:r>
      <w:proofErr w:type="spellStart"/>
      <w:r w:rsidR="00C952F2" w:rsidRPr="006F2E08">
        <w:rPr>
          <w:sz w:val="22"/>
          <w:szCs w:val="22"/>
          <w:lang w:val="en-GB"/>
        </w:rPr>
        <w:t>Mofijur</w:t>
      </w:r>
      <w:proofErr w:type="spellEnd"/>
      <w:r w:rsidR="00C952F2" w:rsidRPr="006F2E08">
        <w:rPr>
          <w:sz w:val="22"/>
          <w:szCs w:val="22"/>
          <w:lang w:val="en-GB"/>
        </w:rPr>
        <w:t xml:space="preserve"> </w:t>
      </w:r>
      <w:r w:rsidR="00C952F2" w:rsidRPr="006F2E08">
        <w:rPr>
          <w:iCs/>
          <w:sz w:val="22"/>
          <w:szCs w:val="22"/>
          <w:lang w:val="en-GB"/>
        </w:rPr>
        <w:t>et al.</w:t>
      </w:r>
      <w:r w:rsidR="000B4FE3" w:rsidRPr="006F2E08">
        <w:rPr>
          <w:sz w:val="22"/>
          <w:szCs w:val="22"/>
          <w:lang w:val="en-GB"/>
        </w:rPr>
        <w:t xml:space="preserve"> 2021)</w:t>
      </w:r>
      <w:r w:rsidR="00C952F2" w:rsidRPr="006F2E08">
        <w:rPr>
          <w:sz w:val="22"/>
          <w:szCs w:val="22"/>
          <w:lang w:val="en-GB"/>
        </w:rPr>
        <w:t>.</w:t>
      </w:r>
    </w:p>
    <w:p w14:paraId="188FE0AD" w14:textId="61CE5395" w:rsidR="007A5276" w:rsidRPr="006F2E08" w:rsidRDefault="00405F9E" w:rsidP="006F2E08">
      <w:pPr>
        <w:spacing w:before="0" w:after="0" w:line="240" w:lineRule="auto"/>
        <w:ind w:firstLine="284"/>
        <w:rPr>
          <w:bCs/>
          <w:sz w:val="22"/>
          <w:szCs w:val="22"/>
          <w:lang w:val="en-GB"/>
        </w:rPr>
      </w:pPr>
      <w:r>
        <w:rPr>
          <w:bCs/>
          <w:sz w:val="22"/>
          <w:szCs w:val="22"/>
          <w:lang w:val="en-GB"/>
        </w:rPr>
        <w:t>Advers</w:t>
      </w:r>
      <w:r w:rsidR="00FD1388" w:rsidRPr="006F2E08">
        <w:rPr>
          <w:bCs/>
          <w:sz w:val="22"/>
          <w:szCs w:val="22"/>
          <w:lang w:val="en-GB"/>
        </w:rPr>
        <w:t xml:space="preserve">e effects due to the presence of micro- and </w:t>
      </w:r>
      <w:proofErr w:type="spellStart"/>
      <w:r w:rsidR="00FD1388" w:rsidRPr="006F2E08">
        <w:rPr>
          <w:bCs/>
          <w:sz w:val="22"/>
          <w:szCs w:val="22"/>
          <w:lang w:val="en-GB"/>
        </w:rPr>
        <w:t>nanoplastics</w:t>
      </w:r>
      <w:proofErr w:type="spellEnd"/>
      <w:r w:rsidR="00FD1388" w:rsidRPr="006F2E08">
        <w:rPr>
          <w:bCs/>
          <w:sz w:val="22"/>
          <w:szCs w:val="22"/>
          <w:lang w:val="en-GB"/>
        </w:rPr>
        <w:t xml:space="preserve"> should be limited. One of the activities that undoubtedly contributes to </w:t>
      </w:r>
      <w:r>
        <w:rPr>
          <w:bCs/>
          <w:sz w:val="22"/>
          <w:szCs w:val="22"/>
          <w:lang w:val="en-GB"/>
        </w:rPr>
        <w:t>reducing</w:t>
      </w:r>
      <w:r w:rsidR="00FD1388" w:rsidRPr="006F2E08">
        <w:rPr>
          <w:bCs/>
          <w:sz w:val="22"/>
          <w:szCs w:val="22"/>
          <w:lang w:val="en-GB"/>
        </w:rPr>
        <w:t xml:space="preserve"> microplastic emissions to the environment is the recycling of plastic waste.</w:t>
      </w:r>
      <w:r w:rsidR="007A5276" w:rsidRPr="006F2E08">
        <w:rPr>
          <w:bCs/>
          <w:sz w:val="22"/>
          <w:szCs w:val="22"/>
          <w:lang w:val="en-GB"/>
        </w:rPr>
        <w:t xml:space="preserve"> As a result of recycling plastic waste, secondary raw materials </w:t>
      </w:r>
      <w:r>
        <w:rPr>
          <w:bCs/>
          <w:sz w:val="22"/>
          <w:szCs w:val="22"/>
          <w:lang w:val="en-GB"/>
        </w:rPr>
        <w:t>that can be reused are obtain</w:t>
      </w:r>
      <w:r w:rsidR="007A5276" w:rsidRPr="006F2E08">
        <w:rPr>
          <w:bCs/>
          <w:sz w:val="22"/>
          <w:szCs w:val="22"/>
          <w:lang w:val="en-GB"/>
        </w:rPr>
        <w:t>ed.</w:t>
      </w:r>
      <w:r w:rsidR="002D023C" w:rsidRPr="006F2E08">
        <w:rPr>
          <w:bCs/>
          <w:sz w:val="22"/>
          <w:szCs w:val="22"/>
          <w:lang w:val="en-GB"/>
        </w:rPr>
        <w:t xml:space="preserve"> </w:t>
      </w:r>
      <w:proofErr w:type="spellStart"/>
      <w:r w:rsidR="007A5276" w:rsidRPr="006F2E08">
        <w:rPr>
          <w:bCs/>
          <w:sz w:val="22"/>
          <w:szCs w:val="22"/>
          <w:lang w:val="en-GB"/>
        </w:rPr>
        <w:t>Nanoplastics</w:t>
      </w:r>
      <w:proofErr w:type="spellEnd"/>
      <w:r w:rsidR="007A5276" w:rsidRPr="006F2E08">
        <w:rPr>
          <w:bCs/>
          <w:sz w:val="22"/>
          <w:szCs w:val="22"/>
          <w:lang w:val="en-GB"/>
        </w:rPr>
        <w:t xml:space="preserve"> are used in the production of cosmetics, industrial abrasives, </w:t>
      </w:r>
      <w:r>
        <w:rPr>
          <w:bCs/>
          <w:sz w:val="22"/>
          <w:szCs w:val="22"/>
          <w:lang w:val="en-GB"/>
        </w:rPr>
        <w:t xml:space="preserve">and </w:t>
      </w:r>
      <w:r w:rsidR="007A5276" w:rsidRPr="006F2E08">
        <w:rPr>
          <w:bCs/>
          <w:sz w:val="22"/>
          <w:szCs w:val="22"/>
          <w:lang w:val="en-GB"/>
        </w:rPr>
        <w:t xml:space="preserve">in the pharmaceutical industry </w:t>
      </w:r>
      <w:r>
        <w:rPr>
          <w:bCs/>
          <w:sz w:val="22"/>
          <w:szCs w:val="22"/>
          <w:lang w:val="en-GB"/>
        </w:rPr>
        <w:t>for</w:t>
      </w:r>
      <w:r w:rsidR="0058024B">
        <w:rPr>
          <w:bCs/>
          <w:sz w:val="22"/>
          <w:szCs w:val="22"/>
          <w:lang w:val="en-GB"/>
        </w:rPr>
        <w:t> </w:t>
      </w:r>
      <w:r w:rsidR="007A5276" w:rsidRPr="006F2E08">
        <w:rPr>
          <w:bCs/>
          <w:sz w:val="22"/>
          <w:szCs w:val="22"/>
          <w:lang w:val="en-GB"/>
        </w:rPr>
        <w:t>drug delivery, as well as for 3D printing</w:t>
      </w:r>
      <w:r w:rsidR="002D023C" w:rsidRPr="006F2E08">
        <w:rPr>
          <w:bCs/>
          <w:sz w:val="22"/>
          <w:szCs w:val="22"/>
          <w:lang w:val="en-GB"/>
        </w:rPr>
        <w:t xml:space="preserve"> </w:t>
      </w:r>
      <w:r w:rsidR="000B4FE3" w:rsidRPr="006F2E08">
        <w:rPr>
          <w:bCs/>
          <w:sz w:val="22"/>
          <w:szCs w:val="22"/>
          <w:lang w:val="en-GB"/>
        </w:rPr>
        <w:t>(</w:t>
      </w:r>
      <w:r w:rsidR="00816B6A" w:rsidRPr="006F2E08">
        <w:rPr>
          <w:bCs/>
          <w:sz w:val="22"/>
          <w:szCs w:val="22"/>
          <w:lang w:val="en-GB"/>
        </w:rPr>
        <w:t xml:space="preserve">Bencsik </w:t>
      </w:r>
      <w:r w:rsidR="00AF0B24" w:rsidRPr="006F2E08">
        <w:rPr>
          <w:bCs/>
          <w:iCs/>
          <w:sz w:val="22"/>
          <w:szCs w:val="22"/>
          <w:lang w:val="en-GB"/>
        </w:rPr>
        <w:t>et al</w:t>
      </w:r>
      <w:r w:rsidR="00816B6A" w:rsidRPr="006F2E08">
        <w:rPr>
          <w:bCs/>
          <w:sz w:val="22"/>
          <w:szCs w:val="22"/>
          <w:lang w:val="en-GB"/>
        </w:rPr>
        <w:t>. 2018</w:t>
      </w:r>
      <w:r w:rsidR="000A5A86">
        <w:rPr>
          <w:bCs/>
          <w:sz w:val="22"/>
          <w:szCs w:val="22"/>
          <w:lang w:val="en-GB"/>
        </w:rPr>
        <w:t>,</w:t>
      </w:r>
      <w:r w:rsidR="00AF0B24" w:rsidRPr="006F2E08">
        <w:rPr>
          <w:bCs/>
          <w:sz w:val="22"/>
          <w:szCs w:val="22"/>
          <w:lang w:val="en-GB"/>
        </w:rPr>
        <w:t xml:space="preserve"> Alimi </w:t>
      </w:r>
      <w:r w:rsidR="00AF0B24" w:rsidRPr="006F2E08">
        <w:rPr>
          <w:bCs/>
          <w:iCs/>
          <w:sz w:val="22"/>
          <w:szCs w:val="22"/>
          <w:lang w:val="en-GB"/>
        </w:rPr>
        <w:t>et al</w:t>
      </w:r>
      <w:r w:rsidR="00AF0B24" w:rsidRPr="006F2E08">
        <w:rPr>
          <w:bCs/>
          <w:sz w:val="22"/>
          <w:szCs w:val="22"/>
          <w:lang w:val="en-GB"/>
        </w:rPr>
        <w:t>. 2018</w:t>
      </w:r>
      <w:r w:rsidR="000A5A86">
        <w:rPr>
          <w:bCs/>
          <w:sz w:val="22"/>
          <w:szCs w:val="22"/>
          <w:lang w:val="en-GB"/>
        </w:rPr>
        <w:t>,</w:t>
      </w:r>
      <w:r w:rsidR="00AF0B24" w:rsidRPr="006F2E08">
        <w:rPr>
          <w:bCs/>
          <w:sz w:val="22"/>
          <w:szCs w:val="22"/>
          <w:lang w:val="en-GB"/>
        </w:rPr>
        <w:t xml:space="preserve"> </w:t>
      </w:r>
      <w:r w:rsidR="00C952F2" w:rsidRPr="006F2E08">
        <w:rPr>
          <w:sz w:val="22"/>
          <w:szCs w:val="22"/>
          <w:lang w:val="en-GB"/>
        </w:rPr>
        <w:t xml:space="preserve">Li </w:t>
      </w:r>
      <w:r w:rsidR="00C952F2" w:rsidRPr="006F2E08">
        <w:rPr>
          <w:iCs/>
          <w:sz w:val="22"/>
          <w:szCs w:val="22"/>
          <w:lang w:val="en-GB"/>
        </w:rPr>
        <w:t>et al.</w:t>
      </w:r>
      <w:r w:rsidR="00C952F2" w:rsidRPr="006F2E08">
        <w:rPr>
          <w:sz w:val="22"/>
          <w:szCs w:val="22"/>
          <w:lang w:val="en-GB"/>
        </w:rPr>
        <w:t xml:space="preserve"> 2021</w:t>
      </w:r>
      <w:r w:rsidR="000B4FE3" w:rsidRPr="006F2E08">
        <w:rPr>
          <w:bCs/>
          <w:sz w:val="22"/>
          <w:szCs w:val="22"/>
          <w:lang w:val="en-GB"/>
        </w:rPr>
        <w:t>)</w:t>
      </w:r>
      <w:r w:rsidR="00AF0B24" w:rsidRPr="006F2E08">
        <w:rPr>
          <w:bCs/>
          <w:sz w:val="22"/>
          <w:szCs w:val="22"/>
          <w:lang w:val="en-GB"/>
        </w:rPr>
        <w:t>.</w:t>
      </w:r>
      <w:r w:rsidR="002D023C" w:rsidRPr="006F2E08">
        <w:rPr>
          <w:bCs/>
          <w:sz w:val="22"/>
          <w:szCs w:val="22"/>
          <w:lang w:val="en-GB"/>
        </w:rPr>
        <w:t xml:space="preserve"> </w:t>
      </w:r>
      <w:r w:rsidR="007A5276" w:rsidRPr="006F2E08">
        <w:rPr>
          <w:bCs/>
          <w:sz w:val="22"/>
          <w:szCs w:val="22"/>
          <w:lang w:val="en-GB"/>
        </w:rPr>
        <w:t>With such a</w:t>
      </w:r>
      <w:r w:rsidR="0058024B">
        <w:rPr>
          <w:bCs/>
          <w:sz w:val="22"/>
          <w:szCs w:val="22"/>
          <w:lang w:val="en-GB"/>
        </w:rPr>
        <w:t> </w:t>
      </w:r>
      <w:r w:rsidR="007A5276" w:rsidRPr="006F2E08">
        <w:rPr>
          <w:bCs/>
          <w:sz w:val="22"/>
          <w:szCs w:val="22"/>
          <w:lang w:val="en-GB"/>
        </w:rPr>
        <w:t xml:space="preserve">wide and varied use of micro- and </w:t>
      </w:r>
      <w:proofErr w:type="spellStart"/>
      <w:r w:rsidR="007A5276" w:rsidRPr="006F2E08">
        <w:rPr>
          <w:bCs/>
          <w:sz w:val="22"/>
          <w:szCs w:val="22"/>
          <w:lang w:val="en-GB"/>
        </w:rPr>
        <w:t>nanoplastics</w:t>
      </w:r>
      <w:proofErr w:type="spellEnd"/>
      <w:r w:rsidR="007A5276" w:rsidRPr="006F2E08">
        <w:rPr>
          <w:bCs/>
          <w:sz w:val="22"/>
          <w:szCs w:val="22"/>
          <w:lang w:val="en-GB"/>
        </w:rPr>
        <w:t>, i</w:t>
      </w:r>
      <w:r>
        <w:rPr>
          <w:bCs/>
          <w:sz w:val="22"/>
          <w:szCs w:val="22"/>
          <w:lang w:val="en-GB"/>
        </w:rPr>
        <w:t>ncreasing the share of secondary raw materials in these production branches, e.g., in the cosmetics industry, would be beneficial</w:t>
      </w:r>
      <w:r w:rsidR="007A5276" w:rsidRPr="006F2E08">
        <w:rPr>
          <w:bCs/>
          <w:sz w:val="22"/>
          <w:szCs w:val="22"/>
          <w:lang w:val="en-GB"/>
        </w:rPr>
        <w:t xml:space="preserve">. The use of appropriate methods of processing plastic waste, leading to </w:t>
      </w:r>
      <w:r>
        <w:rPr>
          <w:bCs/>
          <w:sz w:val="22"/>
          <w:szCs w:val="22"/>
          <w:lang w:val="en-GB"/>
        </w:rPr>
        <w:t>obtaining</w:t>
      </w:r>
      <w:r w:rsidR="007A5276" w:rsidRPr="006F2E08">
        <w:rPr>
          <w:bCs/>
          <w:sz w:val="22"/>
          <w:szCs w:val="22"/>
          <w:lang w:val="en-GB"/>
        </w:rPr>
        <w:t xml:space="preserve"> secondary micro and </w:t>
      </w:r>
      <w:proofErr w:type="spellStart"/>
      <w:r w:rsidR="007A5276" w:rsidRPr="006F2E08">
        <w:rPr>
          <w:bCs/>
          <w:sz w:val="22"/>
          <w:szCs w:val="22"/>
          <w:lang w:val="en-GB"/>
        </w:rPr>
        <w:t>nanoplastics</w:t>
      </w:r>
      <w:proofErr w:type="spellEnd"/>
      <w:r w:rsidR="007A5276" w:rsidRPr="006F2E08">
        <w:rPr>
          <w:bCs/>
          <w:sz w:val="22"/>
          <w:szCs w:val="22"/>
          <w:lang w:val="en-GB"/>
        </w:rPr>
        <w:t xml:space="preserve"> with appropriate quality parameters, may contribute to increasing the interest and, as a result, greater use of secondary raw materials in these industries</w:t>
      </w:r>
      <w:r w:rsidR="009374A1" w:rsidRPr="006F2E08">
        <w:rPr>
          <w:bCs/>
          <w:sz w:val="22"/>
          <w:szCs w:val="22"/>
          <w:lang w:val="en-GB"/>
        </w:rPr>
        <w:t xml:space="preserve"> </w:t>
      </w:r>
      <w:r w:rsidR="000B4FE3" w:rsidRPr="006F2E08">
        <w:rPr>
          <w:bCs/>
          <w:sz w:val="22"/>
          <w:szCs w:val="22"/>
          <w:lang w:val="en-GB"/>
        </w:rPr>
        <w:t>(</w:t>
      </w:r>
      <w:proofErr w:type="spellStart"/>
      <w:r w:rsidR="000B4FE3" w:rsidRPr="006F2E08">
        <w:rPr>
          <w:bCs/>
          <w:sz w:val="22"/>
          <w:szCs w:val="22"/>
          <w:lang w:val="en-GB"/>
        </w:rPr>
        <w:t>Khoironi</w:t>
      </w:r>
      <w:proofErr w:type="spellEnd"/>
      <w:r w:rsidR="000B4FE3" w:rsidRPr="006F2E08">
        <w:rPr>
          <w:bCs/>
          <w:sz w:val="22"/>
          <w:szCs w:val="22"/>
          <w:lang w:val="en-GB"/>
        </w:rPr>
        <w:t xml:space="preserve"> et al. 2019)</w:t>
      </w:r>
      <w:r w:rsidR="007A5276" w:rsidRPr="006F2E08">
        <w:rPr>
          <w:bCs/>
          <w:sz w:val="22"/>
          <w:szCs w:val="22"/>
          <w:lang w:val="en-GB"/>
        </w:rPr>
        <w:t xml:space="preserve">. </w:t>
      </w:r>
      <w:bookmarkStart w:id="10" w:name="_Hlk101768896"/>
      <w:bookmarkEnd w:id="9"/>
      <w:r w:rsidR="007A5276" w:rsidRPr="006F2E08">
        <w:rPr>
          <w:bCs/>
          <w:sz w:val="22"/>
          <w:szCs w:val="22"/>
          <w:lang w:val="en-GB"/>
        </w:rPr>
        <w:t xml:space="preserve">This article presents the </w:t>
      </w:r>
      <w:r>
        <w:rPr>
          <w:bCs/>
          <w:sz w:val="22"/>
          <w:szCs w:val="22"/>
          <w:lang w:val="en-GB"/>
        </w:rPr>
        <w:t>secondary nanomaterials obtained</w:t>
      </w:r>
      <w:r w:rsidR="007A5276" w:rsidRPr="006F2E08">
        <w:rPr>
          <w:bCs/>
          <w:sz w:val="22"/>
          <w:szCs w:val="22"/>
          <w:lang w:val="en-GB"/>
        </w:rPr>
        <w:t xml:space="preserve"> from plastic waste containing PET and PE</w:t>
      </w:r>
      <w:r w:rsidR="003E4330" w:rsidRPr="006F2E08">
        <w:rPr>
          <w:bCs/>
          <w:sz w:val="22"/>
          <w:szCs w:val="22"/>
          <w:lang w:val="en-GB"/>
        </w:rPr>
        <w:t>.</w:t>
      </w:r>
      <w:r w:rsidR="005209B1" w:rsidRPr="006F2E08">
        <w:rPr>
          <w:bCs/>
          <w:sz w:val="22"/>
          <w:szCs w:val="22"/>
          <w:lang w:val="en-GB"/>
        </w:rPr>
        <w:t xml:space="preserve"> </w:t>
      </w:r>
      <w:bookmarkStart w:id="11" w:name="_Hlk154085412"/>
      <w:r w:rsidR="00D733A1" w:rsidRPr="006F2E08">
        <w:rPr>
          <w:bCs/>
          <w:sz w:val="22"/>
          <w:szCs w:val="22"/>
          <w:lang w:val="en-GB"/>
        </w:rPr>
        <w:t xml:space="preserve">The </w:t>
      </w:r>
      <w:r>
        <w:rPr>
          <w:bCs/>
          <w:sz w:val="22"/>
          <w:szCs w:val="22"/>
          <w:lang w:val="en-GB"/>
        </w:rPr>
        <w:t>research aimed to create plastic microparticles,</w:t>
      </w:r>
      <w:r w:rsidR="00D733A1" w:rsidRPr="006F2E08">
        <w:rPr>
          <w:bCs/>
          <w:sz w:val="22"/>
          <w:szCs w:val="22"/>
          <w:lang w:val="en-GB"/>
        </w:rPr>
        <w:t xml:space="preserve"> a major global problem, to see if they can be made and to consider their innovative reuse in accordance with circular economy principles</w:t>
      </w:r>
      <w:r w:rsidR="00311FCD" w:rsidRPr="006F2E08">
        <w:rPr>
          <w:bCs/>
          <w:sz w:val="22"/>
          <w:szCs w:val="22"/>
          <w:lang w:val="en-GB"/>
        </w:rPr>
        <w:t>.</w:t>
      </w:r>
    </w:p>
    <w:bookmarkEnd w:id="11"/>
    <w:p w14:paraId="0CCD6C68" w14:textId="77777777" w:rsidR="00D733A1" w:rsidRPr="006F2E08" w:rsidRDefault="00D733A1" w:rsidP="006F2E08">
      <w:pPr>
        <w:pStyle w:val="Rn2"/>
        <w:rPr>
          <w:lang w:val="en-GB"/>
        </w:rPr>
      </w:pPr>
      <w:r w:rsidRPr="006F2E08">
        <w:rPr>
          <w:lang w:val="en-GB"/>
        </w:rPr>
        <w:t>Methods of producing nanoparticles</w:t>
      </w:r>
    </w:p>
    <w:p w14:paraId="730AB1B2" w14:textId="56718063" w:rsidR="00D733A1" w:rsidRPr="006F2E08" w:rsidRDefault="00D733A1" w:rsidP="006F2E08">
      <w:pPr>
        <w:spacing w:before="0" w:after="0" w:line="240" w:lineRule="auto"/>
        <w:ind w:firstLine="284"/>
        <w:rPr>
          <w:bCs/>
          <w:sz w:val="22"/>
          <w:szCs w:val="22"/>
          <w:lang w:val="en-GB"/>
        </w:rPr>
      </w:pPr>
      <w:r w:rsidRPr="006F2E08">
        <w:rPr>
          <w:bCs/>
          <w:sz w:val="22"/>
          <w:szCs w:val="22"/>
          <w:lang w:val="en-GB"/>
        </w:rPr>
        <w:t>Nanoparticles are not very complicated structures in terms of their physical structure, but the ways of making them are not easy or simple. Nowadays, many fields of science and technology are looking for ways to use nanoparticles to improve the properties of already</w:t>
      </w:r>
      <w:r w:rsidR="00405F9E">
        <w:rPr>
          <w:bCs/>
          <w:sz w:val="22"/>
          <w:szCs w:val="22"/>
          <w:lang w:val="en-GB"/>
        </w:rPr>
        <w:t>-</w:t>
      </w:r>
      <w:r w:rsidRPr="006F2E08">
        <w:rPr>
          <w:bCs/>
          <w:sz w:val="22"/>
          <w:szCs w:val="22"/>
          <w:lang w:val="en-GB"/>
        </w:rPr>
        <w:t xml:space="preserve">known substances and materials. For this reason, scientists are trying to create particles that meet their high requirements in terms of spatial structure and strength, as well as </w:t>
      </w:r>
      <w:r w:rsidR="00405F9E">
        <w:rPr>
          <w:bCs/>
          <w:sz w:val="22"/>
          <w:szCs w:val="22"/>
          <w:lang w:val="en-GB"/>
        </w:rPr>
        <w:t xml:space="preserve">the </w:t>
      </w:r>
      <w:r w:rsidRPr="006F2E08">
        <w:rPr>
          <w:bCs/>
          <w:sz w:val="22"/>
          <w:szCs w:val="22"/>
          <w:lang w:val="en-GB"/>
        </w:rPr>
        <w:t>simplicity of application of nanoparticles in selected areas of science.</w:t>
      </w:r>
      <w:r w:rsidR="000A5A86">
        <w:rPr>
          <w:bCs/>
          <w:sz w:val="22"/>
          <w:szCs w:val="22"/>
          <w:lang w:val="en-GB"/>
        </w:rPr>
        <w:t xml:space="preserve"> </w:t>
      </w:r>
      <w:r w:rsidRPr="006F2E08">
        <w:rPr>
          <w:bCs/>
          <w:sz w:val="22"/>
          <w:szCs w:val="22"/>
          <w:lang w:val="en-GB"/>
        </w:rPr>
        <w:t xml:space="preserve">There are two main techniques for creating structures that are less than 100-200 nm in size. The primary technique for bringing a material down to this size is called "top-down". This process relies on </w:t>
      </w:r>
      <w:r w:rsidR="00405F9E">
        <w:rPr>
          <w:bCs/>
          <w:sz w:val="22"/>
          <w:szCs w:val="22"/>
          <w:lang w:val="en-GB"/>
        </w:rPr>
        <w:t xml:space="preserve">the </w:t>
      </w:r>
      <w:r w:rsidRPr="006F2E08">
        <w:rPr>
          <w:bCs/>
          <w:sz w:val="22"/>
          <w:szCs w:val="22"/>
          <w:lang w:val="en-GB"/>
        </w:rPr>
        <w:t xml:space="preserve">mechanical processing of the material to reduce the particle size by grinding, cutting, grinding, or by chemical reactions that cause the substance to break down. Mechanical grinding methods cannot go below 150 nm in size for plastics due to their physical characteristics. </w:t>
      </w:r>
      <w:proofErr w:type="spellStart"/>
      <w:r w:rsidRPr="006F2E08">
        <w:rPr>
          <w:bCs/>
          <w:sz w:val="22"/>
          <w:szCs w:val="22"/>
          <w:lang w:val="en-GB"/>
        </w:rPr>
        <w:t>Nanopolymers</w:t>
      </w:r>
      <w:proofErr w:type="spellEnd"/>
      <w:r w:rsidRPr="006F2E08">
        <w:rPr>
          <w:bCs/>
          <w:sz w:val="22"/>
          <w:szCs w:val="22"/>
          <w:lang w:val="en-GB"/>
        </w:rPr>
        <w:t xml:space="preserve"> will not always have all dimensions below 200 nm due to the difficulty </w:t>
      </w:r>
      <w:r w:rsidR="00405F9E">
        <w:rPr>
          <w:bCs/>
          <w:sz w:val="22"/>
          <w:szCs w:val="22"/>
          <w:lang w:val="en-GB"/>
        </w:rPr>
        <w:t>of</w:t>
      </w:r>
      <w:r w:rsidRPr="006F2E08">
        <w:rPr>
          <w:bCs/>
          <w:sz w:val="22"/>
          <w:szCs w:val="22"/>
          <w:lang w:val="en-GB"/>
        </w:rPr>
        <w:t xml:space="preserve"> grinding such substances. Materials </w:t>
      </w:r>
      <w:r w:rsidR="00405F9E">
        <w:rPr>
          <w:bCs/>
          <w:sz w:val="22"/>
          <w:szCs w:val="22"/>
          <w:lang w:val="en-GB"/>
        </w:rPr>
        <w:t>with crystalline grains can even be fragmented to sub-100 nm</w:t>
      </w:r>
      <w:r w:rsidRPr="006F2E08">
        <w:rPr>
          <w:bCs/>
          <w:sz w:val="22"/>
          <w:szCs w:val="22"/>
          <w:lang w:val="en-GB"/>
        </w:rPr>
        <w:t xml:space="preserve"> in any space. The top-down method is a multi-step process and requires a considerable amount of time to produce nanoparticles. </w:t>
      </w:r>
      <w:r w:rsidR="00405F9E">
        <w:rPr>
          <w:bCs/>
          <w:sz w:val="22"/>
          <w:szCs w:val="22"/>
          <w:lang w:val="en-GB"/>
        </w:rPr>
        <w:t>Humans have developed mechanical processing of substances to achieve structures in the nanoscale range</w:t>
      </w:r>
      <w:r w:rsidRPr="006F2E08">
        <w:rPr>
          <w:bCs/>
          <w:sz w:val="22"/>
          <w:szCs w:val="22"/>
          <w:lang w:val="en-GB"/>
        </w:rPr>
        <w:t xml:space="preserve"> as an </w:t>
      </w:r>
      <w:proofErr w:type="spellStart"/>
      <w:r w:rsidRPr="006F2E08">
        <w:rPr>
          <w:bCs/>
          <w:sz w:val="22"/>
          <w:szCs w:val="22"/>
          <w:lang w:val="en-GB"/>
        </w:rPr>
        <w:t>anthropogenical</w:t>
      </w:r>
      <w:proofErr w:type="spellEnd"/>
      <w:r w:rsidRPr="006F2E08">
        <w:rPr>
          <w:bCs/>
          <w:sz w:val="22"/>
          <w:szCs w:val="22"/>
          <w:lang w:val="en-GB"/>
        </w:rPr>
        <w:t xml:space="preserve"> method to produce these objects (Mamatha et al.</w:t>
      </w:r>
      <w:r w:rsidR="000A5A86">
        <w:rPr>
          <w:bCs/>
          <w:sz w:val="22"/>
          <w:szCs w:val="22"/>
          <w:lang w:val="en-GB"/>
        </w:rPr>
        <w:t xml:space="preserve"> </w:t>
      </w:r>
      <w:r w:rsidRPr="006F2E08">
        <w:rPr>
          <w:bCs/>
          <w:sz w:val="22"/>
          <w:szCs w:val="22"/>
          <w:lang w:val="en-GB"/>
        </w:rPr>
        <w:t>2020</w:t>
      </w:r>
      <w:r w:rsidR="000A5A86">
        <w:rPr>
          <w:bCs/>
          <w:sz w:val="22"/>
          <w:szCs w:val="22"/>
          <w:lang w:val="en-GB"/>
        </w:rPr>
        <w:t>,</w:t>
      </w:r>
      <w:r w:rsidRPr="006F2E08">
        <w:rPr>
          <w:bCs/>
          <w:sz w:val="22"/>
          <w:szCs w:val="22"/>
          <w:lang w:val="en-GB"/>
        </w:rPr>
        <w:t xml:space="preserve"> </w:t>
      </w:r>
      <w:proofErr w:type="spellStart"/>
      <w:r w:rsidRPr="006F2E08">
        <w:rPr>
          <w:bCs/>
          <w:sz w:val="22"/>
          <w:szCs w:val="22"/>
          <w:lang w:val="en-GB"/>
        </w:rPr>
        <w:t>Ekrami</w:t>
      </w:r>
      <w:proofErr w:type="spellEnd"/>
      <w:r w:rsidRPr="006F2E08">
        <w:rPr>
          <w:bCs/>
          <w:sz w:val="22"/>
          <w:szCs w:val="22"/>
          <w:lang w:val="en-GB"/>
        </w:rPr>
        <w:t xml:space="preserve"> et</w:t>
      </w:r>
      <w:r w:rsidR="0058024B">
        <w:rPr>
          <w:bCs/>
          <w:sz w:val="22"/>
          <w:szCs w:val="22"/>
          <w:lang w:val="en-GB"/>
        </w:rPr>
        <w:t> </w:t>
      </w:r>
      <w:r w:rsidRPr="006F2E08">
        <w:rPr>
          <w:bCs/>
          <w:sz w:val="22"/>
          <w:szCs w:val="22"/>
          <w:lang w:val="en-GB"/>
        </w:rPr>
        <w:t>al.</w:t>
      </w:r>
      <w:r w:rsidR="000A5A86">
        <w:rPr>
          <w:bCs/>
          <w:sz w:val="22"/>
          <w:szCs w:val="22"/>
          <w:lang w:val="en-GB"/>
        </w:rPr>
        <w:t xml:space="preserve"> </w:t>
      </w:r>
      <w:r w:rsidRPr="006F2E08">
        <w:rPr>
          <w:bCs/>
          <w:sz w:val="22"/>
          <w:szCs w:val="22"/>
          <w:lang w:val="en-GB"/>
        </w:rPr>
        <w:t>2022).</w:t>
      </w:r>
    </w:p>
    <w:p w14:paraId="7C4FE9FA" w14:textId="0BA360B9" w:rsidR="00D733A1" w:rsidRPr="006F2E08" w:rsidRDefault="00D733A1" w:rsidP="006F2E08">
      <w:pPr>
        <w:spacing w:before="0" w:after="0" w:line="240" w:lineRule="auto"/>
        <w:ind w:firstLine="284"/>
        <w:rPr>
          <w:bCs/>
          <w:sz w:val="22"/>
          <w:szCs w:val="22"/>
          <w:lang w:val="en-GB"/>
        </w:rPr>
      </w:pPr>
      <w:r w:rsidRPr="006F2E08">
        <w:rPr>
          <w:bCs/>
          <w:sz w:val="22"/>
          <w:szCs w:val="22"/>
          <w:lang w:val="en-GB"/>
        </w:rPr>
        <w:t>Another method of obtaining nanoparticles comes "from nature" and is called the "bottom up" method. This method creates particles directly from their constituent parts through chemical and physicochemical reactions. The reactions and processes in the "bottom</w:t>
      </w:r>
      <w:r w:rsidR="00405F9E">
        <w:rPr>
          <w:bCs/>
          <w:sz w:val="22"/>
          <w:szCs w:val="22"/>
          <w:lang w:val="en-GB"/>
        </w:rPr>
        <w:t>-</w:t>
      </w:r>
      <w:r w:rsidRPr="006F2E08">
        <w:rPr>
          <w:bCs/>
          <w:sz w:val="22"/>
          <w:szCs w:val="22"/>
          <w:lang w:val="en-GB"/>
        </w:rPr>
        <w:t>up" method are the reverse of those in the "top</w:t>
      </w:r>
      <w:r w:rsidR="00405F9E">
        <w:rPr>
          <w:bCs/>
          <w:sz w:val="22"/>
          <w:szCs w:val="22"/>
          <w:lang w:val="en-GB"/>
        </w:rPr>
        <w:t>-</w:t>
      </w:r>
      <w:r w:rsidRPr="006F2E08">
        <w:rPr>
          <w:bCs/>
          <w:sz w:val="22"/>
          <w:szCs w:val="22"/>
          <w:lang w:val="en-GB"/>
        </w:rPr>
        <w:t xml:space="preserve">down" method. </w:t>
      </w:r>
      <w:r w:rsidRPr="006F2E08">
        <w:rPr>
          <w:bCs/>
          <w:sz w:val="22"/>
          <w:szCs w:val="22"/>
          <w:lang w:val="en-GB"/>
        </w:rPr>
        <w:lastRenderedPageBreak/>
        <w:t>Here, instead of destroying to form nanoparticles, they are built from scratch. The bottom</w:t>
      </w:r>
      <w:r w:rsidR="00405F9E">
        <w:rPr>
          <w:bCs/>
          <w:sz w:val="22"/>
          <w:szCs w:val="22"/>
          <w:lang w:val="en-GB"/>
        </w:rPr>
        <w:t>-</w:t>
      </w:r>
      <w:r w:rsidRPr="006F2E08">
        <w:rPr>
          <w:bCs/>
          <w:sz w:val="22"/>
          <w:szCs w:val="22"/>
          <w:lang w:val="en-GB"/>
        </w:rPr>
        <w:t>up method allows for the precise design of the particle size needed for selected applications. This method is widely used in biotechnology and pharmaceuticals to apply certain substances precisely to specific locations (</w:t>
      </w:r>
      <w:proofErr w:type="spellStart"/>
      <w:r w:rsidRPr="006F2E08">
        <w:rPr>
          <w:bCs/>
          <w:sz w:val="22"/>
          <w:szCs w:val="22"/>
          <w:lang w:val="en-GB"/>
        </w:rPr>
        <w:t>Alwaeli</w:t>
      </w:r>
      <w:proofErr w:type="spellEnd"/>
      <w:r w:rsidRPr="006F2E08">
        <w:rPr>
          <w:bCs/>
          <w:sz w:val="22"/>
          <w:szCs w:val="22"/>
          <w:lang w:val="en-GB"/>
        </w:rPr>
        <w:t xml:space="preserve"> M. et</w:t>
      </w:r>
      <w:r w:rsidR="0058024B">
        <w:rPr>
          <w:bCs/>
          <w:sz w:val="22"/>
          <w:szCs w:val="22"/>
          <w:lang w:val="en-GB"/>
        </w:rPr>
        <w:t> </w:t>
      </w:r>
      <w:r w:rsidRPr="006F2E08">
        <w:rPr>
          <w:bCs/>
          <w:sz w:val="22"/>
          <w:szCs w:val="22"/>
          <w:lang w:val="en-GB"/>
        </w:rPr>
        <w:t>al.</w:t>
      </w:r>
      <w:r w:rsidR="000A5A86">
        <w:rPr>
          <w:bCs/>
          <w:sz w:val="22"/>
          <w:szCs w:val="22"/>
          <w:lang w:val="en-GB"/>
        </w:rPr>
        <w:t xml:space="preserve"> </w:t>
      </w:r>
      <w:r w:rsidRPr="006F2E08">
        <w:rPr>
          <w:bCs/>
          <w:sz w:val="22"/>
          <w:szCs w:val="22"/>
          <w:lang w:val="en-GB"/>
        </w:rPr>
        <w:t>2018). Grinding and comminution of substances are used to analy</w:t>
      </w:r>
      <w:r w:rsidR="00405F9E">
        <w:rPr>
          <w:bCs/>
          <w:sz w:val="22"/>
          <w:szCs w:val="22"/>
          <w:lang w:val="en-GB"/>
        </w:rPr>
        <w:t>s</w:t>
      </w:r>
      <w:r w:rsidRPr="006F2E08">
        <w:rPr>
          <w:bCs/>
          <w:sz w:val="22"/>
          <w:szCs w:val="22"/>
          <w:lang w:val="en-GB"/>
        </w:rPr>
        <w:t>e macromolecular substances that cannot be produced in any other way than by simply po-sizing the object. Fabrication by building is aimed at obtaining engineered nanoparticles for selected applications. M</w:t>
      </w:r>
      <w:r w:rsidR="00405F9E">
        <w:rPr>
          <w:bCs/>
          <w:sz w:val="22"/>
          <w:szCs w:val="22"/>
          <w:lang w:val="en-GB"/>
        </w:rPr>
        <w:t xml:space="preserve">etals, </w:t>
      </w:r>
      <w:proofErr w:type="spellStart"/>
      <w:r w:rsidR="00405F9E">
        <w:rPr>
          <w:bCs/>
          <w:sz w:val="22"/>
          <w:szCs w:val="22"/>
          <w:lang w:val="en-GB"/>
        </w:rPr>
        <w:t>ferromagnetites</w:t>
      </w:r>
      <w:proofErr w:type="spellEnd"/>
      <w:r w:rsidR="00405F9E">
        <w:rPr>
          <w:bCs/>
          <w:sz w:val="22"/>
          <w:szCs w:val="22"/>
          <w:lang w:val="en-GB"/>
        </w:rPr>
        <w:t>, and carbon compounds are mainly</w:t>
      </w:r>
      <w:r w:rsidRPr="006F2E08">
        <w:rPr>
          <w:bCs/>
          <w:sz w:val="22"/>
          <w:szCs w:val="22"/>
          <w:lang w:val="en-GB"/>
        </w:rPr>
        <w:t xml:space="preserve"> fabricated.</w:t>
      </w:r>
    </w:p>
    <w:p w14:paraId="20D026D1" w14:textId="2806F0DC" w:rsidR="00D733A1" w:rsidRPr="006F2E08" w:rsidRDefault="00D733A1" w:rsidP="006F2E08">
      <w:pPr>
        <w:spacing w:before="0" w:after="0" w:line="240" w:lineRule="auto"/>
        <w:ind w:firstLine="284"/>
        <w:rPr>
          <w:bCs/>
          <w:sz w:val="22"/>
          <w:szCs w:val="22"/>
          <w:lang w:val="en-GB"/>
        </w:rPr>
      </w:pPr>
      <w:r w:rsidRPr="006F2E08">
        <w:rPr>
          <w:bCs/>
          <w:sz w:val="22"/>
          <w:szCs w:val="22"/>
          <w:lang w:val="en-GB"/>
        </w:rPr>
        <w:t>This paper uses the top</w:t>
      </w:r>
      <w:r w:rsidR="00405F9E">
        <w:rPr>
          <w:bCs/>
          <w:sz w:val="22"/>
          <w:szCs w:val="22"/>
          <w:lang w:val="en-GB"/>
        </w:rPr>
        <w:t>-</w:t>
      </w:r>
      <w:r w:rsidRPr="006F2E08">
        <w:rPr>
          <w:bCs/>
          <w:sz w:val="22"/>
          <w:szCs w:val="22"/>
          <w:lang w:val="en-GB"/>
        </w:rPr>
        <w:t xml:space="preserve">down method as a counterpart to natural and anthropogenic nanoparticle generation processes in the environment. This method mimics the generation of real polymer nanoparticle contamination </w:t>
      </w:r>
      <w:r w:rsidR="00405F9E">
        <w:rPr>
          <w:bCs/>
          <w:sz w:val="22"/>
          <w:szCs w:val="22"/>
          <w:lang w:val="en-GB"/>
        </w:rPr>
        <w:t>of air, soil,</w:t>
      </w:r>
      <w:r w:rsidRPr="006F2E08">
        <w:rPr>
          <w:bCs/>
          <w:sz w:val="22"/>
          <w:szCs w:val="22"/>
          <w:lang w:val="en-GB"/>
        </w:rPr>
        <w:t xml:space="preserve"> and water.</w:t>
      </w:r>
    </w:p>
    <w:p w14:paraId="5A7A9356" w14:textId="7674E432" w:rsidR="00270BC4" w:rsidRPr="006F2E08" w:rsidRDefault="006F2E08" w:rsidP="006F2E08">
      <w:pPr>
        <w:pStyle w:val="Rn1"/>
        <w:rPr>
          <w:lang w:val="en-GB"/>
        </w:rPr>
      </w:pPr>
      <w:r>
        <w:rPr>
          <w:lang w:val="en-GB"/>
        </w:rPr>
        <w:t xml:space="preserve">2. </w:t>
      </w:r>
      <w:r w:rsidRPr="006F2E08">
        <w:rPr>
          <w:lang w:val="en-GB"/>
        </w:rPr>
        <w:t>Materials and Methods</w:t>
      </w:r>
      <w:bookmarkEnd w:id="10"/>
    </w:p>
    <w:p w14:paraId="7629F9C9" w14:textId="6D4E1493" w:rsidR="000434E1" w:rsidRPr="006F2E08" w:rsidRDefault="00936971" w:rsidP="006F2E08">
      <w:pPr>
        <w:pStyle w:val="Rn2"/>
        <w:rPr>
          <w:lang w:val="en-GB"/>
        </w:rPr>
      </w:pPr>
      <w:r w:rsidRPr="006F2E08">
        <w:rPr>
          <w:lang w:val="en-GB"/>
        </w:rPr>
        <w:t>Methodology for the fabrication of polymer nanoparticles</w:t>
      </w:r>
    </w:p>
    <w:p w14:paraId="436078A6" w14:textId="2D52EB82" w:rsidR="000434E1" w:rsidRPr="006F2E08" w:rsidRDefault="001F7B2B" w:rsidP="006F2E08">
      <w:pPr>
        <w:pStyle w:val="Tekst"/>
        <w:suppressAutoHyphens w:val="0"/>
        <w:spacing w:line="240" w:lineRule="auto"/>
        <w:ind w:firstLine="284"/>
        <w:rPr>
          <w:sz w:val="22"/>
          <w:szCs w:val="22"/>
          <w:lang w:val="en-GB"/>
        </w:rPr>
      </w:pPr>
      <w:r w:rsidRPr="006F2E08">
        <w:rPr>
          <w:sz w:val="22"/>
          <w:szCs w:val="22"/>
          <w:lang w:val="en-GB"/>
        </w:rPr>
        <w:t>The fabrication of nanoparticles is a very tedious and complex process due to the very small size of the individual particles. The experiments started with the fabrication of macroparticles, then microparticles and finally nanoparticles were obtained. Polyethylene was obtained from new plastic bags</w:t>
      </w:r>
      <w:r w:rsidR="00405F9E">
        <w:rPr>
          <w:sz w:val="22"/>
          <w:szCs w:val="22"/>
          <w:lang w:val="en-GB"/>
        </w:rPr>
        <w:t>,</w:t>
      </w:r>
      <w:r w:rsidRPr="006F2E08">
        <w:rPr>
          <w:sz w:val="22"/>
          <w:szCs w:val="22"/>
          <w:lang w:val="en-GB"/>
        </w:rPr>
        <w:t xml:space="preserve"> and polyethylene </w:t>
      </w:r>
      <w:r w:rsidR="003B51F6" w:rsidRPr="006F2E08">
        <w:rPr>
          <w:sz w:val="22"/>
          <w:szCs w:val="22"/>
          <w:lang w:val="en-GB"/>
        </w:rPr>
        <w:t>terephthalate</w:t>
      </w:r>
      <w:r w:rsidRPr="006F2E08">
        <w:rPr>
          <w:sz w:val="22"/>
          <w:szCs w:val="22"/>
          <w:lang w:val="en-GB"/>
        </w:rPr>
        <w:t xml:space="preserve"> from PET bottles.</w:t>
      </w:r>
    </w:p>
    <w:p w14:paraId="6701500B" w14:textId="74360E70" w:rsidR="000434E1" w:rsidRPr="006F2E08" w:rsidRDefault="001F7B2B" w:rsidP="006F2E08">
      <w:pPr>
        <w:pStyle w:val="Rn2"/>
        <w:rPr>
          <w:lang w:val="en-GB"/>
        </w:rPr>
      </w:pPr>
      <w:r w:rsidRPr="006F2E08">
        <w:rPr>
          <w:lang w:val="en-GB"/>
        </w:rPr>
        <w:t>Grinding in the cutting mill</w:t>
      </w:r>
    </w:p>
    <w:p w14:paraId="3868AABC" w14:textId="4F52BFB1" w:rsidR="002E4002" w:rsidRPr="006F2E08" w:rsidRDefault="001F7B2B" w:rsidP="006F2E08">
      <w:pPr>
        <w:pStyle w:val="Tekst"/>
        <w:suppressAutoHyphens w:val="0"/>
        <w:spacing w:line="240" w:lineRule="auto"/>
        <w:ind w:firstLine="284"/>
        <w:rPr>
          <w:b/>
          <w:bCs/>
          <w:sz w:val="22"/>
          <w:szCs w:val="22"/>
          <w:lang w:val="en-GB"/>
        </w:rPr>
      </w:pPr>
      <w:r w:rsidRPr="006F2E08">
        <w:rPr>
          <w:sz w:val="22"/>
          <w:szCs w:val="22"/>
          <w:lang w:val="en-GB"/>
        </w:rPr>
        <w:t>The first stage of nanoparticle</w:t>
      </w:r>
      <w:r w:rsidR="00405F9E">
        <w:rPr>
          <w:sz w:val="22"/>
          <w:szCs w:val="22"/>
          <w:lang w:val="en-GB"/>
        </w:rPr>
        <w:t xml:space="preserve"> production is grinding accumulated material in the form of bottles and foil bags into the smallest possible forms using</w:t>
      </w:r>
      <w:r w:rsidRPr="006F2E08">
        <w:rPr>
          <w:sz w:val="22"/>
          <w:szCs w:val="22"/>
          <w:lang w:val="en-GB"/>
        </w:rPr>
        <w:t xml:space="preserve"> a knife mill</w:t>
      </w:r>
      <w:r w:rsidR="00D733A1" w:rsidRPr="006F2E08">
        <w:rPr>
          <w:sz w:val="22"/>
          <w:szCs w:val="22"/>
          <w:lang w:val="en-GB"/>
        </w:rPr>
        <w:t xml:space="preserve"> (T 17 typ</w:t>
      </w:r>
      <w:r w:rsidR="000A5A86">
        <w:rPr>
          <w:sz w:val="22"/>
          <w:szCs w:val="22"/>
          <w:lang w:val="en-GB"/>
        </w:rPr>
        <w:t>.</w:t>
      </w:r>
      <w:r w:rsidR="00D733A1" w:rsidRPr="006F2E08">
        <w:rPr>
          <w:sz w:val="22"/>
          <w:szCs w:val="22"/>
          <w:lang w:val="en-GB"/>
        </w:rPr>
        <w:t xml:space="preserve"> M)</w:t>
      </w:r>
      <w:r w:rsidRPr="006F2E08">
        <w:rPr>
          <w:sz w:val="22"/>
          <w:szCs w:val="22"/>
          <w:lang w:val="en-GB"/>
        </w:rPr>
        <w:t>. The mechanism of the knife mill is to cut the material into smaller pieces with the help of attached blades. These blades have a counter blade which blocks the material</w:t>
      </w:r>
      <w:r w:rsidR="00405F9E">
        <w:rPr>
          <w:sz w:val="22"/>
          <w:szCs w:val="22"/>
          <w:lang w:val="en-GB"/>
        </w:rPr>
        <w:t>,</w:t>
      </w:r>
      <w:r w:rsidRPr="006F2E08">
        <w:rPr>
          <w:sz w:val="22"/>
          <w:szCs w:val="22"/>
          <w:lang w:val="en-GB"/>
        </w:rPr>
        <w:t xml:space="preserve"> allowing it to be ground. This method makes it possible to achieve objects on the level of a few micromet</w:t>
      </w:r>
      <w:r w:rsidR="00405F9E">
        <w:rPr>
          <w:sz w:val="22"/>
          <w:szCs w:val="22"/>
          <w:lang w:val="en-GB"/>
        </w:rPr>
        <w:t>re</w:t>
      </w:r>
      <w:r w:rsidRPr="006F2E08">
        <w:rPr>
          <w:sz w:val="22"/>
          <w:szCs w:val="22"/>
          <w:lang w:val="en-GB"/>
        </w:rPr>
        <w:t>s</w:t>
      </w:r>
      <w:r w:rsidR="00405F9E">
        <w:rPr>
          <w:sz w:val="22"/>
          <w:szCs w:val="22"/>
          <w:lang w:val="en-GB"/>
        </w:rPr>
        <w:t>. H</w:t>
      </w:r>
      <w:r w:rsidRPr="006F2E08">
        <w:rPr>
          <w:sz w:val="22"/>
          <w:szCs w:val="22"/>
          <w:lang w:val="en-GB"/>
        </w:rPr>
        <w:t xml:space="preserve">owever, the lack of tightness of the collection container results in </w:t>
      </w:r>
      <w:r w:rsidR="00405F9E">
        <w:rPr>
          <w:sz w:val="22"/>
          <w:szCs w:val="22"/>
          <w:lang w:val="en-GB"/>
        </w:rPr>
        <w:t>creating</w:t>
      </w:r>
      <w:r w:rsidRPr="006F2E08">
        <w:rPr>
          <w:sz w:val="22"/>
          <w:szCs w:val="22"/>
          <w:lang w:val="en-GB"/>
        </w:rPr>
        <w:t xml:space="preserve"> a molecular cloud in the room and high air pollution with micro- and nanoparticles that can be created in this process.</w:t>
      </w:r>
    </w:p>
    <w:p w14:paraId="226AC7FD" w14:textId="77135E31" w:rsidR="00E16404" w:rsidRPr="006F2E08" w:rsidRDefault="001F7B2B" w:rsidP="006F2E08">
      <w:pPr>
        <w:pStyle w:val="Rn2"/>
        <w:rPr>
          <w:lang w:val="en-GB"/>
        </w:rPr>
      </w:pPr>
      <w:r w:rsidRPr="006F2E08">
        <w:rPr>
          <w:lang w:val="en-GB"/>
        </w:rPr>
        <w:t>Ball mill grinding</w:t>
      </w:r>
    </w:p>
    <w:p w14:paraId="55FDB392" w14:textId="6D590959" w:rsidR="0001480F" w:rsidRPr="006F2E08" w:rsidRDefault="001F7B2B" w:rsidP="006F2E08">
      <w:pPr>
        <w:pStyle w:val="Tekst"/>
        <w:suppressAutoHyphens w:val="0"/>
        <w:spacing w:line="240" w:lineRule="auto"/>
        <w:ind w:firstLine="284"/>
        <w:rPr>
          <w:sz w:val="22"/>
          <w:szCs w:val="22"/>
          <w:lang w:val="en-GB"/>
        </w:rPr>
      </w:pPr>
      <w:r w:rsidRPr="006F2E08">
        <w:rPr>
          <w:sz w:val="22"/>
          <w:szCs w:val="22"/>
          <w:lang w:val="en-GB"/>
        </w:rPr>
        <w:t>The next stage of comminution of the structures was grinding in a planetary</w:t>
      </w:r>
      <w:r w:rsidR="00405F9E">
        <w:rPr>
          <w:sz w:val="22"/>
          <w:szCs w:val="22"/>
          <w:lang w:val="en-GB"/>
        </w:rPr>
        <w:t xml:space="preserve"> </w:t>
      </w:r>
      <w:r w:rsidRPr="006F2E08">
        <w:rPr>
          <w:sz w:val="22"/>
          <w:szCs w:val="22"/>
          <w:lang w:val="en-GB"/>
        </w:rPr>
        <w:t>ball mill</w:t>
      </w:r>
      <w:r w:rsidR="004C1B6A" w:rsidRPr="006F2E08">
        <w:rPr>
          <w:sz w:val="22"/>
          <w:szCs w:val="22"/>
          <w:lang w:val="en-GB"/>
        </w:rPr>
        <w:t xml:space="preserve"> </w:t>
      </w:r>
      <w:proofErr w:type="spellStart"/>
      <w:r w:rsidR="004C1B6A" w:rsidRPr="006F2E08">
        <w:rPr>
          <w:sz w:val="22"/>
          <w:szCs w:val="22"/>
          <w:lang w:val="en-GB"/>
        </w:rPr>
        <w:t>Pulverisette</w:t>
      </w:r>
      <w:proofErr w:type="spellEnd"/>
      <w:r w:rsidR="004C1B6A" w:rsidRPr="006F2E08">
        <w:rPr>
          <w:sz w:val="22"/>
          <w:szCs w:val="22"/>
          <w:lang w:val="en-GB"/>
        </w:rPr>
        <w:t xml:space="preserve"> 5</w:t>
      </w:r>
      <w:r w:rsidRPr="006F2E08">
        <w:rPr>
          <w:sz w:val="22"/>
          <w:szCs w:val="22"/>
          <w:lang w:val="en-GB"/>
        </w:rPr>
        <w:t>. The principle of the planetary</w:t>
      </w:r>
      <w:r w:rsidR="00405F9E">
        <w:rPr>
          <w:sz w:val="22"/>
          <w:szCs w:val="22"/>
          <w:lang w:val="en-GB"/>
        </w:rPr>
        <w:t xml:space="preserve"> </w:t>
      </w:r>
      <w:r w:rsidRPr="006F2E08">
        <w:rPr>
          <w:sz w:val="22"/>
          <w:szCs w:val="22"/>
          <w:lang w:val="en-GB"/>
        </w:rPr>
        <w:t>ball mill is based on the circular motion and the centrifugal force acting inside the grinding bowl. The grinding bowl is made of agate and 25 grinding balls with a diameter of 5 mm. The final material from the cutting mill was transferred in dry form to the grinding bowl. The grinding took one minute at 400 rpm. The resulting particles were transferred into sealed test tubes with a stopper using a spatula.</w:t>
      </w:r>
    </w:p>
    <w:p w14:paraId="00DEDBF5" w14:textId="7D4F6D76" w:rsidR="0001480F" w:rsidRPr="006F2E08" w:rsidRDefault="001F7B2B" w:rsidP="006F2E08">
      <w:pPr>
        <w:pStyle w:val="Rn2"/>
        <w:rPr>
          <w:lang w:val="en-GB"/>
        </w:rPr>
      </w:pPr>
      <w:r w:rsidRPr="006F2E08">
        <w:rPr>
          <w:lang w:val="en-GB"/>
        </w:rPr>
        <w:t>Homogeni</w:t>
      </w:r>
      <w:r w:rsidR="00405F9E">
        <w:rPr>
          <w:lang w:val="en-GB"/>
        </w:rPr>
        <w:t>s</w:t>
      </w:r>
      <w:r w:rsidRPr="006F2E08">
        <w:rPr>
          <w:lang w:val="en-GB"/>
        </w:rPr>
        <w:t>ation shredding</w:t>
      </w:r>
    </w:p>
    <w:p w14:paraId="00A8F969" w14:textId="530B67B8" w:rsidR="001F4C0E" w:rsidRPr="006F2E08" w:rsidRDefault="001F4C0E" w:rsidP="006F2E08">
      <w:pPr>
        <w:pStyle w:val="Tekst"/>
        <w:suppressAutoHyphens w:val="0"/>
        <w:spacing w:line="240" w:lineRule="auto"/>
        <w:ind w:firstLine="284"/>
        <w:rPr>
          <w:sz w:val="22"/>
          <w:szCs w:val="22"/>
          <w:lang w:val="en-GB"/>
        </w:rPr>
      </w:pPr>
      <w:r w:rsidRPr="006F2E08">
        <w:rPr>
          <w:sz w:val="22"/>
          <w:szCs w:val="22"/>
          <w:lang w:val="en-GB"/>
        </w:rPr>
        <w:t xml:space="preserve">The last grinding stage was </w:t>
      </w:r>
      <w:r w:rsidR="00405F9E">
        <w:rPr>
          <w:sz w:val="22"/>
          <w:szCs w:val="22"/>
          <w:lang w:val="en-GB"/>
        </w:rPr>
        <w:t>homogenisation grinding, which was used</w:t>
      </w:r>
      <w:r w:rsidRPr="006F2E08">
        <w:rPr>
          <w:sz w:val="22"/>
          <w:szCs w:val="22"/>
          <w:lang w:val="en-GB"/>
        </w:rPr>
        <w:t xml:space="preserve"> to break the flocculates formed after grinding in the ball mill. Homogeni</w:t>
      </w:r>
      <w:r w:rsidR="00405F9E">
        <w:rPr>
          <w:sz w:val="22"/>
          <w:szCs w:val="22"/>
          <w:lang w:val="en-GB"/>
        </w:rPr>
        <w:t>s</w:t>
      </w:r>
      <w:r w:rsidRPr="006F2E08">
        <w:rPr>
          <w:sz w:val="22"/>
          <w:szCs w:val="22"/>
          <w:lang w:val="en-GB"/>
        </w:rPr>
        <w:t>ation</w:t>
      </w:r>
      <w:r w:rsidR="004C1B6A" w:rsidRPr="006F2E08">
        <w:rPr>
          <w:sz w:val="22"/>
          <w:szCs w:val="22"/>
          <w:lang w:val="en-GB"/>
        </w:rPr>
        <w:t xml:space="preserve"> </w:t>
      </w:r>
      <w:r w:rsidRPr="006F2E08">
        <w:rPr>
          <w:sz w:val="22"/>
          <w:szCs w:val="22"/>
          <w:lang w:val="en-GB"/>
        </w:rPr>
        <w:t xml:space="preserve">was carried out in the presence of the surfactant sodium dodecyl </w:t>
      </w:r>
      <w:proofErr w:type="spellStart"/>
      <w:r w:rsidRPr="006F2E08">
        <w:rPr>
          <w:sz w:val="22"/>
          <w:szCs w:val="22"/>
          <w:lang w:val="en-GB"/>
        </w:rPr>
        <w:t>sulfate</w:t>
      </w:r>
      <w:proofErr w:type="spellEnd"/>
      <w:r w:rsidRPr="006F2E08">
        <w:rPr>
          <w:sz w:val="22"/>
          <w:szCs w:val="22"/>
          <w:lang w:val="en-GB"/>
        </w:rPr>
        <w:t xml:space="preserve"> (SDS). The surfactant assisted in </w:t>
      </w:r>
      <w:r w:rsidR="00405F9E">
        <w:rPr>
          <w:sz w:val="22"/>
          <w:szCs w:val="22"/>
          <w:lang w:val="en-GB"/>
        </w:rPr>
        <w:t>disrupting</w:t>
      </w:r>
      <w:r w:rsidRPr="006F2E08">
        <w:rPr>
          <w:sz w:val="22"/>
          <w:szCs w:val="22"/>
          <w:lang w:val="en-GB"/>
        </w:rPr>
        <w:t xml:space="preserve"> the nanoparticle phloem to extract individual particles. The homogeni</w:t>
      </w:r>
      <w:r w:rsidR="00405F9E">
        <w:rPr>
          <w:sz w:val="22"/>
          <w:szCs w:val="22"/>
          <w:lang w:val="en-GB"/>
        </w:rPr>
        <w:t>s</w:t>
      </w:r>
      <w:r w:rsidRPr="006F2E08">
        <w:rPr>
          <w:sz w:val="22"/>
          <w:szCs w:val="22"/>
          <w:lang w:val="en-GB"/>
        </w:rPr>
        <w:t>er</w:t>
      </w:r>
      <w:r w:rsidR="004C1B6A" w:rsidRPr="006F2E08">
        <w:rPr>
          <w:sz w:val="22"/>
          <w:szCs w:val="22"/>
          <w:lang w:val="en-GB"/>
        </w:rPr>
        <w:t xml:space="preserve"> (</w:t>
      </w:r>
      <w:proofErr w:type="spellStart"/>
      <w:r w:rsidR="004C1B6A" w:rsidRPr="006F2E08">
        <w:rPr>
          <w:sz w:val="22"/>
          <w:szCs w:val="22"/>
          <w:lang w:val="en-GB"/>
        </w:rPr>
        <w:t>Undrive</w:t>
      </w:r>
      <w:proofErr w:type="spellEnd"/>
      <w:r w:rsidR="004C1B6A" w:rsidRPr="006F2E08">
        <w:rPr>
          <w:sz w:val="22"/>
          <w:szCs w:val="22"/>
          <w:lang w:val="en-GB"/>
        </w:rPr>
        <w:t xml:space="preserve"> x 1000D)</w:t>
      </w:r>
      <w:r w:rsidRPr="006F2E08">
        <w:rPr>
          <w:sz w:val="22"/>
          <w:szCs w:val="22"/>
          <w:lang w:val="en-GB"/>
        </w:rPr>
        <w:t xml:space="preserve"> was operated with a double knife at 32500 rpm. </w:t>
      </w:r>
    </w:p>
    <w:p w14:paraId="794B51E7" w14:textId="4E66EDEF" w:rsidR="006927B1" w:rsidRPr="006F2E08" w:rsidRDefault="001F7B2B" w:rsidP="006F2E08">
      <w:pPr>
        <w:pStyle w:val="Rn2"/>
        <w:rPr>
          <w:lang w:val="en-GB"/>
        </w:rPr>
      </w:pPr>
      <w:r w:rsidRPr="006F2E08">
        <w:rPr>
          <w:lang w:val="en-GB"/>
        </w:rPr>
        <w:t>Filtering</w:t>
      </w:r>
    </w:p>
    <w:p w14:paraId="362EDF0F" w14:textId="71923E19" w:rsidR="0001480F" w:rsidRPr="006F2E08" w:rsidRDefault="001F7B2B" w:rsidP="006F2E08">
      <w:pPr>
        <w:pStyle w:val="Tekst"/>
        <w:suppressAutoHyphens w:val="0"/>
        <w:spacing w:line="240" w:lineRule="auto"/>
        <w:ind w:firstLine="284"/>
        <w:rPr>
          <w:sz w:val="22"/>
          <w:szCs w:val="22"/>
          <w:lang w:val="en-GB"/>
        </w:rPr>
      </w:pPr>
      <w:r w:rsidRPr="006F2E08">
        <w:rPr>
          <w:sz w:val="22"/>
          <w:szCs w:val="22"/>
          <w:lang w:val="en-GB"/>
        </w:rPr>
        <w:t xml:space="preserve">As the last process before the qualitative analysis of the obtained suspension, </w:t>
      </w:r>
      <w:r w:rsidR="00405F9E">
        <w:rPr>
          <w:sz w:val="22"/>
          <w:szCs w:val="22"/>
          <w:lang w:val="en-GB"/>
        </w:rPr>
        <w:t>liquid filtering was performed</w:t>
      </w:r>
      <w:r w:rsidRPr="006F2E08">
        <w:rPr>
          <w:sz w:val="22"/>
          <w:szCs w:val="22"/>
          <w:lang w:val="en-GB"/>
        </w:rPr>
        <w:t xml:space="preserve"> to separate the nano- and microstructures. For this purpose, syringe filters with a pore diameter of 200</w:t>
      </w:r>
      <w:r w:rsidR="000A5A86">
        <w:rPr>
          <w:sz w:val="22"/>
          <w:szCs w:val="22"/>
          <w:lang w:val="en-GB"/>
        </w:rPr>
        <w:t xml:space="preserve"> </w:t>
      </w:r>
      <w:r w:rsidRPr="006F2E08">
        <w:rPr>
          <w:sz w:val="22"/>
          <w:szCs w:val="22"/>
          <w:lang w:val="en-GB"/>
        </w:rPr>
        <w:t>nm were used. The solution of nanoparticles thus obtained in distilled water was subjected to particle size distribution measurements in a DLS analyser</w:t>
      </w:r>
      <w:r w:rsidR="002E4002" w:rsidRPr="006F2E08">
        <w:rPr>
          <w:sz w:val="22"/>
          <w:szCs w:val="22"/>
          <w:lang w:val="en-GB"/>
        </w:rPr>
        <w:t>.</w:t>
      </w:r>
    </w:p>
    <w:p w14:paraId="3F30080F" w14:textId="5992007B" w:rsidR="0001480F" w:rsidRPr="006F2E08" w:rsidRDefault="001F7B2B" w:rsidP="006F2E08">
      <w:pPr>
        <w:pStyle w:val="Rn2"/>
        <w:rPr>
          <w:lang w:val="en-GB"/>
        </w:rPr>
      </w:pPr>
      <w:r w:rsidRPr="006F2E08">
        <w:rPr>
          <w:lang w:val="en-GB"/>
        </w:rPr>
        <w:t>Particle size measurement by DLS</w:t>
      </w:r>
    </w:p>
    <w:p w14:paraId="329A077C" w14:textId="0A6F5528" w:rsidR="00CE7470" w:rsidRPr="000A5A86" w:rsidRDefault="001F7B2B" w:rsidP="006F2E08">
      <w:pPr>
        <w:pStyle w:val="Tekst"/>
        <w:suppressAutoHyphens w:val="0"/>
        <w:spacing w:line="240" w:lineRule="auto"/>
        <w:ind w:firstLine="284"/>
        <w:rPr>
          <w:spacing w:val="-2"/>
          <w:sz w:val="22"/>
          <w:szCs w:val="22"/>
          <w:lang w:val="en-GB"/>
        </w:rPr>
      </w:pPr>
      <w:r w:rsidRPr="000A5A86">
        <w:rPr>
          <w:spacing w:val="-2"/>
          <w:sz w:val="22"/>
          <w:szCs w:val="22"/>
          <w:lang w:val="en-GB"/>
        </w:rPr>
        <w:t>The DLS (Dynamic Light Scattering) method is an analytical method based on dynamic light scattering. It</w:t>
      </w:r>
      <w:r w:rsidR="001A113C">
        <w:rPr>
          <w:spacing w:val="-2"/>
          <w:sz w:val="22"/>
          <w:szCs w:val="22"/>
          <w:lang w:val="en-GB"/>
        </w:rPr>
        <w:t> </w:t>
      </w:r>
      <w:r w:rsidRPr="000A5A86">
        <w:rPr>
          <w:spacing w:val="-2"/>
          <w:sz w:val="22"/>
          <w:szCs w:val="22"/>
          <w:lang w:val="en-GB"/>
        </w:rPr>
        <w:t xml:space="preserve">allows </w:t>
      </w:r>
      <w:r w:rsidR="00405F9E">
        <w:rPr>
          <w:spacing w:val="-2"/>
          <w:sz w:val="22"/>
          <w:szCs w:val="22"/>
          <w:lang w:val="en-GB"/>
        </w:rPr>
        <w:t xml:space="preserve">us </w:t>
      </w:r>
      <w:r w:rsidRPr="000A5A86">
        <w:rPr>
          <w:spacing w:val="-2"/>
          <w:sz w:val="22"/>
          <w:szCs w:val="22"/>
          <w:lang w:val="en-GB"/>
        </w:rPr>
        <w:t xml:space="preserve">to measure particles in the </w:t>
      </w:r>
      <w:r w:rsidR="00405F9E">
        <w:rPr>
          <w:spacing w:val="-2"/>
          <w:sz w:val="22"/>
          <w:szCs w:val="22"/>
          <w:lang w:val="en-GB"/>
        </w:rPr>
        <w:t>0.5-10000 nm range</w:t>
      </w:r>
      <w:r w:rsidRPr="000A5A86">
        <w:rPr>
          <w:spacing w:val="-2"/>
          <w:sz w:val="22"/>
          <w:szCs w:val="22"/>
          <w:lang w:val="en-GB"/>
        </w:rPr>
        <w:t>. The laser beam incident on the sample interacts with it and produces scattered radiation</w:t>
      </w:r>
      <w:r w:rsidR="00405F9E">
        <w:rPr>
          <w:spacing w:val="-2"/>
          <w:sz w:val="22"/>
          <w:szCs w:val="22"/>
          <w:lang w:val="en-GB"/>
        </w:rPr>
        <w:t>,</w:t>
      </w:r>
      <w:r w:rsidRPr="000A5A86">
        <w:rPr>
          <w:spacing w:val="-2"/>
          <w:sz w:val="22"/>
          <w:szCs w:val="22"/>
          <w:lang w:val="en-GB"/>
        </w:rPr>
        <w:t xml:space="preserve"> which is then collected by the detector. Measurements with this method do not cause damage to the sample or structural changes in the sample. DLS is most commonly used to measure the size of particles in the liquid phase.</w:t>
      </w:r>
      <w:r w:rsidR="00251036" w:rsidRPr="000A5A86">
        <w:rPr>
          <w:spacing w:val="-2"/>
          <w:sz w:val="22"/>
          <w:szCs w:val="22"/>
          <w:lang w:val="en-GB"/>
        </w:rPr>
        <w:t xml:space="preserve"> </w:t>
      </w:r>
      <w:r w:rsidRPr="000A5A86">
        <w:rPr>
          <w:spacing w:val="-2"/>
          <w:sz w:val="22"/>
          <w:szCs w:val="22"/>
          <w:lang w:val="en-GB"/>
        </w:rPr>
        <w:t xml:space="preserve">In this study, each solution was made </w:t>
      </w:r>
      <w:r w:rsidR="00405F9E">
        <w:rPr>
          <w:spacing w:val="-2"/>
          <w:sz w:val="22"/>
          <w:szCs w:val="22"/>
          <w:lang w:val="en-GB"/>
        </w:rPr>
        <w:t>prior to analysis, allowing</w:t>
      </w:r>
      <w:r w:rsidRPr="000A5A86">
        <w:rPr>
          <w:spacing w:val="-2"/>
          <w:sz w:val="22"/>
          <w:szCs w:val="22"/>
          <w:lang w:val="en-GB"/>
        </w:rPr>
        <w:t xml:space="preserve"> for the most accurate representation of sample content. The particle size distribution was determined using </w:t>
      </w:r>
      <w:r w:rsidR="00405F9E">
        <w:rPr>
          <w:spacing w:val="-2"/>
          <w:sz w:val="22"/>
          <w:szCs w:val="22"/>
          <w:lang w:val="en-GB"/>
        </w:rPr>
        <w:t xml:space="preserve">Malvern's DLS </w:t>
      </w:r>
      <w:proofErr w:type="spellStart"/>
      <w:r w:rsidR="00405F9E">
        <w:rPr>
          <w:spacing w:val="-2"/>
          <w:sz w:val="22"/>
          <w:szCs w:val="22"/>
          <w:lang w:val="en-GB"/>
        </w:rPr>
        <w:t>Zetasizer</w:t>
      </w:r>
      <w:proofErr w:type="spellEnd"/>
      <w:r w:rsidR="00405F9E">
        <w:rPr>
          <w:spacing w:val="-2"/>
          <w:sz w:val="22"/>
          <w:szCs w:val="22"/>
          <w:lang w:val="en-GB"/>
        </w:rPr>
        <w:t xml:space="preserve"> Nano Zs analyser</w:t>
      </w:r>
      <w:r w:rsidRPr="000A5A86">
        <w:rPr>
          <w:spacing w:val="-2"/>
          <w:sz w:val="22"/>
          <w:szCs w:val="22"/>
          <w:lang w:val="en-GB"/>
        </w:rPr>
        <w:t xml:space="preserve">. </w:t>
      </w:r>
      <w:r w:rsidRPr="001A113C">
        <w:rPr>
          <w:sz w:val="22"/>
          <w:szCs w:val="22"/>
          <w:lang w:val="en-GB"/>
        </w:rPr>
        <w:t>A total of 10 measurements were taken for each test material. The measurements were carried out at 25°C, using distilled water as a scattering phase, at an angle of 173° and a</w:t>
      </w:r>
      <w:r w:rsidR="001A113C" w:rsidRPr="001A113C">
        <w:rPr>
          <w:sz w:val="22"/>
          <w:szCs w:val="22"/>
          <w:lang w:val="en-GB"/>
        </w:rPr>
        <w:t xml:space="preserve"> </w:t>
      </w:r>
      <w:r w:rsidRPr="001A113C">
        <w:rPr>
          <w:sz w:val="22"/>
          <w:szCs w:val="22"/>
          <w:lang w:val="en-GB"/>
        </w:rPr>
        <w:t xml:space="preserve">wavelength of 633 nm. Other measurement parameters: viscosity 0.887 </w:t>
      </w:r>
      <w:proofErr w:type="spellStart"/>
      <w:r w:rsidRPr="001A113C">
        <w:rPr>
          <w:sz w:val="22"/>
          <w:szCs w:val="22"/>
          <w:lang w:val="en-GB"/>
        </w:rPr>
        <w:t>cP</w:t>
      </w:r>
      <w:proofErr w:type="spellEnd"/>
      <w:r w:rsidRPr="001A113C">
        <w:rPr>
          <w:sz w:val="22"/>
          <w:szCs w:val="22"/>
          <w:lang w:val="en-GB"/>
        </w:rPr>
        <w:t>, refractive index RI</w:t>
      </w:r>
      <w:r w:rsidR="000A5A86" w:rsidRPr="001A113C">
        <w:rPr>
          <w:sz w:val="22"/>
          <w:szCs w:val="22"/>
          <w:lang w:val="en-GB"/>
        </w:rPr>
        <w:t xml:space="preserve"> </w:t>
      </w:r>
      <w:r w:rsidRPr="001A113C">
        <w:rPr>
          <w:sz w:val="22"/>
          <w:szCs w:val="22"/>
          <w:lang w:val="en-GB"/>
        </w:rPr>
        <w:t>=</w:t>
      </w:r>
      <w:r w:rsidR="000A5A86" w:rsidRPr="001A113C">
        <w:rPr>
          <w:sz w:val="22"/>
          <w:szCs w:val="22"/>
          <w:lang w:val="en-GB"/>
        </w:rPr>
        <w:t xml:space="preserve"> </w:t>
      </w:r>
      <w:r w:rsidRPr="001A113C">
        <w:rPr>
          <w:sz w:val="22"/>
          <w:szCs w:val="22"/>
          <w:lang w:val="en-GB"/>
        </w:rPr>
        <w:t>1.330.</w:t>
      </w:r>
    </w:p>
    <w:p w14:paraId="491421A4" w14:textId="4074465C" w:rsidR="00CE7470" w:rsidRPr="006F2E08" w:rsidRDefault="006F2E08" w:rsidP="006F2E08">
      <w:pPr>
        <w:pStyle w:val="Rn1"/>
        <w:rPr>
          <w:lang w:val="en-GB"/>
        </w:rPr>
      </w:pPr>
      <w:r>
        <w:rPr>
          <w:lang w:val="en-GB"/>
        </w:rPr>
        <w:lastRenderedPageBreak/>
        <w:t xml:space="preserve">3. </w:t>
      </w:r>
      <w:r w:rsidRPr="006F2E08">
        <w:rPr>
          <w:lang w:val="en-GB"/>
        </w:rPr>
        <w:t>Results and Discussion</w:t>
      </w:r>
    </w:p>
    <w:p w14:paraId="3C0FCC6F" w14:textId="65831A18" w:rsidR="008E09C0" w:rsidRPr="006F2E08" w:rsidRDefault="00405F9E" w:rsidP="006F2E08">
      <w:pPr>
        <w:pStyle w:val="Tekst"/>
        <w:suppressAutoHyphens w:val="0"/>
        <w:spacing w:line="240" w:lineRule="auto"/>
        <w:ind w:firstLine="284"/>
        <w:rPr>
          <w:bCs/>
          <w:sz w:val="22"/>
          <w:szCs w:val="22"/>
          <w:lang w:val="en-GB"/>
        </w:rPr>
      </w:pPr>
      <w:r>
        <w:rPr>
          <w:bCs/>
          <w:sz w:val="22"/>
          <w:szCs w:val="22"/>
          <w:lang w:val="en-GB"/>
        </w:rPr>
        <w:t>By a</w:t>
      </w:r>
      <w:r w:rsidR="008E09C0" w:rsidRPr="006F2E08">
        <w:rPr>
          <w:bCs/>
          <w:sz w:val="22"/>
          <w:szCs w:val="22"/>
          <w:lang w:val="en-GB"/>
        </w:rPr>
        <w:t>naly</w:t>
      </w:r>
      <w:r>
        <w:rPr>
          <w:bCs/>
          <w:sz w:val="22"/>
          <w:szCs w:val="22"/>
          <w:lang w:val="en-GB"/>
        </w:rPr>
        <w:t>s</w:t>
      </w:r>
      <w:r w:rsidR="008E09C0" w:rsidRPr="006F2E08">
        <w:rPr>
          <w:bCs/>
          <w:sz w:val="22"/>
          <w:szCs w:val="22"/>
          <w:lang w:val="en-GB"/>
        </w:rPr>
        <w:t>ing the results obtained in individual measurements and comparing them to each other</w:t>
      </w:r>
      <w:r>
        <w:rPr>
          <w:bCs/>
          <w:sz w:val="22"/>
          <w:szCs w:val="22"/>
          <w:lang w:val="en-GB"/>
        </w:rPr>
        <w:t>,</w:t>
      </w:r>
      <w:r w:rsidR="008E09C0" w:rsidRPr="006F2E08">
        <w:rPr>
          <w:bCs/>
          <w:sz w:val="22"/>
          <w:szCs w:val="22"/>
          <w:lang w:val="en-GB"/>
        </w:rPr>
        <w:t xml:space="preserve"> a simple correlation can be drawn that the chosen </w:t>
      </w:r>
      <w:r>
        <w:rPr>
          <w:bCs/>
          <w:sz w:val="22"/>
          <w:szCs w:val="22"/>
          <w:lang w:val="en-GB"/>
        </w:rPr>
        <w:t>sample preparation method</w:t>
      </w:r>
      <w:r w:rsidR="008E09C0" w:rsidRPr="006F2E08">
        <w:rPr>
          <w:bCs/>
          <w:sz w:val="22"/>
          <w:szCs w:val="22"/>
          <w:lang w:val="en-GB"/>
        </w:rPr>
        <w:t xml:space="preserve"> was suitable for this type of study. Data obtained during DLS analysis of poly(ethylene terephthalate) and polyethylene show how little the individual measurement results differ from each other. The averages of the measurements for the two selected polymers are similar to each other. The difference between the average values is less than 20 </w:t>
      </w:r>
      <w:proofErr w:type="spellStart"/>
      <w:r w:rsidR="008E09C0" w:rsidRPr="006F2E08">
        <w:rPr>
          <w:bCs/>
          <w:sz w:val="22"/>
          <w:szCs w:val="22"/>
          <w:lang w:val="en-GB"/>
        </w:rPr>
        <w:t>nanometers</w:t>
      </w:r>
      <w:proofErr w:type="spellEnd"/>
      <w:r w:rsidR="008E09C0" w:rsidRPr="006F2E08">
        <w:rPr>
          <w:bCs/>
          <w:sz w:val="22"/>
          <w:szCs w:val="22"/>
          <w:lang w:val="en-GB"/>
        </w:rPr>
        <w:t>, which indicates a very accurate qualitative analysis of the tested samples.</w:t>
      </w:r>
    </w:p>
    <w:p w14:paraId="22CA6FB3" w14:textId="49F19C87" w:rsidR="001970D4" w:rsidRPr="006F2E08" w:rsidRDefault="001970D4" w:rsidP="006F2E08">
      <w:pPr>
        <w:pStyle w:val="Tekst"/>
        <w:suppressAutoHyphens w:val="0"/>
        <w:spacing w:line="240" w:lineRule="auto"/>
        <w:ind w:firstLine="284"/>
        <w:rPr>
          <w:sz w:val="22"/>
          <w:szCs w:val="22"/>
          <w:lang w:val="en-GB"/>
        </w:rPr>
      </w:pPr>
      <w:r w:rsidRPr="006F2E08">
        <w:rPr>
          <w:sz w:val="22"/>
          <w:szCs w:val="22"/>
          <w:lang w:val="en-GB"/>
        </w:rPr>
        <w:t xml:space="preserve">The </w:t>
      </w:r>
      <w:r w:rsidR="00405F9E">
        <w:rPr>
          <w:sz w:val="22"/>
          <w:szCs w:val="22"/>
          <w:lang w:val="en-GB"/>
        </w:rPr>
        <w:t>analysis result</w:t>
      </w:r>
      <w:r w:rsidRPr="006F2E08">
        <w:rPr>
          <w:sz w:val="22"/>
          <w:szCs w:val="22"/>
          <w:lang w:val="en-GB"/>
        </w:rPr>
        <w:t>s using the Dynamic Light Scattering technique are shown in Table 1 for PET.</w:t>
      </w:r>
    </w:p>
    <w:p w14:paraId="710C8471" w14:textId="77777777" w:rsidR="001970D4" w:rsidRPr="006F2E08" w:rsidRDefault="001970D4" w:rsidP="006F2E08">
      <w:pPr>
        <w:pStyle w:val="Tekst"/>
        <w:suppressAutoHyphens w:val="0"/>
        <w:spacing w:line="240" w:lineRule="auto"/>
        <w:ind w:firstLine="284"/>
        <w:rPr>
          <w:lang w:val="en-GB"/>
        </w:rPr>
      </w:pPr>
    </w:p>
    <w:p w14:paraId="25347C11" w14:textId="368C5538" w:rsidR="00251036" w:rsidRPr="006F2E08" w:rsidRDefault="003B72BB" w:rsidP="006F2E08">
      <w:pPr>
        <w:pStyle w:val="Rtab"/>
      </w:pPr>
      <w:r w:rsidRPr="006F2E08">
        <w:rPr>
          <w:b/>
          <w:lang w:val="en-GB"/>
        </w:rPr>
        <w:t>Table 1.</w:t>
      </w:r>
      <w:r w:rsidR="00624FE2" w:rsidRPr="006F2E08">
        <w:rPr>
          <w:lang w:val="en-GB"/>
        </w:rPr>
        <w:t xml:space="preserve"> Particle size distribution for PET</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1"/>
        <w:gridCol w:w="1785"/>
        <w:gridCol w:w="1231"/>
        <w:gridCol w:w="1726"/>
        <w:gridCol w:w="1436"/>
        <w:gridCol w:w="1654"/>
      </w:tblGrid>
      <w:tr w:rsidR="00FC6B84" w:rsidRPr="000A5A86" w14:paraId="14678670" w14:textId="77777777" w:rsidTr="001A113C">
        <w:trPr>
          <w:trHeight w:val="283"/>
          <w:jc w:val="center"/>
        </w:trPr>
        <w:tc>
          <w:tcPr>
            <w:tcW w:w="5000" w:type="pct"/>
            <w:gridSpan w:val="6"/>
            <w:shd w:val="clear" w:color="auto" w:fill="auto"/>
            <w:noWrap/>
            <w:vAlign w:val="center"/>
            <w:hideMark/>
          </w:tcPr>
          <w:p w14:paraId="36E543D1" w14:textId="7370C502" w:rsidR="00207C3A" w:rsidRPr="000A5A86" w:rsidRDefault="00207C3A" w:rsidP="00270BC4">
            <w:pPr>
              <w:pStyle w:val="NoIndent"/>
              <w:suppressAutoHyphens/>
              <w:spacing w:line="240" w:lineRule="auto"/>
              <w:jc w:val="center"/>
              <w:rPr>
                <w:lang w:val="en-GB"/>
              </w:rPr>
            </w:pPr>
            <w:r w:rsidRPr="000A5A86">
              <w:rPr>
                <w:lang w:val="en-GB"/>
              </w:rPr>
              <w:t>Poly (ethylene terephthalate)</w:t>
            </w:r>
          </w:p>
        </w:tc>
      </w:tr>
      <w:tr w:rsidR="00FC6B84" w:rsidRPr="000A5A86" w14:paraId="2BB26C6C" w14:textId="77777777" w:rsidTr="0088705A">
        <w:trPr>
          <w:trHeight w:val="581"/>
          <w:jc w:val="center"/>
        </w:trPr>
        <w:tc>
          <w:tcPr>
            <w:tcW w:w="871" w:type="pct"/>
            <w:shd w:val="clear" w:color="auto" w:fill="auto"/>
            <w:noWrap/>
            <w:vAlign w:val="center"/>
            <w:hideMark/>
          </w:tcPr>
          <w:p w14:paraId="5849F762" w14:textId="77777777" w:rsidR="00207C3A" w:rsidRPr="000A5A86" w:rsidRDefault="00207C3A" w:rsidP="00270BC4">
            <w:pPr>
              <w:pStyle w:val="NoIndent"/>
              <w:suppressAutoHyphens/>
              <w:spacing w:line="240" w:lineRule="auto"/>
              <w:jc w:val="center"/>
              <w:rPr>
                <w:lang w:val="en-GB"/>
              </w:rPr>
            </w:pPr>
            <w:r w:rsidRPr="000A5A86">
              <w:rPr>
                <w:lang w:val="en-GB"/>
              </w:rPr>
              <w:t>Peak 1</w:t>
            </w:r>
          </w:p>
          <w:p w14:paraId="465B3168" w14:textId="28A44125" w:rsidR="00207C3A" w:rsidRPr="000A5A86" w:rsidRDefault="00207C3A" w:rsidP="00270BC4">
            <w:pPr>
              <w:pStyle w:val="NoIndent"/>
              <w:suppressAutoHyphens/>
              <w:spacing w:line="240" w:lineRule="auto"/>
              <w:jc w:val="center"/>
              <w:rPr>
                <w:lang w:val="en-GB"/>
              </w:rPr>
            </w:pPr>
            <w:r w:rsidRPr="000A5A86">
              <w:rPr>
                <w:lang w:val="en-GB"/>
              </w:rPr>
              <w:t>[nm]</w:t>
            </w:r>
          </w:p>
        </w:tc>
        <w:tc>
          <w:tcPr>
            <w:tcW w:w="941" w:type="pct"/>
            <w:shd w:val="clear" w:color="auto" w:fill="auto"/>
            <w:noWrap/>
            <w:vAlign w:val="center"/>
            <w:hideMark/>
          </w:tcPr>
          <w:p w14:paraId="3383435D" w14:textId="77777777" w:rsidR="00207C3A" w:rsidRPr="000A5A86" w:rsidRDefault="00207C3A" w:rsidP="00270BC4">
            <w:pPr>
              <w:pStyle w:val="NoIndent"/>
              <w:suppressAutoHyphens/>
              <w:spacing w:line="240" w:lineRule="auto"/>
              <w:jc w:val="center"/>
              <w:rPr>
                <w:lang w:val="en-GB"/>
              </w:rPr>
            </w:pPr>
            <w:r w:rsidRPr="000A5A86">
              <w:rPr>
                <w:lang w:val="en-GB"/>
              </w:rPr>
              <w:t>Percent of area 1</w:t>
            </w:r>
          </w:p>
          <w:p w14:paraId="4DBC25CB" w14:textId="77777777" w:rsidR="00207C3A" w:rsidRPr="000A5A86" w:rsidRDefault="00207C3A" w:rsidP="00270BC4">
            <w:pPr>
              <w:pStyle w:val="NoIndent"/>
              <w:suppressAutoHyphens/>
              <w:spacing w:line="240" w:lineRule="auto"/>
              <w:jc w:val="center"/>
              <w:rPr>
                <w:lang w:val="en-GB"/>
              </w:rPr>
            </w:pPr>
            <w:r w:rsidRPr="000A5A86">
              <w:rPr>
                <w:lang w:val="en-GB"/>
              </w:rPr>
              <w:t>[%]</w:t>
            </w:r>
          </w:p>
        </w:tc>
        <w:tc>
          <w:tcPr>
            <w:tcW w:w="649" w:type="pct"/>
            <w:shd w:val="clear" w:color="auto" w:fill="auto"/>
            <w:noWrap/>
            <w:vAlign w:val="center"/>
            <w:hideMark/>
          </w:tcPr>
          <w:p w14:paraId="4063FA6A" w14:textId="77777777" w:rsidR="00207C3A" w:rsidRPr="000A5A86" w:rsidRDefault="00207C3A" w:rsidP="00270BC4">
            <w:pPr>
              <w:pStyle w:val="NoIndent"/>
              <w:suppressAutoHyphens/>
              <w:spacing w:line="240" w:lineRule="auto"/>
              <w:jc w:val="center"/>
              <w:rPr>
                <w:lang w:val="en-GB"/>
              </w:rPr>
            </w:pPr>
            <w:r w:rsidRPr="000A5A86">
              <w:rPr>
                <w:lang w:val="en-GB"/>
              </w:rPr>
              <w:t>Peak 2</w:t>
            </w:r>
          </w:p>
          <w:p w14:paraId="4602C2E0" w14:textId="568A8368" w:rsidR="00207C3A" w:rsidRPr="000A5A86" w:rsidRDefault="00207C3A" w:rsidP="00270BC4">
            <w:pPr>
              <w:pStyle w:val="NoIndent"/>
              <w:suppressAutoHyphens/>
              <w:spacing w:line="240" w:lineRule="auto"/>
              <w:jc w:val="center"/>
              <w:rPr>
                <w:lang w:val="en-GB"/>
              </w:rPr>
            </w:pPr>
            <w:r w:rsidRPr="000A5A86">
              <w:rPr>
                <w:lang w:val="en-GB"/>
              </w:rPr>
              <w:t>[nm]</w:t>
            </w:r>
          </w:p>
        </w:tc>
        <w:tc>
          <w:tcPr>
            <w:tcW w:w="910" w:type="pct"/>
            <w:shd w:val="clear" w:color="auto" w:fill="auto"/>
            <w:noWrap/>
            <w:vAlign w:val="center"/>
            <w:hideMark/>
          </w:tcPr>
          <w:p w14:paraId="63ECCDBC" w14:textId="77777777" w:rsidR="00207C3A" w:rsidRPr="000A5A86" w:rsidRDefault="00207C3A" w:rsidP="00270BC4">
            <w:pPr>
              <w:pStyle w:val="NoIndent"/>
              <w:suppressAutoHyphens/>
              <w:spacing w:line="240" w:lineRule="auto"/>
              <w:jc w:val="center"/>
              <w:rPr>
                <w:lang w:val="en-GB"/>
              </w:rPr>
            </w:pPr>
            <w:r w:rsidRPr="000A5A86">
              <w:rPr>
                <w:lang w:val="en-GB"/>
              </w:rPr>
              <w:t>Percent of area 2</w:t>
            </w:r>
          </w:p>
          <w:p w14:paraId="72FAD4F4" w14:textId="26A10E1D" w:rsidR="00207C3A" w:rsidRPr="000A5A86" w:rsidRDefault="00207C3A" w:rsidP="00270BC4">
            <w:pPr>
              <w:pStyle w:val="NoIndent"/>
              <w:suppressAutoHyphens/>
              <w:spacing w:line="240" w:lineRule="auto"/>
              <w:jc w:val="center"/>
              <w:rPr>
                <w:lang w:val="en-GB"/>
              </w:rPr>
            </w:pPr>
            <w:r w:rsidRPr="000A5A86">
              <w:rPr>
                <w:lang w:val="en-GB"/>
              </w:rPr>
              <w:t>[%]</w:t>
            </w:r>
          </w:p>
        </w:tc>
        <w:tc>
          <w:tcPr>
            <w:tcW w:w="757" w:type="pct"/>
            <w:shd w:val="clear" w:color="auto" w:fill="auto"/>
            <w:noWrap/>
            <w:vAlign w:val="center"/>
            <w:hideMark/>
          </w:tcPr>
          <w:p w14:paraId="1AE010E3" w14:textId="77777777" w:rsidR="00207C3A" w:rsidRPr="000A5A86" w:rsidRDefault="00207C3A" w:rsidP="00270BC4">
            <w:pPr>
              <w:pStyle w:val="NoIndent"/>
              <w:suppressAutoHyphens/>
              <w:spacing w:line="240" w:lineRule="auto"/>
              <w:jc w:val="center"/>
              <w:rPr>
                <w:lang w:val="en-GB"/>
              </w:rPr>
            </w:pPr>
            <w:r w:rsidRPr="000A5A86">
              <w:rPr>
                <w:lang w:val="en-GB"/>
              </w:rPr>
              <w:t>Peak 3</w:t>
            </w:r>
          </w:p>
          <w:p w14:paraId="1BC87CB8" w14:textId="20F4A1B8" w:rsidR="00207C3A" w:rsidRPr="000A5A86" w:rsidRDefault="00207C3A" w:rsidP="00270BC4">
            <w:pPr>
              <w:pStyle w:val="NoIndent"/>
              <w:suppressAutoHyphens/>
              <w:spacing w:line="240" w:lineRule="auto"/>
              <w:jc w:val="center"/>
              <w:rPr>
                <w:lang w:val="en-GB"/>
              </w:rPr>
            </w:pPr>
            <w:r w:rsidRPr="000A5A86">
              <w:rPr>
                <w:lang w:val="en-GB"/>
              </w:rPr>
              <w:t>[nm]</w:t>
            </w:r>
          </w:p>
        </w:tc>
        <w:tc>
          <w:tcPr>
            <w:tcW w:w="873" w:type="pct"/>
            <w:shd w:val="clear" w:color="auto" w:fill="auto"/>
            <w:noWrap/>
            <w:vAlign w:val="center"/>
            <w:hideMark/>
          </w:tcPr>
          <w:p w14:paraId="75655DDB" w14:textId="77777777" w:rsidR="00207C3A" w:rsidRPr="000A5A86" w:rsidRDefault="00207C3A" w:rsidP="00270BC4">
            <w:pPr>
              <w:pStyle w:val="NoIndent"/>
              <w:suppressAutoHyphens/>
              <w:spacing w:line="240" w:lineRule="auto"/>
              <w:jc w:val="center"/>
              <w:rPr>
                <w:lang w:val="en-GB"/>
              </w:rPr>
            </w:pPr>
            <w:r w:rsidRPr="000A5A86">
              <w:rPr>
                <w:lang w:val="en-GB"/>
              </w:rPr>
              <w:t>Percent of area 3</w:t>
            </w:r>
          </w:p>
          <w:p w14:paraId="4CCE918B" w14:textId="77777777" w:rsidR="00207C3A" w:rsidRPr="000A5A86" w:rsidRDefault="00207C3A" w:rsidP="00270BC4">
            <w:pPr>
              <w:pStyle w:val="NoIndent"/>
              <w:suppressAutoHyphens/>
              <w:spacing w:line="240" w:lineRule="auto"/>
              <w:jc w:val="center"/>
              <w:rPr>
                <w:lang w:val="en-GB"/>
              </w:rPr>
            </w:pPr>
            <w:r w:rsidRPr="000A5A86">
              <w:rPr>
                <w:lang w:val="en-GB"/>
              </w:rPr>
              <w:t>[%]</w:t>
            </w:r>
          </w:p>
        </w:tc>
      </w:tr>
      <w:tr w:rsidR="00FC6B84" w:rsidRPr="000A5A86" w14:paraId="0C4FB266" w14:textId="77777777" w:rsidTr="00293C6E">
        <w:trPr>
          <w:trHeight w:val="276"/>
          <w:jc w:val="center"/>
        </w:trPr>
        <w:tc>
          <w:tcPr>
            <w:tcW w:w="871" w:type="pct"/>
            <w:shd w:val="clear" w:color="auto" w:fill="auto"/>
            <w:noWrap/>
            <w:vAlign w:val="center"/>
            <w:hideMark/>
          </w:tcPr>
          <w:p w14:paraId="5C2D1078" w14:textId="5D44A753" w:rsidR="00207C3A" w:rsidRPr="000A5A86" w:rsidRDefault="00207C3A" w:rsidP="00270BC4">
            <w:pPr>
              <w:pStyle w:val="NoIndent"/>
              <w:suppressAutoHyphens/>
              <w:spacing w:line="240" w:lineRule="auto"/>
              <w:jc w:val="center"/>
              <w:rPr>
                <w:lang w:val="en-GB"/>
              </w:rPr>
            </w:pPr>
            <w:r w:rsidRPr="000A5A86">
              <w:rPr>
                <w:lang w:val="en-GB"/>
              </w:rPr>
              <w:t>208</w:t>
            </w:r>
            <w:r w:rsidR="00AA4A26" w:rsidRPr="000A5A86">
              <w:rPr>
                <w:lang w:val="en-GB"/>
              </w:rPr>
              <w:t>.</w:t>
            </w:r>
            <w:r w:rsidRPr="000A5A86">
              <w:rPr>
                <w:lang w:val="en-GB"/>
              </w:rPr>
              <w:t>3</w:t>
            </w:r>
          </w:p>
        </w:tc>
        <w:tc>
          <w:tcPr>
            <w:tcW w:w="941" w:type="pct"/>
            <w:shd w:val="clear" w:color="auto" w:fill="auto"/>
            <w:noWrap/>
            <w:vAlign w:val="center"/>
            <w:hideMark/>
          </w:tcPr>
          <w:p w14:paraId="47DDA296"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1CB329EA"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205BAC2F"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77E9470F"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4B580F4C"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26488453" w14:textId="77777777" w:rsidTr="00293C6E">
        <w:trPr>
          <w:trHeight w:val="276"/>
          <w:jc w:val="center"/>
        </w:trPr>
        <w:tc>
          <w:tcPr>
            <w:tcW w:w="871" w:type="pct"/>
            <w:shd w:val="clear" w:color="auto" w:fill="auto"/>
            <w:noWrap/>
            <w:vAlign w:val="center"/>
            <w:hideMark/>
          </w:tcPr>
          <w:p w14:paraId="6D9EBF52" w14:textId="3B053C6F" w:rsidR="00207C3A" w:rsidRPr="000A5A86" w:rsidRDefault="00207C3A" w:rsidP="00270BC4">
            <w:pPr>
              <w:pStyle w:val="NoIndent"/>
              <w:suppressAutoHyphens/>
              <w:spacing w:line="240" w:lineRule="auto"/>
              <w:jc w:val="center"/>
              <w:rPr>
                <w:lang w:val="en-GB"/>
              </w:rPr>
            </w:pPr>
            <w:r w:rsidRPr="000A5A86">
              <w:rPr>
                <w:lang w:val="en-GB"/>
              </w:rPr>
              <w:t>202</w:t>
            </w:r>
            <w:r w:rsidR="00AA4A26" w:rsidRPr="000A5A86">
              <w:rPr>
                <w:lang w:val="en-GB"/>
              </w:rPr>
              <w:t>.</w:t>
            </w:r>
            <w:r w:rsidRPr="000A5A86">
              <w:rPr>
                <w:lang w:val="en-GB"/>
              </w:rPr>
              <w:t>3</w:t>
            </w:r>
          </w:p>
        </w:tc>
        <w:tc>
          <w:tcPr>
            <w:tcW w:w="941" w:type="pct"/>
            <w:shd w:val="clear" w:color="auto" w:fill="auto"/>
            <w:noWrap/>
            <w:vAlign w:val="center"/>
            <w:hideMark/>
          </w:tcPr>
          <w:p w14:paraId="7E1EAB1D"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7997815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44494EDA"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4B62EB38"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2CE69E02"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629330DC" w14:textId="77777777" w:rsidTr="00293C6E">
        <w:trPr>
          <w:trHeight w:val="276"/>
          <w:jc w:val="center"/>
        </w:trPr>
        <w:tc>
          <w:tcPr>
            <w:tcW w:w="871" w:type="pct"/>
            <w:shd w:val="clear" w:color="auto" w:fill="auto"/>
            <w:noWrap/>
            <w:vAlign w:val="center"/>
            <w:hideMark/>
          </w:tcPr>
          <w:p w14:paraId="477F77C0" w14:textId="4AC205A6" w:rsidR="00207C3A" w:rsidRPr="000A5A86" w:rsidRDefault="00207C3A" w:rsidP="00270BC4">
            <w:pPr>
              <w:pStyle w:val="NoIndent"/>
              <w:suppressAutoHyphens/>
              <w:spacing w:line="240" w:lineRule="auto"/>
              <w:jc w:val="center"/>
              <w:rPr>
                <w:lang w:val="en-GB"/>
              </w:rPr>
            </w:pPr>
            <w:r w:rsidRPr="000A5A86">
              <w:rPr>
                <w:lang w:val="en-GB"/>
              </w:rPr>
              <w:t>204</w:t>
            </w:r>
            <w:r w:rsidR="00AA4A26" w:rsidRPr="000A5A86">
              <w:rPr>
                <w:lang w:val="en-GB"/>
              </w:rPr>
              <w:t>.</w:t>
            </w:r>
            <w:r w:rsidRPr="000A5A86">
              <w:rPr>
                <w:lang w:val="en-GB"/>
              </w:rPr>
              <w:t>0</w:t>
            </w:r>
          </w:p>
        </w:tc>
        <w:tc>
          <w:tcPr>
            <w:tcW w:w="941" w:type="pct"/>
            <w:shd w:val="clear" w:color="auto" w:fill="auto"/>
            <w:noWrap/>
            <w:vAlign w:val="center"/>
            <w:hideMark/>
          </w:tcPr>
          <w:p w14:paraId="0021CC22"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2BA0DD7D"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555DD389"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0B890FCE"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24300DEE"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7EE54768" w14:textId="77777777" w:rsidTr="00293C6E">
        <w:trPr>
          <w:trHeight w:val="276"/>
          <w:jc w:val="center"/>
        </w:trPr>
        <w:tc>
          <w:tcPr>
            <w:tcW w:w="871" w:type="pct"/>
            <w:shd w:val="clear" w:color="auto" w:fill="auto"/>
            <w:noWrap/>
            <w:vAlign w:val="center"/>
            <w:hideMark/>
          </w:tcPr>
          <w:p w14:paraId="2B7BDD7B" w14:textId="3D5E311F" w:rsidR="00207C3A" w:rsidRPr="000A5A86" w:rsidRDefault="00207C3A" w:rsidP="00270BC4">
            <w:pPr>
              <w:pStyle w:val="NoIndent"/>
              <w:suppressAutoHyphens/>
              <w:spacing w:line="240" w:lineRule="auto"/>
              <w:jc w:val="center"/>
              <w:rPr>
                <w:lang w:val="en-GB"/>
              </w:rPr>
            </w:pPr>
            <w:r w:rsidRPr="000A5A86">
              <w:rPr>
                <w:lang w:val="en-GB"/>
              </w:rPr>
              <w:t>203</w:t>
            </w:r>
            <w:r w:rsidR="00AA4A26" w:rsidRPr="000A5A86">
              <w:rPr>
                <w:lang w:val="en-GB"/>
              </w:rPr>
              <w:t>.</w:t>
            </w:r>
            <w:r w:rsidRPr="000A5A86">
              <w:rPr>
                <w:lang w:val="en-GB"/>
              </w:rPr>
              <w:t>9</w:t>
            </w:r>
          </w:p>
        </w:tc>
        <w:tc>
          <w:tcPr>
            <w:tcW w:w="941" w:type="pct"/>
            <w:shd w:val="clear" w:color="auto" w:fill="auto"/>
            <w:noWrap/>
            <w:vAlign w:val="center"/>
            <w:hideMark/>
          </w:tcPr>
          <w:p w14:paraId="49EC9472"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1407AE50"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05B6DED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538EFB20"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2F44D67D"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626C4B9E" w14:textId="77777777" w:rsidTr="00293C6E">
        <w:trPr>
          <w:trHeight w:val="276"/>
          <w:jc w:val="center"/>
        </w:trPr>
        <w:tc>
          <w:tcPr>
            <w:tcW w:w="871" w:type="pct"/>
            <w:shd w:val="clear" w:color="auto" w:fill="auto"/>
            <w:noWrap/>
            <w:vAlign w:val="center"/>
            <w:hideMark/>
          </w:tcPr>
          <w:p w14:paraId="13A3CF67" w14:textId="50957C8F" w:rsidR="00207C3A" w:rsidRPr="000A5A86" w:rsidRDefault="00207C3A" w:rsidP="00270BC4">
            <w:pPr>
              <w:pStyle w:val="NoIndent"/>
              <w:suppressAutoHyphens/>
              <w:spacing w:line="240" w:lineRule="auto"/>
              <w:jc w:val="center"/>
              <w:rPr>
                <w:lang w:val="en-GB"/>
              </w:rPr>
            </w:pPr>
            <w:r w:rsidRPr="000A5A86">
              <w:rPr>
                <w:lang w:val="en-GB"/>
              </w:rPr>
              <w:t>224</w:t>
            </w:r>
            <w:r w:rsidR="00AA4A26" w:rsidRPr="000A5A86">
              <w:rPr>
                <w:lang w:val="en-GB"/>
              </w:rPr>
              <w:t>.</w:t>
            </w:r>
            <w:r w:rsidRPr="000A5A86">
              <w:rPr>
                <w:lang w:val="en-GB"/>
              </w:rPr>
              <w:t>8</w:t>
            </w:r>
          </w:p>
        </w:tc>
        <w:tc>
          <w:tcPr>
            <w:tcW w:w="941" w:type="pct"/>
            <w:shd w:val="clear" w:color="auto" w:fill="auto"/>
            <w:noWrap/>
            <w:vAlign w:val="center"/>
            <w:hideMark/>
          </w:tcPr>
          <w:p w14:paraId="0E585BD1"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6EC719A5"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672FBC09"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2D4D9118"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13C407CF"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063DB5B5" w14:textId="77777777" w:rsidTr="00293C6E">
        <w:trPr>
          <w:trHeight w:val="276"/>
          <w:jc w:val="center"/>
        </w:trPr>
        <w:tc>
          <w:tcPr>
            <w:tcW w:w="871" w:type="pct"/>
            <w:shd w:val="clear" w:color="auto" w:fill="auto"/>
            <w:noWrap/>
            <w:vAlign w:val="center"/>
            <w:hideMark/>
          </w:tcPr>
          <w:p w14:paraId="1307411F" w14:textId="3219294F" w:rsidR="00207C3A" w:rsidRPr="000A5A86" w:rsidRDefault="00207C3A" w:rsidP="00270BC4">
            <w:pPr>
              <w:pStyle w:val="NoIndent"/>
              <w:suppressAutoHyphens/>
              <w:spacing w:line="240" w:lineRule="auto"/>
              <w:jc w:val="center"/>
              <w:rPr>
                <w:lang w:val="en-GB"/>
              </w:rPr>
            </w:pPr>
            <w:r w:rsidRPr="000A5A86">
              <w:rPr>
                <w:lang w:val="en-GB"/>
              </w:rPr>
              <w:t>213</w:t>
            </w:r>
            <w:r w:rsidR="00AA4A26" w:rsidRPr="000A5A86">
              <w:rPr>
                <w:lang w:val="en-GB"/>
              </w:rPr>
              <w:t>.</w:t>
            </w:r>
            <w:r w:rsidRPr="000A5A86">
              <w:rPr>
                <w:lang w:val="en-GB"/>
              </w:rPr>
              <w:t>4</w:t>
            </w:r>
          </w:p>
        </w:tc>
        <w:tc>
          <w:tcPr>
            <w:tcW w:w="941" w:type="pct"/>
            <w:shd w:val="clear" w:color="auto" w:fill="auto"/>
            <w:noWrap/>
            <w:vAlign w:val="center"/>
            <w:hideMark/>
          </w:tcPr>
          <w:p w14:paraId="1859EB8D"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4CAE36EB"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527DC62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3E2714B7"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7C528ED0"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533B94E7" w14:textId="77777777" w:rsidTr="00293C6E">
        <w:trPr>
          <w:trHeight w:val="276"/>
          <w:jc w:val="center"/>
        </w:trPr>
        <w:tc>
          <w:tcPr>
            <w:tcW w:w="871" w:type="pct"/>
            <w:shd w:val="clear" w:color="auto" w:fill="auto"/>
            <w:noWrap/>
            <w:vAlign w:val="center"/>
            <w:hideMark/>
          </w:tcPr>
          <w:p w14:paraId="5F588B1C" w14:textId="196B6CE8" w:rsidR="00207C3A" w:rsidRPr="000A5A86" w:rsidRDefault="00207C3A" w:rsidP="00270BC4">
            <w:pPr>
              <w:pStyle w:val="NoIndent"/>
              <w:suppressAutoHyphens/>
              <w:spacing w:line="240" w:lineRule="auto"/>
              <w:jc w:val="center"/>
              <w:rPr>
                <w:lang w:val="en-GB"/>
              </w:rPr>
            </w:pPr>
            <w:r w:rsidRPr="000A5A86">
              <w:rPr>
                <w:lang w:val="en-GB"/>
              </w:rPr>
              <w:t>223</w:t>
            </w:r>
            <w:r w:rsidR="00AA4A26" w:rsidRPr="000A5A86">
              <w:rPr>
                <w:lang w:val="en-GB"/>
              </w:rPr>
              <w:t>.</w:t>
            </w:r>
            <w:r w:rsidRPr="000A5A86">
              <w:rPr>
                <w:lang w:val="en-GB"/>
              </w:rPr>
              <w:t>6</w:t>
            </w:r>
          </w:p>
        </w:tc>
        <w:tc>
          <w:tcPr>
            <w:tcW w:w="941" w:type="pct"/>
            <w:shd w:val="clear" w:color="auto" w:fill="auto"/>
            <w:noWrap/>
            <w:vAlign w:val="center"/>
            <w:hideMark/>
          </w:tcPr>
          <w:p w14:paraId="62DD8790" w14:textId="4BE4CAD0" w:rsidR="00207C3A" w:rsidRPr="000A5A86" w:rsidRDefault="00207C3A" w:rsidP="00270BC4">
            <w:pPr>
              <w:pStyle w:val="NoIndent"/>
              <w:suppressAutoHyphens/>
              <w:spacing w:line="240" w:lineRule="auto"/>
              <w:jc w:val="center"/>
              <w:rPr>
                <w:lang w:val="en-GB"/>
              </w:rPr>
            </w:pPr>
            <w:r w:rsidRPr="000A5A86">
              <w:rPr>
                <w:lang w:val="en-GB"/>
              </w:rPr>
              <w:t>97</w:t>
            </w:r>
            <w:r w:rsidR="00AA4A26" w:rsidRPr="000A5A86">
              <w:rPr>
                <w:lang w:val="en-GB"/>
              </w:rPr>
              <w:t>.</w:t>
            </w:r>
            <w:r w:rsidRPr="000A5A86">
              <w:rPr>
                <w:lang w:val="en-GB"/>
              </w:rPr>
              <w:t>4</w:t>
            </w:r>
          </w:p>
        </w:tc>
        <w:tc>
          <w:tcPr>
            <w:tcW w:w="649" w:type="pct"/>
            <w:shd w:val="clear" w:color="auto" w:fill="auto"/>
            <w:noWrap/>
            <w:vAlign w:val="center"/>
            <w:hideMark/>
          </w:tcPr>
          <w:p w14:paraId="67A689B5" w14:textId="5E2848DE" w:rsidR="00207C3A" w:rsidRPr="000A5A86" w:rsidRDefault="00207C3A" w:rsidP="00270BC4">
            <w:pPr>
              <w:pStyle w:val="NoIndent"/>
              <w:suppressAutoHyphens/>
              <w:spacing w:line="240" w:lineRule="auto"/>
              <w:jc w:val="center"/>
              <w:rPr>
                <w:lang w:val="en-GB"/>
              </w:rPr>
            </w:pPr>
            <w:r w:rsidRPr="000A5A86">
              <w:rPr>
                <w:lang w:val="en-GB"/>
              </w:rPr>
              <w:t>30</w:t>
            </w:r>
            <w:r w:rsidR="00AA4A26" w:rsidRPr="000A5A86">
              <w:rPr>
                <w:lang w:val="en-GB"/>
              </w:rPr>
              <w:t>.</w:t>
            </w:r>
            <w:r w:rsidRPr="000A5A86">
              <w:rPr>
                <w:lang w:val="en-GB"/>
              </w:rPr>
              <w:t>5</w:t>
            </w:r>
          </w:p>
        </w:tc>
        <w:tc>
          <w:tcPr>
            <w:tcW w:w="910" w:type="pct"/>
            <w:shd w:val="clear" w:color="auto" w:fill="auto"/>
            <w:noWrap/>
            <w:vAlign w:val="center"/>
            <w:hideMark/>
          </w:tcPr>
          <w:p w14:paraId="7AFDE241" w14:textId="2B35D5F6" w:rsidR="00207C3A" w:rsidRPr="000A5A86" w:rsidRDefault="00207C3A" w:rsidP="00270BC4">
            <w:pPr>
              <w:pStyle w:val="NoIndent"/>
              <w:suppressAutoHyphens/>
              <w:spacing w:line="240" w:lineRule="auto"/>
              <w:jc w:val="center"/>
              <w:rPr>
                <w:lang w:val="en-GB"/>
              </w:rPr>
            </w:pPr>
            <w:r w:rsidRPr="000A5A86">
              <w:rPr>
                <w:lang w:val="en-GB"/>
              </w:rPr>
              <w:t>2</w:t>
            </w:r>
            <w:r w:rsidR="00AA4A26" w:rsidRPr="000A5A86">
              <w:rPr>
                <w:lang w:val="en-GB"/>
              </w:rPr>
              <w:t>.</w:t>
            </w:r>
            <w:r w:rsidRPr="000A5A86">
              <w:rPr>
                <w:lang w:val="en-GB"/>
              </w:rPr>
              <w:t>6</w:t>
            </w:r>
          </w:p>
        </w:tc>
        <w:tc>
          <w:tcPr>
            <w:tcW w:w="757" w:type="pct"/>
            <w:shd w:val="clear" w:color="auto" w:fill="auto"/>
            <w:noWrap/>
            <w:vAlign w:val="center"/>
            <w:hideMark/>
          </w:tcPr>
          <w:p w14:paraId="78DDE154"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731A4E52"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2C318603" w14:textId="77777777" w:rsidTr="00293C6E">
        <w:trPr>
          <w:trHeight w:val="276"/>
          <w:jc w:val="center"/>
        </w:trPr>
        <w:tc>
          <w:tcPr>
            <w:tcW w:w="871" w:type="pct"/>
            <w:shd w:val="clear" w:color="auto" w:fill="auto"/>
            <w:noWrap/>
            <w:vAlign w:val="center"/>
            <w:hideMark/>
          </w:tcPr>
          <w:p w14:paraId="4893595B" w14:textId="62B52226" w:rsidR="00207C3A" w:rsidRPr="000A5A86" w:rsidRDefault="00207C3A" w:rsidP="00270BC4">
            <w:pPr>
              <w:pStyle w:val="NoIndent"/>
              <w:suppressAutoHyphens/>
              <w:spacing w:line="240" w:lineRule="auto"/>
              <w:jc w:val="center"/>
              <w:rPr>
                <w:lang w:val="en-GB"/>
              </w:rPr>
            </w:pPr>
            <w:r w:rsidRPr="000A5A86">
              <w:rPr>
                <w:lang w:val="en-GB"/>
              </w:rPr>
              <w:t>220</w:t>
            </w:r>
            <w:r w:rsidR="00AA4A26" w:rsidRPr="000A5A86">
              <w:rPr>
                <w:lang w:val="en-GB"/>
              </w:rPr>
              <w:t>.</w:t>
            </w:r>
            <w:r w:rsidRPr="000A5A86">
              <w:rPr>
                <w:lang w:val="en-GB"/>
              </w:rPr>
              <w:t>6</w:t>
            </w:r>
          </w:p>
        </w:tc>
        <w:tc>
          <w:tcPr>
            <w:tcW w:w="941" w:type="pct"/>
            <w:shd w:val="clear" w:color="auto" w:fill="auto"/>
            <w:noWrap/>
            <w:vAlign w:val="center"/>
            <w:hideMark/>
          </w:tcPr>
          <w:p w14:paraId="57D7D771"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0E70ECA9"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1D33C45F"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66013418"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573876C7"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FC6B84" w:rsidRPr="000A5A86" w14:paraId="607E3B35" w14:textId="77777777" w:rsidTr="00293C6E">
        <w:trPr>
          <w:trHeight w:val="276"/>
          <w:jc w:val="center"/>
        </w:trPr>
        <w:tc>
          <w:tcPr>
            <w:tcW w:w="871" w:type="pct"/>
            <w:shd w:val="clear" w:color="auto" w:fill="auto"/>
            <w:noWrap/>
            <w:vAlign w:val="center"/>
            <w:hideMark/>
          </w:tcPr>
          <w:p w14:paraId="23F25B96" w14:textId="4F369EAA" w:rsidR="00207C3A" w:rsidRPr="000A5A86" w:rsidRDefault="00207C3A" w:rsidP="00270BC4">
            <w:pPr>
              <w:pStyle w:val="NoIndent"/>
              <w:suppressAutoHyphens/>
              <w:spacing w:line="240" w:lineRule="auto"/>
              <w:jc w:val="center"/>
              <w:rPr>
                <w:lang w:val="en-GB"/>
              </w:rPr>
            </w:pPr>
            <w:r w:rsidRPr="000A5A86">
              <w:rPr>
                <w:lang w:val="en-GB"/>
              </w:rPr>
              <w:t>223</w:t>
            </w:r>
            <w:r w:rsidR="00AA4A26" w:rsidRPr="000A5A86">
              <w:rPr>
                <w:lang w:val="en-GB"/>
              </w:rPr>
              <w:t>.</w:t>
            </w:r>
            <w:r w:rsidRPr="000A5A86">
              <w:rPr>
                <w:lang w:val="en-GB"/>
              </w:rPr>
              <w:t>4</w:t>
            </w:r>
          </w:p>
        </w:tc>
        <w:tc>
          <w:tcPr>
            <w:tcW w:w="941" w:type="pct"/>
            <w:shd w:val="clear" w:color="auto" w:fill="auto"/>
            <w:noWrap/>
            <w:vAlign w:val="center"/>
            <w:hideMark/>
          </w:tcPr>
          <w:p w14:paraId="23B0431E" w14:textId="3B48CD50" w:rsidR="00207C3A" w:rsidRPr="000A5A86" w:rsidRDefault="00207C3A" w:rsidP="00270BC4">
            <w:pPr>
              <w:pStyle w:val="NoIndent"/>
              <w:suppressAutoHyphens/>
              <w:spacing w:line="240" w:lineRule="auto"/>
              <w:jc w:val="center"/>
              <w:rPr>
                <w:lang w:val="en-GB"/>
              </w:rPr>
            </w:pPr>
            <w:r w:rsidRPr="000A5A86">
              <w:rPr>
                <w:lang w:val="en-GB"/>
              </w:rPr>
              <w:t>98</w:t>
            </w:r>
            <w:r w:rsidR="00AA4A26" w:rsidRPr="000A5A86">
              <w:rPr>
                <w:lang w:val="en-GB"/>
              </w:rPr>
              <w:t>.</w:t>
            </w:r>
            <w:r w:rsidRPr="000A5A86">
              <w:rPr>
                <w:lang w:val="en-GB"/>
              </w:rPr>
              <w:t>7</w:t>
            </w:r>
          </w:p>
        </w:tc>
        <w:tc>
          <w:tcPr>
            <w:tcW w:w="649" w:type="pct"/>
            <w:shd w:val="clear" w:color="auto" w:fill="auto"/>
            <w:noWrap/>
            <w:vAlign w:val="center"/>
            <w:hideMark/>
          </w:tcPr>
          <w:p w14:paraId="3C0B942A" w14:textId="3AA646D6" w:rsidR="00207C3A" w:rsidRPr="000A5A86" w:rsidRDefault="00207C3A" w:rsidP="00270BC4">
            <w:pPr>
              <w:pStyle w:val="NoIndent"/>
              <w:suppressAutoHyphens/>
              <w:spacing w:line="240" w:lineRule="auto"/>
              <w:jc w:val="center"/>
              <w:rPr>
                <w:lang w:val="en-GB"/>
              </w:rPr>
            </w:pPr>
            <w:r w:rsidRPr="000A5A86">
              <w:rPr>
                <w:lang w:val="en-GB"/>
              </w:rPr>
              <w:t>24</w:t>
            </w:r>
            <w:r w:rsidR="00AA4A26" w:rsidRPr="000A5A86">
              <w:rPr>
                <w:lang w:val="en-GB"/>
              </w:rPr>
              <w:t>.</w:t>
            </w:r>
            <w:r w:rsidRPr="000A5A86">
              <w:rPr>
                <w:lang w:val="en-GB"/>
              </w:rPr>
              <w:t>98</w:t>
            </w:r>
          </w:p>
        </w:tc>
        <w:tc>
          <w:tcPr>
            <w:tcW w:w="910" w:type="pct"/>
            <w:shd w:val="clear" w:color="auto" w:fill="auto"/>
            <w:noWrap/>
            <w:vAlign w:val="center"/>
            <w:hideMark/>
          </w:tcPr>
          <w:p w14:paraId="233FE6ED" w14:textId="713898ED" w:rsidR="00207C3A" w:rsidRPr="000A5A86" w:rsidRDefault="00207C3A" w:rsidP="00270BC4">
            <w:pPr>
              <w:pStyle w:val="NoIndent"/>
              <w:suppressAutoHyphens/>
              <w:spacing w:line="240" w:lineRule="auto"/>
              <w:jc w:val="center"/>
              <w:rPr>
                <w:lang w:val="en-GB"/>
              </w:rPr>
            </w:pPr>
            <w:r w:rsidRPr="000A5A86">
              <w:rPr>
                <w:lang w:val="en-GB"/>
              </w:rPr>
              <w:t>1</w:t>
            </w:r>
            <w:r w:rsidR="00AA4A26" w:rsidRPr="000A5A86">
              <w:rPr>
                <w:lang w:val="en-GB"/>
              </w:rPr>
              <w:t>.</w:t>
            </w:r>
            <w:r w:rsidRPr="000A5A86">
              <w:rPr>
                <w:lang w:val="en-GB"/>
              </w:rPr>
              <w:t>3</w:t>
            </w:r>
          </w:p>
        </w:tc>
        <w:tc>
          <w:tcPr>
            <w:tcW w:w="757" w:type="pct"/>
            <w:shd w:val="clear" w:color="auto" w:fill="auto"/>
            <w:noWrap/>
            <w:vAlign w:val="center"/>
            <w:hideMark/>
          </w:tcPr>
          <w:p w14:paraId="658AD981"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1AC707AD"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6F2E08" w:rsidRPr="000A5A86" w14:paraId="503F8703" w14:textId="77777777" w:rsidTr="00293C6E">
        <w:trPr>
          <w:trHeight w:val="276"/>
          <w:jc w:val="center"/>
        </w:trPr>
        <w:tc>
          <w:tcPr>
            <w:tcW w:w="871" w:type="pct"/>
            <w:shd w:val="clear" w:color="auto" w:fill="auto"/>
            <w:noWrap/>
            <w:vAlign w:val="center"/>
            <w:hideMark/>
          </w:tcPr>
          <w:p w14:paraId="031D88DE" w14:textId="11FAB0F3" w:rsidR="00207C3A" w:rsidRPr="000A5A86" w:rsidRDefault="00207C3A" w:rsidP="00270BC4">
            <w:pPr>
              <w:pStyle w:val="NoIndent"/>
              <w:suppressAutoHyphens/>
              <w:spacing w:line="240" w:lineRule="auto"/>
              <w:jc w:val="center"/>
              <w:rPr>
                <w:lang w:val="en-GB"/>
              </w:rPr>
            </w:pPr>
            <w:r w:rsidRPr="000A5A86">
              <w:rPr>
                <w:lang w:val="en-GB"/>
              </w:rPr>
              <w:t>221</w:t>
            </w:r>
            <w:r w:rsidR="00AA4A26" w:rsidRPr="000A5A86">
              <w:rPr>
                <w:lang w:val="en-GB"/>
              </w:rPr>
              <w:t>.</w:t>
            </w:r>
            <w:r w:rsidRPr="000A5A86">
              <w:rPr>
                <w:lang w:val="en-GB"/>
              </w:rPr>
              <w:t>8</w:t>
            </w:r>
          </w:p>
        </w:tc>
        <w:tc>
          <w:tcPr>
            <w:tcW w:w="941" w:type="pct"/>
            <w:shd w:val="clear" w:color="auto" w:fill="auto"/>
            <w:noWrap/>
            <w:vAlign w:val="center"/>
            <w:hideMark/>
          </w:tcPr>
          <w:p w14:paraId="1F185736"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49" w:type="pct"/>
            <w:shd w:val="clear" w:color="auto" w:fill="auto"/>
            <w:noWrap/>
            <w:vAlign w:val="center"/>
            <w:hideMark/>
          </w:tcPr>
          <w:p w14:paraId="03D66CB1"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910" w:type="pct"/>
            <w:shd w:val="clear" w:color="auto" w:fill="auto"/>
            <w:noWrap/>
            <w:vAlign w:val="center"/>
            <w:hideMark/>
          </w:tcPr>
          <w:p w14:paraId="5414840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757" w:type="pct"/>
            <w:shd w:val="clear" w:color="auto" w:fill="auto"/>
            <w:noWrap/>
            <w:vAlign w:val="center"/>
            <w:hideMark/>
          </w:tcPr>
          <w:p w14:paraId="32194C65"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873" w:type="pct"/>
            <w:shd w:val="clear" w:color="auto" w:fill="auto"/>
            <w:noWrap/>
            <w:vAlign w:val="center"/>
            <w:hideMark/>
          </w:tcPr>
          <w:p w14:paraId="0F948859" w14:textId="77777777" w:rsidR="00207C3A" w:rsidRPr="000A5A86" w:rsidRDefault="00207C3A" w:rsidP="00270BC4">
            <w:pPr>
              <w:pStyle w:val="NoIndent"/>
              <w:suppressAutoHyphens/>
              <w:spacing w:line="240" w:lineRule="auto"/>
              <w:jc w:val="center"/>
              <w:rPr>
                <w:lang w:val="en-GB"/>
              </w:rPr>
            </w:pPr>
            <w:r w:rsidRPr="000A5A86">
              <w:rPr>
                <w:lang w:val="en-GB"/>
              </w:rPr>
              <w:t>0</w:t>
            </w:r>
          </w:p>
        </w:tc>
      </w:tr>
    </w:tbl>
    <w:p w14:paraId="5E900E7C" w14:textId="5788875B" w:rsidR="00207C3A" w:rsidRPr="006F2E08" w:rsidRDefault="00207C3A" w:rsidP="006F2E08">
      <w:pPr>
        <w:spacing w:before="0" w:after="0" w:line="240" w:lineRule="auto"/>
        <w:ind w:firstLine="284"/>
        <w:rPr>
          <w:rFonts w:eastAsia="Calibri"/>
          <w:sz w:val="22"/>
          <w:szCs w:val="22"/>
          <w:lang w:val="en-GB" w:eastAsia="en-US"/>
        </w:rPr>
      </w:pPr>
    </w:p>
    <w:p w14:paraId="2BBDA5DF" w14:textId="1701E78A" w:rsidR="00207C3A" w:rsidRPr="006F2E08" w:rsidRDefault="00207C3A" w:rsidP="006F2E08">
      <w:pPr>
        <w:spacing w:before="0" w:after="0" w:line="240" w:lineRule="auto"/>
        <w:ind w:firstLine="284"/>
        <w:rPr>
          <w:rFonts w:eastAsia="Calibri"/>
          <w:sz w:val="22"/>
          <w:szCs w:val="22"/>
          <w:lang w:val="en-GB" w:eastAsia="en-US"/>
        </w:rPr>
      </w:pPr>
      <w:r w:rsidRPr="006F2E08">
        <w:rPr>
          <w:rFonts w:eastAsia="Calibri"/>
          <w:sz w:val="22"/>
          <w:szCs w:val="22"/>
          <w:lang w:val="en-GB" w:eastAsia="en-US"/>
        </w:rPr>
        <w:t>Another very important aspect shown in Figures 1 and 2 is the distribution of individual peaks. It is very close</w:t>
      </w:r>
      <w:r w:rsidR="00405F9E">
        <w:rPr>
          <w:rFonts w:eastAsia="Calibri"/>
          <w:sz w:val="22"/>
          <w:szCs w:val="22"/>
          <w:lang w:val="en-GB" w:eastAsia="en-US"/>
        </w:rPr>
        <w:t>,</w:t>
      </w:r>
      <w:r w:rsidRPr="006F2E08">
        <w:rPr>
          <w:rFonts w:eastAsia="Calibri"/>
          <w:sz w:val="22"/>
          <w:szCs w:val="22"/>
          <w:lang w:val="en-GB" w:eastAsia="en-US"/>
        </w:rPr>
        <w:t xml:space="preserve"> and only a few peaks fall outside the average area range. </w:t>
      </w:r>
      <w:r w:rsidR="00405F9E">
        <w:rPr>
          <w:rFonts w:eastAsia="Calibri"/>
          <w:sz w:val="22"/>
          <w:szCs w:val="22"/>
          <w:lang w:val="en-GB" w:eastAsia="en-US"/>
        </w:rPr>
        <w:t>It</w:t>
      </w:r>
      <w:r w:rsidRPr="006F2E08">
        <w:rPr>
          <w:rFonts w:eastAsia="Calibri"/>
          <w:sz w:val="22"/>
          <w:szCs w:val="22"/>
          <w:lang w:val="en-GB" w:eastAsia="en-US"/>
        </w:rPr>
        <w:t xml:space="preserve"> suggests a homogeneous preparation of all samples for testing, and peaks above 1000 and those below 100 </w:t>
      </w:r>
      <w:proofErr w:type="spellStart"/>
      <w:r w:rsidRPr="006F2E08">
        <w:rPr>
          <w:rFonts w:eastAsia="Calibri"/>
          <w:sz w:val="22"/>
          <w:szCs w:val="22"/>
          <w:lang w:val="en-GB" w:eastAsia="en-US"/>
        </w:rPr>
        <w:t>nanometers</w:t>
      </w:r>
      <w:proofErr w:type="spellEnd"/>
      <w:r w:rsidRPr="006F2E08">
        <w:rPr>
          <w:rFonts w:eastAsia="Calibri"/>
          <w:sz w:val="22"/>
          <w:szCs w:val="22"/>
          <w:lang w:val="en-GB" w:eastAsia="en-US"/>
        </w:rPr>
        <w:t xml:space="preserve"> represent only a small percentage of the obtained results without constituting a sample base.</w:t>
      </w:r>
    </w:p>
    <w:p w14:paraId="3A313B20" w14:textId="3F1C4C02" w:rsidR="00293C6E" w:rsidRDefault="00293C6E" w:rsidP="006F2E08">
      <w:pPr>
        <w:spacing w:before="0" w:after="0" w:line="240" w:lineRule="auto"/>
        <w:ind w:firstLine="284"/>
        <w:rPr>
          <w:rFonts w:eastAsia="Calibri"/>
          <w:sz w:val="22"/>
          <w:szCs w:val="22"/>
          <w:lang w:val="en-GB" w:eastAsia="en-US"/>
        </w:rPr>
      </w:pPr>
      <w:r w:rsidRPr="006F2E08">
        <w:rPr>
          <w:rFonts w:eastAsia="Calibri"/>
          <w:sz w:val="22"/>
          <w:szCs w:val="22"/>
          <w:lang w:val="en-GB" w:eastAsia="en-US"/>
        </w:rPr>
        <w:t>Figure 1 show</w:t>
      </w:r>
      <w:r w:rsidR="00405F9E">
        <w:rPr>
          <w:rFonts w:eastAsia="Calibri"/>
          <w:sz w:val="22"/>
          <w:szCs w:val="22"/>
          <w:lang w:val="en-GB" w:eastAsia="en-US"/>
        </w:rPr>
        <w:t>s</w:t>
      </w:r>
      <w:r w:rsidRPr="006F2E08">
        <w:rPr>
          <w:rFonts w:eastAsia="Calibri"/>
          <w:sz w:val="22"/>
          <w:szCs w:val="22"/>
          <w:lang w:val="en-GB" w:eastAsia="en-US"/>
        </w:rPr>
        <w:t xml:space="preserve"> the distribution of the peaks for individual samples containing PET.</w:t>
      </w:r>
    </w:p>
    <w:p w14:paraId="2BE6A307" w14:textId="77777777" w:rsidR="000A5A86" w:rsidRPr="006F2E08" w:rsidRDefault="000A5A86" w:rsidP="006F2E08">
      <w:pPr>
        <w:spacing w:before="0" w:after="0" w:line="240" w:lineRule="auto"/>
        <w:ind w:firstLine="284"/>
        <w:rPr>
          <w:rFonts w:eastAsia="Calibri"/>
          <w:sz w:val="22"/>
          <w:szCs w:val="22"/>
          <w:lang w:val="en-GB" w:eastAsia="en-US"/>
        </w:rPr>
      </w:pPr>
    </w:p>
    <w:p w14:paraId="615BDA8D" w14:textId="77777777" w:rsidR="00BB4497" w:rsidRPr="006F2E08" w:rsidRDefault="00BA60B2" w:rsidP="00270BC4">
      <w:pPr>
        <w:suppressAutoHyphens/>
        <w:spacing w:before="0" w:after="0" w:line="240" w:lineRule="auto"/>
        <w:ind w:firstLine="0"/>
        <w:jc w:val="center"/>
        <w:rPr>
          <w:lang w:val="en-GB"/>
        </w:rPr>
      </w:pPr>
      <w:r w:rsidRPr="006F2E08">
        <w:rPr>
          <w:rFonts w:eastAsia="Calibri"/>
          <w:i/>
          <w:noProof/>
          <w:lang w:val="en-GB"/>
        </w:rPr>
        <w:drawing>
          <wp:inline distT="0" distB="0" distL="0" distR="0" wp14:anchorId="33CFD9A9" wp14:editId="05959328">
            <wp:extent cx="5804950" cy="2568271"/>
            <wp:effectExtent l="0" t="0" r="5715" b="3810"/>
            <wp:docPr id="13" name="Obraz 1" descr="C:\Users\User\Desktop\P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ET.PNG"/>
                    <pic:cNvPicPr>
                      <a:picLocks noChangeAspect="1" noChangeArrowheads="1"/>
                    </pic:cNvPicPr>
                  </pic:nvPicPr>
                  <pic:blipFill rotWithShape="1">
                    <a:blip r:embed="rId17" cstate="print"/>
                    <a:srcRect b="3009"/>
                    <a:stretch/>
                  </pic:blipFill>
                  <pic:spPr bwMode="auto">
                    <a:xfrm>
                      <a:off x="0" y="0"/>
                      <a:ext cx="5836963" cy="2582435"/>
                    </a:xfrm>
                    <a:prstGeom prst="rect">
                      <a:avLst/>
                    </a:prstGeom>
                    <a:noFill/>
                    <a:ln>
                      <a:noFill/>
                    </a:ln>
                    <a:extLst>
                      <a:ext uri="{53640926-AAD7-44D8-BBD7-CCE9431645EC}">
                        <a14:shadowObscured xmlns:a14="http://schemas.microsoft.com/office/drawing/2010/main"/>
                      </a:ext>
                    </a:extLst>
                  </pic:spPr>
                </pic:pic>
              </a:graphicData>
            </a:graphic>
          </wp:inline>
        </w:drawing>
      </w:r>
    </w:p>
    <w:p w14:paraId="2C4F3941" w14:textId="287D5285" w:rsidR="00251036" w:rsidRPr="006F2E08" w:rsidRDefault="00816B6A" w:rsidP="006F2E08">
      <w:pPr>
        <w:pStyle w:val="Rrys"/>
        <w:rPr>
          <w:lang w:val="en-GB"/>
        </w:rPr>
      </w:pPr>
      <w:r w:rsidRPr="006F2E08">
        <w:rPr>
          <w:b/>
          <w:lang w:val="en-GB"/>
        </w:rPr>
        <w:t>Fig</w:t>
      </w:r>
      <w:r w:rsidR="006F2E08" w:rsidRPr="006F2E08">
        <w:rPr>
          <w:b/>
          <w:lang w:val="en-GB"/>
        </w:rPr>
        <w:t>.</w:t>
      </w:r>
      <w:r w:rsidRPr="006F2E08">
        <w:rPr>
          <w:b/>
          <w:lang w:val="en-GB"/>
        </w:rPr>
        <w:t xml:space="preserve"> 1.</w:t>
      </w:r>
      <w:r w:rsidRPr="006F2E08">
        <w:rPr>
          <w:lang w:val="en-GB"/>
        </w:rPr>
        <w:t xml:space="preserve"> </w:t>
      </w:r>
      <w:r w:rsidR="001D4EF6" w:rsidRPr="006F2E08">
        <w:rPr>
          <w:lang w:val="en-GB"/>
        </w:rPr>
        <w:t>Distribution of the peaks for individual samples containing PET</w:t>
      </w:r>
    </w:p>
    <w:p w14:paraId="09CC903D" w14:textId="77777777" w:rsidR="00405F9E" w:rsidRDefault="00405F9E" w:rsidP="006F2E08">
      <w:pPr>
        <w:spacing w:before="0" w:after="0" w:line="240" w:lineRule="auto"/>
        <w:ind w:firstLine="284"/>
        <w:rPr>
          <w:sz w:val="22"/>
          <w:szCs w:val="22"/>
          <w:lang w:val="en-GB"/>
        </w:rPr>
      </w:pPr>
    </w:p>
    <w:p w14:paraId="66A1B21C" w14:textId="183B423F" w:rsidR="007F54E6" w:rsidRPr="006F2E08" w:rsidRDefault="007F54E6" w:rsidP="006F2E08">
      <w:pPr>
        <w:spacing w:before="0" w:after="0" w:line="240" w:lineRule="auto"/>
        <w:ind w:firstLine="284"/>
        <w:rPr>
          <w:sz w:val="22"/>
          <w:szCs w:val="22"/>
          <w:lang w:val="en-GB"/>
        </w:rPr>
      </w:pPr>
      <w:r w:rsidRPr="006F2E08">
        <w:rPr>
          <w:sz w:val="22"/>
          <w:szCs w:val="22"/>
          <w:lang w:val="en-GB"/>
        </w:rPr>
        <w:t xml:space="preserve">The average particle size values obtained are between 177 and 269 </w:t>
      </w:r>
      <w:proofErr w:type="spellStart"/>
      <w:r w:rsidRPr="006F2E08">
        <w:rPr>
          <w:sz w:val="22"/>
          <w:szCs w:val="22"/>
          <w:lang w:val="en-GB"/>
        </w:rPr>
        <w:t>nanometers</w:t>
      </w:r>
      <w:proofErr w:type="spellEnd"/>
      <w:r w:rsidRPr="006F2E08">
        <w:rPr>
          <w:sz w:val="22"/>
          <w:szCs w:val="22"/>
          <w:lang w:val="en-GB"/>
        </w:rPr>
        <w:t xml:space="preserve"> for the two selected polymers. The values obtained during this study support the belief that long time and exposure to degrading agents are not necessarily needed to produce nanostructures</w:t>
      </w:r>
      <w:r w:rsidR="00405F9E">
        <w:rPr>
          <w:sz w:val="22"/>
          <w:szCs w:val="22"/>
          <w:lang w:val="en-GB"/>
        </w:rPr>
        <w:t>. Still,</w:t>
      </w:r>
      <w:r w:rsidRPr="006F2E08">
        <w:rPr>
          <w:sz w:val="22"/>
          <w:szCs w:val="22"/>
          <w:lang w:val="en-GB"/>
        </w:rPr>
        <w:t xml:space="preserve"> mechanical processing is sufficient to obtain </w:t>
      </w:r>
      <w:r w:rsidR="00405F9E">
        <w:rPr>
          <w:sz w:val="22"/>
          <w:szCs w:val="22"/>
          <w:lang w:val="en-GB"/>
        </w:rPr>
        <w:t>nano-sized structures</w:t>
      </w:r>
      <w:r w:rsidRPr="006F2E08">
        <w:rPr>
          <w:sz w:val="22"/>
          <w:szCs w:val="22"/>
          <w:lang w:val="en-GB"/>
        </w:rPr>
        <w:t>.</w:t>
      </w:r>
    </w:p>
    <w:p w14:paraId="33E67D8D" w14:textId="42D24406" w:rsidR="00207C3A" w:rsidRPr="006F2E08" w:rsidRDefault="00293C6E" w:rsidP="006F2E08">
      <w:pPr>
        <w:spacing w:before="0" w:after="0" w:line="240" w:lineRule="auto"/>
        <w:ind w:firstLine="284"/>
        <w:rPr>
          <w:sz w:val="22"/>
          <w:szCs w:val="22"/>
          <w:lang w:val="en-GB"/>
        </w:rPr>
      </w:pPr>
      <w:r w:rsidRPr="006F2E08">
        <w:rPr>
          <w:sz w:val="22"/>
          <w:szCs w:val="22"/>
          <w:lang w:val="en-GB"/>
        </w:rPr>
        <w:t xml:space="preserve">The </w:t>
      </w:r>
      <w:r w:rsidR="00405F9E">
        <w:rPr>
          <w:sz w:val="22"/>
          <w:szCs w:val="22"/>
          <w:lang w:val="en-GB"/>
        </w:rPr>
        <w:t>analysis result</w:t>
      </w:r>
      <w:r w:rsidRPr="006F2E08">
        <w:rPr>
          <w:sz w:val="22"/>
          <w:szCs w:val="22"/>
          <w:lang w:val="en-GB"/>
        </w:rPr>
        <w:t>s using the Dynamic Light Scattering technique are shown in Table 2 for PE.</w:t>
      </w:r>
    </w:p>
    <w:p w14:paraId="10704EDE" w14:textId="77777777" w:rsidR="001A113C" w:rsidRPr="006F2E08" w:rsidRDefault="001A113C" w:rsidP="001A113C">
      <w:pPr>
        <w:pStyle w:val="NoIndent"/>
        <w:suppressAutoHyphens/>
        <w:spacing w:line="240" w:lineRule="auto"/>
        <w:ind w:firstLine="284"/>
        <w:rPr>
          <w:sz w:val="22"/>
          <w:szCs w:val="22"/>
          <w:lang w:val="en-GB"/>
        </w:rPr>
      </w:pPr>
      <w:r w:rsidRPr="006F2E08">
        <w:rPr>
          <w:sz w:val="22"/>
          <w:szCs w:val="22"/>
          <w:lang w:val="en-GB"/>
        </w:rPr>
        <w:t>Figure 2 show</w:t>
      </w:r>
      <w:r>
        <w:rPr>
          <w:sz w:val="22"/>
          <w:szCs w:val="22"/>
          <w:lang w:val="en-GB"/>
        </w:rPr>
        <w:t>s</w:t>
      </w:r>
      <w:r w:rsidRPr="006F2E08">
        <w:rPr>
          <w:sz w:val="22"/>
          <w:szCs w:val="22"/>
          <w:lang w:val="en-GB"/>
        </w:rPr>
        <w:t xml:space="preserve"> the distribution of the peaks for individual samples containing PE.</w:t>
      </w:r>
    </w:p>
    <w:p w14:paraId="658906BF" w14:textId="77777777" w:rsidR="00624FE2" w:rsidRPr="006F2E08" w:rsidRDefault="003B72BB" w:rsidP="006F2E08">
      <w:pPr>
        <w:pStyle w:val="Rtab"/>
        <w:rPr>
          <w:bCs/>
          <w:lang w:val="en-GB"/>
        </w:rPr>
      </w:pPr>
      <w:r w:rsidRPr="006F2E08">
        <w:rPr>
          <w:b/>
          <w:lang w:val="en-GB"/>
        </w:rPr>
        <w:lastRenderedPageBreak/>
        <w:t>Table 2.</w:t>
      </w:r>
      <w:r w:rsidR="00624FE2" w:rsidRPr="006F2E08">
        <w:rPr>
          <w:lang w:val="en-GB"/>
        </w:rPr>
        <w:t xml:space="preserve"> Particle size distribution for PE</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1"/>
        <w:gridCol w:w="2011"/>
        <w:gridCol w:w="1192"/>
        <w:gridCol w:w="2100"/>
        <w:gridCol w:w="1132"/>
        <w:gridCol w:w="1965"/>
      </w:tblGrid>
      <w:tr w:rsidR="00FC6B84" w:rsidRPr="000A5A86" w14:paraId="7BA3817A" w14:textId="77777777" w:rsidTr="001A113C">
        <w:trPr>
          <w:cantSplit/>
          <w:trHeight w:val="276"/>
          <w:jc w:val="center"/>
        </w:trPr>
        <w:tc>
          <w:tcPr>
            <w:tcW w:w="5000" w:type="pct"/>
            <w:gridSpan w:val="6"/>
            <w:shd w:val="clear" w:color="auto" w:fill="auto"/>
            <w:noWrap/>
            <w:vAlign w:val="center"/>
            <w:hideMark/>
          </w:tcPr>
          <w:p w14:paraId="7EF79887" w14:textId="77777777" w:rsidR="00207C3A" w:rsidRPr="000A5A86" w:rsidRDefault="00207C3A" w:rsidP="00270BC4">
            <w:pPr>
              <w:pStyle w:val="NoIndent"/>
              <w:suppressAutoHyphens/>
              <w:spacing w:line="240" w:lineRule="auto"/>
              <w:jc w:val="center"/>
              <w:rPr>
                <w:lang w:val="en-GB"/>
              </w:rPr>
            </w:pPr>
            <w:r w:rsidRPr="000A5A86">
              <w:rPr>
                <w:lang w:val="en-GB"/>
              </w:rPr>
              <w:t>Polyethylene</w:t>
            </w:r>
          </w:p>
        </w:tc>
      </w:tr>
      <w:tr w:rsidR="001A113C" w:rsidRPr="000A5A86" w14:paraId="42640FBD" w14:textId="77777777" w:rsidTr="001A113C">
        <w:trPr>
          <w:cantSplit/>
          <w:trHeight w:val="512"/>
          <w:jc w:val="center"/>
        </w:trPr>
        <w:tc>
          <w:tcPr>
            <w:tcW w:w="644" w:type="pct"/>
            <w:shd w:val="clear" w:color="auto" w:fill="auto"/>
            <w:noWrap/>
            <w:vAlign w:val="center"/>
            <w:hideMark/>
          </w:tcPr>
          <w:p w14:paraId="25B9EE3D" w14:textId="77777777" w:rsidR="00207C3A" w:rsidRPr="000A5A86" w:rsidRDefault="00207C3A" w:rsidP="00270BC4">
            <w:pPr>
              <w:pStyle w:val="NoIndent"/>
              <w:suppressAutoHyphens/>
              <w:spacing w:line="240" w:lineRule="auto"/>
              <w:jc w:val="center"/>
              <w:rPr>
                <w:lang w:val="en-GB"/>
              </w:rPr>
            </w:pPr>
            <w:r w:rsidRPr="000A5A86">
              <w:rPr>
                <w:lang w:val="en-GB"/>
              </w:rPr>
              <w:t>Peak 1</w:t>
            </w:r>
          </w:p>
          <w:p w14:paraId="24860383" w14:textId="150F5544" w:rsidR="00207C3A" w:rsidRPr="000A5A86" w:rsidRDefault="00207C3A" w:rsidP="00270BC4">
            <w:pPr>
              <w:pStyle w:val="NoIndent"/>
              <w:suppressAutoHyphens/>
              <w:spacing w:line="240" w:lineRule="auto"/>
              <w:jc w:val="center"/>
              <w:rPr>
                <w:lang w:val="en-GB"/>
              </w:rPr>
            </w:pPr>
            <w:r w:rsidRPr="000A5A86">
              <w:rPr>
                <w:lang w:val="en-GB"/>
              </w:rPr>
              <w:t>[nm]</w:t>
            </w:r>
          </w:p>
        </w:tc>
        <w:tc>
          <w:tcPr>
            <w:tcW w:w="1043" w:type="pct"/>
            <w:shd w:val="clear" w:color="auto" w:fill="auto"/>
            <w:noWrap/>
            <w:vAlign w:val="center"/>
            <w:hideMark/>
          </w:tcPr>
          <w:p w14:paraId="4441841E" w14:textId="77777777" w:rsidR="00207C3A" w:rsidRPr="000A5A86" w:rsidRDefault="00207C3A" w:rsidP="00270BC4">
            <w:pPr>
              <w:pStyle w:val="NoIndent"/>
              <w:suppressAutoHyphens/>
              <w:spacing w:line="240" w:lineRule="auto"/>
              <w:jc w:val="center"/>
              <w:rPr>
                <w:lang w:val="en-GB"/>
              </w:rPr>
            </w:pPr>
            <w:r w:rsidRPr="000A5A86">
              <w:rPr>
                <w:lang w:val="en-GB"/>
              </w:rPr>
              <w:t>Percent of area 1</w:t>
            </w:r>
          </w:p>
          <w:p w14:paraId="20765056" w14:textId="77777777" w:rsidR="00207C3A" w:rsidRPr="000A5A86" w:rsidRDefault="00207C3A" w:rsidP="00270BC4">
            <w:pPr>
              <w:pStyle w:val="NoIndent"/>
              <w:suppressAutoHyphens/>
              <w:spacing w:line="240" w:lineRule="auto"/>
              <w:jc w:val="center"/>
              <w:rPr>
                <w:lang w:val="en-GB"/>
              </w:rPr>
            </w:pPr>
            <w:r w:rsidRPr="000A5A86">
              <w:rPr>
                <w:lang w:val="en-GB"/>
              </w:rPr>
              <w:t>[%]</w:t>
            </w:r>
          </w:p>
        </w:tc>
        <w:tc>
          <w:tcPr>
            <w:tcW w:w="618" w:type="pct"/>
            <w:shd w:val="clear" w:color="auto" w:fill="auto"/>
            <w:noWrap/>
            <w:vAlign w:val="center"/>
            <w:hideMark/>
          </w:tcPr>
          <w:p w14:paraId="0846BC57" w14:textId="77777777" w:rsidR="00207C3A" w:rsidRPr="000A5A86" w:rsidRDefault="00207C3A" w:rsidP="00270BC4">
            <w:pPr>
              <w:pStyle w:val="NoIndent"/>
              <w:suppressAutoHyphens/>
              <w:spacing w:line="240" w:lineRule="auto"/>
              <w:jc w:val="center"/>
              <w:rPr>
                <w:lang w:val="en-GB"/>
              </w:rPr>
            </w:pPr>
            <w:r w:rsidRPr="000A5A86">
              <w:rPr>
                <w:lang w:val="en-GB"/>
              </w:rPr>
              <w:t>Peak 2</w:t>
            </w:r>
          </w:p>
          <w:p w14:paraId="75F4BA1F" w14:textId="1CB416A5" w:rsidR="00207C3A" w:rsidRPr="000A5A86" w:rsidRDefault="00207C3A" w:rsidP="00270BC4">
            <w:pPr>
              <w:pStyle w:val="NoIndent"/>
              <w:suppressAutoHyphens/>
              <w:spacing w:line="240" w:lineRule="auto"/>
              <w:jc w:val="center"/>
              <w:rPr>
                <w:lang w:val="en-GB"/>
              </w:rPr>
            </w:pPr>
            <w:r w:rsidRPr="000A5A86">
              <w:rPr>
                <w:lang w:val="en-GB"/>
              </w:rPr>
              <w:t>[nm]</w:t>
            </w:r>
          </w:p>
        </w:tc>
        <w:tc>
          <w:tcPr>
            <w:tcW w:w="1089" w:type="pct"/>
            <w:shd w:val="clear" w:color="auto" w:fill="auto"/>
            <w:noWrap/>
            <w:vAlign w:val="center"/>
            <w:hideMark/>
          </w:tcPr>
          <w:p w14:paraId="48953105" w14:textId="77777777" w:rsidR="00207C3A" w:rsidRPr="000A5A86" w:rsidRDefault="00207C3A" w:rsidP="00270BC4">
            <w:pPr>
              <w:pStyle w:val="NoIndent"/>
              <w:suppressAutoHyphens/>
              <w:spacing w:line="240" w:lineRule="auto"/>
              <w:jc w:val="center"/>
              <w:rPr>
                <w:lang w:val="en-GB"/>
              </w:rPr>
            </w:pPr>
            <w:r w:rsidRPr="000A5A86">
              <w:rPr>
                <w:lang w:val="en-GB"/>
              </w:rPr>
              <w:t>Percent of area 2</w:t>
            </w:r>
          </w:p>
          <w:p w14:paraId="1E866D1A" w14:textId="77777777" w:rsidR="00207C3A" w:rsidRPr="000A5A86" w:rsidRDefault="00207C3A" w:rsidP="00270BC4">
            <w:pPr>
              <w:pStyle w:val="NoIndent"/>
              <w:suppressAutoHyphens/>
              <w:spacing w:line="240" w:lineRule="auto"/>
              <w:jc w:val="center"/>
              <w:rPr>
                <w:lang w:val="en-GB"/>
              </w:rPr>
            </w:pPr>
            <w:r w:rsidRPr="000A5A86">
              <w:rPr>
                <w:lang w:val="en-GB"/>
              </w:rPr>
              <w:t>[%]</w:t>
            </w:r>
          </w:p>
        </w:tc>
        <w:tc>
          <w:tcPr>
            <w:tcW w:w="587" w:type="pct"/>
            <w:shd w:val="clear" w:color="auto" w:fill="auto"/>
            <w:noWrap/>
            <w:vAlign w:val="center"/>
            <w:hideMark/>
          </w:tcPr>
          <w:p w14:paraId="43D584E5" w14:textId="77777777" w:rsidR="00207C3A" w:rsidRPr="000A5A86" w:rsidRDefault="00207C3A" w:rsidP="00270BC4">
            <w:pPr>
              <w:pStyle w:val="NoIndent"/>
              <w:suppressAutoHyphens/>
              <w:spacing w:line="240" w:lineRule="auto"/>
              <w:jc w:val="center"/>
              <w:rPr>
                <w:lang w:val="en-GB"/>
              </w:rPr>
            </w:pPr>
            <w:r w:rsidRPr="000A5A86">
              <w:rPr>
                <w:lang w:val="en-GB"/>
              </w:rPr>
              <w:t>Peak 3</w:t>
            </w:r>
          </w:p>
          <w:p w14:paraId="26144195" w14:textId="53CF71B4" w:rsidR="00207C3A" w:rsidRPr="000A5A86" w:rsidRDefault="00207C3A" w:rsidP="00270BC4">
            <w:pPr>
              <w:pStyle w:val="NoIndent"/>
              <w:suppressAutoHyphens/>
              <w:spacing w:line="240" w:lineRule="auto"/>
              <w:jc w:val="center"/>
              <w:rPr>
                <w:lang w:val="en-GB"/>
              </w:rPr>
            </w:pPr>
            <w:r w:rsidRPr="000A5A86">
              <w:rPr>
                <w:lang w:val="en-GB"/>
              </w:rPr>
              <w:t>[nm]</w:t>
            </w:r>
          </w:p>
        </w:tc>
        <w:tc>
          <w:tcPr>
            <w:tcW w:w="1019" w:type="pct"/>
            <w:shd w:val="clear" w:color="auto" w:fill="auto"/>
            <w:noWrap/>
            <w:vAlign w:val="center"/>
            <w:hideMark/>
          </w:tcPr>
          <w:p w14:paraId="7224C160" w14:textId="77777777" w:rsidR="00207C3A" w:rsidRPr="000A5A86" w:rsidRDefault="00207C3A" w:rsidP="00270BC4">
            <w:pPr>
              <w:pStyle w:val="NoIndent"/>
              <w:suppressAutoHyphens/>
              <w:spacing w:line="240" w:lineRule="auto"/>
              <w:jc w:val="center"/>
              <w:rPr>
                <w:lang w:val="en-GB"/>
              </w:rPr>
            </w:pPr>
            <w:r w:rsidRPr="000A5A86">
              <w:rPr>
                <w:lang w:val="en-GB"/>
              </w:rPr>
              <w:t>Percent of area 3</w:t>
            </w:r>
          </w:p>
          <w:p w14:paraId="071B6E53" w14:textId="77777777" w:rsidR="00207C3A" w:rsidRPr="000A5A86" w:rsidRDefault="00207C3A" w:rsidP="00270BC4">
            <w:pPr>
              <w:pStyle w:val="NoIndent"/>
              <w:suppressAutoHyphens/>
              <w:spacing w:line="240" w:lineRule="auto"/>
              <w:jc w:val="center"/>
              <w:rPr>
                <w:lang w:val="en-GB"/>
              </w:rPr>
            </w:pPr>
            <w:r w:rsidRPr="000A5A86">
              <w:rPr>
                <w:lang w:val="en-GB"/>
              </w:rPr>
              <w:t>[%]</w:t>
            </w:r>
          </w:p>
        </w:tc>
      </w:tr>
      <w:tr w:rsidR="001A113C" w:rsidRPr="000A5A86" w14:paraId="7CB13D5D" w14:textId="77777777" w:rsidTr="001A113C">
        <w:trPr>
          <w:cantSplit/>
          <w:trHeight w:val="276"/>
          <w:jc w:val="center"/>
        </w:trPr>
        <w:tc>
          <w:tcPr>
            <w:tcW w:w="644" w:type="pct"/>
            <w:shd w:val="clear" w:color="auto" w:fill="auto"/>
            <w:noWrap/>
            <w:vAlign w:val="center"/>
            <w:hideMark/>
          </w:tcPr>
          <w:p w14:paraId="4528EFB7" w14:textId="2BE8DF76" w:rsidR="00207C3A" w:rsidRPr="000A5A86" w:rsidRDefault="00207C3A" w:rsidP="00270BC4">
            <w:pPr>
              <w:pStyle w:val="NoIndent"/>
              <w:suppressAutoHyphens/>
              <w:spacing w:line="240" w:lineRule="auto"/>
              <w:jc w:val="center"/>
              <w:rPr>
                <w:lang w:val="en-GB"/>
              </w:rPr>
            </w:pPr>
            <w:r w:rsidRPr="000A5A86">
              <w:rPr>
                <w:lang w:val="en-GB"/>
              </w:rPr>
              <w:t>184</w:t>
            </w:r>
            <w:r w:rsidR="001D4EF6" w:rsidRPr="000A5A86">
              <w:rPr>
                <w:lang w:val="en-GB"/>
              </w:rPr>
              <w:t>.</w:t>
            </w:r>
            <w:r w:rsidRPr="000A5A86">
              <w:rPr>
                <w:lang w:val="en-GB"/>
              </w:rPr>
              <w:t>7</w:t>
            </w:r>
          </w:p>
        </w:tc>
        <w:tc>
          <w:tcPr>
            <w:tcW w:w="1043" w:type="pct"/>
            <w:shd w:val="clear" w:color="auto" w:fill="auto"/>
            <w:noWrap/>
            <w:vAlign w:val="center"/>
            <w:hideMark/>
          </w:tcPr>
          <w:p w14:paraId="4E8128FB" w14:textId="07E7356D" w:rsidR="00207C3A" w:rsidRPr="000A5A86" w:rsidRDefault="00207C3A" w:rsidP="00270BC4">
            <w:pPr>
              <w:pStyle w:val="NoIndent"/>
              <w:suppressAutoHyphens/>
              <w:spacing w:line="240" w:lineRule="auto"/>
              <w:jc w:val="center"/>
              <w:rPr>
                <w:lang w:val="en-GB"/>
              </w:rPr>
            </w:pPr>
            <w:r w:rsidRPr="000A5A86">
              <w:rPr>
                <w:lang w:val="en-GB"/>
              </w:rPr>
              <w:t>97</w:t>
            </w:r>
            <w:r w:rsidR="001D4EF6" w:rsidRPr="000A5A86">
              <w:rPr>
                <w:lang w:val="en-GB"/>
              </w:rPr>
              <w:t>.</w:t>
            </w:r>
            <w:r w:rsidRPr="000A5A86">
              <w:rPr>
                <w:lang w:val="en-GB"/>
              </w:rPr>
              <w:t>3</w:t>
            </w:r>
          </w:p>
        </w:tc>
        <w:tc>
          <w:tcPr>
            <w:tcW w:w="618" w:type="pct"/>
            <w:shd w:val="clear" w:color="auto" w:fill="auto"/>
            <w:noWrap/>
            <w:vAlign w:val="center"/>
            <w:hideMark/>
          </w:tcPr>
          <w:p w14:paraId="4C0DF56E" w14:textId="77777777" w:rsidR="00207C3A" w:rsidRPr="000A5A86" w:rsidRDefault="00207C3A" w:rsidP="00270BC4">
            <w:pPr>
              <w:pStyle w:val="NoIndent"/>
              <w:suppressAutoHyphens/>
              <w:spacing w:line="240" w:lineRule="auto"/>
              <w:jc w:val="center"/>
              <w:rPr>
                <w:lang w:val="en-GB"/>
              </w:rPr>
            </w:pPr>
            <w:r w:rsidRPr="000A5A86">
              <w:rPr>
                <w:lang w:val="en-GB"/>
              </w:rPr>
              <w:t>5268</w:t>
            </w:r>
          </w:p>
        </w:tc>
        <w:tc>
          <w:tcPr>
            <w:tcW w:w="1089" w:type="pct"/>
            <w:shd w:val="clear" w:color="auto" w:fill="auto"/>
            <w:noWrap/>
            <w:vAlign w:val="center"/>
            <w:hideMark/>
          </w:tcPr>
          <w:p w14:paraId="4E8D6B68" w14:textId="59620B2C" w:rsidR="00207C3A" w:rsidRPr="000A5A86" w:rsidRDefault="00207C3A" w:rsidP="00270BC4">
            <w:pPr>
              <w:pStyle w:val="NoIndent"/>
              <w:suppressAutoHyphens/>
              <w:spacing w:line="240" w:lineRule="auto"/>
              <w:jc w:val="center"/>
              <w:rPr>
                <w:lang w:val="en-GB"/>
              </w:rPr>
            </w:pPr>
            <w:r w:rsidRPr="000A5A86">
              <w:rPr>
                <w:lang w:val="en-GB"/>
              </w:rPr>
              <w:t>2</w:t>
            </w:r>
            <w:r w:rsidR="001D4EF6" w:rsidRPr="000A5A86">
              <w:rPr>
                <w:lang w:val="en-GB"/>
              </w:rPr>
              <w:t>.</w:t>
            </w:r>
            <w:r w:rsidRPr="000A5A86">
              <w:rPr>
                <w:lang w:val="en-GB"/>
              </w:rPr>
              <w:t>7</w:t>
            </w:r>
          </w:p>
        </w:tc>
        <w:tc>
          <w:tcPr>
            <w:tcW w:w="587" w:type="pct"/>
            <w:shd w:val="clear" w:color="auto" w:fill="auto"/>
            <w:noWrap/>
            <w:vAlign w:val="center"/>
            <w:hideMark/>
          </w:tcPr>
          <w:p w14:paraId="225E4495"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1579CCC4"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42A3608A" w14:textId="77777777" w:rsidTr="001A113C">
        <w:trPr>
          <w:cantSplit/>
          <w:trHeight w:val="276"/>
          <w:jc w:val="center"/>
        </w:trPr>
        <w:tc>
          <w:tcPr>
            <w:tcW w:w="644" w:type="pct"/>
            <w:shd w:val="clear" w:color="auto" w:fill="auto"/>
            <w:noWrap/>
            <w:vAlign w:val="center"/>
            <w:hideMark/>
          </w:tcPr>
          <w:p w14:paraId="3423BC36" w14:textId="11EE035E" w:rsidR="00207C3A" w:rsidRPr="000A5A86" w:rsidRDefault="00207C3A" w:rsidP="00270BC4">
            <w:pPr>
              <w:pStyle w:val="NoIndent"/>
              <w:suppressAutoHyphens/>
              <w:spacing w:line="240" w:lineRule="auto"/>
              <w:jc w:val="center"/>
              <w:rPr>
                <w:lang w:val="en-GB"/>
              </w:rPr>
            </w:pPr>
            <w:r w:rsidRPr="000A5A86">
              <w:rPr>
                <w:lang w:val="en-GB"/>
              </w:rPr>
              <w:t>202</w:t>
            </w:r>
            <w:r w:rsidR="001D4EF6" w:rsidRPr="000A5A86">
              <w:rPr>
                <w:lang w:val="en-GB"/>
              </w:rPr>
              <w:t>.</w:t>
            </w:r>
            <w:r w:rsidRPr="000A5A86">
              <w:rPr>
                <w:lang w:val="en-GB"/>
              </w:rPr>
              <w:t>4</w:t>
            </w:r>
          </w:p>
        </w:tc>
        <w:tc>
          <w:tcPr>
            <w:tcW w:w="1043" w:type="pct"/>
            <w:shd w:val="clear" w:color="auto" w:fill="auto"/>
            <w:noWrap/>
            <w:vAlign w:val="center"/>
            <w:hideMark/>
          </w:tcPr>
          <w:p w14:paraId="59F83C7B" w14:textId="34A73791" w:rsidR="00207C3A" w:rsidRPr="000A5A86" w:rsidRDefault="00207C3A" w:rsidP="00270BC4">
            <w:pPr>
              <w:pStyle w:val="NoIndent"/>
              <w:suppressAutoHyphens/>
              <w:spacing w:line="240" w:lineRule="auto"/>
              <w:jc w:val="center"/>
              <w:rPr>
                <w:lang w:val="en-GB"/>
              </w:rPr>
            </w:pPr>
            <w:r w:rsidRPr="000A5A86">
              <w:rPr>
                <w:lang w:val="en-GB"/>
              </w:rPr>
              <w:t>95</w:t>
            </w:r>
            <w:r w:rsidR="001D4EF6" w:rsidRPr="000A5A86">
              <w:rPr>
                <w:lang w:val="en-GB"/>
              </w:rPr>
              <w:t>.</w:t>
            </w:r>
            <w:r w:rsidRPr="000A5A86">
              <w:rPr>
                <w:lang w:val="en-GB"/>
              </w:rPr>
              <w:t>6</w:t>
            </w:r>
          </w:p>
        </w:tc>
        <w:tc>
          <w:tcPr>
            <w:tcW w:w="618" w:type="pct"/>
            <w:shd w:val="clear" w:color="auto" w:fill="auto"/>
            <w:noWrap/>
            <w:vAlign w:val="center"/>
            <w:hideMark/>
          </w:tcPr>
          <w:p w14:paraId="233524DC" w14:textId="77777777" w:rsidR="00207C3A" w:rsidRPr="000A5A86" w:rsidRDefault="00207C3A" w:rsidP="00270BC4">
            <w:pPr>
              <w:pStyle w:val="NoIndent"/>
              <w:suppressAutoHyphens/>
              <w:spacing w:line="240" w:lineRule="auto"/>
              <w:jc w:val="center"/>
              <w:rPr>
                <w:lang w:val="en-GB"/>
              </w:rPr>
            </w:pPr>
            <w:r w:rsidRPr="000A5A86">
              <w:rPr>
                <w:lang w:val="en-GB"/>
              </w:rPr>
              <w:t>4151</w:t>
            </w:r>
          </w:p>
        </w:tc>
        <w:tc>
          <w:tcPr>
            <w:tcW w:w="1089" w:type="pct"/>
            <w:shd w:val="clear" w:color="auto" w:fill="auto"/>
            <w:noWrap/>
            <w:vAlign w:val="center"/>
            <w:hideMark/>
          </w:tcPr>
          <w:p w14:paraId="48D3CE29" w14:textId="19E27767" w:rsidR="00207C3A" w:rsidRPr="000A5A86" w:rsidRDefault="00207C3A" w:rsidP="00270BC4">
            <w:pPr>
              <w:pStyle w:val="NoIndent"/>
              <w:suppressAutoHyphens/>
              <w:spacing w:line="240" w:lineRule="auto"/>
              <w:jc w:val="center"/>
              <w:rPr>
                <w:lang w:val="en-GB"/>
              </w:rPr>
            </w:pPr>
            <w:r w:rsidRPr="000A5A86">
              <w:rPr>
                <w:lang w:val="en-GB"/>
              </w:rPr>
              <w:t>4</w:t>
            </w:r>
            <w:r w:rsidR="001D4EF6" w:rsidRPr="000A5A86">
              <w:rPr>
                <w:lang w:val="en-GB"/>
              </w:rPr>
              <w:t>.</w:t>
            </w:r>
            <w:r w:rsidRPr="000A5A86">
              <w:rPr>
                <w:lang w:val="en-GB"/>
              </w:rPr>
              <w:t>4</w:t>
            </w:r>
          </w:p>
        </w:tc>
        <w:tc>
          <w:tcPr>
            <w:tcW w:w="587" w:type="pct"/>
            <w:shd w:val="clear" w:color="auto" w:fill="auto"/>
            <w:noWrap/>
            <w:vAlign w:val="center"/>
            <w:hideMark/>
          </w:tcPr>
          <w:p w14:paraId="0098C441"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7FAD9E6B"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29DF0D0C" w14:textId="77777777" w:rsidTr="001A113C">
        <w:trPr>
          <w:cantSplit/>
          <w:trHeight w:val="276"/>
          <w:jc w:val="center"/>
        </w:trPr>
        <w:tc>
          <w:tcPr>
            <w:tcW w:w="644" w:type="pct"/>
            <w:shd w:val="clear" w:color="auto" w:fill="auto"/>
            <w:noWrap/>
            <w:vAlign w:val="center"/>
            <w:hideMark/>
          </w:tcPr>
          <w:p w14:paraId="7FB616F4" w14:textId="78039DD4" w:rsidR="00207C3A" w:rsidRPr="000A5A86" w:rsidRDefault="00207C3A" w:rsidP="00270BC4">
            <w:pPr>
              <w:pStyle w:val="NoIndent"/>
              <w:suppressAutoHyphens/>
              <w:spacing w:line="240" w:lineRule="auto"/>
              <w:jc w:val="center"/>
              <w:rPr>
                <w:lang w:val="en-GB"/>
              </w:rPr>
            </w:pPr>
            <w:r w:rsidRPr="000A5A86">
              <w:rPr>
                <w:lang w:val="en-GB"/>
              </w:rPr>
              <w:t>231</w:t>
            </w:r>
            <w:r w:rsidR="001D4EF6" w:rsidRPr="000A5A86">
              <w:rPr>
                <w:lang w:val="en-GB"/>
              </w:rPr>
              <w:t>.</w:t>
            </w:r>
            <w:r w:rsidRPr="000A5A86">
              <w:rPr>
                <w:lang w:val="en-GB"/>
              </w:rPr>
              <w:t>0</w:t>
            </w:r>
          </w:p>
        </w:tc>
        <w:tc>
          <w:tcPr>
            <w:tcW w:w="1043" w:type="pct"/>
            <w:shd w:val="clear" w:color="auto" w:fill="auto"/>
            <w:noWrap/>
            <w:vAlign w:val="center"/>
            <w:hideMark/>
          </w:tcPr>
          <w:p w14:paraId="079B94B1" w14:textId="6D3CE4BC" w:rsidR="00207C3A" w:rsidRPr="000A5A86" w:rsidRDefault="00207C3A" w:rsidP="00270BC4">
            <w:pPr>
              <w:pStyle w:val="NoIndent"/>
              <w:suppressAutoHyphens/>
              <w:spacing w:line="240" w:lineRule="auto"/>
              <w:jc w:val="center"/>
              <w:rPr>
                <w:lang w:val="en-GB"/>
              </w:rPr>
            </w:pPr>
            <w:r w:rsidRPr="000A5A86">
              <w:rPr>
                <w:lang w:val="en-GB"/>
              </w:rPr>
              <w:t>97</w:t>
            </w:r>
            <w:r w:rsidR="001D4EF6" w:rsidRPr="000A5A86">
              <w:rPr>
                <w:lang w:val="en-GB"/>
              </w:rPr>
              <w:t>.</w:t>
            </w:r>
            <w:r w:rsidRPr="000A5A86">
              <w:rPr>
                <w:lang w:val="en-GB"/>
              </w:rPr>
              <w:t>6</w:t>
            </w:r>
          </w:p>
        </w:tc>
        <w:tc>
          <w:tcPr>
            <w:tcW w:w="618" w:type="pct"/>
            <w:shd w:val="clear" w:color="auto" w:fill="auto"/>
            <w:noWrap/>
            <w:vAlign w:val="center"/>
            <w:hideMark/>
          </w:tcPr>
          <w:p w14:paraId="76A3FC20" w14:textId="77777777" w:rsidR="00207C3A" w:rsidRPr="000A5A86" w:rsidRDefault="00207C3A" w:rsidP="00270BC4">
            <w:pPr>
              <w:pStyle w:val="NoIndent"/>
              <w:suppressAutoHyphens/>
              <w:spacing w:line="240" w:lineRule="auto"/>
              <w:jc w:val="center"/>
              <w:rPr>
                <w:lang w:val="en-GB"/>
              </w:rPr>
            </w:pPr>
            <w:r w:rsidRPr="000A5A86">
              <w:rPr>
                <w:lang w:val="en-GB"/>
              </w:rPr>
              <w:t>3946</w:t>
            </w:r>
          </w:p>
        </w:tc>
        <w:tc>
          <w:tcPr>
            <w:tcW w:w="1089" w:type="pct"/>
            <w:shd w:val="clear" w:color="auto" w:fill="auto"/>
            <w:noWrap/>
            <w:vAlign w:val="center"/>
            <w:hideMark/>
          </w:tcPr>
          <w:p w14:paraId="0C0C4FD0" w14:textId="726DE5B6" w:rsidR="00207C3A" w:rsidRPr="000A5A86" w:rsidRDefault="00207C3A" w:rsidP="00270BC4">
            <w:pPr>
              <w:pStyle w:val="NoIndent"/>
              <w:suppressAutoHyphens/>
              <w:spacing w:line="240" w:lineRule="auto"/>
              <w:jc w:val="center"/>
              <w:rPr>
                <w:lang w:val="en-GB"/>
              </w:rPr>
            </w:pPr>
            <w:r w:rsidRPr="000A5A86">
              <w:rPr>
                <w:lang w:val="en-GB"/>
              </w:rPr>
              <w:t>2</w:t>
            </w:r>
            <w:r w:rsidR="001D4EF6" w:rsidRPr="000A5A86">
              <w:rPr>
                <w:lang w:val="en-GB"/>
              </w:rPr>
              <w:t>.</w:t>
            </w:r>
            <w:r w:rsidRPr="000A5A86">
              <w:rPr>
                <w:lang w:val="en-GB"/>
              </w:rPr>
              <w:t>4</w:t>
            </w:r>
          </w:p>
        </w:tc>
        <w:tc>
          <w:tcPr>
            <w:tcW w:w="587" w:type="pct"/>
            <w:shd w:val="clear" w:color="auto" w:fill="auto"/>
            <w:noWrap/>
            <w:vAlign w:val="center"/>
            <w:hideMark/>
          </w:tcPr>
          <w:p w14:paraId="4F5E9F86"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7C1AC406"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6CC5511C" w14:textId="77777777" w:rsidTr="001A113C">
        <w:trPr>
          <w:cantSplit/>
          <w:trHeight w:val="276"/>
          <w:jc w:val="center"/>
        </w:trPr>
        <w:tc>
          <w:tcPr>
            <w:tcW w:w="644" w:type="pct"/>
            <w:shd w:val="clear" w:color="auto" w:fill="auto"/>
            <w:noWrap/>
            <w:vAlign w:val="center"/>
            <w:hideMark/>
          </w:tcPr>
          <w:p w14:paraId="58A5DD27" w14:textId="24D53471" w:rsidR="00207C3A" w:rsidRPr="000A5A86" w:rsidRDefault="00207C3A" w:rsidP="00270BC4">
            <w:pPr>
              <w:pStyle w:val="NoIndent"/>
              <w:suppressAutoHyphens/>
              <w:spacing w:line="240" w:lineRule="auto"/>
              <w:jc w:val="center"/>
              <w:rPr>
                <w:lang w:val="en-GB"/>
              </w:rPr>
            </w:pPr>
            <w:r w:rsidRPr="000A5A86">
              <w:rPr>
                <w:lang w:val="en-GB"/>
              </w:rPr>
              <w:t>185</w:t>
            </w:r>
            <w:r w:rsidR="001D4EF6" w:rsidRPr="000A5A86">
              <w:rPr>
                <w:lang w:val="en-GB"/>
              </w:rPr>
              <w:t>.</w:t>
            </w:r>
            <w:r w:rsidRPr="000A5A86">
              <w:rPr>
                <w:lang w:val="en-GB"/>
              </w:rPr>
              <w:t>6</w:t>
            </w:r>
          </w:p>
        </w:tc>
        <w:tc>
          <w:tcPr>
            <w:tcW w:w="1043" w:type="pct"/>
            <w:shd w:val="clear" w:color="auto" w:fill="auto"/>
            <w:noWrap/>
            <w:vAlign w:val="center"/>
            <w:hideMark/>
          </w:tcPr>
          <w:p w14:paraId="6E21F54F" w14:textId="678145B2" w:rsidR="00207C3A" w:rsidRPr="000A5A86" w:rsidRDefault="00207C3A" w:rsidP="00270BC4">
            <w:pPr>
              <w:pStyle w:val="NoIndent"/>
              <w:suppressAutoHyphens/>
              <w:spacing w:line="240" w:lineRule="auto"/>
              <w:jc w:val="center"/>
              <w:rPr>
                <w:lang w:val="en-GB"/>
              </w:rPr>
            </w:pPr>
            <w:r w:rsidRPr="000A5A86">
              <w:rPr>
                <w:lang w:val="en-GB"/>
              </w:rPr>
              <w:t>95</w:t>
            </w:r>
            <w:r w:rsidR="001D4EF6" w:rsidRPr="000A5A86">
              <w:rPr>
                <w:lang w:val="en-GB"/>
              </w:rPr>
              <w:t>.</w:t>
            </w:r>
            <w:r w:rsidRPr="000A5A86">
              <w:rPr>
                <w:lang w:val="en-GB"/>
              </w:rPr>
              <w:t>1</w:t>
            </w:r>
          </w:p>
        </w:tc>
        <w:tc>
          <w:tcPr>
            <w:tcW w:w="618" w:type="pct"/>
            <w:shd w:val="clear" w:color="auto" w:fill="auto"/>
            <w:noWrap/>
            <w:vAlign w:val="center"/>
            <w:hideMark/>
          </w:tcPr>
          <w:p w14:paraId="27CCD73B" w14:textId="77777777" w:rsidR="00207C3A" w:rsidRPr="000A5A86" w:rsidRDefault="00207C3A" w:rsidP="00270BC4">
            <w:pPr>
              <w:pStyle w:val="NoIndent"/>
              <w:suppressAutoHyphens/>
              <w:spacing w:line="240" w:lineRule="auto"/>
              <w:jc w:val="center"/>
              <w:rPr>
                <w:lang w:val="en-GB"/>
              </w:rPr>
            </w:pPr>
            <w:r w:rsidRPr="000A5A86">
              <w:rPr>
                <w:lang w:val="en-GB"/>
              </w:rPr>
              <w:t>4462</w:t>
            </w:r>
          </w:p>
        </w:tc>
        <w:tc>
          <w:tcPr>
            <w:tcW w:w="1089" w:type="pct"/>
            <w:shd w:val="clear" w:color="auto" w:fill="auto"/>
            <w:noWrap/>
            <w:vAlign w:val="center"/>
            <w:hideMark/>
          </w:tcPr>
          <w:p w14:paraId="7869ABE7" w14:textId="447064E4" w:rsidR="00207C3A" w:rsidRPr="000A5A86" w:rsidRDefault="00207C3A" w:rsidP="00270BC4">
            <w:pPr>
              <w:pStyle w:val="NoIndent"/>
              <w:suppressAutoHyphens/>
              <w:spacing w:line="240" w:lineRule="auto"/>
              <w:jc w:val="center"/>
              <w:rPr>
                <w:lang w:val="en-GB"/>
              </w:rPr>
            </w:pPr>
            <w:r w:rsidRPr="000A5A86">
              <w:rPr>
                <w:lang w:val="en-GB"/>
              </w:rPr>
              <w:t>4</w:t>
            </w:r>
            <w:r w:rsidR="001D4EF6" w:rsidRPr="000A5A86">
              <w:rPr>
                <w:lang w:val="en-GB"/>
              </w:rPr>
              <w:t>.</w:t>
            </w:r>
            <w:r w:rsidRPr="000A5A86">
              <w:rPr>
                <w:lang w:val="en-GB"/>
              </w:rPr>
              <w:t>9</w:t>
            </w:r>
          </w:p>
        </w:tc>
        <w:tc>
          <w:tcPr>
            <w:tcW w:w="587" w:type="pct"/>
            <w:shd w:val="clear" w:color="auto" w:fill="auto"/>
            <w:noWrap/>
            <w:vAlign w:val="center"/>
            <w:hideMark/>
          </w:tcPr>
          <w:p w14:paraId="08F4A2F9"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2C1CED38"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5800D2B9" w14:textId="77777777" w:rsidTr="001A113C">
        <w:trPr>
          <w:cantSplit/>
          <w:trHeight w:val="276"/>
          <w:jc w:val="center"/>
        </w:trPr>
        <w:tc>
          <w:tcPr>
            <w:tcW w:w="644" w:type="pct"/>
            <w:shd w:val="clear" w:color="auto" w:fill="auto"/>
            <w:noWrap/>
            <w:vAlign w:val="center"/>
            <w:hideMark/>
          </w:tcPr>
          <w:p w14:paraId="00ED32B6" w14:textId="7DABAD51" w:rsidR="00207C3A" w:rsidRPr="000A5A86" w:rsidRDefault="00207C3A" w:rsidP="00270BC4">
            <w:pPr>
              <w:pStyle w:val="NoIndent"/>
              <w:suppressAutoHyphens/>
              <w:spacing w:line="240" w:lineRule="auto"/>
              <w:jc w:val="center"/>
              <w:rPr>
                <w:lang w:val="en-GB"/>
              </w:rPr>
            </w:pPr>
            <w:r w:rsidRPr="000A5A86">
              <w:rPr>
                <w:lang w:val="en-GB"/>
              </w:rPr>
              <w:t>269</w:t>
            </w:r>
            <w:r w:rsidR="001D4EF6" w:rsidRPr="000A5A86">
              <w:rPr>
                <w:lang w:val="en-GB"/>
              </w:rPr>
              <w:t>.</w:t>
            </w:r>
            <w:r w:rsidRPr="000A5A86">
              <w:rPr>
                <w:lang w:val="en-GB"/>
              </w:rPr>
              <w:t>9</w:t>
            </w:r>
          </w:p>
        </w:tc>
        <w:tc>
          <w:tcPr>
            <w:tcW w:w="1043" w:type="pct"/>
            <w:shd w:val="clear" w:color="auto" w:fill="auto"/>
            <w:noWrap/>
            <w:vAlign w:val="center"/>
            <w:hideMark/>
          </w:tcPr>
          <w:p w14:paraId="26BF26F7"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18" w:type="pct"/>
            <w:shd w:val="clear" w:color="auto" w:fill="auto"/>
            <w:noWrap/>
            <w:vAlign w:val="center"/>
            <w:hideMark/>
          </w:tcPr>
          <w:p w14:paraId="0E46AA1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89" w:type="pct"/>
            <w:shd w:val="clear" w:color="auto" w:fill="auto"/>
            <w:noWrap/>
            <w:vAlign w:val="center"/>
            <w:hideMark/>
          </w:tcPr>
          <w:p w14:paraId="47F75FCC"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587" w:type="pct"/>
            <w:shd w:val="clear" w:color="auto" w:fill="auto"/>
            <w:noWrap/>
            <w:vAlign w:val="center"/>
            <w:hideMark/>
          </w:tcPr>
          <w:p w14:paraId="782302D7"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7230DFA6"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44CE8D48" w14:textId="77777777" w:rsidTr="001A113C">
        <w:trPr>
          <w:cantSplit/>
          <w:trHeight w:val="276"/>
          <w:jc w:val="center"/>
        </w:trPr>
        <w:tc>
          <w:tcPr>
            <w:tcW w:w="644" w:type="pct"/>
            <w:shd w:val="clear" w:color="auto" w:fill="auto"/>
            <w:noWrap/>
            <w:vAlign w:val="center"/>
            <w:hideMark/>
          </w:tcPr>
          <w:p w14:paraId="60E2604E" w14:textId="2D9D4B69" w:rsidR="00207C3A" w:rsidRPr="000A5A86" w:rsidRDefault="00207C3A" w:rsidP="00270BC4">
            <w:pPr>
              <w:pStyle w:val="NoIndent"/>
              <w:suppressAutoHyphens/>
              <w:spacing w:line="240" w:lineRule="auto"/>
              <w:jc w:val="center"/>
              <w:rPr>
                <w:lang w:val="en-GB"/>
              </w:rPr>
            </w:pPr>
            <w:r w:rsidRPr="000A5A86">
              <w:rPr>
                <w:lang w:val="en-GB"/>
              </w:rPr>
              <w:t>182</w:t>
            </w:r>
            <w:r w:rsidR="001D4EF6" w:rsidRPr="000A5A86">
              <w:rPr>
                <w:lang w:val="en-GB"/>
              </w:rPr>
              <w:t>.</w:t>
            </w:r>
            <w:r w:rsidRPr="000A5A86">
              <w:rPr>
                <w:lang w:val="en-GB"/>
              </w:rPr>
              <w:t>6</w:t>
            </w:r>
          </w:p>
        </w:tc>
        <w:tc>
          <w:tcPr>
            <w:tcW w:w="1043" w:type="pct"/>
            <w:shd w:val="clear" w:color="auto" w:fill="auto"/>
            <w:noWrap/>
            <w:vAlign w:val="center"/>
            <w:hideMark/>
          </w:tcPr>
          <w:p w14:paraId="6795799C" w14:textId="08178749" w:rsidR="00207C3A" w:rsidRPr="000A5A86" w:rsidRDefault="00207C3A" w:rsidP="00270BC4">
            <w:pPr>
              <w:pStyle w:val="NoIndent"/>
              <w:suppressAutoHyphens/>
              <w:spacing w:line="240" w:lineRule="auto"/>
              <w:jc w:val="center"/>
              <w:rPr>
                <w:lang w:val="en-GB"/>
              </w:rPr>
            </w:pPr>
            <w:r w:rsidRPr="000A5A86">
              <w:rPr>
                <w:lang w:val="en-GB"/>
              </w:rPr>
              <w:t>97</w:t>
            </w:r>
            <w:r w:rsidR="001D4EF6" w:rsidRPr="000A5A86">
              <w:rPr>
                <w:lang w:val="en-GB"/>
              </w:rPr>
              <w:t>.</w:t>
            </w:r>
            <w:r w:rsidRPr="000A5A86">
              <w:rPr>
                <w:lang w:val="en-GB"/>
              </w:rPr>
              <w:t>2</w:t>
            </w:r>
          </w:p>
        </w:tc>
        <w:tc>
          <w:tcPr>
            <w:tcW w:w="618" w:type="pct"/>
            <w:shd w:val="clear" w:color="auto" w:fill="auto"/>
            <w:noWrap/>
            <w:vAlign w:val="center"/>
            <w:hideMark/>
          </w:tcPr>
          <w:p w14:paraId="6C673760" w14:textId="77777777" w:rsidR="00207C3A" w:rsidRPr="000A5A86" w:rsidRDefault="00207C3A" w:rsidP="00270BC4">
            <w:pPr>
              <w:pStyle w:val="NoIndent"/>
              <w:suppressAutoHyphens/>
              <w:spacing w:line="240" w:lineRule="auto"/>
              <w:jc w:val="center"/>
              <w:rPr>
                <w:lang w:val="en-GB"/>
              </w:rPr>
            </w:pPr>
            <w:r w:rsidRPr="000A5A86">
              <w:rPr>
                <w:lang w:val="en-GB"/>
              </w:rPr>
              <w:t>4874</w:t>
            </w:r>
          </w:p>
        </w:tc>
        <w:tc>
          <w:tcPr>
            <w:tcW w:w="1089" w:type="pct"/>
            <w:shd w:val="clear" w:color="auto" w:fill="auto"/>
            <w:noWrap/>
            <w:vAlign w:val="center"/>
            <w:hideMark/>
          </w:tcPr>
          <w:p w14:paraId="4EC458AF" w14:textId="45560747" w:rsidR="00207C3A" w:rsidRPr="000A5A86" w:rsidRDefault="00207C3A" w:rsidP="00270BC4">
            <w:pPr>
              <w:pStyle w:val="NoIndent"/>
              <w:suppressAutoHyphens/>
              <w:spacing w:line="240" w:lineRule="auto"/>
              <w:jc w:val="center"/>
              <w:rPr>
                <w:lang w:val="en-GB"/>
              </w:rPr>
            </w:pPr>
            <w:r w:rsidRPr="000A5A86">
              <w:rPr>
                <w:lang w:val="en-GB"/>
              </w:rPr>
              <w:t>2</w:t>
            </w:r>
            <w:r w:rsidR="001D4EF6" w:rsidRPr="000A5A86">
              <w:rPr>
                <w:lang w:val="en-GB"/>
              </w:rPr>
              <w:t>.</w:t>
            </w:r>
            <w:r w:rsidRPr="000A5A86">
              <w:rPr>
                <w:lang w:val="en-GB"/>
              </w:rPr>
              <w:t>8</w:t>
            </w:r>
          </w:p>
        </w:tc>
        <w:tc>
          <w:tcPr>
            <w:tcW w:w="587" w:type="pct"/>
            <w:shd w:val="clear" w:color="auto" w:fill="auto"/>
            <w:noWrap/>
            <w:vAlign w:val="center"/>
            <w:hideMark/>
          </w:tcPr>
          <w:p w14:paraId="5D8B005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38984652"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19C12268" w14:textId="77777777" w:rsidTr="001A113C">
        <w:trPr>
          <w:cantSplit/>
          <w:trHeight w:val="276"/>
          <w:jc w:val="center"/>
        </w:trPr>
        <w:tc>
          <w:tcPr>
            <w:tcW w:w="644" w:type="pct"/>
            <w:shd w:val="clear" w:color="auto" w:fill="auto"/>
            <w:noWrap/>
            <w:vAlign w:val="center"/>
            <w:hideMark/>
          </w:tcPr>
          <w:p w14:paraId="2DB3C3A1" w14:textId="15306026" w:rsidR="00207C3A" w:rsidRPr="000A5A86" w:rsidRDefault="00207C3A" w:rsidP="00270BC4">
            <w:pPr>
              <w:pStyle w:val="NoIndent"/>
              <w:suppressAutoHyphens/>
              <w:spacing w:line="240" w:lineRule="auto"/>
              <w:jc w:val="center"/>
              <w:rPr>
                <w:lang w:val="en-GB"/>
              </w:rPr>
            </w:pPr>
            <w:r w:rsidRPr="000A5A86">
              <w:rPr>
                <w:lang w:val="en-GB"/>
              </w:rPr>
              <w:t>177</w:t>
            </w:r>
            <w:r w:rsidR="001D4EF6" w:rsidRPr="000A5A86">
              <w:rPr>
                <w:lang w:val="en-GB"/>
              </w:rPr>
              <w:t>.</w:t>
            </w:r>
            <w:r w:rsidRPr="000A5A86">
              <w:rPr>
                <w:lang w:val="en-GB"/>
              </w:rPr>
              <w:t>4</w:t>
            </w:r>
          </w:p>
        </w:tc>
        <w:tc>
          <w:tcPr>
            <w:tcW w:w="1043" w:type="pct"/>
            <w:shd w:val="clear" w:color="auto" w:fill="auto"/>
            <w:noWrap/>
            <w:vAlign w:val="center"/>
            <w:hideMark/>
          </w:tcPr>
          <w:p w14:paraId="6464AFFB" w14:textId="682A9247" w:rsidR="00207C3A" w:rsidRPr="000A5A86" w:rsidRDefault="00207C3A" w:rsidP="00270BC4">
            <w:pPr>
              <w:pStyle w:val="NoIndent"/>
              <w:suppressAutoHyphens/>
              <w:spacing w:line="240" w:lineRule="auto"/>
              <w:jc w:val="center"/>
              <w:rPr>
                <w:lang w:val="en-GB"/>
              </w:rPr>
            </w:pPr>
            <w:r w:rsidRPr="000A5A86">
              <w:rPr>
                <w:lang w:val="en-GB"/>
              </w:rPr>
              <w:t>94</w:t>
            </w:r>
            <w:r w:rsidR="001D4EF6" w:rsidRPr="000A5A86">
              <w:rPr>
                <w:lang w:val="en-GB"/>
              </w:rPr>
              <w:t>.</w:t>
            </w:r>
            <w:r w:rsidRPr="000A5A86">
              <w:rPr>
                <w:lang w:val="en-GB"/>
              </w:rPr>
              <w:t>7</w:t>
            </w:r>
          </w:p>
        </w:tc>
        <w:tc>
          <w:tcPr>
            <w:tcW w:w="618" w:type="pct"/>
            <w:shd w:val="clear" w:color="auto" w:fill="auto"/>
            <w:noWrap/>
            <w:vAlign w:val="center"/>
            <w:hideMark/>
          </w:tcPr>
          <w:p w14:paraId="05C02EBE" w14:textId="77777777" w:rsidR="00207C3A" w:rsidRPr="000A5A86" w:rsidRDefault="00207C3A" w:rsidP="00270BC4">
            <w:pPr>
              <w:pStyle w:val="NoIndent"/>
              <w:suppressAutoHyphens/>
              <w:spacing w:line="240" w:lineRule="auto"/>
              <w:jc w:val="center"/>
              <w:rPr>
                <w:lang w:val="en-GB"/>
              </w:rPr>
            </w:pPr>
            <w:r w:rsidRPr="000A5A86">
              <w:rPr>
                <w:lang w:val="en-GB"/>
              </w:rPr>
              <w:t>4645</w:t>
            </w:r>
          </w:p>
        </w:tc>
        <w:tc>
          <w:tcPr>
            <w:tcW w:w="1089" w:type="pct"/>
            <w:shd w:val="clear" w:color="auto" w:fill="auto"/>
            <w:noWrap/>
            <w:vAlign w:val="center"/>
            <w:hideMark/>
          </w:tcPr>
          <w:p w14:paraId="38CDDA7C" w14:textId="1EB520B6" w:rsidR="00207C3A" w:rsidRPr="000A5A86" w:rsidRDefault="00207C3A" w:rsidP="00270BC4">
            <w:pPr>
              <w:pStyle w:val="NoIndent"/>
              <w:suppressAutoHyphens/>
              <w:spacing w:line="240" w:lineRule="auto"/>
              <w:jc w:val="center"/>
              <w:rPr>
                <w:lang w:val="en-GB"/>
              </w:rPr>
            </w:pPr>
            <w:r w:rsidRPr="000A5A86">
              <w:rPr>
                <w:lang w:val="en-GB"/>
              </w:rPr>
              <w:t>5</w:t>
            </w:r>
            <w:r w:rsidR="001D4EF6" w:rsidRPr="000A5A86">
              <w:rPr>
                <w:lang w:val="en-GB"/>
              </w:rPr>
              <w:t>.</w:t>
            </w:r>
            <w:r w:rsidRPr="000A5A86">
              <w:rPr>
                <w:lang w:val="en-GB"/>
              </w:rPr>
              <w:t>3</w:t>
            </w:r>
          </w:p>
        </w:tc>
        <w:tc>
          <w:tcPr>
            <w:tcW w:w="587" w:type="pct"/>
            <w:shd w:val="clear" w:color="auto" w:fill="auto"/>
            <w:noWrap/>
            <w:vAlign w:val="center"/>
            <w:hideMark/>
          </w:tcPr>
          <w:p w14:paraId="4C438802"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55C5A112"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4B4B32C6" w14:textId="77777777" w:rsidTr="001A113C">
        <w:trPr>
          <w:cantSplit/>
          <w:trHeight w:val="276"/>
          <w:jc w:val="center"/>
        </w:trPr>
        <w:tc>
          <w:tcPr>
            <w:tcW w:w="644" w:type="pct"/>
            <w:shd w:val="clear" w:color="auto" w:fill="auto"/>
            <w:noWrap/>
            <w:vAlign w:val="center"/>
            <w:hideMark/>
          </w:tcPr>
          <w:p w14:paraId="568EAE84" w14:textId="2779F77E" w:rsidR="00207C3A" w:rsidRPr="000A5A86" w:rsidRDefault="00207C3A" w:rsidP="00270BC4">
            <w:pPr>
              <w:pStyle w:val="NoIndent"/>
              <w:suppressAutoHyphens/>
              <w:spacing w:line="240" w:lineRule="auto"/>
              <w:jc w:val="center"/>
              <w:rPr>
                <w:lang w:val="en-GB"/>
              </w:rPr>
            </w:pPr>
            <w:r w:rsidRPr="000A5A86">
              <w:rPr>
                <w:lang w:val="en-GB"/>
              </w:rPr>
              <w:t>204</w:t>
            </w:r>
            <w:r w:rsidR="001D4EF6" w:rsidRPr="000A5A86">
              <w:rPr>
                <w:lang w:val="en-GB"/>
              </w:rPr>
              <w:t>.</w:t>
            </w:r>
            <w:r w:rsidRPr="000A5A86">
              <w:rPr>
                <w:lang w:val="en-GB"/>
              </w:rPr>
              <w:t>1</w:t>
            </w:r>
          </w:p>
        </w:tc>
        <w:tc>
          <w:tcPr>
            <w:tcW w:w="1043" w:type="pct"/>
            <w:shd w:val="clear" w:color="auto" w:fill="auto"/>
            <w:noWrap/>
            <w:vAlign w:val="center"/>
            <w:hideMark/>
          </w:tcPr>
          <w:p w14:paraId="3AC9D638" w14:textId="1A2F0171" w:rsidR="00207C3A" w:rsidRPr="000A5A86" w:rsidRDefault="00207C3A" w:rsidP="00270BC4">
            <w:pPr>
              <w:pStyle w:val="NoIndent"/>
              <w:suppressAutoHyphens/>
              <w:spacing w:line="240" w:lineRule="auto"/>
              <w:jc w:val="center"/>
              <w:rPr>
                <w:lang w:val="en-GB"/>
              </w:rPr>
            </w:pPr>
            <w:r w:rsidRPr="000A5A86">
              <w:rPr>
                <w:lang w:val="en-GB"/>
              </w:rPr>
              <w:t>97</w:t>
            </w:r>
            <w:r w:rsidR="001D4EF6" w:rsidRPr="000A5A86">
              <w:rPr>
                <w:lang w:val="en-GB"/>
              </w:rPr>
              <w:t>.</w:t>
            </w:r>
            <w:r w:rsidRPr="000A5A86">
              <w:rPr>
                <w:lang w:val="en-GB"/>
              </w:rPr>
              <w:t>9</w:t>
            </w:r>
          </w:p>
        </w:tc>
        <w:tc>
          <w:tcPr>
            <w:tcW w:w="618" w:type="pct"/>
            <w:shd w:val="clear" w:color="auto" w:fill="auto"/>
            <w:noWrap/>
            <w:vAlign w:val="center"/>
            <w:hideMark/>
          </w:tcPr>
          <w:p w14:paraId="6C2BFB22" w14:textId="77777777" w:rsidR="00207C3A" w:rsidRPr="000A5A86" w:rsidRDefault="00207C3A" w:rsidP="00270BC4">
            <w:pPr>
              <w:pStyle w:val="NoIndent"/>
              <w:suppressAutoHyphens/>
              <w:spacing w:line="240" w:lineRule="auto"/>
              <w:jc w:val="center"/>
              <w:rPr>
                <w:lang w:val="en-GB"/>
              </w:rPr>
            </w:pPr>
            <w:r w:rsidRPr="000A5A86">
              <w:rPr>
                <w:lang w:val="en-GB"/>
              </w:rPr>
              <w:t>4045</w:t>
            </w:r>
          </w:p>
        </w:tc>
        <w:tc>
          <w:tcPr>
            <w:tcW w:w="1089" w:type="pct"/>
            <w:shd w:val="clear" w:color="auto" w:fill="auto"/>
            <w:noWrap/>
            <w:vAlign w:val="center"/>
            <w:hideMark/>
          </w:tcPr>
          <w:p w14:paraId="6E4E2A8E" w14:textId="1FB108A6" w:rsidR="00207C3A" w:rsidRPr="000A5A86" w:rsidRDefault="00207C3A" w:rsidP="00270BC4">
            <w:pPr>
              <w:pStyle w:val="NoIndent"/>
              <w:suppressAutoHyphens/>
              <w:spacing w:line="240" w:lineRule="auto"/>
              <w:jc w:val="center"/>
              <w:rPr>
                <w:lang w:val="en-GB"/>
              </w:rPr>
            </w:pPr>
            <w:r w:rsidRPr="000A5A86">
              <w:rPr>
                <w:lang w:val="en-GB"/>
              </w:rPr>
              <w:t>2</w:t>
            </w:r>
            <w:r w:rsidR="001D4EF6" w:rsidRPr="000A5A86">
              <w:rPr>
                <w:lang w:val="en-GB"/>
              </w:rPr>
              <w:t>.</w:t>
            </w:r>
            <w:r w:rsidRPr="000A5A86">
              <w:rPr>
                <w:lang w:val="en-GB"/>
              </w:rPr>
              <w:t>1</w:t>
            </w:r>
          </w:p>
        </w:tc>
        <w:tc>
          <w:tcPr>
            <w:tcW w:w="587" w:type="pct"/>
            <w:shd w:val="clear" w:color="auto" w:fill="auto"/>
            <w:noWrap/>
            <w:vAlign w:val="center"/>
            <w:hideMark/>
          </w:tcPr>
          <w:p w14:paraId="47C3764F"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309E7DC1"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7146F3A4" w14:textId="77777777" w:rsidTr="001A113C">
        <w:trPr>
          <w:cantSplit/>
          <w:trHeight w:val="276"/>
          <w:jc w:val="center"/>
        </w:trPr>
        <w:tc>
          <w:tcPr>
            <w:tcW w:w="644" w:type="pct"/>
            <w:shd w:val="clear" w:color="auto" w:fill="auto"/>
            <w:noWrap/>
            <w:vAlign w:val="center"/>
            <w:hideMark/>
          </w:tcPr>
          <w:p w14:paraId="3999A6E0" w14:textId="7A526755" w:rsidR="00207C3A" w:rsidRPr="000A5A86" w:rsidRDefault="00207C3A" w:rsidP="00270BC4">
            <w:pPr>
              <w:pStyle w:val="NoIndent"/>
              <w:suppressAutoHyphens/>
              <w:spacing w:line="240" w:lineRule="auto"/>
              <w:jc w:val="center"/>
              <w:rPr>
                <w:lang w:val="en-GB"/>
              </w:rPr>
            </w:pPr>
            <w:r w:rsidRPr="000A5A86">
              <w:rPr>
                <w:lang w:val="en-GB"/>
              </w:rPr>
              <w:t>219</w:t>
            </w:r>
            <w:r w:rsidR="001D4EF6" w:rsidRPr="000A5A86">
              <w:rPr>
                <w:lang w:val="en-GB"/>
              </w:rPr>
              <w:t>.</w:t>
            </w:r>
            <w:r w:rsidRPr="000A5A86">
              <w:rPr>
                <w:lang w:val="en-GB"/>
              </w:rPr>
              <w:t>4</w:t>
            </w:r>
          </w:p>
        </w:tc>
        <w:tc>
          <w:tcPr>
            <w:tcW w:w="1043" w:type="pct"/>
            <w:shd w:val="clear" w:color="auto" w:fill="auto"/>
            <w:noWrap/>
            <w:vAlign w:val="center"/>
            <w:hideMark/>
          </w:tcPr>
          <w:p w14:paraId="56A3C0B5" w14:textId="77777777" w:rsidR="00207C3A" w:rsidRPr="000A5A86" w:rsidRDefault="00207C3A" w:rsidP="00270BC4">
            <w:pPr>
              <w:pStyle w:val="NoIndent"/>
              <w:suppressAutoHyphens/>
              <w:spacing w:line="240" w:lineRule="auto"/>
              <w:jc w:val="center"/>
              <w:rPr>
                <w:lang w:val="en-GB"/>
              </w:rPr>
            </w:pPr>
            <w:r w:rsidRPr="000A5A86">
              <w:rPr>
                <w:lang w:val="en-GB"/>
              </w:rPr>
              <w:t>100</w:t>
            </w:r>
          </w:p>
        </w:tc>
        <w:tc>
          <w:tcPr>
            <w:tcW w:w="618" w:type="pct"/>
            <w:shd w:val="clear" w:color="auto" w:fill="auto"/>
            <w:noWrap/>
            <w:vAlign w:val="center"/>
            <w:hideMark/>
          </w:tcPr>
          <w:p w14:paraId="6324B7B8"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89" w:type="pct"/>
            <w:shd w:val="clear" w:color="auto" w:fill="auto"/>
            <w:noWrap/>
            <w:vAlign w:val="center"/>
            <w:hideMark/>
          </w:tcPr>
          <w:p w14:paraId="12A8F120"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587" w:type="pct"/>
            <w:shd w:val="clear" w:color="auto" w:fill="auto"/>
            <w:noWrap/>
            <w:vAlign w:val="center"/>
            <w:hideMark/>
          </w:tcPr>
          <w:p w14:paraId="763725F3" w14:textId="77777777" w:rsidR="00207C3A" w:rsidRPr="000A5A86" w:rsidRDefault="00207C3A" w:rsidP="00270BC4">
            <w:pPr>
              <w:pStyle w:val="NoIndent"/>
              <w:suppressAutoHyphens/>
              <w:spacing w:line="240" w:lineRule="auto"/>
              <w:jc w:val="center"/>
              <w:rPr>
                <w:lang w:val="en-GB"/>
              </w:rPr>
            </w:pPr>
            <w:r w:rsidRPr="000A5A86">
              <w:rPr>
                <w:lang w:val="en-GB"/>
              </w:rPr>
              <w:t>0</w:t>
            </w:r>
          </w:p>
        </w:tc>
        <w:tc>
          <w:tcPr>
            <w:tcW w:w="1019" w:type="pct"/>
            <w:shd w:val="clear" w:color="auto" w:fill="auto"/>
            <w:noWrap/>
            <w:vAlign w:val="center"/>
            <w:hideMark/>
          </w:tcPr>
          <w:p w14:paraId="3CB7C680" w14:textId="77777777" w:rsidR="00207C3A" w:rsidRPr="000A5A86" w:rsidRDefault="00207C3A" w:rsidP="00270BC4">
            <w:pPr>
              <w:pStyle w:val="NoIndent"/>
              <w:suppressAutoHyphens/>
              <w:spacing w:line="240" w:lineRule="auto"/>
              <w:jc w:val="center"/>
              <w:rPr>
                <w:lang w:val="en-GB"/>
              </w:rPr>
            </w:pPr>
            <w:r w:rsidRPr="000A5A86">
              <w:rPr>
                <w:lang w:val="en-GB"/>
              </w:rPr>
              <w:t>0</w:t>
            </w:r>
          </w:p>
        </w:tc>
      </w:tr>
      <w:tr w:rsidR="001A113C" w:rsidRPr="000A5A86" w14:paraId="41DD48E0" w14:textId="77777777" w:rsidTr="001A113C">
        <w:trPr>
          <w:cantSplit/>
          <w:trHeight w:val="276"/>
          <w:jc w:val="center"/>
        </w:trPr>
        <w:tc>
          <w:tcPr>
            <w:tcW w:w="644" w:type="pct"/>
            <w:shd w:val="clear" w:color="auto" w:fill="auto"/>
            <w:noWrap/>
            <w:vAlign w:val="center"/>
            <w:hideMark/>
          </w:tcPr>
          <w:p w14:paraId="266C4E45" w14:textId="7BA3687F" w:rsidR="00207C3A" w:rsidRPr="000A5A86" w:rsidRDefault="00207C3A" w:rsidP="00270BC4">
            <w:pPr>
              <w:pStyle w:val="NoIndent"/>
              <w:suppressAutoHyphens/>
              <w:spacing w:line="240" w:lineRule="auto"/>
              <w:jc w:val="center"/>
              <w:rPr>
                <w:lang w:val="en-GB"/>
              </w:rPr>
            </w:pPr>
            <w:r w:rsidRPr="000A5A86">
              <w:rPr>
                <w:lang w:val="en-GB"/>
              </w:rPr>
              <w:t>197</w:t>
            </w:r>
            <w:r w:rsidR="001D4EF6" w:rsidRPr="000A5A86">
              <w:rPr>
                <w:lang w:val="en-GB"/>
              </w:rPr>
              <w:t>.</w:t>
            </w:r>
            <w:r w:rsidRPr="000A5A86">
              <w:rPr>
                <w:lang w:val="en-GB"/>
              </w:rPr>
              <w:t>3</w:t>
            </w:r>
          </w:p>
        </w:tc>
        <w:tc>
          <w:tcPr>
            <w:tcW w:w="1043" w:type="pct"/>
            <w:shd w:val="clear" w:color="auto" w:fill="auto"/>
            <w:noWrap/>
            <w:vAlign w:val="center"/>
            <w:hideMark/>
          </w:tcPr>
          <w:p w14:paraId="24037BBE" w14:textId="5D228960" w:rsidR="00207C3A" w:rsidRPr="000A5A86" w:rsidRDefault="00207C3A" w:rsidP="00270BC4">
            <w:pPr>
              <w:pStyle w:val="NoIndent"/>
              <w:suppressAutoHyphens/>
              <w:spacing w:line="240" w:lineRule="auto"/>
              <w:jc w:val="center"/>
              <w:rPr>
                <w:lang w:val="en-GB"/>
              </w:rPr>
            </w:pPr>
            <w:r w:rsidRPr="000A5A86">
              <w:rPr>
                <w:lang w:val="en-GB"/>
              </w:rPr>
              <w:t>97</w:t>
            </w:r>
            <w:r w:rsidR="001D4EF6" w:rsidRPr="000A5A86">
              <w:rPr>
                <w:lang w:val="en-GB"/>
              </w:rPr>
              <w:t>.</w:t>
            </w:r>
            <w:r w:rsidRPr="000A5A86">
              <w:rPr>
                <w:lang w:val="en-GB"/>
              </w:rPr>
              <w:t>1</w:t>
            </w:r>
          </w:p>
        </w:tc>
        <w:tc>
          <w:tcPr>
            <w:tcW w:w="618" w:type="pct"/>
            <w:shd w:val="clear" w:color="auto" w:fill="auto"/>
            <w:noWrap/>
            <w:vAlign w:val="center"/>
            <w:hideMark/>
          </w:tcPr>
          <w:p w14:paraId="34AEF739" w14:textId="77777777" w:rsidR="00207C3A" w:rsidRPr="000A5A86" w:rsidRDefault="00207C3A" w:rsidP="00270BC4">
            <w:pPr>
              <w:pStyle w:val="NoIndent"/>
              <w:suppressAutoHyphens/>
              <w:spacing w:line="240" w:lineRule="auto"/>
              <w:jc w:val="center"/>
              <w:rPr>
                <w:lang w:val="en-GB"/>
              </w:rPr>
            </w:pPr>
            <w:r w:rsidRPr="000A5A86">
              <w:rPr>
                <w:lang w:val="en-GB"/>
              </w:rPr>
              <w:t>4724</w:t>
            </w:r>
          </w:p>
        </w:tc>
        <w:tc>
          <w:tcPr>
            <w:tcW w:w="1089" w:type="pct"/>
            <w:shd w:val="clear" w:color="auto" w:fill="auto"/>
            <w:noWrap/>
            <w:vAlign w:val="center"/>
            <w:hideMark/>
          </w:tcPr>
          <w:p w14:paraId="374F1F52" w14:textId="18D535F8" w:rsidR="00207C3A" w:rsidRPr="000A5A86" w:rsidRDefault="00207C3A" w:rsidP="00270BC4">
            <w:pPr>
              <w:pStyle w:val="NoIndent"/>
              <w:suppressAutoHyphens/>
              <w:spacing w:line="240" w:lineRule="auto"/>
              <w:jc w:val="center"/>
              <w:rPr>
                <w:lang w:val="en-GB"/>
              </w:rPr>
            </w:pPr>
            <w:r w:rsidRPr="000A5A86">
              <w:rPr>
                <w:lang w:val="en-GB"/>
              </w:rPr>
              <w:t>2</w:t>
            </w:r>
            <w:r w:rsidR="001D4EF6" w:rsidRPr="000A5A86">
              <w:rPr>
                <w:lang w:val="en-GB"/>
              </w:rPr>
              <w:t>.</w:t>
            </w:r>
            <w:r w:rsidRPr="000A5A86">
              <w:rPr>
                <w:lang w:val="en-GB"/>
              </w:rPr>
              <w:t>2</w:t>
            </w:r>
          </w:p>
        </w:tc>
        <w:tc>
          <w:tcPr>
            <w:tcW w:w="587" w:type="pct"/>
            <w:shd w:val="clear" w:color="auto" w:fill="auto"/>
            <w:noWrap/>
            <w:vAlign w:val="center"/>
            <w:hideMark/>
          </w:tcPr>
          <w:p w14:paraId="71716FEB" w14:textId="56B50BC7" w:rsidR="00207C3A" w:rsidRPr="000A5A86" w:rsidRDefault="00207C3A" w:rsidP="00270BC4">
            <w:pPr>
              <w:pStyle w:val="NoIndent"/>
              <w:suppressAutoHyphens/>
              <w:spacing w:line="240" w:lineRule="auto"/>
              <w:jc w:val="center"/>
              <w:rPr>
                <w:lang w:val="en-GB"/>
              </w:rPr>
            </w:pPr>
            <w:r w:rsidRPr="000A5A86">
              <w:rPr>
                <w:lang w:val="en-GB"/>
              </w:rPr>
              <w:t>10</w:t>
            </w:r>
            <w:r w:rsidR="001D4EF6" w:rsidRPr="000A5A86">
              <w:rPr>
                <w:lang w:val="en-GB"/>
              </w:rPr>
              <w:t>.</w:t>
            </w:r>
            <w:r w:rsidRPr="000A5A86">
              <w:rPr>
                <w:lang w:val="en-GB"/>
              </w:rPr>
              <w:t>21</w:t>
            </w:r>
          </w:p>
        </w:tc>
        <w:tc>
          <w:tcPr>
            <w:tcW w:w="1019" w:type="pct"/>
            <w:shd w:val="clear" w:color="auto" w:fill="auto"/>
            <w:noWrap/>
            <w:vAlign w:val="center"/>
            <w:hideMark/>
          </w:tcPr>
          <w:p w14:paraId="27DF7020" w14:textId="42C938BA" w:rsidR="00207C3A" w:rsidRPr="000A5A86" w:rsidRDefault="00207C3A" w:rsidP="00270BC4">
            <w:pPr>
              <w:pStyle w:val="NoIndent"/>
              <w:suppressAutoHyphens/>
              <w:spacing w:line="240" w:lineRule="auto"/>
              <w:jc w:val="center"/>
              <w:rPr>
                <w:lang w:val="en-GB"/>
              </w:rPr>
            </w:pPr>
            <w:r w:rsidRPr="000A5A86">
              <w:rPr>
                <w:lang w:val="en-GB"/>
              </w:rPr>
              <w:t>0</w:t>
            </w:r>
            <w:r w:rsidR="001D4EF6" w:rsidRPr="000A5A86">
              <w:rPr>
                <w:lang w:val="en-GB"/>
              </w:rPr>
              <w:t>.</w:t>
            </w:r>
            <w:r w:rsidRPr="000A5A86">
              <w:rPr>
                <w:lang w:val="en-GB"/>
              </w:rPr>
              <w:t>7</w:t>
            </w:r>
          </w:p>
        </w:tc>
      </w:tr>
    </w:tbl>
    <w:p w14:paraId="59B493EF" w14:textId="77777777" w:rsidR="00293C6E" w:rsidRPr="006F2E08" w:rsidRDefault="00293C6E" w:rsidP="00293C6E">
      <w:pPr>
        <w:pStyle w:val="NoIndent"/>
        <w:suppressAutoHyphens/>
        <w:spacing w:line="240" w:lineRule="auto"/>
        <w:rPr>
          <w:lang w:val="en-GB"/>
        </w:rPr>
      </w:pPr>
    </w:p>
    <w:p w14:paraId="01CF3554" w14:textId="77777777" w:rsidR="00B86B9B" w:rsidRPr="006F2E08" w:rsidRDefault="00DB1E1C" w:rsidP="00270BC4">
      <w:pPr>
        <w:suppressAutoHyphens/>
        <w:spacing w:before="0" w:after="0" w:line="240" w:lineRule="auto"/>
        <w:ind w:firstLine="0"/>
        <w:jc w:val="center"/>
        <w:rPr>
          <w:lang w:val="en-GB"/>
        </w:rPr>
      </w:pPr>
      <w:bookmarkStart w:id="12" w:name="_Toc515904598"/>
      <w:r w:rsidRPr="006F2E08">
        <w:rPr>
          <w:i/>
          <w:noProof/>
          <w:lang w:val="en-GB"/>
        </w:rPr>
        <w:drawing>
          <wp:inline distT="0" distB="0" distL="0" distR="0" wp14:anchorId="2A7BAFCF" wp14:editId="529553CC">
            <wp:extent cx="5872767" cy="2520564"/>
            <wp:effectExtent l="0" t="0" r="0" b="0"/>
            <wp:docPr id="14" name="Obraz 2" descr="C:\Users\User\Desktop\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E.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824" b="1811"/>
                    <a:stretch/>
                  </pic:blipFill>
                  <pic:spPr bwMode="auto">
                    <a:xfrm>
                      <a:off x="0" y="0"/>
                      <a:ext cx="5942478" cy="2550484"/>
                    </a:xfrm>
                    <a:prstGeom prst="rect">
                      <a:avLst/>
                    </a:prstGeom>
                    <a:noFill/>
                    <a:ln>
                      <a:noFill/>
                    </a:ln>
                    <a:extLst>
                      <a:ext uri="{53640926-AAD7-44D8-BBD7-CCE9431645EC}">
                        <a14:shadowObscured xmlns:a14="http://schemas.microsoft.com/office/drawing/2010/main"/>
                      </a:ext>
                    </a:extLst>
                  </pic:spPr>
                </pic:pic>
              </a:graphicData>
            </a:graphic>
          </wp:inline>
        </w:drawing>
      </w:r>
      <w:bookmarkStart w:id="13" w:name="_Toc515905337"/>
    </w:p>
    <w:bookmarkEnd w:id="13"/>
    <w:p w14:paraId="053D8646" w14:textId="4052AAF5" w:rsidR="003B72BB" w:rsidRPr="006F2E08" w:rsidRDefault="00816B6A" w:rsidP="006F2E08">
      <w:pPr>
        <w:pStyle w:val="Rrys"/>
        <w:rPr>
          <w:lang w:val="en-GB"/>
        </w:rPr>
      </w:pPr>
      <w:r w:rsidRPr="006F2E08">
        <w:rPr>
          <w:b/>
          <w:lang w:val="en-GB"/>
        </w:rPr>
        <w:t>Fi</w:t>
      </w:r>
      <w:r w:rsidR="006F2E08" w:rsidRPr="006F2E08">
        <w:rPr>
          <w:b/>
          <w:lang w:val="en-GB"/>
        </w:rPr>
        <w:t>g.</w:t>
      </w:r>
      <w:r w:rsidRPr="006F2E08">
        <w:rPr>
          <w:b/>
          <w:lang w:val="en-GB"/>
        </w:rPr>
        <w:t xml:space="preserve"> 2.</w:t>
      </w:r>
      <w:r w:rsidRPr="006F2E08">
        <w:rPr>
          <w:lang w:val="en-GB"/>
        </w:rPr>
        <w:t xml:space="preserve"> </w:t>
      </w:r>
      <w:r w:rsidR="001D4EF6" w:rsidRPr="006F2E08">
        <w:rPr>
          <w:lang w:val="en-GB"/>
        </w:rPr>
        <w:t>Distribution of the peaks for individual samples containing PE</w:t>
      </w:r>
    </w:p>
    <w:bookmarkEnd w:id="12"/>
    <w:p w14:paraId="18CD5B22" w14:textId="77777777" w:rsidR="007F54E6" w:rsidRPr="006F2E08" w:rsidRDefault="007F54E6" w:rsidP="006F2E08">
      <w:pPr>
        <w:spacing w:before="0" w:after="0" w:line="240" w:lineRule="auto"/>
        <w:ind w:firstLine="284"/>
        <w:rPr>
          <w:rFonts w:eastAsia="Calibri"/>
          <w:sz w:val="22"/>
          <w:szCs w:val="22"/>
          <w:lang w:val="en-GB" w:eastAsia="en-US"/>
        </w:rPr>
      </w:pPr>
    </w:p>
    <w:p w14:paraId="1F28690F" w14:textId="1715C4FD" w:rsidR="00465070" w:rsidRPr="006F2E08" w:rsidRDefault="00B14878" w:rsidP="006F2E08">
      <w:pPr>
        <w:spacing w:before="0" w:after="0" w:line="240" w:lineRule="auto"/>
        <w:ind w:firstLine="284"/>
        <w:rPr>
          <w:sz w:val="22"/>
          <w:szCs w:val="22"/>
          <w:lang w:val="en-GB"/>
        </w:rPr>
      </w:pPr>
      <w:r w:rsidRPr="006F2E08">
        <w:rPr>
          <w:sz w:val="22"/>
          <w:szCs w:val="22"/>
          <w:lang w:val="en-GB"/>
        </w:rPr>
        <w:t xml:space="preserve">The developed method allowed </w:t>
      </w:r>
      <w:r w:rsidR="00405F9E">
        <w:rPr>
          <w:sz w:val="22"/>
          <w:szCs w:val="22"/>
          <w:lang w:val="en-GB"/>
        </w:rPr>
        <w:t xml:space="preserve">the </w:t>
      </w:r>
      <w:r w:rsidRPr="006F2E08">
        <w:rPr>
          <w:sz w:val="22"/>
          <w:szCs w:val="22"/>
          <w:lang w:val="en-GB"/>
        </w:rPr>
        <w:t>obtain</w:t>
      </w:r>
      <w:r w:rsidR="00405F9E">
        <w:rPr>
          <w:sz w:val="22"/>
          <w:szCs w:val="22"/>
          <w:lang w:val="en-GB"/>
        </w:rPr>
        <w:t>ing</w:t>
      </w:r>
      <w:r w:rsidRPr="006F2E08">
        <w:rPr>
          <w:sz w:val="22"/>
          <w:szCs w:val="22"/>
          <w:lang w:val="en-GB"/>
        </w:rPr>
        <w:t xml:space="preserve"> </w:t>
      </w:r>
      <w:r w:rsidR="00405F9E">
        <w:rPr>
          <w:sz w:val="22"/>
          <w:szCs w:val="22"/>
          <w:lang w:val="en-GB"/>
        </w:rPr>
        <w:t xml:space="preserve">of </w:t>
      </w:r>
      <w:r w:rsidRPr="006F2E08">
        <w:rPr>
          <w:sz w:val="22"/>
          <w:szCs w:val="22"/>
          <w:lang w:val="en-GB"/>
        </w:rPr>
        <w:t xml:space="preserve">secondary </w:t>
      </w:r>
      <w:r w:rsidR="002F5A48" w:rsidRPr="006F2E08">
        <w:rPr>
          <w:sz w:val="22"/>
          <w:szCs w:val="22"/>
          <w:lang w:val="en-GB"/>
        </w:rPr>
        <w:t>micro</w:t>
      </w:r>
      <w:r w:rsidRPr="006F2E08">
        <w:rPr>
          <w:sz w:val="22"/>
          <w:szCs w:val="22"/>
          <w:lang w:val="en-GB"/>
        </w:rPr>
        <w:t xml:space="preserve">plastics in a controlled manner, which can be used as intermediates for further use. It is estimated that, depending on the type of plastic, from 21% to 100% of the obtained secondary material can replace the primary material, covering 11% to 17% of the total material requirement </w:t>
      </w:r>
      <w:r w:rsidR="000B4FE3" w:rsidRPr="006F2E08">
        <w:rPr>
          <w:sz w:val="22"/>
          <w:szCs w:val="22"/>
          <w:lang w:val="en-GB"/>
        </w:rPr>
        <w:t>(</w:t>
      </w:r>
      <w:proofErr w:type="spellStart"/>
      <w:r w:rsidR="002006BB" w:rsidRPr="006F2E08">
        <w:rPr>
          <w:sz w:val="22"/>
          <w:szCs w:val="22"/>
          <w:lang w:val="en-GB"/>
        </w:rPr>
        <w:t>Gronba-Chyła</w:t>
      </w:r>
      <w:proofErr w:type="spellEnd"/>
      <w:r w:rsidR="002006BB" w:rsidRPr="006F2E08">
        <w:rPr>
          <w:sz w:val="22"/>
          <w:szCs w:val="22"/>
          <w:lang w:val="en-GB"/>
        </w:rPr>
        <w:t xml:space="preserve"> </w:t>
      </w:r>
      <w:r w:rsidR="00251036" w:rsidRPr="006F2E08">
        <w:rPr>
          <w:sz w:val="22"/>
          <w:szCs w:val="22"/>
          <w:lang w:val="en-GB"/>
        </w:rPr>
        <w:t>et al. 2022</w:t>
      </w:r>
      <w:r w:rsidR="0058024B">
        <w:rPr>
          <w:sz w:val="22"/>
          <w:szCs w:val="22"/>
          <w:lang w:val="en-GB"/>
        </w:rPr>
        <w:t>,</w:t>
      </w:r>
      <w:r w:rsidR="002006BB" w:rsidRPr="006F2E08">
        <w:rPr>
          <w:sz w:val="22"/>
          <w:szCs w:val="22"/>
          <w:lang w:val="en-GB"/>
        </w:rPr>
        <w:t xml:space="preserve"> </w:t>
      </w:r>
      <w:r w:rsidR="009E5FEA" w:rsidRPr="006F2E08">
        <w:rPr>
          <w:sz w:val="22"/>
          <w:szCs w:val="22"/>
          <w:lang w:val="en-GB"/>
        </w:rPr>
        <w:t xml:space="preserve">Klotz </w:t>
      </w:r>
      <w:r w:rsidR="009E5FEA" w:rsidRPr="006F2E08">
        <w:rPr>
          <w:iCs/>
          <w:sz w:val="22"/>
          <w:szCs w:val="22"/>
          <w:lang w:val="en-GB"/>
        </w:rPr>
        <w:t>et al.</w:t>
      </w:r>
      <w:r w:rsidR="009E5FEA" w:rsidRPr="006F2E08">
        <w:rPr>
          <w:sz w:val="22"/>
          <w:szCs w:val="22"/>
          <w:lang w:val="en-GB"/>
        </w:rPr>
        <w:t xml:space="preserve"> 2022</w:t>
      </w:r>
      <w:r w:rsidR="000B4FE3" w:rsidRPr="006F2E08">
        <w:rPr>
          <w:sz w:val="22"/>
          <w:szCs w:val="22"/>
          <w:lang w:val="en-GB"/>
        </w:rPr>
        <w:t>)</w:t>
      </w:r>
      <w:r w:rsidR="009E5FEA" w:rsidRPr="006F2E08">
        <w:rPr>
          <w:sz w:val="22"/>
          <w:szCs w:val="22"/>
          <w:lang w:val="en-GB"/>
        </w:rPr>
        <w:t>.</w:t>
      </w:r>
      <w:r w:rsidR="00790020" w:rsidRPr="006F2E08">
        <w:rPr>
          <w:sz w:val="22"/>
          <w:szCs w:val="22"/>
          <w:lang w:val="en-GB"/>
        </w:rPr>
        <w:t xml:space="preserve"> </w:t>
      </w:r>
      <w:r w:rsidRPr="006F2E08">
        <w:rPr>
          <w:sz w:val="22"/>
          <w:szCs w:val="22"/>
          <w:lang w:val="en-GB"/>
        </w:rPr>
        <w:t xml:space="preserve">Much research into determining the quality of recycled plastics has focused on examining the various pollutants present. </w:t>
      </w:r>
      <w:r w:rsidR="00465070" w:rsidRPr="006F2E08">
        <w:rPr>
          <w:sz w:val="22"/>
          <w:szCs w:val="22"/>
          <w:lang w:val="en-GB"/>
        </w:rPr>
        <w:t xml:space="preserve">However, it is extremely important to </w:t>
      </w:r>
      <w:r w:rsidR="00405F9E">
        <w:rPr>
          <w:sz w:val="22"/>
          <w:szCs w:val="22"/>
          <w:lang w:val="en-GB"/>
        </w:rPr>
        <w:t>assess the loss of technical functionality of recycled plastics properly</w:t>
      </w:r>
      <w:r w:rsidR="00465070" w:rsidRPr="006F2E08">
        <w:rPr>
          <w:sz w:val="22"/>
          <w:szCs w:val="22"/>
          <w:lang w:val="en-GB"/>
        </w:rPr>
        <w:t xml:space="preserve"> </w:t>
      </w:r>
      <w:r w:rsidR="000B4FE3" w:rsidRPr="006F2E08">
        <w:rPr>
          <w:sz w:val="22"/>
          <w:szCs w:val="22"/>
          <w:lang w:val="en-GB"/>
        </w:rPr>
        <w:t>(</w:t>
      </w:r>
      <w:proofErr w:type="spellStart"/>
      <w:r w:rsidR="005209B1" w:rsidRPr="006F2E08">
        <w:rPr>
          <w:sz w:val="22"/>
          <w:szCs w:val="22"/>
          <w:lang w:val="en-GB"/>
        </w:rPr>
        <w:t>Demets</w:t>
      </w:r>
      <w:proofErr w:type="spellEnd"/>
      <w:r w:rsidR="005209B1" w:rsidRPr="006F2E08">
        <w:rPr>
          <w:sz w:val="22"/>
          <w:szCs w:val="22"/>
          <w:lang w:val="en-GB"/>
        </w:rPr>
        <w:t xml:space="preserve"> et al.</w:t>
      </w:r>
      <w:r w:rsidR="000B4FE3" w:rsidRPr="006F2E08">
        <w:rPr>
          <w:sz w:val="22"/>
          <w:szCs w:val="22"/>
          <w:lang w:val="en-GB"/>
        </w:rPr>
        <w:t xml:space="preserve"> 2021)</w:t>
      </w:r>
      <w:r w:rsidR="00790020" w:rsidRPr="006F2E08">
        <w:rPr>
          <w:sz w:val="22"/>
          <w:szCs w:val="22"/>
          <w:lang w:val="en-GB"/>
        </w:rPr>
        <w:t xml:space="preserve">. </w:t>
      </w:r>
      <w:r w:rsidR="00405F9E">
        <w:rPr>
          <w:sz w:val="22"/>
          <w:szCs w:val="22"/>
          <w:lang w:val="en-GB"/>
        </w:rPr>
        <w:t>It</w:t>
      </w:r>
      <w:r w:rsidR="00465070" w:rsidRPr="006F2E08">
        <w:rPr>
          <w:sz w:val="22"/>
          <w:szCs w:val="22"/>
          <w:lang w:val="en-GB"/>
        </w:rPr>
        <w:t xml:space="preserve"> will allow </w:t>
      </w:r>
      <w:r w:rsidR="00405F9E">
        <w:rPr>
          <w:sz w:val="22"/>
          <w:szCs w:val="22"/>
          <w:lang w:val="en-GB"/>
        </w:rPr>
        <w:t xml:space="preserve">us </w:t>
      </w:r>
      <w:r w:rsidR="00465070" w:rsidRPr="006F2E08">
        <w:rPr>
          <w:sz w:val="22"/>
          <w:szCs w:val="22"/>
          <w:lang w:val="en-GB"/>
        </w:rPr>
        <w:t>to determine the application paths of this type of material.</w:t>
      </w:r>
      <w:r w:rsidR="00790020" w:rsidRPr="006F2E08">
        <w:rPr>
          <w:sz w:val="22"/>
          <w:szCs w:val="22"/>
          <w:lang w:val="en-GB"/>
        </w:rPr>
        <w:t xml:space="preserve"> </w:t>
      </w:r>
      <w:r w:rsidR="000B4FE3" w:rsidRPr="006F2E08">
        <w:rPr>
          <w:sz w:val="22"/>
          <w:szCs w:val="22"/>
          <w:lang w:val="en-GB"/>
        </w:rPr>
        <w:t>Literature sources (</w:t>
      </w:r>
      <w:proofErr w:type="spellStart"/>
      <w:r w:rsidR="00465070" w:rsidRPr="006F2E08">
        <w:rPr>
          <w:sz w:val="22"/>
          <w:szCs w:val="22"/>
          <w:lang w:val="en-GB"/>
        </w:rPr>
        <w:t>Shamsuyeva</w:t>
      </w:r>
      <w:proofErr w:type="spellEnd"/>
      <w:r w:rsidR="00465070" w:rsidRPr="006F2E08">
        <w:rPr>
          <w:sz w:val="22"/>
          <w:szCs w:val="22"/>
          <w:lang w:val="en-GB"/>
        </w:rPr>
        <w:t xml:space="preserve"> </w:t>
      </w:r>
      <w:r w:rsidR="0058024B">
        <w:rPr>
          <w:sz w:val="22"/>
          <w:szCs w:val="22"/>
          <w:lang w:val="en-GB"/>
        </w:rPr>
        <w:t>&amp;</w:t>
      </w:r>
      <w:r w:rsidR="00465070" w:rsidRPr="006F2E08">
        <w:rPr>
          <w:sz w:val="22"/>
          <w:szCs w:val="22"/>
          <w:lang w:val="en-GB"/>
        </w:rPr>
        <w:t xml:space="preserve"> Endres 2021</w:t>
      </w:r>
      <w:r w:rsidR="0058024B">
        <w:rPr>
          <w:sz w:val="22"/>
          <w:szCs w:val="22"/>
          <w:lang w:val="en-GB"/>
        </w:rPr>
        <w:t>,</w:t>
      </w:r>
      <w:r w:rsidR="005209B1" w:rsidRPr="006F2E08">
        <w:rPr>
          <w:sz w:val="22"/>
          <w:szCs w:val="22"/>
          <w:lang w:val="en-GB"/>
        </w:rPr>
        <w:t xml:space="preserve"> </w:t>
      </w:r>
      <w:r w:rsidR="00251036" w:rsidRPr="006F2E08">
        <w:rPr>
          <w:sz w:val="22"/>
          <w:szCs w:val="22"/>
          <w:lang w:val="en-GB"/>
        </w:rPr>
        <w:t>Vasiliev</w:t>
      </w:r>
      <w:r w:rsidR="005209B1" w:rsidRPr="006F2E08">
        <w:rPr>
          <w:sz w:val="22"/>
          <w:szCs w:val="22"/>
          <w:lang w:val="en-GB"/>
        </w:rPr>
        <w:t xml:space="preserve"> et al.</w:t>
      </w:r>
      <w:r w:rsidR="000B4FE3" w:rsidRPr="006F2E08">
        <w:rPr>
          <w:sz w:val="22"/>
          <w:szCs w:val="22"/>
          <w:lang w:val="en-GB"/>
        </w:rPr>
        <w:t xml:space="preserve"> 2018)</w:t>
      </w:r>
      <w:r w:rsidR="00465070" w:rsidRPr="006F2E08">
        <w:rPr>
          <w:sz w:val="22"/>
          <w:szCs w:val="22"/>
          <w:lang w:val="en-GB"/>
        </w:rPr>
        <w:t xml:space="preserve"> show that mechanical recycling is the most highly developed recycling approach in terms of industrial feasibility. This approach enables the development of plastic </w:t>
      </w:r>
      <w:proofErr w:type="spellStart"/>
      <w:r w:rsidR="00465070" w:rsidRPr="006F2E08">
        <w:rPr>
          <w:sz w:val="22"/>
          <w:szCs w:val="22"/>
          <w:lang w:val="en-GB"/>
        </w:rPr>
        <w:t>recyclates</w:t>
      </w:r>
      <w:proofErr w:type="spellEnd"/>
      <w:r w:rsidR="00465070" w:rsidRPr="006F2E08">
        <w:rPr>
          <w:sz w:val="22"/>
          <w:szCs w:val="22"/>
          <w:lang w:val="en-GB"/>
        </w:rPr>
        <w:t xml:space="preserve"> of various quality levels. The presented method does not define the technical parameters</w:t>
      </w:r>
      <w:r w:rsidR="00405F9E">
        <w:rPr>
          <w:sz w:val="22"/>
          <w:szCs w:val="22"/>
          <w:lang w:val="en-GB"/>
        </w:rPr>
        <w:t xml:space="preserve"> of the obtained nanoparticles, including the quality parameter</w:t>
      </w:r>
      <w:r w:rsidR="00465070" w:rsidRPr="006F2E08">
        <w:rPr>
          <w:sz w:val="22"/>
          <w:szCs w:val="22"/>
          <w:lang w:val="en-GB"/>
        </w:rPr>
        <w:t xml:space="preserve">s, but it allows </w:t>
      </w:r>
      <w:r w:rsidR="00405F9E">
        <w:rPr>
          <w:sz w:val="22"/>
          <w:szCs w:val="22"/>
          <w:lang w:val="en-GB"/>
        </w:rPr>
        <w:t xml:space="preserve">us </w:t>
      </w:r>
      <w:r w:rsidR="00465070" w:rsidRPr="006F2E08">
        <w:rPr>
          <w:sz w:val="22"/>
          <w:szCs w:val="22"/>
          <w:lang w:val="en-GB"/>
        </w:rPr>
        <w:t>to get them quite easily</w:t>
      </w:r>
      <w:r w:rsidR="000001B0" w:rsidRPr="006F2E08">
        <w:rPr>
          <w:sz w:val="22"/>
          <w:szCs w:val="22"/>
          <w:lang w:val="en-GB"/>
        </w:rPr>
        <w:t xml:space="preserve">. </w:t>
      </w:r>
      <w:r w:rsidR="00465070" w:rsidRPr="006F2E08">
        <w:rPr>
          <w:sz w:val="22"/>
          <w:szCs w:val="22"/>
          <w:lang w:val="en-GB"/>
        </w:rPr>
        <w:t xml:space="preserve">A significant advantage of this method is its repeatability in terms of the size of the obtained particles. Obtaining </w:t>
      </w:r>
      <w:proofErr w:type="spellStart"/>
      <w:r w:rsidR="00465070" w:rsidRPr="006F2E08">
        <w:rPr>
          <w:sz w:val="22"/>
          <w:szCs w:val="22"/>
          <w:lang w:val="en-GB"/>
        </w:rPr>
        <w:t>nanoplastics</w:t>
      </w:r>
      <w:proofErr w:type="spellEnd"/>
      <w:r w:rsidR="00465070" w:rsidRPr="006F2E08">
        <w:rPr>
          <w:sz w:val="22"/>
          <w:szCs w:val="22"/>
          <w:lang w:val="en-GB"/>
        </w:rPr>
        <w:t xml:space="preserve"> in the form of </w:t>
      </w:r>
      <w:proofErr w:type="spellStart"/>
      <w:r w:rsidR="00465070" w:rsidRPr="006F2E08">
        <w:rPr>
          <w:sz w:val="22"/>
          <w:szCs w:val="22"/>
          <w:lang w:val="en-GB"/>
        </w:rPr>
        <w:t>nanoemulsions</w:t>
      </w:r>
      <w:proofErr w:type="spellEnd"/>
      <w:r w:rsidR="00465070" w:rsidRPr="006F2E08">
        <w:rPr>
          <w:sz w:val="22"/>
          <w:szCs w:val="22"/>
          <w:lang w:val="en-GB"/>
        </w:rPr>
        <w:t xml:space="preserve"> may contribute to increasing their use in the production of personal care products or other industries.</w:t>
      </w:r>
    </w:p>
    <w:p w14:paraId="68528509" w14:textId="7313A1D2" w:rsidR="00C5450E" w:rsidRPr="006F2E08" w:rsidRDefault="006F2E08" w:rsidP="006F2E08">
      <w:pPr>
        <w:pStyle w:val="Rn1"/>
        <w:rPr>
          <w:lang w:val="en-GB"/>
        </w:rPr>
      </w:pPr>
      <w:r w:rsidRPr="006F2E08">
        <w:rPr>
          <w:lang w:val="en-GB"/>
        </w:rPr>
        <w:t>4. Conclusion</w:t>
      </w:r>
    </w:p>
    <w:p w14:paraId="068AB472" w14:textId="2FF728A2" w:rsidR="00251036" w:rsidRDefault="006A3D5A" w:rsidP="000A5A86">
      <w:pPr>
        <w:spacing w:before="0" w:after="0" w:line="240" w:lineRule="auto"/>
        <w:ind w:left="252" w:hanging="252"/>
        <w:rPr>
          <w:sz w:val="22"/>
          <w:szCs w:val="22"/>
          <w:lang w:val="en-GB"/>
        </w:rPr>
      </w:pPr>
      <w:r w:rsidRPr="006F2E08">
        <w:rPr>
          <w:sz w:val="22"/>
          <w:szCs w:val="22"/>
          <w:lang w:val="en-GB"/>
        </w:rPr>
        <w:t xml:space="preserve">1. </w:t>
      </w:r>
      <w:r w:rsidR="00E732DC" w:rsidRPr="006F2E08">
        <w:rPr>
          <w:sz w:val="22"/>
          <w:szCs w:val="22"/>
          <w:lang w:val="en-GB"/>
        </w:rPr>
        <w:t>The production of nanoparticles is a time-consuming and complex process due to the very small size of individual particles. At the same ti</w:t>
      </w:r>
      <w:r w:rsidR="00F45D51" w:rsidRPr="006F2E08">
        <w:rPr>
          <w:sz w:val="22"/>
          <w:szCs w:val="22"/>
          <w:lang w:val="en-GB"/>
        </w:rPr>
        <w:t>me, particles smaller than 1 micromet</w:t>
      </w:r>
      <w:r w:rsidR="00405F9E">
        <w:rPr>
          <w:sz w:val="22"/>
          <w:szCs w:val="22"/>
          <w:lang w:val="en-GB"/>
        </w:rPr>
        <w:t>re</w:t>
      </w:r>
      <w:r w:rsidR="00E732DC" w:rsidRPr="006F2E08">
        <w:rPr>
          <w:sz w:val="22"/>
          <w:szCs w:val="22"/>
          <w:lang w:val="en-GB"/>
        </w:rPr>
        <w:t xml:space="preserve"> </w:t>
      </w:r>
      <w:r w:rsidR="00405F9E">
        <w:rPr>
          <w:sz w:val="22"/>
          <w:szCs w:val="22"/>
          <w:lang w:val="en-GB"/>
        </w:rPr>
        <w:t>produced by plastic decomposition</w:t>
      </w:r>
      <w:r w:rsidR="00E732DC" w:rsidRPr="006F2E08">
        <w:rPr>
          <w:sz w:val="22"/>
          <w:szCs w:val="22"/>
          <w:lang w:val="en-GB"/>
        </w:rPr>
        <w:t xml:space="preserve"> are </w:t>
      </w:r>
      <w:r w:rsidR="00405F9E">
        <w:rPr>
          <w:sz w:val="22"/>
          <w:szCs w:val="22"/>
          <w:lang w:val="en-GB"/>
        </w:rPr>
        <w:t>hazard</w:t>
      </w:r>
      <w:r w:rsidR="00E732DC" w:rsidRPr="006F2E08">
        <w:rPr>
          <w:sz w:val="22"/>
          <w:szCs w:val="22"/>
          <w:lang w:val="en-GB"/>
        </w:rPr>
        <w:t xml:space="preserve">ous to the environment and human health. Due to their size, these particles are not visible to the human eye, </w:t>
      </w:r>
      <w:r w:rsidR="00405F9E">
        <w:rPr>
          <w:sz w:val="22"/>
          <w:szCs w:val="22"/>
          <w:lang w:val="en-GB"/>
        </w:rPr>
        <w:t>and they may travel long distances in an uncontrolled manner and affect plants, animals,</w:t>
      </w:r>
      <w:r w:rsidR="00E732DC" w:rsidRPr="006F2E08">
        <w:rPr>
          <w:sz w:val="22"/>
          <w:szCs w:val="22"/>
          <w:lang w:val="en-GB"/>
        </w:rPr>
        <w:t xml:space="preserve"> and humans.</w:t>
      </w:r>
    </w:p>
    <w:p w14:paraId="6B901D3D" w14:textId="77777777" w:rsidR="00296708" w:rsidRPr="006F2E08" w:rsidRDefault="00296708" w:rsidP="000A5A86">
      <w:pPr>
        <w:spacing w:before="0" w:after="0" w:line="240" w:lineRule="auto"/>
        <w:ind w:left="252" w:hanging="252"/>
        <w:rPr>
          <w:sz w:val="22"/>
          <w:szCs w:val="22"/>
          <w:lang w:val="en-GB"/>
        </w:rPr>
      </w:pPr>
    </w:p>
    <w:p w14:paraId="0B4A6FD7" w14:textId="6F780EC0" w:rsidR="00251036" w:rsidRPr="006F2E08" w:rsidRDefault="006A3D5A" w:rsidP="000A5A86">
      <w:pPr>
        <w:spacing w:before="0" w:after="0" w:line="240" w:lineRule="auto"/>
        <w:ind w:left="252" w:hanging="252"/>
        <w:rPr>
          <w:sz w:val="22"/>
          <w:szCs w:val="22"/>
          <w:lang w:val="en-GB"/>
        </w:rPr>
      </w:pPr>
      <w:r w:rsidRPr="006F2E08">
        <w:rPr>
          <w:sz w:val="22"/>
          <w:szCs w:val="22"/>
          <w:lang w:val="en-GB"/>
        </w:rPr>
        <w:lastRenderedPageBreak/>
        <w:t xml:space="preserve">2. </w:t>
      </w:r>
      <w:r w:rsidR="00E732DC" w:rsidRPr="00296708">
        <w:rPr>
          <w:spacing w:val="-2"/>
          <w:sz w:val="22"/>
          <w:szCs w:val="22"/>
          <w:lang w:val="en-GB"/>
        </w:rPr>
        <w:t xml:space="preserve">The aim of the study was achieved </w:t>
      </w:r>
      <w:r w:rsidR="0088705A" w:rsidRPr="00296708">
        <w:rPr>
          <w:spacing w:val="-2"/>
          <w:sz w:val="22"/>
          <w:szCs w:val="22"/>
          <w:lang w:val="en-GB"/>
        </w:rPr>
        <w:t>–</w:t>
      </w:r>
      <w:r w:rsidR="00E732DC" w:rsidRPr="00296708">
        <w:rPr>
          <w:spacing w:val="-2"/>
          <w:sz w:val="22"/>
          <w:szCs w:val="22"/>
          <w:lang w:val="en-GB"/>
        </w:rPr>
        <w:t xml:space="preserve"> nanoparticles of selected plastics were obtained by grinding and homogeni</w:t>
      </w:r>
      <w:r w:rsidR="00405F9E" w:rsidRPr="00296708">
        <w:rPr>
          <w:spacing w:val="-2"/>
          <w:sz w:val="22"/>
          <w:szCs w:val="22"/>
          <w:lang w:val="en-GB"/>
        </w:rPr>
        <w:t>s</w:t>
      </w:r>
      <w:r w:rsidR="00E732DC" w:rsidRPr="00296708">
        <w:rPr>
          <w:spacing w:val="-2"/>
          <w:sz w:val="22"/>
          <w:szCs w:val="22"/>
          <w:lang w:val="en-GB"/>
        </w:rPr>
        <w:t>ation. The following average sizes were obtained for particular materials: poly</w:t>
      </w:r>
      <w:r w:rsidR="001F4C0E" w:rsidRPr="00296708">
        <w:rPr>
          <w:spacing w:val="-2"/>
          <w:sz w:val="22"/>
          <w:szCs w:val="22"/>
          <w:lang w:val="en-GB"/>
        </w:rPr>
        <w:t>ethylene terephthalate (PET) 212</w:t>
      </w:r>
      <w:r w:rsidR="00E732DC" w:rsidRPr="00296708">
        <w:rPr>
          <w:spacing w:val="-2"/>
          <w:sz w:val="22"/>
          <w:szCs w:val="22"/>
          <w:lang w:val="en-GB"/>
        </w:rPr>
        <w:t>.81</w:t>
      </w:r>
      <w:r w:rsidR="00296708" w:rsidRPr="00296708">
        <w:rPr>
          <w:spacing w:val="-2"/>
          <w:sz w:val="22"/>
          <w:szCs w:val="22"/>
          <w:lang w:val="en-GB"/>
        </w:rPr>
        <w:t xml:space="preserve"> </w:t>
      </w:r>
      <w:r w:rsidR="00E732DC" w:rsidRPr="00296708">
        <w:rPr>
          <w:spacing w:val="-2"/>
          <w:sz w:val="22"/>
          <w:szCs w:val="22"/>
          <w:lang w:val="en-GB"/>
        </w:rPr>
        <w:t>nm and polyethylene (PE) 20</w:t>
      </w:r>
      <w:r w:rsidR="001F4C0E" w:rsidRPr="00296708">
        <w:rPr>
          <w:spacing w:val="-2"/>
          <w:sz w:val="22"/>
          <w:szCs w:val="22"/>
          <w:lang w:val="en-GB"/>
        </w:rPr>
        <w:t>8</w:t>
      </w:r>
      <w:r w:rsidR="00E732DC" w:rsidRPr="00296708">
        <w:rPr>
          <w:spacing w:val="-2"/>
          <w:sz w:val="22"/>
          <w:szCs w:val="22"/>
          <w:lang w:val="en-GB"/>
        </w:rPr>
        <w:t>.14 nm.</w:t>
      </w:r>
      <w:r w:rsidR="002F5A48" w:rsidRPr="00296708">
        <w:rPr>
          <w:spacing w:val="-2"/>
          <w:sz w:val="22"/>
          <w:szCs w:val="22"/>
          <w:lang w:val="en-GB"/>
        </w:rPr>
        <w:t xml:space="preserve"> It </w:t>
      </w:r>
      <w:r w:rsidR="00405F9E" w:rsidRPr="00296708">
        <w:rPr>
          <w:spacing w:val="-2"/>
          <w:sz w:val="22"/>
          <w:szCs w:val="22"/>
          <w:lang w:val="en-GB"/>
        </w:rPr>
        <w:t>also produced</w:t>
      </w:r>
      <w:r w:rsidR="002F5A48" w:rsidRPr="00296708">
        <w:rPr>
          <w:spacing w:val="-2"/>
          <w:sz w:val="22"/>
          <w:szCs w:val="22"/>
          <w:lang w:val="en-GB"/>
        </w:rPr>
        <w:t xml:space="preserve"> single particles of size 24.98 nm (PET) and 95.1 nm.</w:t>
      </w:r>
    </w:p>
    <w:p w14:paraId="323A9CF7" w14:textId="7663A9B2" w:rsidR="008812E6" w:rsidRPr="006F2E08" w:rsidRDefault="006A3D5A" w:rsidP="000A5A86">
      <w:pPr>
        <w:spacing w:before="0" w:after="0" w:line="240" w:lineRule="auto"/>
        <w:ind w:left="252" w:hanging="252"/>
        <w:rPr>
          <w:sz w:val="22"/>
          <w:szCs w:val="22"/>
          <w:lang w:val="en-GB"/>
        </w:rPr>
      </w:pPr>
      <w:r w:rsidRPr="006F2E08">
        <w:rPr>
          <w:sz w:val="22"/>
          <w:szCs w:val="22"/>
          <w:lang w:val="en-GB"/>
        </w:rPr>
        <w:t xml:space="preserve">3. The developed method allowed </w:t>
      </w:r>
      <w:r w:rsidR="00405F9E">
        <w:rPr>
          <w:sz w:val="22"/>
          <w:szCs w:val="22"/>
          <w:lang w:val="en-GB"/>
        </w:rPr>
        <w:t xml:space="preserve">for obtaining </w:t>
      </w:r>
      <w:r w:rsidRPr="006F2E08">
        <w:rPr>
          <w:sz w:val="22"/>
          <w:szCs w:val="22"/>
          <w:lang w:val="en-GB"/>
        </w:rPr>
        <w:t xml:space="preserve">secondary </w:t>
      </w:r>
      <w:r w:rsidR="002F5A48" w:rsidRPr="006F2E08">
        <w:rPr>
          <w:sz w:val="22"/>
          <w:szCs w:val="22"/>
          <w:lang w:val="en-GB"/>
        </w:rPr>
        <w:t>micr</w:t>
      </w:r>
      <w:r w:rsidRPr="006F2E08">
        <w:rPr>
          <w:sz w:val="22"/>
          <w:szCs w:val="22"/>
          <w:lang w:val="en-GB"/>
        </w:rPr>
        <w:t>oplastics with repeatable sizes in a controlled way, which can be used as intermediates for further use</w:t>
      </w:r>
      <w:r w:rsidR="00405F9E">
        <w:rPr>
          <w:sz w:val="22"/>
          <w:szCs w:val="22"/>
          <w:lang w:val="en-GB"/>
        </w:rPr>
        <w:t>. I</w:t>
      </w:r>
      <w:r w:rsidR="002F5A48" w:rsidRPr="006F2E08">
        <w:rPr>
          <w:sz w:val="22"/>
          <w:szCs w:val="22"/>
          <w:lang w:val="en-GB"/>
        </w:rPr>
        <w:t>t</w:t>
      </w:r>
      <w:r w:rsidR="00405F9E">
        <w:rPr>
          <w:sz w:val="22"/>
          <w:szCs w:val="22"/>
          <w:lang w:val="en-GB"/>
        </w:rPr>
        <w:t>'</w:t>
      </w:r>
      <w:r w:rsidR="002F5A48" w:rsidRPr="006F2E08">
        <w:rPr>
          <w:sz w:val="22"/>
          <w:szCs w:val="22"/>
          <w:lang w:val="en-GB"/>
        </w:rPr>
        <w:t xml:space="preserve">s </w:t>
      </w:r>
      <w:r w:rsidR="00405F9E">
        <w:rPr>
          <w:sz w:val="22"/>
          <w:szCs w:val="22"/>
          <w:lang w:val="en-GB"/>
        </w:rPr>
        <w:t>crucial</w:t>
      </w:r>
      <w:r w:rsidR="002F5A48" w:rsidRPr="006F2E08">
        <w:rPr>
          <w:sz w:val="22"/>
          <w:szCs w:val="22"/>
          <w:lang w:val="en-GB"/>
        </w:rPr>
        <w:t xml:space="preserve"> to </w:t>
      </w:r>
      <w:r w:rsidR="00405F9E">
        <w:rPr>
          <w:sz w:val="22"/>
          <w:szCs w:val="22"/>
          <w:lang w:val="en-GB"/>
        </w:rPr>
        <w:t xml:space="preserve">the </w:t>
      </w:r>
      <w:r w:rsidR="002F5A48" w:rsidRPr="006F2E08">
        <w:rPr>
          <w:sz w:val="22"/>
          <w:szCs w:val="22"/>
          <w:lang w:val="en-GB"/>
        </w:rPr>
        <w:t>circular economy.</w:t>
      </w:r>
    </w:p>
    <w:p w14:paraId="58A2BB56" w14:textId="458FF99A" w:rsidR="00206D19" w:rsidRPr="006F2E08" w:rsidRDefault="006F2E08" w:rsidP="006F2E08">
      <w:pPr>
        <w:pStyle w:val="Rn2"/>
        <w:rPr>
          <w:lang w:val="en-GB"/>
        </w:rPr>
      </w:pPr>
      <w:r w:rsidRPr="006F2E08">
        <w:rPr>
          <w:lang w:val="en-GB"/>
        </w:rPr>
        <w:t>References</w:t>
      </w:r>
      <w:bookmarkEnd w:id="5"/>
    </w:p>
    <w:p w14:paraId="2CF51F97" w14:textId="48F85EBD" w:rsidR="00FA1750" w:rsidRPr="006F2E08" w:rsidRDefault="00FA1750" w:rsidP="00145360">
      <w:pPr>
        <w:pStyle w:val="Rlit"/>
        <w:jc w:val="left"/>
        <w:rPr>
          <w:rFonts w:eastAsia="Calibri"/>
          <w:lang w:val="en-GB" w:eastAsia="en-US"/>
        </w:rPr>
      </w:pPr>
      <w:r w:rsidRPr="006F2E08">
        <w:rPr>
          <w:rFonts w:eastAsia="Calibri"/>
          <w:lang w:val="en-GB" w:eastAsia="en-US"/>
        </w:rPr>
        <w:t>Alimi</w:t>
      </w:r>
      <w:r w:rsidR="00145360">
        <w:rPr>
          <w:rFonts w:eastAsia="Calibri"/>
          <w:lang w:val="en-GB" w:eastAsia="en-US"/>
        </w:rPr>
        <w:t>,</w:t>
      </w:r>
      <w:r w:rsidRPr="006F2E08">
        <w:rPr>
          <w:rFonts w:eastAsia="Calibri"/>
          <w:lang w:val="en-GB" w:eastAsia="en-US"/>
        </w:rPr>
        <w:t xml:space="preserve"> O.S., </w:t>
      </w:r>
      <w:proofErr w:type="spellStart"/>
      <w:r w:rsidRPr="006F2E08">
        <w:rPr>
          <w:rFonts w:eastAsia="Calibri"/>
          <w:lang w:val="en-GB" w:eastAsia="en-US"/>
        </w:rPr>
        <w:t>Budarz</w:t>
      </w:r>
      <w:proofErr w:type="spellEnd"/>
      <w:r w:rsidR="00145360">
        <w:rPr>
          <w:rFonts w:eastAsia="Calibri"/>
          <w:lang w:val="en-GB" w:eastAsia="en-US"/>
        </w:rPr>
        <w:t>,</w:t>
      </w:r>
      <w:r w:rsidRPr="006F2E08">
        <w:rPr>
          <w:rFonts w:eastAsia="Calibri"/>
          <w:lang w:val="en-GB" w:eastAsia="en-US"/>
        </w:rPr>
        <w:t xml:space="preserve"> J.F., Hernandez</w:t>
      </w:r>
      <w:r w:rsidR="00145360">
        <w:rPr>
          <w:rFonts w:eastAsia="Calibri"/>
          <w:lang w:val="en-GB" w:eastAsia="en-US"/>
        </w:rPr>
        <w:t>,</w:t>
      </w:r>
      <w:r w:rsidRPr="006F2E08">
        <w:rPr>
          <w:rFonts w:eastAsia="Calibri"/>
          <w:lang w:val="en-GB" w:eastAsia="en-US"/>
        </w:rPr>
        <w:t xml:space="preserve"> L.M., </w:t>
      </w:r>
      <w:proofErr w:type="spellStart"/>
      <w:r w:rsidRPr="006F2E08">
        <w:rPr>
          <w:rFonts w:eastAsia="Calibri"/>
          <w:lang w:val="en-GB" w:eastAsia="en-US"/>
        </w:rPr>
        <w:t>Tufenkji</w:t>
      </w:r>
      <w:proofErr w:type="spellEnd"/>
      <w:r w:rsidR="00145360">
        <w:rPr>
          <w:rFonts w:eastAsia="Calibri"/>
          <w:lang w:val="en-GB" w:eastAsia="en-US"/>
        </w:rPr>
        <w:t>,</w:t>
      </w:r>
      <w:r w:rsidRPr="006F2E08">
        <w:rPr>
          <w:rFonts w:eastAsia="Calibri"/>
          <w:lang w:val="en-GB" w:eastAsia="en-US"/>
        </w:rPr>
        <w:t xml:space="preserve"> N. (2018). Microplastics and </w:t>
      </w:r>
      <w:proofErr w:type="spellStart"/>
      <w:r w:rsidRPr="006F2E08">
        <w:rPr>
          <w:rFonts w:eastAsia="Calibri"/>
          <w:lang w:val="en-GB" w:eastAsia="en-US"/>
        </w:rPr>
        <w:t>nanoplastics</w:t>
      </w:r>
      <w:proofErr w:type="spellEnd"/>
      <w:r w:rsidRPr="006F2E08">
        <w:rPr>
          <w:rFonts w:eastAsia="Calibri"/>
          <w:lang w:val="en-GB" w:eastAsia="en-US"/>
        </w:rPr>
        <w:t xml:space="preserve"> in aquatic environments: aggregation, deposition, and enhanced contaminant transport. </w:t>
      </w:r>
      <w:r w:rsidRPr="00145360">
        <w:rPr>
          <w:rFonts w:eastAsia="Calibri"/>
          <w:i/>
          <w:lang w:val="en-GB" w:eastAsia="en-US"/>
        </w:rPr>
        <w:t>Environ. Sci. Technol</w:t>
      </w:r>
      <w:r w:rsidRPr="006F2E08">
        <w:rPr>
          <w:rFonts w:eastAsia="Calibri"/>
          <w:lang w:val="en-GB" w:eastAsia="en-US"/>
        </w:rPr>
        <w:t>.</w:t>
      </w:r>
      <w:r w:rsidR="00145360">
        <w:rPr>
          <w:rFonts w:eastAsia="Calibri"/>
          <w:lang w:val="en-GB" w:eastAsia="en-US"/>
        </w:rPr>
        <w:t>,</w:t>
      </w:r>
      <w:r w:rsidRPr="006F2E08">
        <w:rPr>
          <w:rFonts w:eastAsia="Calibri"/>
          <w:lang w:val="en-GB" w:eastAsia="en-US"/>
        </w:rPr>
        <w:t xml:space="preserve"> </w:t>
      </w:r>
      <w:r w:rsidRPr="00145360">
        <w:rPr>
          <w:rFonts w:eastAsia="Calibri"/>
          <w:i/>
          <w:iCs/>
          <w:lang w:val="en-GB" w:eastAsia="en-US"/>
        </w:rPr>
        <w:t>52</w:t>
      </w:r>
      <w:r w:rsidRPr="006F2E08">
        <w:rPr>
          <w:rFonts w:eastAsia="Calibri"/>
          <w:lang w:val="en-GB" w:eastAsia="en-US"/>
        </w:rPr>
        <w:t>, 1704-1724. https://doi.org/10.1021/acs.est.7b05559</w:t>
      </w:r>
    </w:p>
    <w:p w14:paraId="52C9B6BA" w14:textId="039DFCFF" w:rsidR="00FA1750" w:rsidRPr="006F2E08" w:rsidRDefault="00FA1750" w:rsidP="006F2E08">
      <w:pPr>
        <w:pStyle w:val="Rlit"/>
        <w:rPr>
          <w:rFonts w:eastAsia="Calibri"/>
          <w:lang w:val="en-GB" w:eastAsia="en-US"/>
        </w:rPr>
      </w:pPr>
      <w:r w:rsidRPr="006F2E08">
        <w:rPr>
          <w:rFonts w:eastAsia="Calibri"/>
          <w:lang w:val="en-GB" w:eastAsia="en-US"/>
        </w:rPr>
        <w:t>Allan</w:t>
      </w:r>
      <w:r w:rsidR="00145360">
        <w:rPr>
          <w:rFonts w:eastAsia="Calibri"/>
          <w:lang w:val="en-GB" w:eastAsia="en-US"/>
        </w:rPr>
        <w:t>,</w:t>
      </w:r>
      <w:r w:rsidRPr="006F2E08">
        <w:rPr>
          <w:rFonts w:eastAsia="Calibri"/>
          <w:lang w:val="en-GB" w:eastAsia="en-US"/>
        </w:rPr>
        <w:t xml:space="preserve"> J., Belz</w:t>
      </w:r>
      <w:r w:rsidR="00145360">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Hoeveler</w:t>
      </w:r>
      <w:proofErr w:type="spellEnd"/>
      <w:r w:rsidR="00145360">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Hugas</w:t>
      </w:r>
      <w:proofErr w:type="spellEnd"/>
      <w:r w:rsidR="00145360">
        <w:rPr>
          <w:rFonts w:eastAsia="Calibri"/>
          <w:lang w:val="en-GB" w:eastAsia="en-US"/>
        </w:rPr>
        <w:t>,</w:t>
      </w:r>
      <w:r w:rsidRPr="006F2E08">
        <w:rPr>
          <w:rFonts w:eastAsia="Calibri"/>
          <w:lang w:val="en-GB" w:eastAsia="en-US"/>
        </w:rPr>
        <w:t xml:space="preserve"> M., Okuda</w:t>
      </w:r>
      <w:r w:rsidR="00145360">
        <w:rPr>
          <w:rFonts w:eastAsia="Calibri"/>
          <w:lang w:val="en-GB" w:eastAsia="en-US"/>
        </w:rPr>
        <w:t>,</w:t>
      </w:r>
      <w:r w:rsidRPr="006F2E08">
        <w:rPr>
          <w:rFonts w:eastAsia="Calibri"/>
          <w:lang w:val="en-GB" w:eastAsia="en-US"/>
        </w:rPr>
        <w:t xml:space="preserve"> H., Patri</w:t>
      </w:r>
      <w:r w:rsidR="00145360">
        <w:rPr>
          <w:rFonts w:eastAsia="Calibri"/>
          <w:lang w:val="en-GB" w:eastAsia="en-US"/>
        </w:rPr>
        <w:t>,</w:t>
      </w:r>
      <w:r w:rsidRPr="006F2E08">
        <w:rPr>
          <w:rFonts w:eastAsia="Calibri"/>
          <w:lang w:val="en-GB" w:eastAsia="en-US"/>
        </w:rPr>
        <w:t xml:space="preserve"> A., Rauscher</w:t>
      </w:r>
      <w:r w:rsidR="00145360">
        <w:rPr>
          <w:rFonts w:eastAsia="Calibri"/>
          <w:lang w:val="en-GB" w:eastAsia="en-US"/>
        </w:rPr>
        <w:t>,</w:t>
      </w:r>
      <w:r w:rsidRPr="006F2E08">
        <w:rPr>
          <w:rFonts w:eastAsia="Calibri"/>
          <w:lang w:val="en-GB" w:eastAsia="en-US"/>
        </w:rPr>
        <w:t xml:space="preserve"> R., Silva</w:t>
      </w:r>
      <w:r w:rsidR="00145360">
        <w:rPr>
          <w:rFonts w:eastAsia="Calibri"/>
          <w:lang w:val="en-GB" w:eastAsia="en-US"/>
        </w:rPr>
        <w:t>,</w:t>
      </w:r>
      <w:r w:rsidRPr="006F2E08">
        <w:rPr>
          <w:rFonts w:eastAsia="Calibri"/>
          <w:lang w:val="en-GB" w:eastAsia="en-US"/>
        </w:rPr>
        <w:t xml:space="preserve"> P., </w:t>
      </w:r>
      <w:proofErr w:type="spellStart"/>
      <w:r w:rsidRPr="006F2E08">
        <w:rPr>
          <w:rFonts w:eastAsia="Calibri"/>
          <w:lang w:val="en-GB" w:eastAsia="en-US"/>
        </w:rPr>
        <w:t>Slikker</w:t>
      </w:r>
      <w:proofErr w:type="spellEnd"/>
      <w:r w:rsidR="00145360">
        <w:rPr>
          <w:rFonts w:eastAsia="Calibri"/>
          <w:lang w:val="en-GB" w:eastAsia="en-US"/>
        </w:rPr>
        <w:t>,</w:t>
      </w:r>
      <w:r w:rsidRPr="006F2E08">
        <w:rPr>
          <w:rFonts w:eastAsia="Calibri"/>
          <w:lang w:val="en-GB" w:eastAsia="en-US"/>
        </w:rPr>
        <w:t xml:space="preserve"> W., </w:t>
      </w:r>
      <w:proofErr w:type="spellStart"/>
      <w:r w:rsidRPr="006F2E08">
        <w:rPr>
          <w:rFonts w:eastAsia="Calibri"/>
          <w:lang w:val="en-GB" w:eastAsia="en-US"/>
        </w:rPr>
        <w:t>Sokull-Kluettgen</w:t>
      </w:r>
      <w:proofErr w:type="spellEnd"/>
      <w:r w:rsidR="00145360">
        <w:rPr>
          <w:rFonts w:eastAsia="Calibri"/>
          <w:lang w:val="en-GB" w:eastAsia="en-US"/>
        </w:rPr>
        <w:t>,</w:t>
      </w:r>
      <w:r w:rsidRPr="006F2E08">
        <w:rPr>
          <w:rFonts w:eastAsia="Calibri"/>
          <w:lang w:val="en-GB" w:eastAsia="en-US"/>
        </w:rPr>
        <w:t xml:space="preserve"> B., Tong</w:t>
      </w:r>
      <w:r w:rsidR="00145360">
        <w:rPr>
          <w:rFonts w:eastAsia="Calibri"/>
          <w:lang w:val="en-GB" w:eastAsia="en-US"/>
        </w:rPr>
        <w:t>,</w:t>
      </w:r>
      <w:r w:rsidRPr="006F2E08">
        <w:rPr>
          <w:rFonts w:eastAsia="Calibri"/>
          <w:lang w:val="en-GB" w:eastAsia="en-US"/>
        </w:rPr>
        <w:t xml:space="preserve"> W., Anklam</w:t>
      </w:r>
      <w:r w:rsidR="00145360">
        <w:rPr>
          <w:rFonts w:eastAsia="Calibri"/>
          <w:lang w:val="en-GB" w:eastAsia="en-US"/>
        </w:rPr>
        <w:t>,</w:t>
      </w:r>
      <w:r w:rsidRPr="006F2E08">
        <w:rPr>
          <w:rFonts w:eastAsia="Calibri"/>
          <w:lang w:val="en-GB" w:eastAsia="en-US"/>
        </w:rPr>
        <w:t xml:space="preserve"> E. (2021).</w:t>
      </w:r>
      <w:r w:rsidR="00145360">
        <w:rPr>
          <w:rFonts w:eastAsia="Calibri"/>
          <w:lang w:val="en-GB" w:eastAsia="en-US"/>
        </w:rPr>
        <w:t xml:space="preserve"> </w:t>
      </w:r>
      <w:r w:rsidRPr="006F2E08">
        <w:rPr>
          <w:rFonts w:eastAsia="Calibri"/>
          <w:lang w:val="en-GB" w:eastAsia="en-US"/>
        </w:rPr>
        <w:t xml:space="preserve">Regulatory landscape of nanotechnology and </w:t>
      </w:r>
      <w:proofErr w:type="spellStart"/>
      <w:r w:rsidRPr="006F2E08">
        <w:rPr>
          <w:rFonts w:eastAsia="Calibri"/>
          <w:lang w:val="en-GB" w:eastAsia="en-US"/>
        </w:rPr>
        <w:t>nanoplastics</w:t>
      </w:r>
      <w:proofErr w:type="spellEnd"/>
      <w:r w:rsidRPr="006F2E08">
        <w:rPr>
          <w:rFonts w:eastAsia="Calibri"/>
          <w:lang w:val="en-GB" w:eastAsia="en-US"/>
        </w:rPr>
        <w:t xml:space="preserve"> from a global perspective. </w:t>
      </w:r>
      <w:r w:rsidRPr="00145360">
        <w:rPr>
          <w:rFonts w:eastAsia="Calibri"/>
          <w:i/>
          <w:lang w:val="en-GB" w:eastAsia="en-US"/>
        </w:rPr>
        <w:t>Regulatory Toxicology and Pharmacology</w:t>
      </w:r>
      <w:r w:rsidR="00145360">
        <w:rPr>
          <w:rFonts w:eastAsia="Calibri"/>
          <w:lang w:val="en-GB" w:eastAsia="en-US"/>
        </w:rPr>
        <w:t>,</w:t>
      </w:r>
      <w:r w:rsidRPr="006F2E08">
        <w:rPr>
          <w:rFonts w:eastAsia="Calibri"/>
          <w:lang w:val="en-GB" w:eastAsia="en-US"/>
        </w:rPr>
        <w:t xml:space="preserve"> </w:t>
      </w:r>
      <w:r w:rsidRPr="00145360">
        <w:rPr>
          <w:rFonts w:eastAsia="Calibri"/>
          <w:i/>
          <w:iCs/>
          <w:lang w:val="en-GB" w:eastAsia="en-US"/>
        </w:rPr>
        <w:t>122</w:t>
      </w:r>
      <w:r w:rsidRPr="006F2E08">
        <w:rPr>
          <w:rFonts w:eastAsia="Calibri"/>
          <w:lang w:val="en-GB" w:eastAsia="en-US"/>
        </w:rPr>
        <w:t>, 104885. https://doi.org/10.1016/j.yrtph.2021.104885</w:t>
      </w:r>
    </w:p>
    <w:p w14:paraId="1F73D35E" w14:textId="7C57B527" w:rsidR="00FA1750" w:rsidRPr="00145360" w:rsidRDefault="00FA1750" w:rsidP="006F2E08">
      <w:pPr>
        <w:pStyle w:val="Rlit"/>
        <w:rPr>
          <w:rFonts w:eastAsia="Calibri"/>
          <w:lang w:val="en-GB" w:eastAsia="en-US"/>
        </w:rPr>
      </w:pPr>
      <w:proofErr w:type="spellStart"/>
      <w:r w:rsidRPr="006F2E08">
        <w:rPr>
          <w:rFonts w:eastAsia="Calibri"/>
          <w:lang w:val="en-GB" w:eastAsia="en-US"/>
        </w:rPr>
        <w:t>Alwaeli</w:t>
      </w:r>
      <w:proofErr w:type="spellEnd"/>
      <w:r w:rsidR="00145360">
        <w:rPr>
          <w:rFonts w:eastAsia="Calibri"/>
          <w:lang w:val="en-GB" w:eastAsia="en-US"/>
        </w:rPr>
        <w:t>,</w:t>
      </w:r>
      <w:r w:rsidRPr="006F2E08">
        <w:rPr>
          <w:rFonts w:eastAsia="Calibri"/>
          <w:lang w:val="en-GB" w:eastAsia="en-US"/>
        </w:rPr>
        <w:t xml:space="preserve"> M., </w:t>
      </w:r>
      <w:proofErr w:type="spellStart"/>
      <w:r w:rsidRPr="006F2E08">
        <w:rPr>
          <w:rFonts w:eastAsia="Calibri"/>
          <w:lang w:val="en-GB" w:eastAsia="en-US"/>
        </w:rPr>
        <w:t>Nadziakiewicz</w:t>
      </w:r>
      <w:proofErr w:type="spellEnd"/>
      <w:r w:rsidRPr="006F2E08">
        <w:rPr>
          <w:rFonts w:eastAsia="Calibri"/>
          <w:lang w:val="en-GB" w:eastAsia="en-US"/>
        </w:rPr>
        <w:t xml:space="preserve">, J. (2018). Recycling of scale and steel chips waste as a partial replacement of sand in concrete. </w:t>
      </w:r>
      <w:r w:rsidRPr="00145360">
        <w:rPr>
          <w:rFonts w:eastAsia="Calibri"/>
          <w:i/>
          <w:iCs/>
          <w:lang w:val="en-GB" w:eastAsia="en-US"/>
        </w:rPr>
        <w:t>Constr. Build. Mater.</w:t>
      </w:r>
      <w:r w:rsidR="00145360">
        <w:rPr>
          <w:rFonts w:eastAsia="Calibri"/>
          <w:lang w:val="en-GB" w:eastAsia="en-US"/>
        </w:rPr>
        <w:t>,</w:t>
      </w:r>
      <w:r w:rsidRPr="006F2E08">
        <w:rPr>
          <w:rFonts w:eastAsia="Calibri"/>
          <w:lang w:val="en-GB" w:eastAsia="en-US"/>
        </w:rPr>
        <w:t xml:space="preserve"> </w:t>
      </w:r>
      <w:r w:rsidRPr="00145360">
        <w:rPr>
          <w:rFonts w:eastAsia="Calibri"/>
          <w:i/>
          <w:iCs/>
          <w:lang w:val="en-GB" w:eastAsia="en-US"/>
        </w:rPr>
        <w:t>28</w:t>
      </w:r>
      <w:r w:rsidRPr="006F2E08">
        <w:rPr>
          <w:rFonts w:eastAsia="Calibri"/>
          <w:lang w:val="en-GB" w:eastAsia="en-US"/>
        </w:rPr>
        <w:t xml:space="preserve">, 157-163. </w:t>
      </w:r>
      <w:hyperlink r:id="rId19" w:history="1">
        <w:r w:rsidR="00E66861" w:rsidRPr="00145360">
          <w:rPr>
            <w:rStyle w:val="Hipercze"/>
            <w:rFonts w:eastAsia="Calibri"/>
            <w:color w:val="auto"/>
            <w:u w:val="none"/>
            <w:lang w:val="en-GB" w:eastAsia="en-US"/>
          </w:rPr>
          <w:t>https://doi.org/10.1016/j.conbuildmat.2011.08.047</w:t>
        </w:r>
      </w:hyperlink>
    </w:p>
    <w:p w14:paraId="26CC58AD" w14:textId="4BCDA0CA" w:rsidR="00E66861" w:rsidRPr="006F2E08" w:rsidRDefault="00E66861" w:rsidP="00145360">
      <w:pPr>
        <w:pStyle w:val="Rlit"/>
        <w:jc w:val="left"/>
        <w:rPr>
          <w:rFonts w:eastAsia="Calibri"/>
          <w:lang w:val="en-GB" w:eastAsia="en-US"/>
        </w:rPr>
      </w:pPr>
      <w:proofErr w:type="spellStart"/>
      <w:r w:rsidRPr="006F2E08">
        <w:rPr>
          <w:rFonts w:eastAsia="Calibri"/>
          <w:lang w:val="en-GB" w:eastAsia="en-US"/>
        </w:rPr>
        <w:t>Alwaeli</w:t>
      </w:r>
      <w:proofErr w:type="spellEnd"/>
      <w:r w:rsidR="00145360">
        <w:rPr>
          <w:rFonts w:eastAsia="Calibri"/>
          <w:lang w:val="en-GB" w:eastAsia="en-US"/>
        </w:rPr>
        <w:t>,</w:t>
      </w:r>
      <w:r w:rsidRPr="006F2E08">
        <w:rPr>
          <w:rFonts w:eastAsia="Calibri"/>
          <w:lang w:val="en-GB" w:eastAsia="en-US"/>
        </w:rPr>
        <w:t xml:space="preserve"> M. (2009). Recycling of packaging waste in Poland. </w:t>
      </w:r>
      <w:r w:rsidRPr="00145360">
        <w:rPr>
          <w:rFonts w:eastAsia="Calibri"/>
          <w:i/>
          <w:iCs/>
          <w:lang w:val="en-GB" w:eastAsia="en-US"/>
        </w:rPr>
        <w:t>Waste Management</w:t>
      </w:r>
      <w:r w:rsidRPr="006F2E08">
        <w:rPr>
          <w:rFonts w:eastAsia="Calibri"/>
          <w:lang w:val="en-GB" w:eastAsia="en-US"/>
        </w:rPr>
        <w:t xml:space="preserve">, </w:t>
      </w:r>
      <w:r w:rsidRPr="00145360">
        <w:rPr>
          <w:rFonts w:eastAsia="Calibri"/>
          <w:i/>
          <w:iCs/>
          <w:lang w:val="en-GB" w:eastAsia="en-US"/>
        </w:rPr>
        <w:t>29</w:t>
      </w:r>
      <w:r w:rsidRPr="006F2E08">
        <w:rPr>
          <w:rFonts w:eastAsia="Calibri"/>
          <w:lang w:val="en-GB" w:eastAsia="en-US"/>
        </w:rPr>
        <w:t>(12), 3054-3055. https://doi.org/10.1016/j.wasman.2009.09.004</w:t>
      </w:r>
    </w:p>
    <w:p w14:paraId="39806FCD" w14:textId="2BB207A1" w:rsidR="00FA1750" w:rsidRPr="006F2E08" w:rsidRDefault="00FA1750" w:rsidP="006F2E08">
      <w:pPr>
        <w:pStyle w:val="Rlit"/>
        <w:rPr>
          <w:rFonts w:eastAsia="Calibri"/>
          <w:lang w:val="en-GB" w:eastAsia="en-US"/>
        </w:rPr>
      </w:pPr>
      <w:r w:rsidRPr="006F2E08">
        <w:rPr>
          <w:rFonts w:eastAsia="Calibri"/>
          <w:lang w:val="en-GB" w:eastAsia="en-US"/>
        </w:rPr>
        <w:t>Bencsik</w:t>
      </w:r>
      <w:r w:rsidR="00145360">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Lestaevel</w:t>
      </w:r>
      <w:proofErr w:type="spellEnd"/>
      <w:r w:rsidR="00145360">
        <w:rPr>
          <w:rFonts w:eastAsia="Calibri"/>
          <w:lang w:val="en-GB" w:eastAsia="en-US"/>
        </w:rPr>
        <w:t>,</w:t>
      </w:r>
      <w:r w:rsidRPr="006F2E08">
        <w:rPr>
          <w:rFonts w:eastAsia="Calibri"/>
          <w:lang w:val="en-GB" w:eastAsia="en-US"/>
        </w:rPr>
        <w:t xml:space="preserve"> P., Canu</w:t>
      </w:r>
      <w:r w:rsidR="00145360">
        <w:rPr>
          <w:rFonts w:eastAsia="Calibri"/>
          <w:lang w:val="en-GB" w:eastAsia="en-US"/>
        </w:rPr>
        <w:t>,</w:t>
      </w:r>
      <w:r w:rsidRPr="006F2E08">
        <w:rPr>
          <w:rFonts w:eastAsia="Calibri"/>
          <w:lang w:val="en-GB" w:eastAsia="en-US"/>
        </w:rPr>
        <w:t xml:space="preserve"> I.G. (2018). Nano- and neurotoxicology: An emerging discipline. </w:t>
      </w:r>
      <w:r w:rsidRPr="00145360">
        <w:rPr>
          <w:rFonts w:eastAsia="Calibri"/>
          <w:i/>
          <w:iCs/>
          <w:lang w:val="en-GB" w:eastAsia="en-US"/>
        </w:rPr>
        <w:t>Progress in Neurobiology</w:t>
      </w:r>
      <w:r w:rsidRPr="006F2E08">
        <w:rPr>
          <w:rFonts w:eastAsia="Calibri"/>
          <w:lang w:val="en-GB" w:eastAsia="en-US"/>
        </w:rPr>
        <w:t xml:space="preserve">, </w:t>
      </w:r>
      <w:r w:rsidRPr="00145360">
        <w:rPr>
          <w:rFonts w:eastAsia="Calibri"/>
          <w:i/>
          <w:iCs/>
          <w:lang w:val="en-GB" w:eastAsia="en-US"/>
        </w:rPr>
        <w:t>160</w:t>
      </w:r>
      <w:r w:rsidRPr="006F2E08">
        <w:rPr>
          <w:rFonts w:eastAsia="Calibri"/>
          <w:lang w:val="en-GB" w:eastAsia="en-US"/>
        </w:rPr>
        <w:t>, 45-63. https://doi.org/10.1016/j.pneurobio.2017.10.003</w:t>
      </w:r>
    </w:p>
    <w:p w14:paraId="0F4DDD39" w14:textId="2B204E9A" w:rsidR="00FA1750" w:rsidRPr="006F2E08" w:rsidRDefault="00FA1750" w:rsidP="00145360">
      <w:pPr>
        <w:pStyle w:val="Rlit"/>
        <w:jc w:val="left"/>
        <w:rPr>
          <w:rFonts w:eastAsia="Calibri"/>
          <w:lang w:val="en-GB" w:eastAsia="en-US"/>
        </w:rPr>
      </w:pPr>
      <w:r w:rsidRPr="006F2E08">
        <w:rPr>
          <w:rFonts w:eastAsia="Calibri"/>
          <w:lang w:val="en-GB" w:eastAsia="en-US"/>
        </w:rPr>
        <w:t>Bouakkaz</w:t>
      </w:r>
      <w:r w:rsidR="00145360">
        <w:rPr>
          <w:rFonts w:eastAsia="Calibri"/>
          <w:lang w:val="en-GB" w:eastAsia="en-US"/>
        </w:rPr>
        <w:t>,</w:t>
      </w:r>
      <w:r w:rsidRPr="006F2E08">
        <w:rPr>
          <w:rFonts w:eastAsia="Calibri"/>
          <w:lang w:val="en-GB" w:eastAsia="en-US"/>
        </w:rPr>
        <w:t xml:space="preserve"> R., Salhi</w:t>
      </w:r>
      <w:r w:rsidR="00145360">
        <w:rPr>
          <w:rFonts w:eastAsia="Calibri"/>
          <w:lang w:val="en-GB" w:eastAsia="en-US"/>
        </w:rPr>
        <w:t>,</w:t>
      </w:r>
      <w:r w:rsidRPr="006F2E08">
        <w:rPr>
          <w:rFonts w:eastAsia="Calibri"/>
          <w:lang w:val="en-GB" w:eastAsia="en-US"/>
        </w:rPr>
        <w:t xml:space="preserve"> F., </w:t>
      </w:r>
      <w:proofErr w:type="spellStart"/>
      <w:r w:rsidRPr="006F2E08">
        <w:rPr>
          <w:rFonts w:eastAsia="Calibri"/>
          <w:lang w:val="en-GB" w:eastAsia="en-US"/>
        </w:rPr>
        <w:t>Khelili</w:t>
      </w:r>
      <w:proofErr w:type="spellEnd"/>
      <w:r w:rsidR="00145360">
        <w:rPr>
          <w:rFonts w:eastAsia="Calibri"/>
          <w:lang w:val="en-GB" w:eastAsia="en-US"/>
        </w:rPr>
        <w:t>,</w:t>
      </w:r>
      <w:r w:rsidRPr="006F2E08">
        <w:rPr>
          <w:rFonts w:eastAsia="Calibri"/>
          <w:lang w:val="en-GB" w:eastAsia="en-US"/>
        </w:rPr>
        <w:t xml:space="preserve"> Y., Quazzazi</w:t>
      </w:r>
      <w:r w:rsidR="00145360">
        <w:rPr>
          <w:rFonts w:eastAsia="Calibri"/>
          <w:lang w:val="en-GB" w:eastAsia="en-US"/>
        </w:rPr>
        <w:t>,</w:t>
      </w:r>
      <w:r w:rsidRPr="006F2E08">
        <w:rPr>
          <w:rFonts w:eastAsia="Calibri"/>
          <w:lang w:val="en-GB" w:eastAsia="en-US"/>
        </w:rPr>
        <w:t xml:space="preserve"> M., Talbi</w:t>
      </w:r>
      <w:r w:rsidR="00145360">
        <w:rPr>
          <w:rFonts w:eastAsia="Calibri"/>
          <w:lang w:val="en-GB" w:eastAsia="en-US"/>
        </w:rPr>
        <w:t>,</w:t>
      </w:r>
      <w:r w:rsidRPr="006F2E08">
        <w:rPr>
          <w:rFonts w:eastAsia="Calibri"/>
          <w:lang w:val="en-GB" w:eastAsia="en-US"/>
        </w:rPr>
        <w:t xml:space="preserve"> K. (2017). Unconfined laminar nanofluid flow and heat transfer around a rotating circular cylinder in the steady regime. </w:t>
      </w:r>
      <w:r w:rsidRPr="00145360">
        <w:rPr>
          <w:rFonts w:eastAsia="Calibri"/>
          <w:i/>
          <w:iCs/>
          <w:lang w:val="en-GB" w:eastAsia="en-US"/>
        </w:rPr>
        <w:t>Archives of Thermodynamics</w:t>
      </w:r>
      <w:r w:rsidRPr="006F2E08">
        <w:rPr>
          <w:rFonts w:eastAsia="Calibri"/>
          <w:lang w:val="en-GB" w:eastAsia="en-US"/>
        </w:rPr>
        <w:t xml:space="preserve">, </w:t>
      </w:r>
      <w:r w:rsidRPr="00145360">
        <w:rPr>
          <w:rFonts w:eastAsia="Calibri"/>
          <w:i/>
          <w:iCs/>
          <w:lang w:val="en-GB" w:eastAsia="en-US"/>
        </w:rPr>
        <w:t>38</w:t>
      </w:r>
      <w:r w:rsidRPr="006F2E08">
        <w:rPr>
          <w:rFonts w:eastAsia="Calibri"/>
          <w:lang w:val="en-GB" w:eastAsia="en-US"/>
        </w:rPr>
        <w:t>(2), 3-20. https://doi.org/10.1515/aoter-2017-0008</w:t>
      </w:r>
    </w:p>
    <w:p w14:paraId="392C8DB4" w14:textId="00213FBE" w:rsidR="00FA1750" w:rsidRPr="006F2E08" w:rsidRDefault="00FA1750" w:rsidP="006F2E08">
      <w:pPr>
        <w:pStyle w:val="Rlit"/>
        <w:rPr>
          <w:rFonts w:eastAsia="Calibri"/>
          <w:lang w:val="en-GB" w:eastAsia="en-US"/>
        </w:rPr>
      </w:pPr>
      <w:proofErr w:type="spellStart"/>
      <w:r w:rsidRPr="006F2E08">
        <w:rPr>
          <w:rFonts w:eastAsia="Calibri"/>
          <w:lang w:val="en-GB" w:eastAsia="en-US"/>
        </w:rPr>
        <w:t>Ciuła</w:t>
      </w:r>
      <w:proofErr w:type="spellEnd"/>
      <w:r w:rsidR="002267D2">
        <w:rPr>
          <w:rFonts w:eastAsia="Calibri"/>
          <w:lang w:val="en-GB" w:eastAsia="en-US"/>
        </w:rPr>
        <w:t>,</w:t>
      </w:r>
      <w:r w:rsidRPr="006F2E08">
        <w:rPr>
          <w:rFonts w:eastAsia="Calibri"/>
          <w:lang w:val="en-GB" w:eastAsia="en-US"/>
        </w:rPr>
        <w:t xml:space="preserve"> J., Kowalski</w:t>
      </w:r>
      <w:r w:rsidR="002267D2">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Wiewiórska</w:t>
      </w:r>
      <w:proofErr w:type="spellEnd"/>
      <w:r w:rsidR="002267D2">
        <w:rPr>
          <w:rFonts w:eastAsia="Calibri"/>
          <w:lang w:val="en-GB" w:eastAsia="en-US"/>
        </w:rPr>
        <w:t>,</w:t>
      </w:r>
      <w:r w:rsidRPr="006F2E08">
        <w:rPr>
          <w:rFonts w:eastAsia="Calibri"/>
          <w:lang w:val="en-GB" w:eastAsia="en-US"/>
        </w:rPr>
        <w:t xml:space="preserve"> I. (2023). Pollution Indicator of a Megawatt Hour Produced in Cogeneration – the Efficiency of Biogas Purification Process as an Energy Source for Wastewater Treatment Plants. </w:t>
      </w:r>
      <w:r w:rsidRPr="002267D2">
        <w:rPr>
          <w:rFonts w:eastAsia="Calibri"/>
          <w:i/>
          <w:iCs/>
          <w:lang w:val="en-GB" w:eastAsia="en-US"/>
        </w:rPr>
        <w:t>Journal of Ecological Engineering</w:t>
      </w:r>
      <w:r w:rsidRPr="006F2E08">
        <w:rPr>
          <w:rFonts w:eastAsia="Calibri"/>
          <w:lang w:val="en-GB" w:eastAsia="en-US"/>
        </w:rPr>
        <w:t xml:space="preserve">, </w:t>
      </w:r>
      <w:r w:rsidRPr="002267D2">
        <w:rPr>
          <w:rFonts w:eastAsia="Calibri"/>
          <w:i/>
          <w:iCs/>
          <w:lang w:val="en-GB" w:eastAsia="en-US"/>
        </w:rPr>
        <w:t>24</w:t>
      </w:r>
      <w:r w:rsidRPr="006F2E08">
        <w:rPr>
          <w:rFonts w:eastAsia="Calibri"/>
          <w:lang w:val="en-GB" w:eastAsia="en-US"/>
        </w:rPr>
        <w:t>(3), 232</w:t>
      </w:r>
      <w:r w:rsidR="002267D2">
        <w:rPr>
          <w:rFonts w:eastAsia="Calibri"/>
          <w:lang w:val="en-GB" w:eastAsia="en-US"/>
        </w:rPr>
        <w:t>-</w:t>
      </w:r>
      <w:r w:rsidRPr="006F2E08">
        <w:rPr>
          <w:rFonts w:eastAsia="Calibri"/>
          <w:lang w:val="en-GB" w:eastAsia="en-US"/>
        </w:rPr>
        <w:t>245. https://doi.org/10.12911/22998993/158562</w:t>
      </w:r>
    </w:p>
    <w:p w14:paraId="7D44FC7E" w14:textId="06B27783" w:rsidR="00FA1750" w:rsidRPr="006F2E08" w:rsidRDefault="00FA1750" w:rsidP="006F2E08">
      <w:pPr>
        <w:pStyle w:val="Rlit"/>
        <w:rPr>
          <w:rFonts w:eastAsia="Calibri"/>
          <w:lang w:val="en-GB" w:eastAsia="en-US"/>
        </w:rPr>
      </w:pPr>
      <w:proofErr w:type="spellStart"/>
      <w:r w:rsidRPr="006F2E08">
        <w:rPr>
          <w:rFonts w:eastAsia="Calibri"/>
          <w:lang w:val="en-GB" w:eastAsia="en-US"/>
        </w:rPr>
        <w:t>Croxatto</w:t>
      </w:r>
      <w:proofErr w:type="spellEnd"/>
      <w:r w:rsidRPr="006F2E08">
        <w:rPr>
          <w:rFonts w:eastAsia="Calibri"/>
          <w:lang w:val="en-GB" w:eastAsia="en-US"/>
        </w:rPr>
        <w:t xml:space="preserve"> Vega, G., Gross, A., Birkved, M. (2021). The impacts of plastic products on air pollution-A simulation study for advanced life cycle inventories of plastics covering secondary microplastic production. </w:t>
      </w:r>
      <w:r w:rsidRPr="002267D2">
        <w:rPr>
          <w:rFonts w:eastAsia="Calibri"/>
          <w:i/>
          <w:lang w:val="en-GB" w:eastAsia="en-US"/>
        </w:rPr>
        <w:t>Sustainable Production and Consumption</w:t>
      </w:r>
      <w:r w:rsidRPr="006F2E08">
        <w:rPr>
          <w:rFonts w:eastAsia="Calibri"/>
          <w:iCs/>
          <w:lang w:val="en-GB" w:eastAsia="en-US"/>
        </w:rPr>
        <w:t xml:space="preserve">, </w:t>
      </w:r>
      <w:r w:rsidRPr="002267D2">
        <w:rPr>
          <w:rFonts w:eastAsia="Calibri"/>
          <w:i/>
          <w:lang w:val="en-GB" w:eastAsia="en-US"/>
        </w:rPr>
        <w:t>28</w:t>
      </w:r>
      <w:r w:rsidRPr="006F2E08">
        <w:rPr>
          <w:rFonts w:eastAsia="Calibri"/>
          <w:iCs/>
          <w:lang w:val="en-GB" w:eastAsia="en-US"/>
        </w:rPr>
        <w:t>,</w:t>
      </w:r>
      <w:r w:rsidR="002267D2">
        <w:rPr>
          <w:rFonts w:eastAsia="Calibri"/>
          <w:iCs/>
          <w:lang w:val="en-GB" w:eastAsia="en-US"/>
        </w:rPr>
        <w:t xml:space="preserve"> </w:t>
      </w:r>
      <w:r w:rsidRPr="006F2E08">
        <w:rPr>
          <w:rFonts w:eastAsia="Calibri"/>
          <w:iCs/>
          <w:lang w:val="en-GB" w:eastAsia="en-US"/>
        </w:rPr>
        <w:t>848-865. https://doi.org/10.1016/j.spc.2021.07.008</w:t>
      </w:r>
    </w:p>
    <w:p w14:paraId="5A976043" w14:textId="08EF8D6F" w:rsidR="00FA1750" w:rsidRPr="006F2E08" w:rsidRDefault="00FA1750" w:rsidP="006F2E08">
      <w:pPr>
        <w:pStyle w:val="Rlit"/>
        <w:rPr>
          <w:rFonts w:eastAsia="Calibri"/>
          <w:lang w:val="en-GB" w:eastAsia="en-US"/>
        </w:rPr>
      </w:pPr>
      <w:proofErr w:type="spellStart"/>
      <w:r w:rsidRPr="006F2E08">
        <w:rPr>
          <w:rFonts w:eastAsia="Calibri"/>
          <w:lang w:val="en-GB" w:eastAsia="en-US"/>
        </w:rPr>
        <w:t>Demets</w:t>
      </w:r>
      <w:proofErr w:type="spellEnd"/>
      <w:r w:rsidR="002267D2">
        <w:rPr>
          <w:rFonts w:eastAsia="Calibri"/>
          <w:lang w:val="en-GB" w:eastAsia="en-US"/>
        </w:rPr>
        <w:t>,</w:t>
      </w:r>
      <w:r w:rsidRPr="006F2E08">
        <w:rPr>
          <w:rFonts w:eastAsia="Calibri"/>
          <w:lang w:val="en-GB" w:eastAsia="en-US"/>
        </w:rPr>
        <w:t xml:space="preserve"> R., Van Kets</w:t>
      </w:r>
      <w:r w:rsidR="002267D2">
        <w:rPr>
          <w:rFonts w:eastAsia="Calibri"/>
          <w:lang w:val="en-GB" w:eastAsia="en-US"/>
        </w:rPr>
        <w:t>,</w:t>
      </w:r>
      <w:r w:rsidRPr="006F2E08">
        <w:rPr>
          <w:rFonts w:eastAsia="Calibri"/>
          <w:lang w:val="en-GB" w:eastAsia="en-US"/>
        </w:rPr>
        <w:t xml:space="preserve"> K., </w:t>
      </w:r>
      <w:proofErr w:type="spellStart"/>
      <w:r w:rsidRPr="006F2E08">
        <w:rPr>
          <w:rFonts w:eastAsia="Calibri"/>
          <w:lang w:val="en-GB" w:eastAsia="en-US"/>
        </w:rPr>
        <w:t>Huysveld</w:t>
      </w:r>
      <w:proofErr w:type="spellEnd"/>
      <w:r w:rsidR="002267D2">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Dewulf</w:t>
      </w:r>
      <w:proofErr w:type="spellEnd"/>
      <w:r w:rsidR="002267D2">
        <w:rPr>
          <w:rFonts w:eastAsia="Calibri"/>
          <w:lang w:val="en-GB" w:eastAsia="en-US"/>
        </w:rPr>
        <w:t>,</w:t>
      </w:r>
      <w:r w:rsidRPr="006F2E08">
        <w:rPr>
          <w:rFonts w:eastAsia="Calibri"/>
          <w:lang w:val="en-GB" w:eastAsia="en-US"/>
        </w:rPr>
        <w:t xml:space="preserve"> J., De Meester</w:t>
      </w:r>
      <w:r w:rsidR="002267D2">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Ragaert</w:t>
      </w:r>
      <w:proofErr w:type="spellEnd"/>
      <w:r w:rsidR="002267D2">
        <w:rPr>
          <w:rFonts w:eastAsia="Calibri"/>
          <w:lang w:val="en-GB" w:eastAsia="en-US"/>
        </w:rPr>
        <w:t>,</w:t>
      </w:r>
      <w:r w:rsidRPr="006F2E08">
        <w:rPr>
          <w:rFonts w:eastAsia="Calibri"/>
          <w:lang w:val="en-GB" w:eastAsia="en-US"/>
        </w:rPr>
        <w:t xml:space="preserve"> K. (2021). Addressing the complex challenge of understanding and quantifying substitutability for recycled plastics. </w:t>
      </w:r>
      <w:r w:rsidRPr="002267D2">
        <w:rPr>
          <w:rFonts w:eastAsia="Calibri"/>
          <w:i/>
          <w:lang w:val="en-GB" w:eastAsia="en-US"/>
        </w:rPr>
        <w:t>Resources, Conservation &amp; Recycling</w:t>
      </w:r>
      <w:r w:rsidRPr="006F2E08">
        <w:rPr>
          <w:rFonts w:eastAsia="Calibri"/>
          <w:lang w:val="en-GB" w:eastAsia="en-US"/>
        </w:rPr>
        <w:t xml:space="preserve">, </w:t>
      </w:r>
      <w:r w:rsidRPr="002267D2">
        <w:rPr>
          <w:rFonts w:eastAsia="Calibri"/>
          <w:i/>
          <w:iCs/>
          <w:lang w:val="en-GB" w:eastAsia="en-US"/>
        </w:rPr>
        <w:t>174</w:t>
      </w:r>
      <w:r w:rsidRPr="006F2E08">
        <w:rPr>
          <w:rFonts w:eastAsia="Calibri"/>
          <w:lang w:val="en-GB" w:eastAsia="en-US"/>
        </w:rPr>
        <w:t>, 105826, 1-13. https://doi.org/10.1016/j.resconrec.2021.105826</w:t>
      </w:r>
    </w:p>
    <w:p w14:paraId="7C54D928" w14:textId="584EE196" w:rsidR="00FA1750" w:rsidRPr="006F2E08" w:rsidRDefault="00FA1750" w:rsidP="006F2E08">
      <w:pPr>
        <w:pStyle w:val="Rlit"/>
        <w:rPr>
          <w:rFonts w:eastAsia="Calibri"/>
          <w:lang w:val="en-GB" w:eastAsia="en-US"/>
        </w:rPr>
      </w:pPr>
      <w:proofErr w:type="spellStart"/>
      <w:r w:rsidRPr="006F2E08">
        <w:rPr>
          <w:rFonts w:eastAsia="Calibri"/>
          <w:lang w:val="en-GB" w:eastAsia="en-US"/>
        </w:rPr>
        <w:t>Ekrami</w:t>
      </w:r>
      <w:proofErr w:type="spellEnd"/>
      <w:r w:rsidR="002267D2">
        <w:rPr>
          <w:rFonts w:eastAsia="Calibri"/>
          <w:lang w:val="en-GB" w:eastAsia="en-US"/>
        </w:rPr>
        <w:t>,</w:t>
      </w:r>
      <w:r w:rsidRPr="006F2E08">
        <w:rPr>
          <w:rFonts w:eastAsia="Calibri"/>
          <w:lang w:val="en-GB" w:eastAsia="en-US"/>
        </w:rPr>
        <w:t xml:space="preserve"> E., </w:t>
      </w:r>
      <w:proofErr w:type="spellStart"/>
      <w:r w:rsidRPr="006F2E08">
        <w:rPr>
          <w:rFonts w:eastAsia="Calibri"/>
          <w:lang w:val="en-GB" w:eastAsia="en-US"/>
        </w:rPr>
        <w:t>Pouresmaieli</w:t>
      </w:r>
      <w:proofErr w:type="spellEnd"/>
      <w:r w:rsidR="002267D2">
        <w:rPr>
          <w:rFonts w:eastAsia="Calibri"/>
          <w:lang w:val="en-GB" w:eastAsia="en-US"/>
        </w:rPr>
        <w:t>,</w:t>
      </w:r>
      <w:r w:rsidRPr="006F2E08">
        <w:rPr>
          <w:rFonts w:eastAsia="Calibri"/>
          <w:lang w:val="en-GB" w:eastAsia="en-US"/>
        </w:rPr>
        <w:t xml:space="preserve"> M., </w:t>
      </w:r>
      <w:proofErr w:type="spellStart"/>
      <w:r w:rsidRPr="006F2E08">
        <w:rPr>
          <w:rFonts w:eastAsia="Calibri"/>
          <w:lang w:val="en-GB" w:eastAsia="en-US"/>
        </w:rPr>
        <w:t>Hashemiyoon</w:t>
      </w:r>
      <w:proofErr w:type="spellEnd"/>
      <w:r w:rsidR="002267D2">
        <w:rPr>
          <w:rFonts w:eastAsia="Calibri"/>
          <w:lang w:val="en-GB" w:eastAsia="en-US"/>
        </w:rPr>
        <w:t>,</w:t>
      </w:r>
      <w:r w:rsidRPr="006F2E08">
        <w:rPr>
          <w:rFonts w:eastAsia="Calibri"/>
          <w:lang w:val="en-GB" w:eastAsia="en-US"/>
        </w:rPr>
        <w:t xml:space="preserve"> E.S., </w:t>
      </w:r>
      <w:proofErr w:type="spellStart"/>
      <w:r w:rsidRPr="006F2E08">
        <w:rPr>
          <w:rFonts w:eastAsia="Calibri"/>
          <w:lang w:val="en-GB" w:eastAsia="en-US"/>
        </w:rPr>
        <w:t>Noorbakhsh</w:t>
      </w:r>
      <w:proofErr w:type="spellEnd"/>
      <w:r w:rsidR="002267D2">
        <w:rPr>
          <w:rFonts w:eastAsia="Calibri"/>
          <w:lang w:val="en-GB" w:eastAsia="en-US"/>
        </w:rPr>
        <w:t>,</w:t>
      </w:r>
      <w:r w:rsidRPr="006F2E08">
        <w:rPr>
          <w:rFonts w:eastAsia="Calibri"/>
          <w:lang w:val="en-GB" w:eastAsia="en-US"/>
        </w:rPr>
        <w:t xml:space="preserve"> N., </w:t>
      </w:r>
      <w:proofErr w:type="spellStart"/>
      <w:r w:rsidRPr="006F2E08">
        <w:rPr>
          <w:rFonts w:eastAsia="Calibri"/>
          <w:lang w:val="en-GB" w:eastAsia="en-US"/>
        </w:rPr>
        <w:t>Mahmoudifard</w:t>
      </w:r>
      <w:proofErr w:type="spellEnd"/>
      <w:r w:rsidR="002267D2">
        <w:rPr>
          <w:rFonts w:eastAsia="Calibri"/>
          <w:lang w:val="en-GB" w:eastAsia="en-US"/>
        </w:rPr>
        <w:t>,</w:t>
      </w:r>
      <w:r w:rsidRPr="006F2E08">
        <w:rPr>
          <w:rFonts w:eastAsia="Calibri"/>
          <w:lang w:val="en-GB" w:eastAsia="en-US"/>
        </w:rPr>
        <w:t xml:space="preserve"> M. (2022). Nanotechnology: A sustainable solution for heavy metals remediation. </w:t>
      </w:r>
      <w:r w:rsidRPr="002267D2">
        <w:rPr>
          <w:rFonts w:eastAsia="Calibri"/>
          <w:i/>
          <w:iCs/>
          <w:lang w:val="en-GB" w:eastAsia="en-US"/>
        </w:rPr>
        <w:t>Environmental Nanotechnology, Monitoring &amp; Management</w:t>
      </w:r>
      <w:r w:rsidRPr="006F2E08">
        <w:rPr>
          <w:rFonts w:eastAsia="Calibri"/>
          <w:lang w:val="en-GB" w:eastAsia="en-US"/>
        </w:rPr>
        <w:t xml:space="preserve">, </w:t>
      </w:r>
      <w:r w:rsidRPr="002267D2">
        <w:rPr>
          <w:rFonts w:eastAsia="Calibri"/>
          <w:i/>
          <w:iCs/>
          <w:lang w:val="en-GB" w:eastAsia="en-US"/>
        </w:rPr>
        <w:t>18</w:t>
      </w:r>
      <w:r w:rsidRPr="006F2E08">
        <w:rPr>
          <w:rFonts w:eastAsia="Calibri"/>
          <w:lang w:val="en-GB" w:eastAsia="en-US"/>
        </w:rPr>
        <w:t>,</w:t>
      </w:r>
      <w:r w:rsidR="002267D2">
        <w:rPr>
          <w:rFonts w:eastAsia="Calibri"/>
          <w:lang w:val="en-GB" w:eastAsia="en-US"/>
        </w:rPr>
        <w:t xml:space="preserve"> </w:t>
      </w:r>
      <w:r w:rsidRPr="006F2E08">
        <w:rPr>
          <w:rFonts w:eastAsia="Calibri"/>
          <w:lang w:val="en-GB" w:eastAsia="en-US"/>
        </w:rPr>
        <w:t>100718. https://doi.org/10.1016/j.enmm.2022.100718</w:t>
      </w:r>
    </w:p>
    <w:p w14:paraId="5E1BC62C" w14:textId="6531269C" w:rsidR="00FA1750" w:rsidRPr="006F2E08" w:rsidRDefault="00FA1750" w:rsidP="002267D2">
      <w:pPr>
        <w:pStyle w:val="Rlit"/>
        <w:jc w:val="left"/>
        <w:rPr>
          <w:rFonts w:eastAsia="Calibri"/>
          <w:lang w:val="en-GB" w:eastAsia="en-US"/>
        </w:rPr>
      </w:pPr>
      <w:r w:rsidRPr="006F2E08">
        <w:rPr>
          <w:rFonts w:eastAsia="Calibri"/>
          <w:lang w:val="en-GB" w:eastAsia="en-US"/>
        </w:rPr>
        <w:t xml:space="preserve">El-Baz A., Mokhtar M., Abdo A. (2023). Effect of Magnetite Oxide Nanoparticles and Tungsten Oxide Nanoparticles on Phosphate Removal from Aqueous Solutions. </w:t>
      </w:r>
      <w:r w:rsidRPr="002267D2">
        <w:rPr>
          <w:rFonts w:eastAsia="Calibri"/>
          <w:i/>
          <w:iCs/>
          <w:lang w:val="en-GB" w:eastAsia="en-US"/>
        </w:rPr>
        <w:t>Journal of Ecological Engineering</w:t>
      </w:r>
      <w:r w:rsidRPr="006F2E08">
        <w:rPr>
          <w:rFonts w:eastAsia="Calibri"/>
          <w:lang w:val="en-GB" w:eastAsia="en-US"/>
        </w:rPr>
        <w:t xml:space="preserve">, </w:t>
      </w:r>
      <w:r w:rsidRPr="002267D2">
        <w:rPr>
          <w:rFonts w:eastAsia="Calibri"/>
          <w:i/>
          <w:iCs/>
          <w:lang w:val="en-GB" w:eastAsia="en-US"/>
        </w:rPr>
        <w:t>24</w:t>
      </w:r>
      <w:r w:rsidRPr="006F2E08">
        <w:rPr>
          <w:rFonts w:eastAsia="Calibri"/>
          <w:lang w:val="en-GB" w:eastAsia="en-US"/>
        </w:rPr>
        <w:t>(3), 287-303. https://doi.org/10.12911/22998993/158563</w:t>
      </w:r>
    </w:p>
    <w:p w14:paraId="6A8E5C86" w14:textId="538A02E2" w:rsidR="00FA1750" w:rsidRPr="006F2E08" w:rsidRDefault="00FA1750" w:rsidP="006F2E08">
      <w:pPr>
        <w:pStyle w:val="Rlit"/>
        <w:rPr>
          <w:rFonts w:eastAsia="Calibri"/>
          <w:lang w:val="en-GB" w:eastAsia="en-US"/>
        </w:rPr>
      </w:pPr>
      <w:r w:rsidRPr="006F2E08">
        <w:rPr>
          <w:rFonts w:eastAsia="Calibri"/>
          <w:lang w:val="en-GB" w:eastAsia="en-US"/>
        </w:rPr>
        <w:t>Gaska</w:t>
      </w:r>
      <w:r w:rsidR="002267D2">
        <w:rPr>
          <w:rFonts w:eastAsia="Calibri"/>
          <w:lang w:val="en-GB" w:eastAsia="en-US"/>
        </w:rPr>
        <w:t>,</w:t>
      </w:r>
      <w:r w:rsidRPr="006F2E08">
        <w:rPr>
          <w:rFonts w:eastAsia="Calibri"/>
          <w:lang w:val="en-GB" w:eastAsia="en-US"/>
        </w:rPr>
        <w:t xml:space="preserve"> K., </w:t>
      </w:r>
      <w:proofErr w:type="spellStart"/>
      <w:r w:rsidRPr="006F2E08">
        <w:rPr>
          <w:rFonts w:eastAsia="Calibri"/>
          <w:lang w:val="en-GB" w:eastAsia="en-US"/>
        </w:rPr>
        <w:t>Generowicz</w:t>
      </w:r>
      <w:proofErr w:type="spellEnd"/>
      <w:r w:rsidR="002267D2">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Gronba-Chyła</w:t>
      </w:r>
      <w:proofErr w:type="spellEnd"/>
      <w:r w:rsidR="002267D2">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Ciuła</w:t>
      </w:r>
      <w:proofErr w:type="spellEnd"/>
      <w:r w:rsidR="002267D2">
        <w:rPr>
          <w:rFonts w:eastAsia="Calibri"/>
          <w:lang w:val="en-GB" w:eastAsia="en-US"/>
        </w:rPr>
        <w:t>,</w:t>
      </w:r>
      <w:r w:rsidRPr="006F2E08">
        <w:rPr>
          <w:rFonts w:eastAsia="Calibri"/>
          <w:lang w:val="en-GB" w:eastAsia="en-US"/>
        </w:rPr>
        <w:t xml:space="preserve"> J., </w:t>
      </w:r>
      <w:proofErr w:type="spellStart"/>
      <w:r w:rsidRPr="006F2E08">
        <w:rPr>
          <w:rFonts w:eastAsia="Calibri"/>
          <w:lang w:val="en-GB" w:eastAsia="en-US"/>
        </w:rPr>
        <w:t>Wiewiórska</w:t>
      </w:r>
      <w:proofErr w:type="spellEnd"/>
      <w:r w:rsidR="002267D2">
        <w:rPr>
          <w:rFonts w:eastAsia="Calibri"/>
          <w:lang w:val="en-GB" w:eastAsia="en-US"/>
        </w:rPr>
        <w:t>,</w:t>
      </w:r>
      <w:r w:rsidRPr="006F2E08">
        <w:rPr>
          <w:rFonts w:eastAsia="Calibri"/>
          <w:lang w:val="en-GB" w:eastAsia="en-US"/>
        </w:rPr>
        <w:t xml:space="preserve"> I., </w:t>
      </w:r>
      <w:proofErr w:type="spellStart"/>
      <w:r w:rsidRPr="006F2E08">
        <w:rPr>
          <w:rFonts w:eastAsia="Calibri"/>
          <w:lang w:val="en-GB" w:eastAsia="en-US"/>
        </w:rPr>
        <w:t>Kwaśnicki</w:t>
      </w:r>
      <w:proofErr w:type="spellEnd"/>
      <w:r w:rsidR="002267D2">
        <w:rPr>
          <w:rFonts w:eastAsia="Calibri"/>
          <w:lang w:val="en-GB" w:eastAsia="en-US"/>
        </w:rPr>
        <w:t>,</w:t>
      </w:r>
      <w:r w:rsidRPr="006F2E08">
        <w:rPr>
          <w:rFonts w:eastAsia="Calibri"/>
          <w:lang w:val="en-GB" w:eastAsia="en-US"/>
        </w:rPr>
        <w:t xml:space="preserve"> P., Mala</w:t>
      </w:r>
      <w:r w:rsidR="002267D2">
        <w:rPr>
          <w:rFonts w:eastAsia="Calibri"/>
          <w:lang w:val="en-GB" w:eastAsia="en-US"/>
        </w:rPr>
        <w:t>,</w:t>
      </w:r>
      <w:r w:rsidRPr="006F2E08">
        <w:rPr>
          <w:rFonts w:eastAsia="Calibri"/>
          <w:lang w:val="en-GB" w:eastAsia="en-US"/>
        </w:rPr>
        <w:t xml:space="preserve"> M., </w:t>
      </w:r>
      <w:proofErr w:type="spellStart"/>
      <w:r w:rsidRPr="006F2E08">
        <w:rPr>
          <w:rFonts w:eastAsia="Calibri"/>
          <w:lang w:val="en-GB" w:eastAsia="en-US"/>
        </w:rPr>
        <w:t>Chyła</w:t>
      </w:r>
      <w:proofErr w:type="spellEnd"/>
      <w:r w:rsidR="002267D2">
        <w:rPr>
          <w:rFonts w:eastAsia="Calibri"/>
          <w:lang w:val="en-GB" w:eastAsia="en-US"/>
        </w:rPr>
        <w:t>,</w:t>
      </w:r>
      <w:r w:rsidRPr="006F2E08">
        <w:rPr>
          <w:rFonts w:eastAsia="Calibri"/>
          <w:lang w:val="en-GB" w:eastAsia="en-US"/>
        </w:rPr>
        <w:t xml:space="preserve"> K. (2023). Artificial Intelligence Methods for Analysis and Optimization of CHP Cogeneration Units Based on Landfill Biogas as a Progress in Improving Energy Efficiency and Limiting Climate Change. </w:t>
      </w:r>
      <w:r w:rsidRPr="002267D2">
        <w:rPr>
          <w:rFonts w:eastAsia="Calibri"/>
          <w:i/>
          <w:iCs/>
          <w:lang w:val="en-GB" w:eastAsia="en-US"/>
        </w:rPr>
        <w:t>Energies</w:t>
      </w:r>
      <w:r w:rsidRPr="006F2E08">
        <w:rPr>
          <w:rFonts w:eastAsia="Calibri"/>
          <w:lang w:val="en-GB" w:eastAsia="en-US"/>
        </w:rPr>
        <w:t xml:space="preserve">, </w:t>
      </w:r>
      <w:r w:rsidRPr="002267D2">
        <w:rPr>
          <w:rFonts w:eastAsia="Calibri"/>
          <w:i/>
          <w:iCs/>
          <w:lang w:val="en-GB" w:eastAsia="en-US"/>
        </w:rPr>
        <w:t>16</w:t>
      </w:r>
      <w:r w:rsidRPr="006F2E08">
        <w:rPr>
          <w:rFonts w:eastAsia="Calibri"/>
          <w:lang w:val="en-GB" w:eastAsia="en-US"/>
        </w:rPr>
        <w:t>(15), 5732. https://doi.org/10.3390/en16155732</w:t>
      </w:r>
    </w:p>
    <w:p w14:paraId="72807903" w14:textId="129D0A70" w:rsidR="00FA1750" w:rsidRPr="001A113C" w:rsidRDefault="00FA1750" w:rsidP="002267D2">
      <w:pPr>
        <w:pStyle w:val="Rlit"/>
        <w:jc w:val="left"/>
        <w:rPr>
          <w:rFonts w:eastAsia="Calibri"/>
          <w:spacing w:val="-4"/>
          <w:lang w:val="en-GB" w:eastAsia="en-US"/>
        </w:rPr>
      </w:pPr>
      <w:proofErr w:type="spellStart"/>
      <w:r w:rsidRPr="001A113C">
        <w:rPr>
          <w:rFonts w:eastAsia="Calibri"/>
          <w:spacing w:val="-4"/>
          <w:lang w:val="en-GB" w:eastAsia="en-US"/>
        </w:rPr>
        <w:t>Gaylarde</w:t>
      </w:r>
      <w:proofErr w:type="spellEnd"/>
      <w:r w:rsidR="002267D2" w:rsidRPr="001A113C">
        <w:rPr>
          <w:rFonts w:eastAsia="Calibri"/>
          <w:spacing w:val="-4"/>
          <w:lang w:val="en-GB" w:eastAsia="en-US"/>
        </w:rPr>
        <w:t>,</w:t>
      </w:r>
      <w:r w:rsidRPr="001A113C">
        <w:rPr>
          <w:rFonts w:eastAsia="Calibri"/>
          <w:spacing w:val="-4"/>
          <w:lang w:val="en-GB" w:eastAsia="en-US"/>
        </w:rPr>
        <w:t xml:space="preserve"> C.C., Baptista Neto</w:t>
      </w:r>
      <w:r w:rsidR="002267D2" w:rsidRPr="001A113C">
        <w:rPr>
          <w:rFonts w:eastAsia="Calibri"/>
          <w:spacing w:val="-4"/>
          <w:lang w:val="en-GB" w:eastAsia="en-US"/>
        </w:rPr>
        <w:t>,</w:t>
      </w:r>
      <w:r w:rsidRPr="001A113C">
        <w:rPr>
          <w:rFonts w:eastAsia="Calibri"/>
          <w:spacing w:val="-4"/>
          <w:lang w:val="en-GB" w:eastAsia="en-US"/>
        </w:rPr>
        <w:t xml:space="preserve"> J.A., Monteiro da Fonseca</w:t>
      </w:r>
      <w:r w:rsidR="002267D2" w:rsidRPr="001A113C">
        <w:rPr>
          <w:rFonts w:eastAsia="Calibri"/>
          <w:spacing w:val="-4"/>
          <w:lang w:val="en-GB" w:eastAsia="en-US"/>
        </w:rPr>
        <w:t>,</w:t>
      </w:r>
      <w:r w:rsidRPr="001A113C">
        <w:rPr>
          <w:rFonts w:eastAsia="Calibri"/>
          <w:spacing w:val="-4"/>
          <w:lang w:val="en-GB" w:eastAsia="en-US"/>
        </w:rPr>
        <w:t xml:space="preserve"> E. (2021). </w:t>
      </w:r>
      <w:proofErr w:type="spellStart"/>
      <w:r w:rsidRPr="001A113C">
        <w:rPr>
          <w:rFonts w:eastAsia="Calibri"/>
          <w:spacing w:val="-4"/>
          <w:lang w:val="en-GB" w:eastAsia="en-US"/>
        </w:rPr>
        <w:t>Nanoplastics</w:t>
      </w:r>
      <w:proofErr w:type="spellEnd"/>
      <w:r w:rsidRPr="001A113C">
        <w:rPr>
          <w:rFonts w:eastAsia="Calibri"/>
          <w:spacing w:val="-4"/>
          <w:lang w:val="en-GB" w:eastAsia="en-US"/>
        </w:rPr>
        <w:t xml:space="preserve"> in aquatic systems - are they more hazardous than microplastics? </w:t>
      </w:r>
      <w:r w:rsidRPr="001A113C">
        <w:rPr>
          <w:rFonts w:eastAsia="Calibri"/>
          <w:i/>
          <w:spacing w:val="-4"/>
          <w:lang w:val="en-GB" w:eastAsia="en-US"/>
        </w:rPr>
        <w:t>Environmental Pollution</w:t>
      </w:r>
      <w:r w:rsidRPr="001A113C">
        <w:rPr>
          <w:rFonts w:eastAsia="Calibri"/>
          <w:iCs/>
          <w:spacing w:val="-4"/>
          <w:lang w:val="en-GB" w:eastAsia="en-US"/>
        </w:rPr>
        <w:t>,</w:t>
      </w:r>
      <w:r w:rsidRPr="001A113C">
        <w:rPr>
          <w:rFonts w:eastAsia="Calibri"/>
          <w:spacing w:val="-4"/>
          <w:lang w:val="en-GB" w:eastAsia="en-US"/>
        </w:rPr>
        <w:t xml:space="preserve"> </w:t>
      </w:r>
      <w:r w:rsidRPr="001A113C">
        <w:rPr>
          <w:rFonts w:eastAsia="Calibri"/>
          <w:i/>
          <w:iCs/>
          <w:spacing w:val="-4"/>
          <w:lang w:val="en-GB" w:eastAsia="en-US"/>
        </w:rPr>
        <w:t>272</w:t>
      </w:r>
      <w:r w:rsidRPr="001A113C">
        <w:rPr>
          <w:rFonts w:eastAsia="Calibri"/>
          <w:spacing w:val="-4"/>
          <w:lang w:val="en-GB" w:eastAsia="en-US"/>
        </w:rPr>
        <w:t>, 115950, 1-10. https://doi.org/10.1016/j.envpol.2020.115950</w:t>
      </w:r>
    </w:p>
    <w:p w14:paraId="45AF5D5A" w14:textId="68E9E0C4" w:rsidR="00FA1750" w:rsidRPr="006F2E08" w:rsidRDefault="00FA1750" w:rsidP="006F2E08">
      <w:pPr>
        <w:pStyle w:val="Rlit"/>
        <w:rPr>
          <w:rFonts w:eastAsia="Calibri"/>
          <w:lang w:val="en-GB" w:eastAsia="en-US"/>
        </w:rPr>
      </w:pPr>
      <w:proofErr w:type="spellStart"/>
      <w:r w:rsidRPr="006F2E08">
        <w:rPr>
          <w:rFonts w:eastAsia="Calibri"/>
          <w:lang w:val="en-GB" w:eastAsia="en-US"/>
        </w:rPr>
        <w:t>Grąz</w:t>
      </w:r>
      <w:proofErr w:type="spellEnd"/>
      <w:r w:rsidR="002267D2">
        <w:rPr>
          <w:rFonts w:eastAsia="Calibri"/>
          <w:lang w:val="en-GB" w:eastAsia="en-US"/>
        </w:rPr>
        <w:t>,</w:t>
      </w:r>
      <w:r w:rsidRPr="006F2E08">
        <w:rPr>
          <w:rFonts w:eastAsia="Calibri"/>
          <w:lang w:val="en-GB" w:eastAsia="en-US"/>
        </w:rPr>
        <w:t xml:space="preserve"> K., </w:t>
      </w:r>
      <w:proofErr w:type="spellStart"/>
      <w:r w:rsidRPr="006F2E08">
        <w:rPr>
          <w:rFonts w:eastAsia="Calibri"/>
          <w:lang w:val="en-GB" w:eastAsia="en-US"/>
        </w:rPr>
        <w:t>Gronba-Chyła</w:t>
      </w:r>
      <w:proofErr w:type="spellEnd"/>
      <w:r w:rsidR="002267D2">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Chyła</w:t>
      </w:r>
      <w:proofErr w:type="spellEnd"/>
      <w:r w:rsidR="002267D2">
        <w:rPr>
          <w:rFonts w:eastAsia="Calibri"/>
          <w:lang w:val="en-GB" w:eastAsia="en-US"/>
        </w:rPr>
        <w:t>,</w:t>
      </w:r>
      <w:r w:rsidRPr="006F2E08">
        <w:rPr>
          <w:rFonts w:eastAsia="Calibri"/>
          <w:lang w:val="en-GB" w:eastAsia="en-US"/>
        </w:rPr>
        <w:t xml:space="preserve"> K., (2023). Microplastics </w:t>
      </w:r>
      <w:proofErr w:type="spellStart"/>
      <w:r w:rsidRPr="006F2E08">
        <w:rPr>
          <w:rFonts w:eastAsia="Calibri"/>
          <w:lang w:val="en-GB" w:eastAsia="en-US"/>
        </w:rPr>
        <w:t>foundin</w:t>
      </w:r>
      <w:proofErr w:type="spellEnd"/>
      <w:r w:rsidRPr="006F2E08">
        <w:rPr>
          <w:rFonts w:eastAsia="Calibri"/>
          <w:lang w:val="en-GB" w:eastAsia="en-US"/>
        </w:rPr>
        <w:t xml:space="preserve"> compost as a barrier to the circular economy (CE). </w:t>
      </w:r>
      <w:r w:rsidRPr="002267D2">
        <w:rPr>
          <w:rFonts w:eastAsia="Calibri"/>
          <w:i/>
          <w:iCs/>
          <w:lang w:val="en-GB" w:eastAsia="en-US"/>
        </w:rPr>
        <w:t xml:space="preserve">Przemysł </w:t>
      </w:r>
      <w:proofErr w:type="spellStart"/>
      <w:r w:rsidR="002267D2">
        <w:rPr>
          <w:rFonts w:eastAsia="Calibri"/>
          <w:i/>
          <w:iCs/>
          <w:lang w:val="en-GB" w:eastAsia="en-US"/>
        </w:rPr>
        <w:t>C</w:t>
      </w:r>
      <w:r w:rsidRPr="002267D2">
        <w:rPr>
          <w:rFonts w:eastAsia="Calibri"/>
          <w:i/>
          <w:iCs/>
          <w:lang w:val="en-GB" w:eastAsia="en-US"/>
        </w:rPr>
        <w:t>hemiczny</w:t>
      </w:r>
      <w:proofErr w:type="spellEnd"/>
      <w:r w:rsidRPr="006F2E08">
        <w:rPr>
          <w:rFonts w:eastAsia="Calibri"/>
          <w:lang w:val="en-GB" w:eastAsia="en-US"/>
        </w:rPr>
        <w:t xml:space="preserve">, </w:t>
      </w:r>
      <w:r w:rsidRPr="002267D2">
        <w:rPr>
          <w:rFonts w:eastAsia="Calibri"/>
          <w:i/>
          <w:iCs/>
          <w:lang w:val="en-GB" w:eastAsia="en-US"/>
        </w:rPr>
        <w:t>102</w:t>
      </w:r>
      <w:r w:rsidRPr="006F2E08">
        <w:rPr>
          <w:rFonts w:eastAsia="Calibri"/>
          <w:lang w:val="en-GB" w:eastAsia="en-US"/>
        </w:rPr>
        <w:t>(4), 381</w:t>
      </w:r>
      <w:r w:rsidR="002267D2">
        <w:rPr>
          <w:rFonts w:eastAsia="Calibri"/>
          <w:lang w:val="en-GB" w:eastAsia="en-US"/>
        </w:rPr>
        <w:t>-</w:t>
      </w:r>
      <w:r w:rsidRPr="006F2E08">
        <w:rPr>
          <w:rFonts w:eastAsia="Calibri"/>
          <w:lang w:val="en-GB" w:eastAsia="en-US"/>
        </w:rPr>
        <w:t>383. https://doi.org/10.15199/62.2023.4.7</w:t>
      </w:r>
    </w:p>
    <w:p w14:paraId="739D29DF" w14:textId="33D5597B" w:rsidR="00FA1750" w:rsidRPr="006F2E08" w:rsidRDefault="00FA1750" w:rsidP="002267D2">
      <w:pPr>
        <w:pStyle w:val="Rlit"/>
        <w:jc w:val="left"/>
        <w:rPr>
          <w:rFonts w:eastAsia="Calibri"/>
          <w:lang w:val="en-GB" w:eastAsia="en-US"/>
        </w:rPr>
      </w:pPr>
      <w:proofErr w:type="spellStart"/>
      <w:r w:rsidRPr="006F2E08">
        <w:rPr>
          <w:rFonts w:eastAsia="Calibri"/>
          <w:lang w:val="en-GB" w:eastAsia="en-US"/>
        </w:rPr>
        <w:t>Grąz</w:t>
      </w:r>
      <w:proofErr w:type="spellEnd"/>
      <w:r w:rsidRPr="006F2E08">
        <w:rPr>
          <w:rFonts w:eastAsia="Calibri"/>
          <w:lang w:val="en-GB" w:eastAsia="en-US"/>
        </w:rPr>
        <w:t xml:space="preserve">, K., </w:t>
      </w:r>
      <w:proofErr w:type="spellStart"/>
      <w:r w:rsidRPr="006F2E08">
        <w:rPr>
          <w:rFonts w:eastAsia="Calibri"/>
          <w:lang w:val="en-GB" w:eastAsia="en-US"/>
        </w:rPr>
        <w:t>Generowicz</w:t>
      </w:r>
      <w:proofErr w:type="spellEnd"/>
      <w:r w:rsidRPr="006F2E08">
        <w:rPr>
          <w:rFonts w:eastAsia="Calibri"/>
          <w:lang w:val="en-GB" w:eastAsia="en-US"/>
        </w:rPr>
        <w:t xml:space="preserve">, A., </w:t>
      </w:r>
      <w:proofErr w:type="spellStart"/>
      <w:r w:rsidRPr="006F2E08">
        <w:rPr>
          <w:rFonts w:eastAsia="Calibri"/>
          <w:lang w:val="en-GB" w:eastAsia="en-US"/>
        </w:rPr>
        <w:t>Kwaśny</w:t>
      </w:r>
      <w:proofErr w:type="spellEnd"/>
      <w:r w:rsidRPr="006F2E08">
        <w:rPr>
          <w:rFonts w:eastAsia="Calibri"/>
          <w:lang w:val="en-GB" w:eastAsia="en-US"/>
        </w:rPr>
        <w:t>, J. (2022). Nanoparticles in surface water</w:t>
      </w:r>
      <w:r w:rsidR="002267D2">
        <w:rPr>
          <w:rFonts w:eastAsia="Calibri"/>
          <w:lang w:val="en-GB" w:eastAsia="en-US"/>
        </w:rPr>
        <w:t>.</w:t>
      </w:r>
      <w:r w:rsidRPr="006F2E08">
        <w:rPr>
          <w:rFonts w:eastAsia="Calibri"/>
          <w:lang w:val="en-GB" w:eastAsia="en-US"/>
        </w:rPr>
        <w:t xml:space="preserve"> </w:t>
      </w:r>
      <w:r w:rsidRPr="002267D2">
        <w:rPr>
          <w:rFonts w:eastAsia="Calibri"/>
          <w:i/>
          <w:lang w:val="en-GB" w:eastAsia="en-US"/>
        </w:rPr>
        <w:t xml:space="preserve">Przemysł </w:t>
      </w:r>
      <w:proofErr w:type="spellStart"/>
      <w:r w:rsidRPr="002267D2">
        <w:rPr>
          <w:rFonts w:eastAsia="Calibri"/>
          <w:i/>
          <w:lang w:val="en-GB" w:eastAsia="en-US"/>
        </w:rPr>
        <w:t>Chemiczny</w:t>
      </w:r>
      <w:proofErr w:type="spellEnd"/>
      <w:r w:rsidR="002267D2">
        <w:rPr>
          <w:rFonts w:eastAsia="Calibri"/>
          <w:iCs/>
          <w:lang w:val="en-GB" w:eastAsia="en-US"/>
        </w:rPr>
        <w:t>,</w:t>
      </w:r>
      <w:r w:rsidRPr="006F2E08">
        <w:rPr>
          <w:rFonts w:eastAsia="Calibri"/>
          <w:lang w:val="en-GB" w:eastAsia="en-US"/>
        </w:rPr>
        <w:t xml:space="preserve"> </w:t>
      </w:r>
      <w:r w:rsidRPr="002267D2">
        <w:rPr>
          <w:rFonts w:eastAsia="Calibri"/>
          <w:i/>
          <w:iCs/>
          <w:lang w:val="en-GB" w:eastAsia="en-US"/>
        </w:rPr>
        <w:t>101</w:t>
      </w:r>
      <w:r w:rsidRPr="006F2E08">
        <w:rPr>
          <w:rFonts w:eastAsia="Calibri"/>
          <w:lang w:val="en-GB" w:eastAsia="en-US"/>
        </w:rPr>
        <w:t>(1). https://doi.org/63 10.15199/62.2022.1.8</w:t>
      </w:r>
    </w:p>
    <w:p w14:paraId="6F5C4A98" w14:textId="4AA219E9" w:rsidR="00FA1750" w:rsidRPr="006F2E08" w:rsidRDefault="00FA1750" w:rsidP="006F2E08">
      <w:pPr>
        <w:pStyle w:val="Rlit"/>
        <w:rPr>
          <w:rFonts w:eastAsia="Calibri"/>
          <w:lang w:val="en-GB" w:eastAsia="en-US"/>
        </w:rPr>
      </w:pPr>
      <w:proofErr w:type="spellStart"/>
      <w:r w:rsidRPr="006F2E08">
        <w:rPr>
          <w:rFonts w:eastAsia="Calibri"/>
          <w:lang w:val="en-GB" w:eastAsia="en-US"/>
        </w:rPr>
        <w:t>Gronba-Chyła</w:t>
      </w:r>
      <w:proofErr w:type="spellEnd"/>
      <w:r w:rsidR="00212A41">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Generowicz</w:t>
      </w:r>
      <w:proofErr w:type="spellEnd"/>
      <w:r w:rsidRPr="006F2E08">
        <w:rPr>
          <w:rFonts w:eastAsia="Calibri"/>
          <w:lang w:val="en-GB" w:eastAsia="en-US"/>
        </w:rPr>
        <w:t xml:space="preserve">, A., </w:t>
      </w:r>
      <w:proofErr w:type="spellStart"/>
      <w:r w:rsidRPr="006F2E08">
        <w:rPr>
          <w:rFonts w:eastAsia="Calibri"/>
          <w:lang w:val="en-GB" w:eastAsia="en-US"/>
        </w:rPr>
        <w:t>Kwaśnicki</w:t>
      </w:r>
      <w:proofErr w:type="spellEnd"/>
      <w:r w:rsidRPr="006F2E08">
        <w:rPr>
          <w:rFonts w:eastAsia="Calibri"/>
          <w:lang w:val="en-GB" w:eastAsia="en-US"/>
        </w:rPr>
        <w:t xml:space="preserve">, P., </w:t>
      </w:r>
      <w:proofErr w:type="spellStart"/>
      <w:r w:rsidRPr="006F2E08">
        <w:rPr>
          <w:rFonts w:eastAsia="Calibri"/>
          <w:lang w:val="en-GB" w:eastAsia="en-US"/>
        </w:rPr>
        <w:t>Cycoń</w:t>
      </w:r>
      <w:proofErr w:type="spellEnd"/>
      <w:r w:rsidRPr="006F2E08">
        <w:rPr>
          <w:rFonts w:eastAsia="Calibri"/>
          <w:lang w:val="en-GB" w:eastAsia="en-US"/>
        </w:rPr>
        <w:t xml:space="preserve"> D., </w:t>
      </w:r>
      <w:proofErr w:type="spellStart"/>
      <w:r w:rsidRPr="006F2E08">
        <w:rPr>
          <w:rFonts w:eastAsia="Calibri"/>
          <w:lang w:val="en-GB" w:eastAsia="en-US"/>
        </w:rPr>
        <w:t>Kwaśny</w:t>
      </w:r>
      <w:proofErr w:type="spellEnd"/>
      <w:r w:rsidRPr="006F2E08">
        <w:rPr>
          <w:rFonts w:eastAsia="Calibri"/>
          <w:lang w:val="en-GB" w:eastAsia="en-US"/>
        </w:rPr>
        <w:t xml:space="preserve">, J., </w:t>
      </w:r>
      <w:proofErr w:type="spellStart"/>
      <w:r w:rsidRPr="006F2E08">
        <w:rPr>
          <w:rFonts w:eastAsia="Calibri"/>
          <w:lang w:val="en-GB" w:eastAsia="en-US"/>
        </w:rPr>
        <w:t>Grąz</w:t>
      </w:r>
      <w:proofErr w:type="spellEnd"/>
      <w:r w:rsidR="007767A2">
        <w:rPr>
          <w:rFonts w:eastAsia="Calibri"/>
          <w:lang w:val="en-GB" w:eastAsia="en-US"/>
        </w:rPr>
        <w:t>,</w:t>
      </w:r>
      <w:r w:rsidRPr="006F2E08">
        <w:rPr>
          <w:rFonts w:eastAsia="Calibri"/>
          <w:lang w:val="en-GB" w:eastAsia="en-US"/>
        </w:rPr>
        <w:t xml:space="preserve"> K., </w:t>
      </w:r>
      <w:proofErr w:type="spellStart"/>
      <w:r w:rsidRPr="006F2E08">
        <w:rPr>
          <w:rFonts w:eastAsia="Calibri"/>
          <w:lang w:val="en-GB" w:eastAsia="en-US"/>
        </w:rPr>
        <w:t>Gąska</w:t>
      </w:r>
      <w:proofErr w:type="spellEnd"/>
      <w:r w:rsidR="007767A2">
        <w:rPr>
          <w:rFonts w:eastAsia="Calibri"/>
          <w:lang w:val="en-GB" w:eastAsia="en-US"/>
        </w:rPr>
        <w:t>,</w:t>
      </w:r>
      <w:r w:rsidRPr="006F2E08">
        <w:rPr>
          <w:rFonts w:eastAsia="Calibri"/>
          <w:lang w:val="en-GB" w:eastAsia="en-US"/>
        </w:rPr>
        <w:t xml:space="preserve"> K., </w:t>
      </w:r>
      <w:proofErr w:type="spellStart"/>
      <w:r w:rsidRPr="006F2E08">
        <w:rPr>
          <w:rFonts w:eastAsia="Calibri"/>
          <w:lang w:val="en-GB" w:eastAsia="en-US"/>
        </w:rPr>
        <w:t>Ciuła</w:t>
      </w:r>
      <w:proofErr w:type="spellEnd"/>
      <w:r w:rsidRPr="006F2E08">
        <w:rPr>
          <w:rFonts w:eastAsia="Calibri"/>
          <w:lang w:val="en-GB" w:eastAsia="en-US"/>
        </w:rPr>
        <w:t xml:space="preserve">, J. (2022). Determining the Effectiveness of Street Cleaning with the Use of Decision Analysis and Research on the Reduction in Chloride in Waste. </w:t>
      </w:r>
      <w:r w:rsidRPr="00212A41">
        <w:rPr>
          <w:rFonts w:eastAsia="Calibri"/>
          <w:i/>
          <w:iCs/>
          <w:lang w:val="en-GB" w:eastAsia="en-US"/>
        </w:rPr>
        <w:t>Energies</w:t>
      </w:r>
      <w:r w:rsidRPr="006F2E08">
        <w:rPr>
          <w:rFonts w:eastAsia="Calibri"/>
          <w:lang w:val="en-GB" w:eastAsia="en-US"/>
        </w:rPr>
        <w:t xml:space="preserve">, </w:t>
      </w:r>
      <w:r w:rsidRPr="00212A41">
        <w:rPr>
          <w:rFonts w:eastAsia="Calibri"/>
          <w:i/>
          <w:iCs/>
          <w:lang w:val="en-GB" w:eastAsia="en-US"/>
        </w:rPr>
        <w:t>15</w:t>
      </w:r>
      <w:r w:rsidRPr="006F2E08">
        <w:rPr>
          <w:rFonts w:eastAsia="Calibri"/>
          <w:lang w:val="en-GB" w:eastAsia="en-US"/>
        </w:rPr>
        <w:t>, 3538. https://doi.org/10.3390/en15103538</w:t>
      </w:r>
    </w:p>
    <w:p w14:paraId="42A6895A" w14:textId="24FC16A5" w:rsidR="00FA1750" w:rsidRPr="006F2E08" w:rsidRDefault="00FA1750" w:rsidP="006F2E08">
      <w:pPr>
        <w:pStyle w:val="Rlit"/>
        <w:rPr>
          <w:rFonts w:eastAsia="Calibri"/>
          <w:lang w:val="en-GB" w:eastAsia="en-US"/>
        </w:rPr>
      </w:pPr>
      <w:r w:rsidRPr="006F2E08">
        <w:rPr>
          <w:rFonts w:eastAsia="Calibri"/>
          <w:lang w:val="en-GB" w:eastAsia="en-US"/>
        </w:rPr>
        <w:t>Hamdan</w:t>
      </w:r>
      <w:r w:rsidR="00212A41">
        <w:rPr>
          <w:rFonts w:eastAsia="Calibri"/>
          <w:lang w:val="en-GB" w:eastAsia="en-US"/>
        </w:rPr>
        <w:t>,</w:t>
      </w:r>
      <w:r w:rsidRPr="006F2E08">
        <w:rPr>
          <w:rFonts w:eastAsia="Calibri"/>
          <w:lang w:val="en-GB" w:eastAsia="en-US"/>
        </w:rPr>
        <w:t xml:space="preserve"> M.A., </w:t>
      </w:r>
      <w:proofErr w:type="spellStart"/>
      <w:r w:rsidRPr="006F2E08">
        <w:rPr>
          <w:rFonts w:eastAsia="Calibri"/>
          <w:lang w:val="en-GB" w:eastAsia="en-US"/>
        </w:rPr>
        <w:t>Hajkhalil</w:t>
      </w:r>
      <w:proofErr w:type="spellEnd"/>
      <w:r w:rsidR="002669C5">
        <w:rPr>
          <w:rFonts w:eastAsia="Calibri"/>
          <w:lang w:val="en-GB" w:eastAsia="en-US"/>
        </w:rPr>
        <w:t>,</w:t>
      </w:r>
      <w:r w:rsidRPr="006F2E08">
        <w:rPr>
          <w:rFonts w:eastAsia="Calibri"/>
          <w:lang w:val="en-GB" w:eastAsia="en-US"/>
        </w:rPr>
        <w:t xml:space="preserve"> R., </w:t>
      </w:r>
      <w:proofErr w:type="spellStart"/>
      <w:r w:rsidRPr="006F2E08">
        <w:rPr>
          <w:rFonts w:eastAsia="Calibri"/>
          <w:lang w:val="en-GB" w:eastAsia="en-US"/>
        </w:rPr>
        <w:t>Abdelhafez</w:t>
      </w:r>
      <w:proofErr w:type="spellEnd"/>
      <w:r w:rsidR="002669C5">
        <w:rPr>
          <w:rFonts w:eastAsia="Calibri"/>
          <w:lang w:val="en-GB" w:eastAsia="en-US"/>
        </w:rPr>
        <w:t>,</w:t>
      </w:r>
      <w:r w:rsidRPr="006F2E08">
        <w:rPr>
          <w:rFonts w:eastAsia="Calibri"/>
          <w:lang w:val="en-GB" w:eastAsia="en-US"/>
        </w:rPr>
        <w:t xml:space="preserve"> E., Ajib</w:t>
      </w:r>
      <w:r w:rsidR="002669C5">
        <w:rPr>
          <w:rFonts w:eastAsia="Calibri"/>
          <w:lang w:val="en-GB" w:eastAsia="en-US"/>
        </w:rPr>
        <w:t>,</w:t>
      </w:r>
      <w:r w:rsidRPr="006F2E08">
        <w:rPr>
          <w:rFonts w:eastAsia="Calibri"/>
          <w:lang w:val="en-GB" w:eastAsia="en-US"/>
        </w:rPr>
        <w:t xml:space="preserve"> S. (2023). The Effect of Nanomaterial Type on Water Disinfection Using Data Mining. </w:t>
      </w:r>
      <w:r w:rsidRPr="002669C5">
        <w:rPr>
          <w:rFonts w:eastAsia="Calibri"/>
          <w:i/>
          <w:iCs/>
          <w:lang w:val="en-GB" w:eastAsia="en-US"/>
        </w:rPr>
        <w:t>Journal of Ecological Engineering</w:t>
      </w:r>
      <w:r w:rsidRPr="006F2E08">
        <w:rPr>
          <w:rFonts w:eastAsia="Calibri"/>
          <w:lang w:val="en-GB" w:eastAsia="en-US"/>
        </w:rPr>
        <w:t xml:space="preserve">, </w:t>
      </w:r>
      <w:r w:rsidRPr="002669C5">
        <w:rPr>
          <w:rFonts w:eastAsia="Calibri"/>
          <w:i/>
          <w:iCs/>
          <w:lang w:val="en-GB" w:eastAsia="en-US"/>
        </w:rPr>
        <w:t>24</w:t>
      </w:r>
      <w:r w:rsidRPr="006F2E08">
        <w:rPr>
          <w:rFonts w:eastAsia="Calibri"/>
          <w:lang w:val="en-GB" w:eastAsia="en-US"/>
        </w:rPr>
        <w:t>(4), 244-251. https://doi.org/10.12911/22998993/160093</w:t>
      </w:r>
    </w:p>
    <w:p w14:paraId="09F01D56" w14:textId="1492BA00" w:rsidR="00FA1750" w:rsidRPr="006F2E08" w:rsidRDefault="00FA1750" w:rsidP="006F2E08">
      <w:pPr>
        <w:pStyle w:val="Rlit"/>
        <w:rPr>
          <w:rFonts w:eastAsia="Calibri"/>
          <w:lang w:val="en-GB" w:eastAsia="en-US"/>
        </w:rPr>
      </w:pPr>
      <w:proofErr w:type="spellStart"/>
      <w:r w:rsidRPr="006F2E08">
        <w:rPr>
          <w:rFonts w:eastAsia="Calibri"/>
          <w:lang w:val="en-GB" w:eastAsia="en-US"/>
        </w:rPr>
        <w:t>Jemec</w:t>
      </w:r>
      <w:proofErr w:type="spellEnd"/>
      <w:r w:rsidRPr="006F2E08">
        <w:rPr>
          <w:rFonts w:eastAsia="Calibri"/>
          <w:lang w:val="en-GB" w:eastAsia="en-US"/>
        </w:rPr>
        <w:t xml:space="preserve"> Kokalj</w:t>
      </w:r>
      <w:r w:rsidR="002669C5">
        <w:rPr>
          <w:rFonts w:eastAsia="Calibri"/>
          <w:lang w:val="en-GB" w:eastAsia="en-US"/>
        </w:rPr>
        <w:t>,</w:t>
      </w:r>
      <w:r w:rsidRPr="006F2E08">
        <w:rPr>
          <w:rFonts w:eastAsia="Calibri"/>
          <w:lang w:val="en-GB" w:eastAsia="en-US"/>
        </w:rPr>
        <w:t xml:space="preserve"> A., Hartmann, N.B., </w:t>
      </w:r>
      <w:proofErr w:type="spellStart"/>
      <w:r w:rsidRPr="006F2E08">
        <w:rPr>
          <w:rFonts w:eastAsia="Calibri"/>
          <w:lang w:val="en-GB" w:eastAsia="en-US"/>
        </w:rPr>
        <w:t>Drobne</w:t>
      </w:r>
      <w:proofErr w:type="spellEnd"/>
      <w:r w:rsidRPr="006F2E08">
        <w:rPr>
          <w:rFonts w:eastAsia="Calibri"/>
          <w:lang w:val="en-GB" w:eastAsia="en-US"/>
        </w:rPr>
        <w:t xml:space="preserve">, D., Potthoff, A., Kühnel, D. (2021). Quality of </w:t>
      </w:r>
      <w:proofErr w:type="spellStart"/>
      <w:r w:rsidRPr="006F2E08">
        <w:rPr>
          <w:rFonts w:eastAsia="Calibri"/>
          <w:lang w:val="en-GB" w:eastAsia="en-US"/>
        </w:rPr>
        <w:t>nanoplastics</w:t>
      </w:r>
      <w:proofErr w:type="spellEnd"/>
      <w:r w:rsidRPr="006F2E08">
        <w:rPr>
          <w:rFonts w:eastAsia="Calibri"/>
          <w:lang w:val="en-GB" w:eastAsia="en-US"/>
        </w:rPr>
        <w:t xml:space="preserve"> and microplastics ecotoxicity studies: Refining quality criteria for nanomaterial studies. </w:t>
      </w:r>
      <w:r w:rsidRPr="002669C5">
        <w:rPr>
          <w:rFonts w:eastAsia="Calibri"/>
          <w:i/>
          <w:lang w:val="en-GB" w:eastAsia="en-US"/>
        </w:rPr>
        <w:t>Journal of Hazardous Materials</w:t>
      </w:r>
      <w:r w:rsidRPr="006F2E08">
        <w:rPr>
          <w:rFonts w:eastAsia="Calibri"/>
          <w:lang w:val="en-GB" w:eastAsia="en-US"/>
        </w:rPr>
        <w:t xml:space="preserve">, </w:t>
      </w:r>
      <w:r w:rsidRPr="002669C5">
        <w:rPr>
          <w:rFonts w:eastAsia="Calibri"/>
          <w:i/>
          <w:iCs/>
          <w:lang w:val="en-GB" w:eastAsia="en-US"/>
        </w:rPr>
        <w:t>415</w:t>
      </w:r>
      <w:r w:rsidRPr="006F2E08">
        <w:rPr>
          <w:rFonts w:eastAsia="Calibri"/>
          <w:lang w:val="en-GB" w:eastAsia="en-US"/>
        </w:rPr>
        <w:t>, 125751, 1-12. https://doi.org/10.1016/j.jhazmat.2021.125751</w:t>
      </w:r>
    </w:p>
    <w:p w14:paraId="5BA22556" w14:textId="11362963" w:rsidR="00FA1750" w:rsidRPr="006F2E08" w:rsidRDefault="00FA1750" w:rsidP="006F2E08">
      <w:pPr>
        <w:pStyle w:val="Rlit"/>
        <w:rPr>
          <w:rFonts w:eastAsia="Calibri"/>
          <w:lang w:val="en-GB" w:eastAsia="en-US"/>
        </w:rPr>
      </w:pPr>
      <w:r w:rsidRPr="006F2E08">
        <w:rPr>
          <w:rFonts w:eastAsia="Calibri"/>
          <w:lang w:val="en-GB" w:eastAsia="en-US"/>
        </w:rPr>
        <w:t>Jeon</w:t>
      </w:r>
      <w:r w:rsidR="002669C5">
        <w:rPr>
          <w:rFonts w:eastAsia="Calibri"/>
          <w:lang w:val="en-GB" w:eastAsia="en-US"/>
        </w:rPr>
        <w:t>,</w:t>
      </w:r>
      <w:r w:rsidRPr="006F2E08">
        <w:rPr>
          <w:rFonts w:eastAsia="Calibri"/>
          <w:lang w:val="en-GB" w:eastAsia="en-US"/>
        </w:rPr>
        <w:t xml:space="preserve"> Y., Kim</w:t>
      </w:r>
      <w:r w:rsidR="002669C5">
        <w:rPr>
          <w:rFonts w:eastAsia="Calibri"/>
          <w:lang w:val="en-GB" w:eastAsia="en-US"/>
        </w:rPr>
        <w:t>,</w:t>
      </w:r>
      <w:r w:rsidRPr="006F2E08">
        <w:rPr>
          <w:rFonts w:eastAsia="Calibri"/>
          <w:lang w:val="en-GB" w:eastAsia="en-US"/>
        </w:rPr>
        <w:t xml:space="preserve"> D., Kwon</w:t>
      </w:r>
      <w:r w:rsidR="002669C5">
        <w:rPr>
          <w:rFonts w:eastAsia="Calibri"/>
          <w:lang w:val="en-GB" w:eastAsia="en-US"/>
        </w:rPr>
        <w:t>,</w:t>
      </w:r>
      <w:r w:rsidRPr="006F2E08">
        <w:rPr>
          <w:rFonts w:eastAsia="Calibri"/>
          <w:lang w:val="en-GB" w:eastAsia="en-US"/>
        </w:rPr>
        <w:t xml:space="preserve"> G., Lee</w:t>
      </w:r>
      <w:r w:rsidR="002669C5">
        <w:rPr>
          <w:rFonts w:eastAsia="Calibri"/>
          <w:lang w:val="en-GB" w:eastAsia="en-US"/>
        </w:rPr>
        <w:t>,</w:t>
      </w:r>
      <w:r w:rsidRPr="006F2E08">
        <w:rPr>
          <w:rFonts w:eastAsia="Calibri"/>
          <w:lang w:val="en-GB" w:eastAsia="en-US"/>
        </w:rPr>
        <w:t xml:space="preserve"> K., Oh</w:t>
      </w:r>
      <w:r w:rsidR="002669C5">
        <w:rPr>
          <w:rFonts w:eastAsia="Calibri"/>
          <w:lang w:val="en-GB" w:eastAsia="en-US"/>
        </w:rPr>
        <w:t>,</w:t>
      </w:r>
      <w:r w:rsidRPr="006F2E08">
        <w:rPr>
          <w:rFonts w:eastAsia="Calibri"/>
          <w:lang w:val="en-GB" w:eastAsia="en-US"/>
        </w:rPr>
        <w:t xml:space="preserve"> Ch.-S., Kim</w:t>
      </w:r>
      <w:r w:rsidR="002669C5">
        <w:rPr>
          <w:rFonts w:eastAsia="Calibri"/>
          <w:lang w:val="en-GB" w:eastAsia="en-US"/>
        </w:rPr>
        <w:t>,</w:t>
      </w:r>
      <w:r w:rsidRPr="006F2E08">
        <w:rPr>
          <w:rFonts w:eastAsia="Calibri"/>
          <w:lang w:val="en-GB" w:eastAsia="en-US"/>
        </w:rPr>
        <w:t xml:space="preserve"> U-J., You</w:t>
      </w:r>
      <w:r w:rsidR="002669C5">
        <w:rPr>
          <w:rFonts w:eastAsia="Calibri"/>
          <w:lang w:val="en-GB" w:eastAsia="en-US"/>
        </w:rPr>
        <w:t>,</w:t>
      </w:r>
      <w:r w:rsidRPr="006F2E08">
        <w:rPr>
          <w:rFonts w:eastAsia="Calibri"/>
          <w:lang w:val="en-GB" w:eastAsia="en-US"/>
        </w:rPr>
        <w:t xml:space="preserve"> J. (2021). Detection of </w:t>
      </w:r>
      <w:proofErr w:type="spellStart"/>
      <w:r w:rsidRPr="006F2E08">
        <w:rPr>
          <w:rFonts w:eastAsia="Calibri"/>
          <w:lang w:val="en-GB" w:eastAsia="en-US"/>
        </w:rPr>
        <w:t>nanoplastics</w:t>
      </w:r>
      <w:proofErr w:type="spellEnd"/>
      <w:r w:rsidRPr="006F2E08">
        <w:rPr>
          <w:rFonts w:eastAsia="Calibri"/>
          <w:lang w:val="en-GB" w:eastAsia="en-US"/>
        </w:rPr>
        <w:t xml:space="preserve"> based on surface-enhanced Raman scattering with silver nanowire arrays on regenerated cellulose films. </w:t>
      </w:r>
      <w:r w:rsidRPr="002669C5">
        <w:rPr>
          <w:rFonts w:eastAsia="Calibri"/>
          <w:i/>
          <w:lang w:val="en-GB" w:eastAsia="en-US"/>
        </w:rPr>
        <w:t>Carbohydrate Polymers</w:t>
      </w:r>
      <w:r w:rsidRPr="006F2E08">
        <w:rPr>
          <w:rFonts w:eastAsia="Calibri"/>
          <w:lang w:val="en-GB" w:eastAsia="en-US"/>
        </w:rPr>
        <w:t xml:space="preserve">, </w:t>
      </w:r>
      <w:r w:rsidRPr="002669C5">
        <w:rPr>
          <w:rFonts w:eastAsia="Calibri"/>
          <w:i/>
          <w:iCs/>
          <w:lang w:val="en-GB" w:eastAsia="en-US"/>
        </w:rPr>
        <w:t>272</w:t>
      </w:r>
      <w:r w:rsidRPr="006F2E08">
        <w:rPr>
          <w:rFonts w:eastAsia="Calibri"/>
          <w:lang w:val="en-GB" w:eastAsia="en-US"/>
        </w:rPr>
        <w:t>, 118470, 1-8. https://doi.org/10.1016/j.carbpol.2021.118470.</w:t>
      </w:r>
    </w:p>
    <w:p w14:paraId="767F3DD0" w14:textId="0F577651" w:rsidR="00FA1750" w:rsidRPr="006F2E08" w:rsidRDefault="00FA1750" w:rsidP="006F2E08">
      <w:pPr>
        <w:pStyle w:val="Rlit"/>
        <w:rPr>
          <w:rFonts w:eastAsia="Calibri"/>
          <w:lang w:val="en-GB" w:eastAsia="en-US"/>
        </w:rPr>
      </w:pPr>
      <w:proofErr w:type="spellStart"/>
      <w:r w:rsidRPr="006F2E08">
        <w:rPr>
          <w:rFonts w:eastAsia="Calibri"/>
          <w:lang w:val="en-GB" w:eastAsia="en-US"/>
        </w:rPr>
        <w:t>Khoironi</w:t>
      </w:r>
      <w:proofErr w:type="spellEnd"/>
      <w:r w:rsidR="002669C5">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Anggoro</w:t>
      </w:r>
      <w:proofErr w:type="spellEnd"/>
      <w:r w:rsidR="002669C5">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Sudarno</w:t>
      </w:r>
      <w:proofErr w:type="spellEnd"/>
      <w:r w:rsidR="002669C5">
        <w:rPr>
          <w:rFonts w:eastAsia="Calibri"/>
          <w:lang w:val="en-GB" w:eastAsia="en-US"/>
        </w:rPr>
        <w:t>,</w:t>
      </w:r>
      <w:r w:rsidRPr="006F2E08">
        <w:rPr>
          <w:rFonts w:eastAsia="Calibri"/>
          <w:lang w:val="en-GB" w:eastAsia="en-US"/>
        </w:rPr>
        <w:t xml:space="preserve"> S. (2019). Evaluation of the Interaction Among Microalgae Spirulina </w:t>
      </w:r>
      <w:proofErr w:type="spellStart"/>
      <w:r w:rsidRPr="006F2E08">
        <w:rPr>
          <w:rFonts w:eastAsia="Calibri"/>
          <w:lang w:val="en-GB" w:eastAsia="en-US"/>
        </w:rPr>
        <w:t>sp</w:t>
      </w:r>
      <w:proofErr w:type="spellEnd"/>
      <w:r w:rsidRPr="006F2E08">
        <w:rPr>
          <w:rFonts w:eastAsia="Calibri"/>
          <w:lang w:val="en-GB" w:eastAsia="en-US"/>
        </w:rPr>
        <w:t xml:space="preserve">, Plastics Polyethylene Terephthalate and Polypropylene in Freshwater Environment. </w:t>
      </w:r>
      <w:r w:rsidRPr="002669C5">
        <w:rPr>
          <w:rFonts w:eastAsia="Calibri"/>
          <w:i/>
          <w:iCs/>
          <w:lang w:val="en-GB" w:eastAsia="en-US"/>
        </w:rPr>
        <w:t>Journal of Ecological Engineering</w:t>
      </w:r>
      <w:r w:rsidRPr="006F2E08">
        <w:rPr>
          <w:rFonts w:eastAsia="Calibri"/>
          <w:lang w:val="en-GB" w:eastAsia="en-US"/>
        </w:rPr>
        <w:t xml:space="preserve">, </w:t>
      </w:r>
      <w:r w:rsidRPr="002669C5">
        <w:rPr>
          <w:rFonts w:eastAsia="Calibri"/>
          <w:i/>
          <w:iCs/>
          <w:lang w:val="en-GB" w:eastAsia="en-US"/>
        </w:rPr>
        <w:t>20</w:t>
      </w:r>
      <w:r w:rsidRPr="006F2E08">
        <w:rPr>
          <w:rFonts w:eastAsia="Calibri"/>
          <w:lang w:val="en-GB" w:eastAsia="en-US"/>
        </w:rPr>
        <w:t>(6), 161-173. https://doi.org/10.12911/22998993/108637</w:t>
      </w:r>
    </w:p>
    <w:p w14:paraId="0A735225" w14:textId="373119A9" w:rsidR="00FA1750" w:rsidRPr="006F2E08" w:rsidRDefault="00FA1750" w:rsidP="006F2E08">
      <w:pPr>
        <w:pStyle w:val="Rlit"/>
        <w:rPr>
          <w:rFonts w:eastAsia="Calibri"/>
          <w:lang w:val="en-GB" w:eastAsia="en-US"/>
        </w:rPr>
      </w:pPr>
      <w:r w:rsidRPr="006F2E08">
        <w:rPr>
          <w:rFonts w:eastAsia="Calibri"/>
          <w:lang w:val="en-GB" w:eastAsia="en-US"/>
        </w:rPr>
        <w:lastRenderedPageBreak/>
        <w:t>Kihara</w:t>
      </w:r>
      <w:r w:rsidR="002669C5">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Köper</w:t>
      </w:r>
      <w:proofErr w:type="spellEnd"/>
      <w:r w:rsidR="002669C5">
        <w:rPr>
          <w:rFonts w:eastAsia="Calibri"/>
          <w:lang w:val="en-GB" w:eastAsia="en-US"/>
        </w:rPr>
        <w:t>,</w:t>
      </w:r>
      <w:r w:rsidRPr="006F2E08">
        <w:rPr>
          <w:rFonts w:eastAsia="Calibri"/>
          <w:lang w:val="en-GB" w:eastAsia="en-US"/>
        </w:rPr>
        <w:t xml:space="preserve"> I., Mata</w:t>
      </w:r>
      <w:r w:rsidR="002669C5">
        <w:rPr>
          <w:rFonts w:eastAsia="Calibri"/>
          <w:lang w:val="en-GB" w:eastAsia="en-US"/>
        </w:rPr>
        <w:t>,</w:t>
      </w:r>
      <w:r w:rsidRPr="006F2E08">
        <w:rPr>
          <w:rFonts w:eastAsia="Calibri"/>
          <w:lang w:val="en-GB" w:eastAsia="en-US"/>
        </w:rPr>
        <w:t xml:space="preserve"> J.P., McGillivray</w:t>
      </w:r>
      <w:r w:rsidR="002669C5">
        <w:rPr>
          <w:rFonts w:eastAsia="Calibri"/>
          <w:lang w:val="en-GB" w:eastAsia="en-US"/>
        </w:rPr>
        <w:t>,</w:t>
      </w:r>
      <w:r w:rsidRPr="006F2E08">
        <w:rPr>
          <w:rFonts w:eastAsia="Calibri"/>
          <w:lang w:val="en-GB" w:eastAsia="en-US"/>
        </w:rPr>
        <w:t xml:space="preserve"> D.J. (2021). Reviewing </w:t>
      </w:r>
      <w:proofErr w:type="spellStart"/>
      <w:r w:rsidRPr="006F2E08">
        <w:rPr>
          <w:rFonts w:eastAsia="Calibri"/>
          <w:lang w:val="en-GB" w:eastAsia="en-US"/>
        </w:rPr>
        <w:t>nanoplastic</w:t>
      </w:r>
      <w:proofErr w:type="spellEnd"/>
      <w:r w:rsidRPr="006F2E08">
        <w:rPr>
          <w:rFonts w:eastAsia="Calibri"/>
          <w:lang w:val="en-GB" w:eastAsia="en-US"/>
        </w:rPr>
        <w:t xml:space="preserve"> toxicology: It's an interface problem. </w:t>
      </w:r>
      <w:r w:rsidRPr="002669C5">
        <w:rPr>
          <w:rFonts w:eastAsia="Calibri"/>
          <w:i/>
          <w:lang w:val="en-GB" w:eastAsia="en-US"/>
        </w:rPr>
        <w:t>Advances in Colloid and Interface Science</w:t>
      </w:r>
      <w:r w:rsidRPr="006F2E08">
        <w:rPr>
          <w:rFonts w:eastAsia="Calibri"/>
          <w:lang w:val="en-GB" w:eastAsia="en-US"/>
        </w:rPr>
        <w:t xml:space="preserve">, </w:t>
      </w:r>
      <w:r w:rsidRPr="002669C5">
        <w:rPr>
          <w:rFonts w:eastAsia="Calibri"/>
          <w:i/>
          <w:iCs/>
          <w:lang w:val="en-GB" w:eastAsia="en-US"/>
        </w:rPr>
        <w:t>288</w:t>
      </w:r>
      <w:r w:rsidRPr="006F2E08">
        <w:rPr>
          <w:rFonts w:eastAsia="Calibri"/>
          <w:lang w:val="en-GB" w:eastAsia="en-US"/>
        </w:rPr>
        <w:t>, 102337, 1-12. https://doi.org/10.1016/j.cis.2020.102337</w:t>
      </w:r>
    </w:p>
    <w:p w14:paraId="05231968" w14:textId="3B45888B" w:rsidR="00FA1750" w:rsidRPr="006F2E08" w:rsidRDefault="00FA1750" w:rsidP="006F2E08">
      <w:pPr>
        <w:pStyle w:val="Rlit"/>
        <w:rPr>
          <w:rFonts w:eastAsia="Calibri"/>
          <w:lang w:val="en-GB" w:eastAsia="en-US"/>
        </w:rPr>
      </w:pPr>
      <w:r w:rsidRPr="006F2E08">
        <w:rPr>
          <w:rFonts w:eastAsia="Calibri"/>
          <w:lang w:val="en-GB" w:eastAsia="en-US"/>
        </w:rPr>
        <w:t>Klotz</w:t>
      </w:r>
      <w:r w:rsidR="002669C5">
        <w:rPr>
          <w:rFonts w:eastAsia="Calibri"/>
          <w:lang w:val="en-GB" w:eastAsia="en-US"/>
        </w:rPr>
        <w:t>,</w:t>
      </w:r>
      <w:r w:rsidRPr="006F2E08">
        <w:rPr>
          <w:rFonts w:eastAsia="Calibri"/>
          <w:lang w:val="en-GB" w:eastAsia="en-US"/>
        </w:rPr>
        <w:t xml:space="preserve"> M., Haupt</w:t>
      </w:r>
      <w:r w:rsidR="002669C5">
        <w:rPr>
          <w:rFonts w:eastAsia="Calibri"/>
          <w:lang w:val="en-GB" w:eastAsia="en-US"/>
        </w:rPr>
        <w:t>,</w:t>
      </w:r>
      <w:r w:rsidRPr="006F2E08">
        <w:rPr>
          <w:rFonts w:eastAsia="Calibri"/>
          <w:lang w:val="en-GB" w:eastAsia="en-US"/>
        </w:rPr>
        <w:t xml:space="preserve"> M., Hellweg</w:t>
      </w:r>
      <w:r w:rsidR="002669C5">
        <w:rPr>
          <w:rFonts w:eastAsia="Calibri"/>
          <w:lang w:val="en-GB" w:eastAsia="en-US"/>
        </w:rPr>
        <w:t>,</w:t>
      </w:r>
      <w:r w:rsidRPr="006F2E08">
        <w:rPr>
          <w:rFonts w:eastAsia="Calibri"/>
          <w:lang w:val="en-GB" w:eastAsia="en-US"/>
        </w:rPr>
        <w:t xml:space="preserve"> S. (2022). Limited utili</w:t>
      </w:r>
      <w:r w:rsidR="00405F9E">
        <w:rPr>
          <w:rFonts w:eastAsia="Calibri"/>
          <w:lang w:val="en-GB" w:eastAsia="en-US"/>
        </w:rPr>
        <w:t>s</w:t>
      </w:r>
      <w:r w:rsidRPr="006F2E08">
        <w:rPr>
          <w:rFonts w:eastAsia="Calibri"/>
          <w:lang w:val="en-GB" w:eastAsia="en-US"/>
        </w:rPr>
        <w:t xml:space="preserve">ation options for secondary plastics may restrict their circularity. </w:t>
      </w:r>
      <w:r w:rsidRPr="002669C5">
        <w:rPr>
          <w:rFonts w:eastAsia="Calibri"/>
          <w:i/>
          <w:lang w:val="en-GB" w:eastAsia="en-US"/>
        </w:rPr>
        <w:t>Waste Management</w:t>
      </w:r>
      <w:r w:rsidRPr="002669C5">
        <w:rPr>
          <w:rFonts w:eastAsia="Calibri"/>
          <w:lang w:val="en-GB" w:eastAsia="en-US"/>
        </w:rPr>
        <w:t>,</w:t>
      </w:r>
      <w:r w:rsidRPr="006F2E08">
        <w:rPr>
          <w:rFonts w:eastAsia="Calibri"/>
          <w:lang w:val="en-GB" w:eastAsia="en-US"/>
        </w:rPr>
        <w:t xml:space="preserve"> </w:t>
      </w:r>
      <w:r w:rsidRPr="002669C5">
        <w:rPr>
          <w:rFonts w:eastAsia="Calibri"/>
          <w:i/>
          <w:iCs/>
          <w:lang w:val="en-GB" w:eastAsia="en-US"/>
        </w:rPr>
        <w:t>141</w:t>
      </w:r>
      <w:r w:rsidRPr="006F2E08">
        <w:rPr>
          <w:rFonts w:eastAsia="Calibri"/>
          <w:lang w:val="en-GB" w:eastAsia="en-US"/>
        </w:rPr>
        <w:t>, 251-270. https://doi.org/10.1016/j.wasman.2022.01.002</w:t>
      </w:r>
    </w:p>
    <w:p w14:paraId="2E925498" w14:textId="297ED17E" w:rsidR="00FA1750" w:rsidRPr="006F2E08" w:rsidRDefault="00FA1750" w:rsidP="006F2E08">
      <w:pPr>
        <w:pStyle w:val="Rlit"/>
        <w:rPr>
          <w:rFonts w:eastAsia="Calibri"/>
          <w:lang w:val="en-GB" w:eastAsia="en-US"/>
        </w:rPr>
      </w:pPr>
      <w:r w:rsidRPr="006F2E08">
        <w:rPr>
          <w:rFonts w:eastAsia="Calibri"/>
          <w:lang w:val="en-GB" w:eastAsia="en-US"/>
        </w:rPr>
        <w:t>Kumar Das, R., Sanyal</w:t>
      </w:r>
      <w:r w:rsidR="002669C5">
        <w:rPr>
          <w:rFonts w:eastAsia="Calibri"/>
          <w:lang w:val="en-GB" w:eastAsia="en-US"/>
        </w:rPr>
        <w:t>,</w:t>
      </w:r>
      <w:r w:rsidRPr="006F2E08">
        <w:rPr>
          <w:rFonts w:eastAsia="Calibri"/>
          <w:lang w:val="en-GB" w:eastAsia="en-US"/>
        </w:rPr>
        <w:t xml:space="preserve"> D., Kumar</w:t>
      </w:r>
      <w:r w:rsidR="002669C5">
        <w:rPr>
          <w:rFonts w:eastAsia="Calibri"/>
          <w:lang w:val="en-GB" w:eastAsia="en-US"/>
        </w:rPr>
        <w:t>,</w:t>
      </w:r>
      <w:r w:rsidRPr="006F2E08">
        <w:rPr>
          <w:rFonts w:eastAsia="Calibri"/>
          <w:lang w:val="en-GB" w:eastAsia="en-US"/>
        </w:rPr>
        <w:t xml:space="preserve"> P., </w:t>
      </w:r>
      <w:proofErr w:type="spellStart"/>
      <w:r w:rsidRPr="006F2E08">
        <w:rPr>
          <w:rFonts w:eastAsia="Calibri"/>
          <w:lang w:val="en-GB" w:eastAsia="en-US"/>
        </w:rPr>
        <w:t>Pulicharla</w:t>
      </w:r>
      <w:proofErr w:type="spellEnd"/>
      <w:r w:rsidR="002669C5">
        <w:rPr>
          <w:rFonts w:eastAsia="Calibri"/>
          <w:lang w:val="en-GB" w:eastAsia="en-US"/>
        </w:rPr>
        <w:t>,</w:t>
      </w:r>
      <w:r w:rsidRPr="006F2E08">
        <w:rPr>
          <w:rFonts w:eastAsia="Calibri"/>
          <w:lang w:val="en-GB" w:eastAsia="en-US"/>
        </w:rPr>
        <w:t xml:space="preserve"> R., Kaur Brar</w:t>
      </w:r>
      <w:r w:rsidR="002669C5">
        <w:rPr>
          <w:rFonts w:eastAsia="Calibri"/>
          <w:lang w:val="en-GB" w:eastAsia="en-US"/>
        </w:rPr>
        <w:t>,</w:t>
      </w:r>
      <w:r w:rsidRPr="006F2E08">
        <w:rPr>
          <w:rFonts w:eastAsia="Calibri"/>
          <w:lang w:val="en-GB" w:eastAsia="en-US"/>
        </w:rPr>
        <w:t xml:space="preserve"> S. (2021). Science-society-policy interface for microplastic and </w:t>
      </w:r>
      <w:proofErr w:type="spellStart"/>
      <w:r w:rsidRPr="006F2E08">
        <w:rPr>
          <w:rFonts w:eastAsia="Calibri"/>
          <w:lang w:val="en-GB" w:eastAsia="en-US"/>
        </w:rPr>
        <w:t>nanoplastic</w:t>
      </w:r>
      <w:proofErr w:type="spellEnd"/>
      <w:r w:rsidRPr="006F2E08">
        <w:rPr>
          <w:rFonts w:eastAsia="Calibri"/>
          <w:lang w:val="en-GB" w:eastAsia="en-US"/>
        </w:rPr>
        <w:t xml:space="preserve">: Environmental and biomedical aspects. </w:t>
      </w:r>
      <w:r w:rsidRPr="002669C5">
        <w:rPr>
          <w:rFonts w:eastAsia="Calibri"/>
          <w:i/>
          <w:lang w:val="en-GB" w:eastAsia="en-US"/>
        </w:rPr>
        <w:t>Environmental Pollution</w:t>
      </w:r>
      <w:r w:rsidRPr="006F2E08">
        <w:rPr>
          <w:rFonts w:eastAsia="Calibri"/>
          <w:lang w:val="en-GB" w:eastAsia="en-US"/>
        </w:rPr>
        <w:t xml:space="preserve">, </w:t>
      </w:r>
      <w:r w:rsidRPr="002669C5">
        <w:rPr>
          <w:rFonts w:eastAsia="Calibri"/>
          <w:i/>
          <w:iCs/>
          <w:lang w:val="en-GB" w:eastAsia="en-US"/>
        </w:rPr>
        <w:t>290</w:t>
      </w:r>
      <w:r w:rsidRPr="006F2E08">
        <w:rPr>
          <w:rFonts w:eastAsia="Calibri"/>
          <w:lang w:val="en-GB" w:eastAsia="en-US"/>
        </w:rPr>
        <w:t>, 117985, 1-17. https://doi.org/10.1016/j.envpol.2021.117985</w:t>
      </w:r>
    </w:p>
    <w:p w14:paraId="3EC40C55" w14:textId="5A5AA3DB" w:rsidR="00FA1750" w:rsidRPr="006F2E08" w:rsidRDefault="00FA1750" w:rsidP="006F2E08">
      <w:pPr>
        <w:pStyle w:val="Rlit"/>
        <w:rPr>
          <w:rFonts w:eastAsia="Calibri"/>
          <w:lang w:val="en-GB" w:eastAsia="en-US"/>
        </w:rPr>
      </w:pPr>
      <w:proofErr w:type="spellStart"/>
      <w:r w:rsidRPr="006F2E08">
        <w:rPr>
          <w:rFonts w:eastAsia="Calibri"/>
          <w:lang w:val="en-GB" w:eastAsia="en-US"/>
        </w:rPr>
        <w:t>Kwaśny</w:t>
      </w:r>
      <w:proofErr w:type="spellEnd"/>
      <w:r w:rsidR="002669C5">
        <w:rPr>
          <w:rFonts w:eastAsia="Calibri"/>
          <w:lang w:val="en-GB" w:eastAsia="en-US"/>
        </w:rPr>
        <w:t>,</w:t>
      </w:r>
      <w:r w:rsidRPr="006F2E08">
        <w:rPr>
          <w:rFonts w:eastAsia="Calibri"/>
          <w:lang w:val="en-GB" w:eastAsia="en-US"/>
        </w:rPr>
        <w:t xml:space="preserve"> J., Balcerzak, W. (2017). Characteristics of selected methods for the synthesis of nanometric zirconium oxide – critical review. </w:t>
      </w:r>
      <w:r w:rsidRPr="002669C5">
        <w:rPr>
          <w:rFonts w:eastAsia="Calibri"/>
          <w:i/>
          <w:iCs/>
          <w:lang w:val="en-GB" w:eastAsia="en-US"/>
        </w:rPr>
        <w:t>Technical Transactions</w:t>
      </w:r>
      <w:r w:rsidRPr="006F2E08">
        <w:rPr>
          <w:rFonts w:eastAsia="Calibri"/>
          <w:lang w:val="en-GB" w:eastAsia="en-US"/>
        </w:rPr>
        <w:t xml:space="preserve">, </w:t>
      </w:r>
      <w:r w:rsidRPr="002669C5">
        <w:rPr>
          <w:rFonts w:eastAsia="Calibri"/>
          <w:i/>
          <w:iCs/>
          <w:lang w:val="en-GB" w:eastAsia="en-US"/>
        </w:rPr>
        <w:t>114</w:t>
      </w:r>
      <w:r w:rsidR="002669C5">
        <w:rPr>
          <w:rFonts w:eastAsia="Calibri"/>
          <w:lang w:val="en-GB" w:eastAsia="en-US"/>
        </w:rPr>
        <w:t>(</w:t>
      </w:r>
      <w:r w:rsidRPr="006F2E08">
        <w:rPr>
          <w:rFonts w:eastAsia="Calibri"/>
          <w:lang w:val="en-GB" w:eastAsia="en-US"/>
        </w:rPr>
        <w:t>2</w:t>
      </w:r>
      <w:r w:rsidR="002669C5">
        <w:rPr>
          <w:rFonts w:eastAsia="Calibri"/>
          <w:lang w:val="en-GB" w:eastAsia="en-US"/>
        </w:rPr>
        <w:t>)</w:t>
      </w:r>
      <w:r w:rsidRPr="006F2E08">
        <w:rPr>
          <w:rFonts w:eastAsia="Calibri"/>
          <w:lang w:val="en-GB" w:eastAsia="en-US"/>
        </w:rPr>
        <w:t>, 105-118. https://doi.org/10.4467/2353737XCT.17.021.6214</w:t>
      </w:r>
    </w:p>
    <w:p w14:paraId="0219ECCD" w14:textId="64B08163" w:rsidR="00FA1750" w:rsidRPr="006F2E08" w:rsidRDefault="00FA1750" w:rsidP="006F2E08">
      <w:pPr>
        <w:pStyle w:val="Rlit"/>
        <w:rPr>
          <w:rFonts w:eastAsia="Calibri"/>
          <w:lang w:val="en-GB" w:eastAsia="en-US"/>
        </w:rPr>
      </w:pPr>
      <w:r w:rsidRPr="006F2E08">
        <w:rPr>
          <w:rFonts w:eastAsia="Calibri"/>
          <w:lang w:val="en-GB" w:eastAsia="en-US"/>
        </w:rPr>
        <w:t>Li</w:t>
      </w:r>
      <w:r w:rsidR="002669C5">
        <w:rPr>
          <w:rFonts w:eastAsia="Calibri"/>
          <w:lang w:val="en-GB" w:eastAsia="en-US"/>
        </w:rPr>
        <w:t>,</w:t>
      </w:r>
      <w:r w:rsidRPr="006F2E08">
        <w:rPr>
          <w:rFonts w:eastAsia="Calibri"/>
          <w:lang w:val="en-GB" w:eastAsia="en-US"/>
        </w:rPr>
        <w:t xml:space="preserve"> Y., Liu</w:t>
      </w:r>
      <w:r w:rsidR="002669C5">
        <w:rPr>
          <w:rFonts w:eastAsia="Calibri"/>
          <w:lang w:val="en-GB" w:eastAsia="en-US"/>
        </w:rPr>
        <w:t>,</w:t>
      </w:r>
      <w:r w:rsidRPr="006F2E08">
        <w:rPr>
          <w:rFonts w:eastAsia="Calibri"/>
          <w:lang w:val="en-GB" w:eastAsia="en-US"/>
        </w:rPr>
        <w:t xml:space="preserve"> Z., Yang</w:t>
      </w:r>
      <w:r w:rsidR="002669C5">
        <w:rPr>
          <w:rFonts w:eastAsia="Calibri"/>
          <w:lang w:val="en-GB" w:eastAsia="en-US"/>
        </w:rPr>
        <w:t>,</w:t>
      </w:r>
      <w:r w:rsidRPr="006F2E08">
        <w:rPr>
          <w:rFonts w:eastAsia="Calibri"/>
          <w:lang w:val="en-GB" w:eastAsia="en-US"/>
        </w:rPr>
        <w:t xml:space="preserve"> Y., Jiang</w:t>
      </w:r>
      <w:r w:rsidR="002669C5">
        <w:rPr>
          <w:rFonts w:eastAsia="Calibri"/>
          <w:lang w:val="en-GB" w:eastAsia="en-US"/>
        </w:rPr>
        <w:t>,</w:t>
      </w:r>
      <w:r w:rsidRPr="006F2E08">
        <w:rPr>
          <w:rFonts w:eastAsia="Calibri"/>
          <w:lang w:val="en-GB" w:eastAsia="en-US"/>
        </w:rPr>
        <w:t xml:space="preserve"> Q., Wu</w:t>
      </w:r>
      <w:r w:rsidR="002669C5">
        <w:rPr>
          <w:rFonts w:eastAsia="Calibri"/>
          <w:lang w:val="en-GB" w:eastAsia="en-US"/>
        </w:rPr>
        <w:t>,</w:t>
      </w:r>
      <w:r w:rsidRPr="006F2E08">
        <w:rPr>
          <w:rFonts w:eastAsia="Calibri"/>
          <w:lang w:val="en-GB" w:eastAsia="en-US"/>
        </w:rPr>
        <w:t xml:space="preserve"> D., Huang,</w:t>
      </w:r>
      <w:r w:rsidR="002669C5">
        <w:rPr>
          <w:rFonts w:eastAsia="Calibri"/>
          <w:lang w:val="en-GB" w:eastAsia="en-US"/>
        </w:rPr>
        <w:t xml:space="preserve"> </w:t>
      </w:r>
      <w:r w:rsidRPr="006F2E08">
        <w:rPr>
          <w:rFonts w:eastAsia="Calibri"/>
          <w:lang w:val="en-GB" w:eastAsia="en-US"/>
        </w:rPr>
        <w:t>Y. Jiao</w:t>
      </w:r>
      <w:r w:rsidR="002669C5">
        <w:rPr>
          <w:rFonts w:eastAsia="Calibri"/>
          <w:lang w:val="en-GB" w:eastAsia="en-US"/>
        </w:rPr>
        <w:t>,</w:t>
      </w:r>
      <w:r w:rsidRPr="006F2E08">
        <w:rPr>
          <w:rFonts w:eastAsia="Calibri"/>
          <w:lang w:val="en-GB" w:eastAsia="en-US"/>
        </w:rPr>
        <w:t xml:space="preserve"> H., Chen</w:t>
      </w:r>
      <w:r w:rsidR="002669C5">
        <w:rPr>
          <w:rFonts w:eastAsia="Calibri"/>
          <w:lang w:val="en-GB" w:eastAsia="en-US"/>
        </w:rPr>
        <w:t>,</w:t>
      </w:r>
      <w:r w:rsidRPr="006F2E08">
        <w:rPr>
          <w:rFonts w:eastAsia="Calibri"/>
          <w:lang w:val="en-GB" w:eastAsia="en-US"/>
        </w:rPr>
        <w:t xml:space="preserve"> Q., Huang</w:t>
      </w:r>
      <w:r w:rsidR="002669C5">
        <w:rPr>
          <w:rFonts w:eastAsia="Calibri"/>
          <w:lang w:val="en-GB" w:eastAsia="en-US"/>
        </w:rPr>
        <w:t>,</w:t>
      </w:r>
      <w:r w:rsidRPr="006F2E08">
        <w:rPr>
          <w:rFonts w:eastAsia="Calibri"/>
          <w:lang w:val="en-GB" w:eastAsia="en-US"/>
        </w:rPr>
        <w:t xml:space="preserve"> Y., Zhao</w:t>
      </w:r>
      <w:r w:rsidRPr="006F2E08">
        <w:rPr>
          <w:rFonts w:eastAsia="Calibri"/>
          <w:iCs/>
          <w:lang w:val="en-GB" w:eastAsia="en-US"/>
        </w:rPr>
        <w:t>. (</w:t>
      </w:r>
      <w:r w:rsidRPr="006F2E08">
        <w:rPr>
          <w:rFonts w:eastAsia="Calibri"/>
          <w:lang w:val="en-GB" w:eastAsia="en-US"/>
        </w:rPr>
        <w:t xml:space="preserve">2021). Effects of </w:t>
      </w:r>
      <w:proofErr w:type="spellStart"/>
      <w:r w:rsidRPr="006F2E08">
        <w:rPr>
          <w:rFonts w:eastAsia="Calibri"/>
          <w:lang w:val="en-GB" w:eastAsia="en-US"/>
        </w:rPr>
        <w:t>nanoplastics</w:t>
      </w:r>
      <w:proofErr w:type="spellEnd"/>
      <w:r w:rsidRPr="006F2E08">
        <w:rPr>
          <w:rFonts w:eastAsia="Calibri"/>
          <w:lang w:val="en-GB" w:eastAsia="en-US"/>
        </w:rPr>
        <w:t xml:space="preserve"> on energy metabolism in the oriental river prawn (</w:t>
      </w:r>
      <w:proofErr w:type="spellStart"/>
      <w:r w:rsidRPr="006F2E08">
        <w:rPr>
          <w:rFonts w:eastAsia="Calibri"/>
          <w:i/>
          <w:iCs/>
          <w:lang w:val="en-GB" w:eastAsia="en-US"/>
        </w:rPr>
        <w:t>Macrobrachium</w:t>
      </w:r>
      <w:proofErr w:type="spellEnd"/>
      <w:r w:rsidRPr="006F2E08">
        <w:rPr>
          <w:rFonts w:eastAsia="Calibri"/>
          <w:i/>
          <w:iCs/>
          <w:lang w:val="en-GB" w:eastAsia="en-US"/>
        </w:rPr>
        <w:t xml:space="preserve"> </w:t>
      </w:r>
      <w:proofErr w:type="spellStart"/>
      <w:r w:rsidRPr="006F2E08">
        <w:rPr>
          <w:rFonts w:eastAsia="Calibri"/>
          <w:i/>
          <w:iCs/>
          <w:lang w:val="en-GB" w:eastAsia="en-US"/>
        </w:rPr>
        <w:t>nipponense</w:t>
      </w:r>
      <w:proofErr w:type="spellEnd"/>
      <w:r w:rsidRPr="006F2E08">
        <w:rPr>
          <w:rFonts w:eastAsia="Calibri"/>
          <w:lang w:val="en-GB" w:eastAsia="en-US"/>
        </w:rPr>
        <w:t xml:space="preserve">). </w:t>
      </w:r>
      <w:r w:rsidRPr="002669C5">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2669C5">
        <w:rPr>
          <w:rFonts w:eastAsia="Calibri"/>
          <w:i/>
          <w:iCs/>
          <w:lang w:val="en-GB" w:eastAsia="en-US"/>
        </w:rPr>
        <w:t>268</w:t>
      </w:r>
      <w:r w:rsidRPr="006F2E08">
        <w:rPr>
          <w:rFonts w:eastAsia="Calibri"/>
          <w:lang w:val="en-GB" w:eastAsia="en-US"/>
        </w:rPr>
        <w:t>, 115890, 1-10. https://doi.org/10.1016/j.envpol.2020.115890</w:t>
      </w:r>
    </w:p>
    <w:p w14:paraId="379E38BC" w14:textId="43F00C55" w:rsidR="00FA1750" w:rsidRPr="006F2E08" w:rsidRDefault="00FA1750" w:rsidP="006F2E08">
      <w:pPr>
        <w:pStyle w:val="Rlit"/>
        <w:rPr>
          <w:rFonts w:eastAsia="Calibri"/>
          <w:lang w:val="en-GB" w:eastAsia="en-US"/>
        </w:rPr>
      </w:pPr>
      <w:proofErr w:type="spellStart"/>
      <w:r w:rsidRPr="006F2E08">
        <w:rPr>
          <w:rFonts w:eastAsia="Calibri"/>
          <w:lang w:val="en-GB" w:eastAsia="en-US"/>
        </w:rPr>
        <w:t>Magrì</w:t>
      </w:r>
      <w:proofErr w:type="spellEnd"/>
      <w:r w:rsidR="002669C5">
        <w:rPr>
          <w:rFonts w:eastAsia="Calibri"/>
          <w:lang w:val="en-GB" w:eastAsia="en-US"/>
        </w:rPr>
        <w:t>,</w:t>
      </w:r>
      <w:r w:rsidRPr="006F2E08">
        <w:rPr>
          <w:rFonts w:eastAsia="Calibri"/>
          <w:lang w:val="en-GB" w:eastAsia="en-US"/>
        </w:rPr>
        <w:t xml:space="preserve"> D., Veronesi</w:t>
      </w:r>
      <w:r w:rsidR="002669C5">
        <w:rPr>
          <w:rFonts w:eastAsia="Calibri"/>
          <w:lang w:val="en-GB" w:eastAsia="en-US"/>
        </w:rPr>
        <w:t>,</w:t>
      </w:r>
      <w:r w:rsidRPr="006F2E08">
        <w:rPr>
          <w:rFonts w:eastAsia="Calibri"/>
          <w:lang w:val="en-GB" w:eastAsia="en-US"/>
        </w:rPr>
        <w:t xml:space="preserve"> M., Sanchez-Moreno</w:t>
      </w:r>
      <w:r w:rsidR="002669C5">
        <w:rPr>
          <w:rFonts w:eastAsia="Calibri"/>
          <w:lang w:val="en-GB" w:eastAsia="en-US"/>
        </w:rPr>
        <w:t>,</w:t>
      </w:r>
      <w:r w:rsidRPr="006F2E08">
        <w:rPr>
          <w:rFonts w:eastAsia="Calibri"/>
          <w:lang w:val="en-GB" w:eastAsia="en-US"/>
        </w:rPr>
        <w:t xml:space="preserve"> P., Tolardo</w:t>
      </w:r>
      <w:r w:rsidR="002669C5">
        <w:rPr>
          <w:rFonts w:eastAsia="Calibri"/>
          <w:lang w:val="en-GB" w:eastAsia="en-US"/>
        </w:rPr>
        <w:t>,</w:t>
      </w:r>
      <w:r w:rsidRPr="006F2E08">
        <w:rPr>
          <w:rFonts w:eastAsia="Calibri"/>
          <w:lang w:val="en-GB" w:eastAsia="en-US"/>
        </w:rPr>
        <w:t xml:space="preserve"> V., Bandiera</w:t>
      </w:r>
      <w:r w:rsidR="002669C5">
        <w:rPr>
          <w:rFonts w:eastAsia="Calibri"/>
          <w:lang w:val="en-GB" w:eastAsia="en-US"/>
        </w:rPr>
        <w:t>,</w:t>
      </w:r>
      <w:r w:rsidRPr="006F2E08">
        <w:rPr>
          <w:rFonts w:eastAsia="Calibri"/>
          <w:lang w:val="en-GB" w:eastAsia="en-US"/>
        </w:rPr>
        <w:t xml:space="preserve"> T., Pompa</w:t>
      </w:r>
      <w:r w:rsidR="002669C5">
        <w:rPr>
          <w:rFonts w:eastAsia="Calibri"/>
          <w:lang w:val="en-GB" w:eastAsia="en-US"/>
        </w:rPr>
        <w:t>,</w:t>
      </w:r>
      <w:r w:rsidRPr="006F2E08">
        <w:rPr>
          <w:rFonts w:eastAsia="Calibri"/>
          <w:lang w:val="en-GB" w:eastAsia="en-US"/>
        </w:rPr>
        <w:t xml:space="preserve"> P.P., </w:t>
      </w:r>
      <w:proofErr w:type="spellStart"/>
      <w:r w:rsidRPr="006F2E08">
        <w:rPr>
          <w:rFonts w:eastAsia="Calibri"/>
          <w:lang w:val="en-GB" w:eastAsia="en-US"/>
        </w:rPr>
        <w:t>Athanassiou</w:t>
      </w:r>
      <w:proofErr w:type="spellEnd"/>
      <w:r w:rsidR="002669C5">
        <w:rPr>
          <w:rFonts w:eastAsia="Calibri"/>
          <w:lang w:val="en-GB" w:eastAsia="en-US"/>
        </w:rPr>
        <w:t>,</w:t>
      </w:r>
      <w:r w:rsidRPr="006F2E08">
        <w:rPr>
          <w:rFonts w:eastAsia="Calibri"/>
          <w:lang w:val="en-GB" w:eastAsia="en-US"/>
        </w:rPr>
        <w:t xml:space="preserve"> A., </w:t>
      </w:r>
      <w:proofErr w:type="spellStart"/>
      <w:r w:rsidRPr="006F2E08">
        <w:rPr>
          <w:rFonts w:eastAsia="Calibri"/>
          <w:lang w:val="en-GB" w:eastAsia="en-US"/>
        </w:rPr>
        <w:t>Fragouli</w:t>
      </w:r>
      <w:proofErr w:type="spellEnd"/>
      <w:r w:rsidR="002669C5">
        <w:rPr>
          <w:rFonts w:eastAsia="Calibri"/>
          <w:lang w:val="en-GB" w:eastAsia="en-US"/>
        </w:rPr>
        <w:t>,</w:t>
      </w:r>
      <w:r w:rsidRPr="006F2E08">
        <w:rPr>
          <w:rFonts w:eastAsia="Calibri"/>
          <w:lang w:val="en-GB" w:eastAsia="en-US"/>
        </w:rPr>
        <w:t xml:space="preserve"> D. (2021). PET </w:t>
      </w:r>
      <w:proofErr w:type="spellStart"/>
      <w:r w:rsidRPr="006F2E08">
        <w:rPr>
          <w:rFonts w:eastAsia="Calibri"/>
          <w:lang w:val="en-GB" w:eastAsia="en-US"/>
        </w:rPr>
        <w:t>nanoplastics</w:t>
      </w:r>
      <w:proofErr w:type="spellEnd"/>
      <w:r w:rsidRPr="006F2E08">
        <w:rPr>
          <w:rFonts w:eastAsia="Calibri"/>
          <w:lang w:val="en-GB" w:eastAsia="en-US"/>
        </w:rPr>
        <w:t xml:space="preserve"> interactions with water contaminants and their impact on human cells. </w:t>
      </w:r>
      <w:r w:rsidRPr="002669C5">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2669C5">
        <w:rPr>
          <w:rFonts w:eastAsia="Calibri"/>
          <w:i/>
          <w:iCs/>
          <w:lang w:val="en-GB" w:eastAsia="en-US"/>
        </w:rPr>
        <w:t>271</w:t>
      </w:r>
      <w:r w:rsidRPr="006F2E08">
        <w:rPr>
          <w:rFonts w:eastAsia="Calibri"/>
          <w:lang w:val="en-GB" w:eastAsia="en-US"/>
        </w:rPr>
        <w:t>, 116262, 1-10. https://doi.org/10.1016/j.envpol.2020.116262</w:t>
      </w:r>
    </w:p>
    <w:p w14:paraId="4BF349FB" w14:textId="32FFEA47" w:rsidR="00FA1750" w:rsidRPr="006F2E08" w:rsidRDefault="00FA1750" w:rsidP="00E51D72">
      <w:pPr>
        <w:pStyle w:val="Rlit"/>
        <w:jc w:val="left"/>
        <w:rPr>
          <w:rFonts w:eastAsia="Calibri"/>
          <w:lang w:val="en-GB" w:eastAsia="en-US"/>
        </w:rPr>
      </w:pPr>
      <w:r w:rsidRPr="006F2E08">
        <w:rPr>
          <w:rFonts w:eastAsia="Calibri"/>
          <w:lang w:val="en-GB" w:eastAsia="en-US"/>
        </w:rPr>
        <w:t>Mamatha</w:t>
      </w:r>
      <w:r w:rsidR="00E51D72">
        <w:rPr>
          <w:rFonts w:eastAsia="Calibri"/>
          <w:lang w:val="en-GB" w:eastAsia="en-US"/>
        </w:rPr>
        <w:t>,</w:t>
      </w:r>
      <w:r w:rsidRPr="006F2E08">
        <w:rPr>
          <w:rFonts w:eastAsia="Calibri"/>
          <w:lang w:val="en-GB" w:eastAsia="en-US"/>
        </w:rPr>
        <w:t xml:space="preserve"> S.U., K. Ramesh Babu</w:t>
      </w:r>
      <w:r w:rsidR="00E51D72">
        <w:rPr>
          <w:rFonts w:eastAsia="Calibri"/>
          <w:lang w:val="en-GB" w:eastAsia="en-US"/>
        </w:rPr>
        <w:t>,</w:t>
      </w:r>
      <w:r w:rsidRPr="006F2E08">
        <w:rPr>
          <w:rFonts w:eastAsia="Calibri"/>
          <w:lang w:val="en-GB" w:eastAsia="en-US"/>
        </w:rPr>
        <w:t xml:space="preserve"> K., P</w:t>
      </w:r>
      <w:r w:rsidR="00E51D72">
        <w:rPr>
          <w:rFonts w:eastAsia="Calibri"/>
          <w:lang w:val="en-GB" w:eastAsia="en-US"/>
        </w:rPr>
        <w:t>rasad,</w:t>
      </w:r>
      <w:r w:rsidRPr="006F2E08">
        <w:rPr>
          <w:rFonts w:eastAsia="Calibri"/>
          <w:lang w:val="en-GB" w:eastAsia="en-US"/>
        </w:rPr>
        <w:t xml:space="preserve"> P.D., Raju</w:t>
      </w:r>
      <w:r w:rsidR="00E51D72">
        <w:rPr>
          <w:rFonts w:eastAsia="Calibri"/>
          <w:lang w:val="en-GB" w:eastAsia="en-US"/>
        </w:rPr>
        <w:t>,</w:t>
      </w:r>
      <w:r w:rsidRPr="006F2E08">
        <w:rPr>
          <w:rFonts w:eastAsia="Calibri"/>
          <w:lang w:val="en-GB" w:eastAsia="en-US"/>
        </w:rPr>
        <w:t xml:space="preserve"> C.S.K., Varma</w:t>
      </w:r>
      <w:r w:rsidR="00E51D72">
        <w:rPr>
          <w:rFonts w:eastAsia="Calibri"/>
          <w:lang w:val="en-GB" w:eastAsia="en-US"/>
        </w:rPr>
        <w:t>,</w:t>
      </w:r>
      <w:r w:rsidRPr="006F2E08">
        <w:rPr>
          <w:rFonts w:eastAsia="Calibri"/>
          <w:lang w:val="en-GB" w:eastAsia="en-US"/>
        </w:rPr>
        <w:t xml:space="preserve"> C.V.K. (2020). Mass transfer analysis of two-phase flow in a suspension of microorganisms. </w:t>
      </w:r>
      <w:r w:rsidRPr="00E51D72">
        <w:rPr>
          <w:rFonts w:eastAsia="Calibri"/>
          <w:i/>
          <w:iCs/>
          <w:lang w:val="en-GB" w:eastAsia="en-US"/>
        </w:rPr>
        <w:t>Archives of Thermodynamics</w:t>
      </w:r>
      <w:r w:rsidR="00E51D72">
        <w:rPr>
          <w:rFonts w:eastAsia="Calibri"/>
          <w:lang w:val="en-GB" w:eastAsia="en-US"/>
        </w:rPr>
        <w:t>,</w:t>
      </w:r>
      <w:r w:rsidRPr="006F2E08">
        <w:rPr>
          <w:rFonts w:eastAsia="Calibri"/>
          <w:lang w:val="en-GB" w:eastAsia="en-US"/>
        </w:rPr>
        <w:t xml:space="preserve"> </w:t>
      </w:r>
      <w:r w:rsidRPr="00E51D72">
        <w:rPr>
          <w:rFonts w:eastAsia="Calibri"/>
          <w:i/>
          <w:iCs/>
          <w:lang w:val="en-GB" w:eastAsia="en-US"/>
        </w:rPr>
        <w:t>41</w:t>
      </w:r>
      <w:r w:rsidRPr="006F2E08">
        <w:rPr>
          <w:rFonts w:eastAsia="Calibri"/>
          <w:lang w:val="en-GB" w:eastAsia="en-US"/>
        </w:rPr>
        <w:t>(1), 175</w:t>
      </w:r>
      <w:r w:rsidR="000A5A86">
        <w:rPr>
          <w:rFonts w:eastAsia="Calibri"/>
          <w:lang w:val="en-GB" w:eastAsia="en-US"/>
        </w:rPr>
        <w:t>-</w:t>
      </w:r>
      <w:r w:rsidRPr="006F2E08">
        <w:rPr>
          <w:rFonts w:eastAsia="Calibri"/>
          <w:lang w:val="en-GB" w:eastAsia="en-US"/>
        </w:rPr>
        <w:t>192. https://doi.org/10.24425/ather.2020.132954</w:t>
      </w:r>
    </w:p>
    <w:p w14:paraId="4F6A102D" w14:textId="53854944" w:rsidR="00FA1750" w:rsidRPr="006F2E08" w:rsidRDefault="00FA1750" w:rsidP="006F2E08">
      <w:pPr>
        <w:pStyle w:val="Rlit"/>
        <w:rPr>
          <w:rFonts w:eastAsia="Calibri"/>
          <w:lang w:val="en-GB" w:eastAsia="en-US"/>
        </w:rPr>
      </w:pPr>
      <w:r w:rsidRPr="006F2E08">
        <w:rPr>
          <w:rFonts w:eastAsia="Calibri"/>
          <w:lang w:val="en-GB" w:eastAsia="en-US"/>
        </w:rPr>
        <w:t>Mateos-Cardenas</w:t>
      </w:r>
      <w:r w:rsidR="00E51D72">
        <w:rPr>
          <w:rFonts w:eastAsia="Calibri"/>
          <w:lang w:val="en-GB" w:eastAsia="en-US"/>
        </w:rPr>
        <w:t>,</w:t>
      </w:r>
      <w:r w:rsidRPr="006F2E08">
        <w:rPr>
          <w:rFonts w:eastAsia="Calibri"/>
          <w:lang w:val="en-GB" w:eastAsia="en-US"/>
        </w:rPr>
        <w:t xml:space="preserve"> A., van Pelt</w:t>
      </w:r>
      <w:r w:rsidR="00E51D72">
        <w:rPr>
          <w:rFonts w:eastAsia="Calibri"/>
          <w:lang w:val="en-GB" w:eastAsia="en-US"/>
        </w:rPr>
        <w:t>,</w:t>
      </w:r>
      <w:r w:rsidRPr="006F2E08">
        <w:rPr>
          <w:rFonts w:eastAsia="Calibri"/>
          <w:lang w:val="en-GB" w:eastAsia="en-US"/>
        </w:rPr>
        <w:t xml:space="preserve"> F.N.A.M., O’Halloran</w:t>
      </w:r>
      <w:r w:rsidR="00E51D72">
        <w:rPr>
          <w:rFonts w:eastAsia="Calibri"/>
          <w:lang w:val="en-GB" w:eastAsia="en-US"/>
        </w:rPr>
        <w:t>,</w:t>
      </w:r>
      <w:r w:rsidRPr="006F2E08">
        <w:rPr>
          <w:rFonts w:eastAsia="Calibri"/>
          <w:lang w:val="en-GB" w:eastAsia="en-US"/>
        </w:rPr>
        <w:t xml:space="preserve"> J., Jansen</w:t>
      </w:r>
      <w:r w:rsidR="00E51D72">
        <w:rPr>
          <w:rFonts w:eastAsia="Calibri"/>
          <w:lang w:val="en-GB" w:eastAsia="en-US"/>
        </w:rPr>
        <w:t>,</w:t>
      </w:r>
      <w:r w:rsidRPr="006F2E08">
        <w:rPr>
          <w:rFonts w:eastAsia="Calibri"/>
          <w:lang w:val="en-GB" w:eastAsia="en-US"/>
        </w:rPr>
        <w:t xml:space="preserve"> M.A.K. (2021). Adsorption, uptake and toxicity of micro- and </w:t>
      </w:r>
      <w:proofErr w:type="spellStart"/>
      <w:r w:rsidRPr="006F2E08">
        <w:rPr>
          <w:rFonts w:eastAsia="Calibri"/>
          <w:lang w:val="en-GB" w:eastAsia="en-US"/>
        </w:rPr>
        <w:t>nanoplastics</w:t>
      </w:r>
      <w:proofErr w:type="spellEnd"/>
      <w:r w:rsidRPr="006F2E08">
        <w:rPr>
          <w:rFonts w:eastAsia="Calibri"/>
          <w:lang w:val="en-GB" w:eastAsia="en-US"/>
        </w:rPr>
        <w:t xml:space="preserve">: Effects on terrestrial plants and aquatic macrophytes. </w:t>
      </w:r>
      <w:r w:rsidRPr="00E51D72">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E51D72">
        <w:rPr>
          <w:rFonts w:eastAsia="Calibri"/>
          <w:i/>
          <w:iCs/>
          <w:lang w:val="en-GB" w:eastAsia="en-US"/>
        </w:rPr>
        <w:t>284</w:t>
      </w:r>
      <w:r w:rsidRPr="006F2E08">
        <w:rPr>
          <w:rFonts w:eastAsia="Calibri"/>
          <w:lang w:val="en-GB" w:eastAsia="en-US"/>
        </w:rPr>
        <w:t>, 117183, 1-10. https://doi.org/10.1016/j.envpol.2021.117183</w:t>
      </w:r>
    </w:p>
    <w:p w14:paraId="32FB8110" w14:textId="3714B78F" w:rsidR="00FA1750" w:rsidRPr="006F2E08" w:rsidRDefault="00FA1750" w:rsidP="006F2E08">
      <w:pPr>
        <w:pStyle w:val="Rlit"/>
        <w:rPr>
          <w:rFonts w:eastAsia="Calibri"/>
          <w:lang w:val="en-GB" w:eastAsia="en-US"/>
        </w:rPr>
      </w:pPr>
      <w:proofErr w:type="spellStart"/>
      <w:r w:rsidRPr="006F2E08">
        <w:rPr>
          <w:rFonts w:eastAsia="Calibri"/>
          <w:lang w:val="en-GB" w:eastAsia="en-US"/>
        </w:rPr>
        <w:t>Materić</w:t>
      </w:r>
      <w:proofErr w:type="spellEnd"/>
      <w:r w:rsidR="00E51D72">
        <w:rPr>
          <w:rFonts w:eastAsia="Calibri"/>
          <w:lang w:val="en-GB" w:eastAsia="en-US"/>
        </w:rPr>
        <w:t>,</w:t>
      </w:r>
      <w:r w:rsidRPr="006F2E08">
        <w:rPr>
          <w:rFonts w:eastAsia="Calibri"/>
          <w:lang w:val="en-GB" w:eastAsia="en-US"/>
        </w:rPr>
        <w:t xml:space="preserve"> D., Ludewig</w:t>
      </w:r>
      <w:r w:rsidR="00E51D72">
        <w:rPr>
          <w:rFonts w:eastAsia="Calibri"/>
          <w:lang w:val="en-GB" w:eastAsia="en-US"/>
        </w:rPr>
        <w:t>,</w:t>
      </w:r>
      <w:r w:rsidRPr="006F2E08">
        <w:rPr>
          <w:rFonts w:eastAsia="Calibri"/>
          <w:lang w:val="en-GB" w:eastAsia="en-US"/>
        </w:rPr>
        <w:t xml:space="preserve"> E., Brunner</w:t>
      </w:r>
      <w:r w:rsidR="00E51D72">
        <w:rPr>
          <w:rFonts w:eastAsia="Calibri"/>
          <w:lang w:val="en-GB" w:eastAsia="en-US"/>
        </w:rPr>
        <w:t>,</w:t>
      </w:r>
      <w:r w:rsidRPr="006F2E08">
        <w:rPr>
          <w:rFonts w:eastAsia="Calibri"/>
          <w:lang w:val="en-GB" w:eastAsia="en-US"/>
        </w:rPr>
        <w:t xml:space="preserve"> D., Rockmann</w:t>
      </w:r>
      <w:r w:rsidR="00E51D72">
        <w:rPr>
          <w:rFonts w:eastAsia="Calibri"/>
          <w:lang w:val="en-GB" w:eastAsia="en-US"/>
        </w:rPr>
        <w:t>,</w:t>
      </w:r>
      <w:r w:rsidRPr="006F2E08">
        <w:rPr>
          <w:rFonts w:eastAsia="Calibri"/>
          <w:lang w:val="en-GB" w:eastAsia="en-US"/>
        </w:rPr>
        <w:t xml:space="preserve"> T., Holzinger</w:t>
      </w:r>
      <w:r w:rsidR="00E51D72">
        <w:rPr>
          <w:rFonts w:eastAsia="Calibri"/>
          <w:lang w:val="en-GB" w:eastAsia="en-US"/>
        </w:rPr>
        <w:t>,</w:t>
      </w:r>
      <w:r w:rsidRPr="006F2E08">
        <w:rPr>
          <w:rFonts w:eastAsia="Calibri"/>
          <w:lang w:val="en-GB" w:eastAsia="en-US"/>
        </w:rPr>
        <w:t xml:space="preserve"> R. (2021). </w:t>
      </w:r>
      <w:proofErr w:type="spellStart"/>
      <w:r w:rsidRPr="006F2E08">
        <w:rPr>
          <w:rFonts w:eastAsia="Calibri"/>
          <w:lang w:val="en-GB" w:eastAsia="en-US"/>
        </w:rPr>
        <w:t>Nanoplastics</w:t>
      </w:r>
      <w:proofErr w:type="spellEnd"/>
      <w:r w:rsidRPr="006F2E08">
        <w:rPr>
          <w:rFonts w:eastAsia="Calibri"/>
          <w:lang w:val="en-GB" w:eastAsia="en-US"/>
        </w:rPr>
        <w:t xml:space="preserve"> transport to the remote, high-altitude Alps. </w:t>
      </w:r>
      <w:r w:rsidRPr="00E51D72">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E51D72">
        <w:rPr>
          <w:rFonts w:eastAsia="Calibri"/>
          <w:i/>
          <w:iCs/>
          <w:lang w:val="en-GB" w:eastAsia="en-US"/>
        </w:rPr>
        <w:t>288</w:t>
      </w:r>
      <w:r w:rsidRPr="006F2E08">
        <w:rPr>
          <w:rFonts w:eastAsia="Calibri"/>
          <w:lang w:val="en-GB" w:eastAsia="en-US"/>
        </w:rPr>
        <w:t>, 117697, 1-11. https://doi.org/10.1016/j.envpol.2021.117697</w:t>
      </w:r>
    </w:p>
    <w:p w14:paraId="7593202C" w14:textId="2B3E24DC" w:rsidR="00FA1750" w:rsidRPr="006F2E08" w:rsidRDefault="00FA1750" w:rsidP="006F2E08">
      <w:pPr>
        <w:pStyle w:val="Rlit"/>
        <w:rPr>
          <w:rFonts w:eastAsia="Calibri"/>
          <w:lang w:val="en-GB" w:eastAsia="en-US"/>
        </w:rPr>
      </w:pPr>
      <w:r w:rsidRPr="006F2E08">
        <w:rPr>
          <w:rFonts w:eastAsia="Calibri"/>
          <w:lang w:val="en-GB" w:eastAsia="en-US"/>
        </w:rPr>
        <w:t>Matthews</w:t>
      </w:r>
      <w:r w:rsidR="00E51D72">
        <w:rPr>
          <w:rFonts w:eastAsia="Calibri"/>
          <w:lang w:val="en-GB" w:eastAsia="en-US"/>
        </w:rPr>
        <w:t>,</w:t>
      </w:r>
      <w:r w:rsidRPr="006F2E08">
        <w:rPr>
          <w:rFonts w:eastAsia="Calibri"/>
          <w:lang w:val="en-GB" w:eastAsia="en-US"/>
        </w:rPr>
        <w:t xml:space="preserve"> S., Mai</w:t>
      </w:r>
      <w:r w:rsidR="00E51D72">
        <w:rPr>
          <w:rFonts w:eastAsia="Calibri"/>
          <w:lang w:val="en-GB" w:eastAsia="en-US"/>
        </w:rPr>
        <w:t>,</w:t>
      </w:r>
      <w:r w:rsidRPr="006F2E08">
        <w:rPr>
          <w:rFonts w:eastAsia="Calibri"/>
          <w:lang w:val="en-GB" w:eastAsia="en-US"/>
        </w:rPr>
        <w:t xml:space="preserve"> L., Jeong</w:t>
      </w:r>
      <w:r w:rsidR="00E51D72">
        <w:rPr>
          <w:rFonts w:eastAsia="Calibri"/>
          <w:lang w:val="en-GB" w:eastAsia="en-US"/>
        </w:rPr>
        <w:t>,</w:t>
      </w:r>
      <w:r w:rsidRPr="006F2E08">
        <w:rPr>
          <w:rFonts w:eastAsia="Calibri"/>
          <w:lang w:val="en-GB" w:eastAsia="en-US"/>
        </w:rPr>
        <w:t xml:space="preserve"> C.-B., Lee</w:t>
      </w:r>
      <w:r w:rsidR="00E51D72">
        <w:rPr>
          <w:rFonts w:eastAsia="Calibri"/>
          <w:lang w:val="en-GB" w:eastAsia="en-US"/>
        </w:rPr>
        <w:t>,</w:t>
      </w:r>
      <w:r w:rsidRPr="006F2E08">
        <w:rPr>
          <w:rFonts w:eastAsia="Calibri"/>
          <w:lang w:val="en-GB" w:eastAsia="en-US"/>
        </w:rPr>
        <w:t xml:space="preserve"> J.-S., Zeng</w:t>
      </w:r>
      <w:r w:rsidR="00E51D72">
        <w:rPr>
          <w:rFonts w:eastAsia="Calibri"/>
          <w:lang w:val="en-GB" w:eastAsia="en-US"/>
        </w:rPr>
        <w:t>,</w:t>
      </w:r>
      <w:r w:rsidRPr="006F2E08">
        <w:rPr>
          <w:rFonts w:eastAsia="Calibri"/>
          <w:lang w:val="en-GB" w:eastAsia="en-US"/>
        </w:rPr>
        <w:t xml:space="preserve"> E.Y., </w:t>
      </w:r>
      <w:proofErr w:type="spellStart"/>
      <w:r w:rsidRPr="006F2E08">
        <w:rPr>
          <w:rFonts w:eastAsia="Calibri"/>
          <w:lang w:val="en-GB" w:eastAsia="en-US"/>
        </w:rPr>
        <w:t>Genbo</w:t>
      </w:r>
      <w:proofErr w:type="spellEnd"/>
      <w:r w:rsidRPr="006F2E08">
        <w:rPr>
          <w:rFonts w:eastAsia="Calibri"/>
          <w:lang w:val="en-GB" w:eastAsia="en-US"/>
        </w:rPr>
        <w:t xml:space="preserve"> Xu</w:t>
      </w:r>
      <w:r w:rsidR="00E51D72">
        <w:rPr>
          <w:rFonts w:eastAsia="Calibri"/>
          <w:lang w:val="en-GB" w:eastAsia="en-US"/>
        </w:rPr>
        <w:t>,</w:t>
      </w:r>
      <w:r w:rsidRPr="006F2E08">
        <w:rPr>
          <w:rFonts w:eastAsia="Calibri"/>
          <w:lang w:val="en-GB" w:eastAsia="en-US"/>
        </w:rPr>
        <w:t xml:space="preserve"> E. (2021). Key mechanisms of micro- and </w:t>
      </w:r>
      <w:proofErr w:type="spellStart"/>
      <w:r w:rsidRPr="006F2E08">
        <w:rPr>
          <w:rFonts w:eastAsia="Calibri"/>
          <w:lang w:val="en-GB" w:eastAsia="en-US"/>
        </w:rPr>
        <w:t>nanoplastic</w:t>
      </w:r>
      <w:proofErr w:type="spellEnd"/>
      <w:r w:rsidRPr="006F2E08">
        <w:rPr>
          <w:rFonts w:eastAsia="Calibri"/>
          <w:lang w:val="en-GB" w:eastAsia="en-US"/>
        </w:rPr>
        <w:t xml:space="preserve"> (MNP) toxicity across taxonomic groups. </w:t>
      </w:r>
      <w:r w:rsidRPr="00E51D72">
        <w:rPr>
          <w:rFonts w:eastAsia="Calibri"/>
          <w:i/>
          <w:lang w:val="en-GB" w:eastAsia="en-US"/>
        </w:rPr>
        <w:t>Comparative Biochemistry and Physiology, Part C:</w:t>
      </w:r>
      <w:r w:rsidRPr="006F2E08">
        <w:rPr>
          <w:rFonts w:eastAsia="Calibri"/>
          <w:iCs/>
          <w:lang w:val="en-GB" w:eastAsia="en-US"/>
        </w:rPr>
        <w:t xml:space="preserve"> </w:t>
      </w:r>
      <w:r w:rsidRPr="00E51D72">
        <w:rPr>
          <w:rFonts w:eastAsia="Calibri"/>
          <w:i/>
          <w:lang w:val="en-GB" w:eastAsia="en-US"/>
        </w:rPr>
        <w:t>Toxicology &amp; Pharmacology</w:t>
      </w:r>
      <w:r w:rsidRPr="00E51D72">
        <w:rPr>
          <w:rFonts w:eastAsia="Calibri"/>
          <w:lang w:val="en-GB" w:eastAsia="en-US"/>
        </w:rPr>
        <w:t>,</w:t>
      </w:r>
      <w:r w:rsidRPr="006F2E08">
        <w:rPr>
          <w:rFonts w:eastAsia="Calibri"/>
          <w:i/>
          <w:iCs/>
          <w:lang w:val="en-GB" w:eastAsia="en-US"/>
        </w:rPr>
        <w:t xml:space="preserve"> </w:t>
      </w:r>
      <w:r w:rsidRPr="00E51D72">
        <w:rPr>
          <w:rFonts w:eastAsia="Calibri"/>
          <w:i/>
          <w:iCs/>
          <w:lang w:val="en-GB" w:eastAsia="en-US"/>
        </w:rPr>
        <w:t>47</w:t>
      </w:r>
      <w:r w:rsidRPr="006F2E08">
        <w:rPr>
          <w:rFonts w:eastAsia="Calibri"/>
          <w:lang w:val="en-GB" w:eastAsia="en-US"/>
        </w:rPr>
        <w:t>, 109056, 1-15. https://doi.org/10.1016/j.cbpc.2021.109056</w:t>
      </w:r>
    </w:p>
    <w:p w14:paraId="2503C7EF" w14:textId="3158C48C" w:rsidR="00FA1750" w:rsidRPr="006F2E08" w:rsidRDefault="00FA1750" w:rsidP="006F2E08">
      <w:pPr>
        <w:pStyle w:val="Rlit"/>
        <w:rPr>
          <w:rFonts w:eastAsia="Calibri"/>
          <w:lang w:val="en-GB" w:eastAsia="en-US"/>
        </w:rPr>
      </w:pPr>
      <w:proofErr w:type="spellStart"/>
      <w:r w:rsidRPr="006F2E08">
        <w:rPr>
          <w:rFonts w:eastAsia="Calibri"/>
          <w:lang w:val="en-GB" w:eastAsia="en-US"/>
        </w:rPr>
        <w:t>Mofijur</w:t>
      </w:r>
      <w:proofErr w:type="spellEnd"/>
      <w:r w:rsidR="00E51D72">
        <w:rPr>
          <w:rFonts w:eastAsia="Calibri"/>
          <w:lang w:val="en-GB" w:eastAsia="en-US"/>
        </w:rPr>
        <w:t>,</w:t>
      </w:r>
      <w:r w:rsidRPr="006F2E08">
        <w:rPr>
          <w:rFonts w:eastAsia="Calibri"/>
          <w:lang w:val="en-GB" w:eastAsia="en-US"/>
        </w:rPr>
        <w:t xml:space="preserve"> M., Ahmed,</w:t>
      </w:r>
      <w:r w:rsidR="00E51D72">
        <w:rPr>
          <w:rFonts w:eastAsia="Calibri"/>
          <w:lang w:val="en-GB" w:eastAsia="en-US"/>
        </w:rPr>
        <w:t xml:space="preserve"> </w:t>
      </w:r>
      <w:r w:rsidRPr="006F2E08">
        <w:rPr>
          <w:rFonts w:eastAsia="Calibri"/>
          <w:lang w:val="en-GB" w:eastAsia="en-US"/>
        </w:rPr>
        <w:t>S.F., Ashrafur Rahman</w:t>
      </w:r>
      <w:r w:rsidR="00E51D72">
        <w:rPr>
          <w:rFonts w:eastAsia="Calibri"/>
          <w:lang w:val="en-GB" w:eastAsia="en-US"/>
        </w:rPr>
        <w:t>,</w:t>
      </w:r>
      <w:r w:rsidRPr="006F2E08">
        <w:rPr>
          <w:rFonts w:eastAsia="Calibri"/>
          <w:lang w:val="en-GB" w:eastAsia="en-US"/>
        </w:rPr>
        <w:t xml:space="preserve"> S.M., Yasir Arafat </w:t>
      </w:r>
      <w:proofErr w:type="spellStart"/>
      <w:r w:rsidRPr="006F2E08">
        <w:rPr>
          <w:rFonts w:eastAsia="Calibri"/>
          <w:lang w:val="en-GB" w:eastAsia="en-US"/>
        </w:rPr>
        <w:t>Siddiki</w:t>
      </w:r>
      <w:proofErr w:type="spellEnd"/>
      <w:r w:rsidR="00E51D72">
        <w:rPr>
          <w:rFonts w:eastAsia="Calibri"/>
          <w:lang w:val="en-GB" w:eastAsia="en-US"/>
        </w:rPr>
        <w:t>,</w:t>
      </w:r>
      <w:r w:rsidRPr="006F2E08">
        <w:rPr>
          <w:rFonts w:eastAsia="Calibri"/>
          <w:lang w:val="en-GB" w:eastAsia="en-US"/>
        </w:rPr>
        <w:t xml:space="preserve"> SK., Saiful Islam</w:t>
      </w:r>
      <w:r w:rsidR="00E51D72">
        <w:rPr>
          <w:rFonts w:eastAsia="Calibri"/>
          <w:lang w:val="en-GB" w:eastAsia="en-US"/>
        </w:rPr>
        <w:t>,</w:t>
      </w:r>
      <w:r w:rsidRPr="006F2E08">
        <w:rPr>
          <w:rFonts w:eastAsia="Calibri"/>
          <w:lang w:val="en-GB" w:eastAsia="en-US"/>
        </w:rPr>
        <w:t xml:space="preserve"> A.B.M.,</w:t>
      </w:r>
      <w:r w:rsidR="00E51D72">
        <w:rPr>
          <w:rFonts w:eastAsia="Calibri"/>
          <w:lang w:val="en-GB" w:eastAsia="en-US"/>
        </w:rPr>
        <w:t xml:space="preserve"> </w:t>
      </w:r>
      <w:r w:rsidRPr="006F2E08">
        <w:rPr>
          <w:rFonts w:eastAsia="Calibri"/>
          <w:lang w:val="en-GB" w:eastAsia="en-US"/>
        </w:rPr>
        <w:t>Shahabuddin</w:t>
      </w:r>
      <w:r w:rsidR="00E51D72">
        <w:rPr>
          <w:rFonts w:eastAsia="Calibri"/>
          <w:lang w:val="en-GB" w:eastAsia="en-US"/>
        </w:rPr>
        <w:t>,</w:t>
      </w:r>
      <w:r w:rsidRPr="006F2E08">
        <w:rPr>
          <w:rFonts w:eastAsia="Calibri"/>
          <w:lang w:val="en-GB" w:eastAsia="en-US"/>
        </w:rPr>
        <w:t xml:space="preserve"> M., Ong</w:t>
      </w:r>
      <w:r w:rsidR="00E51D72">
        <w:rPr>
          <w:rFonts w:eastAsia="Calibri"/>
          <w:lang w:val="en-GB" w:eastAsia="en-US"/>
        </w:rPr>
        <w:t>,</w:t>
      </w:r>
      <w:r w:rsidRPr="006F2E08">
        <w:rPr>
          <w:rFonts w:eastAsia="Calibri"/>
          <w:lang w:val="en-GB" w:eastAsia="en-US"/>
        </w:rPr>
        <w:t xml:space="preserve"> H.Ch., Mahlia</w:t>
      </w:r>
      <w:r w:rsidR="00E51D72">
        <w:rPr>
          <w:rFonts w:eastAsia="Calibri"/>
          <w:lang w:val="en-GB" w:eastAsia="en-US"/>
        </w:rPr>
        <w:t>,</w:t>
      </w:r>
      <w:r w:rsidRPr="006F2E08">
        <w:rPr>
          <w:rFonts w:eastAsia="Calibri"/>
          <w:lang w:val="en-GB" w:eastAsia="en-US"/>
        </w:rPr>
        <w:t xml:space="preserve"> T.M.I., </w:t>
      </w:r>
      <w:proofErr w:type="spellStart"/>
      <w:r w:rsidRPr="006F2E08">
        <w:rPr>
          <w:rFonts w:eastAsia="Calibri"/>
          <w:lang w:val="en-GB" w:eastAsia="en-US"/>
        </w:rPr>
        <w:t>Djavanroodi</w:t>
      </w:r>
      <w:proofErr w:type="spellEnd"/>
      <w:r w:rsidR="00E51D72">
        <w:rPr>
          <w:rFonts w:eastAsia="Calibri"/>
          <w:lang w:val="en-GB" w:eastAsia="en-US"/>
        </w:rPr>
        <w:t>,</w:t>
      </w:r>
      <w:r w:rsidRPr="006F2E08">
        <w:rPr>
          <w:rFonts w:eastAsia="Calibri"/>
          <w:lang w:val="en-GB" w:eastAsia="en-US"/>
        </w:rPr>
        <w:t xml:space="preserve"> F., Show</w:t>
      </w:r>
      <w:r w:rsidR="00E51D72">
        <w:rPr>
          <w:rFonts w:eastAsia="Calibri"/>
          <w:lang w:val="en-GB" w:eastAsia="en-US"/>
        </w:rPr>
        <w:t>,</w:t>
      </w:r>
      <w:r w:rsidRPr="006F2E08">
        <w:rPr>
          <w:rFonts w:eastAsia="Calibri"/>
          <w:lang w:val="en-GB" w:eastAsia="en-US"/>
        </w:rPr>
        <w:t xml:space="preserve"> P.L. (2021). Source, distribution and emerging threat of micro- and </w:t>
      </w:r>
      <w:proofErr w:type="spellStart"/>
      <w:r w:rsidRPr="006F2E08">
        <w:rPr>
          <w:rFonts w:eastAsia="Calibri"/>
          <w:lang w:val="en-GB" w:eastAsia="en-US"/>
        </w:rPr>
        <w:t>nanoplastics</w:t>
      </w:r>
      <w:proofErr w:type="spellEnd"/>
      <w:r w:rsidRPr="006F2E08">
        <w:rPr>
          <w:rFonts w:eastAsia="Calibri"/>
          <w:lang w:val="en-GB" w:eastAsia="en-US"/>
        </w:rPr>
        <w:t xml:space="preserve"> to marine organism and human health: Socio-economic impact and management strategies. </w:t>
      </w:r>
      <w:r w:rsidRPr="007B0C10">
        <w:rPr>
          <w:rFonts w:eastAsia="Calibri"/>
          <w:i/>
          <w:lang w:val="en-GB" w:eastAsia="en-US"/>
        </w:rPr>
        <w:t>Environmental Research</w:t>
      </w:r>
      <w:r w:rsidRPr="006F2E08">
        <w:rPr>
          <w:rFonts w:eastAsia="Calibri"/>
          <w:iCs/>
          <w:lang w:val="en-GB" w:eastAsia="en-US"/>
        </w:rPr>
        <w:t>,</w:t>
      </w:r>
      <w:r w:rsidRPr="006F2E08">
        <w:rPr>
          <w:rFonts w:eastAsia="Calibri"/>
          <w:lang w:val="en-GB" w:eastAsia="en-US"/>
        </w:rPr>
        <w:t xml:space="preserve"> </w:t>
      </w:r>
      <w:r w:rsidRPr="007B0C10">
        <w:rPr>
          <w:rFonts w:eastAsia="Calibri"/>
          <w:i/>
          <w:iCs/>
          <w:lang w:val="en-GB" w:eastAsia="en-US"/>
        </w:rPr>
        <w:t>195</w:t>
      </w:r>
      <w:r w:rsidRPr="006F2E08">
        <w:rPr>
          <w:rFonts w:eastAsia="Calibri"/>
          <w:lang w:val="en-GB" w:eastAsia="en-US"/>
        </w:rPr>
        <w:t>, 110857, 1-19. https://doi.org/10.1016/j.envres.2021.110857</w:t>
      </w:r>
    </w:p>
    <w:p w14:paraId="1D19DC44" w14:textId="567C0845" w:rsidR="00FA1750" w:rsidRPr="006F2E08" w:rsidRDefault="00FA1750" w:rsidP="006F2E08">
      <w:pPr>
        <w:pStyle w:val="Rlit"/>
        <w:rPr>
          <w:rFonts w:eastAsia="Calibri"/>
          <w:lang w:val="en-GB" w:eastAsia="en-US"/>
        </w:rPr>
      </w:pPr>
      <w:r w:rsidRPr="006F2E08">
        <w:rPr>
          <w:rFonts w:eastAsia="Calibri"/>
          <w:lang w:val="en-GB" w:eastAsia="en-US"/>
        </w:rPr>
        <w:t>Morgana</w:t>
      </w:r>
      <w:r w:rsidR="007B0C10">
        <w:rPr>
          <w:rFonts w:eastAsia="Calibri"/>
          <w:lang w:val="en-GB" w:eastAsia="en-US"/>
        </w:rPr>
        <w:t>,</w:t>
      </w:r>
      <w:r w:rsidRPr="006F2E08">
        <w:rPr>
          <w:rFonts w:eastAsia="Calibri"/>
          <w:lang w:val="en-GB" w:eastAsia="en-US"/>
        </w:rPr>
        <w:t xml:space="preserve"> S., </w:t>
      </w:r>
      <w:proofErr w:type="spellStart"/>
      <w:r w:rsidRPr="006F2E08">
        <w:rPr>
          <w:rFonts w:eastAsia="Calibri"/>
          <w:lang w:val="en-GB" w:eastAsia="en-US"/>
        </w:rPr>
        <w:t>Casentini</w:t>
      </w:r>
      <w:proofErr w:type="spellEnd"/>
      <w:r w:rsidR="007B0C10">
        <w:rPr>
          <w:rFonts w:eastAsia="Calibri"/>
          <w:lang w:val="en-GB" w:eastAsia="en-US"/>
        </w:rPr>
        <w:t>,</w:t>
      </w:r>
      <w:r w:rsidRPr="006F2E08">
        <w:rPr>
          <w:rFonts w:eastAsia="Calibri"/>
          <w:lang w:val="en-GB" w:eastAsia="en-US"/>
        </w:rPr>
        <w:t xml:space="preserve"> B., Amalfitano</w:t>
      </w:r>
      <w:r w:rsidR="007B0C10">
        <w:rPr>
          <w:rFonts w:eastAsia="Calibri"/>
          <w:lang w:val="en-GB" w:eastAsia="en-US"/>
        </w:rPr>
        <w:t>,</w:t>
      </w:r>
      <w:r w:rsidRPr="006F2E08">
        <w:rPr>
          <w:rFonts w:eastAsia="Calibri"/>
          <w:lang w:val="en-GB" w:eastAsia="en-US"/>
        </w:rPr>
        <w:t xml:space="preserve"> S. (2021). Uncovering the release of micro/</w:t>
      </w:r>
      <w:proofErr w:type="spellStart"/>
      <w:r w:rsidRPr="006F2E08">
        <w:rPr>
          <w:rFonts w:eastAsia="Calibri"/>
          <w:lang w:val="en-GB" w:eastAsia="en-US"/>
        </w:rPr>
        <w:t>nanoplastics</w:t>
      </w:r>
      <w:proofErr w:type="spellEnd"/>
      <w:r w:rsidRPr="006F2E08">
        <w:rPr>
          <w:rFonts w:eastAsia="Calibri"/>
          <w:lang w:val="en-GB" w:eastAsia="en-US"/>
        </w:rPr>
        <w:t xml:space="preserve"> from disposable face masks at times of COVID-19. </w:t>
      </w:r>
      <w:r w:rsidRPr="007B0C10">
        <w:rPr>
          <w:rFonts w:eastAsia="Calibri"/>
          <w:i/>
          <w:lang w:val="en-GB" w:eastAsia="en-US"/>
        </w:rPr>
        <w:t>Journal of Hazardous Materials</w:t>
      </w:r>
      <w:r w:rsidRPr="006F2E08">
        <w:rPr>
          <w:rFonts w:eastAsia="Calibri"/>
          <w:iCs/>
          <w:lang w:val="en-GB" w:eastAsia="en-US"/>
        </w:rPr>
        <w:t>,</w:t>
      </w:r>
      <w:r w:rsidRPr="006F2E08">
        <w:rPr>
          <w:rFonts w:eastAsia="Calibri"/>
          <w:lang w:val="en-GB" w:eastAsia="en-US"/>
        </w:rPr>
        <w:t xml:space="preserve"> </w:t>
      </w:r>
      <w:r w:rsidRPr="007B0C10">
        <w:rPr>
          <w:rFonts w:eastAsia="Calibri"/>
          <w:i/>
          <w:iCs/>
          <w:lang w:val="en-GB" w:eastAsia="en-US"/>
        </w:rPr>
        <w:t>419</w:t>
      </w:r>
      <w:r w:rsidRPr="006F2E08">
        <w:rPr>
          <w:rFonts w:eastAsia="Calibri"/>
          <w:lang w:val="en-GB" w:eastAsia="en-US"/>
        </w:rPr>
        <w:t>, 126507, 1-8. https://doi.org/10.1016/j.jhazmat.2021.126507</w:t>
      </w:r>
    </w:p>
    <w:p w14:paraId="0423D846" w14:textId="4B4108E6" w:rsidR="00FA1750" w:rsidRPr="006F2E08" w:rsidRDefault="00FA1750" w:rsidP="006F2E08">
      <w:pPr>
        <w:pStyle w:val="Rlit"/>
        <w:rPr>
          <w:rFonts w:eastAsia="Calibri"/>
          <w:lang w:val="en-GB" w:eastAsia="en-US"/>
        </w:rPr>
      </w:pPr>
      <w:proofErr w:type="spellStart"/>
      <w:r w:rsidRPr="006F2E08">
        <w:rPr>
          <w:rFonts w:eastAsia="Calibri"/>
          <w:lang w:val="en-GB" w:eastAsia="en-US"/>
        </w:rPr>
        <w:t>Roshanzadeh</w:t>
      </w:r>
      <w:proofErr w:type="spellEnd"/>
      <w:r w:rsidR="007B0C10">
        <w:rPr>
          <w:rFonts w:eastAsia="Calibri"/>
          <w:lang w:val="en-GB" w:eastAsia="en-US"/>
        </w:rPr>
        <w:t>,</w:t>
      </w:r>
      <w:r w:rsidRPr="006F2E08">
        <w:rPr>
          <w:rFonts w:eastAsia="Calibri"/>
          <w:lang w:val="en-GB" w:eastAsia="en-US"/>
        </w:rPr>
        <w:t xml:space="preserve"> A., Oyunbaatar</w:t>
      </w:r>
      <w:r w:rsidR="007B0C10">
        <w:rPr>
          <w:rFonts w:eastAsia="Calibri"/>
          <w:lang w:val="en-GB" w:eastAsia="en-US"/>
        </w:rPr>
        <w:t>,</w:t>
      </w:r>
      <w:r w:rsidRPr="006F2E08">
        <w:rPr>
          <w:rFonts w:eastAsia="Calibri"/>
          <w:lang w:val="en-GB" w:eastAsia="en-US"/>
        </w:rPr>
        <w:t xml:space="preserve"> N.-E., </w:t>
      </w:r>
      <w:proofErr w:type="spellStart"/>
      <w:r w:rsidRPr="006F2E08">
        <w:rPr>
          <w:rFonts w:eastAsia="Calibri"/>
          <w:lang w:val="en-GB" w:eastAsia="en-US"/>
        </w:rPr>
        <w:t>Ehteshamzadeh</w:t>
      </w:r>
      <w:proofErr w:type="spellEnd"/>
      <w:r w:rsidRPr="006F2E08">
        <w:rPr>
          <w:rFonts w:eastAsia="Calibri"/>
          <w:lang w:val="en-GB" w:eastAsia="en-US"/>
        </w:rPr>
        <w:t xml:space="preserve"> </w:t>
      </w:r>
      <w:proofErr w:type="spellStart"/>
      <w:r w:rsidRPr="006F2E08">
        <w:rPr>
          <w:rFonts w:eastAsia="Calibri"/>
          <w:lang w:val="en-GB" w:eastAsia="en-US"/>
        </w:rPr>
        <w:t>Ganjbakhsh</w:t>
      </w:r>
      <w:proofErr w:type="spellEnd"/>
      <w:r w:rsidR="007B0C10">
        <w:rPr>
          <w:rFonts w:eastAsia="Calibri"/>
          <w:lang w:val="en-GB" w:eastAsia="en-US"/>
        </w:rPr>
        <w:t>,</w:t>
      </w:r>
      <w:r w:rsidRPr="006F2E08">
        <w:rPr>
          <w:rFonts w:eastAsia="Calibri"/>
          <w:lang w:val="en-GB" w:eastAsia="en-US"/>
        </w:rPr>
        <w:t xml:space="preserve"> S., Park</w:t>
      </w:r>
      <w:r w:rsidR="007B0C10">
        <w:rPr>
          <w:rFonts w:eastAsia="Calibri"/>
          <w:lang w:val="en-GB" w:eastAsia="en-US"/>
        </w:rPr>
        <w:t>,</w:t>
      </w:r>
      <w:r w:rsidRPr="006F2E08">
        <w:rPr>
          <w:rFonts w:eastAsia="Calibri"/>
          <w:lang w:val="en-GB" w:eastAsia="en-US"/>
        </w:rPr>
        <w:t xml:space="preserve"> S., Kim</w:t>
      </w:r>
      <w:r w:rsidR="007B0C10">
        <w:rPr>
          <w:rFonts w:eastAsia="Calibri"/>
          <w:lang w:val="en-GB" w:eastAsia="en-US"/>
        </w:rPr>
        <w:t>,</w:t>
      </w:r>
      <w:r w:rsidRPr="006F2E08">
        <w:rPr>
          <w:rFonts w:eastAsia="Calibri"/>
          <w:lang w:val="en-GB" w:eastAsia="en-US"/>
        </w:rPr>
        <w:t xml:space="preserve"> D.-S., Kanade</w:t>
      </w:r>
      <w:r w:rsidR="007B0C10">
        <w:rPr>
          <w:rFonts w:eastAsia="Calibri"/>
          <w:lang w:val="en-GB" w:eastAsia="en-US"/>
        </w:rPr>
        <w:t>,</w:t>
      </w:r>
      <w:r w:rsidRPr="006F2E08">
        <w:rPr>
          <w:rFonts w:eastAsia="Calibri"/>
          <w:lang w:val="en-GB" w:eastAsia="en-US"/>
        </w:rPr>
        <w:t xml:space="preserve"> P.P., Lee</w:t>
      </w:r>
      <w:r w:rsidR="007B0C10">
        <w:rPr>
          <w:rFonts w:eastAsia="Calibri"/>
          <w:lang w:val="en-GB" w:eastAsia="en-US"/>
        </w:rPr>
        <w:t>,</w:t>
      </w:r>
      <w:r w:rsidRPr="006F2E08">
        <w:rPr>
          <w:rFonts w:eastAsia="Calibri"/>
          <w:lang w:val="en-GB" w:eastAsia="en-US"/>
        </w:rPr>
        <w:t xml:space="preserve"> S., Lee</w:t>
      </w:r>
      <w:r w:rsidR="007B0C10">
        <w:rPr>
          <w:rFonts w:eastAsia="Calibri"/>
          <w:lang w:val="en-GB" w:eastAsia="en-US"/>
        </w:rPr>
        <w:t>,</w:t>
      </w:r>
      <w:r w:rsidRPr="006F2E08">
        <w:rPr>
          <w:rFonts w:eastAsia="Calibri"/>
          <w:lang w:val="en-GB" w:eastAsia="en-US"/>
        </w:rPr>
        <w:t xml:space="preserve"> D-W., Kim </w:t>
      </w:r>
      <w:r w:rsidR="007B0C10">
        <w:rPr>
          <w:rFonts w:eastAsia="Calibri"/>
          <w:lang w:val="en-GB" w:eastAsia="en-US"/>
        </w:rPr>
        <w:t>,</w:t>
      </w:r>
      <w:r w:rsidRPr="006F2E08">
        <w:rPr>
          <w:rFonts w:eastAsia="Calibri"/>
          <w:lang w:val="en-GB" w:eastAsia="en-US"/>
        </w:rPr>
        <w:t xml:space="preserve">E-S. (2021). Exposure to </w:t>
      </w:r>
      <w:proofErr w:type="spellStart"/>
      <w:r w:rsidRPr="006F2E08">
        <w:rPr>
          <w:rFonts w:eastAsia="Calibri"/>
          <w:lang w:val="en-GB" w:eastAsia="en-US"/>
        </w:rPr>
        <w:t>nanoplastics</w:t>
      </w:r>
      <w:proofErr w:type="spellEnd"/>
      <w:r w:rsidRPr="006F2E08">
        <w:rPr>
          <w:rFonts w:eastAsia="Calibri"/>
          <w:lang w:val="en-GB" w:eastAsia="en-US"/>
        </w:rPr>
        <w:t xml:space="preserve"> impairs collective contractility of neonatal cardiomyocytes under electrical synchroni</w:t>
      </w:r>
      <w:r w:rsidR="00405F9E">
        <w:rPr>
          <w:rFonts w:eastAsia="Calibri"/>
          <w:lang w:val="en-GB" w:eastAsia="en-US"/>
        </w:rPr>
        <w:t>s</w:t>
      </w:r>
      <w:r w:rsidRPr="006F2E08">
        <w:rPr>
          <w:rFonts w:eastAsia="Calibri"/>
          <w:lang w:val="en-GB" w:eastAsia="en-US"/>
        </w:rPr>
        <w:t xml:space="preserve">ation. </w:t>
      </w:r>
      <w:r w:rsidRPr="007B0C10">
        <w:rPr>
          <w:rFonts w:eastAsia="Calibri"/>
          <w:i/>
          <w:lang w:val="en-GB" w:eastAsia="en-US"/>
        </w:rPr>
        <w:t>Biomaterials</w:t>
      </w:r>
      <w:r w:rsidRPr="006F2E08">
        <w:rPr>
          <w:rFonts w:eastAsia="Calibri"/>
          <w:iCs/>
          <w:lang w:val="en-GB" w:eastAsia="en-US"/>
        </w:rPr>
        <w:t>,</w:t>
      </w:r>
      <w:r w:rsidRPr="006F2E08">
        <w:rPr>
          <w:rFonts w:eastAsia="Calibri"/>
          <w:lang w:val="en-GB" w:eastAsia="en-US"/>
        </w:rPr>
        <w:t xml:space="preserve"> </w:t>
      </w:r>
      <w:r w:rsidRPr="007B0C10">
        <w:rPr>
          <w:rFonts w:eastAsia="Calibri"/>
          <w:i/>
          <w:iCs/>
          <w:lang w:val="en-GB" w:eastAsia="en-US"/>
        </w:rPr>
        <w:t>278</w:t>
      </w:r>
      <w:r w:rsidRPr="006F2E08">
        <w:rPr>
          <w:rFonts w:eastAsia="Calibri"/>
          <w:lang w:val="en-GB" w:eastAsia="en-US"/>
        </w:rPr>
        <w:t>, 121175, 1-16. https://doi.org/10.1016/j.biomaterials.2021.121175</w:t>
      </w:r>
    </w:p>
    <w:p w14:paraId="6E2CB86A" w14:textId="347FA950" w:rsidR="00FA1750" w:rsidRPr="006F2E08" w:rsidRDefault="00FA1750" w:rsidP="006F2E08">
      <w:pPr>
        <w:pStyle w:val="Rlit"/>
        <w:rPr>
          <w:rFonts w:eastAsia="Calibri"/>
          <w:lang w:val="en-GB" w:eastAsia="en-US"/>
        </w:rPr>
      </w:pPr>
      <w:proofErr w:type="spellStart"/>
      <w:r w:rsidRPr="006F2E08">
        <w:rPr>
          <w:rFonts w:eastAsia="Calibri"/>
          <w:lang w:val="en-GB" w:eastAsia="en-US"/>
        </w:rPr>
        <w:t>Schwaferts</w:t>
      </w:r>
      <w:proofErr w:type="spellEnd"/>
      <w:r w:rsidR="007B0C10">
        <w:rPr>
          <w:rFonts w:eastAsia="Calibri"/>
          <w:lang w:val="en-GB" w:eastAsia="en-US"/>
        </w:rPr>
        <w:t>,</w:t>
      </w:r>
      <w:r w:rsidRPr="006F2E08">
        <w:rPr>
          <w:rFonts w:eastAsia="Calibri"/>
          <w:lang w:val="en-GB" w:eastAsia="en-US"/>
        </w:rPr>
        <w:t xml:space="preserve"> C., Niessner</w:t>
      </w:r>
      <w:r w:rsidR="007B0C10">
        <w:rPr>
          <w:rFonts w:eastAsia="Calibri"/>
          <w:lang w:val="en-GB" w:eastAsia="en-US"/>
        </w:rPr>
        <w:t>,</w:t>
      </w:r>
      <w:r w:rsidRPr="006F2E08">
        <w:rPr>
          <w:rFonts w:eastAsia="Calibri"/>
          <w:lang w:val="en-GB" w:eastAsia="en-US"/>
        </w:rPr>
        <w:t xml:space="preserve"> R., Elsner</w:t>
      </w:r>
      <w:r w:rsidR="007B0C10">
        <w:rPr>
          <w:rFonts w:eastAsia="Calibri"/>
          <w:lang w:val="en-GB" w:eastAsia="en-US"/>
        </w:rPr>
        <w:t>,</w:t>
      </w:r>
      <w:r w:rsidRPr="006F2E08">
        <w:rPr>
          <w:rFonts w:eastAsia="Calibri"/>
          <w:lang w:val="en-GB" w:eastAsia="en-US"/>
        </w:rPr>
        <w:t xml:space="preserve"> M., </w:t>
      </w:r>
      <w:proofErr w:type="spellStart"/>
      <w:r w:rsidRPr="006F2E08">
        <w:rPr>
          <w:rFonts w:eastAsia="Calibri"/>
          <w:lang w:val="en-GB" w:eastAsia="en-US"/>
        </w:rPr>
        <w:t>Ivleva</w:t>
      </w:r>
      <w:proofErr w:type="spellEnd"/>
      <w:r w:rsidR="007B0C10">
        <w:rPr>
          <w:rFonts w:eastAsia="Calibri"/>
          <w:lang w:val="en-GB" w:eastAsia="en-US"/>
        </w:rPr>
        <w:t>,</w:t>
      </w:r>
      <w:r w:rsidRPr="006F2E08">
        <w:rPr>
          <w:rFonts w:eastAsia="Calibri"/>
          <w:lang w:val="en-GB" w:eastAsia="en-US"/>
        </w:rPr>
        <w:t xml:space="preserve"> N.P. (2019). Methods for the analysis of </w:t>
      </w:r>
      <w:proofErr w:type="spellStart"/>
      <w:r w:rsidRPr="006F2E08">
        <w:rPr>
          <w:rFonts w:eastAsia="Calibri"/>
          <w:lang w:val="en-GB" w:eastAsia="en-US"/>
        </w:rPr>
        <w:t>submicrometer</w:t>
      </w:r>
      <w:proofErr w:type="spellEnd"/>
      <w:r w:rsidRPr="006F2E08">
        <w:rPr>
          <w:rFonts w:eastAsia="Calibri"/>
          <w:lang w:val="en-GB" w:eastAsia="en-US"/>
        </w:rPr>
        <w:t xml:space="preserve">- and </w:t>
      </w:r>
      <w:proofErr w:type="spellStart"/>
      <w:r w:rsidRPr="006F2E08">
        <w:rPr>
          <w:rFonts w:eastAsia="Calibri"/>
          <w:lang w:val="en-GB" w:eastAsia="en-US"/>
        </w:rPr>
        <w:t>nanoplastic</w:t>
      </w:r>
      <w:proofErr w:type="spellEnd"/>
      <w:r w:rsidRPr="006F2E08">
        <w:rPr>
          <w:rFonts w:eastAsia="Calibri"/>
          <w:lang w:val="en-GB" w:eastAsia="en-US"/>
        </w:rPr>
        <w:t xml:space="preserve"> particles in the environment. </w:t>
      </w:r>
      <w:r w:rsidRPr="007B0C10">
        <w:rPr>
          <w:rFonts w:eastAsia="Calibri"/>
          <w:i/>
          <w:lang w:val="en-GB" w:eastAsia="en-US"/>
        </w:rPr>
        <w:t>Trends in Analytical Chemistry</w:t>
      </w:r>
      <w:r w:rsidRPr="006F2E08">
        <w:rPr>
          <w:rFonts w:eastAsia="Calibri"/>
          <w:lang w:val="en-GB" w:eastAsia="en-US"/>
        </w:rPr>
        <w:t xml:space="preserve">, </w:t>
      </w:r>
      <w:r w:rsidRPr="007B0C10">
        <w:rPr>
          <w:rFonts w:eastAsia="Calibri"/>
          <w:i/>
          <w:iCs/>
          <w:lang w:val="en-GB" w:eastAsia="en-US"/>
        </w:rPr>
        <w:t>112</w:t>
      </w:r>
      <w:r w:rsidRPr="006F2E08">
        <w:rPr>
          <w:rFonts w:eastAsia="Calibri"/>
          <w:lang w:val="en-GB" w:eastAsia="en-US"/>
        </w:rPr>
        <w:t>, 52-65. https://doi.org/10.1016/j.trac.2018.12.014</w:t>
      </w:r>
    </w:p>
    <w:p w14:paraId="44ABA32F" w14:textId="13B998D0" w:rsidR="00FA1750" w:rsidRPr="006F2E08" w:rsidRDefault="00FA1750" w:rsidP="006F2E08">
      <w:pPr>
        <w:pStyle w:val="Rlit"/>
        <w:rPr>
          <w:rFonts w:eastAsia="Calibri"/>
          <w:lang w:val="en-GB" w:eastAsia="en-US"/>
        </w:rPr>
      </w:pPr>
      <w:proofErr w:type="spellStart"/>
      <w:r w:rsidRPr="006F2E08">
        <w:rPr>
          <w:rFonts w:eastAsia="Calibri"/>
          <w:lang w:val="en-GB" w:eastAsia="en-US"/>
        </w:rPr>
        <w:t>Shamsuyeva</w:t>
      </w:r>
      <w:proofErr w:type="spellEnd"/>
      <w:r w:rsidR="007B0C10">
        <w:rPr>
          <w:rFonts w:eastAsia="Calibri"/>
          <w:lang w:val="en-GB" w:eastAsia="en-US"/>
        </w:rPr>
        <w:t>,</w:t>
      </w:r>
      <w:r w:rsidRPr="006F2E08">
        <w:rPr>
          <w:rFonts w:eastAsia="Calibri"/>
          <w:lang w:val="en-GB" w:eastAsia="en-US"/>
        </w:rPr>
        <w:t xml:space="preserve"> M., Endres</w:t>
      </w:r>
      <w:r w:rsidR="007B0C10">
        <w:rPr>
          <w:rFonts w:eastAsia="Calibri"/>
          <w:lang w:val="en-GB" w:eastAsia="en-US"/>
        </w:rPr>
        <w:t>,</w:t>
      </w:r>
      <w:r w:rsidRPr="006F2E08">
        <w:rPr>
          <w:rFonts w:eastAsia="Calibri"/>
          <w:lang w:val="en-GB" w:eastAsia="en-US"/>
        </w:rPr>
        <w:t xml:space="preserve"> H-J. (2021). Plastics in the context of the circular economy and sustainable plastics recycling: Comprehensive review on research development, standardi</w:t>
      </w:r>
      <w:r w:rsidR="00405F9E">
        <w:rPr>
          <w:rFonts w:eastAsia="Calibri"/>
          <w:lang w:val="en-GB" w:eastAsia="en-US"/>
        </w:rPr>
        <w:t>s</w:t>
      </w:r>
      <w:r w:rsidRPr="006F2E08">
        <w:rPr>
          <w:rFonts w:eastAsia="Calibri"/>
          <w:lang w:val="en-GB" w:eastAsia="en-US"/>
        </w:rPr>
        <w:t xml:space="preserve">ation and market. </w:t>
      </w:r>
      <w:r w:rsidRPr="007B0C10">
        <w:rPr>
          <w:rFonts w:eastAsia="Calibri"/>
          <w:i/>
          <w:iCs/>
          <w:lang w:val="en-GB" w:eastAsia="en-US"/>
        </w:rPr>
        <w:t>Composites Part C: Open Access 6</w:t>
      </w:r>
      <w:r w:rsidRPr="006F2E08">
        <w:rPr>
          <w:rFonts w:eastAsia="Calibri"/>
          <w:lang w:val="en-GB" w:eastAsia="en-US"/>
        </w:rPr>
        <w:t xml:space="preserve">, </w:t>
      </w:r>
      <w:r w:rsidRPr="007B0C10">
        <w:rPr>
          <w:rFonts w:eastAsia="Calibri"/>
          <w:i/>
          <w:iCs/>
          <w:lang w:val="en-GB" w:eastAsia="en-US"/>
        </w:rPr>
        <w:t>100168</w:t>
      </w:r>
      <w:r w:rsidRPr="006F2E08">
        <w:rPr>
          <w:rFonts w:eastAsia="Calibri"/>
          <w:lang w:val="en-GB" w:eastAsia="en-US"/>
        </w:rPr>
        <w:t>, 1-16. https://doi.org/10.1016/j.jcomc.2021.100168</w:t>
      </w:r>
    </w:p>
    <w:p w14:paraId="07A0127A" w14:textId="3769A107" w:rsidR="00FA1750" w:rsidRPr="006F2E08" w:rsidRDefault="00FA1750" w:rsidP="007B0C10">
      <w:pPr>
        <w:pStyle w:val="Rlit"/>
        <w:jc w:val="left"/>
        <w:rPr>
          <w:rFonts w:eastAsia="Calibri"/>
          <w:lang w:val="en-GB" w:eastAsia="en-US"/>
        </w:rPr>
      </w:pPr>
      <w:r w:rsidRPr="006F2E08">
        <w:rPr>
          <w:rFonts w:eastAsia="Calibri"/>
          <w:lang w:val="en-GB" w:eastAsia="en-US"/>
        </w:rPr>
        <w:t>Shen</w:t>
      </w:r>
      <w:r w:rsidR="007B0C10">
        <w:rPr>
          <w:rFonts w:eastAsia="Calibri"/>
          <w:lang w:val="en-GB" w:eastAsia="en-US"/>
        </w:rPr>
        <w:t>,</w:t>
      </w:r>
      <w:r w:rsidRPr="006F2E08">
        <w:rPr>
          <w:rFonts w:eastAsia="Calibri"/>
          <w:lang w:val="en-GB" w:eastAsia="en-US"/>
        </w:rPr>
        <w:t xml:space="preserve"> M., Zhang</w:t>
      </w:r>
      <w:r w:rsidR="007B0C10">
        <w:rPr>
          <w:rFonts w:eastAsia="Calibri"/>
          <w:lang w:val="en-GB" w:eastAsia="en-US"/>
        </w:rPr>
        <w:t>,</w:t>
      </w:r>
      <w:r w:rsidRPr="006F2E08">
        <w:rPr>
          <w:rFonts w:eastAsia="Calibri"/>
          <w:lang w:val="en-GB" w:eastAsia="en-US"/>
        </w:rPr>
        <w:t xml:space="preserve"> Y., Zhu</w:t>
      </w:r>
      <w:r w:rsidR="007B0C10">
        <w:rPr>
          <w:rFonts w:eastAsia="Calibri"/>
          <w:lang w:val="en-GB" w:eastAsia="en-US"/>
        </w:rPr>
        <w:t>,</w:t>
      </w:r>
      <w:r w:rsidRPr="006F2E08">
        <w:rPr>
          <w:rFonts w:eastAsia="Calibri"/>
          <w:lang w:val="en-GB" w:eastAsia="en-US"/>
        </w:rPr>
        <w:t xml:space="preserve"> Y., Song</w:t>
      </w:r>
      <w:r w:rsidR="007B0C10">
        <w:rPr>
          <w:rFonts w:eastAsia="Calibri"/>
          <w:lang w:val="en-GB" w:eastAsia="en-US"/>
        </w:rPr>
        <w:t>,</w:t>
      </w:r>
      <w:r w:rsidRPr="006F2E08">
        <w:rPr>
          <w:rFonts w:eastAsia="Calibri"/>
          <w:lang w:val="en-GB" w:eastAsia="en-US"/>
        </w:rPr>
        <w:t xml:space="preserve"> B., Zeng</w:t>
      </w:r>
      <w:r w:rsidR="007B0C10">
        <w:rPr>
          <w:rFonts w:eastAsia="Calibri"/>
          <w:lang w:val="en-GB" w:eastAsia="en-US"/>
        </w:rPr>
        <w:t>,</w:t>
      </w:r>
      <w:r w:rsidRPr="006F2E08">
        <w:rPr>
          <w:rFonts w:eastAsia="Calibri"/>
          <w:lang w:val="en-GB" w:eastAsia="en-US"/>
        </w:rPr>
        <w:t xml:space="preserve"> G., Hu</w:t>
      </w:r>
      <w:r w:rsidR="007B0C10">
        <w:rPr>
          <w:rFonts w:eastAsia="Calibri"/>
          <w:lang w:val="en-GB" w:eastAsia="en-US"/>
        </w:rPr>
        <w:t>,</w:t>
      </w:r>
      <w:r w:rsidRPr="006F2E08">
        <w:rPr>
          <w:rFonts w:eastAsia="Calibri"/>
          <w:lang w:val="en-GB" w:eastAsia="en-US"/>
        </w:rPr>
        <w:t xml:space="preserve"> D., Wen</w:t>
      </w:r>
      <w:r w:rsidR="007B0C10">
        <w:rPr>
          <w:rFonts w:eastAsia="Calibri"/>
          <w:lang w:val="en-GB" w:eastAsia="en-US"/>
        </w:rPr>
        <w:t>,</w:t>
      </w:r>
      <w:r w:rsidRPr="006F2E08">
        <w:rPr>
          <w:rFonts w:eastAsia="Calibri"/>
          <w:lang w:val="en-GB" w:eastAsia="en-US"/>
        </w:rPr>
        <w:t xml:space="preserve"> X., Ren</w:t>
      </w:r>
      <w:r w:rsidR="007B0C10">
        <w:rPr>
          <w:rFonts w:eastAsia="Calibri"/>
          <w:lang w:val="en-GB" w:eastAsia="en-US"/>
        </w:rPr>
        <w:t>,</w:t>
      </w:r>
      <w:r w:rsidRPr="006F2E08">
        <w:rPr>
          <w:rFonts w:eastAsia="Calibri"/>
          <w:lang w:val="en-GB" w:eastAsia="en-US"/>
        </w:rPr>
        <w:t xml:space="preserve"> X. (2019). Recent advances in toxicological research of </w:t>
      </w:r>
      <w:proofErr w:type="spellStart"/>
      <w:r w:rsidRPr="006F2E08">
        <w:rPr>
          <w:rFonts w:eastAsia="Calibri"/>
          <w:lang w:val="en-GB" w:eastAsia="en-US"/>
        </w:rPr>
        <w:t>nanoplastics</w:t>
      </w:r>
      <w:proofErr w:type="spellEnd"/>
      <w:r w:rsidRPr="006F2E08">
        <w:rPr>
          <w:rFonts w:eastAsia="Calibri"/>
          <w:lang w:val="en-GB" w:eastAsia="en-US"/>
        </w:rPr>
        <w:t xml:space="preserve"> in the environment: A review. </w:t>
      </w:r>
      <w:r w:rsidRPr="007B0C10">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7B0C10">
        <w:rPr>
          <w:rFonts w:eastAsia="Calibri"/>
          <w:i/>
          <w:iCs/>
          <w:lang w:val="en-GB" w:eastAsia="en-US"/>
        </w:rPr>
        <w:t>252</w:t>
      </w:r>
      <w:r w:rsidRPr="006F2E08">
        <w:rPr>
          <w:rFonts w:eastAsia="Calibri"/>
          <w:lang w:val="en-GB" w:eastAsia="en-US"/>
        </w:rPr>
        <w:t>, 511-521. https://doi.org/10.1016/j.envpol.2019.05.102</w:t>
      </w:r>
    </w:p>
    <w:p w14:paraId="22F181FA" w14:textId="5856AB59" w:rsidR="00FA1750" w:rsidRPr="006F2E08" w:rsidRDefault="00FA1750" w:rsidP="006F2E08">
      <w:pPr>
        <w:pStyle w:val="Rlit"/>
        <w:rPr>
          <w:rFonts w:eastAsia="Calibri"/>
          <w:u w:val="single"/>
          <w:lang w:val="en-GB" w:eastAsia="en-US"/>
        </w:rPr>
      </w:pPr>
      <w:r w:rsidRPr="006F2E08">
        <w:rPr>
          <w:rFonts w:eastAsia="Calibri"/>
          <w:lang w:val="en-GB" w:eastAsia="en-US"/>
        </w:rPr>
        <w:t>Stapleton</w:t>
      </w:r>
      <w:r w:rsidR="007B0C10">
        <w:rPr>
          <w:rFonts w:eastAsia="Calibri"/>
          <w:lang w:val="en-GB" w:eastAsia="en-US"/>
        </w:rPr>
        <w:t>,</w:t>
      </w:r>
      <w:r w:rsidRPr="006F2E08">
        <w:rPr>
          <w:rFonts w:eastAsia="Calibri"/>
          <w:lang w:val="en-GB" w:eastAsia="en-US"/>
        </w:rPr>
        <w:t xml:space="preserve"> P. (2021). Micro-and </w:t>
      </w:r>
      <w:proofErr w:type="spellStart"/>
      <w:r w:rsidRPr="006F2E08">
        <w:rPr>
          <w:rFonts w:eastAsia="Calibri"/>
          <w:lang w:val="en-GB" w:eastAsia="en-US"/>
        </w:rPr>
        <w:t>nanoplastic</w:t>
      </w:r>
      <w:proofErr w:type="spellEnd"/>
      <w:r w:rsidRPr="006F2E08">
        <w:rPr>
          <w:rFonts w:eastAsia="Calibri"/>
          <w:lang w:val="en-GB" w:eastAsia="en-US"/>
        </w:rPr>
        <w:t xml:space="preserve"> transfer, accumulation, and toxicity in humans. </w:t>
      </w:r>
      <w:r w:rsidRPr="007B0C10">
        <w:rPr>
          <w:rFonts w:eastAsia="Calibri"/>
          <w:i/>
          <w:lang w:val="en-GB" w:eastAsia="en-US"/>
        </w:rPr>
        <w:t>Current Opinion in Toxicology</w:t>
      </w:r>
      <w:r w:rsidRPr="006F2E08">
        <w:rPr>
          <w:rFonts w:eastAsia="Calibri"/>
          <w:lang w:val="en-GB" w:eastAsia="en-US"/>
        </w:rPr>
        <w:t xml:space="preserve">, </w:t>
      </w:r>
      <w:r w:rsidRPr="007B0C10">
        <w:rPr>
          <w:rFonts w:eastAsia="Calibri"/>
          <w:i/>
          <w:iCs/>
          <w:lang w:val="en-GB" w:eastAsia="en-US"/>
        </w:rPr>
        <w:t>28</w:t>
      </w:r>
      <w:r w:rsidRPr="006F2E08">
        <w:rPr>
          <w:rFonts w:eastAsia="Calibri"/>
          <w:lang w:val="en-GB" w:eastAsia="en-US"/>
        </w:rPr>
        <w:t xml:space="preserve">, 62-69. </w:t>
      </w:r>
      <w:hyperlink r:id="rId20" w:history="1">
        <w:r w:rsidRPr="006F2E08">
          <w:rPr>
            <w:rFonts w:eastAsia="Calibri"/>
            <w:lang w:val="en-GB" w:eastAsia="en-US"/>
          </w:rPr>
          <w:t>https://doi.org/10.1016/j.cotox.2021.10.001</w:t>
        </w:r>
      </w:hyperlink>
    </w:p>
    <w:p w14:paraId="26141B61" w14:textId="084ED0C6" w:rsidR="00FA1750" w:rsidRPr="006F2E08" w:rsidRDefault="00FA1750" w:rsidP="007B0C10">
      <w:pPr>
        <w:pStyle w:val="Rlit"/>
        <w:jc w:val="left"/>
        <w:rPr>
          <w:rFonts w:eastAsia="Calibri"/>
          <w:lang w:val="en-GB" w:eastAsia="en-US"/>
        </w:rPr>
      </w:pPr>
      <w:proofErr w:type="spellStart"/>
      <w:r w:rsidRPr="006F2E08">
        <w:rPr>
          <w:rFonts w:eastAsia="Calibri"/>
          <w:lang w:val="en-GB" w:eastAsia="en-US"/>
        </w:rPr>
        <w:t>Sutisna</w:t>
      </w:r>
      <w:proofErr w:type="spellEnd"/>
      <w:r w:rsidR="007B0C10">
        <w:rPr>
          <w:rFonts w:eastAsia="Calibri"/>
          <w:lang w:val="en-GB" w:eastAsia="en-US"/>
        </w:rPr>
        <w:t>,</w:t>
      </w:r>
      <w:r w:rsidRPr="006F2E08">
        <w:rPr>
          <w:rFonts w:eastAsia="Calibri"/>
          <w:lang w:val="en-GB" w:eastAsia="en-US"/>
        </w:rPr>
        <w:t xml:space="preserve"> M.R., Wibowo</w:t>
      </w:r>
      <w:r w:rsidR="007B0C10">
        <w:rPr>
          <w:rFonts w:eastAsia="Calibri"/>
          <w:lang w:val="en-GB" w:eastAsia="en-US"/>
        </w:rPr>
        <w:t>,</w:t>
      </w:r>
      <w:r w:rsidRPr="006F2E08">
        <w:rPr>
          <w:rFonts w:eastAsia="Calibri"/>
          <w:lang w:val="en-GB" w:eastAsia="en-US"/>
        </w:rPr>
        <w:t xml:space="preserve"> E., </w:t>
      </w:r>
      <w:proofErr w:type="spellStart"/>
      <w:r w:rsidRPr="006F2E08">
        <w:rPr>
          <w:rFonts w:eastAsia="Calibri"/>
          <w:lang w:val="en-GB" w:eastAsia="en-US"/>
        </w:rPr>
        <w:t>Khairurrijal</w:t>
      </w:r>
      <w:proofErr w:type="spellEnd"/>
      <w:r w:rsidRPr="006F2E08">
        <w:rPr>
          <w:rFonts w:eastAsia="Calibri"/>
          <w:lang w:val="en-GB" w:eastAsia="en-US"/>
        </w:rPr>
        <w:t xml:space="preserve"> M.A. (2017). Coating TiO</w:t>
      </w:r>
      <w:r w:rsidRPr="007B0C10">
        <w:rPr>
          <w:rFonts w:eastAsia="Calibri"/>
          <w:vertAlign w:val="subscript"/>
          <w:lang w:val="en-GB" w:eastAsia="en-US"/>
        </w:rPr>
        <w:t>2</w:t>
      </w:r>
      <w:r w:rsidRPr="006F2E08">
        <w:rPr>
          <w:rFonts w:eastAsia="Calibri"/>
          <w:lang w:val="en-GB" w:eastAsia="en-US"/>
        </w:rPr>
        <w:t xml:space="preserve"> nanoparticles on the surface of transparent plastic granules using combined electrostatic and heating methods for the photocatalytic degradation of organic pollutants in water. </w:t>
      </w:r>
      <w:r w:rsidRPr="007B0C10">
        <w:rPr>
          <w:rFonts w:eastAsia="Calibri"/>
          <w:i/>
          <w:iCs/>
          <w:lang w:val="en-GB" w:eastAsia="en-US"/>
        </w:rPr>
        <w:t>Environmental Nanotechnology, Monitoring &amp; Management</w:t>
      </w:r>
      <w:r w:rsidRPr="006F2E08">
        <w:rPr>
          <w:rFonts w:eastAsia="Calibri"/>
          <w:lang w:val="en-GB" w:eastAsia="en-US"/>
        </w:rPr>
        <w:t xml:space="preserve">, </w:t>
      </w:r>
      <w:r w:rsidRPr="007B0C10">
        <w:rPr>
          <w:rFonts w:eastAsia="Calibri"/>
          <w:i/>
          <w:iCs/>
          <w:lang w:val="en-GB" w:eastAsia="en-US"/>
        </w:rPr>
        <w:t>8</w:t>
      </w:r>
      <w:r w:rsidRPr="006F2E08">
        <w:rPr>
          <w:rFonts w:eastAsia="Calibri"/>
          <w:lang w:val="en-GB" w:eastAsia="en-US"/>
        </w:rPr>
        <w:t>, 1-10. https://doi.org/10.1016/j.enmm.2017.04.002</w:t>
      </w:r>
    </w:p>
    <w:p w14:paraId="6C6B1D9F" w14:textId="5DEDC178" w:rsidR="00FA1750" w:rsidRPr="006F2E08" w:rsidRDefault="00FA1750" w:rsidP="006F2E08">
      <w:pPr>
        <w:pStyle w:val="Rlit"/>
        <w:rPr>
          <w:rFonts w:eastAsia="Calibri"/>
          <w:lang w:val="en-GB" w:eastAsia="en-US"/>
        </w:rPr>
      </w:pPr>
      <w:r w:rsidRPr="006F2E08">
        <w:rPr>
          <w:rFonts w:eastAsia="Calibri"/>
          <w:lang w:val="en-GB" w:eastAsia="en-US"/>
        </w:rPr>
        <w:t>Vasiliev</w:t>
      </w:r>
      <w:r w:rsidR="007B0C10">
        <w:rPr>
          <w:rFonts w:eastAsia="Calibri"/>
          <w:lang w:val="en-GB" w:eastAsia="en-US"/>
        </w:rPr>
        <w:t>,</w:t>
      </w:r>
      <w:r w:rsidRPr="006F2E08">
        <w:rPr>
          <w:rFonts w:eastAsia="Calibri"/>
          <w:lang w:val="en-GB" w:eastAsia="en-US"/>
        </w:rPr>
        <w:t xml:space="preserve"> L., </w:t>
      </w:r>
      <w:proofErr w:type="spellStart"/>
      <w:r w:rsidRPr="006F2E08">
        <w:rPr>
          <w:rFonts w:eastAsia="Calibri"/>
          <w:lang w:val="en-GB" w:eastAsia="en-US"/>
        </w:rPr>
        <w:t>Grakovich</w:t>
      </w:r>
      <w:proofErr w:type="spellEnd"/>
      <w:r w:rsidR="007B0C10">
        <w:rPr>
          <w:rFonts w:eastAsia="Calibri"/>
          <w:lang w:val="en-GB" w:eastAsia="en-US"/>
        </w:rPr>
        <w:t>,</w:t>
      </w:r>
      <w:r w:rsidRPr="006F2E08">
        <w:rPr>
          <w:rFonts w:eastAsia="Calibri"/>
          <w:lang w:val="en-GB" w:eastAsia="en-US"/>
        </w:rPr>
        <w:t xml:space="preserve"> L., </w:t>
      </w:r>
      <w:proofErr w:type="spellStart"/>
      <w:r w:rsidRPr="006F2E08">
        <w:rPr>
          <w:rFonts w:eastAsia="Calibri"/>
          <w:lang w:val="en-GB" w:eastAsia="en-US"/>
        </w:rPr>
        <w:t>Rabetsky</w:t>
      </w:r>
      <w:proofErr w:type="spellEnd"/>
      <w:r w:rsidR="007B0C10">
        <w:rPr>
          <w:rFonts w:eastAsia="Calibri"/>
          <w:lang w:val="en-GB" w:eastAsia="en-US"/>
        </w:rPr>
        <w:t>,</w:t>
      </w:r>
      <w:r w:rsidRPr="006F2E08">
        <w:rPr>
          <w:rFonts w:eastAsia="Calibri"/>
          <w:lang w:val="en-GB" w:eastAsia="en-US"/>
        </w:rPr>
        <w:t xml:space="preserve"> M., Zhuravlyov</w:t>
      </w:r>
      <w:r w:rsidR="007B0C10">
        <w:rPr>
          <w:rFonts w:eastAsia="Calibri"/>
          <w:lang w:val="en-GB" w:eastAsia="en-US"/>
        </w:rPr>
        <w:t>,</w:t>
      </w:r>
      <w:r w:rsidRPr="006F2E08">
        <w:rPr>
          <w:rFonts w:eastAsia="Calibri"/>
          <w:lang w:val="en-GB" w:eastAsia="en-US"/>
        </w:rPr>
        <w:t xml:space="preserve"> A., Vassiliev</w:t>
      </w:r>
      <w:r w:rsidR="007B0C10">
        <w:rPr>
          <w:rFonts w:eastAsia="Calibri"/>
          <w:lang w:val="en-GB" w:eastAsia="en-US"/>
        </w:rPr>
        <w:t>,</w:t>
      </w:r>
      <w:r w:rsidRPr="006F2E08">
        <w:rPr>
          <w:rFonts w:eastAsia="Calibri"/>
          <w:lang w:val="en-GB" w:eastAsia="en-US"/>
        </w:rPr>
        <w:t xml:space="preserve"> Jr. L. (2018). Flat polymer loop thermosyphons. </w:t>
      </w:r>
      <w:r w:rsidRPr="007B0C10">
        <w:rPr>
          <w:rFonts w:eastAsia="Calibri"/>
          <w:i/>
          <w:iCs/>
          <w:lang w:val="en-GB" w:eastAsia="en-US"/>
        </w:rPr>
        <w:t>Archives of Thermodynamics</w:t>
      </w:r>
      <w:r w:rsidRPr="006F2E08">
        <w:rPr>
          <w:rFonts w:eastAsia="Calibri"/>
          <w:lang w:val="en-GB" w:eastAsia="en-US"/>
        </w:rPr>
        <w:t xml:space="preserve">, </w:t>
      </w:r>
      <w:r w:rsidRPr="007B0C10">
        <w:rPr>
          <w:rFonts w:eastAsia="Calibri"/>
          <w:i/>
          <w:iCs/>
          <w:lang w:val="en-GB" w:eastAsia="en-US"/>
        </w:rPr>
        <w:t>39</w:t>
      </w:r>
      <w:r w:rsidRPr="006F2E08">
        <w:rPr>
          <w:rFonts w:eastAsia="Calibri"/>
          <w:lang w:val="en-GB" w:eastAsia="en-US"/>
        </w:rPr>
        <w:t>(1). https://doi.org/75-90. 10.1515/aoter-2018-0004</w:t>
      </w:r>
    </w:p>
    <w:p w14:paraId="645C3E3E" w14:textId="43B9A924" w:rsidR="00FA1750" w:rsidRPr="006F2E08" w:rsidRDefault="00FA1750" w:rsidP="006F2E08">
      <w:pPr>
        <w:pStyle w:val="Rlit"/>
        <w:rPr>
          <w:rFonts w:eastAsia="Calibri"/>
          <w:lang w:val="en-GB" w:eastAsia="en-US"/>
        </w:rPr>
      </w:pPr>
      <w:r w:rsidRPr="0035744A">
        <w:rPr>
          <w:rFonts w:eastAsia="Calibri"/>
          <w:spacing w:val="-2"/>
          <w:lang w:val="en-GB" w:eastAsia="en-US"/>
        </w:rPr>
        <w:t>Wang</w:t>
      </w:r>
      <w:r w:rsidR="0035744A" w:rsidRPr="0035744A">
        <w:rPr>
          <w:rFonts w:eastAsia="Calibri"/>
          <w:spacing w:val="-2"/>
          <w:lang w:val="en-GB" w:eastAsia="en-US"/>
        </w:rPr>
        <w:t>,</w:t>
      </w:r>
      <w:r w:rsidRPr="0035744A">
        <w:rPr>
          <w:rFonts w:eastAsia="Calibri"/>
          <w:spacing w:val="-2"/>
          <w:lang w:val="en-GB" w:eastAsia="en-US"/>
        </w:rPr>
        <w:t xml:space="preserve"> Z., Saade</w:t>
      </w:r>
      <w:r w:rsidR="0035744A" w:rsidRPr="0035744A">
        <w:rPr>
          <w:rFonts w:eastAsia="Calibri"/>
          <w:spacing w:val="-2"/>
          <w:lang w:val="en-GB" w:eastAsia="en-US"/>
        </w:rPr>
        <w:t>,</w:t>
      </w:r>
      <w:r w:rsidRPr="0035744A">
        <w:rPr>
          <w:rFonts w:eastAsia="Calibri"/>
          <w:spacing w:val="-2"/>
          <w:lang w:val="en-GB" w:eastAsia="en-US"/>
        </w:rPr>
        <w:t xml:space="preserve"> N.K., Ariya</w:t>
      </w:r>
      <w:r w:rsidR="0035744A" w:rsidRPr="0035744A">
        <w:rPr>
          <w:rFonts w:eastAsia="Calibri"/>
          <w:spacing w:val="-2"/>
          <w:lang w:val="en-GB" w:eastAsia="en-US"/>
        </w:rPr>
        <w:t>,</w:t>
      </w:r>
      <w:r w:rsidRPr="0035744A">
        <w:rPr>
          <w:rFonts w:eastAsia="Calibri"/>
          <w:spacing w:val="-2"/>
          <w:lang w:val="en-GB" w:eastAsia="en-US"/>
        </w:rPr>
        <w:t xml:space="preserve"> P.A. (2021). Advances in Ultra-Trace Analytical Capability for Micro/</w:t>
      </w:r>
      <w:proofErr w:type="spellStart"/>
      <w:r w:rsidRPr="0035744A">
        <w:rPr>
          <w:rFonts w:eastAsia="Calibri"/>
          <w:spacing w:val="-2"/>
          <w:lang w:val="en-GB" w:eastAsia="en-US"/>
        </w:rPr>
        <w:t>Nanoplastics</w:t>
      </w:r>
      <w:proofErr w:type="spellEnd"/>
      <w:r w:rsidRPr="0035744A">
        <w:rPr>
          <w:rFonts w:eastAsia="Calibri"/>
          <w:spacing w:val="-2"/>
          <w:lang w:val="en-GB" w:eastAsia="en-US"/>
        </w:rPr>
        <w:t xml:space="preserve"> and Water-Soluble Polymers in the Environment: Fresh Falling Urban Snow. </w:t>
      </w:r>
      <w:r w:rsidRPr="0035744A">
        <w:rPr>
          <w:rFonts w:eastAsia="Calibri"/>
          <w:i/>
          <w:spacing w:val="-2"/>
          <w:lang w:val="en-GB" w:eastAsia="en-US"/>
        </w:rPr>
        <w:t>Environmental Pollution</w:t>
      </w:r>
      <w:r w:rsidR="0035744A" w:rsidRPr="0035744A">
        <w:rPr>
          <w:rFonts w:eastAsia="Calibri"/>
          <w:iCs/>
          <w:spacing w:val="-2"/>
          <w:lang w:val="en-GB" w:eastAsia="en-US"/>
        </w:rPr>
        <w:t>,</w:t>
      </w:r>
      <w:r w:rsidRPr="0035744A">
        <w:rPr>
          <w:rFonts w:eastAsia="Calibri"/>
          <w:spacing w:val="-2"/>
          <w:lang w:val="en-GB" w:eastAsia="en-US"/>
        </w:rPr>
        <w:t xml:space="preserve"> </w:t>
      </w:r>
      <w:r w:rsidRPr="0035744A">
        <w:rPr>
          <w:rFonts w:eastAsia="Calibri"/>
          <w:i/>
          <w:iCs/>
          <w:spacing w:val="-2"/>
          <w:lang w:val="en-GB" w:eastAsia="en-US"/>
        </w:rPr>
        <w:t>276</w:t>
      </w:r>
      <w:r w:rsidRPr="0035744A">
        <w:rPr>
          <w:rFonts w:eastAsia="Calibri"/>
          <w:spacing w:val="-2"/>
          <w:lang w:val="en-GB" w:eastAsia="en-US"/>
        </w:rPr>
        <w:t xml:space="preserve">, 116698, 1-13. </w:t>
      </w:r>
      <w:r w:rsidRPr="006F2E08">
        <w:rPr>
          <w:rFonts w:eastAsia="Calibri"/>
          <w:lang w:val="en-GB" w:eastAsia="en-US"/>
        </w:rPr>
        <w:t>https://doi.org/10.1016/j.envpol.2021.116698</w:t>
      </w:r>
    </w:p>
    <w:p w14:paraId="41CCB680" w14:textId="2D79C5E7" w:rsidR="00FA1750" w:rsidRPr="006F2E08" w:rsidRDefault="00FA1750" w:rsidP="006F2E08">
      <w:pPr>
        <w:pStyle w:val="Rlit"/>
        <w:rPr>
          <w:rFonts w:eastAsia="Calibri"/>
          <w:lang w:val="en-GB" w:eastAsia="en-US"/>
        </w:rPr>
      </w:pPr>
      <w:r w:rsidRPr="006F2E08">
        <w:rPr>
          <w:rFonts w:eastAsia="Calibri"/>
          <w:lang w:val="en-GB" w:eastAsia="en-US"/>
        </w:rPr>
        <w:t>Yang</w:t>
      </w:r>
      <w:r w:rsidR="0035744A">
        <w:rPr>
          <w:rFonts w:eastAsia="Calibri"/>
          <w:lang w:val="en-GB" w:eastAsia="en-US"/>
        </w:rPr>
        <w:t>,</w:t>
      </w:r>
      <w:r w:rsidRPr="006F2E08">
        <w:rPr>
          <w:rFonts w:eastAsia="Calibri"/>
          <w:lang w:val="en-GB" w:eastAsia="en-US"/>
        </w:rPr>
        <w:t xml:space="preserve"> W., Gao</w:t>
      </w:r>
      <w:r w:rsidR="0035744A">
        <w:rPr>
          <w:rFonts w:eastAsia="Calibri"/>
          <w:lang w:val="en-GB" w:eastAsia="en-US"/>
        </w:rPr>
        <w:t>,</w:t>
      </w:r>
      <w:r w:rsidRPr="006F2E08">
        <w:rPr>
          <w:rFonts w:eastAsia="Calibri"/>
          <w:lang w:val="en-GB" w:eastAsia="en-US"/>
        </w:rPr>
        <w:t xml:space="preserve"> P., Ma</w:t>
      </w:r>
      <w:r w:rsidR="0035744A">
        <w:rPr>
          <w:rFonts w:eastAsia="Calibri"/>
          <w:lang w:val="en-GB" w:eastAsia="en-US"/>
        </w:rPr>
        <w:t>,</w:t>
      </w:r>
      <w:r w:rsidRPr="006F2E08">
        <w:rPr>
          <w:rFonts w:eastAsia="Calibri"/>
          <w:lang w:val="en-GB" w:eastAsia="en-US"/>
        </w:rPr>
        <w:t xml:space="preserve"> G., Huang</w:t>
      </w:r>
      <w:r w:rsidR="0035744A">
        <w:rPr>
          <w:rFonts w:eastAsia="Calibri"/>
          <w:lang w:val="en-GB" w:eastAsia="en-US"/>
        </w:rPr>
        <w:t>,</w:t>
      </w:r>
      <w:r w:rsidRPr="006F2E08">
        <w:rPr>
          <w:rFonts w:eastAsia="Calibri"/>
          <w:lang w:val="en-GB" w:eastAsia="en-US"/>
        </w:rPr>
        <w:t xml:space="preserve"> J., Wu</w:t>
      </w:r>
      <w:r w:rsidR="0035744A">
        <w:rPr>
          <w:rFonts w:eastAsia="Calibri"/>
          <w:lang w:val="en-GB" w:eastAsia="en-US"/>
        </w:rPr>
        <w:t>,</w:t>
      </w:r>
      <w:r w:rsidRPr="006F2E08">
        <w:rPr>
          <w:rFonts w:eastAsia="Calibri"/>
          <w:lang w:val="en-GB" w:eastAsia="en-US"/>
        </w:rPr>
        <w:t xml:space="preserve"> Y., Wan</w:t>
      </w:r>
      <w:r w:rsidR="0035744A">
        <w:rPr>
          <w:rFonts w:eastAsia="Calibri"/>
          <w:lang w:val="en-GB" w:eastAsia="en-US"/>
        </w:rPr>
        <w:t>,</w:t>
      </w:r>
      <w:r w:rsidRPr="006F2E08">
        <w:rPr>
          <w:rFonts w:eastAsia="Calibri"/>
          <w:lang w:val="en-GB" w:eastAsia="en-US"/>
        </w:rPr>
        <w:t xml:space="preserve"> L, Ding</w:t>
      </w:r>
      <w:r w:rsidR="0035744A">
        <w:rPr>
          <w:rFonts w:eastAsia="Calibri"/>
          <w:lang w:val="en-GB" w:eastAsia="en-US"/>
        </w:rPr>
        <w:t>,</w:t>
      </w:r>
      <w:r w:rsidRPr="006F2E08">
        <w:rPr>
          <w:rFonts w:eastAsia="Calibri"/>
          <w:lang w:val="en-GB" w:eastAsia="en-US"/>
        </w:rPr>
        <w:t xml:space="preserve"> H, Zhang</w:t>
      </w:r>
      <w:r w:rsidR="0035744A">
        <w:rPr>
          <w:rFonts w:eastAsia="Calibri"/>
          <w:lang w:val="en-GB" w:eastAsia="en-US"/>
        </w:rPr>
        <w:t>,</w:t>
      </w:r>
      <w:r w:rsidRPr="006F2E08">
        <w:rPr>
          <w:rFonts w:eastAsia="Calibri"/>
          <w:lang w:val="en-GB" w:eastAsia="en-US"/>
        </w:rPr>
        <w:t xml:space="preserve"> W. (2021). Transcriptome analysis of the toxic mechanism of </w:t>
      </w:r>
      <w:proofErr w:type="spellStart"/>
      <w:r w:rsidRPr="006F2E08">
        <w:rPr>
          <w:rFonts w:eastAsia="Calibri"/>
          <w:lang w:val="en-GB" w:eastAsia="en-US"/>
        </w:rPr>
        <w:t>nanoplastics</w:t>
      </w:r>
      <w:proofErr w:type="spellEnd"/>
      <w:r w:rsidRPr="006F2E08">
        <w:rPr>
          <w:rFonts w:eastAsia="Calibri"/>
          <w:lang w:val="en-GB" w:eastAsia="en-US"/>
        </w:rPr>
        <w:t xml:space="preserve"> on growth, photosynthesis and oxidative stress of microalga Chlorella </w:t>
      </w:r>
      <w:proofErr w:type="spellStart"/>
      <w:r w:rsidRPr="006F2E08">
        <w:rPr>
          <w:rFonts w:eastAsia="Calibri"/>
          <w:lang w:val="en-GB" w:eastAsia="en-US"/>
        </w:rPr>
        <w:t>pyrenoidosa</w:t>
      </w:r>
      <w:proofErr w:type="spellEnd"/>
      <w:r w:rsidRPr="006F2E08">
        <w:rPr>
          <w:rFonts w:eastAsia="Calibri"/>
          <w:lang w:val="en-GB" w:eastAsia="en-US"/>
        </w:rPr>
        <w:t xml:space="preserve"> during chronic exposure. </w:t>
      </w:r>
      <w:r w:rsidRPr="0035744A">
        <w:rPr>
          <w:rFonts w:eastAsia="Calibri"/>
          <w:i/>
          <w:lang w:val="en-GB" w:eastAsia="en-US"/>
        </w:rPr>
        <w:t>Environmental Pollution</w:t>
      </w:r>
      <w:r w:rsidR="0035744A">
        <w:rPr>
          <w:rFonts w:eastAsia="Calibri"/>
          <w:i/>
          <w:iCs/>
          <w:lang w:val="en-GB" w:eastAsia="en-US"/>
        </w:rPr>
        <w:t>,</w:t>
      </w:r>
      <w:r w:rsidRPr="006F2E08">
        <w:rPr>
          <w:rFonts w:eastAsia="Calibri"/>
          <w:lang w:val="en-GB" w:eastAsia="en-US"/>
        </w:rPr>
        <w:t xml:space="preserve"> </w:t>
      </w:r>
      <w:r w:rsidRPr="0035744A">
        <w:rPr>
          <w:rFonts w:eastAsia="Calibri"/>
          <w:i/>
          <w:iCs/>
          <w:lang w:val="en-GB" w:eastAsia="en-US"/>
        </w:rPr>
        <w:t>284</w:t>
      </w:r>
      <w:r w:rsidRPr="006F2E08">
        <w:rPr>
          <w:rFonts w:eastAsia="Calibri"/>
          <w:lang w:val="en-GB" w:eastAsia="en-US"/>
        </w:rPr>
        <w:t>, 117413, 1-13. https://doi.org/10.1016/j.envpol.2021.117413</w:t>
      </w:r>
    </w:p>
    <w:p w14:paraId="254B558A" w14:textId="172211DB" w:rsidR="009374A1" w:rsidRPr="006F2E08" w:rsidRDefault="00FA1750" w:rsidP="0035744A">
      <w:pPr>
        <w:pStyle w:val="Rlit"/>
        <w:jc w:val="left"/>
        <w:rPr>
          <w:rFonts w:eastAsia="Calibri"/>
          <w:lang w:val="en-GB" w:eastAsia="en-US"/>
        </w:rPr>
      </w:pPr>
      <w:r w:rsidRPr="006F2E08">
        <w:rPr>
          <w:rFonts w:eastAsia="Calibri"/>
          <w:lang w:val="en-GB" w:eastAsia="en-US"/>
        </w:rPr>
        <w:t>Yin</w:t>
      </w:r>
      <w:r w:rsidR="0035744A">
        <w:rPr>
          <w:rFonts w:eastAsia="Calibri"/>
          <w:lang w:val="en-GB" w:eastAsia="en-US"/>
        </w:rPr>
        <w:t>,</w:t>
      </w:r>
      <w:r w:rsidRPr="006F2E08">
        <w:rPr>
          <w:rFonts w:eastAsia="Calibri"/>
          <w:lang w:val="en-GB" w:eastAsia="en-US"/>
        </w:rPr>
        <w:t xml:space="preserve"> L., Wen</w:t>
      </w:r>
      <w:r w:rsidR="0035744A">
        <w:rPr>
          <w:rFonts w:eastAsia="Calibri"/>
          <w:lang w:val="en-GB" w:eastAsia="en-US"/>
        </w:rPr>
        <w:t>,</w:t>
      </w:r>
      <w:r w:rsidRPr="006F2E08">
        <w:rPr>
          <w:rFonts w:eastAsia="Calibri"/>
          <w:lang w:val="en-GB" w:eastAsia="en-US"/>
        </w:rPr>
        <w:t xml:space="preserve"> X., Huang</w:t>
      </w:r>
      <w:r w:rsidR="0035744A">
        <w:rPr>
          <w:rFonts w:eastAsia="Calibri"/>
          <w:lang w:val="en-GB" w:eastAsia="en-US"/>
        </w:rPr>
        <w:t>,</w:t>
      </w:r>
      <w:r w:rsidRPr="006F2E08">
        <w:rPr>
          <w:rFonts w:eastAsia="Calibri"/>
          <w:lang w:val="en-GB" w:eastAsia="en-US"/>
        </w:rPr>
        <w:t xml:space="preserve"> D., Du</w:t>
      </w:r>
      <w:r w:rsidR="0035744A">
        <w:rPr>
          <w:rFonts w:eastAsia="Calibri"/>
          <w:lang w:val="en-GB" w:eastAsia="en-US"/>
        </w:rPr>
        <w:t>,</w:t>
      </w:r>
      <w:r w:rsidRPr="006F2E08">
        <w:rPr>
          <w:rFonts w:eastAsia="Calibri"/>
          <w:lang w:val="en-GB" w:eastAsia="en-US"/>
        </w:rPr>
        <w:t xml:space="preserve"> C., Deng, R., Zhou</w:t>
      </w:r>
      <w:r w:rsidR="0035744A">
        <w:rPr>
          <w:rFonts w:eastAsia="Calibri"/>
          <w:lang w:val="en-GB" w:eastAsia="en-US"/>
        </w:rPr>
        <w:t>,</w:t>
      </w:r>
      <w:r w:rsidRPr="006F2E08">
        <w:rPr>
          <w:rFonts w:eastAsia="Calibri"/>
          <w:lang w:val="en-GB" w:eastAsia="en-US"/>
        </w:rPr>
        <w:t xml:space="preserve"> Z., Tao</w:t>
      </w:r>
      <w:r w:rsidR="0035744A">
        <w:rPr>
          <w:rFonts w:eastAsia="Calibri"/>
          <w:lang w:val="en-GB" w:eastAsia="en-US"/>
        </w:rPr>
        <w:t>,</w:t>
      </w:r>
      <w:r w:rsidRPr="006F2E08">
        <w:rPr>
          <w:rFonts w:eastAsia="Calibri"/>
          <w:lang w:val="en-GB" w:eastAsia="en-US"/>
        </w:rPr>
        <w:t xml:space="preserve"> J., Li</w:t>
      </w:r>
      <w:r w:rsidR="0035744A">
        <w:rPr>
          <w:rFonts w:eastAsia="Calibri"/>
          <w:lang w:val="en-GB" w:eastAsia="en-US"/>
        </w:rPr>
        <w:t>,</w:t>
      </w:r>
      <w:r w:rsidRPr="006F2E08">
        <w:rPr>
          <w:rFonts w:eastAsia="Calibri"/>
          <w:lang w:val="en-GB" w:eastAsia="en-US"/>
        </w:rPr>
        <w:t xml:space="preserve"> R., Zhou</w:t>
      </w:r>
      <w:r w:rsidR="0035744A">
        <w:rPr>
          <w:rFonts w:eastAsia="Calibri"/>
          <w:lang w:val="en-GB" w:eastAsia="en-US"/>
        </w:rPr>
        <w:t>,</w:t>
      </w:r>
      <w:r w:rsidRPr="006F2E08">
        <w:rPr>
          <w:rFonts w:eastAsia="Calibri"/>
          <w:lang w:val="en-GB" w:eastAsia="en-US"/>
        </w:rPr>
        <w:t xml:space="preserve"> W., Wang</w:t>
      </w:r>
      <w:r w:rsidR="0035744A">
        <w:rPr>
          <w:rFonts w:eastAsia="Calibri"/>
          <w:lang w:val="en-GB" w:eastAsia="en-US"/>
        </w:rPr>
        <w:t>,</w:t>
      </w:r>
      <w:r w:rsidRPr="006F2E08">
        <w:rPr>
          <w:rFonts w:eastAsia="Calibri"/>
          <w:lang w:val="en-GB" w:eastAsia="en-US"/>
        </w:rPr>
        <w:t xml:space="preserve"> Z., Chen</w:t>
      </w:r>
      <w:r w:rsidR="0035744A">
        <w:rPr>
          <w:rFonts w:eastAsia="Calibri"/>
          <w:lang w:val="en-GB" w:eastAsia="en-US"/>
        </w:rPr>
        <w:t>,</w:t>
      </w:r>
      <w:r w:rsidRPr="006F2E08">
        <w:rPr>
          <w:rFonts w:eastAsia="Calibri"/>
          <w:lang w:val="en-GB" w:eastAsia="en-US"/>
        </w:rPr>
        <w:t xml:space="preserve"> H. (2021). Interactions between microplastics/</w:t>
      </w:r>
      <w:proofErr w:type="spellStart"/>
      <w:r w:rsidRPr="006F2E08">
        <w:rPr>
          <w:rFonts w:eastAsia="Calibri"/>
          <w:lang w:val="en-GB" w:eastAsia="en-US"/>
        </w:rPr>
        <w:t>nanoplastics</w:t>
      </w:r>
      <w:proofErr w:type="spellEnd"/>
      <w:r w:rsidRPr="006F2E08">
        <w:rPr>
          <w:rFonts w:eastAsia="Calibri"/>
          <w:lang w:val="en-GB" w:eastAsia="en-US"/>
        </w:rPr>
        <w:t xml:space="preserve"> and vascular plants. </w:t>
      </w:r>
      <w:r w:rsidRPr="0035744A">
        <w:rPr>
          <w:rFonts w:eastAsia="Calibri"/>
          <w:i/>
          <w:lang w:val="en-GB" w:eastAsia="en-US"/>
        </w:rPr>
        <w:t>Environmental Pollution</w:t>
      </w:r>
      <w:r w:rsidRPr="006F2E08">
        <w:rPr>
          <w:rFonts w:eastAsia="Calibri"/>
          <w:iCs/>
          <w:lang w:val="en-GB" w:eastAsia="en-US"/>
        </w:rPr>
        <w:t>.</w:t>
      </w:r>
      <w:r w:rsidRPr="006F2E08">
        <w:rPr>
          <w:rFonts w:eastAsia="Calibri"/>
          <w:lang w:val="en-GB" w:eastAsia="en-US"/>
        </w:rPr>
        <w:t xml:space="preserve"> </w:t>
      </w:r>
      <w:r w:rsidRPr="0035744A">
        <w:rPr>
          <w:rFonts w:eastAsia="Calibri"/>
          <w:i/>
          <w:iCs/>
          <w:lang w:val="en-GB" w:eastAsia="en-US"/>
        </w:rPr>
        <w:t>290</w:t>
      </w:r>
      <w:r w:rsidRPr="006F2E08">
        <w:rPr>
          <w:rFonts w:eastAsia="Calibri"/>
          <w:lang w:val="en-GB" w:eastAsia="en-US"/>
        </w:rPr>
        <w:t>, 117999, 1-11. https://doi.org/10.1016/j.envpol.2021.117999</w:t>
      </w:r>
    </w:p>
    <w:p w14:paraId="3E61E07E" w14:textId="77777777" w:rsidR="006F2E08" w:rsidRPr="006F2E08" w:rsidRDefault="006F2E08">
      <w:pPr>
        <w:pStyle w:val="Rlit"/>
        <w:rPr>
          <w:rFonts w:eastAsia="Calibri"/>
          <w:lang w:val="en-GB" w:eastAsia="en-US"/>
        </w:rPr>
      </w:pPr>
    </w:p>
    <w:sectPr w:rsidR="006F2E08" w:rsidRPr="006F2E08" w:rsidSect="001A113C">
      <w:headerReference w:type="even" r:id="rId21"/>
      <w:headerReference w:type="default" r:id="rId22"/>
      <w:footerReference w:type="even" r:id="rId23"/>
      <w:footerReference w:type="default" r:id="rId24"/>
      <w:footerReference w:type="first" r:id="rId25"/>
      <w:pgSz w:w="11907" w:h="16840" w:code="9"/>
      <w:pgMar w:top="1134" w:right="1134" w:bottom="1134" w:left="1134" w:header="567" w:footer="567" w:gutter="0"/>
      <w:pgNumType w:start="3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4AE4" w14:textId="77777777" w:rsidR="00D447B9" w:rsidRDefault="00D447B9">
      <w:pPr>
        <w:spacing w:before="0" w:after="0" w:line="240" w:lineRule="auto"/>
      </w:pPr>
      <w:r>
        <w:separator/>
      </w:r>
    </w:p>
  </w:endnote>
  <w:endnote w:type="continuationSeparator" w:id="0">
    <w:p w14:paraId="49CFD457" w14:textId="77777777" w:rsidR="00D447B9" w:rsidRDefault="00D447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vOT863180fb">
    <w:altName w:val="Cambria"/>
    <w:panose1 w:val="00000000000000000000"/>
    <w:charset w:val="00"/>
    <w:family w:val="roman"/>
    <w:notTrueType/>
    <w:pitch w:val="default"/>
  </w:font>
  <w:font w:name="AdvP4C4E59">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4731" w14:textId="77777777" w:rsidR="005D24F8" w:rsidRDefault="005D24F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6011" w14:textId="77777777" w:rsidR="005D24F8" w:rsidRDefault="005D24F8" w:rsidP="001A113C">
    <w:pPr>
      <w:pStyle w:val="Stopka"/>
      <w:spacing w:before="0" w:after="0" w:line="240"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6D58C4" w:rsidRPr="00725918" w14:paraId="13BDF328" w14:textId="77777777" w:rsidTr="0008698F">
      <w:trPr>
        <w:trHeight w:val="198"/>
      </w:trPr>
      <w:tc>
        <w:tcPr>
          <w:tcW w:w="1384" w:type="dxa"/>
          <w:shd w:val="clear" w:color="auto" w:fill="auto"/>
          <w:vAlign w:val="center"/>
        </w:tcPr>
        <w:p w14:paraId="643406E6" w14:textId="77777777" w:rsidR="006D58C4" w:rsidRPr="003F5987" w:rsidRDefault="006D58C4" w:rsidP="006D58C4">
          <w:pPr>
            <w:spacing w:before="0" w:after="0" w:line="240" w:lineRule="auto"/>
            <w:ind w:left="-112" w:firstLine="0"/>
          </w:pPr>
          <w:bookmarkStart w:id="14" w:name="_Hlk104286226"/>
          <w:bookmarkStart w:id="15" w:name="_Hlk104286227"/>
          <w:bookmarkStart w:id="16" w:name="_Hlk154270864"/>
          <w:bookmarkStart w:id="17" w:name="_Hlk154270865"/>
          <w:r w:rsidRPr="003F5987">
            <w:rPr>
              <w:noProof/>
            </w:rPr>
            <w:drawing>
              <wp:inline distT="0" distB="0" distL="0" distR="0" wp14:anchorId="404A5959" wp14:editId="7F52827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AF99460" w14:textId="77777777" w:rsidR="006D58C4" w:rsidRPr="003F5987" w:rsidRDefault="006D58C4" w:rsidP="006D58C4">
          <w:pPr>
            <w:suppressAutoHyphens/>
            <w:spacing w:before="0" w:after="0" w:line="240" w:lineRule="auto"/>
            <w:ind w:left="-78" w:firstLine="0"/>
            <w:jc w:val="left"/>
            <w:rPr>
              <w:sz w:val="18"/>
              <w:szCs w:val="18"/>
              <w:lang w:val="en-GB"/>
            </w:rPr>
          </w:pPr>
          <w:r w:rsidRPr="003F5987">
            <w:rPr>
              <w:sz w:val="18"/>
              <w:szCs w:val="18"/>
              <w:lang w:val="en-GB"/>
            </w:rPr>
            <w:t>© 2023. Author(s). This work is licensed under a Creative Commons Attribution 4.0 International License (CC BY-SA)</w:t>
          </w:r>
        </w:p>
      </w:tc>
    </w:tr>
    <w:bookmarkEnd w:id="14"/>
    <w:bookmarkEnd w:id="15"/>
    <w:bookmarkEnd w:id="16"/>
    <w:bookmarkEnd w:id="17"/>
  </w:tbl>
  <w:p w14:paraId="7925F58F" w14:textId="77777777" w:rsidR="006D58C4" w:rsidRPr="003F5987" w:rsidRDefault="006D58C4" w:rsidP="006D58C4">
    <w:pPr>
      <w:pStyle w:val="Stopka"/>
      <w:spacing w:before="0" w:after="0" w:line="240" w:lineRule="auto"/>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8841" w14:textId="77777777" w:rsidR="00D447B9" w:rsidRDefault="00D447B9">
      <w:pPr>
        <w:spacing w:before="0" w:after="0"/>
        <w:ind w:firstLine="0"/>
      </w:pPr>
      <w:r>
        <w:separator/>
      </w:r>
      <w:r>
        <w:separator/>
      </w:r>
    </w:p>
  </w:footnote>
  <w:footnote w:type="continuationSeparator" w:id="0">
    <w:p w14:paraId="0FD4B6BE" w14:textId="77777777" w:rsidR="00D447B9" w:rsidRDefault="00D447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6D58C4" w:rsidRPr="00377DE9" w14:paraId="7634C97E" w14:textId="77777777" w:rsidTr="0008698F">
      <w:trPr>
        <w:trHeight w:hRule="exact" w:val="284"/>
      </w:trPr>
      <w:tc>
        <w:tcPr>
          <w:tcW w:w="397" w:type="dxa"/>
          <w:shd w:val="clear" w:color="auto" w:fill="auto"/>
          <w:vAlign w:val="center"/>
        </w:tcPr>
        <w:p w14:paraId="16688B07" w14:textId="77777777" w:rsidR="006D58C4" w:rsidRPr="00377DE9" w:rsidRDefault="006D58C4" w:rsidP="006D58C4">
          <w:pPr>
            <w:pStyle w:val="Nagwek"/>
            <w:spacing w:before="0" w:after="0" w:line="240" w:lineRule="auto"/>
            <w:ind w:firstLine="0"/>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358</w:t>
          </w:r>
          <w:r w:rsidRPr="00377DE9">
            <w:rPr>
              <w:rFonts w:ascii="Arial" w:hAnsi="Arial" w:cs="Arial"/>
            </w:rPr>
            <w:fldChar w:fldCharType="end"/>
          </w:r>
        </w:p>
      </w:tc>
      <w:tc>
        <w:tcPr>
          <w:tcW w:w="9242" w:type="dxa"/>
          <w:shd w:val="clear" w:color="auto" w:fill="auto"/>
          <w:vAlign w:val="center"/>
        </w:tcPr>
        <w:p w14:paraId="43AA4563" w14:textId="167FD144" w:rsidR="006D58C4" w:rsidRPr="00377DE9" w:rsidRDefault="006D58C4" w:rsidP="006D58C4">
          <w:pPr>
            <w:pStyle w:val="Nagwek"/>
            <w:spacing w:before="0" w:after="0" w:line="240" w:lineRule="auto"/>
            <w:ind w:firstLine="0"/>
            <w:jc w:val="center"/>
            <w:rPr>
              <w:rFonts w:ascii="Arial" w:hAnsi="Arial" w:cs="Arial"/>
              <w:i/>
            </w:rPr>
          </w:pPr>
          <w:r w:rsidRPr="006D58C4">
            <w:rPr>
              <w:rFonts w:ascii="Arial" w:hAnsi="Arial" w:cs="Arial"/>
              <w:i/>
            </w:rPr>
            <w:t>Katarzyna Grąz</w:t>
          </w:r>
          <w:r>
            <w:rPr>
              <w:rFonts w:ascii="Arial" w:hAnsi="Arial" w:cs="Arial"/>
              <w:i/>
            </w:rPr>
            <w:t xml:space="preserve"> et al.</w:t>
          </w:r>
        </w:p>
      </w:tc>
    </w:tr>
  </w:tbl>
  <w:p w14:paraId="06FE7D33" w14:textId="77777777" w:rsidR="006D58C4" w:rsidRPr="006D58C4" w:rsidRDefault="006D58C4" w:rsidP="006D58C4">
    <w:pPr>
      <w:pStyle w:val="Nagwek"/>
      <w:spacing w:before="0" w:after="0" w:line="240" w:lineRule="auto"/>
      <w:ind w:firstLin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6D58C4" w:rsidRPr="00911802" w14:paraId="60C2E75E" w14:textId="77777777" w:rsidTr="0008698F">
      <w:trPr>
        <w:trHeight w:hRule="exact" w:val="284"/>
        <w:jc w:val="right"/>
      </w:trPr>
      <w:tc>
        <w:tcPr>
          <w:tcW w:w="9243" w:type="dxa"/>
          <w:shd w:val="clear" w:color="auto" w:fill="auto"/>
          <w:vAlign w:val="center"/>
        </w:tcPr>
        <w:p w14:paraId="491897D7" w14:textId="2A7BB95A" w:rsidR="006D58C4" w:rsidRPr="005117CD" w:rsidRDefault="001574DE" w:rsidP="006D58C4">
          <w:pPr>
            <w:pStyle w:val="Nagwek"/>
            <w:spacing w:before="0" w:after="0" w:line="240" w:lineRule="auto"/>
            <w:ind w:firstLine="0"/>
            <w:jc w:val="center"/>
            <w:rPr>
              <w:rFonts w:ascii="Arial" w:hAnsi="Arial" w:cs="Arial"/>
              <w:i/>
              <w:szCs w:val="18"/>
              <w:lang w:val="en-GB"/>
            </w:rPr>
          </w:pPr>
          <w:r w:rsidRPr="001574DE">
            <w:rPr>
              <w:rFonts w:ascii="Arial" w:hAnsi="Arial" w:cs="Arial"/>
              <w:i/>
              <w:szCs w:val="18"/>
              <w:lang w:val="en-GB"/>
            </w:rPr>
            <w:t>Microplastics from Plastic Waste as a Limitation</w:t>
          </w:r>
          <w:r w:rsidR="006D58C4">
            <w:rPr>
              <w:rFonts w:ascii="Arial" w:hAnsi="Arial" w:cs="Arial"/>
              <w:i/>
              <w:szCs w:val="18"/>
              <w:lang w:val="en-GB"/>
            </w:rPr>
            <w:t>…</w:t>
          </w:r>
        </w:p>
      </w:tc>
      <w:tc>
        <w:tcPr>
          <w:tcW w:w="397" w:type="dxa"/>
          <w:shd w:val="clear" w:color="auto" w:fill="auto"/>
          <w:vAlign w:val="center"/>
        </w:tcPr>
        <w:p w14:paraId="4F85F2DD" w14:textId="77777777" w:rsidR="006D58C4" w:rsidRPr="00911802" w:rsidRDefault="006D58C4" w:rsidP="006D58C4">
          <w:pPr>
            <w:pStyle w:val="Nagwek"/>
            <w:spacing w:before="0" w:after="0" w:line="240" w:lineRule="auto"/>
            <w:ind w:firstLine="0"/>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359</w:t>
          </w:r>
          <w:r w:rsidRPr="00911802">
            <w:rPr>
              <w:rFonts w:ascii="Arial" w:hAnsi="Arial" w:cs="Arial"/>
              <w:szCs w:val="18"/>
            </w:rPr>
            <w:fldChar w:fldCharType="end"/>
          </w:r>
        </w:p>
      </w:tc>
    </w:tr>
  </w:tbl>
  <w:p w14:paraId="3032EE3F" w14:textId="77777777" w:rsidR="006D58C4" w:rsidRPr="00911802" w:rsidRDefault="006D58C4" w:rsidP="006D58C4">
    <w:pPr>
      <w:pStyle w:val="Nagwek"/>
      <w:spacing w:before="0" w:after="0" w:line="240" w:lineRule="auto"/>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CBF"/>
    <w:multiLevelType w:val="hybridMultilevel"/>
    <w:tmpl w:val="6FDA763C"/>
    <w:lvl w:ilvl="0" w:tplc="0A02666A">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C66E8A"/>
    <w:multiLevelType w:val="hybridMultilevel"/>
    <w:tmpl w:val="671AE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4C91"/>
    <w:multiLevelType w:val="hybridMultilevel"/>
    <w:tmpl w:val="5856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85B0B"/>
    <w:multiLevelType w:val="multilevel"/>
    <w:tmpl w:val="13108C4A"/>
    <w:lvl w:ilvl="0">
      <w:start w:val="1"/>
      <w:numFmt w:val="bullet"/>
      <w:pStyle w:val="Wypunktowanie"/>
      <w:lvlText w:val=""/>
      <w:lvlJc w:val="left"/>
      <w:pPr>
        <w:tabs>
          <w:tab w:val="num" w:pos="439"/>
        </w:tabs>
        <w:ind w:left="397" w:hanging="318"/>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4606A"/>
    <w:multiLevelType w:val="hybridMultilevel"/>
    <w:tmpl w:val="3F585DAC"/>
    <w:lvl w:ilvl="0" w:tplc="ABEC141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F5F28"/>
    <w:multiLevelType w:val="hybridMultilevel"/>
    <w:tmpl w:val="1FF20458"/>
    <w:lvl w:ilvl="0" w:tplc="5524B262">
      <w:start w:val="1"/>
      <w:numFmt w:val="decimal"/>
      <w:lvlText w:val="%1."/>
      <w:lvlJc w:val="left"/>
      <w:pPr>
        <w:tabs>
          <w:tab w:val="num" w:pos="757"/>
        </w:tabs>
        <w:ind w:left="757" w:hanging="360"/>
      </w:pPr>
      <w:rPr>
        <w:rFonts w:hint="default"/>
      </w:rPr>
    </w:lvl>
    <w:lvl w:ilvl="1" w:tplc="FA5408C6" w:tentative="1">
      <w:start w:val="1"/>
      <w:numFmt w:val="lowerLetter"/>
      <w:lvlText w:val="%2."/>
      <w:lvlJc w:val="left"/>
      <w:pPr>
        <w:tabs>
          <w:tab w:val="num" w:pos="1477"/>
        </w:tabs>
        <w:ind w:left="1477" w:hanging="360"/>
      </w:pPr>
    </w:lvl>
    <w:lvl w:ilvl="2" w:tplc="D0FCFD40" w:tentative="1">
      <w:start w:val="1"/>
      <w:numFmt w:val="lowerRoman"/>
      <w:lvlText w:val="%3."/>
      <w:lvlJc w:val="right"/>
      <w:pPr>
        <w:tabs>
          <w:tab w:val="num" w:pos="2197"/>
        </w:tabs>
        <w:ind w:left="2197" w:hanging="180"/>
      </w:pPr>
    </w:lvl>
    <w:lvl w:ilvl="3" w:tplc="464E76B6" w:tentative="1">
      <w:start w:val="1"/>
      <w:numFmt w:val="decimal"/>
      <w:lvlText w:val="%4."/>
      <w:lvlJc w:val="left"/>
      <w:pPr>
        <w:tabs>
          <w:tab w:val="num" w:pos="2917"/>
        </w:tabs>
        <w:ind w:left="2917" w:hanging="360"/>
      </w:pPr>
    </w:lvl>
    <w:lvl w:ilvl="4" w:tplc="C5CCCC62" w:tentative="1">
      <w:start w:val="1"/>
      <w:numFmt w:val="lowerLetter"/>
      <w:lvlText w:val="%5."/>
      <w:lvlJc w:val="left"/>
      <w:pPr>
        <w:tabs>
          <w:tab w:val="num" w:pos="3637"/>
        </w:tabs>
        <w:ind w:left="3637" w:hanging="360"/>
      </w:pPr>
    </w:lvl>
    <w:lvl w:ilvl="5" w:tplc="49EE8192" w:tentative="1">
      <w:start w:val="1"/>
      <w:numFmt w:val="lowerRoman"/>
      <w:lvlText w:val="%6."/>
      <w:lvlJc w:val="right"/>
      <w:pPr>
        <w:tabs>
          <w:tab w:val="num" w:pos="4357"/>
        </w:tabs>
        <w:ind w:left="4357" w:hanging="180"/>
      </w:pPr>
    </w:lvl>
    <w:lvl w:ilvl="6" w:tplc="30102496" w:tentative="1">
      <w:start w:val="1"/>
      <w:numFmt w:val="decimal"/>
      <w:lvlText w:val="%7."/>
      <w:lvlJc w:val="left"/>
      <w:pPr>
        <w:tabs>
          <w:tab w:val="num" w:pos="5077"/>
        </w:tabs>
        <w:ind w:left="5077" w:hanging="360"/>
      </w:pPr>
    </w:lvl>
    <w:lvl w:ilvl="7" w:tplc="150CD23C" w:tentative="1">
      <w:start w:val="1"/>
      <w:numFmt w:val="lowerLetter"/>
      <w:lvlText w:val="%8."/>
      <w:lvlJc w:val="left"/>
      <w:pPr>
        <w:tabs>
          <w:tab w:val="num" w:pos="5797"/>
        </w:tabs>
        <w:ind w:left="5797" w:hanging="360"/>
      </w:pPr>
    </w:lvl>
    <w:lvl w:ilvl="8" w:tplc="E836DD9E" w:tentative="1">
      <w:start w:val="1"/>
      <w:numFmt w:val="lowerRoman"/>
      <w:lvlText w:val="%9."/>
      <w:lvlJc w:val="right"/>
      <w:pPr>
        <w:tabs>
          <w:tab w:val="num" w:pos="6517"/>
        </w:tabs>
        <w:ind w:left="6517" w:hanging="180"/>
      </w:pPr>
    </w:lvl>
  </w:abstractNum>
  <w:abstractNum w:abstractNumId="6" w15:restartNumberingAfterBreak="0">
    <w:nsid w:val="3F0B5C98"/>
    <w:multiLevelType w:val="multilevel"/>
    <w:tmpl w:val="9168C104"/>
    <w:lvl w:ilvl="0">
      <w:start w:val="3"/>
      <w:numFmt w:val="bullet"/>
      <w:lvlText w:val=""/>
      <w:lvlJc w:val="left"/>
      <w:pPr>
        <w:tabs>
          <w:tab w:val="num" w:pos="439"/>
        </w:tabs>
        <w:ind w:left="397" w:hanging="318"/>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C59F6"/>
    <w:multiLevelType w:val="hybridMultilevel"/>
    <w:tmpl w:val="D7C8CA28"/>
    <w:lvl w:ilvl="0" w:tplc="3C224CB8">
      <w:start w:val="1"/>
      <w:numFmt w:val="bullet"/>
      <w:lvlText w:val="—"/>
      <w:lvlJc w:val="left"/>
      <w:pPr>
        <w:tabs>
          <w:tab w:val="num" w:pos="1177"/>
        </w:tabs>
        <w:ind w:left="1177" w:hanging="780"/>
      </w:pPr>
      <w:rPr>
        <w:rFonts w:ascii="Times New Roman" w:eastAsia="Times New Roman" w:hAnsi="Times New Roman" w:cs="Times New Roman" w:hint="default"/>
      </w:rPr>
    </w:lvl>
    <w:lvl w:ilvl="1" w:tplc="934A08DA" w:tentative="1">
      <w:start w:val="1"/>
      <w:numFmt w:val="bullet"/>
      <w:lvlText w:val="o"/>
      <w:lvlJc w:val="left"/>
      <w:pPr>
        <w:tabs>
          <w:tab w:val="num" w:pos="1477"/>
        </w:tabs>
        <w:ind w:left="1477" w:hanging="360"/>
      </w:pPr>
      <w:rPr>
        <w:rFonts w:ascii="Courier New" w:hAnsi="Courier New" w:hint="default"/>
      </w:rPr>
    </w:lvl>
    <w:lvl w:ilvl="2" w:tplc="0A76D658" w:tentative="1">
      <w:start w:val="1"/>
      <w:numFmt w:val="bullet"/>
      <w:lvlText w:val=""/>
      <w:lvlJc w:val="left"/>
      <w:pPr>
        <w:tabs>
          <w:tab w:val="num" w:pos="2197"/>
        </w:tabs>
        <w:ind w:left="2197" w:hanging="360"/>
      </w:pPr>
      <w:rPr>
        <w:rFonts w:ascii="Wingdings" w:hAnsi="Wingdings" w:hint="default"/>
      </w:rPr>
    </w:lvl>
    <w:lvl w:ilvl="3" w:tplc="AE2C7898" w:tentative="1">
      <w:start w:val="1"/>
      <w:numFmt w:val="bullet"/>
      <w:lvlText w:val=""/>
      <w:lvlJc w:val="left"/>
      <w:pPr>
        <w:tabs>
          <w:tab w:val="num" w:pos="2917"/>
        </w:tabs>
        <w:ind w:left="2917" w:hanging="360"/>
      </w:pPr>
      <w:rPr>
        <w:rFonts w:ascii="Symbol" w:hAnsi="Symbol" w:hint="default"/>
      </w:rPr>
    </w:lvl>
    <w:lvl w:ilvl="4" w:tplc="D474F656" w:tentative="1">
      <w:start w:val="1"/>
      <w:numFmt w:val="bullet"/>
      <w:lvlText w:val="o"/>
      <w:lvlJc w:val="left"/>
      <w:pPr>
        <w:tabs>
          <w:tab w:val="num" w:pos="3637"/>
        </w:tabs>
        <w:ind w:left="3637" w:hanging="360"/>
      </w:pPr>
      <w:rPr>
        <w:rFonts w:ascii="Courier New" w:hAnsi="Courier New" w:hint="default"/>
      </w:rPr>
    </w:lvl>
    <w:lvl w:ilvl="5" w:tplc="D2DCBB3C" w:tentative="1">
      <w:start w:val="1"/>
      <w:numFmt w:val="bullet"/>
      <w:lvlText w:val=""/>
      <w:lvlJc w:val="left"/>
      <w:pPr>
        <w:tabs>
          <w:tab w:val="num" w:pos="4357"/>
        </w:tabs>
        <w:ind w:left="4357" w:hanging="360"/>
      </w:pPr>
      <w:rPr>
        <w:rFonts w:ascii="Wingdings" w:hAnsi="Wingdings" w:hint="default"/>
      </w:rPr>
    </w:lvl>
    <w:lvl w:ilvl="6" w:tplc="693A35D4" w:tentative="1">
      <w:start w:val="1"/>
      <w:numFmt w:val="bullet"/>
      <w:lvlText w:val=""/>
      <w:lvlJc w:val="left"/>
      <w:pPr>
        <w:tabs>
          <w:tab w:val="num" w:pos="5077"/>
        </w:tabs>
        <w:ind w:left="5077" w:hanging="360"/>
      </w:pPr>
      <w:rPr>
        <w:rFonts w:ascii="Symbol" w:hAnsi="Symbol" w:hint="default"/>
      </w:rPr>
    </w:lvl>
    <w:lvl w:ilvl="7" w:tplc="93A4618A" w:tentative="1">
      <w:start w:val="1"/>
      <w:numFmt w:val="bullet"/>
      <w:lvlText w:val="o"/>
      <w:lvlJc w:val="left"/>
      <w:pPr>
        <w:tabs>
          <w:tab w:val="num" w:pos="5797"/>
        </w:tabs>
        <w:ind w:left="5797" w:hanging="360"/>
      </w:pPr>
      <w:rPr>
        <w:rFonts w:ascii="Courier New" w:hAnsi="Courier New" w:hint="default"/>
      </w:rPr>
    </w:lvl>
    <w:lvl w:ilvl="8" w:tplc="5F9E935C" w:tentative="1">
      <w:start w:val="1"/>
      <w:numFmt w:val="bullet"/>
      <w:lvlText w:val=""/>
      <w:lvlJc w:val="left"/>
      <w:pPr>
        <w:tabs>
          <w:tab w:val="num" w:pos="6517"/>
        </w:tabs>
        <w:ind w:left="6517" w:hanging="360"/>
      </w:pPr>
      <w:rPr>
        <w:rFonts w:ascii="Wingdings" w:hAnsi="Wingdings" w:hint="default"/>
      </w:rPr>
    </w:lvl>
  </w:abstractNum>
  <w:abstractNum w:abstractNumId="8" w15:restartNumberingAfterBreak="0">
    <w:nsid w:val="5BC301C1"/>
    <w:multiLevelType w:val="hybridMultilevel"/>
    <w:tmpl w:val="DCEABE04"/>
    <w:lvl w:ilvl="0" w:tplc="ABEC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9E5D0F"/>
    <w:multiLevelType w:val="multilevel"/>
    <w:tmpl w:val="F30463DC"/>
    <w:lvl w:ilvl="0">
      <w:start w:val="1"/>
      <w:numFmt w:val="decimal"/>
      <w:pStyle w:val="Numerowanie"/>
      <w:lvlText w:val="%1)"/>
      <w:lvlJc w:val="left"/>
      <w:pPr>
        <w:tabs>
          <w:tab w:val="num" w:pos="456"/>
        </w:tabs>
        <w:ind w:left="397" w:hanging="301"/>
      </w:pPr>
      <w:rPr>
        <w:rFonts w:hint="default"/>
      </w:rPr>
    </w:lvl>
    <w:lvl w:ilvl="1">
      <w:start w:val="6"/>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78506BCA"/>
    <w:multiLevelType w:val="multilevel"/>
    <w:tmpl w:val="4C084BB8"/>
    <w:lvl w:ilvl="0">
      <w:start w:val="1"/>
      <w:numFmt w:val="bullet"/>
      <w:pStyle w:val="Bullet"/>
      <w:lvlText w:val=""/>
      <w:lvlJc w:val="left"/>
      <w:pPr>
        <w:tabs>
          <w:tab w:val="num" w:pos="439"/>
        </w:tabs>
        <w:ind w:left="397" w:hanging="318"/>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7A9F051D"/>
    <w:multiLevelType w:val="hybridMultilevel"/>
    <w:tmpl w:val="F67A6564"/>
    <w:lvl w:ilvl="0" w:tplc="ABEC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484859">
    <w:abstractNumId w:val="6"/>
  </w:num>
  <w:num w:numId="2" w16cid:durableId="2136173635">
    <w:abstractNumId w:val="9"/>
  </w:num>
  <w:num w:numId="3" w16cid:durableId="152456405">
    <w:abstractNumId w:val="7"/>
  </w:num>
  <w:num w:numId="4" w16cid:durableId="1181237302">
    <w:abstractNumId w:val="5"/>
  </w:num>
  <w:num w:numId="5" w16cid:durableId="630088807">
    <w:abstractNumId w:val="9"/>
  </w:num>
  <w:num w:numId="6" w16cid:durableId="526985395">
    <w:abstractNumId w:val="9"/>
  </w:num>
  <w:num w:numId="7" w16cid:durableId="156232457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053587">
    <w:abstractNumId w:val="10"/>
  </w:num>
  <w:num w:numId="9" w16cid:durableId="2028288595">
    <w:abstractNumId w:val="3"/>
  </w:num>
  <w:num w:numId="10" w16cid:durableId="1139886493">
    <w:abstractNumId w:val="4"/>
  </w:num>
  <w:num w:numId="11" w16cid:durableId="665282859">
    <w:abstractNumId w:val="8"/>
  </w:num>
  <w:num w:numId="12" w16cid:durableId="48768688">
    <w:abstractNumId w:val="11"/>
  </w:num>
  <w:num w:numId="13" w16cid:durableId="413935378">
    <w:abstractNumId w:val="0"/>
  </w:num>
  <w:num w:numId="14" w16cid:durableId="1934706620">
    <w:abstractNumId w:val="2"/>
  </w:num>
  <w:num w:numId="15" w16cid:durableId="160819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397"/>
  <w:autoHyphenation/>
  <w:hyphenationZone w:val="357"/>
  <w:evenAndOddHeaders/>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0sTQ2NTAzMzE0MDVR0lEKTi0uzszPAykwrAUAKAeYIywAAAA="/>
  </w:docVars>
  <w:rsids>
    <w:rsidRoot w:val="00C41482"/>
    <w:rsid w:val="000001B0"/>
    <w:rsid w:val="00002F8D"/>
    <w:rsid w:val="0001480F"/>
    <w:rsid w:val="000314CB"/>
    <w:rsid w:val="00032971"/>
    <w:rsid w:val="000341E1"/>
    <w:rsid w:val="00034A79"/>
    <w:rsid w:val="000434E1"/>
    <w:rsid w:val="00061DEC"/>
    <w:rsid w:val="000660C4"/>
    <w:rsid w:val="00070752"/>
    <w:rsid w:val="0007140F"/>
    <w:rsid w:val="00072802"/>
    <w:rsid w:val="00072CCE"/>
    <w:rsid w:val="000812E3"/>
    <w:rsid w:val="000862E7"/>
    <w:rsid w:val="00090137"/>
    <w:rsid w:val="00092CA8"/>
    <w:rsid w:val="00094366"/>
    <w:rsid w:val="000A5A86"/>
    <w:rsid w:val="000B1421"/>
    <w:rsid w:val="000B3BF6"/>
    <w:rsid w:val="000B4FE3"/>
    <w:rsid w:val="000C0DEF"/>
    <w:rsid w:val="000C4EBB"/>
    <w:rsid w:val="000D6D41"/>
    <w:rsid w:val="00104125"/>
    <w:rsid w:val="001047C8"/>
    <w:rsid w:val="00110488"/>
    <w:rsid w:val="001147AF"/>
    <w:rsid w:val="001213DB"/>
    <w:rsid w:val="00126222"/>
    <w:rsid w:val="0013599D"/>
    <w:rsid w:val="00142024"/>
    <w:rsid w:val="00145360"/>
    <w:rsid w:val="00147580"/>
    <w:rsid w:val="001574DE"/>
    <w:rsid w:val="00171EA4"/>
    <w:rsid w:val="00172A66"/>
    <w:rsid w:val="0018632C"/>
    <w:rsid w:val="001970D4"/>
    <w:rsid w:val="001A113C"/>
    <w:rsid w:val="001A294A"/>
    <w:rsid w:val="001A2C9C"/>
    <w:rsid w:val="001B2B50"/>
    <w:rsid w:val="001B574A"/>
    <w:rsid w:val="001C1363"/>
    <w:rsid w:val="001D4EF6"/>
    <w:rsid w:val="001D63AD"/>
    <w:rsid w:val="001E4111"/>
    <w:rsid w:val="001F2B80"/>
    <w:rsid w:val="001F4C0E"/>
    <w:rsid w:val="001F7B2B"/>
    <w:rsid w:val="002006BB"/>
    <w:rsid w:val="00201439"/>
    <w:rsid w:val="00206330"/>
    <w:rsid w:val="00206D19"/>
    <w:rsid w:val="00207C3A"/>
    <w:rsid w:val="00212A41"/>
    <w:rsid w:val="002267D2"/>
    <w:rsid w:val="002302DF"/>
    <w:rsid w:val="00235FB2"/>
    <w:rsid w:val="00243E09"/>
    <w:rsid w:val="00251036"/>
    <w:rsid w:val="00251AA0"/>
    <w:rsid w:val="002574FC"/>
    <w:rsid w:val="002621FF"/>
    <w:rsid w:val="002664AD"/>
    <w:rsid w:val="002669C5"/>
    <w:rsid w:val="00267395"/>
    <w:rsid w:val="00270BC4"/>
    <w:rsid w:val="00272616"/>
    <w:rsid w:val="00276446"/>
    <w:rsid w:val="00286441"/>
    <w:rsid w:val="00293C6E"/>
    <w:rsid w:val="00293ECC"/>
    <w:rsid w:val="00296708"/>
    <w:rsid w:val="002A3F8F"/>
    <w:rsid w:val="002A4902"/>
    <w:rsid w:val="002B6E6F"/>
    <w:rsid w:val="002C3AC1"/>
    <w:rsid w:val="002D023C"/>
    <w:rsid w:val="002D5933"/>
    <w:rsid w:val="002E4002"/>
    <w:rsid w:val="002F5A48"/>
    <w:rsid w:val="0030022A"/>
    <w:rsid w:val="00310610"/>
    <w:rsid w:val="00311FCD"/>
    <w:rsid w:val="003164BE"/>
    <w:rsid w:val="00326003"/>
    <w:rsid w:val="003305A5"/>
    <w:rsid w:val="0034185F"/>
    <w:rsid w:val="00345C15"/>
    <w:rsid w:val="0035744A"/>
    <w:rsid w:val="00372415"/>
    <w:rsid w:val="0037572D"/>
    <w:rsid w:val="0039036E"/>
    <w:rsid w:val="003B1847"/>
    <w:rsid w:val="003B51F6"/>
    <w:rsid w:val="003B53A0"/>
    <w:rsid w:val="003B5E46"/>
    <w:rsid w:val="003B6F9A"/>
    <w:rsid w:val="003B72BB"/>
    <w:rsid w:val="003C34D1"/>
    <w:rsid w:val="003C40E3"/>
    <w:rsid w:val="003C6C20"/>
    <w:rsid w:val="003D0292"/>
    <w:rsid w:val="003E4330"/>
    <w:rsid w:val="003F2C82"/>
    <w:rsid w:val="003F6DC5"/>
    <w:rsid w:val="003F7C3D"/>
    <w:rsid w:val="004038EE"/>
    <w:rsid w:val="00405F9E"/>
    <w:rsid w:val="00431230"/>
    <w:rsid w:val="0043662E"/>
    <w:rsid w:val="004446AF"/>
    <w:rsid w:val="00452D5F"/>
    <w:rsid w:val="00453D46"/>
    <w:rsid w:val="00455774"/>
    <w:rsid w:val="00457424"/>
    <w:rsid w:val="0046348C"/>
    <w:rsid w:val="00465070"/>
    <w:rsid w:val="004653F7"/>
    <w:rsid w:val="00472AD0"/>
    <w:rsid w:val="00485D64"/>
    <w:rsid w:val="00486DB9"/>
    <w:rsid w:val="004873E1"/>
    <w:rsid w:val="00492936"/>
    <w:rsid w:val="00495897"/>
    <w:rsid w:val="004969B9"/>
    <w:rsid w:val="004A6699"/>
    <w:rsid w:val="004B0645"/>
    <w:rsid w:val="004B7567"/>
    <w:rsid w:val="004C09CC"/>
    <w:rsid w:val="004C110D"/>
    <w:rsid w:val="004C1B6A"/>
    <w:rsid w:val="004C33B0"/>
    <w:rsid w:val="004D79DE"/>
    <w:rsid w:val="004E0894"/>
    <w:rsid w:val="004F08BF"/>
    <w:rsid w:val="004F5515"/>
    <w:rsid w:val="00506BB6"/>
    <w:rsid w:val="005209B1"/>
    <w:rsid w:val="00530231"/>
    <w:rsid w:val="005613B3"/>
    <w:rsid w:val="0058024B"/>
    <w:rsid w:val="00580829"/>
    <w:rsid w:val="00586A61"/>
    <w:rsid w:val="00587541"/>
    <w:rsid w:val="00595B74"/>
    <w:rsid w:val="005A2670"/>
    <w:rsid w:val="005A6DA2"/>
    <w:rsid w:val="005B3070"/>
    <w:rsid w:val="005B7808"/>
    <w:rsid w:val="005D1B08"/>
    <w:rsid w:val="005D24F8"/>
    <w:rsid w:val="005D6898"/>
    <w:rsid w:val="005D760A"/>
    <w:rsid w:val="005E1B5C"/>
    <w:rsid w:val="005F506A"/>
    <w:rsid w:val="00601BB0"/>
    <w:rsid w:val="0060394C"/>
    <w:rsid w:val="006205B5"/>
    <w:rsid w:val="00624FE2"/>
    <w:rsid w:val="0062717F"/>
    <w:rsid w:val="006346B2"/>
    <w:rsid w:val="00641011"/>
    <w:rsid w:val="00652412"/>
    <w:rsid w:val="00652A02"/>
    <w:rsid w:val="0065565D"/>
    <w:rsid w:val="00670FDF"/>
    <w:rsid w:val="00671CC6"/>
    <w:rsid w:val="00672358"/>
    <w:rsid w:val="006927B1"/>
    <w:rsid w:val="00694367"/>
    <w:rsid w:val="006A2564"/>
    <w:rsid w:val="006A2A7C"/>
    <w:rsid w:val="006A3D5A"/>
    <w:rsid w:val="006A4F8E"/>
    <w:rsid w:val="006B4753"/>
    <w:rsid w:val="006B7F81"/>
    <w:rsid w:val="006C04DB"/>
    <w:rsid w:val="006C35F4"/>
    <w:rsid w:val="006C6A76"/>
    <w:rsid w:val="006D2E9A"/>
    <w:rsid w:val="006D3B37"/>
    <w:rsid w:val="006D3C18"/>
    <w:rsid w:val="006D58C4"/>
    <w:rsid w:val="006D58F1"/>
    <w:rsid w:val="006E1F59"/>
    <w:rsid w:val="006F2A94"/>
    <w:rsid w:val="006F2E08"/>
    <w:rsid w:val="006F4036"/>
    <w:rsid w:val="006F4B62"/>
    <w:rsid w:val="00701792"/>
    <w:rsid w:val="007264F4"/>
    <w:rsid w:val="00737999"/>
    <w:rsid w:val="00744151"/>
    <w:rsid w:val="00757C49"/>
    <w:rsid w:val="00765094"/>
    <w:rsid w:val="007733D7"/>
    <w:rsid w:val="007767A2"/>
    <w:rsid w:val="00790020"/>
    <w:rsid w:val="0079162D"/>
    <w:rsid w:val="007A5276"/>
    <w:rsid w:val="007B0C10"/>
    <w:rsid w:val="007B144A"/>
    <w:rsid w:val="007C76E0"/>
    <w:rsid w:val="007F54E6"/>
    <w:rsid w:val="007F553F"/>
    <w:rsid w:val="0080218F"/>
    <w:rsid w:val="008072EB"/>
    <w:rsid w:val="008144B4"/>
    <w:rsid w:val="00816B6A"/>
    <w:rsid w:val="00816FE2"/>
    <w:rsid w:val="008206CD"/>
    <w:rsid w:val="008363C1"/>
    <w:rsid w:val="00837FDB"/>
    <w:rsid w:val="0084613F"/>
    <w:rsid w:val="008477F5"/>
    <w:rsid w:val="008602D9"/>
    <w:rsid w:val="008604ED"/>
    <w:rsid w:val="008672A7"/>
    <w:rsid w:val="0087669A"/>
    <w:rsid w:val="008812E6"/>
    <w:rsid w:val="00882763"/>
    <w:rsid w:val="00884C74"/>
    <w:rsid w:val="0088705A"/>
    <w:rsid w:val="0088731E"/>
    <w:rsid w:val="0089009D"/>
    <w:rsid w:val="008958E7"/>
    <w:rsid w:val="008B6406"/>
    <w:rsid w:val="008C6958"/>
    <w:rsid w:val="008D6C5D"/>
    <w:rsid w:val="008E09C0"/>
    <w:rsid w:val="008E1D31"/>
    <w:rsid w:val="008E4136"/>
    <w:rsid w:val="008E49FA"/>
    <w:rsid w:val="008E4F06"/>
    <w:rsid w:val="00912AF2"/>
    <w:rsid w:val="00922136"/>
    <w:rsid w:val="00922A79"/>
    <w:rsid w:val="0092664B"/>
    <w:rsid w:val="00935588"/>
    <w:rsid w:val="00935B9D"/>
    <w:rsid w:val="00936971"/>
    <w:rsid w:val="009374A1"/>
    <w:rsid w:val="00944ADE"/>
    <w:rsid w:val="0094693B"/>
    <w:rsid w:val="00952ABC"/>
    <w:rsid w:val="00957352"/>
    <w:rsid w:val="009579EA"/>
    <w:rsid w:val="009608E7"/>
    <w:rsid w:val="00962CB9"/>
    <w:rsid w:val="009703DE"/>
    <w:rsid w:val="00971506"/>
    <w:rsid w:val="00971582"/>
    <w:rsid w:val="00974C21"/>
    <w:rsid w:val="00986337"/>
    <w:rsid w:val="00991408"/>
    <w:rsid w:val="009A055A"/>
    <w:rsid w:val="009A2E25"/>
    <w:rsid w:val="009B2995"/>
    <w:rsid w:val="009C3529"/>
    <w:rsid w:val="009C45BC"/>
    <w:rsid w:val="009D59E0"/>
    <w:rsid w:val="009E4F93"/>
    <w:rsid w:val="009E5FEA"/>
    <w:rsid w:val="00A011BD"/>
    <w:rsid w:val="00A02BCD"/>
    <w:rsid w:val="00A06D4D"/>
    <w:rsid w:val="00A15EA1"/>
    <w:rsid w:val="00A5481F"/>
    <w:rsid w:val="00A63221"/>
    <w:rsid w:val="00A63D20"/>
    <w:rsid w:val="00AA4A26"/>
    <w:rsid w:val="00AB33AD"/>
    <w:rsid w:val="00AB617E"/>
    <w:rsid w:val="00AD0CB9"/>
    <w:rsid w:val="00AE263F"/>
    <w:rsid w:val="00AE3D7A"/>
    <w:rsid w:val="00AE4CBE"/>
    <w:rsid w:val="00AE675D"/>
    <w:rsid w:val="00AE6F69"/>
    <w:rsid w:val="00AF0B24"/>
    <w:rsid w:val="00B0064A"/>
    <w:rsid w:val="00B0360D"/>
    <w:rsid w:val="00B12F20"/>
    <w:rsid w:val="00B14878"/>
    <w:rsid w:val="00B26A2E"/>
    <w:rsid w:val="00B33B2A"/>
    <w:rsid w:val="00B440CC"/>
    <w:rsid w:val="00B54503"/>
    <w:rsid w:val="00B75028"/>
    <w:rsid w:val="00B86B9B"/>
    <w:rsid w:val="00B904C0"/>
    <w:rsid w:val="00B970DD"/>
    <w:rsid w:val="00BA2323"/>
    <w:rsid w:val="00BA3492"/>
    <w:rsid w:val="00BA60B2"/>
    <w:rsid w:val="00BB4497"/>
    <w:rsid w:val="00BB5A5C"/>
    <w:rsid w:val="00BC5EB3"/>
    <w:rsid w:val="00BD7DD9"/>
    <w:rsid w:val="00BF0BAD"/>
    <w:rsid w:val="00BF123F"/>
    <w:rsid w:val="00BF3623"/>
    <w:rsid w:val="00BF671D"/>
    <w:rsid w:val="00C043AF"/>
    <w:rsid w:val="00C11250"/>
    <w:rsid w:val="00C14152"/>
    <w:rsid w:val="00C17E7B"/>
    <w:rsid w:val="00C22B23"/>
    <w:rsid w:val="00C41482"/>
    <w:rsid w:val="00C452EB"/>
    <w:rsid w:val="00C47059"/>
    <w:rsid w:val="00C5450E"/>
    <w:rsid w:val="00C5491E"/>
    <w:rsid w:val="00C67C32"/>
    <w:rsid w:val="00C94AE0"/>
    <w:rsid w:val="00C952F2"/>
    <w:rsid w:val="00CB27D3"/>
    <w:rsid w:val="00CB51D8"/>
    <w:rsid w:val="00CC5FD7"/>
    <w:rsid w:val="00CD2EFB"/>
    <w:rsid w:val="00CD3DBE"/>
    <w:rsid w:val="00CD4CC0"/>
    <w:rsid w:val="00CD6A43"/>
    <w:rsid w:val="00CE2D2C"/>
    <w:rsid w:val="00CE5610"/>
    <w:rsid w:val="00CE7470"/>
    <w:rsid w:val="00CE7A76"/>
    <w:rsid w:val="00D105F1"/>
    <w:rsid w:val="00D1158A"/>
    <w:rsid w:val="00D20662"/>
    <w:rsid w:val="00D20A03"/>
    <w:rsid w:val="00D215FE"/>
    <w:rsid w:val="00D3048F"/>
    <w:rsid w:val="00D33E5A"/>
    <w:rsid w:val="00D34689"/>
    <w:rsid w:val="00D447B9"/>
    <w:rsid w:val="00D51D32"/>
    <w:rsid w:val="00D733A1"/>
    <w:rsid w:val="00D810B2"/>
    <w:rsid w:val="00D92CCB"/>
    <w:rsid w:val="00D95141"/>
    <w:rsid w:val="00DB1E1C"/>
    <w:rsid w:val="00DB7F3E"/>
    <w:rsid w:val="00DD475E"/>
    <w:rsid w:val="00DE14ED"/>
    <w:rsid w:val="00DF35E3"/>
    <w:rsid w:val="00DF5AB5"/>
    <w:rsid w:val="00E00AD5"/>
    <w:rsid w:val="00E15F64"/>
    <w:rsid w:val="00E162C4"/>
    <w:rsid w:val="00E16404"/>
    <w:rsid w:val="00E21A7D"/>
    <w:rsid w:val="00E261FA"/>
    <w:rsid w:val="00E27B16"/>
    <w:rsid w:val="00E407D9"/>
    <w:rsid w:val="00E41A21"/>
    <w:rsid w:val="00E51D72"/>
    <w:rsid w:val="00E55582"/>
    <w:rsid w:val="00E66861"/>
    <w:rsid w:val="00E732DC"/>
    <w:rsid w:val="00E8496A"/>
    <w:rsid w:val="00E9347E"/>
    <w:rsid w:val="00E97F7C"/>
    <w:rsid w:val="00EA1C9A"/>
    <w:rsid w:val="00EA225E"/>
    <w:rsid w:val="00EA2894"/>
    <w:rsid w:val="00EA29F5"/>
    <w:rsid w:val="00EA3908"/>
    <w:rsid w:val="00EB5F98"/>
    <w:rsid w:val="00EC082F"/>
    <w:rsid w:val="00EC5BEA"/>
    <w:rsid w:val="00ED4F48"/>
    <w:rsid w:val="00EF5D21"/>
    <w:rsid w:val="00F039E7"/>
    <w:rsid w:val="00F14117"/>
    <w:rsid w:val="00F2039D"/>
    <w:rsid w:val="00F21233"/>
    <w:rsid w:val="00F23872"/>
    <w:rsid w:val="00F45D51"/>
    <w:rsid w:val="00F46D65"/>
    <w:rsid w:val="00F559E9"/>
    <w:rsid w:val="00F61D4F"/>
    <w:rsid w:val="00F72682"/>
    <w:rsid w:val="00F87580"/>
    <w:rsid w:val="00F91847"/>
    <w:rsid w:val="00F945DF"/>
    <w:rsid w:val="00FA0A9E"/>
    <w:rsid w:val="00FA1303"/>
    <w:rsid w:val="00FA1750"/>
    <w:rsid w:val="00FA51ED"/>
    <w:rsid w:val="00FB24B4"/>
    <w:rsid w:val="00FB2B8F"/>
    <w:rsid w:val="00FB398D"/>
    <w:rsid w:val="00FB62A3"/>
    <w:rsid w:val="00FB7C47"/>
    <w:rsid w:val="00FC4056"/>
    <w:rsid w:val="00FC6B84"/>
    <w:rsid w:val="00FD1388"/>
    <w:rsid w:val="00FD4A4A"/>
    <w:rsid w:val="00FE7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7312DF"/>
  <w15:docId w15:val="{A37C9133-9159-416A-89E4-2356884A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812E6"/>
    <w:pPr>
      <w:spacing w:before="60" w:after="60" w:line="240" w:lineRule="exact"/>
      <w:ind w:firstLine="397"/>
      <w:jc w:val="both"/>
    </w:pPr>
  </w:style>
  <w:style w:type="paragraph" w:styleId="Nagwek1">
    <w:name w:val="heading 1"/>
    <w:basedOn w:val="Normalny"/>
    <w:next w:val="Normalny"/>
    <w:link w:val="Nagwek1Znak"/>
    <w:autoRedefine/>
    <w:qFormat/>
    <w:rsid w:val="00104125"/>
    <w:pPr>
      <w:suppressAutoHyphens/>
      <w:spacing w:before="100" w:beforeAutospacing="1" w:after="100" w:afterAutospacing="1" w:line="360" w:lineRule="auto"/>
      <w:ind w:firstLine="0"/>
      <w:outlineLvl w:val="0"/>
    </w:pPr>
    <w:rPr>
      <w:rFonts w:cs="Arial"/>
      <w:b/>
      <w:bCs/>
      <w:color w:val="000000" w:themeColor="text1"/>
      <w:kern w:val="32"/>
      <w:sz w:val="24"/>
      <w:szCs w:val="24"/>
      <w:lang w:val="en-US"/>
    </w:rPr>
  </w:style>
  <w:style w:type="paragraph" w:styleId="Nagwek2">
    <w:name w:val="heading 2"/>
    <w:basedOn w:val="Subtitle2"/>
    <w:next w:val="Normalny"/>
    <w:link w:val="Nagwek2Znak"/>
    <w:uiPriority w:val="9"/>
    <w:unhideWhenUsed/>
    <w:qFormat/>
    <w:rsid w:val="005613B3"/>
    <w:pPr>
      <w:spacing w:before="240"/>
      <w:outlineLvl w:val="1"/>
    </w:pPr>
    <w:rPr>
      <w:rFonts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customStyle="1" w:styleId="Wypunktowanie">
    <w:name w:val="Wypunktowanie"/>
    <w:basedOn w:val="NoIndent"/>
    <w:qFormat/>
    <w:rsid w:val="005613B3"/>
    <w:pPr>
      <w:numPr>
        <w:numId w:val="9"/>
      </w:numPr>
      <w:tabs>
        <w:tab w:val="left" w:pos="709"/>
      </w:tabs>
      <w:suppressAutoHyphens/>
    </w:pPr>
  </w:style>
  <w:style w:type="paragraph" w:customStyle="1" w:styleId="Authors">
    <w:name w:val="Authors"/>
    <w:basedOn w:val="Normalny"/>
    <w:pPr>
      <w:spacing w:before="560" w:after="0"/>
      <w:ind w:firstLine="0"/>
      <w:jc w:val="center"/>
      <w:outlineLvl w:val="0"/>
    </w:pPr>
    <w:rPr>
      <w:caps/>
      <w:noProof/>
      <w:sz w:val="22"/>
    </w:rPr>
  </w:style>
  <w:style w:type="paragraph" w:styleId="Tytu">
    <w:name w:val="Title"/>
    <w:basedOn w:val="Normalny"/>
    <w:qFormat/>
    <w:pPr>
      <w:spacing w:before="560" w:after="264"/>
      <w:ind w:firstLine="0"/>
      <w:jc w:val="center"/>
      <w:outlineLvl w:val="0"/>
    </w:pPr>
    <w:rPr>
      <w:rFonts w:cs="Arial"/>
      <w:b/>
      <w:bCs/>
      <w:caps/>
      <w:kern w:val="28"/>
      <w:szCs w:val="32"/>
    </w:rPr>
  </w:style>
  <w:style w:type="paragraph" w:customStyle="1" w:styleId="Summary">
    <w:name w:val="Summary"/>
    <w:basedOn w:val="Normalny"/>
    <w:link w:val="SummaryZnak"/>
    <w:autoRedefine/>
    <w:rsid w:val="00CE5610"/>
    <w:pPr>
      <w:spacing w:line="200" w:lineRule="exact"/>
      <w:ind w:firstLine="0"/>
    </w:pPr>
    <w:rPr>
      <w:sz w:val="18"/>
    </w:rPr>
  </w:style>
  <w:style w:type="paragraph" w:customStyle="1" w:styleId="Subtitle1">
    <w:name w:val="Subtitle 1"/>
    <w:basedOn w:val="Nagwek1"/>
  </w:style>
  <w:style w:type="paragraph" w:styleId="Tekstprzypisudolnego">
    <w:name w:val="footnote text"/>
    <w:basedOn w:val="Normalny"/>
    <w:autoRedefine/>
    <w:semiHidden/>
    <w:rsid w:val="006F2A94"/>
    <w:pPr>
      <w:tabs>
        <w:tab w:val="left" w:pos="680"/>
      </w:tabs>
      <w:suppressAutoHyphens/>
      <w:spacing w:before="100" w:beforeAutospacing="1" w:after="100" w:afterAutospacing="1" w:line="360" w:lineRule="auto"/>
    </w:pPr>
    <w:rPr>
      <w:sz w:val="18"/>
    </w:rPr>
  </w:style>
  <w:style w:type="character" w:styleId="Odwoanieprzypisudolnego">
    <w:name w:val="footnote reference"/>
    <w:basedOn w:val="Domylnaczcionkaakapitu"/>
    <w:semiHidden/>
    <w:rPr>
      <w:vertAlign w:val="superscript"/>
    </w:rPr>
  </w:style>
  <w:style w:type="paragraph" w:customStyle="1" w:styleId="Numerowanie">
    <w:name w:val="Numerowanie"/>
    <w:basedOn w:val="NoIndent"/>
    <w:autoRedefine/>
    <w:qFormat/>
    <w:pPr>
      <w:numPr>
        <w:numId w:val="7"/>
      </w:numPr>
    </w:pPr>
  </w:style>
  <w:style w:type="paragraph" w:customStyle="1" w:styleId="NoIndent">
    <w:name w:val="No Indent"/>
    <w:basedOn w:val="Normalny"/>
    <w:link w:val="NoIndentZnak"/>
    <w:pPr>
      <w:spacing w:before="0" w:after="0"/>
      <w:ind w:firstLine="0"/>
    </w:pPr>
  </w:style>
  <w:style w:type="paragraph" w:customStyle="1" w:styleId="Subtitle2">
    <w:name w:val="Subtitle 2"/>
    <w:basedOn w:val="Subtitle1"/>
  </w:style>
  <w:style w:type="paragraph" w:customStyle="1" w:styleId="Wzory">
    <w:name w:val="Wzory"/>
    <w:basedOn w:val="NoIndent"/>
    <w:autoRedefine/>
    <w:qFormat/>
    <w:pPr>
      <w:tabs>
        <w:tab w:val="center" w:pos="3686"/>
        <w:tab w:val="right" w:pos="7371"/>
      </w:tabs>
      <w:spacing w:before="280" w:after="200" w:line="240" w:lineRule="atLeast"/>
      <w:jc w:val="center"/>
    </w:pPr>
  </w:style>
  <w:style w:type="paragraph" w:styleId="Nagwek">
    <w:name w:val="header"/>
    <w:basedOn w:val="Normalny"/>
    <w:link w:val="NagwekZnak"/>
    <w:uiPriority w:val="99"/>
    <w:pPr>
      <w:tabs>
        <w:tab w:val="center" w:pos="4536"/>
        <w:tab w:val="right" w:pos="9072"/>
      </w:tabs>
    </w:pPr>
  </w:style>
  <w:style w:type="paragraph" w:customStyle="1" w:styleId="TableRight">
    <w:name w:val="Table Right"/>
    <w:basedOn w:val="NoIndent"/>
    <w:pPr>
      <w:jc w:val="right"/>
    </w:pPr>
    <w:rPr>
      <w:i/>
      <w:iCs/>
    </w:rPr>
  </w:style>
  <w:style w:type="paragraph" w:customStyle="1" w:styleId="TableLeft">
    <w:name w:val="Table Left"/>
    <w:basedOn w:val="NoIndent"/>
  </w:style>
  <w:style w:type="paragraph" w:customStyle="1" w:styleId="TableCentre">
    <w:name w:val="Table Centre"/>
    <w:basedOn w:val="NoIndent"/>
    <w:autoRedefine/>
    <w:pPr>
      <w:jc w:val="center"/>
    </w:pPr>
    <w:rPr>
      <w:sz w:val="18"/>
    </w:rPr>
  </w:style>
  <w:style w:type="paragraph" w:customStyle="1" w:styleId="TableCaption">
    <w:name w:val="Table Caption"/>
    <w:basedOn w:val="NoIndent"/>
    <w:autoRedefine/>
    <w:rsid w:val="002664AD"/>
    <w:pPr>
      <w:keepNext/>
      <w:suppressAutoHyphens/>
      <w:spacing w:before="300" w:after="60" w:line="240" w:lineRule="auto"/>
      <w:jc w:val="center"/>
    </w:pPr>
    <w:rPr>
      <w:b/>
      <w:sz w:val="18"/>
    </w:rPr>
  </w:style>
  <w:style w:type="paragraph" w:customStyle="1" w:styleId="TableTitle">
    <w:name w:val="Table Title"/>
    <w:basedOn w:val="TableCaption"/>
    <w:autoRedefine/>
    <w:pPr>
      <w:spacing w:before="60"/>
    </w:pPr>
    <w:rPr>
      <w:b w:val="0"/>
    </w:rPr>
  </w:style>
  <w:style w:type="paragraph" w:customStyle="1" w:styleId="Tabela">
    <w:name w:val="Tabela"/>
    <w:basedOn w:val="TableCaption"/>
    <w:qFormat/>
    <w:pPr>
      <w:spacing w:before="40" w:after="40"/>
    </w:pPr>
    <w:rPr>
      <w:b w:val="0"/>
      <w:bCs/>
    </w:rPr>
  </w:style>
  <w:style w:type="paragraph" w:customStyle="1" w:styleId="TableText">
    <w:name w:val="Table Text"/>
    <w:basedOn w:val="TableCaption"/>
    <w:autoRedefine/>
    <w:pPr>
      <w:spacing w:before="40" w:after="40"/>
      <w:jc w:val="left"/>
    </w:pPr>
    <w:rPr>
      <w:b w:val="0"/>
      <w:bCs/>
    </w:rPr>
  </w:style>
  <w:style w:type="paragraph" w:customStyle="1" w:styleId="TableTextCentre">
    <w:name w:val="Table Text Centre"/>
    <w:basedOn w:val="TableText"/>
    <w:pPr>
      <w:jc w:val="center"/>
    </w:pPr>
  </w:style>
  <w:style w:type="paragraph" w:customStyle="1" w:styleId="TableNotes">
    <w:name w:val="Table Notes"/>
    <w:basedOn w:val="NoIndent"/>
    <w:autoRedefine/>
    <w:rsid w:val="009C3529"/>
    <w:pPr>
      <w:suppressAutoHyphens/>
      <w:jc w:val="center"/>
    </w:pPr>
    <w:rPr>
      <w:sz w:val="16"/>
    </w:rPr>
  </w:style>
  <w:style w:type="paragraph" w:styleId="Legenda">
    <w:name w:val="caption"/>
    <w:basedOn w:val="Normalny"/>
    <w:next w:val="Normalny"/>
    <w:link w:val="LegendaZnak"/>
    <w:autoRedefine/>
    <w:uiPriority w:val="35"/>
    <w:qFormat/>
    <w:rsid w:val="00F72682"/>
    <w:pPr>
      <w:keepNext/>
      <w:spacing w:before="0" w:after="120"/>
      <w:ind w:firstLine="0"/>
      <w:jc w:val="center"/>
    </w:pPr>
    <w:rPr>
      <w:rFonts w:eastAsia="Calibri"/>
      <w:sz w:val="16"/>
      <w:szCs w:val="16"/>
      <w:lang w:eastAsia="en-US"/>
    </w:rPr>
  </w:style>
  <w:style w:type="paragraph" w:customStyle="1" w:styleId="Literatura">
    <w:name w:val="Literatura"/>
    <w:basedOn w:val="NoIndent"/>
    <w:qFormat/>
    <w:pPr>
      <w:spacing w:after="60"/>
      <w:ind w:left="397" w:hanging="397"/>
      <w:jc w:val="left"/>
    </w:pPr>
  </w:style>
  <w:style w:type="paragraph" w:customStyle="1" w:styleId="Subtitle3">
    <w:name w:val="Subtitle 3"/>
    <w:basedOn w:val="Subtitle2"/>
    <w:autoRedefine/>
    <w:rPr>
      <w:sz w:val="20"/>
      <w:lang w:val="pl-PL"/>
    </w:rPr>
  </w:style>
  <w:style w:type="paragraph" w:styleId="Tekstpodstawowywcity">
    <w:name w:val="Body Text Indent"/>
    <w:basedOn w:val="Normalny"/>
    <w:semiHidden/>
  </w:style>
  <w:style w:type="paragraph" w:customStyle="1" w:styleId="Recenzent">
    <w:name w:val="Recenzent"/>
    <w:basedOn w:val="NoIndent"/>
    <w:pPr>
      <w:spacing w:before="567" w:after="360"/>
      <w:ind w:left="397"/>
    </w:pPr>
  </w:style>
  <w:style w:type="paragraph" w:styleId="Tekstprzypisukocowego">
    <w:name w:val="endnote text"/>
    <w:basedOn w:val="Normalny"/>
    <w:semiHidden/>
  </w:style>
  <w:style w:type="character" w:styleId="Odwoanieprzypisukocowego">
    <w:name w:val="endnote reference"/>
    <w:basedOn w:val="Domylnaczcionkaakapitu"/>
    <w:semiHidden/>
    <w:rPr>
      <w:vertAlign w:val="superscript"/>
    </w:rPr>
  </w:style>
  <w:style w:type="paragraph" w:customStyle="1" w:styleId="SummaryGB">
    <w:name w:val="Summary GB"/>
    <w:basedOn w:val="Summary"/>
    <w:autoRedefine/>
    <w:pPr>
      <w:spacing w:before="240"/>
    </w:pPr>
  </w:style>
  <w:style w:type="paragraph" w:customStyle="1" w:styleId="Rysunek">
    <w:name w:val="Rysunek"/>
    <w:basedOn w:val="Legenda"/>
    <w:link w:val="RysunekZnak"/>
    <w:qFormat/>
    <w:rsid w:val="00EF5D21"/>
    <w:pPr>
      <w:spacing w:after="60" w:line="240" w:lineRule="auto"/>
    </w:pPr>
    <w:rPr>
      <w:b/>
      <w:spacing w:val="4"/>
    </w:rPr>
  </w:style>
  <w:style w:type="paragraph" w:styleId="Spistreci9">
    <w:name w:val="toc 9"/>
    <w:basedOn w:val="Normalny"/>
    <w:next w:val="Normalny"/>
    <w:autoRedefine/>
    <w:semiHidden/>
    <w:pPr>
      <w:autoSpaceDE w:val="0"/>
      <w:autoSpaceDN w:val="0"/>
      <w:spacing w:before="0" w:after="0" w:line="240" w:lineRule="auto"/>
      <w:ind w:left="1920"/>
    </w:pPr>
  </w:style>
  <w:style w:type="paragraph" w:styleId="Tekstpodstawowywcity3">
    <w:name w:val="Body Text Indent 3"/>
    <w:basedOn w:val="Normalny"/>
    <w:semiHidden/>
    <w:pPr>
      <w:autoSpaceDE w:val="0"/>
      <w:autoSpaceDN w:val="0"/>
      <w:spacing w:before="0" w:after="0" w:line="240" w:lineRule="auto"/>
      <w:ind w:firstLine="284"/>
    </w:pPr>
  </w:style>
  <w:style w:type="paragraph" w:customStyle="1" w:styleId="Bullet">
    <w:name w:val="Bullet"/>
    <w:basedOn w:val="Tekstpodstawowywcity"/>
    <w:autoRedefine/>
    <w:pPr>
      <w:numPr>
        <w:numId w:val="8"/>
      </w:numPr>
      <w:tabs>
        <w:tab w:val="left" w:pos="397"/>
      </w:tabs>
      <w:autoSpaceDE w:val="0"/>
      <w:autoSpaceDN w:val="0"/>
      <w:spacing w:before="0" w:after="0" w:line="240" w:lineRule="auto"/>
    </w:pPr>
  </w:style>
  <w:style w:type="paragraph" w:customStyle="1" w:styleId="Streszczenie">
    <w:name w:val="Streszczenie"/>
    <w:basedOn w:val="Summary"/>
    <w:link w:val="StreszczenieZnak"/>
    <w:qFormat/>
    <w:rsid w:val="00CE5610"/>
    <w:pPr>
      <w:suppressAutoHyphens/>
      <w:spacing w:beforeLines="60" w:before="144"/>
    </w:pPr>
  </w:style>
  <w:style w:type="paragraph" w:customStyle="1" w:styleId="Tekst">
    <w:name w:val="Tekst"/>
    <w:basedOn w:val="NoIndent"/>
    <w:link w:val="TekstZnak"/>
    <w:qFormat/>
    <w:rsid w:val="002D5933"/>
    <w:pPr>
      <w:suppressAutoHyphens/>
    </w:pPr>
  </w:style>
  <w:style w:type="character" w:customStyle="1" w:styleId="SummaryZnak">
    <w:name w:val="Summary Znak"/>
    <w:basedOn w:val="Domylnaczcionkaakapitu"/>
    <w:link w:val="Summary"/>
    <w:rsid w:val="00CE5610"/>
    <w:rPr>
      <w:sz w:val="18"/>
    </w:rPr>
  </w:style>
  <w:style w:type="character" w:customStyle="1" w:styleId="StreszczenieZnak">
    <w:name w:val="Streszczenie Znak"/>
    <w:basedOn w:val="SummaryZnak"/>
    <w:link w:val="Streszczenie"/>
    <w:rsid w:val="00CE5610"/>
    <w:rPr>
      <w:sz w:val="18"/>
    </w:rPr>
  </w:style>
  <w:style w:type="character" w:customStyle="1" w:styleId="Nagwek2Znak">
    <w:name w:val="Nagłówek 2 Znak"/>
    <w:basedOn w:val="Domylnaczcionkaakapitu"/>
    <w:link w:val="Nagwek2"/>
    <w:uiPriority w:val="9"/>
    <w:rsid w:val="005613B3"/>
    <w:rPr>
      <w:b/>
      <w:bCs/>
      <w:kern w:val="32"/>
      <w:sz w:val="22"/>
      <w:szCs w:val="32"/>
    </w:rPr>
  </w:style>
  <w:style w:type="character" w:customStyle="1" w:styleId="NoIndentZnak">
    <w:name w:val="No Indent Znak"/>
    <w:basedOn w:val="Domylnaczcionkaakapitu"/>
    <w:link w:val="NoIndent"/>
    <w:rsid w:val="002D5933"/>
  </w:style>
  <w:style w:type="character" w:customStyle="1" w:styleId="TekstZnak">
    <w:name w:val="Tekst Znak"/>
    <w:basedOn w:val="NoIndentZnak"/>
    <w:link w:val="Tekst"/>
    <w:rsid w:val="002D5933"/>
  </w:style>
  <w:style w:type="paragraph" w:customStyle="1" w:styleId="Objanienia">
    <w:name w:val="Objaśnienia"/>
    <w:basedOn w:val="Rysunek"/>
    <w:link w:val="ObjanieniaZnak"/>
    <w:qFormat/>
    <w:rsid w:val="00EF5D21"/>
    <w:rPr>
      <w:b w:val="0"/>
      <w:i/>
    </w:rPr>
  </w:style>
  <w:style w:type="paragraph" w:customStyle="1" w:styleId="rdo">
    <w:name w:val="Źródło"/>
    <w:basedOn w:val="Rysunek"/>
    <w:link w:val="rdoZnak"/>
    <w:qFormat/>
    <w:rsid w:val="00EF5D21"/>
    <w:pPr>
      <w:spacing w:after="240"/>
    </w:pPr>
    <w:rPr>
      <w:b w:val="0"/>
    </w:rPr>
  </w:style>
  <w:style w:type="character" w:customStyle="1" w:styleId="LegendaZnak">
    <w:name w:val="Legenda Znak"/>
    <w:basedOn w:val="Domylnaczcionkaakapitu"/>
    <w:link w:val="Legenda"/>
    <w:uiPriority w:val="35"/>
    <w:rsid w:val="00F72682"/>
    <w:rPr>
      <w:rFonts w:eastAsia="Calibri"/>
      <w:sz w:val="16"/>
      <w:szCs w:val="16"/>
      <w:lang w:eastAsia="en-US"/>
    </w:rPr>
  </w:style>
  <w:style w:type="character" w:customStyle="1" w:styleId="RysunekZnak">
    <w:name w:val="Rysunek Znak"/>
    <w:basedOn w:val="LegendaZnak"/>
    <w:link w:val="Rysunek"/>
    <w:rsid w:val="00EF5D21"/>
    <w:rPr>
      <w:rFonts w:eastAsia="Calibri"/>
      <w:b/>
      <w:spacing w:val="4"/>
      <w:sz w:val="18"/>
      <w:szCs w:val="16"/>
      <w:lang w:eastAsia="en-US"/>
    </w:rPr>
  </w:style>
  <w:style w:type="character" w:customStyle="1" w:styleId="ObjanieniaZnak">
    <w:name w:val="Objaśnienia Znak"/>
    <w:basedOn w:val="RysunekZnak"/>
    <w:link w:val="Objanienia"/>
    <w:rsid w:val="00EF5D21"/>
    <w:rPr>
      <w:rFonts w:eastAsia="Calibri"/>
      <w:b w:val="0"/>
      <w:i/>
      <w:spacing w:val="4"/>
      <w:sz w:val="16"/>
      <w:szCs w:val="16"/>
      <w:lang w:eastAsia="en-US"/>
    </w:rPr>
  </w:style>
  <w:style w:type="character" w:styleId="Hipercze">
    <w:name w:val="Hyperlink"/>
    <w:basedOn w:val="Domylnaczcionkaakapitu"/>
    <w:uiPriority w:val="99"/>
    <w:unhideWhenUsed/>
    <w:rsid w:val="002A4902"/>
    <w:rPr>
      <w:color w:val="0000FF" w:themeColor="hyperlink"/>
      <w:u w:val="single"/>
    </w:rPr>
  </w:style>
  <w:style w:type="character" w:customStyle="1" w:styleId="rdoZnak">
    <w:name w:val="Źródło Znak"/>
    <w:basedOn w:val="RysunekZnak"/>
    <w:link w:val="rdo"/>
    <w:rsid w:val="00EF5D21"/>
    <w:rPr>
      <w:rFonts w:eastAsia="Calibri"/>
      <w:b w:val="0"/>
      <w:spacing w:val="4"/>
      <w:sz w:val="16"/>
      <w:szCs w:val="16"/>
      <w:lang w:eastAsia="en-US"/>
    </w:rPr>
  </w:style>
  <w:style w:type="paragraph" w:styleId="Tekstdymka">
    <w:name w:val="Balloon Text"/>
    <w:basedOn w:val="Normalny"/>
    <w:link w:val="TekstdymkaZnak"/>
    <w:uiPriority w:val="99"/>
    <w:semiHidden/>
    <w:unhideWhenUsed/>
    <w:rsid w:val="00E162C4"/>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2C4"/>
    <w:rPr>
      <w:rFonts w:ascii="Tahoma" w:hAnsi="Tahoma" w:cs="Tahoma"/>
      <w:sz w:val="16"/>
      <w:szCs w:val="16"/>
    </w:rPr>
  </w:style>
  <w:style w:type="paragraph" w:styleId="Akapitzlist">
    <w:name w:val="List Paragraph"/>
    <w:basedOn w:val="Normalny"/>
    <w:uiPriority w:val="34"/>
    <w:rsid w:val="00BF123F"/>
    <w:pPr>
      <w:ind w:left="720"/>
      <w:contextualSpacing/>
    </w:pPr>
  </w:style>
  <w:style w:type="character" w:customStyle="1" w:styleId="Nagwek1Znak">
    <w:name w:val="Nagłówek 1 Znak"/>
    <w:basedOn w:val="Domylnaczcionkaakapitu"/>
    <w:link w:val="Nagwek1"/>
    <w:rsid w:val="00104125"/>
    <w:rPr>
      <w:rFonts w:cs="Arial"/>
      <w:b/>
      <w:bCs/>
      <w:color w:val="000000" w:themeColor="text1"/>
      <w:kern w:val="32"/>
      <w:sz w:val="24"/>
      <w:szCs w:val="24"/>
      <w:lang w:val="en-US"/>
    </w:rPr>
  </w:style>
  <w:style w:type="paragraph" w:customStyle="1" w:styleId="Afiliacja">
    <w:name w:val="Afiliacja"/>
    <w:basedOn w:val="Normalny"/>
    <w:link w:val="AfiliacjaZnak"/>
    <w:autoRedefine/>
    <w:qFormat/>
    <w:rsid w:val="00201439"/>
    <w:pPr>
      <w:spacing w:before="0" w:after="0" w:line="240" w:lineRule="auto"/>
      <w:ind w:firstLine="0"/>
    </w:pPr>
    <w:rPr>
      <w:rFonts w:eastAsia="Calibri"/>
      <w:sz w:val="22"/>
      <w:lang w:eastAsia="en-US"/>
    </w:rPr>
  </w:style>
  <w:style w:type="character" w:customStyle="1" w:styleId="AfiliacjaZnak">
    <w:name w:val="Afiliacja Znak"/>
    <w:link w:val="Afiliacja"/>
    <w:rsid w:val="00201439"/>
    <w:rPr>
      <w:rFonts w:eastAsia="Calibri"/>
      <w:sz w:val="22"/>
      <w:lang w:eastAsia="en-US"/>
    </w:rPr>
  </w:style>
  <w:style w:type="character" w:customStyle="1" w:styleId="Nierozpoznanawzmianka1">
    <w:name w:val="Nierozpoznana wzmianka1"/>
    <w:basedOn w:val="Domylnaczcionkaakapitu"/>
    <w:uiPriority w:val="99"/>
    <w:semiHidden/>
    <w:unhideWhenUsed/>
    <w:rsid w:val="000812E3"/>
    <w:rPr>
      <w:color w:val="605E5C"/>
      <w:shd w:val="clear" w:color="auto" w:fill="E1DFDD"/>
    </w:rPr>
  </w:style>
  <w:style w:type="character" w:customStyle="1" w:styleId="fontstyle01">
    <w:name w:val="fontstyle01"/>
    <w:basedOn w:val="Domylnaczcionkaakapitu"/>
    <w:rsid w:val="00AE263F"/>
    <w:rPr>
      <w:rFonts w:ascii="AdvOT863180fb" w:hAnsi="AdvOT863180fb" w:hint="default"/>
      <w:b w:val="0"/>
      <w:bCs w:val="0"/>
      <w:i w:val="0"/>
      <w:iCs w:val="0"/>
      <w:color w:val="000000"/>
      <w:sz w:val="22"/>
      <w:szCs w:val="22"/>
    </w:rPr>
  </w:style>
  <w:style w:type="character" w:customStyle="1" w:styleId="fontstyle21">
    <w:name w:val="fontstyle21"/>
    <w:basedOn w:val="Domylnaczcionkaakapitu"/>
    <w:rsid w:val="00AE263F"/>
    <w:rPr>
      <w:rFonts w:ascii="AdvP4C4E59" w:hAnsi="AdvP4C4E59" w:hint="default"/>
      <w:b w:val="0"/>
      <w:bCs w:val="0"/>
      <w:i w:val="0"/>
      <w:iCs w:val="0"/>
      <w:color w:val="000000"/>
      <w:sz w:val="22"/>
      <w:szCs w:val="22"/>
    </w:rPr>
  </w:style>
  <w:style w:type="character" w:customStyle="1" w:styleId="Nierozpoznanawzmianka2">
    <w:name w:val="Nierozpoznana wzmianka2"/>
    <w:basedOn w:val="Domylnaczcionkaakapitu"/>
    <w:uiPriority w:val="99"/>
    <w:semiHidden/>
    <w:unhideWhenUsed/>
    <w:rsid w:val="00757C49"/>
    <w:rPr>
      <w:color w:val="605E5C"/>
      <w:shd w:val="clear" w:color="auto" w:fill="E1DFDD"/>
    </w:rPr>
  </w:style>
  <w:style w:type="paragraph" w:customStyle="1" w:styleId="Rab1">
    <w:name w:val="R_ab1"/>
    <w:next w:val="Normalny"/>
    <w:autoRedefine/>
    <w:qFormat/>
    <w:rsid w:val="00FC6B84"/>
    <w:pPr>
      <w:suppressAutoHyphens/>
      <w:spacing w:before="120"/>
      <w:ind w:left="567" w:right="567"/>
      <w:jc w:val="both"/>
    </w:pPr>
    <w:rPr>
      <w:rFonts w:eastAsia="SimSun"/>
      <w:kern w:val="2"/>
      <w:sz w:val="18"/>
      <w:lang w:val="en-GB"/>
      <w14:ligatures w14:val="standardContextual"/>
    </w:rPr>
  </w:style>
  <w:style w:type="paragraph" w:customStyle="1" w:styleId="Rab2">
    <w:name w:val="R_ab2"/>
    <w:basedOn w:val="Rab1"/>
    <w:next w:val="Normalny"/>
    <w:autoRedefine/>
    <w:qFormat/>
    <w:rsid w:val="00FC6B84"/>
    <w:pPr>
      <w:spacing w:before="60"/>
    </w:pPr>
  </w:style>
  <w:style w:type="paragraph" w:customStyle="1" w:styleId="Rafiliacja">
    <w:name w:val="R_afiliacja"/>
    <w:basedOn w:val="Normalny"/>
    <w:link w:val="RafiliacjaZnak"/>
    <w:qFormat/>
    <w:rsid w:val="00FC6B84"/>
    <w:pPr>
      <w:suppressAutoHyphens/>
      <w:spacing w:before="0" w:after="0" w:line="240" w:lineRule="auto"/>
      <w:ind w:firstLine="0"/>
      <w:jc w:val="center"/>
    </w:pPr>
    <w:rPr>
      <w:rFonts w:eastAsiaTheme="minorHAnsi"/>
      <w:i/>
      <w:kern w:val="2"/>
      <w:szCs w:val="28"/>
      <w:lang w:eastAsia="en-US"/>
      <w14:ligatures w14:val="standardContextual"/>
    </w:rPr>
  </w:style>
  <w:style w:type="character" w:customStyle="1" w:styleId="RafiliacjaZnak">
    <w:name w:val="R_afiliacja Znak"/>
    <w:basedOn w:val="Domylnaczcionkaakapitu"/>
    <w:link w:val="Rafiliacja"/>
    <w:rsid w:val="00FC6B84"/>
    <w:rPr>
      <w:rFonts w:eastAsiaTheme="minorHAnsi"/>
      <w:i/>
      <w:kern w:val="2"/>
      <w:szCs w:val="28"/>
      <w:lang w:eastAsia="en-US"/>
      <w14:ligatures w14:val="standardContextual"/>
    </w:rPr>
  </w:style>
  <w:style w:type="paragraph" w:customStyle="1" w:styleId="Rauco">
    <w:name w:val="R_au_co"/>
    <w:basedOn w:val="Rafiliacja"/>
    <w:autoRedefine/>
    <w:qFormat/>
    <w:rsid w:val="00FC6B84"/>
    <w:pPr>
      <w:spacing w:before="120"/>
    </w:pPr>
    <w:rPr>
      <w:lang w:val="en-GB"/>
    </w:rPr>
  </w:style>
  <w:style w:type="paragraph" w:customStyle="1" w:styleId="Rn1">
    <w:name w:val="R_n1"/>
    <w:basedOn w:val="Normalny"/>
    <w:link w:val="Rn1Znak"/>
    <w:qFormat/>
    <w:rsid w:val="00FC6B84"/>
    <w:pPr>
      <w:suppressAutoHyphens/>
      <w:spacing w:before="240" w:after="120" w:line="240" w:lineRule="auto"/>
      <w:ind w:firstLine="0"/>
    </w:pPr>
    <w:rPr>
      <w:rFonts w:eastAsiaTheme="minorHAnsi" w:cstheme="minorBidi"/>
      <w:b/>
      <w:kern w:val="2"/>
      <w:sz w:val="24"/>
      <w:szCs w:val="22"/>
      <w:lang w:eastAsia="en-US"/>
      <w14:ligatures w14:val="standardContextual"/>
    </w:rPr>
  </w:style>
  <w:style w:type="character" w:customStyle="1" w:styleId="Rn1Znak">
    <w:name w:val="R_n1 Znak"/>
    <w:basedOn w:val="Domylnaczcionkaakapitu"/>
    <w:link w:val="Rn1"/>
    <w:rsid w:val="00FC6B84"/>
    <w:rPr>
      <w:rFonts w:eastAsiaTheme="minorHAnsi" w:cstheme="minorBidi"/>
      <w:b/>
      <w:kern w:val="2"/>
      <w:sz w:val="24"/>
      <w:szCs w:val="22"/>
      <w:lang w:eastAsia="en-US"/>
      <w14:ligatures w14:val="standardContextual"/>
    </w:rPr>
  </w:style>
  <w:style w:type="paragraph" w:customStyle="1" w:styleId="Rn2">
    <w:name w:val="R_n2"/>
    <w:basedOn w:val="Rn1"/>
    <w:link w:val="Rn2Znak"/>
    <w:qFormat/>
    <w:rsid w:val="00FC6B84"/>
    <w:pPr>
      <w:spacing w:before="120"/>
      <w:jc w:val="left"/>
    </w:pPr>
    <w:rPr>
      <w:sz w:val="22"/>
    </w:rPr>
  </w:style>
  <w:style w:type="character" w:customStyle="1" w:styleId="Rn2Znak">
    <w:name w:val="R_n2 Znak"/>
    <w:link w:val="Rn2"/>
    <w:rsid w:val="00FC6B84"/>
    <w:rPr>
      <w:rFonts w:eastAsiaTheme="minorHAnsi" w:cstheme="minorBidi"/>
      <w:b/>
      <w:kern w:val="2"/>
      <w:sz w:val="22"/>
      <w:szCs w:val="22"/>
      <w:lang w:eastAsia="en-US"/>
      <w14:ligatures w14:val="standardContextual"/>
    </w:rPr>
  </w:style>
  <w:style w:type="paragraph" w:customStyle="1" w:styleId="Rtytu">
    <w:name w:val="R_tytuł"/>
    <w:basedOn w:val="Rn2"/>
    <w:link w:val="RtytuZnak"/>
    <w:autoRedefine/>
    <w:qFormat/>
    <w:rsid w:val="00FC6B84"/>
    <w:pPr>
      <w:spacing w:before="240" w:after="0"/>
      <w:jc w:val="center"/>
    </w:pPr>
    <w:rPr>
      <w:sz w:val="24"/>
      <w:szCs w:val="28"/>
    </w:rPr>
  </w:style>
  <w:style w:type="character" w:customStyle="1" w:styleId="RtytuZnak">
    <w:name w:val="R_tytuł Znak"/>
    <w:basedOn w:val="Rn2Znak"/>
    <w:link w:val="Rtytu"/>
    <w:rsid w:val="00FC6B84"/>
    <w:rPr>
      <w:rFonts w:eastAsiaTheme="minorHAnsi" w:cstheme="minorBidi"/>
      <w:b/>
      <w:kern w:val="2"/>
      <w:sz w:val="24"/>
      <w:szCs w:val="28"/>
      <w:lang w:eastAsia="en-US"/>
      <w14:ligatures w14:val="standardContextual"/>
    </w:rPr>
  </w:style>
  <w:style w:type="paragraph" w:customStyle="1" w:styleId="Rautor">
    <w:name w:val="R_autor"/>
    <w:basedOn w:val="Rtytu"/>
    <w:link w:val="RautorZnak"/>
    <w:autoRedefine/>
    <w:qFormat/>
    <w:rsid w:val="00FC6B84"/>
    <w:pPr>
      <w:spacing w:before="120"/>
    </w:pPr>
    <w:rPr>
      <w:rFonts w:eastAsia="Calibri" w:cs="Times New Roman"/>
      <w:b w:val="0"/>
      <w:i/>
    </w:rPr>
  </w:style>
  <w:style w:type="character" w:customStyle="1" w:styleId="RautorZnak">
    <w:name w:val="R_autor Znak"/>
    <w:link w:val="Rautor"/>
    <w:rsid w:val="00FC6B84"/>
    <w:rPr>
      <w:rFonts w:eastAsia="Calibri"/>
      <w:i/>
      <w:kern w:val="2"/>
      <w:sz w:val="24"/>
      <w:szCs w:val="28"/>
      <w:lang w:eastAsia="en-US"/>
      <w14:ligatures w14:val="standardContextual"/>
    </w:rPr>
  </w:style>
  <w:style w:type="paragraph" w:customStyle="1" w:styleId="Rlit">
    <w:name w:val="R_lit"/>
    <w:basedOn w:val="Normalny"/>
    <w:link w:val="RlitZnak"/>
    <w:qFormat/>
    <w:rsid w:val="00FC6B84"/>
    <w:pPr>
      <w:spacing w:before="0" w:after="0" w:line="240" w:lineRule="auto"/>
      <w:ind w:left="425" w:hanging="425"/>
    </w:pPr>
    <w:rPr>
      <w:kern w:val="2"/>
      <w:lang w:val="en-US"/>
      <w14:ligatures w14:val="standardContextual"/>
    </w:rPr>
  </w:style>
  <w:style w:type="character" w:customStyle="1" w:styleId="RlitZnak">
    <w:name w:val="R_lit Znak"/>
    <w:basedOn w:val="Domylnaczcionkaakapitu"/>
    <w:link w:val="Rlit"/>
    <w:rsid w:val="00FC6B84"/>
    <w:rPr>
      <w:kern w:val="2"/>
      <w:lang w:val="en-US"/>
      <w14:ligatures w14:val="standardContextual"/>
    </w:rPr>
  </w:style>
  <w:style w:type="paragraph" w:customStyle="1" w:styleId="Rtab">
    <w:name w:val="R_tab"/>
    <w:basedOn w:val="Normalny"/>
    <w:link w:val="RtabZnak"/>
    <w:qFormat/>
    <w:rsid w:val="00FC6B84"/>
    <w:pPr>
      <w:suppressAutoHyphens/>
      <w:spacing w:before="0" w:after="120" w:line="240" w:lineRule="auto"/>
      <w:ind w:firstLine="0"/>
      <w:jc w:val="left"/>
    </w:pPr>
    <w:rPr>
      <w:rFonts w:eastAsiaTheme="minorHAnsi" w:cstheme="minorBidi"/>
      <w:kern w:val="2"/>
      <w:szCs w:val="22"/>
      <w:lang w:eastAsia="en-US"/>
      <w14:ligatures w14:val="standardContextual"/>
    </w:rPr>
  </w:style>
  <w:style w:type="character" w:customStyle="1" w:styleId="RtabZnak">
    <w:name w:val="R_tab Znak"/>
    <w:basedOn w:val="Domylnaczcionkaakapitu"/>
    <w:link w:val="Rtab"/>
    <w:rsid w:val="00FC6B84"/>
    <w:rPr>
      <w:rFonts w:eastAsiaTheme="minorHAnsi" w:cstheme="minorBidi"/>
      <w:kern w:val="2"/>
      <w:szCs w:val="22"/>
      <w:lang w:eastAsia="en-US"/>
      <w14:ligatures w14:val="standardContextual"/>
    </w:rPr>
  </w:style>
  <w:style w:type="paragraph" w:customStyle="1" w:styleId="Rn3">
    <w:name w:val="R_n3"/>
    <w:basedOn w:val="Rtab"/>
    <w:link w:val="Rn3Znak"/>
    <w:qFormat/>
    <w:rsid w:val="00FC6B84"/>
    <w:pPr>
      <w:spacing w:before="120"/>
      <w:jc w:val="both"/>
    </w:pPr>
    <w:rPr>
      <w:i/>
    </w:rPr>
  </w:style>
  <w:style w:type="character" w:customStyle="1" w:styleId="Rn3Znak">
    <w:name w:val="R_n3 Znak"/>
    <w:basedOn w:val="RtabZnak"/>
    <w:link w:val="Rn3"/>
    <w:rsid w:val="00FC6B84"/>
    <w:rPr>
      <w:rFonts w:eastAsiaTheme="minorHAnsi" w:cstheme="minorBidi"/>
      <w:i/>
      <w:kern w:val="2"/>
      <w:szCs w:val="22"/>
      <w:lang w:eastAsia="en-US"/>
      <w14:ligatures w14:val="standardContextual"/>
    </w:rPr>
  </w:style>
  <w:style w:type="paragraph" w:customStyle="1" w:styleId="Rrys">
    <w:name w:val="R_rys"/>
    <w:basedOn w:val="Rafiliacja"/>
    <w:link w:val="RrysZnak"/>
    <w:qFormat/>
    <w:rsid w:val="00FC6B84"/>
    <w:pPr>
      <w:spacing w:before="120"/>
      <w:jc w:val="left"/>
    </w:pPr>
    <w:rPr>
      <w:i w:val="0"/>
    </w:rPr>
  </w:style>
  <w:style w:type="character" w:customStyle="1" w:styleId="RrysZnak">
    <w:name w:val="R_rys Znak"/>
    <w:basedOn w:val="RafiliacjaZnak"/>
    <w:link w:val="Rrys"/>
    <w:rsid w:val="00FC6B84"/>
    <w:rPr>
      <w:rFonts w:eastAsiaTheme="minorHAnsi"/>
      <w:i w:val="0"/>
      <w:kern w:val="2"/>
      <w:szCs w:val="28"/>
      <w:lang w:eastAsia="en-US"/>
      <w14:ligatures w14:val="standardContextual"/>
    </w:rPr>
  </w:style>
  <w:style w:type="character" w:customStyle="1" w:styleId="NagwekZnak">
    <w:name w:val="Nagłówek Znak"/>
    <w:basedOn w:val="Domylnaczcionkaakapitu"/>
    <w:link w:val="Nagwek"/>
    <w:uiPriority w:val="99"/>
    <w:rsid w:val="006D58C4"/>
  </w:style>
  <w:style w:type="character" w:customStyle="1" w:styleId="StopkaZnak">
    <w:name w:val="Stopka Znak"/>
    <w:basedOn w:val="Domylnaczcionkaakapitu"/>
    <w:link w:val="Stopka"/>
    <w:uiPriority w:val="99"/>
    <w:rsid w:val="006D58C4"/>
  </w:style>
  <w:style w:type="character" w:styleId="Nierozpoznanawzmianka">
    <w:name w:val="Unresolved Mention"/>
    <w:basedOn w:val="Domylnaczcionkaakapitu"/>
    <w:uiPriority w:val="99"/>
    <w:semiHidden/>
    <w:unhideWhenUsed/>
    <w:rsid w:val="0045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9726">
      <w:bodyDiv w:val="1"/>
      <w:marLeft w:val="0"/>
      <w:marRight w:val="0"/>
      <w:marTop w:val="0"/>
      <w:marBottom w:val="0"/>
      <w:divBdr>
        <w:top w:val="none" w:sz="0" w:space="0" w:color="auto"/>
        <w:left w:val="none" w:sz="0" w:space="0" w:color="auto"/>
        <w:bottom w:val="none" w:sz="0" w:space="0" w:color="auto"/>
        <w:right w:val="none" w:sz="0" w:space="0" w:color="auto"/>
      </w:divBdr>
    </w:div>
    <w:div w:id="13678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0976-7553"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rcid.org/0000-0002-0976-7553"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atarzyna.graz@kul.pl" TargetMode="External"/><Relationship Id="rId20" Type="http://schemas.openxmlformats.org/officeDocument/2006/relationships/hyperlink" Target="https://doi.org/10.1016/j.cotox.2021.1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219-03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0-0002-0976-7553" TargetMode="External"/><Relationship Id="rId23" Type="http://schemas.openxmlformats.org/officeDocument/2006/relationships/footer" Target="footer1.xml"/><Relationship Id="rId10" Type="http://schemas.openxmlformats.org/officeDocument/2006/relationships/hyperlink" Target="https://orcid.org/0000-0002-8219-0340" TargetMode="External"/><Relationship Id="rId19" Type="http://schemas.openxmlformats.org/officeDocument/2006/relationships/hyperlink" Target="https://doi.org/10.1016/j.conbuildmat.2011.08.047" TargetMode="External"/><Relationship Id="rId4" Type="http://schemas.openxmlformats.org/officeDocument/2006/relationships/settings" Target="settings.xml"/><Relationship Id="rId9" Type="http://schemas.openxmlformats.org/officeDocument/2006/relationships/hyperlink" Target="https://orcid.org/0000-0002-0976-7553" TargetMode="External"/><Relationship Id="rId14" Type="http://schemas.openxmlformats.org/officeDocument/2006/relationships/hyperlink" Target="https://orcid.org/0000-0002-9184-9282"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676F-7D49-461B-99D9-92BA9319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4540</Words>
  <Characters>27244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szablon artykułu na konferencję AGH</vt:lpstr>
    </vt:vector>
  </TitlesOfParts>
  <Manager>Wydawnictwa AGH</Manager>
  <Company>BrainStorm Operations; E-mail brainstorm@pnet.com.pl</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artykułu na konferencję AGH</dc:title>
  <dc:subject>wzór artykułu na Konferencję</dc:subject>
  <dc:creator>Piotr A. Sipowicz</dc:creator>
  <cp:lastModifiedBy>Janusz Dabrowski NA</cp:lastModifiedBy>
  <cp:revision>23</cp:revision>
  <cp:lastPrinted>2023-12-28T13:55:00Z</cp:lastPrinted>
  <dcterms:created xsi:type="dcterms:W3CDTF">2023-12-23T23:31:00Z</dcterms:created>
  <dcterms:modified xsi:type="dcterms:W3CDTF">2023-12-28T13:57:00Z</dcterms:modified>
</cp:coreProperties>
</file>