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6850CF" w:rsidRPr="008640C4" w14:paraId="11B15574" w14:textId="77777777" w:rsidTr="002E6D50">
        <w:trPr>
          <w:trHeight w:hRule="exact" w:val="142"/>
        </w:trPr>
        <w:tc>
          <w:tcPr>
            <w:tcW w:w="709" w:type="dxa"/>
            <w:vMerge w:val="restart"/>
            <w:shd w:val="clear" w:color="auto" w:fill="auto"/>
            <w:vAlign w:val="center"/>
          </w:tcPr>
          <w:p w14:paraId="7C3152E3" w14:textId="77777777" w:rsidR="006850CF" w:rsidRPr="008640C4" w:rsidRDefault="006850CF" w:rsidP="002E6D50">
            <w:pPr>
              <w:rPr>
                <w:sz w:val="20"/>
                <w:lang w:val="en-GB"/>
              </w:rPr>
            </w:pPr>
            <w:bookmarkStart w:id="0" w:name="_Hlk145412337"/>
            <w:bookmarkStart w:id="1" w:name="_Hlk103340665"/>
            <w:bookmarkStart w:id="2" w:name="_Hlk24804592"/>
            <w:bookmarkStart w:id="3" w:name="_Toc421598207"/>
            <w:bookmarkEnd w:id="0"/>
            <w:bookmarkEnd w:id="1"/>
            <w:r w:rsidRPr="008640C4">
              <w:rPr>
                <w:noProof/>
              </w:rPr>
              <w:drawing>
                <wp:anchor distT="0" distB="0" distL="114300" distR="114300" simplePos="0" relativeHeight="251657216" behindDoc="0" locked="0" layoutInCell="1" allowOverlap="1" wp14:anchorId="26070362" wp14:editId="7619905E">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0B45D963" w14:textId="77777777" w:rsidR="006850CF" w:rsidRPr="008640C4" w:rsidRDefault="006850CF" w:rsidP="002E6D50">
            <w:pPr>
              <w:jc w:val="center"/>
              <w:rPr>
                <w:lang w:val="en-GB"/>
              </w:rPr>
            </w:pPr>
          </w:p>
        </w:tc>
      </w:tr>
      <w:tr w:rsidR="006850CF" w:rsidRPr="008640C4" w14:paraId="57C9C379" w14:textId="77777777" w:rsidTr="002E6D50">
        <w:trPr>
          <w:trHeight w:hRule="exact" w:val="283"/>
        </w:trPr>
        <w:tc>
          <w:tcPr>
            <w:tcW w:w="709" w:type="dxa"/>
            <w:vMerge/>
            <w:shd w:val="clear" w:color="auto" w:fill="auto"/>
          </w:tcPr>
          <w:p w14:paraId="5B27F63E" w14:textId="77777777" w:rsidR="006850CF" w:rsidRPr="008640C4" w:rsidRDefault="006850CF" w:rsidP="002E6D50">
            <w:pPr>
              <w:jc w:val="center"/>
              <w:rPr>
                <w:lang w:val="en-GB"/>
              </w:rPr>
            </w:pPr>
          </w:p>
        </w:tc>
        <w:tc>
          <w:tcPr>
            <w:tcW w:w="8930" w:type="dxa"/>
            <w:gridSpan w:val="3"/>
            <w:tcBorders>
              <w:bottom w:val="single" w:sz="2" w:space="0" w:color="auto"/>
            </w:tcBorders>
            <w:shd w:val="clear" w:color="auto" w:fill="auto"/>
            <w:vAlign w:val="center"/>
          </w:tcPr>
          <w:p w14:paraId="271E7DB8" w14:textId="77777777" w:rsidR="006850CF" w:rsidRPr="008640C4" w:rsidRDefault="006850CF" w:rsidP="002E6D50">
            <w:pPr>
              <w:jc w:val="center"/>
              <w:rPr>
                <w:lang w:val="en-GB"/>
              </w:rPr>
            </w:pPr>
            <w:proofErr w:type="spellStart"/>
            <w:r w:rsidRPr="008640C4">
              <w:rPr>
                <w:b/>
                <w:sz w:val="20"/>
                <w:lang w:val="en-GB"/>
              </w:rPr>
              <w:t>Rocznik</w:t>
            </w:r>
            <w:proofErr w:type="spellEnd"/>
            <w:r w:rsidRPr="008640C4">
              <w:rPr>
                <w:b/>
                <w:sz w:val="20"/>
                <w:lang w:val="en-GB"/>
              </w:rPr>
              <w:t xml:space="preserve"> </w:t>
            </w:r>
            <w:proofErr w:type="spellStart"/>
            <w:r w:rsidRPr="008640C4">
              <w:rPr>
                <w:b/>
                <w:sz w:val="20"/>
                <w:lang w:val="en-GB"/>
              </w:rPr>
              <w:t>Ochrona</w:t>
            </w:r>
            <w:proofErr w:type="spellEnd"/>
            <w:r w:rsidRPr="008640C4">
              <w:rPr>
                <w:b/>
                <w:sz w:val="20"/>
                <w:lang w:val="en-GB"/>
              </w:rPr>
              <w:t xml:space="preserve"> </w:t>
            </w:r>
            <w:proofErr w:type="spellStart"/>
            <w:r w:rsidRPr="008640C4">
              <w:rPr>
                <w:b/>
                <w:sz w:val="20"/>
                <w:lang w:val="en-GB"/>
              </w:rPr>
              <w:t>Środowiska</w:t>
            </w:r>
            <w:proofErr w:type="spellEnd"/>
          </w:p>
        </w:tc>
      </w:tr>
      <w:tr w:rsidR="006850CF" w:rsidRPr="008640C4" w14:paraId="2B937D7B" w14:textId="77777777" w:rsidTr="002E6D50">
        <w:trPr>
          <w:trHeight w:hRule="exact" w:val="283"/>
        </w:trPr>
        <w:tc>
          <w:tcPr>
            <w:tcW w:w="709" w:type="dxa"/>
            <w:vMerge/>
            <w:shd w:val="clear" w:color="auto" w:fill="auto"/>
          </w:tcPr>
          <w:p w14:paraId="725CEBAB" w14:textId="77777777" w:rsidR="006850CF" w:rsidRPr="008640C4" w:rsidRDefault="006850CF" w:rsidP="002E6D50">
            <w:pPr>
              <w:jc w:val="center"/>
              <w:rPr>
                <w:lang w:val="en-GB"/>
              </w:rPr>
            </w:pPr>
          </w:p>
        </w:tc>
        <w:tc>
          <w:tcPr>
            <w:tcW w:w="992" w:type="dxa"/>
            <w:tcBorders>
              <w:top w:val="single" w:sz="2" w:space="0" w:color="auto"/>
              <w:bottom w:val="single" w:sz="2" w:space="0" w:color="auto"/>
            </w:tcBorders>
            <w:shd w:val="clear" w:color="auto" w:fill="auto"/>
            <w:vAlign w:val="center"/>
          </w:tcPr>
          <w:p w14:paraId="71CA02D8" w14:textId="77777777" w:rsidR="006850CF" w:rsidRPr="008640C4" w:rsidRDefault="006850CF" w:rsidP="002E6D50">
            <w:pPr>
              <w:rPr>
                <w:sz w:val="18"/>
                <w:szCs w:val="18"/>
                <w:lang w:val="en-GB"/>
              </w:rPr>
            </w:pPr>
            <w:r w:rsidRPr="008640C4">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6DDBFEE5" w14:textId="77777777" w:rsidR="006850CF" w:rsidRPr="008640C4" w:rsidRDefault="006850CF" w:rsidP="002E6D50">
            <w:pPr>
              <w:tabs>
                <w:tab w:val="left" w:pos="3057"/>
              </w:tabs>
              <w:ind w:left="227"/>
              <w:rPr>
                <w:sz w:val="18"/>
                <w:szCs w:val="18"/>
                <w:lang w:val="en-GB"/>
              </w:rPr>
            </w:pPr>
            <w:r w:rsidRPr="008640C4">
              <w:rPr>
                <w:sz w:val="18"/>
                <w:szCs w:val="18"/>
                <w:lang w:val="en-GB"/>
              </w:rPr>
              <w:t>Year 2023</w:t>
            </w:r>
            <w:r w:rsidRPr="008640C4">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2BCE7CB9" w14:textId="60D69087" w:rsidR="006850CF" w:rsidRPr="008640C4" w:rsidRDefault="006850CF" w:rsidP="002E6D50">
            <w:pPr>
              <w:jc w:val="right"/>
              <w:rPr>
                <w:sz w:val="18"/>
                <w:szCs w:val="18"/>
                <w:lang w:val="en-GB"/>
              </w:rPr>
            </w:pPr>
            <w:r w:rsidRPr="008640C4">
              <w:rPr>
                <w:sz w:val="18"/>
                <w:szCs w:val="18"/>
                <w:lang w:val="en-GB"/>
              </w:rPr>
              <w:t xml:space="preserve">pp. </w:t>
            </w:r>
            <w:r w:rsidR="00274081">
              <w:rPr>
                <w:sz w:val="18"/>
                <w:szCs w:val="18"/>
                <w:lang w:val="en-GB"/>
              </w:rPr>
              <w:t>312</w:t>
            </w:r>
            <w:r w:rsidRPr="008640C4">
              <w:rPr>
                <w:sz w:val="18"/>
                <w:szCs w:val="18"/>
                <w:lang w:val="en-GB"/>
              </w:rPr>
              <w:t>-</w:t>
            </w:r>
            <w:r w:rsidR="00274081">
              <w:rPr>
                <w:sz w:val="18"/>
                <w:szCs w:val="18"/>
                <w:lang w:val="en-GB"/>
              </w:rPr>
              <w:t>32</w:t>
            </w:r>
            <w:r w:rsidR="009E5546">
              <w:rPr>
                <w:sz w:val="18"/>
                <w:szCs w:val="18"/>
                <w:lang w:val="en-GB"/>
              </w:rPr>
              <w:t>8</w:t>
            </w:r>
          </w:p>
        </w:tc>
      </w:tr>
      <w:tr w:rsidR="006850CF" w:rsidRPr="008640C4" w14:paraId="65A85BFE" w14:textId="77777777" w:rsidTr="002E6D50">
        <w:trPr>
          <w:trHeight w:hRule="exact" w:val="283"/>
        </w:trPr>
        <w:tc>
          <w:tcPr>
            <w:tcW w:w="709" w:type="dxa"/>
            <w:shd w:val="clear" w:color="auto" w:fill="auto"/>
          </w:tcPr>
          <w:p w14:paraId="54419AF8" w14:textId="77777777" w:rsidR="006850CF" w:rsidRPr="008640C4" w:rsidRDefault="006850CF" w:rsidP="002E6D50">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73E2FA47" w14:textId="211A348A" w:rsidR="006850CF" w:rsidRPr="008640C4" w:rsidRDefault="006850CF" w:rsidP="002E6D50">
            <w:pPr>
              <w:tabs>
                <w:tab w:val="right" w:pos="8928"/>
              </w:tabs>
              <w:rPr>
                <w:sz w:val="18"/>
                <w:szCs w:val="18"/>
                <w:lang w:val="en-GB"/>
              </w:rPr>
            </w:pPr>
            <w:r w:rsidRPr="008640C4">
              <w:rPr>
                <w:sz w:val="18"/>
                <w:szCs w:val="18"/>
                <w:lang w:val="en-GB"/>
              </w:rPr>
              <w:t>https://doi.org/10.54740/ros.2023.0</w:t>
            </w:r>
            <w:r w:rsidR="00274081">
              <w:rPr>
                <w:sz w:val="18"/>
                <w:szCs w:val="18"/>
                <w:lang w:val="en-GB"/>
              </w:rPr>
              <w:t>33</w:t>
            </w:r>
            <w:r w:rsidRPr="008640C4">
              <w:rPr>
                <w:sz w:val="18"/>
                <w:szCs w:val="18"/>
                <w:lang w:val="en-GB"/>
              </w:rPr>
              <w:tab/>
              <w:t>open access</w:t>
            </w:r>
          </w:p>
        </w:tc>
      </w:tr>
      <w:tr w:rsidR="006850CF" w:rsidRPr="008640C4" w14:paraId="2B630B39" w14:textId="77777777" w:rsidTr="002E6D50">
        <w:trPr>
          <w:trHeight w:hRule="exact" w:val="283"/>
        </w:trPr>
        <w:tc>
          <w:tcPr>
            <w:tcW w:w="709" w:type="dxa"/>
            <w:shd w:val="clear" w:color="auto" w:fill="auto"/>
          </w:tcPr>
          <w:p w14:paraId="06DE1630" w14:textId="77777777" w:rsidR="006850CF" w:rsidRPr="008640C4" w:rsidRDefault="006850CF" w:rsidP="002E6D50">
            <w:pPr>
              <w:jc w:val="center"/>
              <w:rPr>
                <w:lang w:val="en-GB"/>
              </w:rPr>
            </w:pPr>
          </w:p>
        </w:tc>
        <w:tc>
          <w:tcPr>
            <w:tcW w:w="8930" w:type="dxa"/>
            <w:gridSpan w:val="3"/>
            <w:tcBorders>
              <w:top w:val="single" w:sz="2" w:space="0" w:color="auto"/>
            </w:tcBorders>
            <w:shd w:val="clear" w:color="auto" w:fill="auto"/>
            <w:vAlign w:val="center"/>
          </w:tcPr>
          <w:p w14:paraId="1105ED08" w14:textId="77777777" w:rsidR="006850CF" w:rsidRPr="008640C4" w:rsidRDefault="006850CF" w:rsidP="00F04983">
            <w:pPr>
              <w:tabs>
                <w:tab w:val="left" w:pos="3738"/>
                <w:tab w:val="right" w:pos="8928"/>
              </w:tabs>
              <w:rPr>
                <w:sz w:val="18"/>
                <w:szCs w:val="18"/>
                <w:lang w:val="en-GB"/>
              </w:rPr>
            </w:pPr>
            <w:r w:rsidRPr="008640C4">
              <w:rPr>
                <w:sz w:val="18"/>
                <w:szCs w:val="18"/>
                <w:lang w:val="en-GB"/>
              </w:rPr>
              <w:t xml:space="preserve">Received: </w:t>
            </w:r>
            <w:r w:rsidR="007A0414">
              <w:rPr>
                <w:sz w:val="18"/>
                <w:szCs w:val="18"/>
                <w:lang w:val="en-GB"/>
              </w:rPr>
              <w:t>Nov</w:t>
            </w:r>
            <w:r w:rsidRPr="008640C4">
              <w:rPr>
                <w:sz w:val="18"/>
                <w:szCs w:val="18"/>
                <w:lang w:val="en-GB"/>
              </w:rPr>
              <w:t>ember 2023</w:t>
            </w:r>
            <w:r w:rsidRPr="008640C4">
              <w:rPr>
                <w:sz w:val="18"/>
                <w:szCs w:val="18"/>
                <w:lang w:val="en-GB"/>
              </w:rPr>
              <w:tab/>
              <w:t>Accepted: December 2023</w:t>
            </w:r>
            <w:r w:rsidRPr="008640C4">
              <w:rPr>
                <w:sz w:val="18"/>
                <w:szCs w:val="18"/>
                <w:lang w:val="en-GB"/>
              </w:rPr>
              <w:tab/>
              <w:t>Published: December 2023</w:t>
            </w:r>
          </w:p>
        </w:tc>
      </w:tr>
    </w:tbl>
    <w:bookmarkEnd w:id="2"/>
    <w:p w14:paraId="11B24FD8" w14:textId="77777777" w:rsidR="00B54193" w:rsidRPr="008640C4" w:rsidRDefault="00B54193" w:rsidP="0007387F">
      <w:pPr>
        <w:pStyle w:val="Rtytu"/>
        <w:rPr>
          <w:lang w:val="en-GB"/>
        </w:rPr>
      </w:pPr>
      <w:r w:rsidRPr="008640C4">
        <w:rPr>
          <w:lang w:val="en-GB"/>
        </w:rPr>
        <w:t>Rationali</w:t>
      </w:r>
      <w:r w:rsidR="001F3921">
        <w:rPr>
          <w:lang w:val="en-GB"/>
        </w:rPr>
        <w:t>s</w:t>
      </w:r>
      <w:r w:rsidRPr="008640C4">
        <w:rPr>
          <w:lang w:val="en-GB"/>
        </w:rPr>
        <w:t xml:space="preserve">ation of </w:t>
      </w:r>
      <w:r w:rsidR="0007387F" w:rsidRPr="008640C4">
        <w:rPr>
          <w:lang w:val="en-GB"/>
        </w:rPr>
        <w:t>C</w:t>
      </w:r>
      <w:r w:rsidRPr="008640C4">
        <w:rPr>
          <w:lang w:val="en-GB"/>
        </w:rPr>
        <w:t xml:space="preserve">osts in the </w:t>
      </w:r>
      <w:r w:rsidR="0007387F" w:rsidRPr="008640C4">
        <w:rPr>
          <w:lang w:val="en-GB"/>
        </w:rPr>
        <w:t>C</w:t>
      </w:r>
      <w:r w:rsidRPr="008640C4">
        <w:rPr>
          <w:lang w:val="en-GB"/>
        </w:rPr>
        <w:t xml:space="preserve">ollection, </w:t>
      </w:r>
      <w:r w:rsidR="0007387F" w:rsidRPr="008640C4">
        <w:rPr>
          <w:lang w:val="en-GB"/>
        </w:rPr>
        <w:t>S</w:t>
      </w:r>
      <w:r w:rsidRPr="008640C4">
        <w:rPr>
          <w:lang w:val="en-GB"/>
        </w:rPr>
        <w:t xml:space="preserve">egregation and </w:t>
      </w:r>
      <w:r w:rsidR="0007387F" w:rsidRPr="008640C4">
        <w:rPr>
          <w:lang w:val="en-GB"/>
        </w:rPr>
        <w:t>T</w:t>
      </w:r>
      <w:r w:rsidRPr="008640C4">
        <w:rPr>
          <w:lang w:val="en-GB"/>
        </w:rPr>
        <w:t xml:space="preserve">ransport of </w:t>
      </w:r>
      <w:r w:rsidR="0007387F" w:rsidRPr="008640C4">
        <w:rPr>
          <w:lang w:val="en-GB"/>
        </w:rPr>
        <w:t>M</w:t>
      </w:r>
      <w:r w:rsidRPr="008640C4">
        <w:rPr>
          <w:lang w:val="en-GB"/>
        </w:rPr>
        <w:t xml:space="preserve">unicipal </w:t>
      </w:r>
      <w:r w:rsidR="0007387F" w:rsidRPr="008640C4">
        <w:rPr>
          <w:lang w:val="en-GB"/>
        </w:rPr>
        <w:t>W</w:t>
      </w:r>
      <w:r w:rsidRPr="008640C4">
        <w:rPr>
          <w:lang w:val="en-GB"/>
        </w:rPr>
        <w:t>aste</w:t>
      </w:r>
    </w:p>
    <w:p w14:paraId="00ADC58C" w14:textId="77777777" w:rsidR="008B41BA" w:rsidRPr="008640C4" w:rsidRDefault="0090166D" w:rsidP="008B41BA">
      <w:pPr>
        <w:pStyle w:val="Rautor"/>
        <w:rPr>
          <w:lang w:val="en-GB"/>
        </w:rPr>
      </w:pPr>
      <w:r w:rsidRPr="008640C4">
        <w:rPr>
          <w:lang w:val="en-GB"/>
        </w:rPr>
        <w:t>Paweł</w:t>
      </w:r>
      <w:r w:rsidR="00B54193" w:rsidRPr="008640C4">
        <w:rPr>
          <w:lang w:val="en-GB"/>
        </w:rPr>
        <w:t xml:space="preserve"> Zają</w:t>
      </w:r>
      <w:r w:rsidR="000B2052" w:rsidRPr="008640C4">
        <w:rPr>
          <w:lang w:val="en-GB"/>
        </w:rPr>
        <w:t>c</w:t>
      </w:r>
      <w:r w:rsidR="00B54193" w:rsidRPr="008640C4">
        <w:rPr>
          <w:vertAlign w:val="superscript"/>
          <w:lang w:val="en-GB"/>
        </w:rPr>
        <w:t>*</w:t>
      </w:r>
      <w:r w:rsidR="008B41BA" w:rsidRPr="008640C4">
        <w:rPr>
          <w:vertAlign w:val="superscript"/>
          <w:lang w:val="en-GB"/>
        </w:rPr>
        <w:t>1</w:t>
      </w:r>
      <w:r w:rsidR="008B41BA" w:rsidRPr="008640C4">
        <w:rPr>
          <w:lang w:val="en-GB"/>
        </w:rPr>
        <w:t>, Ivona Bajor</w:t>
      </w:r>
      <w:r w:rsidR="008B41BA" w:rsidRPr="008640C4">
        <w:rPr>
          <w:vertAlign w:val="superscript"/>
          <w:lang w:val="en-GB"/>
        </w:rPr>
        <w:t>2</w:t>
      </w:r>
      <w:r w:rsidR="008B41BA" w:rsidRPr="008640C4">
        <w:rPr>
          <w:lang w:val="en-GB"/>
        </w:rPr>
        <w:t>, Matevž Obrecht</w:t>
      </w:r>
      <w:r w:rsidR="008B41BA" w:rsidRPr="008640C4">
        <w:rPr>
          <w:vertAlign w:val="superscript"/>
          <w:lang w:val="en-GB"/>
        </w:rPr>
        <w:t>3</w:t>
      </w:r>
      <w:r w:rsidR="008B41BA" w:rsidRPr="008640C4">
        <w:rPr>
          <w:lang w:val="en-GB"/>
        </w:rPr>
        <w:t xml:space="preserve">, Stanisław </w:t>
      </w:r>
      <w:proofErr w:type="spellStart"/>
      <w:r w:rsidR="008B41BA" w:rsidRPr="008640C4">
        <w:rPr>
          <w:lang w:val="en-GB"/>
        </w:rPr>
        <w:t>Ejdys</w:t>
      </w:r>
      <w:proofErr w:type="spellEnd"/>
      <w:r w:rsidR="008B41BA" w:rsidRPr="008640C4">
        <w:rPr>
          <w:vertAlign w:val="superscript"/>
          <w:lang w:val="en-GB"/>
        </w:rPr>
        <w:t>*4</w:t>
      </w:r>
    </w:p>
    <w:p w14:paraId="2580488E" w14:textId="77777777" w:rsidR="00B54193" w:rsidRPr="008640C4" w:rsidRDefault="008B41BA" w:rsidP="008B41BA">
      <w:pPr>
        <w:pStyle w:val="Rafiliacja"/>
        <w:rPr>
          <w:lang w:val="en-GB"/>
        </w:rPr>
      </w:pPr>
      <w:r w:rsidRPr="008640C4">
        <w:rPr>
          <w:sz w:val="24"/>
          <w:vertAlign w:val="superscript"/>
          <w:lang w:val="en-GB"/>
        </w:rPr>
        <w:t>1</w:t>
      </w:r>
      <w:r w:rsidR="00B54193" w:rsidRPr="008640C4">
        <w:rPr>
          <w:iCs/>
          <w:color w:val="000000" w:themeColor="text1"/>
          <w:lang w:val="en-GB"/>
        </w:rPr>
        <w:t>Wroclaw University of Science and Technology,</w:t>
      </w:r>
      <w:r w:rsidR="00B54193" w:rsidRPr="008640C4">
        <w:rPr>
          <w:lang w:val="en-GB"/>
        </w:rPr>
        <w:t xml:space="preserve"> Poland</w:t>
      </w:r>
      <w:r w:rsidRPr="008640C4">
        <w:rPr>
          <w:lang w:val="en-GB"/>
        </w:rPr>
        <w:t xml:space="preserve"> </w:t>
      </w:r>
      <w:r w:rsidRPr="008640C4">
        <w:rPr>
          <w:lang w:val="en-GB"/>
        </w:rPr>
        <w:br/>
      </w:r>
      <w:r w:rsidR="00B54193" w:rsidRPr="008640C4">
        <w:rPr>
          <w:lang w:val="en-GB"/>
        </w:rPr>
        <w:t>https://orcid.org/0000-0003-3103-832X</w:t>
      </w:r>
    </w:p>
    <w:p w14:paraId="456C2802" w14:textId="77777777" w:rsidR="00B54193" w:rsidRPr="008640C4" w:rsidRDefault="008B41BA" w:rsidP="008B41BA">
      <w:pPr>
        <w:pStyle w:val="Rafiliacja"/>
        <w:rPr>
          <w:lang w:val="en-GB"/>
        </w:rPr>
      </w:pPr>
      <w:r w:rsidRPr="008640C4">
        <w:rPr>
          <w:sz w:val="24"/>
          <w:vertAlign w:val="superscript"/>
          <w:lang w:val="en-GB"/>
        </w:rPr>
        <w:t>2</w:t>
      </w:r>
      <w:r w:rsidR="00B54193" w:rsidRPr="008640C4">
        <w:rPr>
          <w:iCs/>
          <w:color w:val="000000" w:themeColor="text1"/>
          <w:lang w:val="en-GB"/>
        </w:rPr>
        <w:t>University of Zagreb, Croatia</w:t>
      </w:r>
      <w:r w:rsidRPr="008640C4">
        <w:rPr>
          <w:iCs/>
          <w:color w:val="000000" w:themeColor="text1"/>
          <w:lang w:val="en-GB"/>
        </w:rPr>
        <w:t xml:space="preserve"> </w:t>
      </w:r>
      <w:r w:rsidRPr="008640C4">
        <w:rPr>
          <w:iCs/>
          <w:color w:val="000000" w:themeColor="text1"/>
          <w:lang w:val="en-GB"/>
        </w:rPr>
        <w:br/>
      </w:r>
      <w:r w:rsidR="00B54193" w:rsidRPr="008640C4">
        <w:rPr>
          <w:lang w:val="en-GB"/>
        </w:rPr>
        <w:t>https://orcid.org/0000-0001-9867-6313</w:t>
      </w:r>
    </w:p>
    <w:p w14:paraId="6147B173" w14:textId="77777777" w:rsidR="00B54193" w:rsidRPr="008640C4" w:rsidRDefault="008B41BA" w:rsidP="008B41BA">
      <w:pPr>
        <w:pStyle w:val="Rafiliacja"/>
        <w:rPr>
          <w:lang w:val="en-GB"/>
        </w:rPr>
      </w:pPr>
      <w:r w:rsidRPr="008640C4">
        <w:rPr>
          <w:sz w:val="24"/>
          <w:vertAlign w:val="superscript"/>
          <w:lang w:val="en-GB"/>
        </w:rPr>
        <w:t>3</w:t>
      </w:r>
      <w:r w:rsidR="00B54193" w:rsidRPr="008640C4">
        <w:rPr>
          <w:iCs/>
          <w:color w:val="000000" w:themeColor="text1"/>
          <w:lang w:val="en-GB"/>
        </w:rPr>
        <w:t>University of Maribor, Slovenia</w:t>
      </w:r>
      <w:r w:rsidRPr="008640C4">
        <w:rPr>
          <w:iCs/>
          <w:color w:val="000000" w:themeColor="text1"/>
          <w:lang w:val="en-GB"/>
        </w:rPr>
        <w:t xml:space="preserve"> </w:t>
      </w:r>
      <w:r w:rsidRPr="008640C4">
        <w:rPr>
          <w:iCs/>
          <w:color w:val="000000" w:themeColor="text1"/>
          <w:lang w:val="en-GB"/>
        </w:rPr>
        <w:br/>
      </w:r>
      <w:r w:rsidR="00B54193" w:rsidRPr="008640C4">
        <w:rPr>
          <w:lang w:val="en-GB"/>
        </w:rPr>
        <w:t>https://orcid.org/0000-0001-8301-7382</w:t>
      </w:r>
    </w:p>
    <w:p w14:paraId="166F6D55" w14:textId="77777777" w:rsidR="00B54193" w:rsidRPr="008640C4" w:rsidRDefault="008B41BA" w:rsidP="008B41BA">
      <w:pPr>
        <w:pStyle w:val="NormalnyWeb"/>
        <w:spacing w:before="0" w:beforeAutospacing="0" w:after="0" w:afterAutospacing="0"/>
        <w:jc w:val="center"/>
        <w:rPr>
          <w:i/>
          <w:sz w:val="20"/>
          <w:szCs w:val="20"/>
          <w:lang w:val="en-GB"/>
        </w:rPr>
      </w:pPr>
      <w:r w:rsidRPr="008640C4">
        <w:rPr>
          <w:i/>
          <w:sz w:val="24"/>
          <w:vertAlign w:val="superscript"/>
          <w:lang w:val="en-GB"/>
        </w:rPr>
        <w:t>4</w:t>
      </w:r>
      <w:r w:rsidR="00B54193" w:rsidRPr="008640C4">
        <w:rPr>
          <w:i/>
          <w:sz w:val="20"/>
          <w:szCs w:val="20"/>
          <w:lang w:val="en-GB"/>
        </w:rPr>
        <w:t xml:space="preserve">Ignacy Moscicki’s University of Applied Sciences in </w:t>
      </w:r>
      <w:proofErr w:type="spellStart"/>
      <w:r w:rsidR="00B54193" w:rsidRPr="008640C4">
        <w:rPr>
          <w:i/>
          <w:sz w:val="20"/>
          <w:szCs w:val="20"/>
          <w:lang w:val="en-GB"/>
        </w:rPr>
        <w:t>Ciechanów</w:t>
      </w:r>
      <w:proofErr w:type="spellEnd"/>
      <w:r w:rsidR="00B54193" w:rsidRPr="008640C4">
        <w:rPr>
          <w:i/>
          <w:sz w:val="20"/>
          <w:szCs w:val="20"/>
          <w:lang w:val="en-GB"/>
        </w:rPr>
        <w:t>, Poland</w:t>
      </w:r>
      <w:r w:rsidRPr="008640C4">
        <w:rPr>
          <w:i/>
          <w:sz w:val="20"/>
          <w:szCs w:val="20"/>
          <w:lang w:val="en-GB"/>
        </w:rPr>
        <w:t xml:space="preserve"> </w:t>
      </w:r>
      <w:r w:rsidRPr="008640C4">
        <w:rPr>
          <w:i/>
          <w:sz w:val="20"/>
          <w:szCs w:val="20"/>
          <w:lang w:val="en-GB"/>
        </w:rPr>
        <w:br/>
      </w:r>
      <w:r w:rsidR="00B54193" w:rsidRPr="008640C4">
        <w:rPr>
          <w:i/>
          <w:sz w:val="20"/>
          <w:szCs w:val="20"/>
          <w:lang w:val="en-GB"/>
        </w:rPr>
        <w:t>https://orcid.org/0000-0003-4312-7880</w:t>
      </w:r>
    </w:p>
    <w:p w14:paraId="4BC22694" w14:textId="77777777" w:rsidR="002A5BE5" w:rsidRPr="008640C4" w:rsidRDefault="00B54193" w:rsidP="008B41BA">
      <w:pPr>
        <w:pStyle w:val="Rauco"/>
        <w:rPr>
          <w:rStyle w:val="Hipercze"/>
          <w:i w:val="0"/>
          <w:iCs/>
          <w:color w:val="auto"/>
          <w:szCs w:val="20"/>
        </w:rPr>
      </w:pPr>
      <w:r w:rsidRPr="008640C4">
        <w:rPr>
          <w:vertAlign w:val="superscript"/>
        </w:rPr>
        <w:t>*</w:t>
      </w:r>
      <w:r w:rsidRPr="008640C4">
        <w:t xml:space="preserve">corresponding e-mail: </w:t>
      </w:r>
      <w:r w:rsidR="0090166D" w:rsidRPr="008640C4">
        <w:rPr>
          <w:iCs/>
        </w:rPr>
        <w:t>pawel.zajac@pwr.edu.pl;</w:t>
      </w:r>
      <w:r w:rsidR="0090166D" w:rsidRPr="008640C4">
        <w:t xml:space="preserve"> stanislaw.ejdys@pansim.edu.pl</w:t>
      </w:r>
      <w:r w:rsidR="0090166D" w:rsidRPr="008640C4">
        <w:rPr>
          <w:iCs/>
        </w:rPr>
        <w:t xml:space="preserve"> </w:t>
      </w:r>
    </w:p>
    <w:p w14:paraId="724EC74A" w14:textId="77777777" w:rsidR="002A5BE5" w:rsidRPr="008640C4" w:rsidRDefault="002A5BE5" w:rsidP="008B41BA">
      <w:pPr>
        <w:pStyle w:val="Rab1"/>
      </w:pPr>
      <w:r w:rsidRPr="008640C4">
        <w:rPr>
          <w:b/>
        </w:rPr>
        <w:t>Abstract</w:t>
      </w:r>
      <w:r w:rsidR="002C74D2" w:rsidRPr="008640C4">
        <w:rPr>
          <w:b/>
        </w:rPr>
        <w:t>:</w:t>
      </w:r>
      <w:r w:rsidR="002C74D2" w:rsidRPr="008640C4">
        <w:t xml:space="preserve"> </w:t>
      </w:r>
      <w:r w:rsidRPr="008640C4">
        <w:t xml:space="preserve">The article contains answers to three "why" questions: - why the waste management system still does not bring the expected results, and the Polish state is one of the lowest-ranking in the European score regarding the amount of segregated waste; - why the sale of selected secondary raw materials and their material reuse in production processes do not cover the costs related to waste management; - why it does not bring additional profits. The article is based on research conducted in Wroclaw </w:t>
      </w:r>
      <w:r w:rsidR="001F3921">
        <w:t xml:space="preserve">from 1998 to </w:t>
      </w:r>
      <w:r w:rsidRPr="008640C4">
        <w:t xml:space="preserve">2018. There is a cost model that can be adapted to similar cases. The article deals with </w:t>
      </w:r>
      <w:r w:rsidR="001F3921">
        <w:t>removing</w:t>
      </w:r>
      <w:r w:rsidRPr="008640C4">
        <w:t xml:space="preserve"> organi</w:t>
      </w:r>
      <w:r w:rsidR="001F3921">
        <w:t>s</w:t>
      </w:r>
      <w:r w:rsidRPr="008640C4">
        <w:t>ational and/or technical reasons causing the stagnation of selective waste collection.</w:t>
      </w:r>
    </w:p>
    <w:p w14:paraId="534065AE" w14:textId="77777777" w:rsidR="002A5BE5" w:rsidRPr="008640C4" w:rsidRDefault="002A5BE5" w:rsidP="008B41BA">
      <w:pPr>
        <w:pStyle w:val="Rab2"/>
      </w:pPr>
      <w:r w:rsidRPr="008640C4">
        <w:rPr>
          <w:b/>
          <w:bCs/>
        </w:rPr>
        <w:t xml:space="preserve">Keywords: </w:t>
      </w:r>
      <w:r w:rsidRPr="008640C4">
        <w:t>waste, mixed, sorting, fee, management</w:t>
      </w:r>
    </w:p>
    <w:p w14:paraId="6889B187" w14:textId="77777777" w:rsidR="00ED42E3" w:rsidRPr="008640C4" w:rsidRDefault="003367DB" w:rsidP="003367DB">
      <w:pPr>
        <w:pStyle w:val="Rn1"/>
        <w:rPr>
          <w:lang w:val="en-GB"/>
        </w:rPr>
      </w:pPr>
      <w:r w:rsidRPr="008640C4">
        <w:rPr>
          <w:lang w:val="en-GB"/>
        </w:rPr>
        <w:t xml:space="preserve">1. </w:t>
      </w:r>
      <w:r w:rsidR="00E6114D" w:rsidRPr="008640C4">
        <w:rPr>
          <w:lang w:val="en-GB"/>
        </w:rPr>
        <w:t>Introduction</w:t>
      </w:r>
      <w:bookmarkEnd w:id="3"/>
      <w:r w:rsidR="00AB047E" w:rsidRPr="008640C4">
        <w:rPr>
          <w:lang w:val="en-GB"/>
        </w:rPr>
        <w:t xml:space="preserve"> </w:t>
      </w:r>
    </w:p>
    <w:p w14:paraId="056C88C6" w14:textId="77777777" w:rsidR="00F84700" w:rsidRPr="008640C4" w:rsidRDefault="00197D70" w:rsidP="003367DB">
      <w:pPr>
        <w:pStyle w:val="Bezodstpw"/>
        <w:ind w:firstLine="284"/>
        <w:jc w:val="both"/>
        <w:rPr>
          <w:rFonts w:ascii="Times New Roman" w:hAnsi="Times New Roman" w:cs="Times New Roman"/>
          <w:bCs/>
        </w:rPr>
      </w:pPr>
      <w:r w:rsidRPr="008640C4">
        <w:rPr>
          <w:rFonts w:ascii="Times New Roman" w:hAnsi="Times New Roman" w:cs="Times New Roman"/>
          <w:bCs/>
        </w:rPr>
        <w:t>Tasks related to the waste management system (with an appropriately adopted standard of service) and compliance with environmental</w:t>
      </w:r>
      <w:r w:rsidR="004F6FD9" w:rsidRPr="008640C4">
        <w:rPr>
          <w:rFonts w:ascii="Times New Roman" w:hAnsi="Times New Roman" w:cs="Times New Roman"/>
          <w:bCs/>
        </w:rPr>
        <w:t xml:space="preserve"> (</w:t>
      </w:r>
      <w:proofErr w:type="spellStart"/>
      <w:r w:rsidR="004F6FD9" w:rsidRPr="008640C4">
        <w:rPr>
          <w:rFonts w:ascii="Times New Roman" w:hAnsi="Times New Roman" w:cs="Times New Roman"/>
          <w:bCs/>
        </w:rPr>
        <w:t>Chamier-Gliszczyński</w:t>
      </w:r>
      <w:proofErr w:type="spellEnd"/>
      <w:r w:rsidR="004F6FD9" w:rsidRPr="008640C4">
        <w:rPr>
          <w:rFonts w:ascii="Times New Roman" w:hAnsi="Times New Roman" w:cs="Times New Roman"/>
          <w:bCs/>
        </w:rPr>
        <w:t xml:space="preserve"> 2011)</w:t>
      </w:r>
      <w:r w:rsidRPr="008640C4">
        <w:rPr>
          <w:rFonts w:ascii="Times New Roman" w:hAnsi="Times New Roman" w:cs="Times New Roman"/>
          <w:bCs/>
        </w:rPr>
        <w:t xml:space="preserve"> and sanitary normative requirements are absolute in nature </w:t>
      </w:r>
      <w:r w:rsidR="008B41BA" w:rsidRPr="008640C4">
        <w:rPr>
          <w:rFonts w:ascii="Times New Roman" w:hAnsi="Times New Roman" w:cs="Times New Roman"/>
          <w:bCs/>
        </w:rPr>
        <w:t>–</w:t>
      </w:r>
      <w:r w:rsidRPr="008640C4">
        <w:rPr>
          <w:rFonts w:ascii="Times New Roman" w:hAnsi="Times New Roman" w:cs="Times New Roman"/>
          <w:bCs/>
        </w:rPr>
        <w:t xml:space="preserve"> included in the objective function or the form of restrictions adopted in the optimi</w:t>
      </w:r>
      <w:r w:rsidR="001F3921">
        <w:rPr>
          <w:rFonts w:ascii="Times New Roman" w:hAnsi="Times New Roman" w:cs="Times New Roman"/>
          <w:bCs/>
        </w:rPr>
        <w:t>s</w:t>
      </w:r>
      <w:r w:rsidRPr="008640C4">
        <w:rPr>
          <w:rFonts w:ascii="Times New Roman" w:hAnsi="Times New Roman" w:cs="Times New Roman"/>
          <w:bCs/>
        </w:rPr>
        <w:t xml:space="preserve">ation model. Other determinants of the effectiveness of the system operation, if they are not adopted in the form of arbitrary recommendations, become a category of calculation (assessments of the type: inputs </w:t>
      </w:r>
      <w:r w:rsidR="00461D2C" w:rsidRPr="008640C4">
        <w:rPr>
          <w:rFonts w:ascii="Times New Roman" w:hAnsi="Times New Roman" w:cs="Times New Roman"/>
          <w:bCs/>
        </w:rPr>
        <w:t>–</w:t>
      </w:r>
      <w:r w:rsidRPr="008640C4">
        <w:rPr>
          <w:rFonts w:ascii="Times New Roman" w:hAnsi="Times New Roman" w:cs="Times New Roman"/>
          <w:bCs/>
        </w:rPr>
        <w:t xml:space="preserve"> benefits) and therefore require consideration in conjunction with the costs (economic efficiency</w:t>
      </w:r>
      <w:r w:rsidR="003C2AC0" w:rsidRPr="008640C4">
        <w:rPr>
          <w:rFonts w:ascii="Times New Roman" w:hAnsi="Times New Roman" w:cs="Times New Roman"/>
          <w:bCs/>
        </w:rPr>
        <w:t>, environmental efficiency (Lenort et al. 2019)</w:t>
      </w:r>
      <w:r w:rsidRPr="008640C4">
        <w:rPr>
          <w:rFonts w:ascii="Times New Roman" w:hAnsi="Times New Roman" w:cs="Times New Roman"/>
          <w:bCs/>
        </w:rPr>
        <w:t>) of the system's operation.</w:t>
      </w:r>
    </w:p>
    <w:p w14:paraId="2FC7C9A8" w14:textId="77777777" w:rsidR="009924F0" w:rsidRPr="008640C4" w:rsidRDefault="003240FE" w:rsidP="00274081">
      <w:pPr>
        <w:pStyle w:val="Bezodstpw"/>
        <w:ind w:firstLine="284"/>
        <w:jc w:val="both"/>
        <w:rPr>
          <w:rFonts w:ascii="Times New Roman" w:hAnsi="Times New Roman" w:cs="Times New Roman"/>
          <w:bCs/>
        </w:rPr>
      </w:pPr>
      <w:r w:rsidRPr="008640C4">
        <w:rPr>
          <w:rFonts w:ascii="Times New Roman" w:hAnsi="Times New Roman" w:cs="Times New Roman"/>
          <w:bCs/>
        </w:rPr>
        <w:t xml:space="preserve">Waste management system plans are </w:t>
      </w:r>
      <w:r w:rsidR="001F3921">
        <w:rPr>
          <w:rFonts w:ascii="Times New Roman" w:hAnsi="Times New Roman" w:cs="Times New Roman"/>
          <w:bCs/>
        </w:rPr>
        <w:t>dual</w:t>
      </w:r>
      <w:r w:rsidRPr="008640C4">
        <w:rPr>
          <w:rFonts w:ascii="Times New Roman" w:hAnsi="Times New Roman" w:cs="Times New Roman"/>
          <w:bCs/>
        </w:rPr>
        <w:t>:</w:t>
      </w:r>
    </w:p>
    <w:p w14:paraId="1E8FEE93" w14:textId="77777777" w:rsidR="009924F0" w:rsidRPr="008640C4" w:rsidRDefault="009924F0" w:rsidP="003367DB">
      <w:pPr>
        <w:pStyle w:val="Akapitzlist"/>
        <w:numPr>
          <w:ilvl w:val="0"/>
          <w:numId w:val="38"/>
        </w:numPr>
        <w:ind w:left="357" w:hanging="357"/>
        <w:contextualSpacing w:val="0"/>
        <w:rPr>
          <w:lang w:val="en-GB"/>
        </w:rPr>
      </w:pPr>
      <w:r w:rsidRPr="008640C4">
        <w:rPr>
          <w:lang w:val="en-GB"/>
        </w:rPr>
        <w:t xml:space="preserve">statistical </w:t>
      </w:r>
      <w:r w:rsidR="003367DB" w:rsidRPr="008640C4">
        <w:rPr>
          <w:lang w:val="en-GB"/>
        </w:rPr>
        <w:t>–</w:t>
      </w:r>
      <w:r w:rsidRPr="008640C4">
        <w:rPr>
          <w:lang w:val="en-GB"/>
        </w:rPr>
        <w:t xml:space="preserve"> taking into account the description of the system only for a specific moment,</w:t>
      </w:r>
    </w:p>
    <w:p w14:paraId="12C04E41" w14:textId="77777777" w:rsidR="009924F0" w:rsidRPr="008640C4" w:rsidRDefault="009924F0" w:rsidP="003367DB">
      <w:pPr>
        <w:pStyle w:val="Akapitzlist"/>
        <w:numPr>
          <w:ilvl w:val="0"/>
          <w:numId w:val="38"/>
        </w:numPr>
        <w:ind w:left="357" w:hanging="357"/>
        <w:contextualSpacing w:val="0"/>
        <w:rPr>
          <w:lang w:val="en-GB"/>
        </w:rPr>
      </w:pPr>
      <w:r w:rsidRPr="008640C4">
        <w:rPr>
          <w:lang w:val="en-GB"/>
        </w:rPr>
        <w:t xml:space="preserve">dynamic </w:t>
      </w:r>
      <w:r w:rsidR="003367DB" w:rsidRPr="008640C4">
        <w:rPr>
          <w:lang w:val="en-GB"/>
        </w:rPr>
        <w:t>–</w:t>
      </w:r>
      <w:r w:rsidRPr="008640C4">
        <w:rPr>
          <w:lang w:val="en-GB"/>
        </w:rPr>
        <w:t xml:space="preserve"> </w:t>
      </w:r>
      <w:r w:rsidR="001F3921">
        <w:rPr>
          <w:lang w:val="en-GB"/>
        </w:rPr>
        <w:t>considering the expected changes in input (and</w:t>
      </w:r>
      <w:r w:rsidRPr="008640C4">
        <w:rPr>
          <w:lang w:val="en-GB"/>
        </w:rPr>
        <w:t xml:space="preserve"> output) parameters and system status in specific time intervals.</w:t>
      </w:r>
    </w:p>
    <w:p w14:paraId="7686C6B6" w14:textId="77777777" w:rsidR="003367DB" w:rsidRPr="008640C4" w:rsidRDefault="003367DB" w:rsidP="009176D8">
      <w:pPr>
        <w:pStyle w:val="Bezodstpw"/>
        <w:ind w:firstLine="708"/>
        <w:jc w:val="both"/>
        <w:rPr>
          <w:rFonts w:ascii="Times New Roman" w:hAnsi="Times New Roman" w:cs="Times New Roman"/>
          <w:bCs/>
        </w:rPr>
      </w:pPr>
    </w:p>
    <w:p w14:paraId="2B822FAD" w14:textId="77777777" w:rsidR="00F90A22" w:rsidRPr="008640C4" w:rsidRDefault="006B0A63" w:rsidP="009176D8">
      <w:pPr>
        <w:pStyle w:val="Bezodstpw"/>
        <w:ind w:firstLine="708"/>
        <w:jc w:val="both"/>
        <w:rPr>
          <w:rFonts w:ascii="Times New Roman" w:hAnsi="Times New Roman" w:cs="Times New Roman"/>
          <w:bCs/>
        </w:rPr>
      </w:pPr>
      <w:r w:rsidRPr="008640C4">
        <w:rPr>
          <w:rFonts w:ascii="Times New Roman" w:hAnsi="Times New Roman" w:cs="Times New Roman"/>
          <w:bCs/>
        </w:rPr>
        <w:t xml:space="preserve">The latter model </w:t>
      </w:r>
      <w:r w:rsidR="00461D2C" w:rsidRPr="008640C4">
        <w:rPr>
          <w:rFonts w:ascii="Times New Roman" w:hAnsi="Times New Roman" w:cs="Times New Roman"/>
          <w:bCs/>
        </w:rPr>
        <w:t>–</w:t>
      </w:r>
      <w:r w:rsidRPr="008640C4">
        <w:rPr>
          <w:rFonts w:ascii="Times New Roman" w:hAnsi="Times New Roman" w:cs="Times New Roman"/>
          <w:bCs/>
        </w:rPr>
        <w:t xml:space="preserve"> a dynamic model taking into account:</w:t>
      </w:r>
    </w:p>
    <w:p w14:paraId="3C6BC78E" w14:textId="77777777" w:rsidR="00FE3973" w:rsidRPr="008640C4" w:rsidRDefault="00FE3973" w:rsidP="00461D2C">
      <w:pPr>
        <w:pStyle w:val="Akapitzlist"/>
        <w:numPr>
          <w:ilvl w:val="0"/>
          <w:numId w:val="39"/>
        </w:numPr>
        <w:ind w:left="284" w:hanging="284"/>
        <w:rPr>
          <w:lang w:val="en-GB"/>
        </w:rPr>
      </w:pPr>
      <w:r w:rsidRPr="008640C4">
        <w:rPr>
          <w:lang w:val="en-GB"/>
        </w:rPr>
        <w:t>the dynamics of changes in waste generation as a function of time, spatial development of the region, demographic development,</w:t>
      </w:r>
    </w:p>
    <w:p w14:paraId="0DD365E9" w14:textId="77777777" w:rsidR="00FE3973" w:rsidRPr="008640C4" w:rsidRDefault="00FE3973" w:rsidP="00461D2C">
      <w:pPr>
        <w:pStyle w:val="Akapitzlist"/>
        <w:numPr>
          <w:ilvl w:val="0"/>
          <w:numId w:val="39"/>
        </w:numPr>
        <w:ind w:left="284" w:hanging="284"/>
        <w:rPr>
          <w:lang w:val="en-GB"/>
        </w:rPr>
      </w:pPr>
      <w:r w:rsidRPr="008640C4">
        <w:rPr>
          <w:lang w:val="en-GB"/>
        </w:rPr>
        <w:t>stage possibilities of locating buildings along with determining transport routes to them from the source collection areas,</w:t>
      </w:r>
    </w:p>
    <w:p w14:paraId="01F94E86" w14:textId="77777777" w:rsidR="00CC584D" w:rsidRPr="008640C4" w:rsidRDefault="00FE3973" w:rsidP="00461D2C">
      <w:pPr>
        <w:pStyle w:val="Akapitzlist"/>
        <w:numPr>
          <w:ilvl w:val="0"/>
          <w:numId w:val="39"/>
        </w:numPr>
        <w:ind w:left="284" w:hanging="284"/>
        <w:rPr>
          <w:lang w:val="en-GB"/>
        </w:rPr>
      </w:pPr>
      <w:r w:rsidRPr="008640C4">
        <w:rPr>
          <w:lang w:val="en-GB"/>
        </w:rPr>
        <w:t>limitations on the throughput and absorptivity of facilities and limitations on the composition and properties of the waste delivered to them,</w:t>
      </w:r>
    </w:p>
    <w:p w14:paraId="54462AF8" w14:textId="77777777" w:rsidR="00FE3973" w:rsidRPr="008640C4" w:rsidRDefault="00FE3973" w:rsidP="00461D2C">
      <w:pPr>
        <w:pStyle w:val="Akapitzlist"/>
        <w:numPr>
          <w:ilvl w:val="0"/>
          <w:numId w:val="39"/>
        </w:numPr>
        <w:ind w:left="284" w:hanging="284"/>
        <w:rPr>
          <w:lang w:val="en-GB"/>
        </w:rPr>
      </w:pPr>
      <w:r w:rsidRPr="008640C4">
        <w:rPr>
          <w:lang w:val="en-GB"/>
        </w:rPr>
        <w:t>planning the launch of new recirculation processes in facilities or anticipating changes in their occurrence in the system as a result of liquidation or moderni</w:t>
      </w:r>
      <w:r w:rsidR="001F3921">
        <w:rPr>
          <w:lang w:val="en-GB"/>
        </w:rPr>
        <w:t>s</w:t>
      </w:r>
      <w:r w:rsidRPr="008640C4">
        <w:rPr>
          <w:lang w:val="en-GB"/>
        </w:rPr>
        <w:t>ation of old facilities,</w:t>
      </w:r>
    </w:p>
    <w:p w14:paraId="22EB4018" w14:textId="77777777" w:rsidR="00FE3973" w:rsidRPr="008640C4" w:rsidRDefault="009E2065" w:rsidP="00461D2C">
      <w:pPr>
        <w:pStyle w:val="Akapitzlist"/>
        <w:numPr>
          <w:ilvl w:val="0"/>
          <w:numId w:val="39"/>
        </w:numPr>
        <w:ind w:left="284" w:hanging="284"/>
        <w:rPr>
          <w:lang w:val="en-GB"/>
        </w:rPr>
      </w:pPr>
      <w:r w:rsidRPr="008640C4">
        <w:rPr>
          <w:lang w:val="en-GB"/>
        </w:rPr>
        <w:t>anticipation of changes in treatment processes based on the forecast of the development of processing and waste disposal in the global technology,</w:t>
      </w:r>
    </w:p>
    <w:p w14:paraId="36069496" w14:textId="77777777" w:rsidR="00FE3973" w:rsidRPr="008640C4" w:rsidRDefault="00D15512" w:rsidP="00461D2C">
      <w:pPr>
        <w:pStyle w:val="Akapitzlist"/>
        <w:numPr>
          <w:ilvl w:val="0"/>
          <w:numId w:val="39"/>
        </w:numPr>
        <w:ind w:left="284" w:hanging="284"/>
        <w:rPr>
          <w:lang w:val="en-GB"/>
        </w:rPr>
      </w:pPr>
      <w:r w:rsidRPr="008640C4">
        <w:rPr>
          <w:lang w:val="en-GB"/>
        </w:rPr>
        <w:t>affluence and availability of land for the location of new system facilities, specifying its area and absorptive capacity,</w:t>
      </w:r>
    </w:p>
    <w:p w14:paraId="357F1D5A" w14:textId="77777777" w:rsidR="006B0A63" w:rsidRPr="008640C4" w:rsidRDefault="006B0A63" w:rsidP="003367DB">
      <w:pPr>
        <w:rPr>
          <w:lang w:val="en-GB"/>
        </w:rPr>
      </w:pPr>
      <w:r w:rsidRPr="008640C4">
        <w:rPr>
          <w:lang w:val="en-GB"/>
        </w:rPr>
        <w:t xml:space="preserve">has a </w:t>
      </w:r>
      <w:r w:rsidR="001F3921">
        <w:rPr>
          <w:lang w:val="en-GB"/>
        </w:rPr>
        <w:t>broa</w:t>
      </w:r>
      <w:r w:rsidRPr="008640C4">
        <w:rPr>
          <w:lang w:val="en-GB"/>
        </w:rPr>
        <w:t>der application in waste logistics</w:t>
      </w:r>
      <w:r w:rsidR="00731AEA" w:rsidRPr="008640C4">
        <w:rPr>
          <w:lang w:val="en-GB"/>
        </w:rPr>
        <w:t xml:space="preserve"> (Zajac &amp; Poznanski 2021, Zajac et al. 2020, Zajac et al. 2022</w:t>
      </w:r>
      <w:r w:rsidR="009A294F" w:rsidRPr="008640C4">
        <w:rPr>
          <w:lang w:val="en-GB"/>
        </w:rPr>
        <w:t xml:space="preserve">, </w:t>
      </w:r>
      <w:proofErr w:type="spellStart"/>
      <w:r w:rsidR="009A294F" w:rsidRPr="008640C4">
        <w:rPr>
          <w:lang w:val="en-GB"/>
        </w:rPr>
        <w:t>Gabryelewicz</w:t>
      </w:r>
      <w:proofErr w:type="spellEnd"/>
      <w:r w:rsidR="009A294F" w:rsidRPr="008640C4">
        <w:rPr>
          <w:lang w:val="en-GB"/>
        </w:rPr>
        <w:t xml:space="preserve"> et al. 2022)</w:t>
      </w:r>
      <w:r w:rsidRPr="008640C4">
        <w:rPr>
          <w:lang w:val="en-GB"/>
        </w:rPr>
        <w:t>.</w:t>
      </w:r>
    </w:p>
    <w:p w14:paraId="6895DDE2" w14:textId="77777777" w:rsidR="00461D2C" w:rsidRPr="008640C4" w:rsidRDefault="00461D2C">
      <w:pPr>
        <w:jc w:val="left"/>
        <w:rPr>
          <w:rFonts w:eastAsiaTheme="minorEastAsia"/>
          <w:bCs/>
          <w:lang w:val="en-GB"/>
        </w:rPr>
      </w:pPr>
      <w:r w:rsidRPr="008640C4">
        <w:rPr>
          <w:bCs/>
          <w:lang w:val="en-GB"/>
        </w:rPr>
        <w:br w:type="page"/>
      </w:r>
    </w:p>
    <w:p w14:paraId="586E1F49" w14:textId="4FBAAE66" w:rsidR="008742C7" w:rsidRPr="008640C4" w:rsidRDefault="00405F8F" w:rsidP="003367DB">
      <w:pPr>
        <w:pStyle w:val="Bezodstpw"/>
        <w:ind w:firstLine="284"/>
        <w:jc w:val="both"/>
        <w:rPr>
          <w:rFonts w:ascii="Times New Roman" w:hAnsi="Times New Roman" w:cs="Times New Roman"/>
          <w:bCs/>
        </w:rPr>
      </w:pPr>
      <w:r w:rsidRPr="008640C4">
        <w:rPr>
          <w:rFonts w:ascii="Times New Roman" w:hAnsi="Times New Roman" w:cs="Times New Roman"/>
          <w:bCs/>
        </w:rPr>
        <w:lastRenderedPageBreak/>
        <w:t xml:space="preserve">The article contains two irreplaceable elements: research results (carried out in </w:t>
      </w:r>
      <w:r w:rsidR="001A534D" w:rsidRPr="008640C4">
        <w:rPr>
          <w:rFonts w:ascii="Times New Roman" w:hAnsi="Times New Roman" w:cs="Times New Roman"/>
          <w:bCs/>
        </w:rPr>
        <w:t>Wroclaw</w:t>
      </w:r>
      <w:r w:rsidRPr="008640C4">
        <w:rPr>
          <w:rFonts w:ascii="Times New Roman" w:hAnsi="Times New Roman" w:cs="Times New Roman"/>
          <w:bCs/>
        </w:rPr>
        <w:t xml:space="preserve"> in 1998</w:t>
      </w:r>
      <w:r w:rsidR="00AC37A7" w:rsidRPr="008640C4">
        <w:rPr>
          <w:rFonts w:ascii="Times New Roman" w:hAnsi="Times New Roman" w:cs="Times New Roman"/>
          <w:bCs/>
        </w:rPr>
        <w:t>-</w:t>
      </w:r>
      <w:r w:rsidRPr="008640C4">
        <w:rPr>
          <w:rFonts w:ascii="Times New Roman" w:hAnsi="Times New Roman" w:cs="Times New Roman"/>
          <w:bCs/>
        </w:rPr>
        <w:t>2018) integrated with mathematical relationships that build the cost calculation model. The authors did not build a</w:t>
      </w:r>
      <w:r w:rsidR="00274081">
        <w:rPr>
          <w:rFonts w:ascii="Times New Roman" w:hAnsi="Times New Roman" w:cs="Times New Roman"/>
          <w:bCs/>
        </w:rPr>
        <w:t> </w:t>
      </w:r>
      <w:r w:rsidRPr="008640C4">
        <w:rPr>
          <w:rFonts w:ascii="Times New Roman" w:hAnsi="Times New Roman" w:cs="Times New Roman"/>
          <w:bCs/>
        </w:rPr>
        <w:t xml:space="preserve">case for the city of </w:t>
      </w:r>
      <w:r w:rsidR="001A534D" w:rsidRPr="008640C4">
        <w:rPr>
          <w:rFonts w:ascii="Times New Roman" w:hAnsi="Times New Roman" w:cs="Times New Roman"/>
          <w:bCs/>
        </w:rPr>
        <w:t>Wroclaw</w:t>
      </w:r>
      <w:r w:rsidR="001F3921">
        <w:rPr>
          <w:rFonts w:ascii="Times New Roman" w:hAnsi="Times New Roman" w:cs="Times New Roman"/>
          <w:bCs/>
        </w:rPr>
        <w:t xml:space="preserve"> but a universal, scalable model in similar cases (e.g., Slovenia and</w:t>
      </w:r>
      <w:r w:rsidRPr="008640C4">
        <w:rPr>
          <w:rFonts w:ascii="Times New Roman" w:hAnsi="Times New Roman" w:cs="Times New Roman"/>
          <w:bCs/>
        </w:rPr>
        <w:t xml:space="preserve"> Croatia). Exemplary comments have been added to the research results shown in the graphs, illustrating how the presented content is integrated with </w:t>
      </w:r>
      <w:r w:rsidR="001F3921">
        <w:rPr>
          <w:rFonts w:ascii="Times New Roman" w:hAnsi="Times New Roman" w:cs="Times New Roman"/>
          <w:bCs/>
        </w:rPr>
        <w:t>people's lives</w:t>
      </w:r>
      <w:r w:rsidRPr="008640C4">
        <w:rPr>
          <w:rFonts w:ascii="Times New Roman" w:hAnsi="Times New Roman" w:cs="Times New Roman"/>
          <w:bCs/>
        </w:rPr>
        <w:t xml:space="preserve"> in a given area. The course of the graphs is a reflection of the life of the inhabitants. The reader should treat mathematical relationships and research results as a pair. The model </w:t>
      </w:r>
      <w:r w:rsidR="001F3921">
        <w:rPr>
          <w:rFonts w:ascii="Times New Roman" w:hAnsi="Times New Roman" w:cs="Times New Roman"/>
          <w:bCs/>
        </w:rPr>
        <w:t>considers several</w:t>
      </w:r>
      <w:r w:rsidRPr="008640C4">
        <w:rPr>
          <w:rFonts w:ascii="Times New Roman" w:hAnsi="Times New Roman" w:cs="Times New Roman"/>
          <w:bCs/>
        </w:rPr>
        <w:t xml:space="preserve"> parameters, including, for example, profits from the sale of sorted raw materials </w:t>
      </w:r>
      <w:r w:rsidR="001F3921">
        <w:rPr>
          <w:rFonts w:ascii="Times New Roman" w:hAnsi="Times New Roman" w:cs="Times New Roman"/>
          <w:bCs/>
        </w:rPr>
        <w:t xml:space="preserve">and </w:t>
      </w:r>
      <w:r w:rsidRPr="008640C4">
        <w:rPr>
          <w:rFonts w:ascii="Times New Roman" w:hAnsi="Times New Roman" w:cs="Times New Roman"/>
          <w:bCs/>
        </w:rPr>
        <w:t xml:space="preserve">the intensity of social migration of citizens. Most often, the management staff in enterprises uses a typical Microsoft </w:t>
      </w:r>
      <w:r w:rsidR="001F3921">
        <w:rPr>
          <w:rFonts w:ascii="Times New Roman" w:hAnsi="Times New Roman" w:cs="Times New Roman"/>
          <w:bCs/>
        </w:rPr>
        <w:t>O</w:t>
      </w:r>
      <w:r w:rsidRPr="008640C4">
        <w:rPr>
          <w:rFonts w:ascii="Times New Roman" w:hAnsi="Times New Roman" w:cs="Times New Roman"/>
          <w:bCs/>
        </w:rPr>
        <w:t>ffice suite in decision support</w:t>
      </w:r>
      <w:r w:rsidR="001F3921">
        <w:rPr>
          <w:rFonts w:ascii="Times New Roman" w:hAnsi="Times New Roman" w:cs="Times New Roman"/>
          <w:bCs/>
        </w:rPr>
        <w:t>;</w:t>
      </w:r>
      <w:r w:rsidRPr="008640C4">
        <w:rPr>
          <w:rFonts w:ascii="Times New Roman" w:hAnsi="Times New Roman" w:cs="Times New Roman"/>
          <w:bCs/>
        </w:rPr>
        <w:t xml:space="preserve"> hence</w:t>
      </w:r>
      <w:r w:rsidR="001F3921">
        <w:rPr>
          <w:rFonts w:ascii="Times New Roman" w:hAnsi="Times New Roman" w:cs="Times New Roman"/>
          <w:bCs/>
        </w:rPr>
        <w:t>,</w:t>
      </w:r>
      <w:r w:rsidRPr="008640C4">
        <w:rPr>
          <w:rFonts w:ascii="Times New Roman" w:hAnsi="Times New Roman" w:cs="Times New Roman"/>
          <w:bCs/>
        </w:rPr>
        <w:t xml:space="preserve"> the derived mathematical relationships have been saved to be useful </w:t>
      </w:r>
      <w:r w:rsidR="001F3921">
        <w:rPr>
          <w:rFonts w:ascii="Times New Roman" w:hAnsi="Times New Roman" w:cs="Times New Roman"/>
          <w:bCs/>
        </w:rPr>
        <w:t>to calculate and optimise</w:t>
      </w:r>
      <w:r w:rsidRPr="008640C4">
        <w:rPr>
          <w:rFonts w:ascii="Times New Roman" w:hAnsi="Times New Roman" w:cs="Times New Roman"/>
          <w:bCs/>
        </w:rPr>
        <w:t xml:space="preserve"> with software available in offices. It is obvious that computer simulation tools such as </w:t>
      </w:r>
      <w:proofErr w:type="spellStart"/>
      <w:r w:rsidRPr="008640C4">
        <w:rPr>
          <w:rFonts w:ascii="Times New Roman" w:hAnsi="Times New Roman" w:cs="Times New Roman"/>
          <w:bCs/>
        </w:rPr>
        <w:t>Matlab</w:t>
      </w:r>
      <w:proofErr w:type="spellEnd"/>
      <w:r w:rsidRPr="008640C4">
        <w:rPr>
          <w:rFonts w:ascii="Times New Roman" w:hAnsi="Times New Roman" w:cs="Times New Roman"/>
          <w:bCs/>
        </w:rPr>
        <w:t xml:space="preserve">-Simulink are available in </w:t>
      </w:r>
      <w:r w:rsidR="001F3921">
        <w:rPr>
          <w:rFonts w:ascii="Times New Roman" w:hAnsi="Times New Roman" w:cs="Times New Roman"/>
          <w:bCs/>
        </w:rPr>
        <w:t>research centres and</w:t>
      </w:r>
      <w:r w:rsidRPr="008640C4">
        <w:rPr>
          <w:rFonts w:ascii="Times New Roman" w:hAnsi="Times New Roman" w:cs="Times New Roman"/>
          <w:bCs/>
        </w:rPr>
        <w:t xml:space="preserve"> universities</w:t>
      </w:r>
      <w:r w:rsidR="001F3921">
        <w:rPr>
          <w:rFonts w:ascii="Times New Roman" w:hAnsi="Times New Roman" w:cs="Times New Roman"/>
          <w:bCs/>
        </w:rPr>
        <w:t>. Still,</w:t>
      </w:r>
      <w:r w:rsidRPr="008640C4">
        <w:rPr>
          <w:rFonts w:ascii="Times New Roman" w:hAnsi="Times New Roman" w:cs="Times New Roman"/>
          <w:bCs/>
        </w:rPr>
        <w:t xml:space="preserve"> companies relatively rarely have not only licenses but also appropriate libraries for </w:t>
      </w:r>
      <w:proofErr w:type="spellStart"/>
      <w:r w:rsidRPr="008640C4">
        <w:rPr>
          <w:rFonts w:ascii="Times New Roman" w:hAnsi="Times New Roman" w:cs="Times New Roman"/>
          <w:bCs/>
        </w:rPr>
        <w:t>Matlab</w:t>
      </w:r>
      <w:proofErr w:type="spellEnd"/>
      <w:r w:rsidRPr="008640C4">
        <w:rPr>
          <w:rFonts w:ascii="Times New Roman" w:hAnsi="Times New Roman" w:cs="Times New Roman"/>
          <w:bCs/>
        </w:rPr>
        <w:t>-Simulink</w:t>
      </w:r>
      <w:r w:rsidR="001F3921">
        <w:rPr>
          <w:rFonts w:ascii="Times New Roman" w:hAnsi="Times New Roman" w:cs="Times New Roman"/>
          <w:bCs/>
        </w:rPr>
        <w:t>.</w:t>
      </w:r>
    </w:p>
    <w:p w14:paraId="13B31AD9" w14:textId="77777777" w:rsidR="006F1E4B" w:rsidRPr="008640C4" w:rsidRDefault="00D64238" w:rsidP="003367DB">
      <w:pPr>
        <w:pStyle w:val="Bezodstpw"/>
        <w:ind w:firstLine="284"/>
        <w:jc w:val="both"/>
        <w:rPr>
          <w:rFonts w:ascii="Times New Roman" w:hAnsi="Times New Roman" w:cs="Times New Roman"/>
          <w:bCs/>
        </w:rPr>
      </w:pPr>
      <w:r w:rsidRPr="008640C4">
        <w:rPr>
          <w:rFonts w:ascii="Times New Roman" w:hAnsi="Times New Roman" w:cs="Times New Roman"/>
          <w:bCs/>
        </w:rPr>
        <w:t xml:space="preserve">The next section contains an analysis – </w:t>
      </w:r>
      <w:r w:rsidR="001F3921">
        <w:rPr>
          <w:rFonts w:ascii="Times New Roman" w:hAnsi="Times New Roman" w:cs="Times New Roman"/>
          <w:bCs/>
        </w:rPr>
        <w:t>"</w:t>
      </w:r>
      <w:r w:rsidRPr="008640C4">
        <w:rPr>
          <w:rFonts w:ascii="Times New Roman" w:hAnsi="Times New Roman" w:cs="Times New Roman"/>
          <w:bCs/>
        </w:rPr>
        <w:t>state of the art</w:t>
      </w:r>
      <w:r w:rsidR="001F3921">
        <w:rPr>
          <w:rFonts w:ascii="Times New Roman" w:hAnsi="Times New Roman" w:cs="Times New Roman"/>
          <w:bCs/>
        </w:rPr>
        <w:t>"</w:t>
      </w:r>
      <w:r w:rsidRPr="008640C4">
        <w:rPr>
          <w:rFonts w:ascii="Times New Roman" w:hAnsi="Times New Roman" w:cs="Times New Roman"/>
          <w:bCs/>
        </w:rPr>
        <w:t xml:space="preserve"> in the area of the article</w:t>
      </w:r>
      <w:r w:rsidR="001F3921">
        <w:rPr>
          <w:rFonts w:ascii="Times New Roman" w:hAnsi="Times New Roman" w:cs="Times New Roman"/>
          <w:bCs/>
        </w:rPr>
        <w:t>. T</w:t>
      </w:r>
      <w:r w:rsidRPr="008640C4">
        <w:rPr>
          <w:rFonts w:ascii="Times New Roman" w:hAnsi="Times New Roman" w:cs="Times New Roman"/>
          <w:bCs/>
        </w:rPr>
        <w:t>he following section presents research</w:t>
      </w:r>
      <w:r w:rsidR="009176D8" w:rsidRPr="008640C4">
        <w:rPr>
          <w:rFonts w:ascii="Times New Roman" w:hAnsi="Times New Roman" w:cs="Times New Roman"/>
          <w:bCs/>
        </w:rPr>
        <w:t xml:space="preserve"> on municipal waste in Wroclaw.</w:t>
      </w:r>
    </w:p>
    <w:p w14:paraId="5919BCD0" w14:textId="77777777" w:rsidR="00D02A9B" w:rsidRPr="008640C4" w:rsidRDefault="008640C4" w:rsidP="008640C4">
      <w:pPr>
        <w:pStyle w:val="Rn1"/>
        <w:rPr>
          <w:lang w:val="en-GB"/>
        </w:rPr>
      </w:pPr>
      <w:r>
        <w:rPr>
          <w:lang w:val="en-GB"/>
        </w:rPr>
        <w:t>2</w:t>
      </w:r>
      <w:r w:rsidRPr="008640C4">
        <w:rPr>
          <w:lang w:val="en-GB"/>
        </w:rPr>
        <w:t xml:space="preserve">. </w:t>
      </w:r>
      <w:r w:rsidR="002C3F70" w:rsidRPr="008640C4">
        <w:rPr>
          <w:lang w:val="en-GB"/>
        </w:rPr>
        <w:t xml:space="preserve">Literature </w:t>
      </w:r>
      <w:r w:rsidR="00876031">
        <w:rPr>
          <w:lang w:val="en-GB"/>
        </w:rPr>
        <w:t>R</w:t>
      </w:r>
      <w:r w:rsidR="002C3F70" w:rsidRPr="008640C4">
        <w:rPr>
          <w:lang w:val="en-GB"/>
        </w:rPr>
        <w:t>eview</w:t>
      </w:r>
    </w:p>
    <w:p w14:paraId="4B6D6A6D" w14:textId="77777777" w:rsidR="00405F8F" w:rsidRPr="008640C4" w:rsidRDefault="00405F8F" w:rsidP="003367DB">
      <w:pPr>
        <w:pStyle w:val="Bezodstpw"/>
        <w:ind w:firstLine="284"/>
        <w:jc w:val="both"/>
        <w:rPr>
          <w:rFonts w:ascii="Times New Roman" w:hAnsi="Times New Roman" w:cs="Times New Roman"/>
          <w:bCs/>
        </w:rPr>
      </w:pPr>
      <w:r w:rsidRPr="008640C4">
        <w:rPr>
          <w:rFonts w:ascii="Times New Roman" w:hAnsi="Times New Roman" w:cs="Times New Roman"/>
          <w:bCs/>
        </w:rPr>
        <w:t xml:space="preserve">For many years, changes in the operation of waste management have been observed in Poland. Despite several amendments to legal regulations, the management system still does not bring the expected results. In the European ranking regarding the amount of segregated waste, Poland is in one of the last places. </w:t>
      </w:r>
      <w:r w:rsidR="001F3921">
        <w:rPr>
          <w:rFonts w:ascii="Times New Roman" w:hAnsi="Times New Roman" w:cs="Times New Roman"/>
          <w:bCs/>
        </w:rPr>
        <w:t>The "Act on maintaining cleanliness and order in municipalities" was a very important element of the changes</w:t>
      </w:r>
      <w:r w:rsidRPr="008640C4">
        <w:rPr>
          <w:rFonts w:ascii="Times New Roman" w:hAnsi="Times New Roman" w:cs="Times New Roman"/>
          <w:bCs/>
        </w:rPr>
        <w:t xml:space="preserve"> in 1996. Some of the provisions of this document were the same as those in the EU. Thanks to this, the society and gradually the entire waste management system in Poland were slowly being prepared for EU acces</w:t>
      </w:r>
      <w:r w:rsidR="004E0056" w:rsidRPr="008640C4">
        <w:rPr>
          <w:rFonts w:ascii="Times New Roman" w:hAnsi="Times New Roman" w:cs="Times New Roman"/>
          <w:bCs/>
        </w:rPr>
        <w:t>sion, e.g. automotive recycling (</w:t>
      </w:r>
      <w:proofErr w:type="spellStart"/>
      <w:r w:rsidR="004E0056" w:rsidRPr="008640C4">
        <w:rPr>
          <w:rFonts w:ascii="Times New Roman" w:hAnsi="Times New Roman" w:cs="Times New Roman"/>
          <w:bCs/>
        </w:rPr>
        <w:t>Chamier-Gliszczynski</w:t>
      </w:r>
      <w:proofErr w:type="spellEnd"/>
      <w:r w:rsidR="004E0056" w:rsidRPr="008640C4">
        <w:rPr>
          <w:rFonts w:ascii="Times New Roman" w:hAnsi="Times New Roman" w:cs="Times New Roman"/>
          <w:bCs/>
        </w:rPr>
        <w:t xml:space="preserve"> &amp; </w:t>
      </w:r>
      <w:proofErr w:type="spellStart"/>
      <w:r w:rsidR="004E0056" w:rsidRPr="008640C4">
        <w:rPr>
          <w:rFonts w:ascii="Times New Roman" w:hAnsi="Times New Roman" w:cs="Times New Roman"/>
          <w:bCs/>
        </w:rPr>
        <w:t>Krzyzynski</w:t>
      </w:r>
      <w:proofErr w:type="spellEnd"/>
      <w:r w:rsidR="004E0056" w:rsidRPr="008640C4">
        <w:rPr>
          <w:rFonts w:ascii="Times New Roman" w:hAnsi="Times New Roman" w:cs="Times New Roman"/>
          <w:bCs/>
        </w:rPr>
        <w:t xml:space="preserve"> 2005</w:t>
      </w:r>
      <w:r w:rsidR="00DA61BB" w:rsidRPr="008640C4">
        <w:rPr>
          <w:rFonts w:ascii="Times New Roman" w:hAnsi="Times New Roman" w:cs="Times New Roman"/>
          <w:bCs/>
        </w:rPr>
        <w:t xml:space="preserve">, </w:t>
      </w:r>
      <w:proofErr w:type="spellStart"/>
      <w:r w:rsidR="00DA61BB" w:rsidRPr="008640C4">
        <w:rPr>
          <w:rFonts w:ascii="Times New Roman" w:hAnsi="Times New Roman" w:cs="Times New Roman"/>
          <w:bCs/>
        </w:rPr>
        <w:t>Czwajda</w:t>
      </w:r>
      <w:proofErr w:type="spellEnd"/>
      <w:r w:rsidR="00DA61BB" w:rsidRPr="008640C4">
        <w:rPr>
          <w:rFonts w:ascii="Times New Roman" w:hAnsi="Times New Roman" w:cs="Times New Roman"/>
          <w:bCs/>
        </w:rPr>
        <w:t xml:space="preserve"> et al. 2019</w:t>
      </w:r>
      <w:r w:rsidR="000074F6" w:rsidRPr="008640C4">
        <w:rPr>
          <w:rFonts w:ascii="Times New Roman" w:hAnsi="Times New Roman" w:cs="Times New Roman"/>
          <w:bCs/>
        </w:rPr>
        <w:t>, Deng et al. 2018, Dia et al. 2018)</w:t>
      </w:r>
      <w:r w:rsidR="004E0056" w:rsidRPr="008640C4">
        <w:rPr>
          <w:rFonts w:ascii="Times New Roman" w:hAnsi="Times New Roman" w:cs="Times New Roman"/>
          <w:bCs/>
        </w:rPr>
        <w:t>.</w:t>
      </w:r>
    </w:p>
    <w:p w14:paraId="3F98C2E5" w14:textId="77777777" w:rsidR="00F56A74" w:rsidRPr="008640C4" w:rsidRDefault="00F56A74" w:rsidP="003367DB">
      <w:pPr>
        <w:pStyle w:val="Bezodstpw"/>
        <w:ind w:firstLine="284"/>
        <w:jc w:val="both"/>
        <w:rPr>
          <w:rFonts w:ascii="Times New Roman" w:hAnsi="Times New Roman" w:cs="Times New Roman"/>
          <w:bCs/>
        </w:rPr>
      </w:pPr>
      <w:r w:rsidRPr="008640C4">
        <w:rPr>
          <w:rFonts w:ascii="Times New Roman" w:hAnsi="Times New Roman" w:cs="Times New Roman"/>
          <w:bCs/>
        </w:rPr>
        <w:t>The "state of the art" consists of three basic groups of documents: 1</w:t>
      </w:r>
      <w:r w:rsidR="00461D2C" w:rsidRPr="008640C4">
        <w:rPr>
          <w:rFonts w:ascii="Times New Roman" w:hAnsi="Times New Roman" w:cs="Times New Roman"/>
          <w:bCs/>
        </w:rPr>
        <w:t xml:space="preserve"> – </w:t>
      </w:r>
      <w:r w:rsidRPr="008640C4">
        <w:rPr>
          <w:rFonts w:ascii="Times New Roman" w:hAnsi="Times New Roman" w:cs="Times New Roman"/>
          <w:bCs/>
        </w:rPr>
        <w:t>scientific papers/books; 2</w:t>
      </w:r>
      <w:r w:rsidR="00461D2C" w:rsidRPr="008640C4">
        <w:rPr>
          <w:rFonts w:ascii="Times New Roman" w:hAnsi="Times New Roman" w:cs="Times New Roman"/>
          <w:bCs/>
        </w:rPr>
        <w:t xml:space="preserve"> – </w:t>
      </w:r>
      <w:r w:rsidRPr="008640C4">
        <w:rPr>
          <w:rFonts w:ascii="Times New Roman" w:hAnsi="Times New Roman" w:cs="Times New Roman"/>
          <w:bCs/>
        </w:rPr>
        <w:t>European Union regulations; 3</w:t>
      </w:r>
      <w:r w:rsidR="00461D2C" w:rsidRPr="008640C4">
        <w:rPr>
          <w:rFonts w:ascii="Times New Roman" w:hAnsi="Times New Roman" w:cs="Times New Roman"/>
          <w:bCs/>
        </w:rPr>
        <w:t xml:space="preserve"> – </w:t>
      </w:r>
      <w:r w:rsidRPr="008640C4">
        <w:rPr>
          <w:rFonts w:ascii="Times New Roman" w:hAnsi="Times New Roman" w:cs="Times New Roman"/>
          <w:bCs/>
        </w:rPr>
        <w:t>regulations in force in Poland. Since not all documents have been published in English, in justified (selected) cases</w:t>
      </w:r>
      <w:r w:rsidR="001F3921">
        <w:rPr>
          <w:rFonts w:ascii="Times New Roman" w:hAnsi="Times New Roman" w:cs="Times New Roman"/>
          <w:bCs/>
        </w:rPr>
        <w:t>,</w:t>
      </w:r>
      <w:r w:rsidRPr="008640C4">
        <w:rPr>
          <w:rFonts w:ascii="Times New Roman" w:hAnsi="Times New Roman" w:cs="Times New Roman"/>
          <w:bCs/>
        </w:rPr>
        <w:t xml:space="preserve"> such citations have been discussed in more detail so the reader can understand the authors' intentions. Legislation is available </w:t>
      </w:r>
      <w:r w:rsidR="00EE1AFD">
        <w:rPr>
          <w:rFonts w:ascii="Times New Roman" w:hAnsi="Times New Roman" w:cs="Times New Roman"/>
          <w:bCs/>
        </w:rPr>
        <w:t>for</w:t>
      </w:r>
      <w:r w:rsidRPr="008640C4">
        <w:rPr>
          <w:rFonts w:ascii="Times New Roman" w:hAnsi="Times New Roman" w:cs="Times New Roman"/>
          <w:bCs/>
        </w:rPr>
        <w:t xml:space="preserve"> free online (</w:t>
      </w:r>
      <w:bookmarkStart w:id="4" w:name="OLE_LINK2"/>
      <w:r w:rsidRPr="008640C4">
        <w:rPr>
          <w:rFonts w:ascii="Times New Roman" w:hAnsi="Times New Roman" w:cs="Times New Roman"/>
          <w:bCs/>
        </w:rPr>
        <w:t>ISAP</w:t>
      </w:r>
      <w:r w:rsidR="00322296" w:rsidRPr="008640C4">
        <w:rPr>
          <w:rFonts w:ascii="Times New Roman" w:hAnsi="Times New Roman" w:cs="Times New Roman"/>
          <w:bCs/>
        </w:rPr>
        <w:t xml:space="preserve"> 2023</w:t>
      </w:r>
      <w:bookmarkEnd w:id="4"/>
      <w:r w:rsidRPr="008640C4">
        <w:rPr>
          <w:rFonts w:ascii="Times New Roman" w:hAnsi="Times New Roman" w:cs="Times New Roman"/>
          <w:bCs/>
        </w:rPr>
        <w:t>).</w:t>
      </w:r>
    </w:p>
    <w:p w14:paraId="6279A93A" w14:textId="5B365DE6" w:rsidR="00F9154D" w:rsidRPr="00274081" w:rsidRDefault="006570FC" w:rsidP="003367DB">
      <w:pPr>
        <w:pStyle w:val="Bezodstpw"/>
        <w:ind w:firstLine="284"/>
        <w:jc w:val="both"/>
        <w:rPr>
          <w:rFonts w:ascii="Times New Roman" w:hAnsi="Times New Roman" w:cs="Times New Roman"/>
          <w:bCs/>
          <w:spacing w:val="-2"/>
        </w:rPr>
      </w:pPr>
      <w:r w:rsidRPr="00274081">
        <w:rPr>
          <w:rFonts w:ascii="Times New Roman" w:hAnsi="Times New Roman" w:cs="Times New Roman"/>
          <w:bCs/>
          <w:spacing w:val="-2"/>
        </w:rPr>
        <w:t xml:space="preserve">The Act on </w:t>
      </w:r>
      <w:r w:rsidR="00EE1AFD" w:rsidRPr="00274081">
        <w:rPr>
          <w:rFonts w:ascii="Times New Roman" w:hAnsi="Times New Roman" w:cs="Times New Roman"/>
          <w:bCs/>
          <w:spacing w:val="-2"/>
        </w:rPr>
        <w:t>W</w:t>
      </w:r>
      <w:r w:rsidRPr="00274081">
        <w:rPr>
          <w:rFonts w:ascii="Times New Roman" w:hAnsi="Times New Roman" w:cs="Times New Roman"/>
          <w:bCs/>
          <w:spacing w:val="-2"/>
        </w:rPr>
        <w:t>aste primarily introduced the obligation to segregate municipal waste to increase the volume of waste: stored in landfills, get rid of hazardous substances from the waste stream; in particular, save energy and recover valuable raw materials suitable for reuse</w:t>
      </w:r>
      <w:r w:rsidR="00390DB0" w:rsidRPr="00274081">
        <w:rPr>
          <w:rFonts w:ascii="Times New Roman" w:hAnsi="Times New Roman" w:cs="Times New Roman"/>
          <w:bCs/>
          <w:spacing w:val="-2"/>
        </w:rPr>
        <w:t xml:space="preserve"> (</w:t>
      </w:r>
      <w:proofErr w:type="spellStart"/>
      <w:r w:rsidR="00390DB0" w:rsidRPr="00274081">
        <w:rPr>
          <w:rFonts w:ascii="Times New Roman" w:hAnsi="Times New Roman" w:cs="Times New Roman"/>
          <w:bCs/>
          <w:spacing w:val="-2"/>
        </w:rPr>
        <w:t>Chamier-Gliszczyński</w:t>
      </w:r>
      <w:proofErr w:type="spellEnd"/>
      <w:r w:rsidR="00390DB0" w:rsidRPr="00274081">
        <w:rPr>
          <w:rFonts w:ascii="Times New Roman" w:hAnsi="Times New Roman" w:cs="Times New Roman"/>
          <w:bCs/>
          <w:spacing w:val="-2"/>
        </w:rPr>
        <w:t xml:space="preserve"> 2011</w:t>
      </w:r>
      <w:r w:rsidR="004F6FD9" w:rsidRPr="00274081">
        <w:rPr>
          <w:rFonts w:ascii="Times New Roman" w:hAnsi="Times New Roman" w:cs="Times New Roman"/>
          <w:bCs/>
          <w:spacing w:val="-2"/>
        </w:rPr>
        <w:t>a</w:t>
      </w:r>
      <w:r w:rsidR="00390DB0" w:rsidRPr="00274081">
        <w:rPr>
          <w:rFonts w:ascii="Times New Roman" w:hAnsi="Times New Roman" w:cs="Times New Roman"/>
          <w:bCs/>
          <w:spacing w:val="-2"/>
        </w:rPr>
        <w:t>)</w:t>
      </w:r>
      <w:r w:rsidRPr="00274081">
        <w:rPr>
          <w:rFonts w:ascii="Times New Roman" w:hAnsi="Times New Roman" w:cs="Times New Roman"/>
          <w:bCs/>
          <w:spacing w:val="-2"/>
        </w:rPr>
        <w:t xml:space="preserve">. The implementation of the Act on </w:t>
      </w:r>
      <w:r w:rsidR="00EE1AFD" w:rsidRPr="00274081">
        <w:rPr>
          <w:rFonts w:ascii="Times New Roman" w:hAnsi="Times New Roman" w:cs="Times New Roman"/>
          <w:bCs/>
          <w:spacing w:val="-2"/>
        </w:rPr>
        <w:t>W</w:t>
      </w:r>
      <w:r w:rsidRPr="00274081">
        <w:rPr>
          <w:rFonts w:ascii="Times New Roman" w:hAnsi="Times New Roman" w:cs="Times New Roman"/>
          <w:bCs/>
          <w:spacing w:val="-2"/>
        </w:rPr>
        <w:t>aste required a change in the awar</w:t>
      </w:r>
      <w:r w:rsidR="00390DB0" w:rsidRPr="00274081">
        <w:rPr>
          <w:rFonts w:ascii="Times New Roman" w:hAnsi="Times New Roman" w:cs="Times New Roman"/>
          <w:bCs/>
          <w:spacing w:val="-2"/>
        </w:rPr>
        <w:t>eness of society</w:t>
      </w:r>
      <w:r w:rsidRPr="00274081">
        <w:rPr>
          <w:rFonts w:ascii="Times New Roman" w:hAnsi="Times New Roman" w:cs="Times New Roman"/>
          <w:bCs/>
          <w:spacing w:val="-2"/>
        </w:rPr>
        <w:t xml:space="preserve"> </w:t>
      </w:r>
      <w:r w:rsidR="005C370A" w:rsidRPr="00274081">
        <w:rPr>
          <w:rFonts w:ascii="Times New Roman" w:hAnsi="Times New Roman" w:cs="Times New Roman"/>
          <w:bCs/>
          <w:spacing w:val="-2"/>
        </w:rPr>
        <w:t>(D</w:t>
      </w:r>
      <w:r w:rsidR="005C370A" w:rsidRPr="00274081">
        <w:rPr>
          <w:rFonts w:ascii="Times New Roman" w:hAnsi="Times New Roman" w:cs="Times New Roman"/>
          <w:spacing w:val="-2"/>
        </w:rPr>
        <w:t>en Boer 2009</w:t>
      </w:r>
      <w:r w:rsidR="005C370A" w:rsidRPr="00274081">
        <w:rPr>
          <w:rFonts w:ascii="Times New Roman" w:hAnsi="Times New Roman" w:cs="Times New Roman"/>
          <w:bCs/>
          <w:spacing w:val="-2"/>
        </w:rPr>
        <w:t>)</w:t>
      </w:r>
      <w:r w:rsidR="0090166D" w:rsidRPr="00274081">
        <w:rPr>
          <w:rFonts w:ascii="Times New Roman" w:hAnsi="Times New Roman" w:cs="Times New Roman"/>
          <w:bCs/>
          <w:spacing w:val="-2"/>
        </w:rPr>
        <w:t xml:space="preserve"> </w:t>
      </w:r>
      <w:r w:rsidRPr="00274081">
        <w:rPr>
          <w:rFonts w:ascii="Times New Roman" w:hAnsi="Times New Roman" w:cs="Times New Roman"/>
          <w:bCs/>
          <w:spacing w:val="-2"/>
        </w:rPr>
        <w:t xml:space="preserve">and undertaking appropriate logistic activities to build a waste management system </w:t>
      </w:r>
      <w:r w:rsidR="00E92CC3" w:rsidRPr="00274081">
        <w:rPr>
          <w:rFonts w:ascii="Times New Roman" w:hAnsi="Times New Roman" w:cs="Times New Roman"/>
          <w:bCs/>
          <w:spacing w:val="-2"/>
        </w:rPr>
        <w:t>(</w:t>
      </w:r>
      <w:proofErr w:type="spellStart"/>
      <w:r w:rsidR="00E92CC3" w:rsidRPr="00274081">
        <w:rPr>
          <w:rFonts w:ascii="Times New Roman" w:hAnsi="Times New Roman" w:cs="Times New Roman"/>
          <w:bCs/>
          <w:spacing w:val="-2"/>
        </w:rPr>
        <w:t>Bilitewski</w:t>
      </w:r>
      <w:proofErr w:type="spellEnd"/>
      <w:r w:rsidR="00E92CC3" w:rsidRPr="00274081">
        <w:rPr>
          <w:rFonts w:ascii="Times New Roman" w:hAnsi="Times New Roman" w:cs="Times New Roman"/>
          <w:bCs/>
          <w:spacing w:val="-2"/>
        </w:rPr>
        <w:t xml:space="preserve"> et al. 2003, </w:t>
      </w:r>
      <w:proofErr w:type="spellStart"/>
      <w:r w:rsidR="004E0056" w:rsidRPr="00274081">
        <w:rPr>
          <w:rFonts w:ascii="Times New Roman" w:hAnsi="Times New Roman" w:cs="Times New Roman"/>
          <w:bCs/>
          <w:spacing w:val="-2"/>
        </w:rPr>
        <w:t>d</w:t>
      </w:r>
      <w:r w:rsidR="001F3921" w:rsidRPr="00274081">
        <w:rPr>
          <w:rFonts w:ascii="Times New Roman" w:hAnsi="Times New Roman" w:cs="Times New Roman"/>
          <w:bCs/>
          <w:spacing w:val="-2"/>
        </w:rPr>
        <w:t>'</w:t>
      </w:r>
      <w:r w:rsidR="004E0056" w:rsidRPr="00274081">
        <w:rPr>
          <w:rFonts w:ascii="Times New Roman" w:hAnsi="Times New Roman" w:cs="Times New Roman"/>
          <w:bCs/>
          <w:spacing w:val="-2"/>
        </w:rPr>
        <w:t>Obyrn</w:t>
      </w:r>
      <w:proofErr w:type="spellEnd"/>
      <w:r w:rsidR="004E0056" w:rsidRPr="00274081">
        <w:rPr>
          <w:rFonts w:ascii="Times New Roman" w:hAnsi="Times New Roman" w:cs="Times New Roman"/>
          <w:bCs/>
          <w:spacing w:val="-2"/>
        </w:rPr>
        <w:t xml:space="preserve"> &amp; </w:t>
      </w:r>
      <w:proofErr w:type="spellStart"/>
      <w:r w:rsidR="004E0056" w:rsidRPr="00274081">
        <w:rPr>
          <w:rFonts w:ascii="Times New Roman" w:hAnsi="Times New Roman" w:cs="Times New Roman"/>
          <w:bCs/>
          <w:spacing w:val="-2"/>
        </w:rPr>
        <w:t>Szalińska</w:t>
      </w:r>
      <w:proofErr w:type="spellEnd"/>
      <w:r w:rsidR="004C5453" w:rsidRPr="00274081">
        <w:rPr>
          <w:rFonts w:ascii="Times New Roman" w:hAnsi="Times New Roman" w:cs="Times New Roman"/>
          <w:bCs/>
          <w:spacing w:val="-2"/>
        </w:rPr>
        <w:t xml:space="preserve"> 2005)</w:t>
      </w:r>
      <w:r w:rsidRPr="00274081">
        <w:rPr>
          <w:rFonts w:ascii="Times New Roman" w:hAnsi="Times New Roman" w:cs="Times New Roman"/>
          <w:bCs/>
          <w:spacing w:val="-2"/>
        </w:rPr>
        <w:t>.</w:t>
      </w:r>
      <w:r w:rsidR="0098099D" w:rsidRPr="00274081">
        <w:rPr>
          <w:rFonts w:ascii="Times New Roman" w:hAnsi="Times New Roman" w:cs="Times New Roman"/>
          <w:bCs/>
          <w:spacing w:val="-2"/>
        </w:rPr>
        <w:t xml:space="preserve"> </w:t>
      </w:r>
      <w:r w:rsidR="006E00C4" w:rsidRPr="00274081">
        <w:rPr>
          <w:rFonts w:ascii="Times New Roman" w:hAnsi="Times New Roman" w:cs="Times New Roman"/>
          <w:bCs/>
          <w:spacing w:val="-2"/>
        </w:rPr>
        <w:t>To</w:t>
      </w:r>
      <w:r w:rsidR="00274081">
        <w:rPr>
          <w:rFonts w:ascii="Times New Roman" w:hAnsi="Times New Roman" w:cs="Times New Roman"/>
          <w:bCs/>
          <w:spacing w:val="-2"/>
        </w:rPr>
        <w:t> </w:t>
      </w:r>
      <w:r w:rsidR="006E00C4" w:rsidRPr="00274081">
        <w:rPr>
          <w:rFonts w:ascii="Times New Roman" w:hAnsi="Times New Roman" w:cs="Times New Roman"/>
          <w:bCs/>
          <w:spacing w:val="-2"/>
        </w:rPr>
        <w:t xml:space="preserve">some extent, a reference to Polish regulations can be found in </w:t>
      </w:r>
      <w:r w:rsidR="00E92CC3" w:rsidRPr="00274081">
        <w:rPr>
          <w:rFonts w:ascii="Times New Roman" w:hAnsi="Times New Roman" w:cs="Times New Roman"/>
          <w:bCs/>
          <w:spacing w:val="-2"/>
        </w:rPr>
        <w:t>(</w:t>
      </w:r>
      <w:proofErr w:type="spellStart"/>
      <w:r w:rsidR="00E92CC3" w:rsidRPr="00274081">
        <w:rPr>
          <w:rFonts w:ascii="Times New Roman" w:hAnsi="Times New Roman" w:cs="Times New Roman"/>
          <w:bCs/>
          <w:spacing w:val="-2"/>
        </w:rPr>
        <w:t>Bendkowski</w:t>
      </w:r>
      <w:proofErr w:type="spellEnd"/>
      <w:r w:rsidR="00E92CC3" w:rsidRPr="00274081">
        <w:rPr>
          <w:rFonts w:ascii="Times New Roman" w:hAnsi="Times New Roman" w:cs="Times New Roman"/>
          <w:bCs/>
          <w:spacing w:val="-2"/>
        </w:rPr>
        <w:t xml:space="preserve"> &amp; </w:t>
      </w:r>
      <w:proofErr w:type="spellStart"/>
      <w:r w:rsidR="00E92CC3" w:rsidRPr="00274081">
        <w:rPr>
          <w:rFonts w:ascii="Times New Roman" w:hAnsi="Times New Roman" w:cs="Times New Roman"/>
          <w:bCs/>
          <w:spacing w:val="-2"/>
        </w:rPr>
        <w:t>Wengierek</w:t>
      </w:r>
      <w:proofErr w:type="spellEnd"/>
      <w:r w:rsidR="00E92CC3" w:rsidRPr="00274081">
        <w:rPr>
          <w:rFonts w:ascii="Times New Roman" w:hAnsi="Times New Roman" w:cs="Times New Roman"/>
          <w:bCs/>
          <w:spacing w:val="-2"/>
        </w:rPr>
        <w:t xml:space="preserve"> 2012)</w:t>
      </w:r>
      <w:r w:rsidR="006E00C4" w:rsidRPr="00274081">
        <w:rPr>
          <w:rFonts w:ascii="Times New Roman" w:hAnsi="Times New Roman" w:cs="Times New Roman"/>
          <w:bCs/>
          <w:spacing w:val="-2"/>
        </w:rPr>
        <w:t>.</w:t>
      </w:r>
    </w:p>
    <w:p w14:paraId="705DEE55" w14:textId="77777777" w:rsidR="009E5E61" w:rsidRPr="008640C4" w:rsidRDefault="00405F8F" w:rsidP="003367DB">
      <w:pPr>
        <w:pStyle w:val="Bezodstpw"/>
        <w:ind w:firstLine="284"/>
        <w:jc w:val="both"/>
        <w:rPr>
          <w:rFonts w:ascii="Times New Roman" w:hAnsi="Times New Roman" w:cs="Times New Roman"/>
          <w:bCs/>
        </w:rPr>
      </w:pPr>
      <w:r w:rsidRPr="008640C4">
        <w:rPr>
          <w:rFonts w:ascii="Times New Roman" w:hAnsi="Times New Roman" w:cs="Times New Roman"/>
          <w:bCs/>
        </w:rPr>
        <w:t>The sale of selected secondary raw materials and their reuse in manufacturing processes should cover the costs related to waste management and additionally bring profits and promotional and educational activities</w:t>
      </w:r>
      <w:r w:rsidR="00EE1AFD">
        <w:rPr>
          <w:rFonts w:ascii="Times New Roman" w:hAnsi="Times New Roman" w:cs="Times New Roman"/>
          <w:bCs/>
        </w:rPr>
        <w:t>. U</w:t>
      </w:r>
      <w:r w:rsidRPr="008640C4">
        <w:rPr>
          <w:rFonts w:ascii="Times New Roman" w:hAnsi="Times New Roman" w:cs="Times New Roman"/>
          <w:bCs/>
        </w:rPr>
        <w:t>nfortunately, this is not the case in Poland</w:t>
      </w:r>
      <w:r w:rsidR="0016216B" w:rsidRPr="008640C4">
        <w:rPr>
          <w:rFonts w:ascii="Times New Roman" w:hAnsi="Times New Roman" w:cs="Times New Roman"/>
          <w:bCs/>
        </w:rPr>
        <w:t xml:space="preserve"> (</w:t>
      </w:r>
      <w:proofErr w:type="spellStart"/>
      <w:r w:rsidR="0016216B" w:rsidRPr="008640C4">
        <w:rPr>
          <w:rFonts w:ascii="Times New Roman" w:hAnsi="Times New Roman" w:cs="Times New Roman"/>
          <w:bCs/>
        </w:rPr>
        <w:t>Gabryelewicz</w:t>
      </w:r>
      <w:proofErr w:type="spellEnd"/>
      <w:r w:rsidR="0016216B" w:rsidRPr="008640C4">
        <w:rPr>
          <w:rFonts w:ascii="Times New Roman" w:hAnsi="Times New Roman" w:cs="Times New Roman"/>
          <w:bCs/>
        </w:rPr>
        <w:t xml:space="preserve"> et al. 2021)</w:t>
      </w:r>
      <w:r w:rsidRPr="008640C4">
        <w:rPr>
          <w:rFonts w:ascii="Times New Roman" w:hAnsi="Times New Roman" w:cs="Times New Roman"/>
          <w:bCs/>
        </w:rPr>
        <w:t xml:space="preserve">. Therefore, a fee is charged for </w:t>
      </w:r>
      <w:r w:rsidR="00EE1AFD">
        <w:rPr>
          <w:rFonts w:ascii="Times New Roman" w:hAnsi="Times New Roman" w:cs="Times New Roman"/>
          <w:bCs/>
        </w:rPr>
        <w:t>managing</w:t>
      </w:r>
      <w:r w:rsidR="00390DB0" w:rsidRPr="008640C4">
        <w:rPr>
          <w:rFonts w:ascii="Times New Roman" w:hAnsi="Times New Roman" w:cs="Times New Roman"/>
          <w:bCs/>
        </w:rPr>
        <w:t xml:space="preserve"> municipal waste in the EU</w:t>
      </w:r>
      <w:r w:rsidR="0090166D" w:rsidRPr="008640C4">
        <w:rPr>
          <w:rFonts w:ascii="Times New Roman" w:hAnsi="Times New Roman" w:cs="Times New Roman"/>
          <w:bCs/>
        </w:rPr>
        <w:t xml:space="preserve"> </w:t>
      </w:r>
      <w:r w:rsidR="004369FE" w:rsidRPr="008640C4">
        <w:rPr>
          <w:rFonts w:ascii="Times New Roman" w:hAnsi="Times New Roman" w:cs="Times New Roman"/>
          <w:bCs/>
        </w:rPr>
        <w:t>(European Parliament and Council Directive 94/62/</w:t>
      </w:r>
      <w:proofErr w:type="spellStart"/>
      <w:r w:rsidR="004369FE" w:rsidRPr="008640C4">
        <w:rPr>
          <w:rFonts w:ascii="Times New Roman" w:hAnsi="Times New Roman" w:cs="Times New Roman"/>
          <w:bCs/>
        </w:rPr>
        <w:t>ec</w:t>
      </w:r>
      <w:proofErr w:type="spellEnd"/>
      <w:r w:rsidR="004369FE" w:rsidRPr="008640C4">
        <w:rPr>
          <w:rFonts w:ascii="Times New Roman" w:hAnsi="Times New Roman" w:cs="Times New Roman"/>
          <w:bCs/>
        </w:rPr>
        <w:t>)</w:t>
      </w:r>
      <w:r w:rsidRPr="008640C4">
        <w:rPr>
          <w:rFonts w:ascii="Times New Roman" w:hAnsi="Times New Roman" w:cs="Times New Roman"/>
          <w:bCs/>
        </w:rPr>
        <w:t xml:space="preserve">. Despite this, the disposal of sorted waste is still not much cheaper than the disposal of mixed waste. Fees for placing waste </w:t>
      </w:r>
      <w:r w:rsidR="00EE1AFD">
        <w:rPr>
          <w:rFonts w:ascii="Times New Roman" w:hAnsi="Times New Roman" w:cs="Times New Roman"/>
          <w:bCs/>
        </w:rPr>
        <w:t>i</w:t>
      </w:r>
      <w:r w:rsidRPr="008640C4">
        <w:rPr>
          <w:rFonts w:ascii="Times New Roman" w:hAnsi="Times New Roman" w:cs="Times New Roman"/>
          <w:bCs/>
        </w:rPr>
        <w:t xml:space="preserve">n landfills are </w:t>
      </w:r>
      <w:r w:rsidR="00EE1AFD">
        <w:rPr>
          <w:rFonts w:ascii="Times New Roman" w:hAnsi="Times New Roman" w:cs="Times New Roman"/>
          <w:bCs/>
        </w:rPr>
        <w:t>increasing</w:t>
      </w:r>
      <w:r w:rsidRPr="008640C4">
        <w:rPr>
          <w:rFonts w:ascii="Times New Roman" w:hAnsi="Times New Roman" w:cs="Times New Roman"/>
          <w:bCs/>
        </w:rPr>
        <w:t xml:space="preserve"> year</w:t>
      </w:r>
      <w:r w:rsidR="00EE1AFD">
        <w:rPr>
          <w:rFonts w:ascii="Times New Roman" w:hAnsi="Times New Roman" w:cs="Times New Roman"/>
          <w:bCs/>
        </w:rPr>
        <w:t>ly</w:t>
      </w:r>
      <w:r w:rsidRPr="008640C4">
        <w:rPr>
          <w:rFonts w:ascii="Times New Roman" w:hAnsi="Times New Roman" w:cs="Times New Roman"/>
          <w:bCs/>
        </w:rPr>
        <w:t xml:space="preserve">, </w:t>
      </w:r>
      <w:r w:rsidR="00EE1AFD">
        <w:rPr>
          <w:rFonts w:ascii="Times New Roman" w:hAnsi="Times New Roman" w:cs="Times New Roman"/>
          <w:bCs/>
        </w:rPr>
        <w:t xml:space="preserve">and </w:t>
      </w:r>
      <w:r w:rsidRPr="008640C4">
        <w:rPr>
          <w:rFonts w:ascii="Times New Roman" w:hAnsi="Times New Roman" w:cs="Times New Roman"/>
          <w:bCs/>
        </w:rPr>
        <w:t xml:space="preserve">waste processing systems are being built with great reluctance and even social protests. Low prices of raw materials make waste segregation and recycling less and less profitable. </w:t>
      </w:r>
      <w:r w:rsidRPr="00274081">
        <w:rPr>
          <w:rFonts w:ascii="Times New Roman" w:hAnsi="Times New Roman" w:cs="Times New Roman"/>
          <w:bCs/>
          <w:spacing w:val="-2"/>
        </w:rPr>
        <w:t>The situation in Poland is such that it is more profitable for an individual to sell segregated waste for a profit to the collection point of secondary raw materials than for a company that does so on a larger scale</w:t>
      </w:r>
      <w:r w:rsidR="000B2052" w:rsidRPr="00274081">
        <w:rPr>
          <w:rFonts w:ascii="Times New Roman" w:hAnsi="Times New Roman" w:cs="Times New Roman"/>
          <w:bCs/>
          <w:spacing w:val="-2"/>
        </w:rPr>
        <w:t xml:space="preserve"> (SNAGA</w:t>
      </w:r>
      <w:r w:rsidR="009A1226" w:rsidRPr="00274081">
        <w:rPr>
          <w:rFonts w:ascii="Times New Roman" w:hAnsi="Times New Roman" w:cs="Times New Roman"/>
          <w:bCs/>
          <w:spacing w:val="-2"/>
        </w:rPr>
        <w:t>)</w:t>
      </w:r>
      <w:r w:rsidRPr="00274081">
        <w:rPr>
          <w:rFonts w:ascii="Times New Roman" w:hAnsi="Times New Roman" w:cs="Times New Roman"/>
          <w:bCs/>
          <w:spacing w:val="-2"/>
        </w:rPr>
        <w:t>.</w:t>
      </w:r>
    </w:p>
    <w:p w14:paraId="5E8D3208" w14:textId="77777777" w:rsidR="00F73408" w:rsidRPr="008640C4" w:rsidRDefault="00F73408" w:rsidP="003367DB">
      <w:pPr>
        <w:pStyle w:val="Bezodstpw"/>
        <w:ind w:firstLine="284"/>
        <w:jc w:val="both"/>
        <w:rPr>
          <w:rFonts w:ascii="Times New Roman" w:hAnsi="Times New Roman" w:cs="Times New Roman"/>
          <w:bCs/>
        </w:rPr>
      </w:pPr>
      <w:r w:rsidRPr="008640C4">
        <w:rPr>
          <w:rFonts w:ascii="Times New Roman" w:hAnsi="Times New Roman" w:cs="Times New Roman"/>
          <w:bCs/>
        </w:rPr>
        <w:t xml:space="preserve">The sharp increase in the waste fee in </w:t>
      </w:r>
      <w:r w:rsidR="001A534D" w:rsidRPr="008640C4">
        <w:rPr>
          <w:rFonts w:ascii="Times New Roman" w:hAnsi="Times New Roman" w:cs="Times New Roman"/>
          <w:bCs/>
        </w:rPr>
        <w:t>Wroclaw</w:t>
      </w:r>
      <w:r w:rsidRPr="008640C4">
        <w:rPr>
          <w:rFonts w:ascii="Times New Roman" w:hAnsi="Times New Roman" w:cs="Times New Roman"/>
          <w:bCs/>
        </w:rPr>
        <w:t xml:space="preserve"> and Lubiana from EUR 1 to nearly EUR 10 in 2009</w:t>
      </w:r>
      <w:r w:rsidR="00AC37A7" w:rsidRPr="008640C4">
        <w:rPr>
          <w:rFonts w:ascii="Times New Roman" w:hAnsi="Times New Roman" w:cs="Times New Roman"/>
          <w:bCs/>
        </w:rPr>
        <w:t>-</w:t>
      </w:r>
      <w:r w:rsidRPr="008640C4">
        <w:rPr>
          <w:rFonts w:ascii="Times New Roman" w:hAnsi="Times New Roman" w:cs="Times New Roman"/>
          <w:bCs/>
        </w:rPr>
        <w:t xml:space="preserve">2019 per person in a family did not increase the volume of waste collected selectively or reduce waste stored in landfills. The amount of waste collected selectively increased by 6.5%, while the amount of municipal waste sent to landfills decreased by 4%. The amount of generated waste has not changed. The observed situation </w:t>
      </w:r>
      <w:r w:rsidR="00EE1AFD">
        <w:rPr>
          <w:rFonts w:ascii="Times New Roman" w:hAnsi="Times New Roman" w:cs="Times New Roman"/>
          <w:bCs/>
        </w:rPr>
        <w:t>in Ljubljana, Zagreb,</w:t>
      </w:r>
      <w:r w:rsidRPr="008640C4">
        <w:rPr>
          <w:rFonts w:ascii="Times New Roman" w:hAnsi="Times New Roman" w:cs="Times New Roman"/>
          <w:bCs/>
        </w:rPr>
        <w:t xml:space="preserve"> and </w:t>
      </w:r>
      <w:r w:rsidR="001A534D" w:rsidRPr="008640C4">
        <w:rPr>
          <w:rFonts w:ascii="Times New Roman" w:hAnsi="Times New Roman" w:cs="Times New Roman"/>
          <w:bCs/>
        </w:rPr>
        <w:t>Wroclaw</w:t>
      </w:r>
      <w:r w:rsidRPr="008640C4">
        <w:rPr>
          <w:rFonts w:ascii="Times New Roman" w:hAnsi="Times New Roman" w:cs="Times New Roman"/>
          <w:bCs/>
        </w:rPr>
        <w:t xml:space="preserve"> gives grounds to conclude that the increasing waste fee does not </w:t>
      </w:r>
      <w:r w:rsidR="00EE1AFD">
        <w:rPr>
          <w:rFonts w:ascii="Times New Roman" w:hAnsi="Times New Roman" w:cs="Times New Roman"/>
          <w:bCs/>
        </w:rPr>
        <w:t>significantly impact</w:t>
      </w:r>
      <w:r w:rsidRPr="008640C4">
        <w:rPr>
          <w:rFonts w:ascii="Times New Roman" w:hAnsi="Times New Roman" w:cs="Times New Roman"/>
          <w:bCs/>
        </w:rPr>
        <w:t xml:space="preserve"> changes in waste management. This fee directly affects the operating costs of </w:t>
      </w:r>
      <w:r w:rsidR="00EE1AFD">
        <w:rPr>
          <w:rFonts w:ascii="Times New Roman" w:hAnsi="Times New Roman" w:cs="Times New Roman"/>
          <w:bCs/>
        </w:rPr>
        <w:t>waste recycling, sorting and storag</w:t>
      </w:r>
      <w:r w:rsidRPr="008640C4">
        <w:rPr>
          <w:rFonts w:ascii="Times New Roman" w:hAnsi="Times New Roman" w:cs="Times New Roman"/>
          <w:bCs/>
        </w:rPr>
        <w:t xml:space="preserve">e. </w:t>
      </w:r>
    </w:p>
    <w:p w14:paraId="69C5402F" w14:textId="77777777" w:rsidR="00704505" w:rsidRPr="008640C4" w:rsidRDefault="00276E60" w:rsidP="003367DB">
      <w:pPr>
        <w:pStyle w:val="Bezodstpw"/>
        <w:ind w:firstLine="284"/>
        <w:jc w:val="both"/>
        <w:rPr>
          <w:rFonts w:ascii="Times New Roman" w:hAnsi="Times New Roman" w:cs="Times New Roman"/>
          <w:bCs/>
        </w:rPr>
      </w:pPr>
      <w:r w:rsidRPr="008640C4">
        <w:rPr>
          <w:rFonts w:ascii="Times New Roman" w:hAnsi="Times New Roman" w:cs="Times New Roman"/>
          <w:bCs/>
        </w:rPr>
        <w:t>Calculati</w:t>
      </w:r>
      <w:r w:rsidR="00E31334">
        <w:rPr>
          <w:rFonts w:ascii="Times New Roman" w:hAnsi="Times New Roman" w:cs="Times New Roman"/>
          <w:bCs/>
        </w:rPr>
        <w:t>ng</w:t>
      </w:r>
      <w:r w:rsidRPr="008640C4">
        <w:rPr>
          <w:rFonts w:ascii="Times New Roman" w:hAnsi="Times New Roman" w:cs="Times New Roman"/>
          <w:bCs/>
        </w:rPr>
        <w:t xml:space="preserve"> the waste fee </w:t>
      </w:r>
      <w:r w:rsidR="00461D2C" w:rsidRPr="008640C4">
        <w:rPr>
          <w:rFonts w:ascii="Times New Roman" w:hAnsi="Times New Roman" w:cs="Times New Roman"/>
          <w:bCs/>
        </w:rPr>
        <w:t>–</w:t>
      </w:r>
      <w:r w:rsidRPr="008640C4">
        <w:rPr>
          <w:rFonts w:ascii="Times New Roman" w:hAnsi="Times New Roman" w:cs="Times New Roman"/>
          <w:bCs/>
        </w:rPr>
        <w:t xml:space="preserve"> the most common interpretation, also used by the Ministry of the Environment, means that to calculate the fee rate, one should use data on the number of inhabitants, the amount of waste generated in the commune and the costs of operating the system. With this interpretation, the rate is calculated in PLN/person for the </w:t>
      </w:r>
      <w:r w:rsidR="00E31334">
        <w:rPr>
          <w:rFonts w:ascii="Times New Roman" w:hAnsi="Times New Roman" w:cs="Times New Roman"/>
          <w:bCs/>
        </w:rPr>
        <w:t>municipality's average amount of waste/person</w:t>
      </w:r>
      <w:r w:rsidRPr="008640C4">
        <w:rPr>
          <w:rFonts w:ascii="Times New Roman" w:hAnsi="Times New Roman" w:cs="Times New Roman"/>
          <w:bCs/>
        </w:rPr>
        <w:t>.</w:t>
      </w:r>
    </w:p>
    <w:p w14:paraId="4F3C3EC3" w14:textId="77777777" w:rsidR="00276E60" w:rsidRPr="008640C4" w:rsidRDefault="00276E60" w:rsidP="003367DB">
      <w:pPr>
        <w:pStyle w:val="Bezodstpw"/>
        <w:ind w:firstLine="284"/>
        <w:jc w:val="both"/>
        <w:rPr>
          <w:rFonts w:ascii="Times New Roman" w:hAnsi="Times New Roman" w:cs="Times New Roman"/>
          <w:bCs/>
        </w:rPr>
      </w:pPr>
      <w:r w:rsidRPr="008640C4">
        <w:rPr>
          <w:rFonts w:ascii="Times New Roman" w:hAnsi="Times New Roman" w:cs="Times New Roman"/>
          <w:bCs/>
        </w:rPr>
        <w:t xml:space="preserve">The Act requires a lower rate to be set when waste is picked up and collected selectively (Article 6k.3). At the same time, the collected fees must cover the system operation costs (collection, transport, pick up, recovery, disposal, creation and maintenance of selective collection points and administrative services </w:t>
      </w:r>
      <w:r w:rsidR="00461D2C" w:rsidRPr="008640C4">
        <w:rPr>
          <w:rFonts w:ascii="Times New Roman" w:hAnsi="Times New Roman" w:cs="Times New Roman"/>
          <w:bCs/>
        </w:rPr>
        <w:t>–</w:t>
      </w:r>
      <w:r w:rsidRPr="008640C4">
        <w:rPr>
          <w:rFonts w:ascii="Times New Roman" w:hAnsi="Times New Roman" w:cs="Times New Roman"/>
          <w:bCs/>
        </w:rPr>
        <w:t xml:space="preserve"> Ar</w:t>
      </w:r>
      <w:r w:rsidRPr="008640C4">
        <w:rPr>
          <w:rFonts w:ascii="Times New Roman" w:hAnsi="Times New Roman" w:cs="Times New Roman"/>
          <w:bCs/>
        </w:rPr>
        <w:lastRenderedPageBreak/>
        <w:t>ticle 6r.2). These provisions are contradictory because selective collection (especially 6 fractions separately) generates higher costs than non-selective collection or fewer fractions. It is</w:t>
      </w:r>
      <w:r w:rsidR="00E31334">
        <w:rPr>
          <w:rFonts w:ascii="Times New Roman" w:hAnsi="Times New Roman" w:cs="Times New Roman"/>
          <w:bCs/>
        </w:rPr>
        <w:t>,</w:t>
      </w:r>
      <w:r w:rsidRPr="008640C4">
        <w:rPr>
          <w:rFonts w:ascii="Times New Roman" w:hAnsi="Times New Roman" w:cs="Times New Roman"/>
          <w:bCs/>
        </w:rPr>
        <w:t xml:space="preserve"> therefore</w:t>
      </w:r>
      <w:r w:rsidR="00E31334">
        <w:rPr>
          <w:rFonts w:ascii="Times New Roman" w:hAnsi="Times New Roman" w:cs="Times New Roman"/>
          <w:bCs/>
        </w:rPr>
        <w:t>,</w:t>
      </w:r>
      <w:r w:rsidRPr="008640C4">
        <w:rPr>
          <w:rFonts w:ascii="Times New Roman" w:hAnsi="Times New Roman" w:cs="Times New Roman"/>
          <w:bCs/>
        </w:rPr>
        <w:t xml:space="preserve"> </w:t>
      </w:r>
      <w:r w:rsidR="00E31334">
        <w:rPr>
          <w:rFonts w:ascii="Times New Roman" w:hAnsi="Times New Roman" w:cs="Times New Roman"/>
          <w:bCs/>
        </w:rPr>
        <w:t>im</w:t>
      </w:r>
      <w:r w:rsidRPr="008640C4">
        <w:rPr>
          <w:rFonts w:ascii="Times New Roman" w:hAnsi="Times New Roman" w:cs="Times New Roman"/>
          <w:bCs/>
        </w:rPr>
        <w:t xml:space="preserve">possible to determine a lower fee rate for selectively collected waste </w:t>
      </w:r>
      <w:r w:rsidR="00E31334">
        <w:rPr>
          <w:rFonts w:ascii="Times New Roman" w:hAnsi="Times New Roman" w:cs="Times New Roman"/>
          <w:bCs/>
        </w:rPr>
        <w:t>based on</w:t>
      </w:r>
      <w:r w:rsidRPr="008640C4">
        <w:rPr>
          <w:rFonts w:ascii="Times New Roman" w:hAnsi="Times New Roman" w:cs="Times New Roman"/>
          <w:bCs/>
        </w:rPr>
        <w:t xml:space="preserve"> the system</w:t>
      </w:r>
      <w:r w:rsidR="00E31334">
        <w:rPr>
          <w:rFonts w:ascii="Times New Roman" w:hAnsi="Times New Roman" w:cs="Times New Roman"/>
          <w:bCs/>
        </w:rPr>
        <w:t>'s</w:t>
      </w:r>
      <w:r w:rsidRPr="008640C4">
        <w:rPr>
          <w:rFonts w:ascii="Times New Roman" w:hAnsi="Times New Roman" w:cs="Times New Roman"/>
          <w:bCs/>
        </w:rPr>
        <w:t xml:space="preserve"> operating costs. The solution to this situation is to assume that the difference between the rate for selectively collected and mixed waste is the cost of possible penalties for failure to meet the quantitative objectives of waste management. It seems that this is the only way, consistent with the condition of basing the calculation on the </w:t>
      </w:r>
      <w:r w:rsidR="00E31334">
        <w:rPr>
          <w:rFonts w:ascii="Times New Roman" w:hAnsi="Times New Roman" w:cs="Times New Roman"/>
          <w:bCs/>
        </w:rPr>
        <w:t>system's actual costs</w:t>
      </w:r>
      <w:r w:rsidRPr="008640C4">
        <w:rPr>
          <w:rFonts w:ascii="Times New Roman" w:hAnsi="Times New Roman" w:cs="Times New Roman"/>
          <w:bCs/>
        </w:rPr>
        <w:t>. Any other calculations (e.g. calculation of system costs assuming that 100% of waste is collected selectively, and based on this, the basic rate for mixed waste is calculated) allow for balancing the system on a municipal scale but do not meet the condition of basing the fee on costs</w:t>
      </w:r>
      <w:r w:rsidR="0042361C" w:rsidRPr="008640C4">
        <w:rPr>
          <w:rFonts w:ascii="Times New Roman" w:hAnsi="Times New Roman" w:cs="Times New Roman"/>
          <w:bCs/>
        </w:rPr>
        <w:t xml:space="preserve"> (Boer 2009)</w:t>
      </w:r>
      <w:r w:rsidRPr="008640C4">
        <w:rPr>
          <w:rFonts w:ascii="Times New Roman" w:hAnsi="Times New Roman" w:cs="Times New Roman"/>
          <w:bCs/>
        </w:rPr>
        <w:t>.</w:t>
      </w:r>
    </w:p>
    <w:p w14:paraId="5540AA10" w14:textId="77777777" w:rsidR="00E91D54" w:rsidRPr="008640C4" w:rsidRDefault="00E91D54" w:rsidP="003367DB">
      <w:pPr>
        <w:pStyle w:val="Bezodstpw"/>
        <w:ind w:firstLine="284"/>
        <w:jc w:val="both"/>
        <w:rPr>
          <w:rFonts w:ascii="Times New Roman" w:hAnsi="Times New Roman" w:cs="Times New Roman"/>
          <w:bCs/>
        </w:rPr>
      </w:pPr>
      <w:r w:rsidRPr="008640C4">
        <w:rPr>
          <w:rFonts w:ascii="Times New Roman" w:hAnsi="Times New Roman" w:cs="Times New Roman"/>
          <w:bCs/>
        </w:rPr>
        <w:t>Selective collection of waste fractions such as paper, metal, plastics, glass, multi-material packaging and biodegradable waste implies quite high costs of preparation for collection, provision of containers, securing space and, as noted in the further part of the article, transport costs: by separate cars or with specially separated space for individual fractions. Which is not always technologically justified (sorting systems). The research results indicate that in some cases, it would be more cost-effective</w:t>
      </w:r>
      <w:r w:rsidR="00E31334">
        <w:rPr>
          <w:rFonts w:ascii="Times New Roman" w:hAnsi="Times New Roman" w:cs="Times New Roman"/>
          <w:bCs/>
        </w:rPr>
        <w:t xml:space="preserve"> to collect selectively, in compliance with the regulations</w:t>
      </w:r>
      <w:r w:rsidRPr="008640C4">
        <w:rPr>
          <w:rFonts w:ascii="Times New Roman" w:hAnsi="Times New Roman" w:cs="Times New Roman"/>
          <w:bCs/>
        </w:rPr>
        <w:t>, but broken down into 2 or 3 fractions: dry, wet, green and kitchen waste.</w:t>
      </w:r>
    </w:p>
    <w:p w14:paraId="2CC8FEE1" w14:textId="77777777" w:rsidR="001A217C" w:rsidRPr="008640C4" w:rsidRDefault="001A217C" w:rsidP="003367DB">
      <w:pPr>
        <w:pStyle w:val="Bezodstpw"/>
        <w:ind w:firstLine="284"/>
        <w:jc w:val="both"/>
        <w:rPr>
          <w:rFonts w:ascii="Times New Roman" w:hAnsi="Times New Roman" w:cs="Times New Roman"/>
          <w:bCs/>
        </w:rPr>
      </w:pPr>
      <w:r w:rsidRPr="008640C4">
        <w:rPr>
          <w:rFonts w:ascii="Times New Roman" w:hAnsi="Times New Roman" w:cs="Times New Roman"/>
          <w:bCs/>
        </w:rPr>
        <w:t>Scientific soundness demands</w:t>
      </w:r>
      <w:r w:rsidR="00E31334">
        <w:rPr>
          <w:rFonts w:ascii="Times New Roman" w:hAnsi="Times New Roman" w:cs="Times New Roman"/>
          <w:bCs/>
        </w:rPr>
        <w:t>,</w:t>
      </w:r>
      <w:r w:rsidRPr="008640C4">
        <w:rPr>
          <w:rFonts w:ascii="Times New Roman" w:hAnsi="Times New Roman" w:cs="Times New Roman"/>
          <w:bCs/>
        </w:rPr>
        <w:t xml:space="preserve"> including the literature review of the methodology of conducting waste research in Poland, especially in Wroc</w:t>
      </w:r>
      <w:r w:rsidR="00F85F0E" w:rsidRPr="008640C4">
        <w:rPr>
          <w:rFonts w:ascii="Times New Roman" w:hAnsi="Times New Roman" w:cs="Times New Roman"/>
          <w:bCs/>
        </w:rPr>
        <w:t>l</w:t>
      </w:r>
      <w:r w:rsidRPr="008640C4">
        <w:rPr>
          <w:rFonts w:ascii="Times New Roman" w:hAnsi="Times New Roman" w:cs="Times New Roman"/>
          <w:bCs/>
        </w:rPr>
        <w:t>aw, where the SWA</w:t>
      </w:r>
      <w:r w:rsidR="007B6457" w:rsidRPr="008640C4">
        <w:rPr>
          <w:rFonts w:ascii="Times New Roman" w:hAnsi="Times New Roman" w:cs="Times New Roman"/>
          <w:bCs/>
        </w:rPr>
        <w:t xml:space="preserve"> (Solid Waste Analysis Data)</w:t>
      </w:r>
      <w:r w:rsidRPr="008640C4">
        <w:rPr>
          <w:rFonts w:ascii="Times New Roman" w:hAnsi="Times New Roman" w:cs="Times New Roman"/>
          <w:bCs/>
        </w:rPr>
        <w:t xml:space="preserve"> was used </w:t>
      </w:r>
      <w:r w:rsidR="00CF3C4D" w:rsidRPr="008640C4">
        <w:rPr>
          <w:rFonts w:ascii="Times New Roman" w:hAnsi="Times New Roman" w:cs="Times New Roman"/>
          <w:bCs/>
        </w:rPr>
        <w:t>–</w:t>
      </w:r>
      <w:r w:rsidRPr="008640C4">
        <w:rPr>
          <w:rFonts w:ascii="Times New Roman" w:hAnsi="Times New Roman" w:cs="Times New Roman"/>
          <w:bCs/>
        </w:rPr>
        <w:t xml:space="preserve"> modified, i.e. extended.</w:t>
      </w:r>
    </w:p>
    <w:p w14:paraId="35E6DA20" w14:textId="77777777" w:rsidR="00985F22" w:rsidRPr="008640C4" w:rsidRDefault="00242271" w:rsidP="003367DB">
      <w:pPr>
        <w:pStyle w:val="Bezodstpw"/>
        <w:ind w:firstLine="284"/>
        <w:jc w:val="both"/>
      </w:pPr>
      <w:r w:rsidRPr="008640C4">
        <w:rPr>
          <w:rFonts w:ascii="Times New Roman" w:hAnsi="Times New Roman" w:cs="Times New Roman"/>
          <w:bCs/>
        </w:rPr>
        <w:t xml:space="preserve">The result of a thorough analysis of the available results of reports developed by individual countries (cities in individual countries) </w:t>
      </w:r>
      <w:r w:rsidR="00CF3C4D" w:rsidRPr="008640C4">
        <w:rPr>
          <w:rFonts w:ascii="Times New Roman" w:hAnsi="Times New Roman" w:cs="Times New Roman"/>
          <w:bCs/>
        </w:rPr>
        <w:t>–</w:t>
      </w:r>
      <w:r w:rsidRPr="008640C4">
        <w:rPr>
          <w:rFonts w:ascii="Times New Roman" w:hAnsi="Times New Roman" w:cs="Times New Roman"/>
          <w:bCs/>
        </w:rPr>
        <w:t xml:space="preserve"> versus </w:t>
      </w:r>
      <w:r w:rsidR="00CF3C4D" w:rsidRPr="008640C4">
        <w:rPr>
          <w:rFonts w:ascii="Times New Roman" w:hAnsi="Times New Roman" w:cs="Times New Roman"/>
          <w:bCs/>
        </w:rPr>
        <w:t>–</w:t>
      </w:r>
      <w:r w:rsidRPr="008640C4">
        <w:rPr>
          <w:rFonts w:ascii="Times New Roman" w:hAnsi="Times New Roman" w:cs="Times New Roman"/>
          <w:bCs/>
        </w:rPr>
        <w:t xml:space="preserve"> methods is the conclusion that individual countries using the same method get different results. </w:t>
      </w:r>
      <w:r w:rsidR="00E31334">
        <w:rPr>
          <w:rFonts w:ascii="Times New Roman" w:hAnsi="Times New Roman" w:cs="Times New Roman"/>
          <w:bCs/>
        </w:rPr>
        <w:t>It</w:t>
      </w:r>
      <w:r w:rsidRPr="008640C4">
        <w:rPr>
          <w:rFonts w:ascii="Times New Roman" w:hAnsi="Times New Roman" w:cs="Times New Roman"/>
          <w:bCs/>
        </w:rPr>
        <w:t xml:space="preserve"> is best illustrated by an example: Poland</w:t>
      </w:r>
      <w:r w:rsidR="00E31334">
        <w:rPr>
          <w:rFonts w:ascii="Times New Roman" w:hAnsi="Times New Roman" w:cs="Times New Roman"/>
          <w:bCs/>
        </w:rPr>
        <w:t>,</w:t>
      </w:r>
      <w:r w:rsidRPr="008640C4">
        <w:rPr>
          <w:rFonts w:ascii="Times New Roman" w:hAnsi="Times New Roman" w:cs="Times New Roman"/>
          <w:bCs/>
        </w:rPr>
        <w:t xml:space="preserve"> in the reporting procedure according to </w:t>
      </w:r>
      <w:r w:rsidR="004369FE" w:rsidRPr="008640C4">
        <w:rPr>
          <w:rFonts w:ascii="Times New Roman" w:hAnsi="Times New Roman" w:cs="Times New Roman"/>
          <w:bCs/>
        </w:rPr>
        <w:t xml:space="preserve">(Municipal Waste) </w:t>
      </w:r>
      <w:r w:rsidRPr="008640C4">
        <w:rPr>
          <w:rFonts w:ascii="Times New Roman" w:hAnsi="Times New Roman" w:cs="Times New Roman"/>
          <w:bCs/>
        </w:rPr>
        <w:t xml:space="preserve">uses method 2, and the country whose waste management (legal and technological solutions) is analogous to Poland, e.g. Slovenia: method 4. If we substitute the data for Slovenia (SNAGA) for method 2 and method 4, the recycling rate is approximately 30% (method 2) and 49 (method 40), respectively. </w:t>
      </w:r>
      <w:r w:rsidR="00E31334">
        <w:rPr>
          <w:rFonts w:ascii="Times New Roman" w:hAnsi="Times New Roman" w:cs="Times New Roman"/>
          <w:bCs/>
        </w:rPr>
        <w:t>It</w:t>
      </w:r>
      <w:r w:rsidRPr="008640C4">
        <w:rPr>
          <w:rFonts w:ascii="Times New Roman" w:hAnsi="Times New Roman" w:cs="Times New Roman"/>
          <w:bCs/>
        </w:rPr>
        <w:t xml:space="preserve"> is due to the inclusion of bio and other recycled waste. </w:t>
      </w:r>
      <w:r w:rsidR="00E31334">
        <w:rPr>
          <w:rFonts w:ascii="Times New Roman" w:hAnsi="Times New Roman" w:cs="Times New Roman"/>
          <w:bCs/>
        </w:rPr>
        <w:t>It</w:t>
      </w:r>
      <w:r w:rsidRPr="008640C4">
        <w:rPr>
          <w:rFonts w:ascii="Times New Roman" w:hAnsi="Times New Roman" w:cs="Times New Roman"/>
          <w:bCs/>
        </w:rPr>
        <w:t xml:space="preserve"> only proves that comparing different countries and/or individual cities using an indicator requires thorough validation, e.g.</w:t>
      </w:r>
      <w:r w:rsidR="00430C42" w:rsidRPr="008640C4">
        <w:rPr>
          <w:rFonts w:ascii="Times New Roman" w:hAnsi="Times New Roman" w:cs="Times New Roman"/>
          <w:bCs/>
        </w:rPr>
        <w:t xml:space="preserve"> (Municipal Waste Statistics 2023</w:t>
      </w:r>
      <w:r w:rsidR="00953EB7" w:rsidRPr="008640C4">
        <w:rPr>
          <w:rFonts w:ascii="Times New Roman" w:hAnsi="Times New Roman" w:cs="Times New Roman"/>
          <w:bCs/>
        </w:rPr>
        <w:t xml:space="preserve">, </w:t>
      </w:r>
      <w:proofErr w:type="spellStart"/>
      <w:r w:rsidR="00953EB7" w:rsidRPr="008640C4">
        <w:rPr>
          <w:rFonts w:ascii="Times New Roman" w:hAnsi="Times New Roman" w:cs="Times New Roman"/>
          <w:bCs/>
        </w:rPr>
        <w:t>Guidoni</w:t>
      </w:r>
      <w:proofErr w:type="spellEnd"/>
      <w:r w:rsidR="00953EB7" w:rsidRPr="008640C4">
        <w:rPr>
          <w:rFonts w:ascii="Times New Roman" w:hAnsi="Times New Roman" w:cs="Times New Roman"/>
          <w:bCs/>
        </w:rPr>
        <w:t xml:space="preserve"> et al. 2018)</w:t>
      </w:r>
      <w:r w:rsidR="00430C42" w:rsidRPr="008640C4">
        <w:rPr>
          <w:rFonts w:ascii="Times New Roman" w:hAnsi="Times New Roman" w:cs="Times New Roman"/>
          <w:bCs/>
        </w:rPr>
        <w:t>.</w:t>
      </w:r>
    </w:p>
    <w:p w14:paraId="744AD60A" w14:textId="77777777" w:rsidR="00FA394A" w:rsidRPr="008640C4" w:rsidRDefault="003367DB" w:rsidP="003367DB">
      <w:pPr>
        <w:pStyle w:val="Rn1"/>
        <w:rPr>
          <w:lang w:val="en-GB"/>
        </w:rPr>
      </w:pPr>
      <w:r w:rsidRPr="008640C4">
        <w:rPr>
          <w:lang w:val="en-GB"/>
        </w:rPr>
        <w:t xml:space="preserve">3. </w:t>
      </w:r>
      <w:bookmarkStart w:id="5" w:name="_Toc421598215"/>
      <w:r w:rsidR="00417D07" w:rsidRPr="008640C4">
        <w:rPr>
          <w:lang w:val="en-GB"/>
        </w:rPr>
        <w:t xml:space="preserve">Studies of </w:t>
      </w:r>
      <w:r w:rsidR="00876031">
        <w:rPr>
          <w:lang w:val="en-GB"/>
        </w:rPr>
        <w:t>M</w:t>
      </w:r>
      <w:r w:rsidR="00417D07" w:rsidRPr="008640C4">
        <w:rPr>
          <w:lang w:val="en-GB"/>
        </w:rPr>
        <w:t xml:space="preserve">unicipal </w:t>
      </w:r>
      <w:r w:rsidR="00876031">
        <w:rPr>
          <w:lang w:val="en-GB"/>
        </w:rPr>
        <w:t>W</w:t>
      </w:r>
      <w:r w:rsidR="00417D07" w:rsidRPr="008640C4">
        <w:rPr>
          <w:lang w:val="en-GB"/>
        </w:rPr>
        <w:t>ast</w:t>
      </w:r>
      <w:bookmarkEnd w:id="5"/>
      <w:r w:rsidR="00F85F0E" w:rsidRPr="008640C4">
        <w:rPr>
          <w:lang w:val="en-GB"/>
        </w:rPr>
        <w:t>e in Wrocl</w:t>
      </w:r>
      <w:r w:rsidR="00417D07" w:rsidRPr="008640C4">
        <w:rPr>
          <w:lang w:val="en-GB"/>
        </w:rPr>
        <w:t>aw</w:t>
      </w:r>
    </w:p>
    <w:p w14:paraId="7602245B" w14:textId="77777777" w:rsidR="002B571A" w:rsidRPr="008640C4" w:rsidRDefault="00C87555" w:rsidP="003367DB">
      <w:pPr>
        <w:pStyle w:val="Bezodstpw"/>
        <w:ind w:firstLine="284"/>
        <w:jc w:val="both"/>
        <w:rPr>
          <w:rFonts w:ascii="Times New Roman" w:hAnsi="Times New Roman" w:cs="Times New Roman"/>
          <w:bCs/>
        </w:rPr>
      </w:pPr>
      <w:r w:rsidRPr="008640C4">
        <w:rPr>
          <w:rFonts w:ascii="Times New Roman" w:hAnsi="Times New Roman" w:cs="Times New Roman"/>
          <w:bCs/>
        </w:rPr>
        <w:t>Studies of the waste managemen</w:t>
      </w:r>
      <w:r w:rsidR="00F85F0E" w:rsidRPr="008640C4">
        <w:rPr>
          <w:rFonts w:ascii="Times New Roman" w:hAnsi="Times New Roman" w:cs="Times New Roman"/>
          <w:bCs/>
        </w:rPr>
        <w:t>t system were conducted in Wrocl</w:t>
      </w:r>
      <w:r w:rsidRPr="008640C4">
        <w:rPr>
          <w:rFonts w:ascii="Times New Roman" w:hAnsi="Times New Roman" w:cs="Times New Roman"/>
          <w:bCs/>
        </w:rPr>
        <w:t>aw in the years 1998</w:t>
      </w:r>
      <w:r w:rsidR="00AC37A7" w:rsidRPr="008640C4">
        <w:rPr>
          <w:rFonts w:ascii="Times New Roman" w:hAnsi="Times New Roman" w:cs="Times New Roman"/>
          <w:bCs/>
        </w:rPr>
        <w:t>-</w:t>
      </w:r>
      <w:r w:rsidRPr="008640C4">
        <w:rPr>
          <w:rFonts w:ascii="Times New Roman" w:hAnsi="Times New Roman" w:cs="Times New Roman"/>
          <w:bCs/>
        </w:rPr>
        <w:t xml:space="preserve">2018. </w:t>
      </w:r>
      <w:r w:rsidR="00CA040C" w:rsidRPr="008640C4">
        <w:rPr>
          <w:rFonts w:ascii="Times New Roman" w:hAnsi="Times New Roman" w:cs="Times New Roman"/>
          <w:bCs/>
        </w:rPr>
        <w:t xml:space="preserve">The study of the technological properties of the waste produced in urban development and the vicinity of detached houses </w:t>
      </w:r>
      <w:r w:rsidR="00E31334">
        <w:rPr>
          <w:rFonts w:ascii="Times New Roman" w:hAnsi="Times New Roman" w:cs="Times New Roman"/>
          <w:bCs/>
        </w:rPr>
        <w:t>considered</w:t>
      </w:r>
      <w:r w:rsidR="00CA040C" w:rsidRPr="008640C4">
        <w:rPr>
          <w:rFonts w:ascii="Times New Roman" w:hAnsi="Times New Roman" w:cs="Times New Roman"/>
          <w:bCs/>
        </w:rPr>
        <w:t xml:space="preserve"> the differences in </w:t>
      </w:r>
      <w:r w:rsidR="00E31334">
        <w:rPr>
          <w:rFonts w:ascii="Times New Roman" w:hAnsi="Times New Roman" w:cs="Times New Roman"/>
          <w:bCs/>
        </w:rPr>
        <w:t>waste composition</w:t>
      </w:r>
      <w:r w:rsidR="00CA040C" w:rsidRPr="008640C4">
        <w:rPr>
          <w:rFonts w:ascii="Times New Roman" w:hAnsi="Times New Roman" w:cs="Times New Roman"/>
          <w:bCs/>
        </w:rPr>
        <w:t>. More and more often in suburban areas</w:t>
      </w:r>
      <w:r w:rsidR="00E31334">
        <w:rPr>
          <w:rFonts w:ascii="Times New Roman" w:hAnsi="Times New Roman" w:cs="Times New Roman"/>
          <w:bCs/>
        </w:rPr>
        <w:t>,</w:t>
      </w:r>
      <w:r w:rsidR="00CA040C" w:rsidRPr="008640C4">
        <w:rPr>
          <w:rFonts w:ascii="Times New Roman" w:hAnsi="Times New Roman" w:cs="Times New Roman"/>
          <w:bCs/>
        </w:rPr>
        <w:t xml:space="preserve"> a composter is used, which reduces the volume of collected biodegradable waste. In the city cent</w:t>
      </w:r>
      <w:r w:rsidR="00E31334">
        <w:rPr>
          <w:rFonts w:ascii="Times New Roman" w:hAnsi="Times New Roman" w:cs="Times New Roman"/>
          <w:bCs/>
        </w:rPr>
        <w:t>re</w:t>
      </w:r>
      <w:r w:rsidR="00CA040C" w:rsidRPr="008640C4">
        <w:rPr>
          <w:rFonts w:ascii="Times New Roman" w:hAnsi="Times New Roman" w:cs="Times New Roman"/>
          <w:bCs/>
        </w:rPr>
        <w:t xml:space="preserve">, in multi-family buildings, composters are not used (items such as </w:t>
      </w:r>
      <w:r w:rsidR="005746F8" w:rsidRPr="008640C4">
        <w:rPr>
          <w:rFonts w:ascii="Times New Roman" w:hAnsi="Times New Roman" w:cs="Times New Roman"/>
          <w:bCs/>
        </w:rPr>
        <w:t xml:space="preserve">(Lewicki 2014, </w:t>
      </w:r>
      <w:proofErr w:type="spellStart"/>
      <w:r w:rsidR="005746F8" w:rsidRPr="008640C4">
        <w:rPr>
          <w:rFonts w:ascii="Times New Roman" w:hAnsi="Times New Roman" w:cs="Times New Roman"/>
          <w:bCs/>
        </w:rPr>
        <w:t>Małacka</w:t>
      </w:r>
      <w:proofErr w:type="spellEnd"/>
      <w:r w:rsidR="005746F8" w:rsidRPr="008640C4">
        <w:rPr>
          <w:rFonts w:ascii="Times New Roman" w:hAnsi="Times New Roman" w:cs="Times New Roman"/>
          <w:bCs/>
        </w:rPr>
        <w:t xml:space="preserve"> 2006, </w:t>
      </w:r>
      <w:proofErr w:type="spellStart"/>
      <w:r w:rsidR="005746F8" w:rsidRPr="008640C4">
        <w:rPr>
          <w:rFonts w:ascii="Times New Roman" w:hAnsi="Times New Roman" w:cs="Times New Roman"/>
          <w:bCs/>
        </w:rPr>
        <w:t>Krzyśków</w:t>
      </w:r>
      <w:proofErr w:type="spellEnd"/>
      <w:r w:rsidR="005746F8" w:rsidRPr="008640C4">
        <w:rPr>
          <w:rFonts w:ascii="Times New Roman" w:hAnsi="Times New Roman" w:cs="Times New Roman"/>
          <w:bCs/>
        </w:rPr>
        <w:t xml:space="preserve"> 2012) </w:t>
      </w:r>
      <w:r w:rsidR="00CA040C" w:rsidRPr="008640C4">
        <w:rPr>
          <w:rFonts w:ascii="Times New Roman" w:hAnsi="Times New Roman" w:cs="Times New Roman"/>
          <w:bCs/>
        </w:rPr>
        <w:t>are available, and advertisements for composters dedicated to balconies with a course on how to "feed" the composter), which means that organic waste ends up in a garbage container. The composition of waste varies over time and depends, among others, on the place of generation, the nature of the inhabitants who generate waste or the equipment of the buildings they live in (this statement is made more probable by the further part of the article). Therefore, they were divided into: W1</w:t>
      </w:r>
      <w:r w:rsidR="00CF3C4D" w:rsidRPr="008640C4">
        <w:rPr>
          <w:rFonts w:ascii="Times New Roman" w:hAnsi="Times New Roman" w:cs="Times New Roman"/>
          <w:bCs/>
        </w:rPr>
        <w:t xml:space="preserve"> – </w:t>
      </w:r>
      <w:r w:rsidR="00CA040C" w:rsidRPr="008640C4">
        <w:rPr>
          <w:rFonts w:ascii="Times New Roman" w:hAnsi="Times New Roman" w:cs="Times New Roman"/>
          <w:bCs/>
        </w:rPr>
        <w:t>household waste; W2</w:t>
      </w:r>
      <w:r w:rsidR="00CF3C4D" w:rsidRPr="008640C4">
        <w:rPr>
          <w:rFonts w:ascii="Times New Roman" w:hAnsi="Times New Roman" w:cs="Times New Roman"/>
          <w:bCs/>
        </w:rPr>
        <w:t xml:space="preserve"> – </w:t>
      </w:r>
      <w:r w:rsidR="00CA040C" w:rsidRPr="008640C4">
        <w:rPr>
          <w:rFonts w:ascii="Times New Roman" w:hAnsi="Times New Roman" w:cs="Times New Roman"/>
          <w:bCs/>
        </w:rPr>
        <w:t>waste from public utility facilities (administration, economic activity, education, etc.); W3</w:t>
      </w:r>
      <w:r w:rsidR="00CF3C4D" w:rsidRPr="008640C4">
        <w:rPr>
          <w:rFonts w:ascii="Times New Roman" w:hAnsi="Times New Roman" w:cs="Times New Roman"/>
          <w:bCs/>
        </w:rPr>
        <w:t xml:space="preserve"> – </w:t>
      </w:r>
      <w:r w:rsidR="00CA040C" w:rsidRPr="008640C4">
        <w:rPr>
          <w:rFonts w:ascii="Times New Roman" w:hAnsi="Times New Roman" w:cs="Times New Roman"/>
          <w:bCs/>
        </w:rPr>
        <w:t>bulky waste (electronic equipment, furniture, etc.); W4</w:t>
      </w:r>
      <w:r w:rsidR="00CF3C4D" w:rsidRPr="008640C4">
        <w:rPr>
          <w:rFonts w:ascii="Times New Roman" w:hAnsi="Times New Roman" w:cs="Times New Roman"/>
          <w:bCs/>
        </w:rPr>
        <w:t xml:space="preserve"> – </w:t>
      </w:r>
      <w:r w:rsidR="00CA040C" w:rsidRPr="008640C4">
        <w:rPr>
          <w:rFonts w:ascii="Times New Roman" w:hAnsi="Times New Roman" w:cs="Times New Roman"/>
          <w:bCs/>
        </w:rPr>
        <w:t>street waste (coming from the cleaning of streets, squares and sidewalks, cemeteries, street bins, etc.); W5</w:t>
      </w:r>
      <w:r w:rsidR="00CF3C4D" w:rsidRPr="008640C4">
        <w:rPr>
          <w:rFonts w:ascii="Times New Roman" w:hAnsi="Times New Roman" w:cs="Times New Roman"/>
          <w:bCs/>
        </w:rPr>
        <w:t xml:space="preserve"> – </w:t>
      </w:r>
      <w:r w:rsidR="00CA040C" w:rsidRPr="008640C4">
        <w:rPr>
          <w:rFonts w:ascii="Times New Roman" w:hAnsi="Times New Roman" w:cs="Times New Roman"/>
          <w:bCs/>
        </w:rPr>
        <w:t>waste from urban green areas - mainly biodegradable waste (created during cleaning parks, squares, etc.); W</w:t>
      </w:r>
      <w:r w:rsidR="00CF3C4D" w:rsidRPr="008640C4">
        <w:rPr>
          <w:rFonts w:ascii="Times New Roman" w:hAnsi="Times New Roman" w:cs="Times New Roman"/>
          <w:bCs/>
        </w:rPr>
        <w:t xml:space="preserve"> – </w:t>
      </w:r>
      <w:r w:rsidR="00CA040C" w:rsidRPr="008640C4">
        <w:rPr>
          <w:rFonts w:ascii="Times New Roman" w:hAnsi="Times New Roman" w:cs="Times New Roman"/>
          <w:bCs/>
        </w:rPr>
        <w:t>demolition and construction waste (mainly bricks, ceramic waste, wooden elements, i.e. door frames, doors, etc.).</w:t>
      </w:r>
    </w:p>
    <w:p w14:paraId="4B39B876" w14:textId="0F820054" w:rsidR="00745398" w:rsidRPr="008640C4" w:rsidRDefault="00EF60DF" w:rsidP="003367DB">
      <w:pPr>
        <w:pStyle w:val="Bezodstpw"/>
        <w:ind w:firstLine="284"/>
        <w:jc w:val="both"/>
      </w:pPr>
      <w:r w:rsidRPr="008640C4">
        <w:rPr>
          <w:rFonts w:ascii="Times New Roman" w:hAnsi="Times New Roman" w:cs="Times New Roman"/>
          <w:bCs/>
        </w:rPr>
        <w:t>According to the Waste Act, each type of waste has an identification number. They were divided into 20</w:t>
      </w:r>
      <w:r w:rsidR="00274081">
        <w:rPr>
          <w:rFonts w:ascii="Times New Roman" w:hAnsi="Times New Roman" w:cs="Times New Roman"/>
          <w:bCs/>
        </w:rPr>
        <w:t> </w:t>
      </w:r>
      <w:r w:rsidRPr="008640C4">
        <w:rPr>
          <w:rFonts w:ascii="Times New Roman" w:hAnsi="Times New Roman" w:cs="Times New Roman"/>
          <w:bCs/>
        </w:rPr>
        <w:t xml:space="preserve">groups, where municipal waste was classified into a group. In </w:t>
      </w:r>
      <w:r w:rsidR="004369FE" w:rsidRPr="008640C4">
        <w:rPr>
          <w:rFonts w:ascii="Times New Roman" w:hAnsi="Times New Roman" w:cs="Times New Roman"/>
          <w:bCs/>
        </w:rPr>
        <w:t>(War on Science, 2015)</w:t>
      </w:r>
      <w:r w:rsidRPr="008640C4">
        <w:rPr>
          <w:rFonts w:ascii="Times New Roman" w:hAnsi="Times New Roman" w:cs="Times New Roman"/>
          <w:bCs/>
        </w:rPr>
        <w:t>, the author writes that in 201</w:t>
      </w:r>
      <w:r w:rsidR="004369FE" w:rsidRPr="008640C4">
        <w:rPr>
          <w:rFonts w:ascii="Times New Roman" w:hAnsi="Times New Roman" w:cs="Times New Roman"/>
          <w:bCs/>
        </w:rPr>
        <w:t>5</w:t>
      </w:r>
      <w:r w:rsidRPr="008640C4">
        <w:rPr>
          <w:rFonts w:ascii="Times New Roman" w:hAnsi="Times New Roman" w:cs="Times New Roman"/>
          <w:bCs/>
        </w:rPr>
        <w:t>, in countries such as Poland, waste labe</w:t>
      </w:r>
      <w:r w:rsidR="00E31334">
        <w:rPr>
          <w:rFonts w:ascii="Times New Roman" w:hAnsi="Times New Roman" w:cs="Times New Roman"/>
          <w:bCs/>
        </w:rPr>
        <w:t>l</w:t>
      </w:r>
      <w:r w:rsidRPr="008640C4">
        <w:rPr>
          <w:rFonts w:ascii="Times New Roman" w:hAnsi="Times New Roman" w:cs="Times New Roman"/>
          <w:bCs/>
        </w:rPr>
        <w:t xml:space="preserve">ling should be implemented </w:t>
      </w:r>
      <w:r w:rsidR="00E31334">
        <w:rPr>
          <w:rFonts w:ascii="Times New Roman" w:hAnsi="Times New Roman" w:cs="Times New Roman"/>
          <w:bCs/>
        </w:rPr>
        <w:t>following</w:t>
      </w:r>
      <w:r w:rsidRPr="008640C4">
        <w:rPr>
          <w:rFonts w:ascii="Times New Roman" w:hAnsi="Times New Roman" w:cs="Times New Roman"/>
          <w:bCs/>
        </w:rPr>
        <w:t xml:space="preserve"> </w:t>
      </w:r>
      <w:r w:rsidR="004369FE" w:rsidRPr="008640C4">
        <w:rPr>
          <w:rFonts w:ascii="Times New Roman" w:hAnsi="Times New Roman" w:cs="Times New Roman"/>
          <w:bCs/>
        </w:rPr>
        <w:t>(Kozłowski, 2002).</w:t>
      </w:r>
      <w:r w:rsidRPr="008640C4">
        <w:rPr>
          <w:rFonts w:ascii="Times New Roman" w:hAnsi="Times New Roman" w:cs="Times New Roman"/>
          <w:bCs/>
        </w:rPr>
        <w:t xml:space="preserve"> In Poland, since 1997, </w:t>
      </w:r>
      <w:r w:rsidR="00E31334">
        <w:rPr>
          <w:rFonts w:ascii="Times New Roman" w:hAnsi="Times New Roman" w:cs="Times New Roman"/>
          <w:bCs/>
        </w:rPr>
        <w:t>based on</w:t>
      </w:r>
      <w:r w:rsidRPr="008640C4">
        <w:rPr>
          <w:rFonts w:ascii="Times New Roman" w:hAnsi="Times New Roman" w:cs="Times New Roman"/>
          <w:bCs/>
        </w:rPr>
        <w:t xml:space="preserve"> </w:t>
      </w:r>
      <w:r w:rsidR="004369FE" w:rsidRPr="008640C4">
        <w:rPr>
          <w:rFonts w:ascii="Times New Roman" w:hAnsi="Times New Roman" w:cs="Times New Roman"/>
          <w:bCs/>
        </w:rPr>
        <w:t xml:space="preserve">(ALBA, 2015) </w:t>
      </w:r>
      <w:r w:rsidRPr="008640C4">
        <w:rPr>
          <w:rFonts w:ascii="Times New Roman" w:hAnsi="Times New Roman" w:cs="Times New Roman"/>
          <w:bCs/>
        </w:rPr>
        <w:t xml:space="preserve">and </w:t>
      </w:r>
      <w:r w:rsidR="00E31334">
        <w:rPr>
          <w:rFonts w:ascii="Times New Roman" w:hAnsi="Times New Roman" w:cs="Times New Roman"/>
          <w:bCs/>
        </w:rPr>
        <w:t>following</w:t>
      </w:r>
      <w:r w:rsidRPr="008640C4">
        <w:rPr>
          <w:rFonts w:ascii="Times New Roman" w:hAnsi="Times New Roman" w:cs="Times New Roman"/>
          <w:bCs/>
        </w:rPr>
        <w:t xml:space="preserve"> the EU document </w:t>
      </w:r>
      <w:r w:rsidR="00C746E6" w:rsidRPr="008640C4">
        <w:rPr>
          <w:rFonts w:ascii="Times New Roman" w:hAnsi="Times New Roman" w:cs="Times New Roman"/>
          <w:bCs/>
        </w:rPr>
        <w:t xml:space="preserve">(Municipal Waste, 2021) </w:t>
      </w:r>
      <w:r w:rsidR="003367DB" w:rsidRPr="008640C4">
        <w:rPr>
          <w:rFonts w:ascii="Times New Roman" w:hAnsi="Times New Roman" w:cs="Times New Roman"/>
          <w:bCs/>
        </w:rPr>
        <w:t>–</w:t>
      </w:r>
      <w:r w:rsidRPr="008640C4">
        <w:rPr>
          <w:rFonts w:ascii="Times New Roman" w:hAnsi="Times New Roman" w:cs="Times New Roman"/>
          <w:bCs/>
        </w:rPr>
        <w:t xml:space="preserve"> this fact is additionally documented in the work </w:t>
      </w:r>
      <w:r w:rsidR="004369FE" w:rsidRPr="008640C4">
        <w:rPr>
          <w:rFonts w:ascii="Times New Roman" w:hAnsi="Times New Roman" w:cs="Times New Roman"/>
          <w:bCs/>
        </w:rPr>
        <w:t xml:space="preserve">(SNAGA) </w:t>
      </w:r>
      <w:r w:rsidR="00CF3C4D" w:rsidRPr="008640C4">
        <w:rPr>
          <w:rFonts w:ascii="Times New Roman" w:hAnsi="Times New Roman" w:cs="Times New Roman"/>
          <w:bCs/>
        </w:rPr>
        <w:t>–</w:t>
      </w:r>
      <w:r w:rsidRPr="008640C4">
        <w:rPr>
          <w:rFonts w:ascii="Times New Roman" w:hAnsi="Times New Roman" w:cs="Times New Roman"/>
          <w:bCs/>
        </w:rPr>
        <w:t xml:space="preserve"> identification was carried out.</w:t>
      </w:r>
    </w:p>
    <w:p w14:paraId="00665506" w14:textId="77777777" w:rsidR="008640C4" w:rsidRDefault="008640C4">
      <w:pPr>
        <w:jc w:val="left"/>
        <w:rPr>
          <w:rFonts w:eastAsiaTheme="minorHAnsi" w:cstheme="minorBidi"/>
          <w:b/>
          <w:kern w:val="2"/>
          <w:lang w:val="en-GB" w:eastAsia="en-US"/>
        </w:rPr>
      </w:pPr>
      <w:r>
        <w:rPr>
          <w:lang w:val="en-GB"/>
        </w:rPr>
        <w:br w:type="page"/>
      </w:r>
    </w:p>
    <w:p w14:paraId="70D86599" w14:textId="77777777" w:rsidR="00E60CFD" w:rsidRPr="008640C4" w:rsidRDefault="003367DB" w:rsidP="003367DB">
      <w:pPr>
        <w:pStyle w:val="Rn2"/>
        <w:rPr>
          <w:lang w:val="en-GB"/>
        </w:rPr>
      </w:pPr>
      <w:r w:rsidRPr="008640C4">
        <w:rPr>
          <w:lang w:val="en-GB"/>
        </w:rPr>
        <w:lastRenderedPageBreak/>
        <w:t xml:space="preserve">3.1. </w:t>
      </w:r>
      <w:bookmarkStart w:id="6" w:name="_Toc421598216"/>
      <w:r w:rsidR="002F78D7" w:rsidRPr="008640C4">
        <w:rPr>
          <w:lang w:val="en-GB"/>
        </w:rPr>
        <w:t>Quantitative scope of waste</w:t>
      </w:r>
      <w:bookmarkEnd w:id="6"/>
      <w:r w:rsidR="002F78D7" w:rsidRPr="008640C4">
        <w:rPr>
          <w:lang w:val="en-GB"/>
        </w:rPr>
        <w:t xml:space="preserve"> research</w:t>
      </w:r>
    </w:p>
    <w:p w14:paraId="38BE950C" w14:textId="77777777" w:rsidR="00286309" w:rsidRPr="008640C4" w:rsidRDefault="00286309" w:rsidP="003367DB">
      <w:pPr>
        <w:pStyle w:val="Bezodstpw"/>
        <w:ind w:firstLine="284"/>
        <w:jc w:val="both"/>
      </w:pPr>
      <w:r w:rsidRPr="008640C4">
        <w:rPr>
          <w:rFonts w:ascii="Times New Roman" w:hAnsi="Times New Roman" w:cs="Times New Roman"/>
          <w:bCs/>
        </w:rPr>
        <w:t xml:space="preserve">Quantitative research was carried out </w:t>
      </w:r>
      <w:r w:rsidR="00E31334">
        <w:rPr>
          <w:rFonts w:ascii="Times New Roman" w:hAnsi="Times New Roman" w:cs="Times New Roman"/>
          <w:bCs/>
        </w:rPr>
        <w:t>to determine the necessary</w:t>
      </w:r>
      <w:r w:rsidRPr="008640C4">
        <w:rPr>
          <w:rFonts w:ascii="Times New Roman" w:hAnsi="Times New Roman" w:cs="Times New Roman"/>
          <w:bCs/>
        </w:rPr>
        <w:t xml:space="preserve"> means of transport</w:t>
      </w:r>
      <w:r w:rsidR="00731AEA" w:rsidRPr="008640C4">
        <w:rPr>
          <w:rFonts w:ascii="Times New Roman" w:hAnsi="Times New Roman" w:cs="Times New Roman"/>
          <w:bCs/>
        </w:rPr>
        <w:t xml:space="preserve"> (Zajac et al. 2019</w:t>
      </w:r>
      <w:r w:rsidRPr="008640C4">
        <w:rPr>
          <w:rFonts w:ascii="Times New Roman" w:hAnsi="Times New Roman" w:cs="Times New Roman"/>
          <w:bCs/>
        </w:rPr>
        <w:t>,</w:t>
      </w:r>
      <w:r w:rsidR="00731AEA" w:rsidRPr="008640C4">
        <w:rPr>
          <w:rFonts w:ascii="Times New Roman" w:hAnsi="Times New Roman" w:cs="Times New Roman"/>
          <w:bCs/>
        </w:rPr>
        <w:t xml:space="preserve"> Zajac 2010)</w:t>
      </w:r>
      <w:r w:rsidR="00E31334">
        <w:rPr>
          <w:rFonts w:ascii="Times New Roman" w:hAnsi="Times New Roman" w:cs="Times New Roman"/>
          <w:bCs/>
        </w:rPr>
        <w:t>,</w:t>
      </w:r>
      <w:r w:rsidRPr="008640C4">
        <w:rPr>
          <w:rFonts w:ascii="Times New Roman" w:hAnsi="Times New Roman" w:cs="Times New Roman"/>
          <w:bCs/>
        </w:rPr>
        <w:t xml:space="preserve"> the frequency of removal and the size of landfills or waste processing facilities. The research was carried out on samples of at least a weekly amount of collected waste because the daily amount was unreliable due to the large variation. The research was carried out in separate areas (zones) with similar parameters</w:t>
      </w:r>
      <w:r w:rsidR="00F069F6">
        <w:rPr>
          <w:rFonts w:ascii="Times New Roman" w:hAnsi="Times New Roman" w:cs="Times New Roman"/>
          <w:bCs/>
        </w:rPr>
        <w:t>, e.g., similar nature and character of buildings and</w:t>
      </w:r>
      <w:r w:rsidRPr="008640C4">
        <w:rPr>
          <w:rFonts w:ascii="Times New Roman" w:hAnsi="Times New Roman" w:cs="Times New Roman"/>
          <w:bCs/>
        </w:rPr>
        <w:t xml:space="preserve"> presence of service and commercial facilities. The weight of the waste was determined based on the difference in the weight of the cars before and after emptying the waste. The volume, </w:t>
      </w:r>
      <w:r w:rsidR="00F069F6">
        <w:rPr>
          <w:rFonts w:ascii="Times New Roman" w:hAnsi="Times New Roman" w:cs="Times New Roman"/>
          <w:bCs/>
        </w:rPr>
        <w:t>however</w:t>
      </w:r>
      <w:r w:rsidRPr="008640C4">
        <w:rPr>
          <w:rFonts w:ascii="Times New Roman" w:hAnsi="Times New Roman" w:cs="Times New Roman"/>
          <w:bCs/>
        </w:rPr>
        <w:t xml:space="preserve">, was determined based on the number and volume of waste containers. It is assumed that there are </w:t>
      </w:r>
      <w:r w:rsidR="00430C42" w:rsidRPr="008640C4">
        <w:rPr>
          <w:rFonts w:ascii="Times New Roman" w:hAnsi="Times New Roman" w:cs="Times New Roman"/>
          <w:bCs/>
        </w:rPr>
        <w:t xml:space="preserve">(1) </w:t>
      </w:r>
      <w:r w:rsidRPr="008640C4">
        <w:rPr>
          <w:rFonts w:ascii="Times New Roman" w:hAnsi="Times New Roman" w:cs="Times New Roman"/>
          <w:bCs/>
        </w:rPr>
        <w:t>weeks in a month to es</w:t>
      </w:r>
      <w:r w:rsidR="009176D8" w:rsidRPr="008640C4">
        <w:rPr>
          <w:rFonts w:ascii="Times New Roman" w:hAnsi="Times New Roman" w:cs="Times New Roman"/>
          <w:bCs/>
        </w:rPr>
        <w:t>timate the annual accumulation</w:t>
      </w:r>
      <w:r w:rsidR="00BB034A" w:rsidRPr="008640C4">
        <w:rPr>
          <w:rFonts w:ascii="Times New Roman" w:hAnsi="Times New Roman" w:cs="Times New Roman"/>
          <w:bCs/>
        </w:rPr>
        <w:t>:</w:t>
      </w:r>
    </w:p>
    <w:p w14:paraId="0268B5F8" w14:textId="76BF9222" w:rsidR="002D1342" w:rsidRPr="008640C4" w:rsidRDefault="005C28D4" w:rsidP="003367DB">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a</m:t>
            </m:r>
          </m:sub>
        </m:sSub>
        <m:r>
          <m:rPr>
            <m:sty m:val="p"/>
          </m:rPr>
          <w:rPr>
            <w:rFonts w:ascii="Cambria Math" w:hAnsi="Cambria Math"/>
            <w:lang w:val="en-GB"/>
          </w:rPr>
          <m:t>=</m:t>
        </m:r>
        <m:d>
          <m:dPr>
            <m:ctrlPr>
              <w:rPr>
                <w:rFonts w:ascii="Cambria Math" w:hAnsi="Cambria Math"/>
                <w:lang w:val="en-GB"/>
              </w:rPr>
            </m:ctrlPr>
          </m:dPr>
          <m:e>
            <m:nary>
              <m:naryPr>
                <m:chr m:val="∑"/>
                <m:limLoc m:val="undOvr"/>
                <m:ctrlPr>
                  <w:rPr>
                    <w:rFonts w:ascii="Cambria Math" w:hAnsi="Cambria Math"/>
                    <w:lang w:val="en-GB"/>
                  </w:rPr>
                </m:ctrlPr>
              </m:naryPr>
              <m:sub>
                <m:r>
                  <m:rPr>
                    <m:sty m:val="p"/>
                  </m:rPr>
                  <w:rPr>
                    <w:rFonts w:ascii="Cambria Math" w:hAnsi="Cambria Math"/>
                    <w:lang w:val="en-GB"/>
                  </w:rPr>
                  <m:t>1</m:t>
                </m:r>
              </m:sub>
              <m:sup>
                <m:r>
                  <m:rPr>
                    <m:sty m:val="p"/>
                  </m:rPr>
                  <w:rPr>
                    <w:rFonts w:ascii="Cambria Math" w:hAnsi="Cambria Math"/>
                    <w:lang w:val="en-GB"/>
                  </w:rPr>
                  <m:t>12</m:t>
                </m:r>
              </m:sup>
              <m:e>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tyg</m:t>
                    </m:r>
                  </m:sub>
                </m:sSub>
                <m:r>
                  <m:rPr>
                    <m:sty m:val="p"/>
                  </m:rPr>
                  <w:rPr>
                    <w:rFonts w:ascii="Cambria Math" w:hAnsi="Cambria Math"/>
                    <w:lang w:val="en-GB"/>
                  </w:rPr>
                  <m:t xml:space="preserve"> </m:t>
                </m:r>
              </m:e>
            </m:nary>
          </m:e>
        </m:d>
        <m:r>
          <w:rPr>
            <w:rFonts w:ascii="Cambria Math" w:hAnsi="Cambria Math"/>
            <w:lang w:val="en-GB"/>
          </w:rPr>
          <m:t xml:space="preserve"> </m:t>
        </m:r>
        <m:r>
          <m:rPr>
            <m:sty m:val="p"/>
          </m:rPr>
          <w:rPr>
            <w:rFonts w:ascii="Cambria Math" w:hAnsi="Cambria Math"/>
            <w:lang w:val="en-GB"/>
          </w:rPr>
          <m:t>[</m:t>
        </m:r>
        <m:r>
          <m:rPr>
            <m:nor/>
          </m:rPr>
          <w:rPr>
            <w:lang w:val="en-GB"/>
          </w:rPr>
          <m:t>Mg/year</m:t>
        </m:r>
        <m:r>
          <m:rPr>
            <m:nor/>
          </m:rPr>
          <w:rPr>
            <w:rFonts w:ascii="Cambria Math"/>
            <w:lang w:val="en-GB"/>
          </w:rPr>
          <m:t>]</m:t>
        </m:r>
      </m:oMath>
      <w:r w:rsidRPr="008640C4">
        <w:rPr>
          <w:lang w:val="en-GB"/>
        </w:rPr>
        <w:tab/>
        <w:t>(</w:t>
      </w:r>
      <w:r w:rsidR="00D81B25" w:rsidRPr="008640C4">
        <w:rPr>
          <w:noProof/>
          <w:lang w:val="en-GB"/>
        </w:rPr>
        <w:fldChar w:fldCharType="begin"/>
      </w:r>
      <w:r w:rsidR="0067574B" w:rsidRPr="008640C4">
        <w:rPr>
          <w:noProof/>
          <w:lang w:val="en-GB"/>
        </w:rPr>
        <w:instrText xml:space="preserve"> SEQ równanie\* ARABIC </w:instrText>
      </w:r>
      <w:r w:rsidR="00D81B25" w:rsidRPr="008640C4">
        <w:rPr>
          <w:noProof/>
          <w:lang w:val="en-GB"/>
        </w:rPr>
        <w:fldChar w:fldCharType="separate"/>
      </w:r>
      <w:r w:rsidR="00F04983">
        <w:rPr>
          <w:noProof/>
          <w:lang w:val="en-GB"/>
        </w:rPr>
        <w:t>1</w:t>
      </w:r>
      <w:r w:rsidR="00D81B25" w:rsidRPr="008640C4">
        <w:rPr>
          <w:noProof/>
          <w:lang w:val="en-GB"/>
        </w:rPr>
        <w:fldChar w:fldCharType="end"/>
      </w:r>
      <w:r w:rsidRPr="008640C4">
        <w:rPr>
          <w:lang w:val="en-GB"/>
        </w:rPr>
        <w:t>)</w:t>
      </w:r>
    </w:p>
    <w:p w14:paraId="06199EF3" w14:textId="77777777" w:rsidR="008F5321" w:rsidRPr="008640C4" w:rsidRDefault="00F069F6" w:rsidP="003367DB">
      <w:pPr>
        <w:ind w:firstLine="284"/>
        <w:rPr>
          <w:lang w:val="en-GB"/>
        </w:rPr>
      </w:pPr>
      <w:r>
        <w:rPr>
          <w:lang w:val="en-GB"/>
        </w:rPr>
        <w:t>The tests were carried out every two weeks for a more detailed analysi</w:t>
      </w:r>
      <w:r w:rsidR="00B11C40" w:rsidRPr="008640C4">
        <w:rPr>
          <w:lang w:val="en-GB"/>
        </w:rPr>
        <w:t>s, thus obtaining 26 results. Substituting them into the formula</w:t>
      </w:r>
      <w:r w:rsidR="00BB034A" w:rsidRPr="008640C4">
        <w:rPr>
          <w:lang w:val="en-GB"/>
        </w:rPr>
        <w:t>:</w:t>
      </w:r>
    </w:p>
    <w:p w14:paraId="1FF37812" w14:textId="3C66D41C" w:rsidR="008F5321" w:rsidRPr="008640C4" w:rsidRDefault="005C28D4" w:rsidP="003367DB">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a</m:t>
            </m:r>
          </m:sub>
        </m:sSub>
        <m:r>
          <m:rPr>
            <m:sty m:val="p"/>
          </m:rPr>
          <w:rPr>
            <w:rFonts w:ascii="Cambria Math" w:hAnsi="Cambria Math"/>
            <w:lang w:val="en-GB"/>
          </w:rPr>
          <m:t>=2</m:t>
        </m:r>
        <m:d>
          <m:dPr>
            <m:ctrlPr>
              <w:rPr>
                <w:rFonts w:ascii="Cambria Math" w:hAnsi="Cambria Math"/>
                <w:lang w:val="en-GB"/>
              </w:rPr>
            </m:ctrlPr>
          </m:dPr>
          <m:e>
            <m:nary>
              <m:naryPr>
                <m:chr m:val="∑"/>
                <m:limLoc m:val="undOvr"/>
                <m:ctrlPr>
                  <w:rPr>
                    <w:rFonts w:ascii="Cambria Math" w:hAnsi="Cambria Math"/>
                    <w:lang w:val="en-GB"/>
                  </w:rPr>
                </m:ctrlPr>
              </m:naryPr>
              <m:sub>
                <m:r>
                  <m:rPr>
                    <m:sty m:val="p"/>
                  </m:rPr>
                  <w:rPr>
                    <w:rFonts w:ascii="Cambria Math" w:hAnsi="Cambria Math"/>
                    <w:lang w:val="en-GB"/>
                  </w:rPr>
                  <m:t>1</m:t>
                </m:r>
              </m:sub>
              <m:sup>
                <m:r>
                  <m:rPr>
                    <m:sty m:val="p"/>
                  </m:rPr>
                  <w:rPr>
                    <w:rFonts w:ascii="Cambria Math" w:hAnsi="Cambria Math"/>
                    <w:lang w:val="en-GB"/>
                  </w:rPr>
                  <m:t>26</m:t>
                </m:r>
              </m:sup>
              <m:e>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tyg</m:t>
                    </m:r>
                  </m:sub>
                </m:sSub>
                <m:r>
                  <m:rPr>
                    <m:sty m:val="p"/>
                  </m:rPr>
                  <w:rPr>
                    <w:rFonts w:ascii="Cambria Math" w:hAnsi="Cambria Math"/>
                    <w:lang w:val="en-GB"/>
                  </w:rPr>
                  <m:t xml:space="preserve"> </m:t>
                </m:r>
              </m:e>
            </m:nary>
          </m:e>
        </m:d>
        <m:r>
          <m:rPr>
            <m:sty m:val="p"/>
          </m:rPr>
          <w:rPr>
            <w:rFonts w:ascii="Cambria Math" w:hAnsi="Cambria Math"/>
            <w:lang w:val="en-GB"/>
          </w:rPr>
          <m:t xml:space="preserve">   [</m:t>
        </m:r>
        <m:r>
          <m:rPr>
            <m:nor/>
          </m:rPr>
          <w:rPr>
            <w:lang w:val="en-GB"/>
          </w:rPr>
          <m:t>Mg/year]</m:t>
        </m:r>
      </m:oMath>
      <w:r w:rsidR="006B0A63" w:rsidRPr="008640C4">
        <w:rPr>
          <w:lang w:val="en-GB"/>
        </w:rPr>
        <w:tab/>
      </w:r>
      <w:r w:rsidRPr="008640C4">
        <w:rPr>
          <w:lang w:val="en-GB"/>
        </w:rPr>
        <w:t>(</w:t>
      </w:r>
      <w:r w:rsidR="00D81B25" w:rsidRPr="008640C4">
        <w:rPr>
          <w:noProof/>
          <w:lang w:val="en-GB"/>
        </w:rPr>
        <w:fldChar w:fldCharType="begin"/>
      </w:r>
      <w:r w:rsidR="0067574B" w:rsidRPr="008640C4">
        <w:rPr>
          <w:noProof/>
          <w:lang w:val="en-GB"/>
        </w:rPr>
        <w:instrText xml:space="preserve"> SEQ równanie\* ARABIC </w:instrText>
      </w:r>
      <w:r w:rsidR="00D81B25" w:rsidRPr="008640C4">
        <w:rPr>
          <w:noProof/>
          <w:lang w:val="en-GB"/>
        </w:rPr>
        <w:fldChar w:fldCharType="separate"/>
      </w:r>
      <w:r w:rsidR="00F04983">
        <w:rPr>
          <w:noProof/>
          <w:lang w:val="en-GB"/>
        </w:rPr>
        <w:t>2</w:t>
      </w:r>
      <w:r w:rsidR="00D81B25" w:rsidRPr="008640C4">
        <w:rPr>
          <w:noProof/>
          <w:lang w:val="en-GB"/>
        </w:rPr>
        <w:fldChar w:fldCharType="end"/>
      </w:r>
      <w:r w:rsidRPr="008640C4">
        <w:rPr>
          <w:lang w:val="en-GB"/>
        </w:rPr>
        <w:t>)</w:t>
      </w:r>
    </w:p>
    <w:p w14:paraId="5A51FFF4" w14:textId="77777777" w:rsidR="00BB034A" w:rsidRPr="008640C4" w:rsidRDefault="00A82296" w:rsidP="003367DB">
      <w:pPr>
        <w:ind w:firstLine="284"/>
        <w:rPr>
          <w:lang w:val="en-GB"/>
        </w:rPr>
      </w:pPr>
      <w:r w:rsidRPr="008640C4">
        <w:rPr>
          <w:lang w:val="en-GB"/>
        </w:rPr>
        <w:t xml:space="preserve">The calculated amount of waste accumulated during the whole year enables the calculation of indicators </w:t>
      </w:r>
      <w:r w:rsidR="00324570" w:rsidRPr="008640C4">
        <w:rPr>
          <w:lang w:val="en-GB"/>
        </w:rPr>
        <w:t>where</w:t>
      </w:r>
      <w:r w:rsidRPr="008640C4">
        <w:rPr>
          <w:lang w:val="en-GB"/>
        </w:rPr>
        <w:t>:</w:t>
      </w:r>
    </w:p>
    <w:p w14:paraId="16D511CA" w14:textId="77777777" w:rsidR="00BB034A" w:rsidRPr="008640C4" w:rsidRDefault="00A82296" w:rsidP="009E3616">
      <w:pPr>
        <w:rPr>
          <w:lang w:val="en-GB"/>
        </w:rPr>
      </w:pPr>
      <w:proofErr w:type="spellStart"/>
      <w:r w:rsidRPr="008640C4">
        <w:rPr>
          <w:lang w:val="en-GB"/>
        </w:rPr>
        <w:t>Q</w:t>
      </w:r>
      <w:r w:rsidRPr="008640C4">
        <w:rPr>
          <w:vertAlign w:val="subscript"/>
          <w:lang w:val="en-GB"/>
        </w:rPr>
        <w:t>j</w:t>
      </w:r>
      <w:proofErr w:type="spellEnd"/>
      <w:r w:rsidRPr="008640C4">
        <w:rPr>
          <w:lang w:val="en-GB"/>
        </w:rPr>
        <w:t xml:space="preserve"> </w:t>
      </w:r>
      <w:r w:rsidR="003367DB" w:rsidRPr="008640C4">
        <w:rPr>
          <w:lang w:val="en-GB"/>
        </w:rPr>
        <w:t>–</w:t>
      </w:r>
      <w:r w:rsidR="001361F5" w:rsidRPr="008640C4">
        <w:rPr>
          <w:lang w:val="en-GB"/>
        </w:rPr>
        <w:t xml:space="preserve"> </w:t>
      </w:r>
      <w:r w:rsidRPr="008640C4">
        <w:rPr>
          <w:lang w:val="en-GB"/>
        </w:rPr>
        <w:t>annual unit mass i</w:t>
      </w:r>
      <w:r w:rsidR="00CA6359" w:rsidRPr="008640C4">
        <w:rPr>
          <w:lang w:val="en-GB"/>
        </w:rPr>
        <w:t>ndicator of waste accumulation [kg/M year]</w:t>
      </w:r>
      <w:r w:rsidR="003367DB" w:rsidRPr="008640C4">
        <w:rPr>
          <w:lang w:val="en-GB"/>
        </w:rPr>
        <w:t>,</w:t>
      </w:r>
    </w:p>
    <w:p w14:paraId="071841F6" w14:textId="77777777" w:rsidR="00BB034A" w:rsidRPr="008640C4" w:rsidRDefault="00A82296" w:rsidP="009E3616">
      <w:pPr>
        <w:rPr>
          <w:lang w:val="en-GB"/>
        </w:rPr>
      </w:pPr>
      <w:proofErr w:type="spellStart"/>
      <w:r w:rsidRPr="008640C4">
        <w:rPr>
          <w:lang w:val="en-GB"/>
        </w:rPr>
        <w:t>V</w:t>
      </w:r>
      <w:r w:rsidRPr="008640C4">
        <w:rPr>
          <w:vertAlign w:val="subscript"/>
          <w:lang w:val="en-GB"/>
        </w:rPr>
        <w:t>j</w:t>
      </w:r>
      <w:proofErr w:type="spellEnd"/>
      <w:r w:rsidRPr="008640C4">
        <w:rPr>
          <w:lang w:val="en-GB"/>
        </w:rPr>
        <w:t xml:space="preserve"> </w:t>
      </w:r>
      <w:r w:rsidR="003367DB" w:rsidRPr="008640C4">
        <w:rPr>
          <w:vertAlign w:val="subscript"/>
          <w:lang w:val="en-GB"/>
        </w:rPr>
        <w:t>–</w:t>
      </w:r>
      <w:r w:rsidR="001361F5" w:rsidRPr="008640C4">
        <w:rPr>
          <w:lang w:val="en-GB"/>
        </w:rPr>
        <w:t xml:space="preserve"> </w:t>
      </w:r>
      <w:r w:rsidRPr="008640C4">
        <w:rPr>
          <w:lang w:val="en-GB"/>
        </w:rPr>
        <w:t xml:space="preserve">annual unit volume indicator of waste accumulation </w:t>
      </w:r>
      <w:r w:rsidR="00CA6359" w:rsidRPr="008640C4">
        <w:rPr>
          <w:lang w:val="en-GB"/>
        </w:rPr>
        <w:t>[</w:t>
      </w:r>
      <w:r w:rsidRPr="008640C4">
        <w:rPr>
          <w:lang w:val="en-GB"/>
        </w:rPr>
        <w:t>m</w:t>
      </w:r>
      <w:r w:rsidRPr="008640C4">
        <w:rPr>
          <w:vertAlign w:val="superscript"/>
          <w:lang w:val="en-GB"/>
        </w:rPr>
        <w:t>3</w:t>
      </w:r>
      <w:r w:rsidRPr="008640C4">
        <w:rPr>
          <w:lang w:val="en-GB"/>
        </w:rPr>
        <w:t>/M year</w:t>
      </w:r>
      <w:r w:rsidR="00CA6359" w:rsidRPr="008640C4">
        <w:rPr>
          <w:lang w:val="en-GB"/>
        </w:rPr>
        <w:t>]</w:t>
      </w:r>
      <w:r w:rsidR="003367DB" w:rsidRPr="008640C4">
        <w:rPr>
          <w:lang w:val="en-GB"/>
        </w:rPr>
        <w:t>,</w:t>
      </w:r>
    </w:p>
    <w:p w14:paraId="48A72A19" w14:textId="77777777" w:rsidR="00BB034A" w:rsidRPr="008640C4" w:rsidRDefault="00A82296" w:rsidP="009E3616">
      <w:pPr>
        <w:rPr>
          <w:lang w:val="en-GB"/>
        </w:rPr>
      </w:pPr>
      <w:r w:rsidRPr="008640C4">
        <w:rPr>
          <w:lang w:val="en-GB"/>
        </w:rPr>
        <w:t xml:space="preserve">k </w:t>
      </w:r>
      <w:r w:rsidR="003367DB" w:rsidRPr="008640C4">
        <w:rPr>
          <w:lang w:val="en-GB"/>
        </w:rPr>
        <w:t>–</w:t>
      </w:r>
      <w:r w:rsidR="001361F5" w:rsidRPr="008640C4">
        <w:rPr>
          <w:lang w:val="en-GB"/>
        </w:rPr>
        <w:t xml:space="preserve"> </w:t>
      </w:r>
      <w:r w:rsidRPr="008640C4">
        <w:rPr>
          <w:lang w:val="en-GB"/>
        </w:rPr>
        <w:t>coefficient of non</w:t>
      </w:r>
      <w:r w:rsidR="003367DB" w:rsidRPr="008640C4">
        <w:rPr>
          <w:lang w:val="en-GB"/>
        </w:rPr>
        <w:t>-</w:t>
      </w:r>
      <w:r w:rsidRPr="008640C4">
        <w:rPr>
          <w:lang w:val="en-GB"/>
        </w:rPr>
        <w:t>uniformity of waste accumulation</w:t>
      </w:r>
      <w:r w:rsidR="003367DB" w:rsidRPr="008640C4">
        <w:rPr>
          <w:lang w:val="en-GB"/>
        </w:rPr>
        <w:t>,</w:t>
      </w:r>
    </w:p>
    <w:p w14:paraId="5006CF9B" w14:textId="77777777" w:rsidR="00EA268E" w:rsidRPr="008640C4" w:rsidRDefault="001361F5" w:rsidP="009E3616">
      <w:pPr>
        <w:rPr>
          <w:lang w:val="en-GB"/>
        </w:rPr>
      </w:pPr>
      <w:r w:rsidRPr="008640C4">
        <w:rPr>
          <w:lang w:val="en-GB"/>
        </w:rPr>
        <w:sym w:font="Symbol" w:char="F072"/>
      </w:r>
      <w:r w:rsidR="00CA6359" w:rsidRPr="008640C4">
        <w:rPr>
          <w:lang w:val="en-GB"/>
        </w:rPr>
        <w:t xml:space="preserve"> </w:t>
      </w:r>
      <w:r w:rsidR="003367DB" w:rsidRPr="008640C4">
        <w:rPr>
          <w:lang w:val="en-GB"/>
        </w:rPr>
        <w:t>–</w:t>
      </w:r>
      <w:r w:rsidR="00CA6359" w:rsidRPr="008640C4">
        <w:rPr>
          <w:lang w:val="en-GB"/>
        </w:rPr>
        <w:t xml:space="preserve"> waste bulk density [</w:t>
      </w:r>
      <w:r w:rsidR="00A82296" w:rsidRPr="008640C4">
        <w:rPr>
          <w:lang w:val="en-GB"/>
        </w:rPr>
        <w:t>kg/</w:t>
      </w:r>
      <w:r w:rsidRPr="008640C4">
        <w:rPr>
          <w:lang w:val="en-GB"/>
        </w:rPr>
        <w:t>m</w:t>
      </w:r>
      <w:r w:rsidRPr="008640C4">
        <w:rPr>
          <w:vertAlign w:val="superscript"/>
          <w:lang w:val="en-GB"/>
        </w:rPr>
        <w:t>3</w:t>
      </w:r>
      <w:r w:rsidR="00CA6359" w:rsidRPr="008640C4">
        <w:rPr>
          <w:lang w:val="en-GB"/>
        </w:rPr>
        <w:t>]</w:t>
      </w:r>
      <w:r w:rsidR="00A82296" w:rsidRPr="008640C4">
        <w:rPr>
          <w:lang w:val="en-GB"/>
        </w:rPr>
        <w:t>.</w:t>
      </w:r>
    </w:p>
    <w:p w14:paraId="305754F0" w14:textId="77777777" w:rsidR="003367DB" w:rsidRPr="008640C4" w:rsidRDefault="003367DB" w:rsidP="003367DB">
      <w:pPr>
        <w:pStyle w:val="Bezodstpw"/>
        <w:ind w:firstLine="284"/>
        <w:jc w:val="both"/>
        <w:rPr>
          <w:rFonts w:ascii="Times New Roman" w:hAnsi="Times New Roman" w:cs="Times New Roman"/>
          <w:bCs/>
        </w:rPr>
      </w:pPr>
    </w:p>
    <w:p w14:paraId="216236AF" w14:textId="77777777" w:rsidR="00123493" w:rsidRPr="008640C4" w:rsidRDefault="00B11C40" w:rsidP="003367DB">
      <w:pPr>
        <w:pStyle w:val="Bezodstpw"/>
        <w:ind w:firstLine="284"/>
        <w:jc w:val="both"/>
      </w:pPr>
      <w:r w:rsidRPr="008640C4">
        <w:rPr>
          <w:rFonts w:ascii="Times New Roman" w:hAnsi="Times New Roman" w:cs="Times New Roman"/>
          <w:bCs/>
        </w:rPr>
        <w:t>Since the amount of generated waste is affected by season/month</w:t>
      </w:r>
      <w:r w:rsidR="00F069F6">
        <w:rPr>
          <w:rFonts w:ascii="Times New Roman" w:hAnsi="Times New Roman" w:cs="Times New Roman"/>
          <w:bCs/>
        </w:rPr>
        <w:t xml:space="preserve"> and</w:t>
      </w:r>
      <w:r w:rsidRPr="008640C4">
        <w:rPr>
          <w:rFonts w:ascii="Times New Roman" w:hAnsi="Times New Roman" w:cs="Times New Roman"/>
          <w:bCs/>
        </w:rPr>
        <w:t xml:space="preserve"> weather</w:t>
      </w:r>
      <w:r w:rsidR="00F069F6">
        <w:rPr>
          <w:rFonts w:ascii="Times New Roman" w:hAnsi="Times New Roman" w:cs="Times New Roman"/>
          <w:bCs/>
        </w:rPr>
        <w:t xml:space="preserve"> conditions</w:t>
      </w:r>
      <w:r w:rsidRPr="008640C4">
        <w:rPr>
          <w:rFonts w:ascii="Times New Roman" w:hAnsi="Times New Roman" w:cs="Times New Roman"/>
          <w:bCs/>
        </w:rPr>
        <w:t xml:space="preserve"> </w:t>
      </w:r>
      <w:r w:rsidR="00CF3C4D" w:rsidRPr="008640C4">
        <w:rPr>
          <w:rFonts w:ascii="Times New Roman" w:hAnsi="Times New Roman" w:cs="Times New Roman"/>
          <w:bCs/>
        </w:rPr>
        <w:t>–</w:t>
      </w:r>
      <w:r w:rsidRPr="008640C4">
        <w:rPr>
          <w:rFonts w:ascii="Times New Roman" w:hAnsi="Times New Roman" w:cs="Times New Roman"/>
          <w:bCs/>
        </w:rPr>
        <w:t xml:space="preserve"> it was assumed that the distribution of the volume of waste is random. </w:t>
      </w:r>
      <w:r w:rsidR="00F069F6">
        <w:rPr>
          <w:rFonts w:ascii="Times New Roman" w:hAnsi="Times New Roman" w:cs="Times New Roman"/>
          <w:bCs/>
        </w:rPr>
        <w:t>Let's compare the amount of waste generated over a short period. S</w:t>
      </w:r>
      <w:r w:rsidRPr="008640C4">
        <w:rPr>
          <w:rFonts w:ascii="Times New Roman" w:hAnsi="Times New Roman" w:cs="Times New Roman"/>
          <w:bCs/>
        </w:rPr>
        <w:t xml:space="preserve">ignificant fluctuations can be observed </w:t>
      </w:r>
      <w:r w:rsidR="00CF3C4D" w:rsidRPr="008640C4">
        <w:rPr>
          <w:rFonts w:ascii="Times New Roman" w:hAnsi="Times New Roman" w:cs="Times New Roman"/>
          <w:bCs/>
        </w:rPr>
        <w:t>–</w:t>
      </w:r>
      <w:r w:rsidRPr="008640C4">
        <w:rPr>
          <w:rFonts w:ascii="Times New Roman" w:hAnsi="Times New Roman" w:cs="Times New Roman"/>
          <w:bCs/>
        </w:rPr>
        <w:t xml:space="preserve"> further analy</w:t>
      </w:r>
      <w:r w:rsidR="001F3921">
        <w:rPr>
          <w:rFonts w:ascii="Times New Roman" w:hAnsi="Times New Roman" w:cs="Times New Roman"/>
          <w:bCs/>
        </w:rPr>
        <w:t>s</w:t>
      </w:r>
      <w:r w:rsidRPr="008640C4">
        <w:rPr>
          <w:rFonts w:ascii="Times New Roman" w:hAnsi="Times New Roman" w:cs="Times New Roman"/>
          <w:bCs/>
        </w:rPr>
        <w:t xml:space="preserve">ing the trend over a longer period, we may notice that it can be described quantitatively and qualitatively. The basis for such considerations is the coefficient of uneven accumulation of waste expressed as the ratio of the monthly value of the waste mass to the monthly average value calculated </w:t>
      </w:r>
      <w:r w:rsidR="00F069F6">
        <w:rPr>
          <w:rFonts w:ascii="Times New Roman" w:hAnsi="Times New Roman" w:cs="Times New Roman"/>
          <w:bCs/>
        </w:rPr>
        <w:t>yearly</w:t>
      </w:r>
      <w:r w:rsidRPr="008640C4">
        <w:rPr>
          <w:rFonts w:ascii="Times New Roman" w:hAnsi="Times New Roman" w:cs="Times New Roman"/>
          <w:bCs/>
        </w:rPr>
        <w:t>. If a specific period is analy</w:t>
      </w:r>
      <w:r w:rsidR="001F3921">
        <w:rPr>
          <w:rFonts w:ascii="Times New Roman" w:hAnsi="Times New Roman" w:cs="Times New Roman"/>
          <w:bCs/>
        </w:rPr>
        <w:t>s</w:t>
      </w:r>
      <w:r w:rsidRPr="008640C4">
        <w:rPr>
          <w:rFonts w:ascii="Times New Roman" w:hAnsi="Times New Roman" w:cs="Times New Roman"/>
          <w:bCs/>
        </w:rPr>
        <w:t>ed, there are "peaks" defined by the unevenness of accumulated waste. The trend of generated municipal waste in particular periods oscillates around a certain fixed level. The indicator allows capturing and searching for the causes, e.g. in September 2018, one of the causes was the green mass of biodegradable waste produced by nature more intensively than in other years (additionally, e.g. leaves and branches).</w:t>
      </w:r>
    </w:p>
    <w:p w14:paraId="4FD89397" w14:textId="77777777" w:rsidR="00194898" w:rsidRPr="008640C4" w:rsidRDefault="00FC4BD6" w:rsidP="003367DB">
      <w:pPr>
        <w:ind w:firstLine="284"/>
        <w:rPr>
          <w:lang w:val="en-GB"/>
        </w:rPr>
      </w:pPr>
      <w:r w:rsidRPr="008640C4">
        <w:rPr>
          <w:lang w:val="en-GB"/>
        </w:rPr>
        <w:t>Another analy</w:t>
      </w:r>
      <w:r w:rsidR="001F3921">
        <w:rPr>
          <w:lang w:val="en-GB"/>
        </w:rPr>
        <w:t>s</w:t>
      </w:r>
      <w:r w:rsidRPr="008640C4">
        <w:rPr>
          <w:lang w:val="en-GB"/>
        </w:rPr>
        <w:t>ed indicator is the volume indicator of municipal waste accumulation, i.e. the volume of collected waste per unit of time in a container. It is about loosely thrown waste, i.e. without mechanical compaction, which we deal with, for example, in cars adapted to collect waste from containers. This indicator is given in a unit of volume [m</w:t>
      </w:r>
      <w:r w:rsidRPr="008640C4">
        <w:rPr>
          <w:vertAlign w:val="superscript"/>
          <w:lang w:val="en-GB"/>
        </w:rPr>
        <w:t>3</w:t>
      </w:r>
      <w:r w:rsidRPr="008640C4">
        <w:rPr>
          <w:lang w:val="en-GB"/>
        </w:rPr>
        <w:t>/inhabitant</w:t>
      </w:r>
      <w:r w:rsidR="003D0C40" w:rsidRPr="008640C4">
        <w:rPr>
          <w:lang w:val="en-GB"/>
        </w:rPr>
        <w:t>]</w:t>
      </w:r>
      <w:r w:rsidRPr="008640C4">
        <w:rPr>
          <w:lang w:val="en-GB"/>
        </w:rPr>
        <w:t xml:space="preserve">. The average values of the volume indicators of waste accumulated in </w:t>
      </w:r>
      <w:r w:rsidR="001A534D" w:rsidRPr="008640C4">
        <w:rPr>
          <w:lang w:val="en-GB"/>
        </w:rPr>
        <w:t>Wroclaw</w:t>
      </w:r>
      <w:r w:rsidRPr="008640C4">
        <w:rPr>
          <w:lang w:val="en-GB"/>
        </w:rPr>
        <w:t xml:space="preserve"> for three types of buildings are R1</w:t>
      </w:r>
      <w:r w:rsidR="00CF3C4D" w:rsidRPr="008640C4">
        <w:rPr>
          <w:bCs/>
          <w:lang w:val="en-GB"/>
        </w:rPr>
        <w:t xml:space="preserve"> – </w:t>
      </w:r>
      <w:r w:rsidRPr="008640C4">
        <w:rPr>
          <w:lang w:val="en-GB"/>
        </w:rPr>
        <w:t>high buildings (2.17</w:t>
      </w:r>
      <w:r w:rsidR="00CF3C4D" w:rsidRPr="008640C4">
        <w:rPr>
          <w:lang w:val="en-GB"/>
        </w:rPr>
        <w:t xml:space="preserve"> </w:t>
      </w:r>
      <w:r w:rsidRPr="008640C4">
        <w:rPr>
          <w:lang w:val="en-GB"/>
        </w:rPr>
        <w:t>[m</w:t>
      </w:r>
      <w:r w:rsidRPr="008640C4">
        <w:rPr>
          <w:vertAlign w:val="superscript"/>
          <w:lang w:val="en-GB"/>
        </w:rPr>
        <w:t>3</w:t>
      </w:r>
      <w:r w:rsidRPr="008640C4">
        <w:rPr>
          <w:lang w:val="en-GB"/>
        </w:rPr>
        <w:t>/inhabitant/year]); R2</w:t>
      </w:r>
      <w:r w:rsidR="00CF3C4D" w:rsidRPr="008640C4">
        <w:rPr>
          <w:bCs/>
          <w:lang w:val="en-GB"/>
        </w:rPr>
        <w:t xml:space="preserve"> – </w:t>
      </w:r>
      <w:r w:rsidRPr="008640C4">
        <w:rPr>
          <w:lang w:val="en-GB"/>
        </w:rPr>
        <w:t>old and new compact buildings in the city cent</w:t>
      </w:r>
      <w:r w:rsidR="00F069F6">
        <w:rPr>
          <w:lang w:val="en-GB"/>
        </w:rPr>
        <w:t>re</w:t>
      </w:r>
      <w:r w:rsidRPr="008640C4">
        <w:rPr>
          <w:lang w:val="en-GB"/>
        </w:rPr>
        <w:t xml:space="preserve"> (2</w:t>
      </w:r>
      <w:r w:rsidR="006D470C" w:rsidRPr="008640C4">
        <w:rPr>
          <w:lang w:val="en-GB"/>
        </w:rPr>
        <w:t>.</w:t>
      </w:r>
      <w:r w:rsidRPr="008640C4">
        <w:rPr>
          <w:lang w:val="en-GB"/>
        </w:rPr>
        <w:t>10 [m</w:t>
      </w:r>
      <w:r w:rsidRPr="008640C4">
        <w:rPr>
          <w:vertAlign w:val="superscript"/>
          <w:lang w:val="en-GB"/>
        </w:rPr>
        <w:t>3</w:t>
      </w:r>
      <w:r w:rsidRPr="008640C4">
        <w:rPr>
          <w:lang w:val="en-GB"/>
        </w:rPr>
        <w:t>/inhabitant/year]); R3</w:t>
      </w:r>
      <w:r w:rsidR="00CF3C4D" w:rsidRPr="008640C4">
        <w:rPr>
          <w:bCs/>
          <w:lang w:val="en-GB"/>
        </w:rPr>
        <w:t xml:space="preserve"> – </w:t>
      </w:r>
      <w:r w:rsidRPr="008640C4">
        <w:rPr>
          <w:lang w:val="en-GB"/>
        </w:rPr>
        <w:t>scattered single and multi-family housing (1</w:t>
      </w:r>
      <w:r w:rsidR="006D470C" w:rsidRPr="008640C4">
        <w:rPr>
          <w:lang w:val="en-GB"/>
        </w:rPr>
        <w:t>.</w:t>
      </w:r>
      <w:r w:rsidRPr="008640C4">
        <w:rPr>
          <w:lang w:val="en-GB"/>
        </w:rPr>
        <w:t>61</w:t>
      </w:r>
      <w:r w:rsidR="00CF3C4D" w:rsidRPr="008640C4">
        <w:rPr>
          <w:lang w:val="en-GB"/>
        </w:rPr>
        <w:t xml:space="preserve"> </w:t>
      </w:r>
      <w:r w:rsidRPr="008640C4">
        <w:rPr>
          <w:lang w:val="en-GB"/>
        </w:rPr>
        <w:t>[m</w:t>
      </w:r>
      <w:r w:rsidRPr="008640C4">
        <w:rPr>
          <w:vertAlign w:val="superscript"/>
          <w:lang w:val="en-GB"/>
        </w:rPr>
        <w:t>3</w:t>
      </w:r>
      <w:r w:rsidRPr="008640C4">
        <w:rPr>
          <w:lang w:val="en-GB"/>
        </w:rPr>
        <w:t>/inhabitant/year]). The greatest accumulation occurs in R1, while the lowest is in R3 and R2.</w:t>
      </w:r>
    </w:p>
    <w:p w14:paraId="42A2F4A7" w14:textId="5975DC06" w:rsidR="00834971" w:rsidRPr="008640C4" w:rsidRDefault="001B2283" w:rsidP="003367DB">
      <w:pPr>
        <w:ind w:firstLine="284"/>
        <w:rPr>
          <w:lang w:val="en-GB"/>
        </w:rPr>
      </w:pPr>
      <w:r w:rsidRPr="008640C4">
        <w:rPr>
          <w:lang w:val="en-GB"/>
        </w:rPr>
        <w:t>The last indicator is the bulk density of waste given in [kg/m</w:t>
      </w:r>
      <w:r w:rsidRPr="008640C4">
        <w:rPr>
          <w:vertAlign w:val="superscript"/>
          <w:lang w:val="en-GB"/>
        </w:rPr>
        <w:t>3</w:t>
      </w:r>
      <w:r w:rsidRPr="008640C4">
        <w:rPr>
          <w:lang w:val="en-GB"/>
        </w:rPr>
        <w:t>], which is the basis for the logistics and transport departments in the correct planning of the transport system and the number of waste containers. To</w:t>
      </w:r>
      <w:r w:rsidR="00274081">
        <w:rPr>
          <w:lang w:val="en-GB"/>
        </w:rPr>
        <w:t> </w:t>
      </w:r>
      <w:r w:rsidRPr="008640C4">
        <w:rPr>
          <w:lang w:val="en-GB"/>
        </w:rPr>
        <w:t xml:space="preserve">illustrate, the average </w:t>
      </w:r>
      <w:r w:rsidR="00F069F6">
        <w:rPr>
          <w:lang w:val="en-GB"/>
        </w:rPr>
        <w:t>bulk density value</w:t>
      </w:r>
      <w:r w:rsidRPr="008640C4">
        <w:rPr>
          <w:lang w:val="en-GB"/>
        </w:rPr>
        <w:t xml:space="preserve"> during the year for a specific type of building is: R1 = 327.29, R2 = 334.71, R3 = 328.52, R4 = 330.17 [kg/</w:t>
      </w:r>
      <w:r w:rsidR="001361F5" w:rsidRPr="008640C4">
        <w:rPr>
          <w:lang w:val="en-GB"/>
        </w:rPr>
        <w:t>m</w:t>
      </w:r>
      <w:r w:rsidR="001361F5" w:rsidRPr="008640C4">
        <w:rPr>
          <w:vertAlign w:val="superscript"/>
          <w:lang w:val="en-GB"/>
        </w:rPr>
        <w:t>3</w:t>
      </w:r>
      <w:r w:rsidRPr="008640C4">
        <w:rPr>
          <w:lang w:val="en-GB"/>
        </w:rPr>
        <w:t>].</w:t>
      </w:r>
    </w:p>
    <w:p w14:paraId="00907A9F" w14:textId="77777777" w:rsidR="00A822FC" w:rsidRPr="008640C4" w:rsidRDefault="003367DB" w:rsidP="003367DB">
      <w:pPr>
        <w:pStyle w:val="Rn2"/>
        <w:rPr>
          <w:lang w:val="en-GB"/>
        </w:rPr>
      </w:pPr>
      <w:r w:rsidRPr="008640C4">
        <w:rPr>
          <w:lang w:val="en-GB"/>
        </w:rPr>
        <w:t xml:space="preserve">3.2. </w:t>
      </w:r>
      <w:bookmarkStart w:id="7" w:name="_Toc421598218"/>
      <w:r w:rsidR="00E42322" w:rsidRPr="008640C4">
        <w:rPr>
          <w:lang w:val="en-GB"/>
        </w:rPr>
        <w:t>Scope of qualitative research on waste</w:t>
      </w:r>
      <w:bookmarkEnd w:id="7"/>
    </w:p>
    <w:p w14:paraId="41BCD1F8" w14:textId="77777777" w:rsidR="007D47A5" w:rsidRPr="008640C4" w:rsidRDefault="007D47A5" w:rsidP="003367DB">
      <w:pPr>
        <w:ind w:firstLine="284"/>
        <w:rPr>
          <w:lang w:val="en-GB"/>
        </w:rPr>
      </w:pPr>
      <w:r w:rsidRPr="008640C4">
        <w:rPr>
          <w:lang w:val="en-GB"/>
        </w:rPr>
        <w:t>Qualitative, three-stage tests were carried out to determine the possibility of utili</w:t>
      </w:r>
      <w:r w:rsidR="001F3921">
        <w:rPr>
          <w:lang w:val="en-GB"/>
        </w:rPr>
        <w:t>s</w:t>
      </w:r>
      <w:r w:rsidRPr="008640C4">
        <w:rPr>
          <w:lang w:val="en-GB"/>
        </w:rPr>
        <w:t>ation by an appropriate method.</w:t>
      </w:r>
    </w:p>
    <w:p w14:paraId="03CFF762" w14:textId="77777777" w:rsidR="00EE04A7" w:rsidRPr="008640C4" w:rsidRDefault="006E2614" w:rsidP="003367DB">
      <w:pPr>
        <w:ind w:firstLine="284"/>
        <w:rPr>
          <w:lang w:val="en-GB"/>
        </w:rPr>
      </w:pPr>
      <w:r w:rsidRPr="008640C4">
        <w:rPr>
          <w:b/>
          <w:bCs/>
          <w:lang w:val="en-GB"/>
        </w:rPr>
        <w:t>Stage-1. Fractional (sieve) analysis</w:t>
      </w:r>
      <w:r w:rsidRPr="008640C4">
        <w:rPr>
          <w:lang w:val="en-GB"/>
        </w:rPr>
        <w:t xml:space="preserve"> is used for </w:t>
      </w:r>
      <w:r w:rsidR="00F069F6">
        <w:rPr>
          <w:lang w:val="en-GB"/>
        </w:rPr>
        <w:t xml:space="preserve">the </w:t>
      </w:r>
      <w:r w:rsidRPr="008640C4">
        <w:rPr>
          <w:lang w:val="en-GB"/>
        </w:rPr>
        <w:t>preliminary breakdown of waste into 4</w:t>
      </w:r>
      <w:r w:rsidR="00F069F6">
        <w:rPr>
          <w:lang w:val="en-GB"/>
        </w:rPr>
        <w:t xml:space="preserve"> </w:t>
      </w:r>
      <w:r w:rsidRPr="008640C4">
        <w:rPr>
          <w:lang w:val="en-GB"/>
        </w:rPr>
        <w:t>grain fractions according to their size. For this purpose, a set of sieves is used, e.g. a vibrating sieve or a rotating drum, thanks to which the successively sieved layers remain in the appropriate sieves, forming the following fractions: fine &lt; 10; average 10</w:t>
      </w:r>
      <w:r w:rsidR="008640C4">
        <w:rPr>
          <w:lang w:val="en-GB"/>
        </w:rPr>
        <w:t>-</w:t>
      </w:r>
      <w:r w:rsidRPr="008640C4">
        <w:rPr>
          <w:lang w:val="en-GB"/>
        </w:rPr>
        <w:t>40; thick 40</w:t>
      </w:r>
      <w:r w:rsidR="008640C4">
        <w:rPr>
          <w:lang w:val="en-GB"/>
        </w:rPr>
        <w:t>-</w:t>
      </w:r>
      <w:r w:rsidRPr="008640C4">
        <w:rPr>
          <w:lang w:val="en-GB"/>
        </w:rPr>
        <w:t>100; remaining &gt;100 [mm].</w:t>
      </w:r>
    </w:p>
    <w:p w14:paraId="5C5212D6" w14:textId="77777777" w:rsidR="00EE04A7" w:rsidRPr="008640C4" w:rsidRDefault="0023658E" w:rsidP="003367DB">
      <w:pPr>
        <w:ind w:firstLine="284"/>
        <w:rPr>
          <w:lang w:val="en-GB"/>
        </w:rPr>
      </w:pPr>
      <w:r w:rsidRPr="008640C4">
        <w:rPr>
          <w:lang w:val="en-GB"/>
        </w:rPr>
        <w:t xml:space="preserve">Fractional analysis was carried out in the next step to determine the possibility of selecting and using some components and to go to the next step, which is the pre-treatment of waste, i.e. sorting, separation, </w:t>
      </w:r>
      <w:r w:rsidR="00F069F6">
        <w:rPr>
          <w:lang w:val="en-GB"/>
        </w:rPr>
        <w:t xml:space="preserve">and </w:t>
      </w:r>
      <w:r w:rsidRPr="008640C4">
        <w:rPr>
          <w:lang w:val="en-GB"/>
        </w:rPr>
        <w:t>shredding. An</w:t>
      </w:r>
      <w:r w:rsidR="00F069F6">
        <w:rPr>
          <w:lang w:val="en-GB"/>
        </w:rPr>
        <w:t>other</w:t>
      </w:r>
      <w:r w:rsidRPr="008640C4">
        <w:rPr>
          <w:lang w:val="en-GB"/>
        </w:rPr>
        <w:t xml:space="preserve"> advantage of subjecting waste to this procedure is </w:t>
      </w:r>
      <w:r w:rsidR="00F069F6">
        <w:rPr>
          <w:lang w:val="en-GB"/>
        </w:rPr>
        <w:t>separating</w:t>
      </w:r>
      <w:r w:rsidRPr="008640C4">
        <w:rPr>
          <w:lang w:val="en-GB"/>
        </w:rPr>
        <w:t xml:space="preserve"> the fine fraction, e.g.</w:t>
      </w:r>
      <w:r w:rsidR="00F069F6">
        <w:rPr>
          <w:lang w:val="en-GB"/>
        </w:rPr>
        <w:t xml:space="preserve">, ash, </w:t>
      </w:r>
      <w:r w:rsidR="00F069F6">
        <w:rPr>
          <w:lang w:val="en-GB"/>
        </w:rPr>
        <w:lastRenderedPageBreak/>
        <w:t>which is a ballast substance whose fertilising properties deteriorate</w:t>
      </w:r>
      <w:r w:rsidRPr="008640C4">
        <w:rPr>
          <w:lang w:val="en-GB"/>
        </w:rPr>
        <w:t xml:space="preserve">. On the other hand, once separated, ash can be used </w:t>
      </w:r>
      <w:r w:rsidR="00F069F6">
        <w:rPr>
          <w:lang w:val="en-GB"/>
        </w:rPr>
        <w:t>to produce</w:t>
      </w:r>
      <w:r w:rsidRPr="008640C4">
        <w:rPr>
          <w:lang w:val="en-GB"/>
        </w:rPr>
        <w:t xml:space="preserve"> concrete, roads, etc.</w:t>
      </w:r>
    </w:p>
    <w:p w14:paraId="53A98A56" w14:textId="615F0C82" w:rsidR="009D1DF8" w:rsidRPr="008640C4" w:rsidRDefault="006E2614" w:rsidP="003367DB">
      <w:pPr>
        <w:ind w:firstLine="284"/>
        <w:rPr>
          <w:lang w:val="en-GB"/>
        </w:rPr>
      </w:pPr>
      <w:r w:rsidRPr="008640C4">
        <w:rPr>
          <w:b/>
          <w:bCs/>
          <w:lang w:val="en-GB"/>
        </w:rPr>
        <w:t xml:space="preserve">Stage-2. </w:t>
      </w:r>
      <w:proofErr w:type="spellStart"/>
      <w:r w:rsidRPr="008640C4">
        <w:rPr>
          <w:lang w:val="en-GB"/>
        </w:rPr>
        <w:t>Physico</w:t>
      </w:r>
      <w:proofErr w:type="spellEnd"/>
      <w:r w:rsidRPr="008640C4">
        <w:rPr>
          <w:lang w:val="en-GB"/>
        </w:rPr>
        <w:t>-chemical analysis. Susceptibility to biochemical and thermal processes makes it possible to determine the fertili</w:t>
      </w:r>
      <w:r w:rsidR="001F3921">
        <w:rPr>
          <w:lang w:val="en-GB"/>
        </w:rPr>
        <w:t>s</w:t>
      </w:r>
      <w:r w:rsidRPr="008640C4">
        <w:rPr>
          <w:lang w:val="en-GB"/>
        </w:rPr>
        <w:t>ing and fuel properties of waste based on the content of organic matter (% dm), organic carbon (% dm), organic nitrogen (% N dm), organic phosphorus (% P</w:t>
      </w:r>
      <w:r w:rsidRPr="008640C4">
        <w:rPr>
          <w:vertAlign w:val="subscript"/>
          <w:lang w:val="en-GB"/>
        </w:rPr>
        <w:t>2</w:t>
      </w:r>
      <w:r w:rsidRPr="008640C4">
        <w:rPr>
          <w:lang w:val="en-GB"/>
        </w:rPr>
        <w:t>O</w:t>
      </w:r>
      <w:r w:rsidRPr="008640C4">
        <w:rPr>
          <w:vertAlign w:val="subscript"/>
          <w:lang w:val="en-GB"/>
        </w:rPr>
        <w:t>5</w:t>
      </w:r>
      <w:r w:rsidRPr="008640C4">
        <w:rPr>
          <w:lang w:val="en-GB"/>
        </w:rPr>
        <w:t xml:space="preserve"> </w:t>
      </w:r>
      <w:proofErr w:type="spellStart"/>
      <w:r w:rsidRPr="008640C4">
        <w:rPr>
          <w:lang w:val="en-GB"/>
        </w:rPr>
        <w:t>sm</w:t>
      </w:r>
      <w:proofErr w:type="spellEnd"/>
      <w:r w:rsidRPr="008640C4">
        <w:rPr>
          <w:lang w:val="en-GB"/>
        </w:rPr>
        <w:t>), organic potassium (%</w:t>
      </w:r>
      <w:r w:rsidR="00274081">
        <w:rPr>
          <w:lang w:val="en-GB"/>
        </w:rPr>
        <w:t> </w:t>
      </w:r>
      <w:r w:rsidRPr="008640C4">
        <w:rPr>
          <w:lang w:val="en-GB"/>
        </w:rPr>
        <w:t>K</w:t>
      </w:r>
      <w:r w:rsidRPr="008640C4">
        <w:rPr>
          <w:vertAlign w:val="subscript"/>
          <w:lang w:val="en-GB"/>
        </w:rPr>
        <w:t>2</w:t>
      </w:r>
      <w:r w:rsidRPr="008640C4">
        <w:rPr>
          <w:lang w:val="en-GB"/>
        </w:rPr>
        <w:t xml:space="preserve">O </w:t>
      </w:r>
      <w:proofErr w:type="spellStart"/>
      <w:r w:rsidRPr="008640C4">
        <w:rPr>
          <w:lang w:val="en-GB"/>
        </w:rPr>
        <w:t>sm</w:t>
      </w:r>
      <w:proofErr w:type="spellEnd"/>
      <w:r w:rsidRPr="008640C4">
        <w:rPr>
          <w:lang w:val="en-GB"/>
        </w:rPr>
        <w:t>). Based on the results of these tests, it was determined whether waste from a given area is susceptible to biochemical transformations. Good fuel properties are possessed by such municipal waste, which is characteri</w:t>
      </w:r>
      <w:r w:rsidR="001F3921">
        <w:rPr>
          <w:lang w:val="en-GB"/>
        </w:rPr>
        <w:t>s</w:t>
      </w:r>
      <w:r w:rsidRPr="008640C4">
        <w:rPr>
          <w:lang w:val="en-GB"/>
        </w:rPr>
        <w:t>ed by low humidity and low content of non-combustible elements. The recommended calorific value is &gt;7000 [kJ/kg]. The greater the amount of paper and plastics, and at the same time</w:t>
      </w:r>
      <w:r w:rsidR="00F069F6">
        <w:rPr>
          <w:lang w:val="en-GB"/>
        </w:rPr>
        <w:t>,</w:t>
      </w:r>
      <w:r w:rsidRPr="008640C4">
        <w:rPr>
          <w:lang w:val="en-GB"/>
        </w:rPr>
        <w:t xml:space="preserve"> the smaller the amount of mineral fraction, the higher the calorific value of the waste.</w:t>
      </w:r>
    </w:p>
    <w:p w14:paraId="2A2CE2FB" w14:textId="77777777" w:rsidR="00C56B26" w:rsidRPr="008640C4" w:rsidRDefault="00567BA8" w:rsidP="003367DB">
      <w:pPr>
        <w:ind w:firstLine="284"/>
        <w:rPr>
          <w:lang w:val="en-GB"/>
        </w:rPr>
      </w:pPr>
      <w:r w:rsidRPr="008640C4">
        <w:rPr>
          <w:b/>
          <w:bCs/>
          <w:lang w:val="en-GB"/>
        </w:rPr>
        <w:t xml:space="preserve">Stage-3. </w:t>
      </w:r>
      <w:r w:rsidRPr="008640C4">
        <w:rPr>
          <w:lang w:val="en-GB"/>
        </w:rPr>
        <w:t xml:space="preserve">Morphological analysis. Waste is divided into individual streams </w:t>
      </w:r>
      <w:r w:rsidR="00CF3C4D" w:rsidRPr="008640C4">
        <w:rPr>
          <w:lang w:val="en-GB"/>
        </w:rPr>
        <w:t>–</w:t>
      </w:r>
      <w:r w:rsidRPr="008640C4">
        <w:rPr>
          <w:lang w:val="en-GB"/>
        </w:rPr>
        <w:t xml:space="preserve"> types of waste. Such testing is </w:t>
      </w:r>
      <w:r w:rsidR="00F069F6">
        <w:rPr>
          <w:lang w:val="en-GB"/>
        </w:rPr>
        <w:t>essential</w:t>
      </w:r>
      <w:r w:rsidRPr="008640C4">
        <w:rPr>
          <w:lang w:val="en-GB"/>
        </w:rPr>
        <w:t xml:space="preserve"> because it carries information about the possibility of recycling, </w:t>
      </w:r>
      <w:r w:rsidR="00F069F6">
        <w:rPr>
          <w:lang w:val="en-GB"/>
        </w:rPr>
        <w:t>the suitability for particular processing methods, and</w:t>
      </w:r>
      <w:r w:rsidRPr="008640C4">
        <w:rPr>
          <w:lang w:val="en-GB"/>
        </w:rPr>
        <w:t xml:space="preserve"> returning raw materials to production. These tests are performed manually on a sorting table.</w:t>
      </w:r>
    </w:p>
    <w:p w14:paraId="170C7394" w14:textId="77777777" w:rsidR="0024449C" w:rsidRPr="00274081" w:rsidRDefault="0069595F" w:rsidP="003367DB">
      <w:pPr>
        <w:ind w:firstLine="284"/>
        <w:rPr>
          <w:lang w:val="en-GB"/>
        </w:rPr>
      </w:pPr>
      <w:r w:rsidRPr="00C0038A">
        <w:rPr>
          <w:spacing w:val="-4"/>
          <w:lang w:val="en-GB"/>
        </w:rPr>
        <w:t>The following morphological components of waste, i.e. fractions, are distinguished: F1</w:t>
      </w:r>
      <w:r w:rsidR="00CF3C4D" w:rsidRPr="00C0038A">
        <w:rPr>
          <w:bCs/>
          <w:spacing w:val="-4"/>
          <w:lang w:val="en-GB"/>
        </w:rPr>
        <w:t xml:space="preserve"> – </w:t>
      </w:r>
      <w:r w:rsidRPr="00C0038A">
        <w:rPr>
          <w:spacing w:val="-4"/>
          <w:lang w:val="en-GB"/>
        </w:rPr>
        <w:t>paper and cardboard;</w:t>
      </w:r>
      <w:r w:rsidRPr="00C0038A">
        <w:rPr>
          <w:lang w:val="en-GB"/>
        </w:rPr>
        <w:t xml:space="preserve"> F2</w:t>
      </w:r>
      <w:r w:rsidR="00CF3C4D" w:rsidRPr="00C0038A">
        <w:rPr>
          <w:bCs/>
          <w:lang w:val="en-GB"/>
        </w:rPr>
        <w:t xml:space="preserve"> – </w:t>
      </w:r>
      <w:r w:rsidRPr="00C0038A">
        <w:rPr>
          <w:lang w:val="en-GB"/>
        </w:rPr>
        <w:t>plastics; F3</w:t>
      </w:r>
      <w:r w:rsidR="00CF3C4D" w:rsidRPr="00C0038A">
        <w:rPr>
          <w:bCs/>
          <w:lang w:val="en-GB"/>
        </w:rPr>
        <w:t xml:space="preserve"> – </w:t>
      </w:r>
      <w:r w:rsidRPr="00C0038A">
        <w:rPr>
          <w:lang w:val="en-GB"/>
        </w:rPr>
        <w:t>textiles; F4</w:t>
      </w:r>
      <w:r w:rsidR="00CF3C4D" w:rsidRPr="00C0038A">
        <w:rPr>
          <w:bCs/>
          <w:lang w:val="en-GB"/>
        </w:rPr>
        <w:t xml:space="preserve"> – </w:t>
      </w:r>
      <w:r w:rsidRPr="00C0038A">
        <w:rPr>
          <w:lang w:val="en-GB"/>
        </w:rPr>
        <w:t>glass; F5</w:t>
      </w:r>
      <w:r w:rsidR="00CF3C4D" w:rsidRPr="00C0038A">
        <w:rPr>
          <w:bCs/>
          <w:lang w:val="en-GB"/>
        </w:rPr>
        <w:t xml:space="preserve"> – </w:t>
      </w:r>
      <w:r w:rsidRPr="00C0038A">
        <w:rPr>
          <w:lang w:val="en-GB"/>
        </w:rPr>
        <w:t>organic waste; F6</w:t>
      </w:r>
      <w:r w:rsidR="00CF3C4D" w:rsidRPr="00C0038A">
        <w:rPr>
          <w:bCs/>
          <w:lang w:val="en-GB"/>
        </w:rPr>
        <w:t xml:space="preserve"> – </w:t>
      </w:r>
      <w:r w:rsidRPr="00C0038A">
        <w:rPr>
          <w:lang w:val="en-GB"/>
        </w:rPr>
        <w:t>metals; F7</w:t>
      </w:r>
      <w:r w:rsidR="00CF3C4D" w:rsidRPr="00C0038A">
        <w:rPr>
          <w:bCs/>
          <w:lang w:val="en-GB"/>
        </w:rPr>
        <w:t xml:space="preserve"> – </w:t>
      </w:r>
      <w:r w:rsidRPr="00C0038A">
        <w:rPr>
          <w:lang w:val="en-GB"/>
        </w:rPr>
        <w:t>hazardous waste;</w:t>
      </w:r>
      <w:r w:rsidRPr="00274081">
        <w:rPr>
          <w:lang w:val="en-GB"/>
        </w:rPr>
        <w:t xml:space="preserve"> F8</w:t>
      </w:r>
      <w:r w:rsidR="00CF3C4D" w:rsidRPr="00274081">
        <w:rPr>
          <w:bCs/>
          <w:lang w:val="en-GB"/>
        </w:rPr>
        <w:t xml:space="preserve"> – </w:t>
      </w:r>
      <w:r w:rsidRPr="00274081">
        <w:rPr>
          <w:lang w:val="en-GB"/>
        </w:rPr>
        <w:t>wood; F9</w:t>
      </w:r>
      <w:r w:rsidR="00CF3C4D" w:rsidRPr="00274081">
        <w:rPr>
          <w:bCs/>
          <w:lang w:val="en-GB"/>
        </w:rPr>
        <w:t xml:space="preserve"> – </w:t>
      </w:r>
      <w:r w:rsidRPr="00274081">
        <w:rPr>
          <w:lang w:val="en-GB"/>
        </w:rPr>
        <w:t>composite; F10</w:t>
      </w:r>
      <w:r w:rsidR="00CF3C4D" w:rsidRPr="00274081">
        <w:rPr>
          <w:bCs/>
          <w:lang w:val="en-GB"/>
        </w:rPr>
        <w:t xml:space="preserve"> – </w:t>
      </w:r>
      <w:r w:rsidRPr="00274081">
        <w:rPr>
          <w:lang w:val="en-GB"/>
        </w:rPr>
        <w:t>inert waste.</w:t>
      </w:r>
    </w:p>
    <w:p w14:paraId="53BAB7AD" w14:textId="77777777" w:rsidR="00C56B26" w:rsidRPr="008640C4" w:rsidRDefault="004C4365" w:rsidP="003367DB">
      <w:pPr>
        <w:ind w:firstLine="284"/>
        <w:rPr>
          <w:lang w:val="en-GB"/>
        </w:rPr>
      </w:pPr>
      <w:r w:rsidRPr="008640C4">
        <w:rPr>
          <w:lang w:val="en-GB"/>
        </w:rPr>
        <w:t>The computeri</w:t>
      </w:r>
      <w:r w:rsidR="001F3921">
        <w:rPr>
          <w:lang w:val="en-GB"/>
        </w:rPr>
        <w:t>s</w:t>
      </w:r>
      <w:r w:rsidRPr="008640C4">
        <w:rPr>
          <w:lang w:val="en-GB"/>
        </w:rPr>
        <w:t>ed waste database enables reliable formulation of a waste management plan</w:t>
      </w:r>
      <w:r w:rsidR="00F069F6">
        <w:rPr>
          <w:lang w:val="en-GB"/>
        </w:rPr>
        <w:t>,</w:t>
      </w:r>
      <w:r w:rsidRPr="008640C4">
        <w:rPr>
          <w:lang w:val="en-GB"/>
        </w:rPr>
        <w:t xml:space="preserve"> selection of the best </w:t>
      </w:r>
      <w:r w:rsidR="00F069F6">
        <w:rPr>
          <w:lang w:val="en-GB"/>
        </w:rPr>
        <w:t>waste disposal methods</w:t>
      </w:r>
      <w:r w:rsidRPr="008640C4">
        <w:rPr>
          <w:lang w:val="en-GB"/>
        </w:rPr>
        <w:t xml:space="preserve"> and is conducive to designing an effective process of selective collection. For this purpose, quantitative and qualitative tests shall </w:t>
      </w:r>
      <w:r w:rsidR="00F069F6">
        <w:rPr>
          <w:lang w:val="en-GB"/>
        </w:rPr>
        <w:t>follow</w:t>
      </w:r>
      <w:r w:rsidRPr="008640C4">
        <w:rPr>
          <w:lang w:val="en-GB"/>
        </w:rPr>
        <w:t xml:space="preserve"> standards on how the samples are prepared and taken and how the composition and individual components are determined. In addition, knowledge of </w:t>
      </w:r>
      <w:r w:rsidR="00F069F6">
        <w:rPr>
          <w:lang w:val="en-GB"/>
        </w:rPr>
        <w:t>waste's quantity, properties and morphology</w:t>
      </w:r>
      <w:r w:rsidRPr="008640C4">
        <w:rPr>
          <w:lang w:val="en-GB"/>
        </w:rPr>
        <w:t xml:space="preserve"> allows for a reliable valuation of waste management services. Research can be the basis for developing reliable, long-term forecasts regarding the amount and type of waste generated in a given area (zone). Forecasts are a very important factor when it comes to city development projects or the implementation of an effective waste disposal system, e.g. the introduction of the EU law (The Single-Use Plastics Directive, effective since 19-07-2021) could be predicted, but the waste that appeared due to the covid pandemic could not.</w:t>
      </w:r>
    </w:p>
    <w:p w14:paraId="3D25498E" w14:textId="77777777" w:rsidR="00A822FC" w:rsidRPr="008640C4" w:rsidRDefault="003367DB" w:rsidP="003367DB">
      <w:pPr>
        <w:pStyle w:val="Rn1"/>
        <w:rPr>
          <w:lang w:val="en-GB"/>
        </w:rPr>
      </w:pPr>
      <w:r w:rsidRPr="008640C4">
        <w:rPr>
          <w:lang w:val="en-GB"/>
        </w:rPr>
        <w:t xml:space="preserve">4. </w:t>
      </w:r>
      <w:bookmarkStart w:id="8" w:name="_Toc421598219"/>
      <w:r w:rsidR="001A534D" w:rsidRPr="008640C4">
        <w:rPr>
          <w:lang w:val="en-GB"/>
        </w:rPr>
        <w:t>Wroclaw</w:t>
      </w:r>
      <w:r w:rsidR="00AB5FAE" w:rsidRPr="008640C4">
        <w:rPr>
          <w:lang w:val="en-GB"/>
        </w:rPr>
        <w:t xml:space="preserve"> </w:t>
      </w:r>
      <w:r w:rsidR="00876031">
        <w:rPr>
          <w:lang w:val="en-GB"/>
        </w:rPr>
        <w:t>W</w:t>
      </w:r>
      <w:r w:rsidR="00AB5FAE" w:rsidRPr="008640C4">
        <w:rPr>
          <w:lang w:val="en-GB"/>
        </w:rPr>
        <w:t xml:space="preserve">aste </w:t>
      </w:r>
      <w:r w:rsidR="00876031">
        <w:rPr>
          <w:lang w:val="en-GB"/>
        </w:rPr>
        <w:t>S</w:t>
      </w:r>
      <w:r w:rsidR="00AB5FAE" w:rsidRPr="008640C4">
        <w:rPr>
          <w:lang w:val="en-GB"/>
        </w:rPr>
        <w:t>tudy</w:t>
      </w:r>
      <w:bookmarkEnd w:id="8"/>
    </w:p>
    <w:p w14:paraId="5A83A107" w14:textId="77777777" w:rsidR="00C765A1" w:rsidRPr="008640C4" w:rsidRDefault="00A830DD" w:rsidP="002538A8">
      <w:pPr>
        <w:ind w:firstLine="284"/>
        <w:rPr>
          <w:lang w:val="en-GB"/>
        </w:rPr>
      </w:pPr>
      <w:r w:rsidRPr="008640C4">
        <w:rPr>
          <w:lang w:val="en-GB"/>
        </w:rPr>
        <w:t xml:space="preserve">The </w:t>
      </w:r>
      <w:r w:rsidR="001A534D" w:rsidRPr="008640C4">
        <w:rPr>
          <w:lang w:val="en-GB"/>
        </w:rPr>
        <w:t>Wroclaw</w:t>
      </w:r>
      <w:r w:rsidRPr="008640C4">
        <w:rPr>
          <w:lang w:val="en-GB"/>
        </w:rPr>
        <w:t xml:space="preserve"> Waste Study resulted in the collection of a large amount of </w:t>
      </w:r>
      <w:r w:rsidR="00F069F6">
        <w:rPr>
          <w:lang w:val="en-GB"/>
        </w:rPr>
        <w:t>municipal waste management data in</w:t>
      </w:r>
      <w:r w:rsidRPr="008640C4">
        <w:rPr>
          <w:lang w:val="en-GB"/>
        </w:rPr>
        <w:t xml:space="preserve"> 1998</w:t>
      </w:r>
      <w:r w:rsidR="008640C4">
        <w:rPr>
          <w:lang w:val="en-GB"/>
        </w:rPr>
        <w:t>-</w:t>
      </w:r>
      <w:r w:rsidRPr="008640C4">
        <w:rPr>
          <w:lang w:val="en-GB"/>
        </w:rPr>
        <w:t>2018</w:t>
      </w:r>
      <w:r w:rsidR="00705D65" w:rsidRPr="008640C4">
        <w:rPr>
          <w:lang w:val="en-GB"/>
        </w:rPr>
        <w:t xml:space="preserve"> (</w:t>
      </w:r>
      <w:r w:rsidRPr="008640C4">
        <w:rPr>
          <w:lang w:val="en-GB"/>
        </w:rPr>
        <w:t>Fig</w:t>
      </w:r>
      <w:r w:rsidR="00705D65" w:rsidRPr="008640C4">
        <w:rPr>
          <w:lang w:val="en-GB"/>
        </w:rPr>
        <w:t>ure</w:t>
      </w:r>
      <w:r w:rsidRPr="008640C4">
        <w:rPr>
          <w:lang w:val="en-GB"/>
        </w:rPr>
        <w:t xml:space="preserve"> </w:t>
      </w:r>
      <w:r w:rsidR="00705D65" w:rsidRPr="008640C4">
        <w:rPr>
          <w:lang w:val="en-GB"/>
        </w:rPr>
        <w:t>1)</w:t>
      </w:r>
      <w:r w:rsidRPr="008640C4">
        <w:rPr>
          <w:lang w:val="en-GB"/>
        </w:rPr>
        <w:t>.</w:t>
      </w:r>
    </w:p>
    <w:p w14:paraId="06C57E96" w14:textId="77777777" w:rsidR="000C1DB1" w:rsidRPr="008640C4" w:rsidRDefault="000C1DB1" w:rsidP="009E3616">
      <w:pPr>
        <w:rPr>
          <w:lang w:val="en-GB"/>
        </w:rPr>
      </w:pPr>
    </w:p>
    <w:p w14:paraId="6195E954" w14:textId="77777777" w:rsidR="003510B3" w:rsidRPr="008640C4" w:rsidRDefault="002E6D50" w:rsidP="002279F2">
      <w:pPr>
        <w:pStyle w:val="Obrazek-podspodem"/>
        <w:rPr>
          <w:lang w:val="en-GB"/>
        </w:rPr>
      </w:pPr>
      <w:r>
        <w:rPr>
          <w:noProof/>
        </w:rPr>
        <w:drawing>
          <wp:inline distT="0" distB="0" distL="0" distR="0" wp14:anchorId="4DC44C76" wp14:editId="40B941B0">
            <wp:extent cx="3130263" cy="1980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0263" cy="1980000"/>
                    </a:xfrm>
                    <a:prstGeom prst="rect">
                      <a:avLst/>
                    </a:prstGeom>
                    <a:noFill/>
                  </pic:spPr>
                </pic:pic>
              </a:graphicData>
            </a:graphic>
          </wp:inline>
        </w:drawing>
      </w:r>
    </w:p>
    <w:p w14:paraId="4F251521" w14:textId="09230698" w:rsidR="000C1DB1" w:rsidRPr="008640C4" w:rsidRDefault="00705D65" w:rsidP="003367DB">
      <w:pPr>
        <w:pStyle w:val="Rrys"/>
        <w:rPr>
          <w:lang w:val="en-GB"/>
        </w:rPr>
      </w:pPr>
      <w:r w:rsidRPr="008640C4">
        <w:rPr>
          <w:b/>
          <w:bCs/>
          <w:lang w:val="en-GB"/>
        </w:rPr>
        <w:t xml:space="preserve">Fig. </w:t>
      </w:r>
      <w:r w:rsidR="00D81B25" w:rsidRPr="008640C4">
        <w:rPr>
          <w:b/>
          <w:bCs/>
          <w:lang w:val="en-GB"/>
        </w:rPr>
        <w:fldChar w:fldCharType="begin"/>
      </w:r>
      <w:r w:rsidRPr="008640C4">
        <w:rPr>
          <w:b/>
          <w:bCs/>
          <w:lang w:val="en-GB"/>
        </w:rPr>
        <w:instrText xml:space="preserve"> SEQ obrazek \* ARABIC </w:instrText>
      </w:r>
      <w:r w:rsidR="00D81B25" w:rsidRPr="008640C4">
        <w:rPr>
          <w:b/>
          <w:bCs/>
          <w:lang w:val="en-GB"/>
        </w:rPr>
        <w:fldChar w:fldCharType="separate"/>
      </w:r>
      <w:r w:rsidR="00F04983">
        <w:rPr>
          <w:b/>
          <w:bCs/>
          <w:noProof/>
          <w:lang w:val="en-GB"/>
        </w:rPr>
        <w:t>1</w:t>
      </w:r>
      <w:r w:rsidR="00D81B25" w:rsidRPr="008640C4">
        <w:rPr>
          <w:b/>
          <w:bCs/>
          <w:lang w:val="en-GB"/>
        </w:rPr>
        <w:fldChar w:fldCharType="end"/>
      </w:r>
      <w:r w:rsidRPr="008640C4">
        <w:rPr>
          <w:b/>
          <w:bCs/>
          <w:lang w:val="en-GB"/>
        </w:rPr>
        <w:t>.</w:t>
      </w:r>
      <w:r w:rsidR="000C1DB1" w:rsidRPr="008640C4">
        <w:rPr>
          <w:lang w:val="en-GB"/>
        </w:rPr>
        <w:t xml:space="preserve"> Amount of municipal waste generated in </w:t>
      </w:r>
      <w:r w:rsidR="001A534D" w:rsidRPr="008640C4">
        <w:rPr>
          <w:lang w:val="en-GB"/>
        </w:rPr>
        <w:t>Wroclaw</w:t>
      </w:r>
    </w:p>
    <w:p w14:paraId="5CA8761E" w14:textId="77777777" w:rsidR="003367DB" w:rsidRPr="008640C4" w:rsidRDefault="003367DB" w:rsidP="003367DB">
      <w:pPr>
        <w:ind w:firstLine="284"/>
        <w:rPr>
          <w:lang w:val="en-GB"/>
        </w:rPr>
      </w:pPr>
    </w:p>
    <w:p w14:paraId="45C842A7" w14:textId="77777777" w:rsidR="008C74C3" w:rsidRPr="008640C4" w:rsidRDefault="00487E3D" w:rsidP="003367DB">
      <w:pPr>
        <w:ind w:firstLine="284"/>
        <w:rPr>
          <w:lang w:val="en-GB"/>
        </w:rPr>
      </w:pPr>
      <w:r w:rsidRPr="008640C4">
        <w:rPr>
          <w:lang w:val="en-GB"/>
        </w:rPr>
        <w:t xml:space="preserve">A </w:t>
      </w:r>
      <w:r w:rsidR="00F069F6">
        <w:rPr>
          <w:lang w:val="en-GB"/>
        </w:rPr>
        <w:t>substantial</w:t>
      </w:r>
      <w:r w:rsidRPr="008640C4">
        <w:rPr>
          <w:lang w:val="en-GB"/>
        </w:rPr>
        <w:t xml:space="preserve"> amount of waste was recorded in </w:t>
      </w:r>
      <w:r w:rsidR="001A534D" w:rsidRPr="008640C4">
        <w:rPr>
          <w:lang w:val="en-GB"/>
        </w:rPr>
        <w:t>Wroclaw</w:t>
      </w:r>
      <w:r w:rsidRPr="008640C4">
        <w:rPr>
          <w:lang w:val="en-GB"/>
        </w:rPr>
        <w:t xml:space="preserve"> during the research period. The annual amount was around 540</w:t>
      </w:r>
      <w:r w:rsidR="00F069F6">
        <w:rPr>
          <w:lang w:val="en-GB"/>
        </w:rPr>
        <w:t>,</w:t>
      </w:r>
      <w:r w:rsidRPr="008640C4">
        <w:rPr>
          <w:lang w:val="en-GB"/>
        </w:rPr>
        <w:t xml:space="preserve">000 [Mg]. In the 1998 timeline, this gigantic amount of waste was caused by the </w:t>
      </w:r>
      <w:r w:rsidR="00F069F6">
        <w:rPr>
          <w:lang w:val="en-GB"/>
        </w:rPr>
        <w:t>millennium flood</w:t>
      </w:r>
      <w:r w:rsidRPr="008640C4">
        <w:rPr>
          <w:lang w:val="en-GB"/>
        </w:rPr>
        <w:t xml:space="preserve"> that hit parts of Poland, including Wroclaw. The scale of the damage is indicated by the fact that it was estimated at PLN 12 billion (flood of 1000 years). After the flood subsided, the population began </w:t>
      </w:r>
      <w:r w:rsidR="00F069F6">
        <w:rPr>
          <w:lang w:val="en-GB"/>
        </w:rPr>
        <w:t>slowly removing</w:t>
      </w:r>
      <w:r w:rsidRPr="008640C4">
        <w:rPr>
          <w:lang w:val="en-GB"/>
        </w:rPr>
        <w:t xml:space="preserve"> the damaged things. Heaps of garbage were piled up in the streets, squares or the interiors between blocks of flats. The research results document that it took about 2.5 years to remove/dispose of this waste. Moreover, incidentally, </w:t>
      </w:r>
      <w:r w:rsidR="00F069F6">
        <w:rPr>
          <w:lang w:val="en-GB"/>
        </w:rPr>
        <w:t>waste collection</w:t>
      </w:r>
      <w:r w:rsidRPr="008640C4">
        <w:rPr>
          <w:lang w:val="en-GB"/>
        </w:rPr>
        <w:t xml:space="preserve"> at that time was suspended for technological reasons involving the operation of RIPOK, MPSZOK (landfills).</w:t>
      </w:r>
      <w:r w:rsidR="00FD4A7D">
        <w:rPr>
          <w:lang w:val="en-GB"/>
        </w:rPr>
        <w:t xml:space="preserve"> </w:t>
      </w:r>
      <w:r w:rsidR="00FD4A7D" w:rsidRPr="00FD4A7D">
        <w:rPr>
          <w:lang w:val="en-GB"/>
        </w:rPr>
        <w:t>PSZOK is a Point of Selective Collection of Municipal Waste. RIPOK is a Regional Installation for Processing Municipal Waste – these acronyms are found later in the article.</w:t>
      </w:r>
    </w:p>
    <w:p w14:paraId="2EB1CDC5" w14:textId="633C90D1" w:rsidR="006C7863" w:rsidRPr="008640C4" w:rsidRDefault="00F45321" w:rsidP="003367DB">
      <w:pPr>
        <w:ind w:firstLine="284"/>
        <w:rPr>
          <w:lang w:val="en-GB"/>
        </w:rPr>
      </w:pPr>
      <w:r w:rsidRPr="008640C4">
        <w:rPr>
          <w:lang w:val="en-GB"/>
        </w:rPr>
        <w:lastRenderedPageBreak/>
        <w:t xml:space="preserve">A characteristic point on the chart is 2005. At that time, a sharp increase in waste </w:t>
      </w:r>
      <w:r w:rsidR="00F069F6" w:rsidRPr="008640C4">
        <w:rPr>
          <w:lang w:val="en-GB"/>
        </w:rPr>
        <w:t xml:space="preserve">amount </w:t>
      </w:r>
      <w:r w:rsidRPr="008640C4">
        <w:rPr>
          <w:lang w:val="en-GB"/>
        </w:rPr>
        <w:t xml:space="preserve">was recorded. It was "built" by high economic growth </w:t>
      </w:r>
      <w:r w:rsidR="00CF3C4D" w:rsidRPr="008640C4">
        <w:rPr>
          <w:lang w:val="en-GB"/>
        </w:rPr>
        <w:t>–</w:t>
      </w:r>
      <w:r w:rsidRPr="008640C4">
        <w:rPr>
          <w:lang w:val="en-GB"/>
        </w:rPr>
        <w:t xml:space="preserve"> </w:t>
      </w:r>
      <w:r w:rsidR="00F069F6">
        <w:rPr>
          <w:lang w:val="en-GB"/>
        </w:rPr>
        <w:t>approximately 5.3%</w:t>
      </w:r>
      <w:r w:rsidR="00C0038A">
        <w:rPr>
          <w:lang w:val="en-GB"/>
        </w:rPr>
        <w:t xml:space="preserve"> –</w:t>
      </w:r>
      <w:r w:rsidR="00F069F6">
        <w:rPr>
          <w:lang w:val="en-GB"/>
        </w:rPr>
        <w:t xml:space="preserve"> caused by Poland's accession to the EU in May 2004.</w:t>
      </w:r>
      <w:r w:rsidRPr="008640C4">
        <w:rPr>
          <w:lang w:val="en-GB"/>
        </w:rPr>
        <w:t xml:space="preserve"> The improvement of the market situation also contributed to the increase in income. At that time, many </w:t>
      </w:r>
      <w:r w:rsidR="001A534D" w:rsidRPr="008640C4">
        <w:rPr>
          <w:lang w:val="en-GB"/>
        </w:rPr>
        <w:t>Wroclaw</w:t>
      </w:r>
      <w:r w:rsidRPr="008640C4">
        <w:rPr>
          <w:lang w:val="en-GB"/>
        </w:rPr>
        <w:t xml:space="preserve"> residents took advantage of a housing/consumer loan </w:t>
      </w:r>
      <w:r w:rsidR="00CF3C4D" w:rsidRPr="008640C4">
        <w:rPr>
          <w:lang w:val="en-GB"/>
        </w:rPr>
        <w:t>–</w:t>
      </w:r>
      <w:r w:rsidRPr="008640C4">
        <w:rPr>
          <w:lang w:val="en-GB"/>
        </w:rPr>
        <w:t xml:space="preserve">confirmed by the data of the Statistical Office in </w:t>
      </w:r>
      <w:r w:rsidR="001A534D" w:rsidRPr="008640C4">
        <w:rPr>
          <w:lang w:val="en-GB"/>
        </w:rPr>
        <w:t>Wroclaw</w:t>
      </w:r>
      <w:r w:rsidRPr="008640C4">
        <w:rPr>
          <w:lang w:val="en-GB"/>
        </w:rPr>
        <w:t xml:space="preserve">: an increase </w:t>
      </w:r>
      <w:r w:rsidR="00F069F6">
        <w:rPr>
          <w:lang w:val="en-GB"/>
        </w:rPr>
        <w:t>of</w:t>
      </w:r>
      <w:r w:rsidRPr="008640C4">
        <w:rPr>
          <w:lang w:val="en-GB"/>
        </w:rPr>
        <w:t xml:space="preserve"> 19% in nominal terms in 2005. At the same time, the prices of consumer goods and services fell to a very low level during this period. Summing up, 2005 was a year of consumption </w:t>
      </w:r>
      <w:r w:rsidR="00CF3C4D" w:rsidRPr="008640C4">
        <w:rPr>
          <w:lang w:val="en-GB"/>
        </w:rPr>
        <w:t>–</w:t>
      </w:r>
      <w:r w:rsidRPr="008640C4">
        <w:rPr>
          <w:lang w:val="en-GB"/>
        </w:rPr>
        <w:t xml:space="preserve"> that's why there was more municipal waste than usual.</w:t>
      </w:r>
    </w:p>
    <w:p w14:paraId="762FD4E1" w14:textId="77777777" w:rsidR="00A637E6" w:rsidRPr="008640C4" w:rsidRDefault="00F069F6" w:rsidP="003367DB">
      <w:pPr>
        <w:ind w:firstLine="284"/>
        <w:rPr>
          <w:lang w:val="en-GB"/>
        </w:rPr>
      </w:pPr>
      <w:r>
        <w:rPr>
          <w:lang w:val="en-GB"/>
        </w:rPr>
        <w:t>An increase in the municipal waste amount has been recorded again for several years</w:t>
      </w:r>
      <w:r w:rsidR="00A637E6" w:rsidRPr="008640C4">
        <w:rPr>
          <w:lang w:val="en-GB"/>
        </w:rPr>
        <w:t>, and last year</w:t>
      </w:r>
      <w:r>
        <w:rPr>
          <w:lang w:val="en-GB"/>
        </w:rPr>
        <w:t>,</w:t>
      </w:r>
      <w:r w:rsidR="00A637E6" w:rsidRPr="008640C4">
        <w:rPr>
          <w:lang w:val="en-GB"/>
        </w:rPr>
        <w:t xml:space="preserve"> it was a fairly large jump </w:t>
      </w:r>
      <w:r w:rsidR="00CF3C4D" w:rsidRPr="008640C4">
        <w:rPr>
          <w:lang w:val="en-GB"/>
        </w:rPr>
        <w:t>–</w:t>
      </w:r>
      <w:r w:rsidR="00A637E6" w:rsidRPr="008640C4">
        <w:rPr>
          <w:lang w:val="en-GB"/>
        </w:rPr>
        <w:t xml:space="preserve"> comparable to the apogee that occurred in 2005. Perhaps this is due to the general improvement of the economy, a higher standard of living, and, as a result, a gradual increase in consumer lifestyle. The promotion of newer and newer products</w:t>
      </w:r>
      <w:r>
        <w:rPr>
          <w:lang w:val="en-GB"/>
        </w:rPr>
        <w:t xml:space="preserve"> and the principles of marketing even impose the use of unusual packaging to attract</w:t>
      </w:r>
      <w:r w:rsidR="00A637E6" w:rsidRPr="008640C4">
        <w:rPr>
          <w:lang w:val="en-GB"/>
        </w:rPr>
        <w:t xml:space="preserve"> the customer's attention. This packaging is often a waste of raw material </w:t>
      </w:r>
      <w:r w:rsidR="00CF3C4D" w:rsidRPr="008640C4">
        <w:rPr>
          <w:lang w:val="en-GB"/>
        </w:rPr>
        <w:t>–</w:t>
      </w:r>
      <w:r w:rsidR="00A637E6" w:rsidRPr="008640C4">
        <w:rPr>
          <w:lang w:val="en-GB"/>
        </w:rPr>
        <w:t xml:space="preserve"> it consists of several layers that are often heavily folded, have futuristic shapes and are oversized to give the impression that they contain more product. There are more and more products on the market that are designed for a short life cycle and those that are only disposable. The pace of people's li</w:t>
      </w:r>
      <w:r>
        <w:rPr>
          <w:lang w:val="en-GB"/>
        </w:rPr>
        <w:t>ves</w:t>
      </w:r>
      <w:r w:rsidR="00A637E6" w:rsidRPr="008640C4">
        <w:rPr>
          <w:lang w:val="en-GB"/>
        </w:rPr>
        <w:t xml:space="preserve">, especially those living in large cities, definitely discourages the avoidance of waste generation or its segregation. </w:t>
      </w:r>
      <w:r>
        <w:rPr>
          <w:lang w:val="en-GB"/>
        </w:rPr>
        <w:t>It</w:t>
      </w:r>
      <w:r w:rsidR="00A637E6" w:rsidRPr="008640C4">
        <w:rPr>
          <w:lang w:val="en-GB"/>
        </w:rPr>
        <w:t xml:space="preserve"> is conducive to the trend of increasing the amount of waste.</w:t>
      </w:r>
    </w:p>
    <w:p w14:paraId="2406C589" w14:textId="77777777" w:rsidR="00C674B1" w:rsidRPr="00C0038A" w:rsidRDefault="00B2107B" w:rsidP="003367DB">
      <w:pPr>
        <w:ind w:firstLine="284"/>
        <w:rPr>
          <w:lang w:val="en-GB"/>
        </w:rPr>
      </w:pPr>
      <w:r w:rsidRPr="00C0038A">
        <w:rPr>
          <w:lang w:val="en-GB"/>
        </w:rPr>
        <w:t xml:space="preserve">The number of inhabitants (not growing as intensively as the amount of waste) in a given period </w:t>
      </w:r>
      <w:r w:rsidR="00F069F6" w:rsidRPr="00C0038A">
        <w:rPr>
          <w:lang w:val="en-GB"/>
        </w:rPr>
        <w:t>concerning</w:t>
      </w:r>
      <w:r w:rsidRPr="00C0038A">
        <w:rPr>
          <w:lang w:val="en-GB"/>
        </w:rPr>
        <w:t xml:space="preserve"> the appropriate amount of municipal waste generated allows </w:t>
      </w:r>
      <w:r w:rsidR="00F069F6" w:rsidRPr="00C0038A">
        <w:rPr>
          <w:lang w:val="en-GB"/>
        </w:rPr>
        <w:t xml:space="preserve">us </w:t>
      </w:r>
      <w:r w:rsidRPr="00C0038A">
        <w:rPr>
          <w:lang w:val="en-GB"/>
        </w:rPr>
        <w:t xml:space="preserve">to estimate the amount per inhabitant (Figure </w:t>
      </w:r>
      <w:r w:rsidR="00BE3429" w:rsidRPr="00C0038A">
        <w:rPr>
          <w:lang w:val="en-GB"/>
        </w:rPr>
        <w:t>2</w:t>
      </w:r>
      <w:r w:rsidRPr="00C0038A">
        <w:rPr>
          <w:lang w:val="en-GB"/>
        </w:rPr>
        <w:t>).</w:t>
      </w:r>
    </w:p>
    <w:p w14:paraId="32D4CDBF" w14:textId="77777777" w:rsidR="008742C7" w:rsidRPr="008640C4" w:rsidRDefault="008742C7" w:rsidP="009E3616">
      <w:pPr>
        <w:rPr>
          <w:lang w:val="en-GB"/>
        </w:rPr>
      </w:pPr>
    </w:p>
    <w:p w14:paraId="28E5DBF9" w14:textId="77777777" w:rsidR="00A92D82" w:rsidRPr="008640C4" w:rsidRDefault="006B75FC" w:rsidP="002279F2">
      <w:pPr>
        <w:pStyle w:val="Obrazek-podspodem"/>
        <w:rPr>
          <w:lang w:val="en-GB"/>
        </w:rPr>
      </w:pPr>
      <w:r w:rsidRPr="008640C4">
        <w:rPr>
          <w:noProof/>
        </w:rPr>
        <w:drawing>
          <wp:inline distT="0" distB="0" distL="0" distR="0" wp14:anchorId="2FB8E240" wp14:editId="2C6E9265">
            <wp:extent cx="4294505" cy="2647784"/>
            <wp:effectExtent l="0" t="0" r="0"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34B328" w14:textId="6FB07789" w:rsidR="004658EE" w:rsidRPr="008640C4" w:rsidRDefault="00BE3429" w:rsidP="003367DB">
      <w:pPr>
        <w:pStyle w:val="Rrys"/>
        <w:rPr>
          <w:lang w:val="en-GB"/>
        </w:rPr>
      </w:pPr>
      <w:r w:rsidRPr="008640C4">
        <w:rPr>
          <w:b/>
          <w:bCs/>
          <w:lang w:val="en-GB"/>
        </w:rPr>
        <w:t xml:space="preserve">Fig. </w:t>
      </w:r>
      <w:r w:rsidR="00D81B25" w:rsidRPr="008640C4">
        <w:rPr>
          <w:b/>
          <w:bCs/>
          <w:noProof/>
          <w:lang w:val="en-GB"/>
        </w:rPr>
        <w:fldChar w:fldCharType="begin"/>
      </w:r>
      <w:r w:rsidRPr="008640C4">
        <w:rPr>
          <w:b/>
          <w:bCs/>
          <w:noProof/>
          <w:lang w:val="en-GB"/>
        </w:rPr>
        <w:instrText xml:space="preserve"> SEQ obrazek \* ARABIC </w:instrText>
      </w:r>
      <w:r w:rsidR="00D81B25" w:rsidRPr="008640C4">
        <w:rPr>
          <w:b/>
          <w:bCs/>
          <w:noProof/>
          <w:lang w:val="en-GB"/>
        </w:rPr>
        <w:fldChar w:fldCharType="separate"/>
      </w:r>
      <w:r w:rsidR="00F04983">
        <w:rPr>
          <w:b/>
          <w:bCs/>
          <w:noProof/>
          <w:lang w:val="en-GB"/>
        </w:rPr>
        <w:t>2</w:t>
      </w:r>
      <w:r w:rsidR="00D81B25" w:rsidRPr="008640C4">
        <w:rPr>
          <w:b/>
          <w:bCs/>
          <w:noProof/>
          <w:lang w:val="en-GB"/>
        </w:rPr>
        <w:fldChar w:fldCharType="end"/>
      </w:r>
      <w:r w:rsidRPr="008640C4">
        <w:rPr>
          <w:b/>
          <w:bCs/>
          <w:lang w:val="en-GB"/>
        </w:rPr>
        <w:t>.</w:t>
      </w:r>
      <w:r w:rsidR="00807EFC" w:rsidRPr="008640C4">
        <w:rPr>
          <w:lang w:val="en-GB"/>
        </w:rPr>
        <w:t xml:space="preserve"> The amount of municipal waste generated per capita in </w:t>
      </w:r>
      <w:r w:rsidR="001A534D" w:rsidRPr="008640C4">
        <w:rPr>
          <w:lang w:val="en-GB"/>
        </w:rPr>
        <w:t>Wroclaw</w:t>
      </w:r>
      <w:r w:rsidR="00807EFC" w:rsidRPr="008640C4">
        <w:rPr>
          <w:lang w:val="en-GB"/>
        </w:rPr>
        <w:t xml:space="preserve"> in the years 1998</w:t>
      </w:r>
      <w:r w:rsidR="00AC37A7" w:rsidRPr="008640C4">
        <w:rPr>
          <w:lang w:val="en-GB"/>
        </w:rPr>
        <w:t>-</w:t>
      </w:r>
      <w:r w:rsidR="009176D8" w:rsidRPr="008640C4">
        <w:rPr>
          <w:lang w:val="en-GB"/>
        </w:rPr>
        <w:t>2013</w:t>
      </w:r>
    </w:p>
    <w:p w14:paraId="21C9B4E3" w14:textId="77777777" w:rsidR="003367DB" w:rsidRPr="008640C4" w:rsidRDefault="003367DB" w:rsidP="003367DB">
      <w:pPr>
        <w:ind w:firstLine="284"/>
        <w:rPr>
          <w:lang w:val="en-GB"/>
        </w:rPr>
      </w:pPr>
    </w:p>
    <w:p w14:paraId="522D3A83" w14:textId="77777777" w:rsidR="00CD3B29" w:rsidRPr="008640C4" w:rsidRDefault="001C361E" w:rsidP="003367DB">
      <w:pPr>
        <w:ind w:firstLine="284"/>
        <w:rPr>
          <w:lang w:val="en-GB"/>
        </w:rPr>
      </w:pPr>
      <w:r w:rsidRPr="008640C4">
        <w:rPr>
          <w:lang w:val="en-GB"/>
        </w:rPr>
        <w:t xml:space="preserve">The study of the morphology of municipal waste showed the possibility of obtaining and processing fractions suitable for recycling, reducing the amount of waste generated and proposing the most advantageous place to build a landfill and installation. The results of the first research conducted in </w:t>
      </w:r>
      <w:r w:rsidR="001A534D" w:rsidRPr="008640C4">
        <w:rPr>
          <w:lang w:val="en-GB"/>
        </w:rPr>
        <w:t>Wroclaw</w:t>
      </w:r>
      <w:r w:rsidRPr="008640C4">
        <w:rPr>
          <w:lang w:val="en-GB"/>
        </w:rPr>
        <w:t xml:space="preserve"> </w:t>
      </w:r>
      <w:r w:rsidR="00BE3429" w:rsidRPr="008640C4">
        <w:rPr>
          <w:lang w:val="en-GB"/>
        </w:rPr>
        <w:t>(</w:t>
      </w:r>
      <w:r w:rsidRPr="008640C4">
        <w:rPr>
          <w:lang w:val="en-GB"/>
        </w:rPr>
        <w:t xml:space="preserve">Figure </w:t>
      </w:r>
      <w:r w:rsidR="00BE3429" w:rsidRPr="008640C4">
        <w:rPr>
          <w:lang w:val="en-GB"/>
        </w:rPr>
        <w:t>3)</w:t>
      </w:r>
      <w:r w:rsidRPr="008640C4">
        <w:rPr>
          <w:lang w:val="en-GB"/>
        </w:rPr>
        <w:t>.</w:t>
      </w:r>
    </w:p>
    <w:p w14:paraId="2C2A8976" w14:textId="77777777" w:rsidR="00860CF0" w:rsidRPr="008640C4" w:rsidRDefault="00860CF0" w:rsidP="009E3616">
      <w:pPr>
        <w:rPr>
          <w:lang w:val="en-GB"/>
        </w:rPr>
      </w:pPr>
    </w:p>
    <w:p w14:paraId="76E82D7C" w14:textId="77777777" w:rsidR="00D62B41" w:rsidRPr="008640C4" w:rsidRDefault="00860320" w:rsidP="002279F2">
      <w:pPr>
        <w:pStyle w:val="Obrazek-podspodem"/>
        <w:rPr>
          <w:lang w:val="en-GB"/>
        </w:rPr>
      </w:pPr>
      <w:r w:rsidRPr="008640C4">
        <w:rPr>
          <w:noProof/>
        </w:rPr>
        <w:drawing>
          <wp:inline distT="0" distB="0" distL="0" distR="0" wp14:anchorId="5AB35207" wp14:editId="2C5EC19E">
            <wp:extent cx="2711669" cy="1980000"/>
            <wp:effectExtent l="0" t="0" r="12700" b="1270"/>
            <wp:docPr id="1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25E209" w14:textId="33FC3669" w:rsidR="00D62B41" w:rsidRPr="008640C4" w:rsidRDefault="00BE3429" w:rsidP="003367DB">
      <w:pPr>
        <w:pStyle w:val="Rrys"/>
        <w:rPr>
          <w:lang w:val="en-GB"/>
        </w:rPr>
      </w:pPr>
      <w:r w:rsidRPr="008640C4">
        <w:rPr>
          <w:b/>
          <w:bCs/>
          <w:lang w:val="en-GB"/>
        </w:rPr>
        <w:t xml:space="preserve">Fig. </w:t>
      </w:r>
      <w:r w:rsidR="00D81B25" w:rsidRPr="008640C4">
        <w:rPr>
          <w:b/>
          <w:bCs/>
          <w:noProof/>
          <w:lang w:val="en-GB"/>
        </w:rPr>
        <w:fldChar w:fldCharType="begin"/>
      </w:r>
      <w:r w:rsidRPr="008640C4">
        <w:rPr>
          <w:b/>
          <w:bCs/>
          <w:noProof/>
          <w:lang w:val="en-GB"/>
        </w:rPr>
        <w:instrText xml:space="preserve"> SEQ obrazek \* ARABIC </w:instrText>
      </w:r>
      <w:r w:rsidR="00D81B25" w:rsidRPr="008640C4">
        <w:rPr>
          <w:b/>
          <w:bCs/>
          <w:noProof/>
          <w:lang w:val="en-GB"/>
        </w:rPr>
        <w:fldChar w:fldCharType="separate"/>
      </w:r>
      <w:r w:rsidR="00F04983">
        <w:rPr>
          <w:b/>
          <w:bCs/>
          <w:noProof/>
          <w:lang w:val="en-GB"/>
        </w:rPr>
        <w:t>3</w:t>
      </w:r>
      <w:r w:rsidR="00D81B25" w:rsidRPr="008640C4">
        <w:rPr>
          <w:b/>
          <w:bCs/>
          <w:noProof/>
          <w:lang w:val="en-GB"/>
        </w:rPr>
        <w:fldChar w:fldCharType="end"/>
      </w:r>
      <w:r w:rsidRPr="008640C4">
        <w:rPr>
          <w:b/>
          <w:bCs/>
          <w:lang w:val="en-GB"/>
        </w:rPr>
        <w:t>.</w:t>
      </w:r>
      <w:r w:rsidR="003367DB" w:rsidRPr="008640C4">
        <w:rPr>
          <w:b/>
          <w:bCs/>
          <w:lang w:val="en-GB"/>
        </w:rPr>
        <w:t xml:space="preserve"> </w:t>
      </w:r>
      <w:r w:rsidR="00D62B41" w:rsidRPr="008640C4">
        <w:rPr>
          <w:lang w:val="en-GB"/>
        </w:rPr>
        <w:t xml:space="preserve">Research results of the raw material composition of waste from </w:t>
      </w:r>
      <w:r w:rsidR="001A534D" w:rsidRPr="008640C4">
        <w:rPr>
          <w:lang w:val="en-GB"/>
        </w:rPr>
        <w:t>Wroclaw</w:t>
      </w:r>
      <w:r w:rsidR="009176D8" w:rsidRPr="008640C4">
        <w:rPr>
          <w:lang w:val="en-GB"/>
        </w:rPr>
        <w:t>. Data in % by weight</w:t>
      </w:r>
    </w:p>
    <w:p w14:paraId="236C70F3" w14:textId="77777777" w:rsidR="00CD44DD" w:rsidRPr="008640C4" w:rsidRDefault="00F069F6" w:rsidP="003367DB">
      <w:pPr>
        <w:ind w:firstLine="284"/>
        <w:rPr>
          <w:lang w:val="en-GB"/>
        </w:rPr>
      </w:pPr>
      <w:r>
        <w:rPr>
          <w:lang w:val="en-GB"/>
        </w:rPr>
        <w:lastRenderedPageBreak/>
        <w:t>Biodegradable waste generates the largest mass of</w:t>
      </w:r>
      <w:r w:rsidR="00BB50C9" w:rsidRPr="008640C4">
        <w:rPr>
          <w:lang w:val="en-GB"/>
        </w:rPr>
        <w:t xml:space="preserve"> waste. The largest amounts of this fraction can be expected in spring and autumn, as it is caused, among others, by active work in the gardens (mowing grass or collecting leaves). As can be seen, the results of the first morphological analysis from the period 1998</w:t>
      </w:r>
      <w:r w:rsidR="008640C4">
        <w:rPr>
          <w:lang w:val="en-GB"/>
        </w:rPr>
        <w:t>-</w:t>
      </w:r>
      <w:r w:rsidR="00BB50C9" w:rsidRPr="008640C4">
        <w:rPr>
          <w:lang w:val="en-GB"/>
        </w:rPr>
        <w:t>2005 were narrowed down to the main fractions. In subsequent studies, they were extended to other waste streams. Waste was broken down into fractions and sub-fractions because</w:t>
      </w:r>
      <w:r>
        <w:rPr>
          <w:lang w:val="en-GB"/>
        </w:rPr>
        <w:t>,</w:t>
      </w:r>
      <w:r w:rsidR="00BB50C9" w:rsidRPr="008640C4">
        <w:rPr>
          <w:lang w:val="en-GB"/>
        </w:rPr>
        <w:t xml:space="preserve"> over time</w:t>
      </w:r>
      <w:r>
        <w:rPr>
          <w:lang w:val="en-GB"/>
        </w:rPr>
        <w:t>,</w:t>
      </w:r>
      <w:r w:rsidR="00BB50C9" w:rsidRPr="008640C4">
        <w:rPr>
          <w:lang w:val="en-GB"/>
        </w:rPr>
        <w:t xml:space="preserve"> the requirements of RIPOK increased, it was necessary to plan well where and what facility to create and what waste processing techniques should be used.</w:t>
      </w:r>
    </w:p>
    <w:p w14:paraId="1235D1F4" w14:textId="77777777" w:rsidR="00BD66A6" w:rsidRPr="008640C4" w:rsidRDefault="0067438B" w:rsidP="003367DB">
      <w:pPr>
        <w:ind w:firstLine="284"/>
        <w:rPr>
          <w:lang w:val="en-GB"/>
        </w:rPr>
      </w:pPr>
      <w:r w:rsidRPr="008640C4">
        <w:rPr>
          <w:lang w:val="en-GB"/>
        </w:rPr>
        <w:t xml:space="preserve">Conducting the research met with great, kind interest of the inhabitants of </w:t>
      </w:r>
      <w:r w:rsidR="001A534D" w:rsidRPr="008640C4">
        <w:rPr>
          <w:lang w:val="en-GB"/>
        </w:rPr>
        <w:t>Wroclaw</w:t>
      </w:r>
      <w:r w:rsidRPr="008640C4">
        <w:rPr>
          <w:lang w:val="en-GB"/>
        </w:rPr>
        <w:t xml:space="preserve">. Conducting the research met with </w:t>
      </w:r>
      <w:r w:rsidR="00F069F6">
        <w:rPr>
          <w:lang w:val="en-GB"/>
        </w:rPr>
        <w:t>the</w:t>
      </w:r>
      <w:r w:rsidRPr="008640C4">
        <w:rPr>
          <w:lang w:val="en-GB"/>
        </w:rPr>
        <w:t xml:space="preserve"> friendly attitude of the inhabitants of </w:t>
      </w:r>
      <w:r w:rsidR="001A534D" w:rsidRPr="008640C4">
        <w:rPr>
          <w:lang w:val="en-GB"/>
        </w:rPr>
        <w:t>Wroclaw</w:t>
      </w:r>
      <w:r w:rsidRPr="008640C4">
        <w:rPr>
          <w:lang w:val="en-GB"/>
        </w:rPr>
        <w:t xml:space="preserve">, and the idea was born to involve people who would supervise the collection of waste </w:t>
      </w:r>
      <w:r w:rsidR="00F069F6">
        <w:rPr>
          <w:lang w:val="en-GB"/>
        </w:rPr>
        <w:t>daily</w:t>
      </w:r>
      <w:r w:rsidRPr="008640C4">
        <w:rPr>
          <w:lang w:val="en-GB"/>
        </w:rPr>
        <w:t>.</w:t>
      </w:r>
    </w:p>
    <w:p w14:paraId="35C42F8B" w14:textId="77777777" w:rsidR="000A5569" w:rsidRPr="008640C4" w:rsidRDefault="0067438B" w:rsidP="003367DB">
      <w:pPr>
        <w:ind w:firstLine="284"/>
        <w:rPr>
          <w:lang w:val="en-GB"/>
        </w:rPr>
      </w:pPr>
      <w:r w:rsidRPr="008640C4">
        <w:rPr>
          <w:lang w:val="en-GB"/>
        </w:rPr>
        <w:t xml:space="preserve">These people have become known in </w:t>
      </w:r>
      <w:r w:rsidR="001A534D" w:rsidRPr="008640C4">
        <w:rPr>
          <w:lang w:val="en-GB"/>
        </w:rPr>
        <w:t>Wroclaw</w:t>
      </w:r>
      <w:r w:rsidRPr="008640C4">
        <w:rPr>
          <w:lang w:val="en-GB"/>
        </w:rPr>
        <w:t xml:space="preserve"> as "Eco-Keepers". An Eco-Keeper helps residents segregate waste, and thanks to them, more recyclables are recovered</w:t>
      </w:r>
      <w:r w:rsidR="00F069F6">
        <w:rPr>
          <w:lang w:val="en-GB"/>
        </w:rPr>
        <w:t>,</w:t>
      </w:r>
      <w:r w:rsidRPr="008640C4">
        <w:rPr>
          <w:lang w:val="en-GB"/>
        </w:rPr>
        <w:t xml:space="preserve"> and less waste ends up in landfills. An Eco-Keeper in a recogni</w:t>
      </w:r>
      <w:r w:rsidR="001F3921">
        <w:rPr>
          <w:lang w:val="en-GB"/>
        </w:rPr>
        <w:t>s</w:t>
      </w:r>
      <w:r w:rsidRPr="008640C4">
        <w:rPr>
          <w:lang w:val="en-GB"/>
        </w:rPr>
        <w:t xml:space="preserve">able outfit moves around on a bicycle (green transport) between 41 points </w:t>
      </w:r>
      <w:r w:rsidR="00CF3C4D" w:rsidRPr="008640C4">
        <w:rPr>
          <w:bCs/>
          <w:lang w:val="en-GB"/>
        </w:rPr>
        <w:t>–</w:t>
      </w:r>
      <w:r w:rsidRPr="008640C4">
        <w:rPr>
          <w:lang w:val="en-GB"/>
        </w:rPr>
        <w:t xml:space="preserve"> courtyards in the Old Town, visiting selected locations 2</w:t>
      </w:r>
      <w:r w:rsidR="00CF3C4D" w:rsidRPr="008640C4">
        <w:rPr>
          <w:lang w:val="en-GB"/>
        </w:rPr>
        <w:t>-</w:t>
      </w:r>
      <w:r w:rsidRPr="008640C4">
        <w:rPr>
          <w:lang w:val="en-GB"/>
        </w:rPr>
        <w:t>3 times a day.</w:t>
      </w:r>
    </w:p>
    <w:p w14:paraId="4260C049" w14:textId="77777777" w:rsidR="000A5569" w:rsidRPr="008640C4" w:rsidRDefault="000A5569" w:rsidP="003367DB">
      <w:pPr>
        <w:ind w:firstLine="284"/>
        <w:rPr>
          <w:lang w:val="en-GB"/>
        </w:rPr>
      </w:pPr>
      <w:r w:rsidRPr="008640C4">
        <w:rPr>
          <w:lang w:val="en-GB"/>
        </w:rPr>
        <w:t xml:space="preserve">The bicycle shortens the distance between people, </w:t>
      </w:r>
      <w:r w:rsidR="00F069F6">
        <w:rPr>
          <w:lang w:val="en-GB"/>
        </w:rPr>
        <w:t>enabling education (residents ask: how to classify waste) based on open personality, ease of establishing contact</w:t>
      </w:r>
      <w:r w:rsidRPr="008640C4">
        <w:rPr>
          <w:lang w:val="en-GB"/>
        </w:rPr>
        <w:t xml:space="preserve"> with residents. The Eco-Keeper often helps older people with problems taking out the garbage. Eco-Keepers become attached to their areas, and residents to Eco-Keepers.</w:t>
      </w:r>
    </w:p>
    <w:p w14:paraId="14BD93BA" w14:textId="77777777" w:rsidR="000F009D" w:rsidRPr="008640C4" w:rsidRDefault="00B43762" w:rsidP="003367DB">
      <w:pPr>
        <w:ind w:firstLine="284"/>
        <w:rPr>
          <w:lang w:val="en-GB"/>
        </w:rPr>
      </w:pPr>
      <w:r w:rsidRPr="008640C4">
        <w:rPr>
          <w:lang w:val="en-GB"/>
        </w:rPr>
        <w:t>The tasks of the Eco-Keeper include visiting places with bins (boxes, courtyards), checking whether all raw materials have been placed in the appropriate containers, verifying incorrect insertion and placement of bins, looking for bin placement scenarios that favo</w:t>
      </w:r>
      <w:r w:rsidR="00F069F6">
        <w:rPr>
          <w:lang w:val="en-GB"/>
        </w:rPr>
        <w:t>u</w:t>
      </w:r>
      <w:r w:rsidRPr="008640C4">
        <w:rPr>
          <w:lang w:val="en-GB"/>
        </w:rPr>
        <w:t xml:space="preserve">r segregation, adjusting the number of bins and the frequency of emptying to actual needs of the residents. </w:t>
      </w:r>
      <w:r w:rsidR="00F069F6">
        <w:rPr>
          <w:lang w:val="en-GB"/>
        </w:rPr>
        <w:t>It</w:t>
      </w:r>
      <w:r w:rsidRPr="008640C4">
        <w:rPr>
          <w:lang w:val="en-GB"/>
        </w:rPr>
        <w:t xml:space="preserve"> </w:t>
      </w:r>
      <w:r w:rsidR="00F069F6">
        <w:rPr>
          <w:lang w:val="en-GB"/>
        </w:rPr>
        <w:t>increased</w:t>
      </w:r>
      <w:r w:rsidRPr="008640C4">
        <w:rPr>
          <w:lang w:val="en-GB"/>
        </w:rPr>
        <w:t xml:space="preserve"> the number of segregated waste containers </w:t>
      </w:r>
      <w:r w:rsidR="00F069F6">
        <w:rPr>
          <w:lang w:val="en-GB"/>
        </w:rPr>
        <w:t>concerning</w:t>
      </w:r>
      <w:r w:rsidRPr="008640C4">
        <w:rPr>
          <w:lang w:val="en-GB"/>
        </w:rPr>
        <w:t xml:space="preserve"> mixed waste containers. Further conclusions from our surveys from 2016</w:t>
      </w:r>
      <w:r w:rsidR="00AC37A7" w:rsidRPr="008640C4">
        <w:rPr>
          <w:lang w:val="en-GB"/>
        </w:rPr>
        <w:t>-</w:t>
      </w:r>
      <w:r w:rsidRPr="008640C4">
        <w:rPr>
          <w:lang w:val="en-GB"/>
        </w:rPr>
        <w:t xml:space="preserve">2019 indicate that older people are most willing to segregate, while young people care less about order and ecology. Perhaps this is not the effect of the so-called difficult age and renting apartments to students who do not treat their temporary residence </w:t>
      </w:r>
      <w:r w:rsidR="00F069F6">
        <w:rPr>
          <w:lang w:val="en-GB"/>
        </w:rPr>
        <w:t>respectfully</w:t>
      </w:r>
      <w:r w:rsidRPr="008640C4">
        <w:rPr>
          <w:lang w:val="en-GB"/>
        </w:rPr>
        <w:t>. Twice as much plastic, fine metals</w:t>
      </w:r>
      <w:r w:rsidR="00F069F6">
        <w:rPr>
          <w:lang w:val="en-GB"/>
        </w:rPr>
        <w:t>, and tetra-packs were collected from the area where the Eco-Keeper worked as</w:t>
      </w:r>
      <w:r w:rsidRPr="008640C4">
        <w:rPr>
          <w:lang w:val="en-GB"/>
        </w:rPr>
        <w:t xml:space="preserve"> in other parts of the city.</w:t>
      </w:r>
    </w:p>
    <w:p w14:paraId="47D90CEE" w14:textId="77777777" w:rsidR="00B43762" w:rsidRPr="008640C4" w:rsidRDefault="00B43762" w:rsidP="003367DB">
      <w:pPr>
        <w:ind w:firstLine="284"/>
        <w:rPr>
          <w:lang w:val="en-GB"/>
        </w:rPr>
      </w:pPr>
      <w:r w:rsidRPr="008640C4">
        <w:rPr>
          <w:lang w:val="en-GB"/>
        </w:rPr>
        <w:t>In Poland, Eco</w:t>
      </w:r>
      <w:r w:rsidR="003D0C40" w:rsidRPr="008640C4">
        <w:rPr>
          <w:lang w:val="en-GB"/>
        </w:rPr>
        <w:t>-Keepers are only found in Wrocl</w:t>
      </w:r>
      <w:r w:rsidRPr="008640C4">
        <w:rPr>
          <w:lang w:val="en-GB"/>
        </w:rPr>
        <w:t>aw – like a man in a cloak lighting historic gas street lamps or a bugle caller on the Market Square in Kraków.</w:t>
      </w:r>
    </w:p>
    <w:p w14:paraId="6CD1CF70" w14:textId="77777777" w:rsidR="000563C6" w:rsidRPr="008640C4" w:rsidRDefault="000563C6" w:rsidP="003367DB">
      <w:pPr>
        <w:ind w:firstLine="284"/>
        <w:rPr>
          <w:lang w:val="en-GB"/>
        </w:rPr>
      </w:pPr>
      <w:r w:rsidRPr="008640C4">
        <w:rPr>
          <w:lang w:val="en-GB"/>
        </w:rPr>
        <w:t xml:space="preserve">The "When does the truck arrive" smartphone app provides information on the date of collecting waste containers </w:t>
      </w:r>
      <w:r w:rsidR="00F069F6">
        <w:rPr>
          <w:lang w:val="en-GB"/>
        </w:rPr>
        <w:t xml:space="preserve">and </w:t>
      </w:r>
      <w:r w:rsidRPr="008640C4">
        <w:rPr>
          <w:lang w:val="en-GB"/>
        </w:rPr>
        <w:t>unusual waste pick-ups and supports selective waste collection.</w:t>
      </w:r>
    </w:p>
    <w:p w14:paraId="480FF8BE" w14:textId="7B1EEE3B" w:rsidR="00FD7FD3" w:rsidRPr="008640C4" w:rsidRDefault="00D81D03" w:rsidP="003367DB">
      <w:pPr>
        <w:ind w:firstLine="284"/>
        <w:rPr>
          <w:lang w:val="en-GB"/>
        </w:rPr>
      </w:pPr>
      <w:r w:rsidRPr="008640C4">
        <w:rPr>
          <w:lang w:val="en-GB"/>
        </w:rPr>
        <w:t>The introduction of assessment of waste sorting by residents and collection of waste from zones 1-4; from residents who are exemplary</w:t>
      </w:r>
      <w:r w:rsidR="00C0038A">
        <w:rPr>
          <w:lang w:val="en-GB"/>
        </w:rPr>
        <w:t xml:space="preserve"> – </w:t>
      </w:r>
      <w:r w:rsidRPr="008640C4">
        <w:rPr>
          <w:lang w:val="en-GB"/>
        </w:rPr>
        <w:t>3, average</w:t>
      </w:r>
      <w:r w:rsidR="00C0038A">
        <w:rPr>
          <w:lang w:val="en-GB"/>
        </w:rPr>
        <w:t xml:space="preserve"> – </w:t>
      </w:r>
      <w:r w:rsidRPr="008640C4">
        <w:rPr>
          <w:lang w:val="en-GB"/>
        </w:rPr>
        <w:t>2, sufficient</w:t>
      </w:r>
      <w:r w:rsidR="00C0038A">
        <w:rPr>
          <w:lang w:val="en-GB"/>
        </w:rPr>
        <w:t xml:space="preserve"> – </w:t>
      </w:r>
      <w:r w:rsidRPr="008640C4">
        <w:rPr>
          <w:lang w:val="en-GB"/>
        </w:rPr>
        <w:t>1 and linkage to fee-reducing vouchers.</w:t>
      </w:r>
    </w:p>
    <w:p w14:paraId="27C67102" w14:textId="77777777" w:rsidR="00260479" w:rsidRPr="008640C4" w:rsidRDefault="005655A5" w:rsidP="003367DB">
      <w:pPr>
        <w:ind w:firstLine="284"/>
        <w:rPr>
          <w:lang w:val="en-GB"/>
        </w:rPr>
      </w:pPr>
      <w:r w:rsidRPr="008640C4">
        <w:rPr>
          <w:lang w:val="en-GB"/>
        </w:rPr>
        <w:t>Subsequent studies were carried out in the years 2003</w:t>
      </w:r>
      <w:r w:rsidR="00CF3C4D" w:rsidRPr="008640C4">
        <w:rPr>
          <w:lang w:val="en-GB"/>
        </w:rPr>
        <w:t>-</w:t>
      </w:r>
      <w:r w:rsidRPr="008640C4">
        <w:rPr>
          <w:lang w:val="en-GB"/>
        </w:rPr>
        <w:t>2018</w:t>
      </w:r>
      <w:r w:rsidR="00F069F6">
        <w:rPr>
          <w:lang w:val="en-GB"/>
        </w:rPr>
        <w:t xml:space="preserve"> in 4 cycles, taking into account the seasons, heating periods, and the type of buildings in which the waste was generated</w:t>
      </w:r>
      <w:r w:rsidRPr="008640C4">
        <w:rPr>
          <w:lang w:val="en-GB"/>
        </w:rPr>
        <w:t>. In each of the four series (spring, summer, autumn, winter)</w:t>
      </w:r>
      <w:r w:rsidR="00F069F6">
        <w:rPr>
          <w:lang w:val="en-GB"/>
        </w:rPr>
        <w:t>,</w:t>
      </w:r>
      <w:r w:rsidRPr="008640C4">
        <w:rPr>
          <w:lang w:val="en-GB"/>
        </w:rPr>
        <w:t xml:space="preserve"> waste from 3 environments was examined, which differed in their surroundings, buildings and urbani</w:t>
      </w:r>
      <w:r w:rsidR="001F3921">
        <w:rPr>
          <w:lang w:val="en-GB"/>
        </w:rPr>
        <w:t>s</w:t>
      </w:r>
      <w:r w:rsidRPr="008640C4">
        <w:rPr>
          <w:lang w:val="en-GB"/>
        </w:rPr>
        <w:t xml:space="preserve">ation. Sorting was done on manual screens. Fractions were separated according to their size, then grouped into 34 subcategories and 11 categories, and each was weighed separately. Figure </w:t>
      </w:r>
      <w:r w:rsidR="00BE3429" w:rsidRPr="008640C4">
        <w:rPr>
          <w:lang w:val="en-GB"/>
        </w:rPr>
        <w:t xml:space="preserve">4 </w:t>
      </w:r>
      <w:r w:rsidRPr="008640C4">
        <w:rPr>
          <w:lang w:val="en-GB"/>
        </w:rPr>
        <w:t>shows the detailed results of the average composition of waste.</w:t>
      </w:r>
    </w:p>
    <w:p w14:paraId="02EA275B" w14:textId="77777777" w:rsidR="00260479" w:rsidRPr="008640C4" w:rsidRDefault="00260479" w:rsidP="009E3616">
      <w:pPr>
        <w:rPr>
          <w:lang w:val="en-GB"/>
        </w:rPr>
      </w:pPr>
    </w:p>
    <w:p w14:paraId="6BF4886D" w14:textId="77777777" w:rsidR="00260479" w:rsidRPr="008640C4" w:rsidRDefault="00F63BD4" w:rsidP="002279F2">
      <w:pPr>
        <w:pStyle w:val="Obrazek-podspodem"/>
        <w:rPr>
          <w:lang w:val="en-GB"/>
        </w:rPr>
      </w:pPr>
      <w:r w:rsidRPr="008640C4">
        <w:rPr>
          <w:noProof/>
        </w:rPr>
        <w:drawing>
          <wp:inline distT="0" distB="0" distL="0" distR="0" wp14:anchorId="4A369387" wp14:editId="2AC686AC">
            <wp:extent cx="2680137" cy="1980000"/>
            <wp:effectExtent l="0" t="0" r="6350" b="1270"/>
            <wp:docPr id="1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22AA8C" w14:textId="39185616" w:rsidR="00D01DB6" w:rsidRPr="008640C4" w:rsidRDefault="00BE3429" w:rsidP="003367DB">
      <w:pPr>
        <w:pStyle w:val="Rrys"/>
        <w:rPr>
          <w:lang w:val="en-GB"/>
        </w:rPr>
      </w:pPr>
      <w:r w:rsidRPr="008640C4">
        <w:rPr>
          <w:b/>
          <w:bCs/>
          <w:lang w:val="en-GB"/>
        </w:rPr>
        <w:t xml:space="preserve">Fig. </w:t>
      </w:r>
      <w:r w:rsidR="00D81B25" w:rsidRPr="008640C4">
        <w:rPr>
          <w:b/>
          <w:bCs/>
          <w:noProof/>
          <w:lang w:val="en-GB"/>
        </w:rPr>
        <w:fldChar w:fldCharType="begin"/>
      </w:r>
      <w:r w:rsidRPr="008640C4">
        <w:rPr>
          <w:b/>
          <w:bCs/>
          <w:noProof/>
          <w:lang w:val="en-GB"/>
        </w:rPr>
        <w:instrText xml:space="preserve"> SEQ obrazek \* ARABIC </w:instrText>
      </w:r>
      <w:r w:rsidR="00D81B25" w:rsidRPr="008640C4">
        <w:rPr>
          <w:b/>
          <w:bCs/>
          <w:noProof/>
          <w:lang w:val="en-GB"/>
        </w:rPr>
        <w:fldChar w:fldCharType="separate"/>
      </w:r>
      <w:r w:rsidR="00F04983">
        <w:rPr>
          <w:b/>
          <w:bCs/>
          <w:noProof/>
          <w:lang w:val="en-GB"/>
        </w:rPr>
        <w:t>4</w:t>
      </w:r>
      <w:r w:rsidR="00D81B25" w:rsidRPr="008640C4">
        <w:rPr>
          <w:b/>
          <w:bCs/>
          <w:noProof/>
          <w:lang w:val="en-GB"/>
        </w:rPr>
        <w:fldChar w:fldCharType="end"/>
      </w:r>
      <w:r w:rsidRPr="008640C4">
        <w:rPr>
          <w:b/>
          <w:bCs/>
          <w:lang w:val="en-GB"/>
        </w:rPr>
        <w:t>.</w:t>
      </w:r>
      <w:r w:rsidR="00A948AE" w:rsidRPr="008640C4">
        <w:rPr>
          <w:lang w:val="en-GB"/>
        </w:rPr>
        <w:t xml:space="preserve"> Fractions, annual average of four ba</w:t>
      </w:r>
      <w:r w:rsidR="009176D8" w:rsidRPr="008640C4">
        <w:rPr>
          <w:lang w:val="en-GB"/>
        </w:rPr>
        <w:t>tches (% of total waste weight)</w:t>
      </w:r>
    </w:p>
    <w:p w14:paraId="0FF58B76" w14:textId="77777777" w:rsidR="003367DB" w:rsidRPr="008640C4" w:rsidRDefault="003367DB" w:rsidP="003367DB">
      <w:pPr>
        <w:ind w:firstLine="284"/>
        <w:rPr>
          <w:lang w:val="en-GB"/>
        </w:rPr>
      </w:pPr>
    </w:p>
    <w:p w14:paraId="6BF99C44" w14:textId="77777777" w:rsidR="000165A1" w:rsidRDefault="000165A1">
      <w:pPr>
        <w:jc w:val="left"/>
        <w:rPr>
          <w:lang w:val="en-GB"/>
        </w:rPr>
      </w:pPr>
      <w:r>
        <w:rPr>
          <w:lang w:val="en-GB"/>
        </w:rPr>
        <w:br w:type="page"/>
      </w:r>
    </w:p>
    <w:p w14:paraId="59F3F619" w14:textId="2C9BB19D" w:rsidR="00260479" w:rsidRPr="008640C4" w:rsidRDefault="00780B51" w:rsidP="003367DB">
      <w:pPr>
        <w:ind w:firstLine="284"/>
        <w:rPr>
          <w:lang w:val="en-GB"/>
        </w:rPr>
      </w:pPr>
      <w:r w:rsidRPr="008640C4">
        <w:rPr>
          <w:lang w:val="en-GB"/>
        </w:rPr>
        <w:lastRenderedPageBreak/>
        <w:t xml:space="preserve">41% was by the fraction of biodegradable waste. On the other hand, paper, plastics and glass occurred in similar amounts </w:t>
      </w:r>
      <w:r w:rsidR="003367DB" w:rsidRPr="008640C4">
        <w:rPr>
          <w:lang w:val="en-GB"/>
        </w:rPr>
        <w:t>–</w:t>
      </w:r>
      <w:r w:rsidRPr="008640C4">
        <w:rPr>
          <w:lang w:val="en-GB"/>
        </w:rPr>
        <w:t xml:space="preserve"> approx. 11%. Studies of mixed waste have shown that since 1998, </w:t>
      </w:r>
      <w:r w:rsidR="00F069F6">
        <w:rPr>
          <w:lang w:val="en-GB"/>
        </w:rPr>
        <w:t>little has changed in the material composition of mixed municipal waste since the first studies</w:t>
      </w:r>
      <w:r w:rsidRPr="008640C4">
        <w:rPr>
          <w:lang w:val="en-GB"/>
        </w:rPr>
        <w:t xml:space="preserve">. Among other things, this was due to the small scope and low efficiency of waste segregation in households at that time. It should be noted, however, that there was a significant increase in the content of glass (from 4.5% to 11%) and plastics. </w:t>
      </w:r>
      <w:r w:rsidR="00F069F6">
        <w:rPr>
          <w:lang w:val="en-GB"/>
        </w:rPr>
        <w:t>It</w:t>
      </w:r>
      <w:r w:rsidRPr="008640C4">
        <w:rPr>
          <w:lang w:val="en-GB"/>
        </w:rPr>
        <w:t xml:space="preserve"> is mainly due to </w:t>
      </w:r>
      <w:r w:rsidR="00F069F6">
        <w:rPr>
          <w:lang w:val="en-GB"/>
        </w:rPr>
        <w:t>the introduction</w:t>
      </w:r>
      <w:r w:rsidRPr="008640C4">
        <w:rPr>
          <w:lang w:val="en-GB"/>
        </w:rPr>
        <w:t xml:space="preserve"> </w:t>
      </w:r>
      <w:r w:rsidR="00F069F6">
        <w:rPr>
          <w:lang w:val="en-GB"/>
        </w:rPr>
        <w:t xml:space="preserve">of </w:t>
      </w:r>
      <w:r w:rsidRPr="008640C4">
        <w:rPr>
          <w:lang w:val="en-GB"/>
        </w:rPr>
        <w:t>more glass and plastic packaging (including disposable packaging) to the consumer market.</w:t>
      </w:r>
    </w:p>
    <w:p w14:paraId="7F34FAD0" w14:textId="77777777" w:rsidR="00A2418A" w:rsidRPr="008640C4" w:rsidRDefault="00A2418A" w:rsidP="003367DB">
      <w:pPr>
        <w:ind w:firstLine="284"/>
        <w:rPr>
          <w:lang w:val="en-GB"/>
        </w:rPr>
      </w:pPr>
      <w:r w:rsidRPr="008640C4">
        <w:rPr>
          <w:lang w:val="en-GB"/>
        </w:rPr>
        <w:t xml:space="preserve">Until mid-2013, most of the collected municipal waste was deposited </w:t>
      </w:r>
      <w:r w:rsidR="00F069F6">
        <w:rPr>
          <w:lang w:val="en-GB"/>
        </w:rPr>
        <w:t>in</w:t>
      </w:r>
      <w:r w:rsidRPr="008640C4">
        <w:rPr>
          <w:lang w:val="en-GB"/>
        </w:rPr>
        <w:t xml:space="preserve"> </w:t>
      </w:r>
      <w:r w:rsidR="00F069F6">
        <w:rPr>
          <w:lang w:val="en-GB"/>
        </w:rPr>
        <w:t>landfills</w:t>
      </w:r>
      <w:r w:rsidRPr="008640C4">
        <w:rPr>
          <w:lang w:val="en-GB"/>
        </w:rPr>
        <w:t xml:space="preserve">. </w:t>
      </w:r>
      <w:r w:rsidR="00F069F6">
        <w:rPr>
          <w:lang w:val="en-GB"/>
        </w:rPr>
        <w:t>It</w:t>
      </w:r>
      <w:r w:rsidRPr="008640C4">
        <w:rPr>
          <w:lang w:val="en-GB"/>
        </w:rPr>
        <w:t xml:space="preserve"> resulted from the regulations in Poland</w:t>
      </w:r>
      <w:r w:rsidR="00F069F6">
        <w:rPr>
          <w:lang w:val="en-GB"/>
        </w:rPr>
        <w:t>. E</w:t>
      </w:r>
      <w:r w:rsidRPr="008640C4">
        <w:rPr>
          <w:lang w:val="en-GB"/>
        </w:rPr>
        <w:t>ntrepreneurs competed mainly in terms of the price of their services</w:t>
      </w:r>
      <w:r w:rsidR="00F069F6">
        <w:rPr>
          <w:lang w:val="en-GB"/>
        </w:rPr>
        <w:t>; h</w:t>
      </w:r>
      <w:r w:rsidRPr="008640C4">
        <w:rPr>
          <w:lang w:val="en-GB"/>
        </w:rPr>
        <w:t>owever, after the amendment to the regulations</w:t>
      </w:r>
      <w:r w:rsidR="00F069F6">
        <w:rPr>
          <w:lang w:val="en-GB"/>
        </w:rPr>
        <w:t>, they</w:t>
      </w:r>
      <w:r w:rsidRPr="008640C4">
        <w:rPr>
          <w:lang w:val="en-GB"/>
        </w:rPr>
        <w:t xml:space="preserve"> introduc</w:t>
      </w:r>
      <w:r w:rsidR="00F069F6">
        <w:rPr>
          <w:lang w:val="en-GB"/>
        </w:rPr>
        <w:t>ed</w:t>
      </w:r>
      <w:r w:rsidRPr="008640C4">
        <w:rPr>
          <w:lang w:val="en-GB"/>
        </w:rPr>
        <w:t xml:space="preserve"> a mandatory fee for municipal waste management</w:t>
      </w:r>
      <w:r w:rsidR="00BE3429" w:rsidRPr="008640C4">
        <w:rPr>
          <w:lang w:val="en-GB"/>
        </w:rPr>
        <w:t xml:space="preserve"> (</w:t>
      </w:r>
      <w:r w:rsidRPr="008640C4">
        <w:rPr>
          <w:lang w:val="en-GB"/>
        </w:rPr>
        <w:t xml:space="preserve">Figure </w:t>
      </w:r>
      <w:r w:rsidR="00BE3429" w:rsidRPr="008640C4">
        <w:rPr>
          <w:lang w:val="en-GB"/>
        </w:rPr>
        <w:t>5)</w:t>
      </w:r>
      <w:r w:rsidRPr="008640C4">
        <w:rPr>
          <w:lang w:val="en-GB"/>
        </w:rPr>
        <w:t>.</w:t>
      </w:r>
    </w:p>
    <w:p w14:paraId="2E8706AF" w14:textId="77777777" w:rsidR="00492068" w:rsidRPr="008640C4" w:rsidRDefault="00492068" w:rsidP="009E3616">
      <w:pPr>
        <w:rPr>
          <w:lang w:val="en-GB"/>
        </w:rPr>
      </w:pPr>
    </w:p>
    <w:p w14:paraId="0D182AA3" w14:textId="77777777" w:rsidR="00492068" w:rsidRPr="008640C4" w:rsidRDefault="00172B4E" w:rsidP="002279F2">
      <w:pPr>
        <w:pStyle w:val="Obrazek-podspodem"/>
        <w:rPr>
          <w:lang w:val="en-GB"/>
        </w:rPr>
      </w:pPr>
      <w:r>
        <w:rPr>
          <w:noProof/>
        </w:rPr>
        <w:drawing>
          <wp:inline distT="0" distB="0" distL="0" distR="0" wp14:anchorId="1D294C27" wp14:editId="545B3B93">
            <wp:extent cx="6104786" cy="2902226"/>
            <wp:effectExtent l="0" t="0" r="0" b="0"/>
            <wp:docPr id="18909583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8418"/>
                    <a:stretch/>
                  </pic:blipFill>
                  <pic:spPr bwMode="auto">
                    <a:xfrm>
                      <a:off x="0" y="0"/>
                      <a:ext cx="6127241" cy="2912901"/>
                    </a:xfrm>
                    <a:prstGeom prst="rect">
                      <a:avLst/>
                    </a:prstGeom>
                    <a:noFill/>
                    <a:ln>
                      <a:noFill/>
                    </a:ln>
                    <a:extLst>
                      <a:ext uri="{53640926-AAD7-44D8-BBD7-CCE9431645EC}">
                        <a14:shadowObscured xmlns:a14="http://schemas.microsoft.com/office/drawing/2010/main"/>
                      </a:ext>
                    </a:extLst>
                  </pic:spPr>
                </pic:pic>
              </a:graphicData>
            </a:graphic>
          </wp:inline>
        </w:drawing>
      </w:r>
    </w:p>
    <w:p w14:paraId="7328787E" w14:textId="6EB1D090" w:rsidR="00600AF0" w:rsidRPr="008640C4" w:rsidRDefault="00BE3429" w:rsidP="005521CD">
      <w:pPr>
        <w:pStyle w:val="Rrys"/>
        <w:rPr>
          <w:lang w:val="en-GB"/>
        </w:rPr>
      </w:pPr>
      <w:r w:rsidRPr="008640C4">
        <w:rPr>
          <w:b/>
          <w:bCs/>
          <w:lang w:val="en-GB"/>
        </w:rPr>
        <w:t xml:space="preserve">Fig. </w:t>
      </w:r>
      <w:r w:rsidR="00D81B25" w:rsidRPr="008640C4">
        <w:rPr>
          <w:b/>
          <w:bCs/>
          <w:noProof/>
          <w:lang w:val="en-GB"/>
        </w:rPr>
        <w:fldChar w:fldCharType="begin"/>
      </w:r>
      <w:r w:rsidRPr="008640C4">
        <w:rPr>
          <w:b/>
          <w:bCs/>
          <w:noProof/>
          <w:lang w:val="en-GB"/>
        </w:rPr>
        <w:instrText xml:space="preserve"> SEQ obrazek \* ARABIC </w:instrText>
      </w:r>
      <w:r w:rsidR="00D81B25" w:rsidRPr="008640C4">
        <w:rPr>
          <w:b/>
          <w:bCs/>
          <w:noProof/>
          <w:lang w:val="en-GB"/>
        </w:rPr>
        <w:fldChar w:fldCharType="separate"/>
      </w:r>
      <w:r w:rsidR="00F04983">
        <w:rPr>
          <w:b/>
          <w:bCs/>
          <w:noProof/>
          <w:lang w:val="en-GB"/>
        </w:rPr>
        <w:t>5</w:t>
      </w:r>
      <w:r w:rsidR="00D81B25" w:rsidRPr="008640C4">
        <w:rPr>
          <w:b/>
          <w:bCs/>
          <w:noProof/>
          <w:lang w:val="en-GB"/>
        </w:rPr>
        <w:fldChar w:fldCharType="end"/>
      </w:r>
      <w:r w:rsidRPr="008640C4">
        <w:rPr>
          <w:b/>
          <w:bCs/>
          <w:lang w:val="en-GB"/>
        </w:rPr>
        <w:t xml:space="preserve">. </w:t>
      </w:r>
      <w:r w:rsidR="009C510C" w:rsidRPr="008640C4">
        <w:rPr>
          <w:lang w:val="en-GB"/>
        </w:rPr>
        <w:t>Morpholog</w:t>
      </w:r>
      <w:r w:rsidR="009176D8" w:rsidRPr="008640C4">
        <w:rPr>
          <w:lang w:val="en-GB"/>
        </w:rPr>
        <w:t>ical composition of mixed waste</w:t>
      </w:r>
    </w:p>
    <w:p w14:paraId="72A36C56" w14:textId="77777777" w:rsidR="005521CD" w:rsidRPr="008640C4" w:rsidRDefault="005521CD" w:rsidP="001F65EE">
      <w:pPr>
        <w:ind w:firstLine="284"/>
        <w:rPr>
          <w:lang w:val="en-GB"/>
        </w:rPr>
      </w:pPr>
    </w:p>
    <w:p w14:paraId="0280151C" w14:textId="77777777" w:rsidR="00EA3B9C" w:rsidRPr="008640C4" w:rsidRDefault="002C47F6" w:rsidP="001F65EE">
      <w:pPr>
        <w:ind w:firstLine="284"/>
        <w:rPr>
          <w:lang w:val="en-GB"/>
        </w:rPr>
      </w:pPr>
      <w:r w:rsidRPr="008640C4">
        <w:rPr>
          <w:lang w:val="en-GB"/>
        </w:rPr>
        <w:t>Organic waste constitutes the largest part of municipal waste</w:t>
      </w:r>
      <w:r w:rsidR="00F069F6">
        <w:rPr>
          <w:lang w:val="en-GB"/>
        </w:rPr>
        <w:t xml:space="preserve"> and has </w:t>
      </w:r>
      <w:r w:rsidRPr="008640C4">
        <w:rPr>
          <w:lang w:val="en-GB"/>
        </w:rPr>
        <w:t xml:space="preserve">been at a comparable level for several years. The </w:t>
      </w:r>
      <w:r w:rsidR="00F069F6">
        <w:rPr>
          <w:lang w:val="en-GB"/>
        </w:rPr>
        <w:t>relatively large amounts of paper, plastics and glas</w:t>
      </w:r>
      <w:r w:rsidRPr="008640C4">
        <w:rPr>
          <w:lang w:val="en-GB"/>
        </w:rPr>
        <w:t>s are generated in old and new buildings in the city cent</w:t>
      </w:r>
      <w:r w:rsidR="00F069F6">
        <w:rPr>
          <w:lang w:val="en-GB"/>
        </w:rPr>
        <w:t>re</w:t>
      </w:r>
      <w:r w:rsidRPr="008640C4">
        <w:rPr>
          <w:lang w:val="en-GB"/>
        </w:rPr>
        <w:t xml:space="preserve">. </w:t>
      </w:r>
      <w:r w:rsidR="00F069F6">
        <w:rPr>
          <w:lang w:val="en-GB"/>
        </w:rPr>
        <w:t>It</w:t>
      </w:r>
      <w:r w:rsidRPr="008640C4">
        <w:rPr>
          <w:lang w:val="en-GB"/>
        </w:rPr>
        <w:t xml:space="preserve"> is related to the saturation of the surroundings with service facilities, infrastructure and increased tourist traffic. On the other hand, the percentage of the remaining fractions decreased accordingly over several years. </w:t>
      </w:r>
      <w:r w:rsidR="00F069F6">
        <w:rPr>
          <w:lang w:val="en-GB"/>
        </w:rPr>
        <w:t>Therefore, selective collection is slowly starting to achieve small successes,</w:t>
      </w:r>
      <w:r w:rsidRPr="008640C4">
        <w:rPr>
          <w:lang w:val="en-GB"/>
        </w:rPr>
        <w:t xml:space="preserve"> but it is worth noting that the waste segregation system is heading in the right direction.</w:t>
      </w:r>
    </w:p>
    <w:p w14:paraId="06B67C03" w14:textId="77777777" w:rsidR="00CD4839" w:rsidRPr="008640C4" w:rsidRDefault="005521CD" w:rsidP="005521CD">
      <w:pPr>
        <w:pStyle w:val="Rn1"/>
        <w:rPr>
          <w:lang w:val="en-GB"/>
        </w:rPr>
      </w:pPr>
      <w:r w:rsidRPr="008640C4">
        <w:rPr>
          <w:lang w:val="en-GB"/>
        </w:rPr>
        <w:t xml:space="preserve">5. </w:t>
      </w:r>
      <w:r w:rsidR="006D3EEB" w:rsidRPr="008640C4">
        <w:rPr>
          <w:lang w:val="en-GB"/>
        </w:rPr>
        <w:t xml:space="preserve">Assumptions, </w:t>
      </w:r>
      <w:r w:rsidR="00876031">
        <w:rPr>
          <w:lang w:val="en-GB"/>
        </w:rPr>
        <w:t>B</w:t>
      </w:r>
      <w:r w:rsidR="006D3EEB" w:rsidRPr="008640C4">
        <w:rPr>
          <w:lang w:val="en-GB"/>
        </w:rPr>
        <w:t xml:space="preserve">oundary </w:t>
      </w:r>
      <w:r w:rsidR="00876031">
        <w:rPr>
          <w:lang w:val="en-GB"/>
        </w:rPr>
        <w:t>C</w:t>
      </w:r>
      <w:r w:rsidR="006D3EEB" w:rsidRPr="008640C4">
        <w:rPr>
          <w:lang w:val="en-GB"/>
        </w:rPr>
        <w:t xml:space="preserve">onditions of the </w:t>
      </w:r>
      <w:r w:rsidR="00876031">
        <w:rPr>
          <w:lang w:val="en-GB"/>
        </w:rPr>
        <w:t>M</w:t>
      </w:r>
      <w:r w:rsidR="006D3EEB" w:rsidRPr="008640C4">
        <w:rPr>
          <w:lang w:val="en-GB"/>
        </w:rPr>
        <w:t>odel</w:t>
      </w:r>
    </w:p>
    <w:p w14:paraId="21C03258" w14:textId="77777777" w:rsidR="00D92565" w:rsidRPr="008640C4" w:rsidRDefault="00A436E4" w:rsidP="005521CD">
      <w:pPr>
        <w:ind w:firstLine="284"/>
        <w:rPr>
          <w:lang w:val="en-GB"/>
        </w:rPr>
      </w:pPr>
      <w:r w:rsidRPr="008640C4">
        <w:rPr>
          <w:lang w:val="en-GB"/>
        </w:rPr>
        <w:t xml:space="preserve">According to EUROSTAT, in the EU-27, around 25% of the mass of municipal waste is recycled, 15% is composted, 22% is incinerated to recover energy, and 38% is still landfilled. In </w:t>
      </w:r>
      <w:r w:rsidR="001A534D" w:rsidRPr="008640C4">
        <w:rPr>
          <w:lang w:val="en-GB"/>
        </w:rPr>
        <w:t>Wroclaw</w:t>
      </w:r>
      <w:r w:rsidRPr="008640C4">
        <w:rPr>
          <w:lang w:val="en-GB"/>
        </w:rPr>
        <w:t xml:space="preserve">, on the other hand, 18% of municipal waste is recycled, 8% is composted, </w:t>
      </w:r>
      <w:r w:rsidR="00F069F6">
        <w:rPr>
          <w:lang w:val="en-GB"/>
        </w:rPr>
        <w:t xml:space="preserve">and </w:t>
      </w:r>
      <w:r w:rsidRPr="008640C4">
        <w:rPr>
          <w:lang w:val="en-GB"/>
        </w:rPr>
        <w:t xml:space="preserve">only 1% is subject to energy recovery (there is only </w:t>
      </w:r>
      <w:r w:rsidR="00F612FA">
        <w:rPr>
          <w:lang w:val="en-GB"/>
        </w:rPr>
        <w:t>18</w:t>
      </w:r>
      <w:r w:rsidRPr="008640C4">
        <w:rPr>
          <w:lang w:val="en-GB"/>
        </w:rPr>
        <w:t xml:space="preserve"> waste</w:t>
      </w:r>
      <w:r w:rsidR="00F612FA">
        <w:rPr>
          <w:lang w:val="en-GB"/>
        </w:rPr>
        <w:t>s</w:t>
      </w:r>
      <w:r w:rsidRPr="008640C4">
        <w:rPr>
          <w:lang w:val="en-GB"/>
        </w:rPr>
        <w:t xml:space="preserve"> incineration plant in Poland</w:t>
      </w:r>
      <w:r w:rsidR="00F612FA">
        <w:rPr>
          <w:lang w:val="en-GB"/>
        </w:rPr>
        <w:t xml:space="preserve">. </w:t>
      </w:r>
      <w:r w:rsidRPr="008640C4">
        <w:rPr>
          <w:lang w:val="en-GB"/>
        </w:rPr>
        <w:t xml:space="preserve">Currently, in </w:t>
      </w:r>
      <w:r w:rsidR="001A534D" w:rsidRPr="008640C4">
        <w:rPr>
          <w:lang w:val="en-GB"/>
        </w:rPr>
        <w:t>Wroclaw</w:t>
      </w:r>
      <w:r w:rsidRPr="008640C4">
        <w:rPr>
          <w:lang w:val="en-GB"/>
        </w:rPr>
        <w:t xml:space="preserve">, residents are protesting against the construction of an incinerator in </w:t>
      </w:r>
      <w:r w:rsidR="001A534D" w:rsidRPr="008640C4">
        <w:rPr>
          <w:lang w:val="en-GB"/>
        </w:rPr>
        <w:t>Wroclaw</w:t>
      </w:r>
      <w:r w:rsidRPr="008640C4">
        <w:rPr>
          <w:lang w:val="en-GB"/>
        </w:rPr>
        <w:t xml:space="preserve"> (Incinerator Wroclaw protests, 15-05-2021)), and 73% is landfilled.</w:t>
      </w:r>
    </w:p>
    <w:p w14:paraId="65582DBA" w14:textId="77777777" w:rsidR="008039DE" w:rsidRPr="008640C4" w:rsidRDefault="00D92565" w:rsidP="005521CD">
      <w:pPr>
        <w:ind w:firstLine="284"/>
        <w:rPr>
          <w:lang w:val="en-GB"/>
        </w:rPr>
      </w:pPr>
      <w:r w:rsidRPr="008640C4">
        <w:rPr>
          <w:lang w:val="en-GB"/>
        </w:rPr>
        <w:t xml:space="preserve">In </w:t>
      </w:r>
      <w:r w:rsidR="001A534D" w:rsidRPr="008640C4">
        <w:rPr>
          <w:lang w:val="en-GB"/>
        </w:rPr>
        <w:t>Wroclaw</w:t>
      </w:r>
      <w:r w:rsidRPr="008640C4">
        <w:rPr>
          <w:lang w:val="en-GB"/>
        </w:rPr>
        <w:t xml:space="preserve">, almost twice as much garbage is deposited </w:t>
      </w:r>
      <w:r w:rsidR="00F069F6">
        <w:rPr>
          <w:lang w:val="en-GB"/>
        </w:rPr>
        <w:t>i</w:t>
      </w:r>
      <w:r w:rsidRPr="008640C4">
        <w:rPr>
          <w:lang w:val="en-GB"/>
        </w:rPr>
        <w:t xml:space="preserve">n landfills as on average in EU countries. It is certainly the cheapest but least desirable form of waste management. If the 27 EU countries were compared in terms of the smallest amount of landfilled waste, </w:t>
      </w:r>
      <w:r w:rsidR="001A534D" w:rsidRPr="008640C4">
        <w:rPr>
          <w:lang w:val="en-GB"/>
        </w:rPr>
        <w:t>Wroclaw</w:t>
      </w:r>
      <w:r w:rsidRPr="008640C4">
        <w:rPr>
          <w:lang w:val="en-GB"/>
        </w:rPr>
        <w:t xml:space="preserve"> would take a distant 18th place. For comparison, </w:t>
      </w:r>
      <w:r w:rsidR="00F069F6">
        <w:rPr>
          <w:lang w:val="en-GB"/>
        </w:rPr>
        <w:t>38% of waste in Germany</w:t>
      </w:r>
      <w:r w:rsidRPr="008640C4">
        <w:rPr>
          <w:lang w:val="en-GB"/>
        </w:rPr>
        <w:t xml:space="preserve"> is incinerated</w:t>
      </w:r>
      <w:r w:rsidR="00F069F6">
        <w:rPr>
          <w:lang w:val="en-GB"/>
        </w:rPr>
        <w:t>,</w:t>
      </w:r>
      <w:r w:rsidRPr="008640C4">
        <w:rPr>
          <w:lang w:val="en-GB"/>
        </w:rPr>
        <w:t xml:space="preserve"> and 62% is recycled or composted. In both Germany and the Netherlands, </w:t>
      </w:r>
      <w:r w:rsidR="00F612FA">
        <w:rPr>
          <w:lang w:val="en-GB"/>
        </w:rPr>
        <w:t xml:space="preserve">municipal </w:t>
      </w:r>
      <w:r w:rsidRPr="008640C4">
        <w:rPr>
          <w:lang w:val="en-GB"/>
        </w:rPr>
        <w:t xml:space="preserve">waste is not landfilled at all. </w:t>
      </w:r>
    </w:p>
    <w:p w14:paraId="02DF2C60" w14:textId="65A9EAF4" w:rsidR="00DA377F" w:rsidRPr="008640C4" w:rsidRDefault="00D92565" w:rsidP="005521CD">
      <w:pPr>
        <w:ind w:firstLine="284"/>
        <w:rPr>
          <w:lang w:val="en-GB"/>
        </w:rPr>
      </w:pPr>
      <w:r w:rsidRPr="008640C4">
        <w:rPr>
          <w:lang w:val="en-GB"/>
        </w:rPr>
        <w:t xml:space="preserve">An important reason (one of many) </w:t>
      </w:r>
      <w:r w:rsidR="00F069F6">
        <w:rPr>
          <w:lang w:val="en-GB"/>
        </w:rPr>
        <w:t>is</w:t>
      </w:r>
      <w:r w:rsidRPr="008640C4">
        <w:rPr>
          <w:lang w:val="en-GB"/>
        </w:rPr>
        <w:t xml:space="preserve"> the costs of transport to sorting and storage locations: collection </w:t>
      </w:r>
      <w:r w:rsidR="00C0038A">
        <w:rPr>
          <w:lang w:val="en-GB"/>
        </w:rPr>
        <w:br/>
      </w:r>
      <w:r w:rsidR="00CF3C4D" w:rsidRPr="008640C4">
        <w:rPr>
          <w:lang w:val="en-GB"/>
        </w:rPr>
        <w:t>–</w:t>
      </w:r>
      <w:r w:rsidRPr="008640C4">
        <w:rPr>
          <w:lang w:val="en-GB"/>
        </w:rPr>
        <w:t xml:space="preserve"> handling </w:t>
      </w:r>
      <w:r w:rsidR="00CF3C4D" w:rsidRPr="008640C4">
        <w:rPr>
          <w:lang w:val="en-GB"/>
        </w:rPr>
        <w:t>–</w:t>
      </w:r>
      <w:r w:rsidRPr="008640C4">
        <w:rPr>
          <w:lang w:val="en-GB"/>
        </w:rPr>
        <w:t xml:space="preserve"> transport in the share of costs are 30</w:t>
      </w:r>
      <w:r w:rsidR="008640C4">
        <w:rPr>
          <w:lang w:val="en-GB"/>
        </w:rPr>
        <w:t>-</w:t>
      </w:r>
      <w:r w:rsidRPr="008640C4">
        <w:rPr>
          <w:lang w:val="en-GB"/>
        </w:rPr>
        <w:t xml:space="preserve">40%. In addition to transport costs, there are </w:t>
      </w:r>
      <w:r w:rsidR="00F069F6">
        <w:rPr>
          <w:lang w:val="en-GB"/>
        </w:rPr>
        <w:t>significant waste treatment and disposal costs</w:t>
      </w:r>
      <w:r w:rsidRPr="008640C4">
        <w:rPr>
          <w:lang w:val="en-GB"/>
        </w:rPr>
        <w:t>. Large amounts of landfilled waste are also affected by the low quality of segregation or its lack, mainly due to the lack of awareness of the importance of waste management, which significantly reduces the adverse impact on the environment.</w:t>
      </w:r>
    </w:p>
    <w:p w14:paraId="46B61AF8" w14:textId="77777777" w:rsidR="002A4177" w:rsidRPr="008640C4" w:rsidRDefault="00F84700" w:rsidP="005521CD">
      <w:pPr>
        <w:ind w:firstLine="284"/>
        <w:rPr>
          <w:lang w:val="en-GB"/>
        </w:rPr>
      </w:pPr>
      <w:r w:rsidRPr="008640C4">
        <w:rPr>
          <w:lang w:val="en-GB"/>
        </w:rPr>
        <w:lastRenderedPageBreak/>
        <w:t>In the process of waste recovery, we obtain substances, materials or energy</w:t>
      </w:r>
      <w:r w:rsidR="00F109D3" w:rsidRPr="008640C4">
        <w:rPr>
          <w:lang w:val="en-GB"/>
        </w:rPr>
        <w:t xml:space="preserve"> (</w:t>
      </w:r>
      <w:proofErr w:type="spellStart"/>
      <w:r w:rsidR="00F109D3" w:rsidRPr="008640C4">
        <w:rPr>
          <w:lang w:val="en-GB"/>
        </w:rPr>
        <w:t>Chamier-Gliszczyński</w:t>
      </w:r>
      <w:proofErr w:type="spellEnd"/>
      <w:r w:rsidR="00F109D3" w:rsidRPr="008640C4">
        <w:rPr>
          <w:lang w:val="en-GB"/>
        </w:rPr>
        <w:t xml:space="preserve"> 2010)</w:t>
      </w:r>
      <w:r w:rsidRPr="008640C4">
        <w:rPr>
          <w:lang w:val="en-GB"/>
        </w:rPr>
        <w:t>, while in recycling</w:t>
      </w:r>
      <w:r w:rsidR="00F069F6">
        <w:rPr>
          <w:lang w:val="en-GB"/>
        </w:rPr>
        <w:t>,</w:t>
      </w:r>
      <w:r w:rsidRPr="008640C4">
        <w:rPr>
          <w:lang w:val="en-GB"/>
        </w:rPr>
        <w:t xml:space="preserve"> we obtain a primary product with the same or very similar composition</w:t>
      </w:r>
      <w:r w:rsidR="004F6FD9" w:rsidRPr="008640C4">
        <w:rPr>
          <w:lang w:val="en-GB"/>
        </w:rPr>
        <w:t xml:space="preserve"> (</w:t>
      </w:r>
      <w:proofErr w:type="spellStart"/>
      <w:r w:rsidR="004F6FD9" w:rsidRPr="008640C4">
        <w:rPr>
          <w:lang w:val="en-GB"/>
        </w:rPr>
        <w:t>Chamier-Gliszczyński</w:t>
      </w:r>
      <w:proofErr w:type="spellEnd"/>
      <w:r w:rsidR="004F6FD9" w:rsidRPr="008640C4">
        <w:rPr>
          <w:lang w:val="en-GB"/>
        </w:rPr>
        <w:t xml:space="preserve"> 2011b</w:t>
      </w:r>
      <w:r w:rsidR="00F109D3" w:rsidRPr="008640C4">
        <w:rPr>
          <w:lang w:val="en-GB"/>
        </w:rPr>
        <w:t>)</w:t>
      </w:r>
      <w:r w:rsidRPr="008640C4">
        <w:rPr>
          <w:lang w:val="en-GB"/>
        </w:rPr>
        <w:t>.</w:t>
      </w:r>
    </w:p>
    <w:p w14:paraId="5335697F" w14:textId="77777777" w:rsidR="00E75E5B" w:rsidRPr="008640C4" w:rsidRDefault="00F069F6" w:rsidP="005521CD">
      <w:pPr>
        <w:ind w:firstLine="284"/>
        <w:rPr>
          <w:lang w:val="en-GB"/>
        </w:rPr>
      </w:pPr>
      <w:r>
        <w:rPr>
          <w:lang w:val="en-GB"/>
        </w:rPr>
        <w:t>The s</w:t>
      </w:r>
      <w:r w:rsidR="002A4177" w:rsidRPr="008640C4">
        <w:rPr>
          <w:lang w:val="en-GB"/>
        </w:rPr>
        <w:t xml:space="preserve">elective waste collection system in </w:t>
      </w:r>
      <w:r w:rsidR="001A534D" w:rsidRPr="008640C4">
        <w:rPr>
          <w:lang w:val="en-GB"/>
        </w:rPr>
        <w:t>Wroclaw</w:t>
      </w:r>
      <w:r w:rsidR="002A4177" w:rsidRPr="008640C4">
        <w:rPr>
          <w:lang w:val="en-GB"/>
        </w:rPr>
        <w:t xml:space="preserve"> </w:t>
      </w:r>
      <w:r>
        <w:rPr>
          <w:lang w:val="en-GB"/>
        </w:rPr>
        <w:t xml:space="preserve">started in </w:t>
      </w:r>
      <w:r w:rsidR="002A4177" w:rsidRPr="008640C4">
        <w:rPr>
          <w:lang w:val="en-GB"/>
        </w:rPr>
        <w:t xml:space="preserve">the 1990s. At that time, </w:t>
      </w:r>
      <w:r w:rsidR="001A534D" w:rsidRPr="008640C4">
        <w:rPr>
          <w:lang w:val="en-GB"/>
        </w:rPr>
        <w:t>Wroclaw</w:t>
      </w:r>
      <w:r w:rsidR="002A4177" w:rsidRPr="008640C4">
        <w:rPr>
          <w:lang w:val="en-GB"/>
        </w:rPr>
        <w:t xml:space="preserve"> received an EU grant </w:t>
      </w:r>
      <w:r>
        <w:rPr>
          <w:lang w:val="en-GB"/>
        </w:rPr>
        <w:t>to purchase</w:t>
      </w:r>
      <w:r w:rsidR="002A4177" w:rsidRPr="008640C4">
        <w:rPr>
          <w:lang w:val="en-GB"/>
        </w:rPr>
        <w:t xml:space="preserve"> 200 contai</w:t>
      </w:r>
      <w:r w:rsidR="004F6FD9" w:rsidRPr="008640C4">
        <w:rPr>
          <w:lang w:val="en-GB"/>
        </w:rPr>
        <w:t xml:space="preserve">ners with a capacity of </w:t>
      </w:r>
      <w:r w:rsidR="00F612FA">
        <w:rPr>
          <w:lang w:val="en-GB"/>
        </w:rPr>
        <w:t>20</w:t>
      </w:r>
      <w:r w:rsidR="00C41963">
        <w:rPr>
          <w:lang w:val="en-GB"/>
        </w:rPr>
        <w:t xml:space="preserve"> and 40 FT</w:t>
      </w:r>
      <w:r w:rsidR="002A4177" w:rsidRPr="008640C4">
        <w:rPr>
          <w:lang w:val="en-GB"/>
        </w:rPr>
        <w:t xml:space="preserve"> and self-dumping trucks adapted to collect and empty these containers. In 1998, these containers, used for selective waste collection, were placed in the city</w:t>
      </w:r>
      <w:r>
        <w:rPr>
          <w:lang w:val="en-GB"/>
        </w:rPr>
        <w:t>, and, through a tender, companies that comprehensively dealt with the selective waste collection system were selected</w:t>
      </w:r>
      <w:r w:rsidR="002A4177" w:rsidRPr="008640C4">
        <w:rPr>
          <w:lang w:val="en-GB"/>
        </w:rPr>
        <w:t xml:space="preserve">. The first selected fractions were plastics and glass, 44.4 [t] and 298.6 [t], respectively. </w:t>
      </w:r>
      <w:r>
        <w:rPr>
          <w:lang w:val="en-GB"/>
        </w:rPr>
        <w:t>Considering</w:t>
      </w:r>
      <w:r w:rsidR="002A4177" w:rsidRPr="008640C4">
        <w:rPr>
          <w:lang w:val="en-GB"/>
        </w:rPr>
        <w:t xml:space="preserve"> the total amount of municipal waste, 1% of plastic and 7% of glass were recovered. </w:t>
      </w:r>
    </w:p>
    <w:p w14:paraId="431D0FF8" w14:textId="77777777" w:rsidR="00F405C0" w:rsidRPr="008640C4" w:rsidRDefault="001265F7" w:rsidP="005521CD">
      <w:pPr>
        <w:ind w:firstLine="284"/>
        <w:rPr>
          <w:lang w:val="en-GB"/>
        </w:rPr>
      </w:pPr>
      <w:r w:rsidRPr="008640C4">
        <w:rPr>
          <w:lang w:val="en-GB"/>
        </w:rPr>
        <w:t xml:space="preserve">First of all, it is worth focusing on </w:t>
      </w:r>
      <w:r w:rsidR="00F069F6">
        <w:rPr>
          <w:lang w:val="en-GB"/>
        </w:rPr>
        <w:t>recovering</w:t>
      </w:r>
      <w:r w:rsidRPr="008640C4">
        <w:rPr>
          <w:lang w:val="en-GB"/>
        </w:rPr>
        <w:t xml:space="preserve"> those raw materials whose processing pays off in a given period: metal scrap, waste paper and glass cullet (white/colo</w:t>
      </w:r>
      <w:r w:rsidR="00F069F6">
        <w:rPr>
          <w:lang w:val="en-GB"/>
        </w:rPr>
        <w:t>u</w:t>
      </w:r>
      <w:r w:rsidRPr="008640C4">
        <w:rPr>
          <w:lang w:val="en-GB"/>
        </w:rPr>
        <w:t>red separately). Most of the waste is contaminated and requires cleaning in the sorting plant, packaging, pressing, baling, etc. In enrichment processes, e.g.</w:t>
      </w:r>
      <w:r w:rsidR="00F069F6">
        <w:rPr>
          <w:lang w:val="en-GB"/>
        </w:rPr>
        <w:t>, purification, removing as many elements as possible that could reduce the selling price of the raw material is important</w:t>
      </w:r>
      <w:r w:rsidRPr="008640C4">
        <w:rPr>
          <w:lang w:val="en-GB"/>
        </w:rPr>
        <w:t>. These raw materials are then sold and processed according to their usefulness.</w:t>
      </w:r>
    </w:p>
    <w:p w14:paraId="4CFA66F9" w14:textId="77777777" w:rsidR="00790B4F" w:rsidRPr="008640C4" w:rsidRDefault="00790B4F" w:rsidP="005521CD">
      <w:pPr>
        <w:ind w:firstLine="284"/>
        <w:rPr>
          <w:lang w:val="en-GB"/>
        </w:rPr>
      </w:pPr>
      <w:r w:rsidRPr="008640C4">
        <w:rPr>
          <w:lang w:val="en-GB"/>
        </w:rPr>
        <w:t xml:space="preserve">Pursuant to the applicable regulations, </w:t>
      </w:r>
      <w:r w:rsidR="001A534D" w:rsidRPr="008640C4">
        <w:rPr>
          <w:lang w:val="en-GB"/>
        </w:rPr>
        <w:t>Wroclaw</w:t>
      </w:r>
      <w:r w:rsidRPr="008640C4">
        <w:rPr>
          <w:lang w:val="en-GB"/>
        </w:rPr>
        <w:t xml:space="preserve"> was obliged to achieve min. 12% recycling rate and preparation for reuse of metal, paper, plastic and glass fractions. According to the data, it achieved a recycling rate of 16.4%. Similarly, according to the Regulation of the Minister of the Environment (</w:t>
      </w:r>
      <w:r w:rsidR="00D07F6B" w:rsidRPr="008640C4">
        <w:rPr>
          <w:lang w:val="en-GB"/>
        </w:rPr>
        <w:t>European Parliament and Council Directive 94/62/</w:t>
      </w:r>
      <w:proofErr w:type="spellStart"/>
      <w:r w:rsidR="00D07F6B" w:rsidRPr="008640C4">
        <w:rPr>
          <w:lang w:val="en-GB"/>
        </w:rPr>
        <w:t>ec</w:t>
      </w:r>
      <w:proofErr w:type="spellEnd"/>
      <w:r w:rsidRPr="008640C4">
        <w:rPr>
          <w:lang w:val="en-GB"/>
        </w:rPr>
        <w:t xml:space="preserve">), the permissible mass of biodegradable waste transferred to the landfill could not be greater than 50% of the mass delivered in 1998. In </w:t>
      </w:r>
      <w:r w:rsidR="001A534D" w:rsidRPr="008640C4">
        <w:rPr>
          <w:lang w:val="en-GB"/>
        </w:rPr>
        <w:t>Wroclaw</w:t>
      </w:r>
      <w:r w:rsidRPr="008640C4">
        <w:rPr>
          <w:lang w:val="en-GB"/>
        </w:rPr>
        <w:t>, in 2013, 10.24% of the mass was transferred to the landfill in biodegradable waste. Required level of recycling achieved.</w:t>
      </w:r>
    </w:p>
    <w:p w14:paraId="3D4D3C0B" w14:textId="77777777" w:rsidR="00A90BFD" w:rsidRPr="008640C4" w:rsidRDefault="00A90BFD" w:rsidP="005521CD">
      <w:pPr>
        <w:ind w:firstLine="284"/>
        <w:rPr>
          <w:lang w:val="en-GB"/>
        </w:rPr>
      </w:pPr>
      <w:r w:rsidRPr="008640C4">
        <w:rPr>
          <w:lang w:val="en-GB"/>
        </w:rPr>
        <w:t>Collection and transport of waste are elements of the econom</w:t>
      </w:r>
      <w:r w:rsidR="00F069F6">
        <w:rPr>
          <w:lang w:val="en-GB"/>
        </w:rPr>
        <w:t>ic</w:t>
      </w:r>
      <w:r w:rsidRPr="008640C4">
        <w:rPr>
          <w:lang w:val="en-GB"/>
        </w:rPr>
        <w:t xml:space="preserve"> system that play a very important role, often even underestimated</w:t>
      </w:r>
      <w:r w:rsidR="003A75E3" w:rsidRPr="008640C4">
        <w:rPr>
          <w:lang w:val="en-GB"/>
        </w:rPr>
        <w:t xml:space="preserve"> (Izdebski &amp; </w:t>
      </w:r>
      <w:proofErr w:type="spellStart"/>
      <w:r w:rsidR="003A75E3" w:rsidRPr="008640C4">
        <w:rPr>
          <w:lang w:val="en-GB"/>
        </w:rPr>
        <w:t>Jacyna</w:t>
      </w:r>
      <w:proofErr w:type="spellEnd"/>
      <w:r w:rsidR="003A75E3" w:rsidRPr="008640C4">
        <w:rPr>
          <w:lang w:val="en-GB"/>
        </w:rPr>
        <w:t xml:space="preserve"> 2018)</w:t>
      </w:r>
      <w:r w:rsidRPr="008640C4">
        <w:rPr>
          <w:lang w:val="en-GB"/>
        </w:rPr>
        <w:t>. They are estimated to be approx. 60</w:t>
      </w:r>
      <w:r w:rsidR="00F069F6">
        <w:rPr>
          <w:lang w:val="en-GB"/>
        </w:rPr>
        <w:t>-</w:t>
      </w:r>
      <w:r w:rsidRPr="008640C4">
        <w:rPr>
          <w:lang w:val="en-GB"/>
        </w:rPr>
        <w:t xml:space="preserve">80% of the waste disposal costs. </w:t>
      </w:r>
      <w:r w:rsidR="00F069F6">
        <w:rPr>
          <w:lang w:val="en-GB"/>
        </w:rPr>
        <w:t>It</w:t>
      </w:r>
      <w:r w:rsidRPr="008640C4">
        <w:rPr>
          <w:lang w:val="en-GB"/>
        </w:rPr>
        <w:t xml:space="preserve"> is a very large proportion; based on this, it can be concluded that any improvement in collection and transport in the areas of organi</w:t>
      </w:r>
      <w:r w:rsidR="001F3921">
        <w:rPr>
          <w:lang w:val="en-GB"/>
        </w:rPr>
        <w:t>s</w:t>
      </w:r>
      <w:r w:rsidRPr="008640C4">
        <w:rPr>
          <w:lang w:val="en-GB"/>
        </w:rPr>
        <w:t>ation or implementation would reduce costs, which equals increased savings</w:t>
      </w:r>
      <w:r w:rsidR="0016216B" w:rsidRPr="008640C4">
        <w:rPr>
          <w:lang w:val="en-GB"/>
        </w:rPr>
        <w:t xml:space="preserve"> (Woźniak et al. 2016)</w:t>
      </w:r>
      <w:r w:rsidRPr="008640C4">
        <w:rPr>
          <w:lang w:val="en-GB"/>
        </w:rPr>
        <w:t xml:space="preserve">. </w:t>
      </w:r>
    </w:p>
    <w:p w14:paraId="570546D0" w14:textId="77777777" w:rsidR="00086F97" w:rsidRPr="008640C4" w:rsidRDefault="00A90BFD" w:rsidP="005521CD">
      <w:pPr>
        <w:ind w:firstLine="284"/>
        <w:rPr>
          <w:lang w:val="en-GB"/>
        </w:rPr>
      </w:pPr>
      <w:r w:rsidRPr="008640C4">
        <w:rPr>
          <w:lang w:val="en-GB"/>
        </w:rPr>
        <w:t xml:space="preserve">The waste collection system can be modified by </w:t>
      </w:r>
      <w:r w:rsidR="00F069F6">
        <w:rPr>
          <w:lang w:val="en-GB"/>
        </w:rPr>
        <w:t>combining elements such as container type</w:t>
      </w:r>
      <w:r w:rsidRPr="008640C4">
        <w:rPr>
          <w:lang w:val="en-GB"/>
        </w:rPr>
        <w:t>, schedule for issuing containers and planning collection routes (e.g. by combining collection from exemplary customers), type of collecting vehicle (single-family houses), etc. Strict reporting in the acceptance system allowed for the analysis and optimi</w:t>
      </w:r>
      <w:r w:rsidR="001F3921">
        <w:rPr>
          <w:lang w:val="en-GB"/>
        </w:rPr>
        <w:t>s</w:t>
      </w:r>
      <w:r w:rsidRPr="008640C4">
        <w:rPr>
          <w:lang w:val="en-GB"/>
        </w:rPr>
        <w:t xml:space="preserve">ation of the system in search of the most effective version of the system. It is worth noting that the elements of the waste management system should be adapted to the given area (e.g. the size and parameters of the car and the type of building or the collection of waste from rural-urban areas was based on a different system than the one operating in large cities). </w:t>
      </w:r>
      <w:r w:rsidR="00F069F6">
        <w:rPr>
          <w:lang w:val="en-GB"/>
        </w:rPr>
        <w:t>It</w:t>
      </w:r>
      <w:r w:rsidRPr="008640C4">
        <w:rPr>
          <w:lang w:val="en-GB"/>
        </w:rPr>
        <w:t xml:space="preserve"> is mainly dependent on the amount and morphology of waste. The optimal system must meet the needs and spatial conditions. In some cases, the best solution could be the introduction of a three-container system: wet fraction </w:t>
      </w:r>
      <w:r w:rsidR="00CF3C4D" w:rsidRPr="008640C4">
        <w:rPr>
          <w:lang w:val="en-GB"/>
        </w:rPr>
        <w:t>–</w:t>
      </w:r>
      <w:r w:rsidRPr="008640C4">
        <w:rPr>
          <w:lang w:val="en-GB"/>
        </w:rPr>
        <w:t xml:space="preserve"> i.e. bio</w:t>
      </w:r>
      <w:r w:rsidR="00F069F6">
        <w:rPr>
          <w:lang w:val="en-GB"/>
        </w:rPr>
        <w:t>-</w:t>
      </w:r>
      <w:r w:rsidRPr="008640C4">
        <w:rPr>
          <w:lang w:val="en-GB"/>
        </w:rPr>
        <w:t xml:space="preserve">waste; dry fraction </w:t>
      </w:r>
      <w:r w:rsidR="00CF3C4D" w:rsidRPr="008640C4">
        <w:rPr>
          <w:lang w:val="en-GB"/>
        </w:rPr>
        <w:t>–</w:t>
      </w:r>
      <w:r w:rsidRPr="008640C4">
        <w:rPr>
          <w:lang w:val="en-GB"/>
        </w:rPr>
        <w:t xml:space="preserve"> i.e. secondary raw materials; the remaining fraction </w:t>
      </w:r>
      <w:r w:rsidR="00CF3C4D" w:rsidRPr="008640C4">
        <w:rPr>
          <w:lang w:val="en-GB"/>
        </w:rPr>
        <w:t>–</w:t>
      </w:r>
      <w:r w:rsidRPr="008640C4">
        <w:rPr>
          <w:lang w:val="en-GB"/>
        </w:rPr>
        <w:t xml:space="preserve"> i.e. mixed (of course, there are also medicines, chemicals, electrical waste, furniture, etc., but this is a PSZOK's matter).</w:t>
      </w:r>
    </w:p>
    <w:p w14:paraId="007A8B15" w14:textId="77777777" w:rsidR="00283AB4" w:rsidRPr="008640C4" w:rsidRDefault="00324570" w:rsidP="005521CD">
      <w:pPr>
        <w:ind w:firstLine="284"/>
        <w:rPr>
          <w:lang w:val="en-GB"/>
        </w:rPr>
      </w:pPr>
      <w:bookmarkStart w:id="9" w:name="_Hlk153540595"/>
      <w:r w:rsidRPr="008640C4">
        <w:rPr>
          <w:lang w:val="en-GB"/>
        </w:rPr>
        <w:t xml:space="preserve">PSZOK is a Point of Selective Collection of Municipal Waste. RIPOK is a Regional Installation for </w:t>
      </w:r>
      <w:r w:rsidR="00F069F6">
        <w:rPr>
          <w:lang w:val="en-GB"/>
        </w:rPr>
        <w:t>Processing</w:t>
      </w:r>
      <w:r w:rsidRPr="008640C4">
        <w:rPr>
          <w:lang w:val="en-GB"/>
        </w:rPr>
        <w:t xml:space="preserve"> Municipal Waste </w:t>
      </w:r>
      <w:r w:rsidR="00CF3C4D" w:rsidRPr="008640C4">
        <w:rPr>
          <w:lang w:val="en-GB"/>
        </w:rPr>
        <w:t>–</w:t>
      </w:r>
      <w:r w:rsidRPr="008640C4">
        <w:rPr>
          <w:lang w:val="en-GB"/>
        </w:rPr>
        <w:t xml:space="preserve"> these acronyms are found later in the article. The </w:t>
      </w:r>
      <w:r w:rsidR="00F069F6">
        <w:rPr>
          <w:lang w:val="en-GB"/>
        </w:rPr>
        <w:t>state administration's regulations define municipal waste management regions, indicating</w:t>
      </w:r>
      <w:r w:rsidRPr="008640C4">
        <w:rPr>
          <w:lang w:val="en-GB"/>
        </w:rPr>
        <w:t xml:space="preserve"> RIPOK in individual regions. </w:t>
      </w:r>
      <w:bookmarkEnd w:id="9"/>
      <w:r w:rsidRPr="008640C4">
        <w:rPr>
          <w:lang w:val="en-GB"/>
        </w:rPr>
        <w:t xml:space="preserve">RIPOK for </w:t>
      </w:r>
      <w:r w:rsidR="001A534D" w:rsidRPr="008640C4">
        <w:rPr>
          <w:lang w:val="en-GB"/>
        </w:rPr>
        <w:t>Wroclaw</w:t>
      </w:r>
      <w:r w:rsidRPr="008640C4">
        <w:rPr>
          <w:lang w:val="en-GB"/>
        </w:rPr>
        <w:t xml:space="preserve"> has the following RIPOK addresses (Figure 6-map and calculate the distances): RIPOK-1 mechanical-biological processing; </w:t>
      </w:r>
      <w:proofErr w:type="spellStart"/>
      <w:r w:rsidRPr="008640C4">
        <w:rPr>
          <w:lang w:val="en-GB"/>
        </w:rPr>
        <w:t>Rudna</w:t>
      </w:r>
      <w:proofErr w:type="spellEnd"/>
      <w:r w:rsidRPr="008640C4">
        <w:rPr>
          <w:lang w:val="en-GB"/>
        </w:rPr>
        <w:t xml:space="preserve"> </w:t>
      </w:r>
      <w:proofErr w:type="spellStart"/>
      <w:r w:rsidRPr="008640C4">
        <w:rPr>
          <w:lang w:val="en-GB"/>
        </w:rPr>
        <w:t>Wielka</w:t>
      </w:r>
      <w:proofErr w:type="spellEnd"/>
      <w:r w:rsidRPr="008640C4">
        <w:rPr>
          <w:lang w:val="en-GB"/>
        </w:rPr>
        <w:t xml:space="preserve">, 56-210 </w:t>
      </w:r>
      <w:proofErr w:type="spellStart"/>
      <w:r w:rsidRPr="008640C4">
        <w:rPr>
          <w:lang w:val="en-GB"/>
        </w:rPr>
        <w:t>Wąsosz</w:t>
      </w:r>
      <w:proofErr w:type="spellEnd"/>
      <w:r w:rsidRPr="008640C4">
        <w:rPr>
          <w:lang w:val="en-GB"/>
        </w:rPr>
        <w:t xml:space="preserve">, Kryniczno 93, 55-300 </w:t>
      </w:r>
      <w:proofErr w:type="spellStart"/>
      <w:r w:rsidRPr="008640C4">
        <w:rPr>
          <w:lang w:val="en-GB"/>
        </w:rPr>
        <w:t>Środa</w:t>
      </w:r>
      <w:proofErr w:type="spellEnd"/>
      <w:r w:rsidRPr="008640C4">
        <w:rPr>
          <w:lang w:val="en-GB"/>
        </w:rPr>
        <w:t xml:space="preserve"> Śląska, Rusko 66, 58-120 </w:t>
      </w:r>
      <w:proofErr w:type="spellStart"/>
      <w:r w:rsidRPr="008640C4">
        <w:rPr>
          <w:lang w:val="en-GB"/>
        </w:rPr>
        <w:t>Jaroszów</w:t>
      </w:r>
      <w:proofErr w:type="spellEnd"/>
      <w:r w:rsidRPr="008640C4">
        <w:rPr>
          <w:lang w:val="en-GB"/>
        </w:rPr>
        <w:t xml:space="preserve">. RIPOK-2 Composting; </w:t>
      </w:r>
      <w:proofErr w:type="spellStart"/>
      <w:r w:rsidRPr="008640C4">
        <w:rPr>
          <w:lang w:val="en-GB"/>
        </w:rPr>
        <w:t>Rudna</w:t>
      </w:r>
      <w:proofErr w:type="spellEnd"/>
      <w:r w:rsidRPr="008640C4">
        <w:rPr>
          <w:lang w:val="en-GB"/>
        </w:rPr>
        <w:t xml:space="preserve"> </w:t>
      </w:r>
      <w:proofErr w:type="spellStart"/>
      <w:r w:rsidRPr="008640C4">
        <w:rPr>
          <w:lang w:val="en-GB"/>
        </w:rPr>
        <w:t>Wielka</w:t>
      </w:r>
      <w:proofErr w:type="spellEnd"/>
      <w:r w:rsidRPr="008640C4">
        <w:rPr>
          <w:lang w:val="en-GB"/>
        </w:rPr>
        <w:t xml:space="preserve">, 56-210 </w:t>
      </w:r>
      <w:proofErr w:type="spellStart"/>
      <w:r w:rsidRPr="008640C4">
        <w:rPr>
          <w:lang w:val="en-GB"/>
        </w:rPr>
        <w:t>Wąsosz</w:t>
      </w:r>
      <w:proofErr w:type="spellEnd"/>
      <w:r w:rsidRPr="008640C4">
        <w:rPr>
          <w:lang w:val="en-GB"/>
        </w:rPr>
        <w:t xml:space="preserve">, ul. </w:t>
      </w:r>
      <w:proofErr w:type="spellStart"/>
      <w:r w:rsidRPr="008640C4">
        <w:rPr>
          <w:lang w:val="en-GB"/>
        </w:rPr>
        <w:t>Jerzmanowska</w:t>
      </w:r>
      <w:proofErr w:type="spellEnd"/>
      <w:r w:rsidRPr="008640C4">
        <w:rPr>
          <w:lang w:val="en-GB"/>
        </w:rPr>
        <w:t xml:space="preserve"> 4-6, 54-519 </w:t>
      </w:r>
      <w:r w:rsidR="001A534D" w:rsidRPr="008640C4">
        <w:rPr>
          <w:lang w:val="en-GB"/>
        </w:rPr>
        <w:t>Wroclaw</w:t>
      </w:r>
      <w:r w:rsidRPr="008640C4">
        <w:rPr>
          <w:lang w:val="en-GB"/>
        </w:rPr>
        <w:t xml:space="preserve">, ul. Janowska 51, 54-067 </w:t>
      </w:r>
      <w:r w:rsidR="001A534D" w:rsidRPr="008640C4">
        <w:rPr>
          <w:lang w:val="en-GB"/>
        </w:rPr>
        <w:t>Wroclaw</w:t>
      </w:r>
      <w:r w:rsidRPr="008640C4">
        <w:rPr>
          <w:lang w:val="en-GB"/>
        </w:rPr>
        <w:t xml:space="preserve">. RIPOK-3 landfill; </w:t>
      </w:r>
      <w:proofErr w:type="spellStart"/>
      <w:r w:rsidRPr="008640C4">
        <w:rPr>
          <w:lang w:val="en-GB"/>
        </w:rPr>
        <w:t>Rudna</w:t>
      </w:r>
      <w:proofErr w:type="spellEnd"/>
      <w:r w:rsidRPr="008640C4">
        <w:rPr>
          <w:lang w:val="en-GB"/>
        </w:rPr>
        <w:t xml:space="preserve"> </w:t>
      </w:r>
      <w:proofErr w:type="spellStart"/>
      <w:r w:rsidRPr="008640C4">
        <w:rPr>
          <w:lang w:val="en-GB"/>
        </w:rPr>
        <w:t>Wielka</w:t>
      </w:r>
      <w:proofErr w:type="spellEnd"/>
      <w:r w:rsidRPr="008640C4">
        <w:rPr>
          <w:lang w:val="en-GB"/>
        </w:rPr>
        <w:t xml:space="preserve">, 56-210 </w:t>
      </w:r>
      <w:proofErr w:type="spellStart"/>
      <w:r w:rsidRPr="008640C4">
        <w:rPr>
          <w:lang w:val="en-GB"/>
        </w:rPr>
        <w:t>Wąsosz</w:t>
      </w:r>
      <w:proofErr w:type="spellEnd"/>
      <w:r w:rsidRPr="008640C4">
        <w:rPr>
          <w:lang w:val="en-GB"/>
        </w:rPr>
        <w:t xml:space="preserve">, Rusko 66, 58-120 </w:t>
      </w:r>
      <w:proofErr w:type="spellStart"/>
      <w:r w:rsidRPr="008640C4">
        <w:rPr>
          <w:lang w:val="en-GB"/>
        </w:rPr>
        <w:t>Jaroszów</w:t>
      </w:r>
      <w:proofErr w:type="spellEnd"/>
      <w:r w:rsidRPr="008640C4">
        <w:rPr>
          <w:lang w:val="en-GB"/>
        </w:rPr>
        <w:t>. RIPOKs are operated by many entities that must participate in tenders, which is also due to their operational capabilities.</w:t>
      </w:r>
    </w:p>
    <w:p w14:paraId="78365F38" w14:textId="77777777" w:rsidR="00324570" w:rsidRPr="008640C4" w:rsidRDefault="00F069F6" w:rsidP="005521CD">
      <w:pPr>
        <w:ind w:firstLine="284"/>
        <w:rPr>
          <w:lang w:val="en-GB"/>
        </w:rPr>
      </w:pPr>
      <w:r>
        <w:rPr>
          <w:lang w:val="en-GB"/>
        </w:rPr>
        <w:t>Due to the obligation to document the collection and return of municipal waste (the act imposes the obligation), waste collection vehicles</w:t>
      </w:r>
      <w:r w:rsidR="00324570" w:rsidRPr="008640C4">
        <w:rPr>
          <w:lang w:val="en-GB"/>
        </w:rPr>
        <w:t xml:space="preserve"> are equipped with GPS. After collecting the waste directly from the owner, it is transported to reloading stations, storage and transport bases or directly to RIPOK</w:t>
      </w:r>
      <w:r w:rsidR="008B4FCD" w:rsidRPr="008640C4">
        <w:rPr>
          <w:lang w:val="en-GB"/>
        </w:rPr>
        <w:t>.</w:t>
      </w:r>
    </w:p>
    <w:p w14:paraId="58EFE932" w14:textId="77777777" w:rsidR="00EC56C2" w:rsidRPr="008640C4" w:rsidRDefault="0067574B" w:rsidP="00CF329B">
      <w:pPr>
        <w:pStyle w:val="Obrazek-podspodem"/>
        <w:spacing w:after="0"/>
        <w:rPr>
          <w:lang w:val="en-GB"/>
        </w:rPr>
      </w:pPr>
      <w:r w:rsidRPr="0067574B">
        <w:rPr>
          <w:noProof/>
          <w:sz w:val="22"/>
          <w:szCs w:val="22"/>
        </w:rPr>
        <w:lastRenderedPageBreak/>
        <w:t xml:space="preserve"> </w:t>
      </w:r>
      <w:r w:rsidRPr="0067574B">
        <w:rPr>
          <w:noProof/>
        </w:rPr>
        <w:drawing>
          <wp:inline distT="0" distB="0" distL="0" distR="0" wp14:anchorId="4B095436" wp14:editId="3FF08557">
            <wp:extent cx="3923809" cy="2809524"/>
            <wp:effectExtent l="0" t="0" r="635" b="0"/>
            <wp:docPr id="809331234" name="Obraz 1" descr="Obraz zawierający mapa, tekst, atlas,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31234" name="Obraz 1" descr="Obraz zawierający mapa, tekst, atlas, diagram&#10;&#10;Opis wygenerowany automatycznie"/>
                    <pic:cNvPicPr/>
                  </pic:nvPicPr>
                  <pic:blipFill>
                    <a:blip r:embed="rId15" cstate="print"/>
                    <a:stretch>
                      <a:fillRect/>
                    </a:stretch>
                  </pic:blipFill>
                  <pic:spPr>
                    <a:xfrm>
                      <a:off x="0" y="0"/>
                      <a:ext cx="3923809" cy="2809524"/>
                    </a:xfrm>
                    <a:prstGeom prst="rect">
                      <a:avLst/>
                    </a:prstGeom>
                  </pic:spPr>
                </pic:pic>
              </a:graphicData>
            </a:graphic>
          </wp:inline>
        </w:drawing>
      </w:r>
    </w:p>
    <w:p w14:paraId="06D2004E" w14:textId="5125719A" w:rsidR="00B27FEC" w:rsidRPr="008640C4" w:rsidRDefault="00A02745" w:rsidP="005521CD">
      <w:pPr>
        <w:pStyle w:val="Rrys"/>
        <w:rPr>
          <w:lang w:val="en-GB"/>
        </w:rPr>
      </w:pPr>
      <w:r w:rsidRPr="008640C4">
        <w:rPr>
          <w:b/>
          <w:bCs/>
          <w:lang w:val="en-GB"/>
        </w:rPr>
        <w:t xml:space="preserve">Fig. </w:t>
      </w:r>
      <w:r w:rsidR="00D81B25" w:rsidRPr="008640C4">
        <w:rPr>
          <w:b/>
          <w:bCs/>
          <w:noProof/>
          <w:lang w:val="en-GB"/>
        </w:rPr>
        <w:fldChar w:fldCharType="begin"/>
      </w:r>
      <w:r w:rsidRPr="008640C4">
        <w:rPr>
          <w:b/>
          <w:bCs/>
          <w:noProof/>
          <w:lang w:val="en-GB"/>
        </w:rPr>
        <w:instrText xml:space="preserve"> SEQ obrazek \* ARABIC </w:instrText>
      </w:r>
      <w:r w:rsidR="00D81B25" w:rsidRPr="008640C4">
        <w:rPr>
          <w:b/>
          <w:bCs/>
          <w:noProof/>
          <w:lang w:val="en-GB"/>
        </w:rPr>
        <w:fldChar w:fldCharType="separate"/>
      </w:r>
      <w:r w:rsidR="00F04983">
        <w:rPr>
          <w:b/>
          <w:bCs/>
          <w:noProof/>
          <w:lang w:val="en-GB"/>
        </w:rPr>
        <w:t>6</w:t>
      </w:r>
      <w:r w:rsidR="00D81B25" w:rsidRPr="008640C4">
        <w:rPr>
          <w:b/>
          <w:bCs/>
          <w:noProof/>
          <w:lang w:val="en-GB"/>
        </w:rPr>
        <w:fldChar w:fldCharType="end"/>
      </w:r>
      <w:r w:rsidRPr="008640C4">
        <w:rPr>
          <w:b/>
          <w:bCs/>
          <w:lang w:val="en-GB"/>
        </w:rPr>
        <w:t xml:space="preserve">. </w:t>
      </w:r>
      <w:r w:rsidR="00B27FEC" w:rsidRPr="008640C4">
        <w:rPr>
          <w:lang w:val="en-GB"/>
        </w:rPr>
        <w:t xml:space="preserve">Division of </w:t>
      </w:r>
      <w:r w:rsidR="001A534D" w:rsidRPr="008640C4">
        <w:rPr>
          <w:lang w:val="en-GB"/>
        </w:rPr>
        <w:t>Wroclaw</w:t>
      </w:r>
      <w:r w:rsidR="00B27FEC" w:rsidRPr="008640C4">
        <w:rPr>
          <w:lang w:val="en-GB"/>
        </w:rPr>
        <w:t xml:space="preserve"> into municip</w:t>
      </w:r>
      <w:r w:rsidR="009176D8" w:rsidRPr="008640C4">
        <w:rPr>
          <w:lang w:val="en-GB"/>
        </w:rPr>
        <w:t>al waste collection sectors</w:t>
      </w:r>
    </w:p>
    <w:p w14:paraId="41625B58" w14:textId="77777777" w:rsidR="002D0311" w:rsidRPr="008640C4" w:rsidRDefault="005521CD" w:rsidP="005521CD">
      <w:pPr>
        <w:pStyle w:val="Rn1"/>
        <w:rPr>
          <w:lang w:val="en-GB"/>
        </w:rPr>
      </w:pPr>
      <w:r w:rsidRPr="008640C4">
        <w:rPr>
          <w:lang w:val="en-GB"/>
        </w:rPr>
        <w:t xml:space="preserve">6. </w:t>
      </w:r>
      <w:bookmarkStart w:id="10" w:name="_Toc421598229"/>
      <w:r w:rsidR="00113C9D" w:rsidRPr="008640C4">
        <w:rPr>
          <w:lang w:val="en-GB"/>
        </w:rPr>
        <w:t xml:space="preserve">Cost </w:t>
      </w:r>
      <w:r w:rsidR="00876031">
        <w:rPr>
          <w:lang w:val="en-GB"/>
        </w:rPr>
        <w:t>M</w:t>
      </w:r>
      <w:r w:rsidR="00113C9D" w:rsidRPr="008640C4">
        <w:rPr>
          <w:lang w:val="en-GB"/>
        </w:rPr>
        <w:t xml:space="preserve">odel of the </w:t>
      </w:r>
      <w:r w:rsidR="00876031">
        <w:rPr>
          <w:lang w:val="en-GB"/>
        </w:rPr>
        <w:t>M</w:t>
      </w:r>
      <w:r w:rsidR="00113C9D" w:rsidRPr="008640C4">
        <w:rPr>
          <w:lang w:val="en-GB"/>
        </w:rPr>
        <w:t xml:space="preserve">unicipal </w:t>
      </w:r>
      <w:r w:rsidR="00876031">
        <w:rPr>
          <w:lang w:val="en-GB"/>
        </w:rPr>
        <w:t>W</w:t>
      </w:r>
      <w:r w:rsidR="00113C9D" w:rsidRPr="008640C4">
        <w:rPr>
          <w:lang w:val="en-GB"/>
        </w:rPr>
        <w:t xml:space="preserve">aste </w:t>
      </w:r>
      <w:r w:rsidR="00876031">
        <w:rPr>
          <w:lang w:val="en-GB"/>
        </w:rPr>
        <w:t>M</w:t>
      </w:r>
      <w:r w:rsidR="00113C9D" w:rsidRPr="008640C4">
        <w:rPr>
          <w:lang w:val="en-GB"/>
        </w:rPr>
        <w:t xml:space="preserve">anagement </w:t>
      </w:r>
      <w:bookmarkEnd w:id="10"/>
      <w:r w:rsidR="00876031">
        <w:rPr>
          <w:lang w:val="en-GB"/>
        </w:rPr>
        <w:t>S</w:t>
      </w:r>
      <w:r w:rsidR="00113C9D" w:rsidRPr="008640C4">
        <w:rPr>
          <w:lang w:val="en-GB"/>
        </w:rPr>
        <w:t>ystem</w:t>
      </w:r>
    </w:p>
    <w:p w14:paraId="755722D8" w14:textId="77777777" w:rsidR="0081362C" w:rsidRPr="008640C4" w:rsidRDefault="0081362C" w:rsidP="001F65EE">
      <w:pPr>
        <w:ind w:firstLine="284"/>
        <w:rPr>
          <w:lang w:val="en-GB"/>
        </w:rPr>
      </w:pPr>
      <w:r w:rsidRPr="008640C4">
        <w:rPr>
          <w:lang w:val="en-GB"/>
        </w:rPr>
        <w:t xml:space="preserve">Managing municipal waste </w:t>
      </w:r>
      <w:r w:rsidR="00F069F6">
        <w:rPr>
          <w:lang w:val="en-GB"/>
        </w:rPr>
        <w:t>following</w:t>
      </w:r>
      <w:r w:rsidRPr="008640C4">
        <w:rPr>
          <w:lang w:val="en-GB"/>
        </w:rPr>
        <w:t xml:space="preserve"> the law requires a lot of effort and money. Apart from striving to obtain the highest possible recovery as a priority, </w:t>
      </w:r>
      <w:r w:rsidR="00F069F6">
        <w:rPr>
          <w:lang w:val="en-GB"/>
        </w:rPr>
        <w:t>several</w:t>
      </w:r>
      <w:r w:rsidRPr="008640C4">
        <w:rPr>
          <w:lang w:val="en-GB"/>
        </w:rPr>
        <w:t xml:space="preserve"> requirements must be </w:t>
      </w:r>
      <w:r w:rsidR="00F069F6">
        <w:rPr>
          <w:lang w:val="en-GB"/>
        </w:rPr>
        <w:t>met</w:t>
      </w:r>
      <w:r w:rsidRPr="008640C4">
        <w:rPr>
          <w:lang w:val="en-GB"/>
        </w:rPr>
        <w:t xml:space="preserve">, such as </w:t>
      </w:r>
      <w:r w:rsidR="00F069F6">
        <w:rPr>
          <w:lang w:val="en-GB"/>
        </w:rPr>
        <w:t>protecting</w:t>
      </w:r>
      <w:r w:rsidRPr="008640C4">
        <w:rPr>
          <w:lang w:val="en-GB"/>
        </w:rPr>
        <w:t xml:space="preserve"> human health and the environment against the effects of waste management. All this makes waste management in an environmentally friendly manner very costly.</w:t>
      </w:r>
    </w:p>
    <w:p w14:paraId="2AE0BD8B" w14:textId="77777777" w:rsidR="002D0311" w:rsidRPr="008640C4" w:rsidRDefault="005521CD" w:rsidP="005521CD">
      <w:pPr>
        <w:pStyle w:val="Rn2"/>
        <w:rPr>
          <w:lang w:val="en-GB"/>
        </w:rPr>
      </w:pPr>
      <w:r w:rsidRPr="008640C4">
        <w:rPr>
          <w:lang w:val="en-GB"/>
        </w:rPr>
        <w:t xml:space="preserve">6.1. </w:t>
      </w:r>
      <w:bookmarkStart w:id="11" w:name="_Toc421598230"/>
      <w:r w:rsidR="00113C9D" w:rsidRPr="008640C4">
        <w:rPr>
          <w:lang w:val="en-GB"/>
        </w:rPr>
        <w:t xml:space="preserve">Cost model </w:t>
      </w:r>
      <w:r w:rsidR="00CF3C4D" w:rsidRPr="008640C4">
        <w:rPr>
          <w:lang w:val="en-GB"/>
        </w:rPr>
        <w:t>–</w:t>
      </w:r>
      <w:r w:rsidR="00113C9D" w:rsidRPr="008640C4">
        <w:rPr>
          <w:lang w:val="en-GB"/>
        </w:rPr>
        <w:t xml:space="preserve"> mixed municipal wast</w:t>
      </w:r>
      <w:bookmarkEnd w:id="11"/>
      <w:r w:rsidR="00113C9D" w:rsidRPr="008640C4">
        <w:rPr>
          <w:lang w:val="en-GB"/>
        </w:rPr>
        <w:t>e</w:t>
      </w:r>
    </w:p>
    <w:p w14:paraId="0AD447C1" w14:textId="77777777" w:rsidR="00113C9D" w:rsidRPr="00C0038A" w:rsidRDefault="00113C9D" w:rsidP="005521CD">
      <w:pPr>
        <w:ind w:firstLine="284"/>
        <w:rPr>
          <w:spacing w:val="-2"/>
          <w:lang w:val="en-GB"/>
        </w:rPr>
      </w:pPr>
      <w:r w:rsidRPr="00C0038A">
        <w:rPr>
          <w:spacing w:val="-2"/>
          <w:lang w:val="en-GB"/>
        </w:rPr>
        <w:t>At the beginning, the following constants were assumed: cost of fuel used by vehicles 45 [l/100 km]; fuel price PLN 5 (PLN 4.7</w:t>
      </w:r>
      <w:r w:rsidRPr="00C0038A">
        <w:rPr>
          <w:spacing w:val="-2"/>
          <w:lang w:val="en-GB"/>
        </w:rPr>
        <w:sym w:font="Symbol" w:char="F040"/>
      </w:r>
      <w:r w:rsidRPr="00C0038A">
        <w:rPr>
          <w:spacing w:val="-2"/>
          <w:lang w:val="en-GB"/>
        </w:rPr>
        <w:t>1 Euro); monthly gross remuneration of a garbage truck crew member PLN 3,500; unit cost of car depreciation 4.80 [PLN/km]; cost of repairs, insurance, etc. of cars 2 [PLN/km]; government fee 116.25 [PLN/Mg]; average price for waste storage 317 [PLN/Mg]. These data were used in the calculations.</w:t>
      </w:r>
    </w:p>
    <w:p w14:paraId="0CD16AD1" w14:textId="77777777" w:rsidR="005116D4" w:rsidRPr="008640C4" w:rsidRDefault="001A534D" w:rsidP="00C0038A">
      <w:pPr>
        <w:ind w:firstLine="284"/>
        <w:rPr>
          <w:lang w:val="en-GB"/>
        </w:rPr>
      </w:pPr>
      <w:r w:rsidRPr="008640C4">
        <w:rPr>
          <w:lang w:val="en-GB"/>
        </w:rPr>
        <w:t>Wroclaw</w:t>
      </w:r>
      <w:r w:rsidR="001760A4" w:rsidRPr="008640C4">
        <w:rPr>
          <w:lang w:val="en-GB"/>
        </w:rPr>
        <w:t xml:space="preserve"> has been broken down into 4 sectors. </w:t>
      </w:r>
      <w:r w:rsidR="00F069F6">
        <w:rPr>
          <w:lang w:val="en-GB"/>
        </w:rPr>
        <w:t>Characteristic points are determined for waste collection points and the distance to RIPOK</w:t>
      </w:r>
      <w:r w:rsidR="001760A4" w:rsidRPr="008640C4">
        <w:rPr>
          <w:lang w:val="en-GB"/>
        </w:rPr>
        <w:t>. Moreover, the number of inhabitants in each sector is calculated</w:t>
      </w:r>
      <w:r w:rsidR="006B762A" w:rsidRPr="008640C4">
        <w:rPr>
          <w:lang w:val="en-GB"/>
        </w:rPr>
        <w:t xml:space="preserve"> (Table 1)</w:t>
      </w:r>
      <w:r w:rsidR="001760A4" w:rsidRPr="008640C4">
        <w:rPr>
          <w:lang w:val="en-GB"/>
        </w:rPr>
        <w:t>.</w:t>
      </w:r>
    </w:p>
    <w:p w14:paraId="58FB9423" w14:textId="5CEE7B50" w:rsidR="005116D4" w:rsidRPr="008640C4" w:rsidRDefault="006B762A" w:rsidP="006053B6">
      <w:pPr>
        <w:pStyle w:val="TableTitel"/>
        <w:rPr>
          <w:lang w:val="en-GB"/>
        </w:rPr>
      </w:pPr>
      <w:r w:rsidRPr="008640C4">
        <w:rPr>
          <w:b/>
          <w:bCs/>
          <w:lang w:val="en-GB"/>
        </w:rPr>
        <w:t xml:space="preserve">Table </w:t>
      </w:r>
      <w:r w:rsidR="00D81B25" w:rsidRPr="008640C4">
        <w:rPr>
          <w:b/>
          <w:bCs/>
          <w:noProof/>
          <w:lang w:val="en-GB"/>
        </w:rPr>
        <w:fldChar w:fldCharType="begin"/>
      </w:r>
      <w:r w:rsidRPr="008640C4">
        <w:rPr>
          <w:b/>
          <w:bCs/>
          <w:noProof/>
          <w:lang w:val="en-GB"/>
        </w:rPr>
        <w:instrText xml:space="preserve"> SEQ tabelka\* ARABIC </w:instrText>
      </w:r>
      <w:r w:rsidR="00D81B25" w:rsidRPr="008640C4">
        <w:rPr>
          <w:b/>
          <w:bCs/>
          <w:noProof/>
          <w:lang w:val="en-GB"/>
        </w:rPr>
        <w:fldChar w:fldCharType="separate"/>
      </w:r>
      <w:r w:rsidR="00F04983">
        <w:rPr>
          <w:b/>
          <w:bCs/>
          <w:noProof/>
          <w:lang w:val="en-GB"/>
        </w:rPr>
        <w:t>1</w:t>
      </w:r>
      <w:r w:rsidR="00D81B25" w:rsidRPr="008640C4">
        <w:rPr>
          <w:b/>
          <w:bCs/>
          <w:noProof/>
          <w:lang w:val="en-GB"/>
        </w:rPr>
        <w:fldChar w:fldCharType="end"/>
      </w:r>
      <w:r w:rsidRPr="008640C4">
        <w:rPr>
          <w:b/>
          <w:bCs/>
          <w:lang w:val="en-GB"/>
        </w:rPr>
        <w:t xml:space="preserve">. </w:t>
      </w:r>
      <w:r w:rsidR="00AF3CD4" w:rsidRPr="008640C4">
        <w:rPr>
          <w:lang w:val="en-GB"/>
        </w:rPr>
        <w:t xml:space="preserve">Morphological composition in % of mixed municipal waste in </w:t>
      </w:r>
      <w:r w:rsidR="001A534D" w:rsidRPr="008640C4">
        <w:rPr>
          <w:lang w:val="en-GB"/>
        </w:rPr>
        <w:t>Wroclaw</w:t>
      </w:r>
    </w:p>
    <w:tbl>
      <w:tblPr>
        <w:tblW w:w="0" w:type="auto"/>
        <w:jc w:val="center"/>
        <w:tblCellMar>
          <w:left w:w="70" w:type="dxa"/>
          <w:right w:w="70" w:type="dxa"/>
        </w:tblCellMar>
        <w:tblLook w:val="04A0" w:firstRow="1" w:lastRow="0" w:firstColumn="1" w:lastColumn="0" w:noHBand="0" w:noVBand="1"/>
      </w:tblPr>
      <w:tblGrid>
        <w:gridCol w:w="1307"/>
        <w:gridCol w:w="1007"/>
        <w:gridCol w:w="1007"/>
        <w:gridCol w:w="857"/>
        <w:gridCol w:w="857"/>
      </w:tblGrid>
      <w:tr w:rsidR="00AF3CD4" w:rsidRPr="008640C4" w14:paraId="33719B15" w14:textId="77777777" w:rsidTr="005521CD">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EF61B" w14:textId="77777777" w:rsidR="00AF3CD4" w:rsidRPr="008640C4" w:rsidRDefault="00AF3CD4" w:rsidP="009E3616">
            <w:pPr>
              <w:pStyle w:val="Tabletext"/>
              <w:rPr>
                <w:lang w:val="en-GB"/>
              </w:rPr>
            </w:pPr>
            <w:r w:rsidRPr="008640C4">
              <w:rPr>
                <w:lang w:val="en-GB"/>
              </w:rPr>
              <w:t>Fraction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9E43929" w14:textId="77777777" w:rsidR="00AF3CD4" w:rsidRPr="008640C4" w:rsidRDefault="00AF3CD4" w:rsidP="005521CD">
            <w:pPr>
              <w:pStyle w:val="Tabletext"/>
              <w:rPr>
                <w:lang w:val="en-GB"/>
              </w:rPr>
            </w:pPr>
            <w:r w:rsidRPr="008640C4">
              <w:rPr>
                <w:lang w:val="en-GB"/>
              </w:rPr>
              <w:t>Average content</w:t>
            </w:r>
          </w:p>
        </w:tc>
      </w:tr>
      <w:tr w:rsidR="00AF3CD4" w:rsidRPr="008640C4" w14:paraId="16F762CB" w14:textId="77777777" w:rsidTr="005521CD">
        <w:trPr>
          <w:trHeight w:val="3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74F85" w14:textId="77777777" w:rsidR="00AF3CD4" w:rsidRPr="008640C4" w:rsidRDefault="00AF3CD4" w:rsidP="009E3616">
            <w:pPr>
              <w:pStyle w:val="Tabletext"/>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926175" w14:textId="77777777" w:rsidR="00AF3CD4" w:rsidRPr="008640C4" w:rsidRDefault="00AF3CD4" w:rsidP="005521CD">
            <w:pPr>
              <w:pStyle w:val="Tabletext"/>
              <w:rPr>
                <w:lang w:val="en-GB"/>
              </w:rPr>
            </w:pPr>
            <w:r w:rsidRPr="008640C4">
              <w:rPr>
                <w:lang w:val="en-GB"/>
              </w:rPr>
              <w:t>1998-2003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B18B8F" w14:textId="77777777" w:rsidR="00AF3CD4" w:rsidRPr="008640C4" w:rsidRDefault="00AF3CD4" w:rsidP="005521CD">
            <w:pPr>
              <w:pStyle w:val="Tabletext"/>
              <w:rPr>
                <w:lang w:val="en-GB"/>
              </w:rPr>
            </w:pPr>
            <w:r w:rsidRPr="008640C4">
              <w:rPr>
                <w:lang w:val="en-GB"/>
              </w:rPr>
              <w:t>2005-2010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43E6C8" w14:textId="77777777" w:rsidR="00AF3CD4" w:rsidRPr="008640C4" w:rsidRDefault="00AF3CD4" w:rsidP="005521CD">
            <w:pPr>
              <w:pStyle w:val="Tabletext"/>
              <w:rPr>
                <w:lang w:val="en-GB"/>
              </w:rPr>
            </w:pPr>
            <w:r w:rsidRPr="008640C4">
              <w:rPr>
                <w:lang w:val="en-GB"/>
              </w:rPr>
              <w:t>2015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6DD5" w14:textId="77777777" w:rsidR="00AF3CD4" w:rsidRPr="008640C4" w:rsidRDefault="00AF3CD4" w:rsidP="005521CD">
            <w:pPr>
              <w:pStyle w:val="Tabletext"/>
              <w:rPr>
                <w:lang w:val="en-GB"/>
              </w:rPr>
            </w:pPr>
            <w:r w:rsidRPr="008640C4">
              <w:rPr>
                <w:lang w:val="en-GB"/>
              </w:rPr>
              <w:t>2018</w:t>
            </w:r>
          </w:p>
        </w:tc>
      </w:tr>
      <w:tr w:rsidR="00AF3CD4" w:rsidRPr="008640C4" w14:paraId="4D928523"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B421" w14:textId="77777777" w:rsidR="00AF3CD4" w:rsidRPr="008640C4" w:rsidRDefault="005521CD" w:rsidP="005521CD">
            <w:pPr>
              <w:pStyle w:val="Tabletext"/>
              <w:jc w:val="left"/>
              <w:rPr>
                <w:lang w:val="en-GB"/>
              </w:rPr>
            </w:pPr>
            <w:r w:rsidRPr="008640C4">
              <w:rPr>
                <w:lang w:val="en-GB"/>
              </w:rPr>
              <w:t>P</w:t>
            </w:r>
            <w:r w:rsidR="00AF3CD4" w:rsidRPr="008640C4">
              <w:rPr>
                <w:lang w:val="en-GB"/>
              </w:rPr>
              <w:t>aper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C1A2D" w14:textId="77777777" w:rsidR="00AF3CD4" w:rsidRPr="008640C4" w:rsidRDefault="00AF3CD4" w:rsidP="005521CD">
            <w:pPr>
              <w:pStyle w:val="Tabletext"/>
              <w:rPr>
                <w:lang w:val="en-GB"/>
              </w:rPr>
            </w:pPr>
            <w:r w:rsidRPr="008640C4">
              <w:rPr>
                <w:lang w:val="en-GB"/>
              </w:rPr>
              <w:t>13.4%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F4EF11" w14:textId="77777777" w:rsidR="00AF3CD4" w:rsidRPr="008640C4" w:rsidRDefault="00AF3CD4" w:rsidP="005521CD">
            <w:pPr>
              <w:pStyle w:val="Tabletext"/>
              <w:rPr>
                <w:lang w:val="en-GB"/>
              </w:rPr>
            </w:pPr>
            <w:r w:rsidRPr="008640C4">
              <w:rPr>
                <w:lang w:val="en-GB"/>
              </w:rPr>
              <w:t>10.25%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8413ED" w14:textId="77777777" w:rsidR="00AF3CD4" w:rsidRPr="008640C4" w:rsidRDefault="00AF3CD4" w:rsidP="005521CD">
            <w:pPr>
              <w:pStyle w:val="Tabletext"/>
              <w:rPr>
                <w:lang w:val="en-GB"/>
              </w:rPr>
            </w:pPr>
            <w:r w:rsidRPr="008640C4">
              <w:rPr>
                <w:lang w:val="en-GB"/>
              </w:rPr>
              <w:t>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4024" w14:textId="77777777" w:rsidR="00AF3CD4" w:rsidRPr="008640C4" w:rsidRDefault="00AF3CD4" w:rsidP="005521CD">
            <w:pPr>
              <w:pStyle w:val="Tabletext"/>
              <w:rPr>
                <w:lang w:val="en-GB"/>
              </w:rPr>
            </w:pPr>
            <w:r w:rsidRPr="008640C4">
              <w:rPr>
                <w:lang w:val="en-GB"/>
              </w:rPr>
              <w:t>12.43%</w:t>
            </w:r>
          </w:p>
        </w:tc>
      </w:tr>
      <w:tr w:rsidR="00AF3CD4" w:rsidRPr="008640C4" w14:paraId="505AF3C6"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A6450" w14:textId="77777777" w:rsidR="00AF3CD4" w:rsidRPr="008640C4" w:rsidRDefault="005521CD" w:rsidP="005521CD">
            <w:pPr>
              <w:pStyle w:val="Tabletext"/>
              <w:jc w:val="left"/>
              <w:rPr>
                <w:lang w:val="en-GB"/>
              </w:rPr>
            </w:pPr>
            <w:r w:rsidRPr="008640C4">
              <w:rPr>
                <w:lang w:val="en-GB"/>
              </w:rPr>
              <w:t>P</w:t>
            </w:r>
            <w:r w:rsidR="00AF3CD4" w:rsidRPr="008640C4">
              <w:rPr>
                <w:lang w:val="en-GB"/>
              </w:rPr>
              <w:t>lastics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074F" w14:textId="77777777" w:rsidR="00AF3CD4" w:rsidRPr="008640C4" w:rsidRDefault="00AF3CD4" w:rsidP="005521CD">
            <w:pPr>
              <w:pStyle w:val="Tabletext"/>
              <w:rPr>
                <w:lang w:val="en-GB"/>
              </w:rPr>
            </w:pPr>
            <w:r w:rsidRPr="008640C4">
              <w:rPr>
                <w:lang w:val="en-GB"/>
              </w:rPr>
              <w:t>13.4%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A04F04" w14:textId="77777777" w:rsidR="00AF3CD4" w:rsidRPr="008640C4" w:rsidRDefault="00AF3CD4" w:rsidP="005521CD">
            <w:pPr>
              <w:pStyle w:val="Tabletext"/>
              <w:rPr>
                <w:lang w:val="en-GB"/>
              </w:rPr>
            </w:pPr>
            <w:r w:rsidRPr="008640C4">
              <w:rPr>
                <w:lang w:val="en-GB"/>
              </w:rPr>
              <w:t>10,815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044D41" w14:textId="77777777" w:rsidR="00AF3CD4" w:rsidRPr="008640C4" w:rsidRDefault="00AF3CD4" w:rsidP="005521CD">
            <w:pPr>
              <w:pStyle w:val="Tabletext"/>
              <w:rPr>
                <w:lang w:val="en-GB"/>
              </w:rPr>
            </w:pPr>
            <w:r w:rsidRPr="008640C4">
              <w:rPr>
                <w:lang w:val="en-GB"/>
              </w:rPr>
              <w:t>15.1%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99BF" w14:textId="77777777" w:rsidR="00AF3CD4" w:rsidRPr="008640C4" w:rsidRDefault="00AF3CD4" w:rsidP="005521CD">
            <w:pPr>
              <w:pStyle w:val="Tabletext"/>
              <w:rPr>
                <w:lang w:val="en-GB"/>
              </w:rPr>
            </w:pPr>
            <w:r w:rsidRPr="008640C4">
              <w:rPr>
                <w:lang w:val="en-GB"/>
              </w:rPr>
              <w:t>13.64%</w:t>
            </w:r>
          </w:p>
        </w:tc>
      </w:tr>
      <w:tr w:rsidR="00AF3CD4" w:rsidRPr="008640C4" w14:paraId="64D15520"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E665" w14:textId="77777777" w:rsidR="00AF3CD4" w:rsidRPr="008640C4" w:rsidRDefault="005521CD" w:rsidP="005521CD">
            <w:pPr>
              <w:pStyle w:val="Tabletext"/>
              <w:jc w:val="left"/>
              <w:rPr>
                <w:lang w:val="en-GB"/>
              </w:rPr>
            </w:pPr>
            <w:r w:rsidRPr="008640C4">
              <w:rPr>
                <w:lang w:val="en-GB"/>
              </w:rPr>
              <w:t>T</w:t>
            </w:r>
            <w:r w:rsidR="00AF3CD4" w:rsidRPr="008640C4">
              <w:rPr>
                <w:lang w:val="en-GB"/>
              </w:rPr>
              <w:t>extiles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8702" w14:textId="77777777" w:rsidR="00AF3CD4" w:rsidRPr="008640C4" w:rsidRDefault="00AF3CD4" w:rsidP="005521CD">
            <w:pPr>
              <w:pStyle w:val="Tabletext"/>
              <w:rPr>
                <w:lang w:val="en-GB"/>
              </w:rPr>
            </w:pPr>
            <w:r w:rsidRPr="008640C4">
              <w:rPr>
                <w:lang w:val="en-GB"/>
              </w:rPr>
              <w:t>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A53B27" w14:textId="77777777" w:rsidR="00AF3CD4" w:rsidRPr="008640C4" w:rsidRDefault="00AF3CD4" w:rsidP="005521CD">
            <w:pPr>
              <w:pStyle w:val="Tabletext"/>
              <w:rPr>
                <w:lang w:val="en-GB"/>
              </w:rPr>
            </w:pPr>
            <w:r w:rsidRPr="008640C4">
              <w:rPr>
                <w:lang w:val="en-GB"/>
              </w:rPr>
              <w:t>2.21%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DB48CC" w14:textId="77777777" w:rsidR="00AF3CD4" w:rsidRPr="008640C4" w:rsidRDefault="00AF3CD4" w:rsidP="005521CD">
            <w:pPr>
              <w:pStyle w:val="Tabletext"/>
              <w:rPr>
                <w:lang w:val="en-GB"/>
              </w:rPr>
            </w:pPr>
            <w:r w:rsidRPr="008640C4">
              <w:rPr>
                <w:lang w:val="en-GB"/>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76E1" w14:textId="77777777" w:rsidR="00AF3CD4" w:rsidRPr="008640C4" w:rsidRDefault="00AF3CD4" w:rsidP="005521CD">
            <w:pPr>
              <w:pStyle w:val="Tabletext"/>
              <w:rPr>
                <w:lang w:val="en-GB"/>
              </w:rPr>
            </w:pPr>
            <w:r w:rsidRPr="008640C4">
              <w:rPr>
                <w:lang w:val="en-GB"/>
              </w:rPr>
              <w:t>3.97%</w:t>
            </w:r>
          </w:p>
        </w:tc>
      </w:tr>
      <w:tr w:rsidR="00AF3CD4" w:rsidRPr="008640C4" w14:paraId="5F36372C"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A017" w14:textId="77777777" w:rsidR="00AF3CD4" w:rsidRPr="008640C4" w:rsidRDefault="005521CD" w:rsidP="005521CD">
            <w:pPr>
              <w:pStyle w:val="Tabletext"/>
              <w:jc w:val="left"/>
              <w:rPr>
                <w:lang w:val="en-GB"/>
              </w:rPr>
            </w:pPr>
            <w:r w:rsidRPr="008640C4">
              <w:rPr>
                <w:lang w:val="en-GB"/>
              </w:rPr>
              <w:t>M</w:t>
            </w:r>
            <w:r w:rsidR="00AF3CD4" w:rsidRPr="008640C4">
              <w:rPr>
                <w:lang w:val="en-GB"/>
              </w:rPr>
              <w:t>etals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68AD" w14:textId="77777777" w:rsidR="00AF3CD4" w:rsidRPr="008640C4" w:rsidRDefault="00AF3CD4" w:rsidP="005521CD">
            <w:pPr>
              <w:pStyle w:val="Tabletext"/>
              <w:rPr>
                <w:lang w:val="en-GB"/>
              </w:rPr>
            </w:pPr>
            <w:r w:rsidRPr="008640C4">
              <w:rPr>
                <w:lang w:val="en-GB"/>
              </w:rPr>
              <w:t>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3171EA" w14:textId="77777777" w:rsidR="00AF3CD4" w:rsidRPr="008640C4" w:rsidRDefault="00AF3CD4" w:rsidP="005521CD">
            <w:pPr>
              <w:pStyle w:val="Tabletext"/>
              <w:rPr>
                <w:lang w:val="en-GB"/>
              </w:rPr>
            </w:pPr>
            <w:r w:rsidRPr="008640C4">
              <w:rPr>
                <w:lang w:val="en-GB"/>
              </w:rPr>
              <w:t>1.84%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EBF946" w14:textId="77777777" w:rsidR="00AF3CD4" w:rsidRPr="008640C4" w:rsidRDefault="00AF3CD4" w:rsidP="005521CD">
            <w:pPr>
              <w:pStyle w:val="Tabletext"/>
              <w:rPr>
                <w:lang w:val="en-GB"/>
              </w:rPr>
            </w:pPr>
            <w:r w:rsidRPr="008640C4">
              <w:rPr>
                <w:lang w:val="en-GB"/>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AF0D" w14:textId="77777777" w:rsidR="00AF3CD4" w:rsidRPr="008640C4" w:rsidRDefault="00AF3CD4" w:rsidP="005521CD">
            <w:pPr>
              <w:pStyle w:val="Tabletext"/>
              <w:rPr>
                <w:lang w:val="en-GB"/>
              </w:rPr>
            </w:pPr>
            <w:r w:rsidRPr="008640C4">
              <w:rPr>
                <w:lang w:val="en-GB"/>
              </w:rPr>
              <w:t>2.33%</w:t>
            </w:r>
          </w:p>
        </w:tc>
      </w:tr>
      <w:tr w:rsidR="00AF3CD4" w:rsidRPr="008640C4" w14:paraId="66E6CA0E"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8EB1" w14:textId="77777777" w:rsidR="00AF3CD4" w:rsidRPr="008640C4" w:rsidRDefault="005521CD" w:rsidP="005521CD">
            <w:pPr>
              <w:pStyle w:val="Tabletext"/>
              <w:jc w:val="left"/>
              <w:rPr>
                <w:lang w:val="en-GB"/>
              </w:rPr>
            </w:pPr>
            <w:r w:rsidRPr="008640C4">
              <w:rPr>
                <w:lang w:val="en-GB"/>
              </w:rPr>
              <w:t>G</w:t>
            </w:r>
            <w:r w:rsidR="00AF3CD4" w:rsidRPr="008640C4">
              <w:rPr>
                <w:lang w:val="en-GB"/>
              </w:rPr>
              <w:t>lass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F1DF" w14:textId="77777777" w:rsidR="00AF3CD4" w:rsidRPr="008640C4" w:rsidRDefault="00AF3CD4" w:rsidP="005521CD">
            <w:pPr>
              <w:pStyle w:val="Tabletext"/>
              <w:rPr>
                <w:lang w:val="en-GB"/>
              </w:rPr>
            </w:pPr>
            <w:r w:rsidRPr="008640C4">
              <w:rPr>
                <w:lang w:val="en-GB"/>
              </w:rPr>
              <w:t>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E8BC1F" w14:textId="77777777" w:rsidR="00AF3CD4" w:rsidRPr="008640C4" w:rsidRDefault="00AF3CD4" w:rsidP="005521CD">
            <w:pPr>
              <w:pStyle w:val="Tabletext"/>
              <w:rPr>
                <w:lang w:val="en-GB"/>
              </w:rPr>
            </w:pPr>
            <w:r w:rsidRPr="008640C4">
              <w:rPr>
                <w:lang w:val="en-GB"/>
              </w:rPr>
              <w:t>11.00%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85CF60" w14:textId="77777777" w:rsidR="00AF3CD4" w:rsidRPr="008640C4" w:rsidRDefault="00AF3CD4" w:rsidP="005521CD">
            <w:pPr>
              <w:pStyle w:val="Tabletext"/>
              <w:rPr>
                <w:lang w:val="en-GB"/>
              </w:rPr>
            </w:pPr>
            <w:r w:rsidRPr="008640C4">
              <w:rPr>
                <w:lang w:val="en-GB"/>
              </w:rPr>
              <w:t>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4EC0" w14:textId="77777777" w:rsidR="00AF3CD4" w:rsidRPr="008640C4" w:rsidRDefault="00AF3CD4" w:rsidP="005521CD">
            <w:pPr>
              <w:pStyle w:val="Tabletext"/>
              <w:rPr>
                <w:lang w:val="en-GB"/>
              </w:rPr>
            </w:pPr>
            <w:r w:rsidRPr="008640C4">
              <w:rPr>
                <w:lang w:val="en-GB"/>
              </w:rPr>
              <w:t>12.91%</w:t>
            </w:r>
          </w:p>
        </w:tc>
      </w:tr>
      <w:tr w:rsidR="00AF3CD4" w:rsidRPr="008640C4" w14:paraId="7C239782"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6A2A" w14:textId="77777777" w:rsidR="00AF3CD4" w:rsidRPr="008640C4" w:rsidRDefault="005521CD" w:rsidP="005521CD">
            <w:pPr>
              <w:pStyle w:val="Tabletext"/>
              <w:jc w:val="left"/>
              <w:rPr>
                <w:lang w:val="en-GB"/>
              </w:rPr>
            </w:pPr>
            <w:r w:rsidRPr="008640C4">
              <w:rPr>
                <w:lang w:val="en-GB"/>
              </w:rPr>
              <w:t>B</w:t>
            </w:r>
            <w:r w:rsidR="00AF3CD4" w:rsidRPr="008640C4">
              <w:rPr>
                <w:lang w:val="en-GB"/>
              </w:rPr>
              <w:t>iodegradable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9724" w14:textId="77777777" w:rsidR="00AF3CD4" w:rsidRPr="008640C4" w:rsidRDefault="00AF3CD4" w:rsidP="005521CD">
            <w:pPr>
              <w:pStyle w:val="Tabletext"/>
              <w:rPr>
                <w:lang w:val="en-GB"/>
              </w:rPr>
            </w:pPr>
            <w:r w:rsidRPr="008640C4">
              <w:rPr>
                <w:lang w:val="en-GB"/>
              </w:rPr>
              <w:t>38.5%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25F74C" w14:textId="77777777" w:rsidR="00AF3CD4" w:rsidRPr="008640C4" w:rsidRDefault="00AF3CD4" w:rsidP="005521CD">
            <w:pPr>
              <w:pStyle w:val="Tabletext"/>
              <w:rPr>
                <w:lang w:val="en-GB"/>
              </w:rPr>
            </w:pPr>
            <w:r w:rsidRPr="008640C4">
              <w:rPr>
                <w:lang w:val="en-GB"/>
              </w:rPr>
              <w:t>41.02%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8D19CB" w14:textId="77777777" w:rsidR="00AF3CD4" w:rsidRPr="008640C4" w:rsidRDefault="00AF3CD4" w:rsidP="005521CD">
            <w:pPr>
              <w:pStyle w:val="Tabletext"/>
              <w:rPr>
                <w:lang w:val="en-GB"/>
              </w:rPr>
            </w:pPr>
            <w:r w:rsidRPr="008640C4">
              <w:rPr>
                <w:lang w:val="en-GB"/>
              </w:rPr>
              <w:t>26.7%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4BE7" w14:textId="77777777" w:rsidR="00AF3CD4" w:rsidRPr="008640C4" w:rsidRDefault="00AF3CD4" w:rsidP="005521CD">
            <w:pPr>
              <w:pStyle w:val="Tabletext"/>
              <w:rPr>
                <w:lang w:val="en-GB"/>
              </w:rPr>
            </w:pPr>
            <w:r w:rsidRPr="008640C4">
              <w:rPr>
                <w:lang w:val="en-GB"/>
              </w:rPr>
              <w:t>41.34%</w:t>
            </w:r>
          </w:p>
        </w:tc>
      </w:tr>
      <w:tr w:rsidR="00AF3CD4" w:rsidRPr="008640C4" w14:paraId="53F91744"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85814" w14:textId="77777777" w:rsidR="00AF3CD4" w:rsidRPr="008640C4" w:rsidRDefault="005521CD" w:rsidP="005521CD">
            <w:pPr>
              <w:pStyle w:val="Tabletext"/>
              <w:jc w:val="left"/>
              <w:rPr>
                <w:lang w:val="en-GB"/>
              </w:rPr>
            </w:pPr>
            <w:r w:rsidRPr="008640C4">
              <w:rPr>
                <w:lang w:val="en-GB"/>
              </w:rPr>
              <w:t>I</w:t>
            </w:r>
            <w:r w:rsidR="00AF3CD4" w:rsidRPr="008640C4">
              <w:rPr>
                <w:lang w:val="en-GB"/>
              </w:rPr>
              <w:t>nert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DFCB" w14:textId="77777777" w:rsidR="00AF3CD4" w:rsidRPr="008640C4" w:rsidRDefault="00AF3CD4" w:rsidP="005521CD">
            <w:pPr>
              <w:pStyle w:val="Tabletext"/>
              <w:rPr>
                <w:lang w:val="en-GB"/>
              </w:rPr>
            </w:pPr>
            <w:r w:rsidRPr="008640C4">
              <w:rPr>
                <w:lang w:val="en-GB"/>
              </w:rPr>
              <w:t>16.6%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B13136" w14:textId="77777777" w:rsidR="00AF3CD4" w:rsidRPr="008640C4" w:rsidRDefault="00AF3CD4" w:rsidP="005521CD">
            <w:pPr>
              <w:pStyle w:val="Tabletext"/>
              <w:rPr>
                <w:lang w:val="en-GB"/>
              </w:rPr>
            </w:pPr>
            <w:r w:rsidRPr="008640C4">
              <w:rPr>
                <w:lang w:val="en-GB"/>
              </w:rPr>
              <w:t>5.53%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B99C84" w14:textId="77777777" w:rsidR="00AF3CD4" w:rsidRPr="008640C4" w:rsidRDefault="00AF3CD4" w:rsidP="005521CD">
            <w:pPr>
              <w:pStyle w:val="Tabletext"/>
              <w:rPr>
                <w:lang w:val="en-GB"/>
              </w:rPr>
            </w:pPr>
            <w:r w:rsidRPr="008640C4">
              <w:rPr>
                <w:lang w:val="en-GB"/>
              </w:rPr>
              <w:t>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3AC2" w14:textId="77777777" w:rsidR="00AF3CD4" w:rsidRPr="008640C4" w:rsidRDefault="00AF3CD4" w:rsidP="005521CD">
            <w:pPr>
              <w:pStyle w:val="Tabletext"/>
              <w:rPr>
                <w:lang w:val="en-GB"/>
              </w:rPr>
            </w:pPr>
            <w:r w:rsidRPr="008640C4">
              <w:rPr>
                <w:lang w:val="en-GB"/>
              </w:rPr>
              <w:t>0.42%</w:t>
            </w:r>
          </w:p>
        </w:tc>
      </w:tr>
      <w:tr w:rsidR="00AF3CD4" w:rsidRPr="008640C4" w14:paraId="73D8A196"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7009" w14:textId="77777777" w:rsidR="00AF3CD4" w:rsidRPr="008640C4" w:rsidRDefault="005521CD" w:rsidP="005521CD">
            <w:pPr>
              <w:pStyle w:val="Tabletext"/>
              <w:jc w:val="left"/>
              <w:rPr>
                <w:lang w:val="en-GB"/>
              </w:rPr>
            </w:pPr>
            <w:r w:rsidRPr="008640C4">
              <w:rPr>
                <w:lang w:val="en-GB"/>
              </w:rPr>
              <w:t>H</w:t>
            </w:r>
            <w:r w:rsidR="00AF3CD4" w:rsidRPr="008640C4">
              <w:rPr>
                <w:lang w:val="en-GB"/>
              </w:rPr>
              <w:t>azardous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C510" w14:textId="77777777" w:rsidR="00AF3CD4" w:rsidRPr="008640C4" w:rsidRDefault="00863EE9" w:rsidP="005521CD">
            <w:pPr>
              <w:pStyle w:val="Tabletext"/>
              <w:rPr>
                <w:lang w:val="en-GB"/>
              </w:rPr>
            </w:pPr>
            <w:r w:rsidRPr="008640C4">
              <w:rPr>
                <w:lang w:val="en-GB"/>
              </w:rPr>
              <w:t>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C0CEB4" w14:textId="77777777" w:rsidR="00AF3CD4" w:rsidRPr="008640C4" w:rsidRDefault="00AF3CD4" w:rsidP="005521CD">
            <w:pPr>
              <w:pStyle w:val="Tabletext"/>
              <w:rPr>
                <w:lang w:val="en-GB"/>
              </w:rPr>
            </w:pPr>
            <w:r w:rsidRPr="008640C4">
              <w:rPr>
                <w:lang w:val="en-GB"/>
              </w:rPr>
              <w:t>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C6ABB5" w14:textId="77777777" w:rsidR="00AF3CD4" w:rsidRPr="008640C4" w:rsidRDefault="00AF3CD4" w:rsidP="005521CD">
            <w:pPr>
              <w:pStyle w:val="Tabletext"/>
              <w:rPr>
                <w:lang w:val="en-GB"/>
              </w:rPr>
            </w:pPr>
            <w:r w:rsidRPr="008640C4">
              <w:rPr>
                <w:lang w:val="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E9D7" w14:textId="77777777" w:rsidR="00AF3CD4" w:rsidRPr="008640C4" w:rsidRDefault="00AF3CD4" w:rsidP="005521CD">
            <w:pPr>
              <w:pStyle w:val="Tabletext"/>
              <w:rPr>
                <w:lang w:val="en-GB"/>
              </w:rPr>
            </w:pPr>
            <w:r w:rsidRPr="008640C4">
              <w:rPr>
                <w:lang w:val="en-GB"/>
              </w:rPr>
              <w:t>0.11%</w:t>
            </w:r>
          </w:p>
        </w:tc>
      </w:tr>
      <w:tr w:rsidR="00AF3CD4" w:rsidRPr="008640C4" w14:paraId="74E27160"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BF871" w14:textId="77777777" w:rsidR="00AF3CD4" w:rsidRPr="008640C4" w:rsidRDefault="005521CD" w:rsidP="005521CD">
            <w:pPr>
              <w:pStyle w:val="Tabletext"/>
              <w:jc w:val="left"/>
              <w:rPr>
                <w:lang w:val="en-GB"/>
              </w:rPr>
            </w:pPr>
            <w:r w:rsidRPr="008640C4">
              <w:rPr>
                <w:lang w:val="en-GB"/>
              </w:rPr>
              <w:t>C</w:t>
            </w:r>
            <w:r w:rsidR="00AF3CD4" w:rsidRPr="008640C4">
              <w:rPr>
                <w:lang w:val="en-GB"/>
              </w:rPr>
              <w:t>omposites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F81E" w14:textId="77777777" w:rsidR="00AF3CD4" w:rsidRPr="008640C4" w:rsidRDefault="00863EE9" w:rsidP="005521CD">
            <w:pPr>
              <w:pStyle w:val="Tabletext"/>
              <w:rPr>
                <w:lang w:val="en-GB"/>
              </w:rPr>
            </w:pPr>
            <w:r w:rsidRPr="008640C4">
              <w:rPr>
                <w:lang w:val="en-GB"/>
              </w:rPr>
              <w:t>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D97468" w14:textId="77777777" w:rsidR="00AF3CD4" w:rsidRPr="008640C4" w:rsidRDefault="00AF3CD4" w:rsidP="005521CD">
            <w:pPr>
              <w:pStyle w:val="Tabletext"/>
              <w:rPr>
                <w:lang w:val="en-GB"/>
              </w:rPr>
            </w:pPr>
            <w:r w:rsidRPr="008640C4">
              <w:rPr>
                <w:lang w:val="en-GB"/>
              </w:rPr>
              <w:t>2.57%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53ADFE" w14:textId="77777777" w:rsidR="00AF3CD4" w:rsidRPr="008640C4" w:rsidRDefault="00AF3CD4" w:rsidP="005521CD">
            <w:pPr>
              <w:pStyle w:val="Tabletext"/>
              <w:rPr>
                <w:lang w:val="en-GB"/>
              </w:rPr>
            </w:pPr>
            <w:r w:rsidRPr="008640C4">
              <w:rPr>
                <w:lang w:val="en-GB"/>
              </w:rPr>
              <w:t>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6DEE8" w14:textId="77777777" w:rsidR="00AF3CD4" w:rsidRPr="008640C4" w:rsidRDefault="00AF3CD4" w:rsidP="005521CD">
            <w:pPr>
              <w:pStyle w:val="Tabletext"/>
              <w:rPr>
                <w:lang w:val="en-GB"/>
              </w:rPr>
            </w:pPr>
            <w:r w:rsidRPr="008640C4">
              <w:rPr>
                <w:lang w:val="en-GB"/>
              </w:rPr>
              <w:t>3.12%</w:t>
            </w:r>
          </w:p>
        </w:tc>
      </w:tr>
      <w:tr w:rsidR="00AF3CD4" w:rsidRPr="008640C4" w14:paraId="395C56D7"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5CE6" w14:textId="77777777" w:rsidR="00AF3CD4" w:rsidRPr="008640C4" w:rsidRDefault="005521CD" w:rsidP="005521CD">
            <w:pPr>
              <w:pStyle w:val="Tabletext"/>
              <w:jc w:val="left"/>
              <w:rPr>
                <w:lang w:val="en-GB"/>
              </w:rPr>
            </w:pPr>
            <w:r w:rsidRPr="008640C4">
              <w:rPr>
                <w:lang w:val="en-GB"/>
              </w:rPr>
              <w:t>W</w:t>
            </w:r>
            <w:r w:rsidR="00AF3CD4" w:rsidRPr="008640C4">
              <w:rPr>
                <w:lang w:val="en-GB"/>
              </w:rPr>
              <w:t>ood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A21F" w14:textId="77777777" w:rsidR="00AF3CD4" w:rsidRPr="008640C4" w:rsidRDefault="00863EE9" w:rsidP="005521CD">
            <w:pPr>
              <w:pStyle w:val="Tabletext"/>
              <w:rPr>
                <w:lang w:val="en-GB"/>
              </w:rPr>
            </w:pPr>
            <w:r w:rsidRPr="008640C4">
              <w:rPr>
                <w:lang w:val="en-GB"/>
              </w:rPr>
              <w:t>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B44C70" w14:textId="77777777" w:rsidR="00AF3CD4" w:rsidRPr="008640C4" w:rsidRDefault="00AF3CD4" w:rsidP="005521CD">
            <w:pPr>
              <w:pStyle w:val="Tabletext"/>
              <w:rPr>
                <w:lang w:val="en-GB"/>
              </w:rPr>
            </w:pPr>
            <w:r w:rsidRPr="008640C4">
              <w:rPr>
                <w:lang w:val="en-GB"/>
              </w:rPr>
              <w:t>0.75%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E541FA" w14:textId="77777777" w:rsidR="00AF3CD4" w:rsidRPr="008640C4" w:rsidRDefault="00AF3CD4" w:rsidP="005521CD">
            <w:pPr>
              <w:pStyle w:val="Tabletext"/>
              <w:rPr>
                <w:lang w:val="en-GB"/>
              </w:rPr>
            </w:pPr>
            <w:r w:rsidRPr="008640C4">
              <w:rPr>
                <w:lang w:val="en-GB"/>
              </w:rPr>
              <w:t>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0CCC4" w14:textId="77777777" w:rsidR="00AF3CD4" w:rsidRPr="008640C4" w:rsidRDefault="00AF3CD4" w:rsidP="005521CD">
            <w:pPr>
              <w:pStyle w:val="Tabletext"/>
              <w:rPr>
                <w:lang w:val="en-GB"/>
              </w:rPr>
            </w:pPr>
            <w:r w:rsidRPr="008640C4">
              <w:rPr>
                <w:lang w:val="en-GB"/>
              </w:rPr>
              <w:t>0.41%</w:t>
            </w:r>
          </w:p>
        </w:tc>
      </w:tr>
      <w:tr w:rsidR="00AF3CD4" w:rsidRPr="008640C4" w14:paraId="47996108"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5591" w14:textId="77777777" w:rsidR="00AF3CD4" w:rsidRPr="008640C4" w:rsidRDefault="005521CD" w:rsidP="005521CD">
            <w:pPr>
              <w:pStyle w:val="Tabletext"/>
              <w:jc w:val="left"/>
              <w:rPr>
                <w:lang w:val="en-GB"/>
              </w:rPr>
            </w:pPr>
            <w:r w:rsidRPr="008640C4">
              <w:rPr>
                <w:lang w:val="en-GB"/>
              </w:rPr>
              <w:t>O</w:t>
            </w:r>
            <w:r w:rsidR="00AF3CD4" w:rsidRPr="008640C4">
              <w:rPr>
                <w:lang w:val="en-GB"/>
              </w:rPr>
              <w:t>ther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5EE4" w14:textId="77777777" w:rsidR="00AF3CD4" w:rsidRPr="008640C4" w:rsidRDefault="00AF3CD4" w:rsidP="005521CD">
            <w:pPr>
              <w:pStyle w:val="Tabletext"/>
              <w:rPr>
                <w:lang w:val="en-GB"/>
              </w:rPr>
            </w:pPr>
            <w:r w:rsidRPr="008640C4">
              <w:rPr>
                <w:lang w:val="en-GB"/>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A401AF" w14:textId="77777777" w:rsidR="00AF3CD4" w:rsidRPr="008640C4" w:rsidRDefault="00AF3CD4" w:rsidP="005521CD">
            <w:pPr>
              <w:pStyle w:val="Tabletext"/>
              <w:rPr>
                <w:lang w:val="en-GB"/>
              </w:rPr>
            </w:pPr>
            <w:r w:rsidRPr="008640C4">
              <w:rPr>
                <w:lang w:val="en-GB"/>
              </w:rPr>
              <w:t>13.78%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E15A88" w14:textId="77777777" w:rsidR="00AF3CD4" w:rsidRPr="008640C4" w:rsidRDefault="00AF3CD4" w:rsidP="005521CD">
            <w:pPr>
              <w:pStyle w:val="Tabletext"/>
              <w:rPr>
                <w:lang w:val="en-GB"/>
              </w:rPr>
            </w:pPr>
            <w:r w:rsidRPr="008640C4">
              <w:rPr>
                <w:lang w:val="en-GB"/>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09F2" w14:textId="77777777" w:rsidR="00AF3CD4" w:rsidRPr="008640C4" w:rsidRDefault="00AF3CD4" w:rsidP="005521CD">
            <w:pPr>
              <w:pStyle w:val="Tabletext"/>
              <w:rPr>
                <w:lang w:val="en-GB"/>
              </w:rPr>
            </w:pPr>
            <w:r w:rsidRPr="008640C4">
              <w:rPr>
                <w:lang w:val="en-GB"/>
              </w:rPr>
              <w:t>9.32%</w:t>
            </w:r>
          </w:p>
        </w:tc>
      </w:tr>
      <w:tr w:rsidR="00AF3CD4" w:rsidRPr="008640C4" w14:paraId="5572398A" w14:textId="77777777" w:rsidTr="005521CD">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3AC2" w14:textId="77777777" w:rsidR="00AF3CD4" w:rsidRPr="008640C4" w:rsidRDefault="00AF3CD4" w:rsidP="005521CD">
            <w:pPr>
              <w:pStyle w:val="Tabletext"/>
              <w:jc w:val="left"/>
              <w:rPr>
                <w:lang w:val="en-GB"/>
              </w:rPr>
            </w:pPr>
            <w:r w:rsidRPr="008640C4">
              <w:rPr>
                <w:lang w:val="en-GB"/>
              </w:rPr>
              <w:t>T</w:t>
            </w:r>
            <w:r w:rsidR="005521CD" w:rsidRPr="008640C4">
              <w:rPr>
                <w:lang w:val="en-GB"/>
              </w:rPr>
              <w: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D70FEC" w14:textId="77777777" w:rsidR="00AF3CD4" w:rsidRPr="008640C4" w:rsidRDefault="00AF3CD4" w:rsidP="005521CD">
            <w:pPr>
              <w:pStyle w:val="Tabletext"/>
              <w:rPr>
                <w:lang w:val="en-GB"/>
              </w:rPr>
            </w:pPr>
            <w:r w:rsidRPr="008640C4">
              <w:rPr>
                <w:lang w:val="en-GB"/>
              </w:rPr>
              <w:t>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8ABCB5" w14:textId="77777777" w:rsidR="00AF3CD4" w:rsidRPr="008640C4" w:rsidRDefault="00AF3CD4" w:rsidP="005521CD">
            <w:pPr>
              <w:pStyle w:val="Tabletext"/>
              <w:rPr>
                <w:lang w:val="en-GB"/>
              </w:rPr>
            </w:pPr>
            <w:r w:rsidRPr="008640C4">
              <w:rPr>
                <w:lang w:val="en-GB"/>
              </w:rPr>
              <w:t>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763BC8" w14:textId="77777777" w:rsidR="00AF3CD4" w:rsidRPr="008640C4" w:rsidRDefault="00AF3CD4" w:rsidP="005521CD">
            <w:pPr>
              <w:pStyle w:val="Tabletext"/>
              <w:rPr>
                <w:lang w:val="en-GB"/>
              </w:rPr>
            </w:pPr>
            <w:r w:rsidRPr="008640C4">
              <w:rPr>
                <w:lang w:val="en-GB"/>
              </w:rPr>
              <w:t>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E01AD4" w14:textId="77777777" w:rsidR="00AF3CD4" w:rsidRPr="008640C4" w:rsidRDefault="00AF3CD4" w:rsidP="005521CD">
            <w:pPr>
              <w:pStyle w:val="Tabletext"/>
              <w:rPr>
                <w:lang w:val="en-GB"/>
              </w:rPr>
            </w:pPr>
            <w:r w:rsidRPr="008640C4">
              <w:rPr>
                <w:lang w:val="en-GB"/>
              </w:rPr>
              <w:t>100.00%</w:t>
            </w:r>
          </w:p>
        </w:tc>
      </w:tr>
    </w:tbl>
    <w:p w14:paraId="1A164D02" w14:textId="77777777" w:rsidR="00AF3CD4" w:rsidRDefault="00AF3CD4" w:rsidP="009E3616">
      <w:pPr>
        <w:rPr>
          <w:lang w:val="en-GB"/>
        </w:rPr>
      </w:pPr>
    </w:p>
    <w:p w14:paraId="64951274" w14:textId="77777777" w:rsidR="00BB57DA" w:rsidRPr="00C0038A" w:rsidRDefault="001B009D" w:rsidP="005521CD">
      <w:pPr>
        <w:ind w:firstLine="284"/>
        <w:rPr>
          <w:spacing w:val="-2"/>
          <w:lang w:val="en-GB"/>
        </w:rPr>
      </w:pPr>
      <w:r w:rsidRPr="00C0038A">
        <w:rPr>
          <w:spacing w:val="-2"/>
          <w:lang w:val="en-GB"/>
        </w:rPr>
        <w:t xml:space="preserve">Due to the varied mass of materials contained in the mixed waste, their density is divided into individual streams. Therefore, the morphology of waste is needed to estimate the density of mixed waste. Table </w:t>
      </w:r>
      <w:r w:rsidR="006B762A" w:rsidRPr="00C0038A">
        <w:rPr>
          <w:spacing w:val="-2"/>
          <w:lang w:val="en-GB"/>
        </w:rPr>
        <w:t>2</w:t>
      </w:r>
      <w:r w:rsidRPr="00C0038A">
        <w:rPr>
          <w:spacing w:val="-2"/>
          <w:lang w:val="en-GB"/>
        </w:rPr>
        <w:t xml:space="preserve"> breaks down waste according to the fractions specified in the scope of their selection in </w:t>
      </w:r>
      <w:r w:rsidR="001A534D" w:rsidRPr="00C0038A">
        <w:rPr>
          <w:spacing w:val="-2"/>
          <w:lang w:val="en-GB"/>
        </w:rPr>
        <w:t>Wroclaw</w:t>
      </w:r>
      <w:r w:rsidRPr="00C0038A">
        <w:rPr>
          <w:spacing w:val="-2"/>
          <w:lang w:val="en-GB"/>
        </w:rPr>
        <w:t xml:space="preserve">. </w:t>
      </w:r>
      <w:r w:rsidR="00F069F6" w:rsidRPr="00C0038A">
        <w:rPr>
          <w:spacing w:val="-2"/>
          <w:lang w:val="en-GB"/>
        </w:rPr>
        <w:t>The percentage content of fractions in solid waste separated in this way was determined based on morphological tests</w:t>
      </w:r>
      <w:r w:rsidRPr="00C0038A">
        <w:rPr>
          <w:spacing w:val="-2"/>
          <w:lang w:val="en-GB"/>
        </w:rPr>
        <w:t>.</w:t>
      </w:r>
    </w:p>
    <w:p w14:paraId="45F1C5FB" w14:textId="78882159" w:rsidR="00FF748F" w:rsidRPr="008640C4" w:rsidRDefault="006B762A" w:rsidP="006053B6">
      <w:pPr>
        <w:pStyle w:val="TableTitel"/>
        <w:rPr>
          <w:lang w:val="en-GB"/>
        </w:rPr>
      </w:pPr>
      <w:r w:rsidRPr="008640C4">
        <w:rPr>
          <w:b/>
          <w:bCs/>
          <w:lang w:val="en-GB"/>
        </w:rPr>
        <w:lastRenderedPageBreak/>
        <w:t xml:space="preserve">Table </w:t>
      </w:r>
      <w:r w:rsidR="00D81B25" w:rsidRPr="008640C4">
        <w:rPr>
          <w:b/>
          <w:bCs/>
          <w:lang w:val="en-GB"/>
        </w:rPr>
        <w:fldChar w:fldCharType="begin"/>
      </w:r>
      <w:r w:rsidRPr="008640C4">
        <w:rPr>
          <w:b/>
          <w:bCs/>
          <w:lang w:val="en-GB"/>
        </w:rPr>
        <w:instrText xml:space="preserve"> SEQ tabelka\* ARABIC </w:instrText>
      </w:r>
      <w:r w:rsidR="00D81B25" w:rsidRPr="008640C4">
        <w:rPr>
          <w:b/>
          <w:bCs/>
          <w:lang w:val="en-GB"/>
        </w:rPr>
        <w:fldChar w:fldCharType="separate"/>
      </w:r>
      <w:r w:rsidR="00F04983">
        <w:rPr>
          <w:b/>
          <w:bCs/>
          <w:noProof/>
          <w:lang w:val="en-GB"/>
        </w:rPr>
        <w:t>2</w:t>
      </w:r>
      <w:r w:rsidR="00D81B25" w:rsidRPr="008640C4">
        <w:rPr>
          <w:b/>
          <w:bCs/>
          <w:lang w:val="en-GB"/>
        </w:rPr>
        <w:fldChar w:fldCharType="end"/>
      </w:r>
      <w:r w:rsidRPr="008640C4">
        <w:rPr>
          <w:b/>
          <w:bCs/>
          <w:lang w:val="en-GB"/>
        </w:rPr>
        <w:t>.</w:t>
      </w:r>
      <w:r w:rsidRPr="008640C4">
        <w:rPr>
          <w:lang w:val="en-GB"/>
        </w:rPr>
        <w:t xml:space="preserve"> </w:t>
      </w:r>
      <w:r w:rsidR="00FF748F" w:rsidRPr="008640C4">
        <w:rPr>
          <w:lang w:val="en-GB"/>
        </w:rPr>
        <w:t>Waste density by fraction</w:t>
      </w:r>
    </w:p>
    <w:tbl>
      <w:tblPr>
        <w:tblStyle w:val="Tabela-Siatka"/>
        <w:tblW w:w="0" w:type="auto"/>
        <w:jc w:val="center"/>
        <w:tblLook w:val="04A0" w:firstRow="1" w:lastRow="0" w:firstColumn="1" w:lastColumn="0" w:noHBand="0" w:noVBand="1"/>
      </w:tblPr>
      <w:tblGrid>
        <w:gridCol w:w="1464"/>
        <w:gridCol w:w="4175"/>
        <w:gridCol w:w="1149"/>
      </w:tblGrid>
      <w:tr w:rsidR="00C56699" w:rsidRPr="008640C4" w14:paraId="463EED9E" w14:textId="77777777" w:rsidTr="00C0038A">
        <w:trPr>
          <w:cantSplit/>
          <w:trHeight w:val="397"/>
          <w:jc w:val="center"/>
        </w:trPr>
        <w:tc>
          <w:tcPr>
            <w:tcW w:w="1464" w:type="dxa"/>
            <w:vAlign w:val="center"/>
          </w:tcPr>
          <w:p w14:paraId="6744FFDA" w14:textId="77777777" w:rsidR="00C56699" w:rsidRPr="008640C4" w:rsidRDefault="00C56699" w:rsidP="009E3616">
            <w:pPr>
              <w:pStyle w:val="Tabletext"/>
              <w:rPr>
                <w:lang w:val="en-GB"/>
              </w:rPr>
            </w:pPr>
            <w:r w:rsidRPr="008640C4">
              <w:rPr>
                <w:lang w:val="en-GB"/>
              </w:rPr>
              <w:t>Fraction</w:t>
            </w:r>
          </w:p>
        </w:tc>
        <w:tc>
          <w:tcPr>
            <w:tcW w:w="0" w:type="auto"/>
            <w:vAlign w:val="center"/>
          </w:tcPr>
          <w:p w14:paraId="5D184DF2" w14:textId="77777777" w:rsidR="00C56699" w:rsidRPr="008640C4" w:rsidRDefault="00C56699" w:rsidP="009E3616">
            <w:pPr>
              <w:pStyle w:val="Tabletext"/>
              <w:rPr>
                <w:lang w:val="en-GB"/>
              </w:rPr>
            </w:pPr>
            <w:r w:rsidRPr="008640C4">
              <w:rPr>
                <w:lang w:val="en-GB"/>
              </w:rPr>
              <w:t>kg/m</w:t>
            </w:r>
            <w:r w:rsidRPr="008640C4">
              <w:rPr>
                <w:vertAlign w:val="superscript"/>
                <w:lang w:val="en-GB"/>
              </w:rPr>
              <w:t>3</w:t>
            </w:r>
            <w:r w:rsidRPr="008640C4">
              <w:rPr>
                <w:lang w:val="en-GB"/>
              </w:rPr>
              <w:t xml:space="preserve"> for multi-family and single-family housing</w:t>
            </w:r>
          </w:p>
        </w:tc>
        <w:tc>
          <w:tcPr>
            <w:tcW w:w="1149" w:type="dxa"/>
            <w:vAlign w:val="center"/>
          </w:tcPr>
          <w:p w14:paraId="08733182" w14:textId="77777777" w:rsidR="00C56699" w:rsidRPr="008640C4" w:rsidRDefault="00E60BFB" w:rsidP="009E3616">
            <w:pPr>
              <w:pStyle w:val="Tabletext"/>
              <w:rPr>
                <w:lang w:val="en-GB"/>
              </w:rPr>
            </w:pPr>
            <w:r w:rsidRPr="008640C4">
              <w:rPr>
                <w:lang w:val="en-GB"/>
              </w:rPr>
              <w:t>%</w:t>
            </w:r>
          </w:p>
        </w:tc>
      </w:tr>
      <w:tr w:rsidR="00C56699" w:rsidRPr="008640C4" w14:paraId="2369EF27" w14:textId="77777777" w:rsidTr="004D4F7B">
        <w:trPr>
          <w:cantSplit/>
          <w:trHeight w:val="283"/>
          <w:jc w:val="center"/>
        </w:trPr>
        <w:tc>
          <w:tcPr>
            <w:tcW w:w="1464" w:type="dxa"/>
            <w:vAlign w:val="center"/>
          </w:tcPr>
          <w:p w14:paraId="772E925F" w14:textId="77777777" w:rsidR="00C56699" w:rsidRPr="008640C4" w:rsidRDefault="00C56699" w:rsidP="004D4F7B">
            <w:pPr>
              <w:pStyle w:val="Tabletext"/>
              <w:ind w:left="170"/>
              <w:jc w:val="left"/>
              <w:rPr>
                <w:lang w:val="en-GB"/>
              </w:rPr>
            </w:pPr>
            <w:r w:rsidRPr="008640C4">
              <w:rPr>
                <w:lang w:val="en-GB"/>
              </w:rPr>
              <w:t xml:space="preserve">Mixed </w:t>
            </w:r>
            <w:proofErr w:type="spellStart"/>
            <w:r w:rsidRPr="008640C4">
              <w:rPr>
                <w:lang w:val="en-GB"/>
              </w:rPr>
              <w:t>misc</w:t>
            </w:r>
            <w:proofErr w:type="spellEnd"/>
          </w:p>
        </w:tc>
        <w:tc>
          <w:tcPr>
            <w:tcW w:w="0" w:type="auto"/>
            <w:vAlign w:val="center"/>
          </w:tcPr>
          <w:p w14:paraId="50B24DC2" w14:textId="77777777" w:rsidR="00C56699" w:rsidRPr="008640C4" w:rsidRDefault="00C56699" w:rsidP="004D4F7B">
            <w:pPr>
              <w:pStyle w:val="Tabletext"/>
              <w:rPr>
                <w:lang w:val="en-GB"/>
              </w:rPr>
            </w:pPr>
            <w:r w:rsidRPr="008640C4">
              <w:rPr>
                <w:lang w:val="en-GB"/>
              </w:rPr>
              <w:t>200</w:t>
            </w:r>
          </w:p>
        </w:tc>
        <w:tc>
          <w:tcPr>
            <w:tcW w:w="1149" w:type="dxa"/>
            <w:vAlign w:val="center"/>
          </w:tcPr>
          <w:p w14:paraId="635DE012" w14:textId="77777777" w:rsidR="00C56699" w:rsidRPr="008640C4" w:rsidRDefault="00594EF7" w:rsidP="004D4F7B">
            <w:pPr>
              <w:pStyle w:val="Tabletext"/>
              <w:rPr>
                <w:lang w:val="en-GB"/>
              </w:rPr>
            </w:pPr>
            <w:r w:rsidRPr="008640C4">
              <w:rPr>
                <w:lang w:val="en-GB"/>
              </w:rPr>
              <w:t>19.68%</w:t>
            </w:r>
          </w:p>
        </w:tc>
      </w:tr>
      <w:tr w:rsidR="00C56699" w:rsidRPr="008640C4" w14:paraId="71C8718A" w14:textId="77777777" w:rsidTr="004D4F7B">
        <w:trPr>
          <w:cantSplit/>
          <w:trHeight w:val="283"/>
          <w:jc w:val="center"/>
        </w:trPr>
        <w:tc>
          <w:tcPr>
            <w:tcW w:w="1464" w:type="dxa"/>
            <w:vAlign w:val="center"/>
          </w:tcPr>
          <w:p w14:paraId="32087220" w14:textId="77777777" w:rsidR="00C56699" w:rsidRPr="008640C4" w:rsidRDefault="00C56699" w:rsidP="004D4F7B">
            <w:pPr>
              <w:pStyle w:val="Tabletext"/>
              <w:ind w:left="170"/>
              <w:jc w:val="left"/>
              <w:rPr>
                <w:lang w:val="en-GB"/>
              </w:rPr>
            </w:pPr>
            <w:r w:rsidRPr="008640C4">
              <w:rPr>
                <w:lang w:val="en-GB"/>
              </w:rPr>
              <w:t>Plastics</w:t>
            </w:r>
          </w:p>
        </w:tc>
        <w:tc>
          <w:tcPr>
            <w:tcW w:w="0" w:type="auto"/>
            <w:vAlign w:val="center"/>
          </w:tcPr>
          <w:p w14:paraId="090F0FFE" w14:textId="77777777" w:rsidR="00C56699" w:rsidRPr="008640C4" w:rsidRDefault="00C56699" w:rsidP="004D4F7B">
            <w:pPr>
              <w:pStyle w:val="Tabletext"/>
              <w:rPr>
                <w:lang w:val="en-GB"/>
              </w:rPr>
            </w:pPr>
            <w:r w:rsidRPr="008640C4">
              <w:rPr>
                <w:lang w:val="en-GB"/>
              </w:rPr>
              <w:t>30</w:t>
            </w:r>
          </w:p>
        </w:tc>
        <w:tc>
          <w:tcPr>
            <w:tcW w:w="1149" w:type="dxa"/>
            <w:vAlign w:val="center"/>
          </w:tcPr>
          <w:p w14:paraId="21E53900" w14:textId="77777777" w:rsidR="00C56699" w:rsidRPr="008640C4" w:rsidRDefault="00594EF7" w:rsidP="004D4F7B">
            <w:pPr>
              <w:pStyle w:val="Tabletext"/>
              <w:rPr>
                <w:lang w:val="en-GB"/>
              </w:rPr>
            </w:pPr>
            <w:r w:rsidRPr="008640C4">
              <w:rPr>
                <w:lang w:val="en-GB"/>
              </w:rPr>
              <w:t>13.64%</w:t>
            </w:r>
          </w:p>
        </w:tc>
      </w:tr>
      <w:tr w:rsidR="00C56699" w:rsidRPr="008640C4" w14:paraId="7386E5D6" w14:textId="77777777" w:rsidTr="004D4F7B">
        <w:trPr>
          <w:cantSplit/>
          <w:trHeight w:val="283"/>
          <w:jc w:val="center"/>
        </w:trPr>
        <w:tc>
          <w:tcPr>
            <w:tcW w:w="1464" w:type="dxa"/>
            <w:vAlign w:val="center"/>
          </w:tcPr>
          <w:p w14:paraId="31B8B258" w14:textId="77777777" w:rsidR="00C56699" w:rsidRPr="008640C4" w:rsidRDefault="00C56699" w:rsidP="004D4F7B">
            <w:pPr>
              <w:pStyle w:val="Tabletext"/>
              <w:ind w:left="170"/>
              <w:jc w:val="left"/>
              <w:rPr>
                <w:lang w:val="en-GB"/>
              </w:rPr>
            </w:pPr>
            <w:r w:rsidRPr="008640C4">
              <w:rPr>
                <w:lang w:val="en-GB"/>
              </w:rPr>
              <w:t>Paper</w:t>
            </w:r>
          </w:p>
        </w:tc>
        <w:tc>
          <w:tcPr>
            <w:tcW w:w="0" w:type="auto"/>
            <w:vAlign w:val="center"/>
          </w:tcPr>
          <w:p w14:paraId="159EB383" w14:textId="77777777" w:rsidR="00C56699" w:rsidRPr="008640C4" w:rsidRDefault="00C56699" w:rsidP="004D4F7B">
            <w:pPr>
              <w:pStyle w:val="Tabletext"/>
              <w:rPr>
                <w:lang w:val="en-GB"/>
              </w:rPr>
            </w:pPr>
            <w:r w:rsidRPr="008640C4">
              <w:rPr>
                <w:lang w:val="en-GB"/>
              </w:rPr>
              <w:t>140</w:t>
            </w:r>
          </w:p>
        </w:tc>
        <w:tc>
          <w:tcPr>
            <w:tcW w:w="1149" w:type="dxa"/>
            <w:vAlign w:val="center"/>
          </w:tcPr>
          <w:p w14:paraId="04595E64" w14:textId="77777777" w:rsidR="00C56699" w:rsidRPr="008640C4" w:rsidRDefault="00594EF7" w:rsidP="004D4F7B">
            <w:pPr>
              <w:pStyle w:val="Tabletext"/>
              <w:rPr>
                <w:lang w:val="en-GB"/>
              </w:rPr>
            </w:pPr>
            <w:r w:rsidRPr="008640C4">
              <w:rPr>
                <w:lang w:val="en-GB"/>
              </w:rPr>
              <w:t>12.43%</w:t>
            </w:r>
          </w:p>
        </w:tc>
      </w:tr>
      <w:tr w:rsidR="00C56699" w:rsidRPr="008640C4" w14:paraId="2CA2C6D8" w14:textId="77777777" w:rsidTr="004D4F7B">
        <w:trPr>
          <w:cantSplit/>
          <w:trHeight w:val="283"/>
          <w:jc w:val="center"/>
        </w:trPr>
        <w:tc>
          <w:tcPr>
            <w:tcW w:w="1464" w:type="dxa"/>
            <w:vAlign w:val="center"/>
          </w:tcPr>
          <w:p w14:paraId="192C35D6" w14:textId="77777777" w:rsidR="00C56699" w:rsidRPr="008640C4" w:rsidRDefault="00C56699" w:rsidP="004D4F7B">
            <w:pPr>
              <w:pStyle w:val="Tabletext"/>
              <w:ind w:left="170"/>
              <w:jc w:val="left"/>
              <w:rPr>
                <w:lang w:val="en-GB"/>
              </w:rPr>
            </w:pPr>
            <w:r w:rsidRPr="008640C4">
              <w:rPr>
                <w:lang w:val="en-GB"/>
              </w:rPr>
              <w:t>Glass</w:t>
            </w:r>
          </w:p>
        </w:tc>
        <w:tc>
          <w:tcPr>
            <w:tcW w:w="0" w:type="auto"/>
            <w:vAlign w:val="center"/>
          </w:tcPr>
          <w:p w14:paraId="501A0638" w14:textId="77777777" w:rsidR="00C56699" w:rsidRPr="008640C4" w:rsidRDefault="00C56699" w:rsidP="004D4F7B">
            <w:pPr>
              <w:pStyle w:val="Tabletext"/>
              <w:rPr>
                <w:lang w:val="en-GB"/>
              </w:rPr>
            </w:pPr>
            <w:r w:rsidRPr="008640C4">
              <w:rPr>
                <w:lang w:val="en-GB"/>
              </w:rPr>
              <w:t>310</w:t>
            </w:r>
          </w:p>
        </w:tc>
        <w:tc>
          <w:tcPr>
            <w:tcW w:w="1149" w:type="dxa"/>
            <w:vAlign w:val="center"/>
          </w:tcPr>
          <w:p w14:paraId="116D6405" w14:textId="77777777" w:rsidR="00C56699" w:rsidRPr="008640C4" w:rsidRDefault="00594EF7" w:rsidP="004D4F7B">
            <w:pPr>
              <w:pStyle w:val="Tabletext"/>
              <w:rPr>
                <w:lang w:val="en-GB"/>
              </w:rPr>
            </w:pPr>
            <w:r w:rsidRPr="008640C4">
              <w:rPr>
                <w:lang w:val="en-GB"/>
              </w:rPr>
              <w:t>12.91%</w:t>
            </w:r>
          </w:p>
        </w:tc>
      </w:tr>
      <w:tr w:rsidR="00C56699" w:rsidRPr="008640C4" w14:paraId="7E860395" w14:textId="77777777" w:rsidTr="004D4F7B">
        <w:trPr>
          <w:cantSplit/>
          <w:trHeight w:val="283"/>
          <w:jc w:val="center"/>
        </w:trPr>
        <w:tc>
          <w:tcPr>
            <w:tcW w:w="1464" w:type="dxa"/>
            <w:vAlign w:val="center"/>
          </w:tcPr>
          <w:p w14:paraId="7BB31AB1" w14:textId="77777777" w:rsidR="00C56699" w:rsidRPr="008640C4" w:rsidRDefault="00C56699" w:rsidP="004D4F7B">
            <w:pPr>
              <w:pStyle w:val="Tabletext"/>
              <w:ind w:left="170"/>
              <w:jc w:val="left"/>
              <w:rPr>
                <w:lang w:val="en-GB"/>
              </w:rPr>
            </w:pPr>
            <w:r w:rsidRPr="008640C4">
              <w:rPr>
                <w:lang w:val="en-GB"/>
              </w:rPr>
              <w:t>Bio</w:t>
            </w:r>
          </w:p>
        </w:tc>
        <w:tc>
          <w:tcPr>
            <w:tcW w:w="0" w:type="auto"/>
            <w:vAlign w:val="center"/>
          </w:tcPr>
          <w:p w14:paraId="2113EA6B" w14:textId="77777777" w:rsidR="00C56699" w:rsidRPr="008640C4" w:rsidRDefault="00C56699" w:rsidP="004D4F7B">
            <w:pPr>
              <w:pStyle w:val="Tabletext"/>
              <w:rPr>
                <w:lang w:val="en-GB"/>
              </w:rPr>
            </w:pPr>
            <w:r w:rsidRPr="008640C4">
              <w:rPr>
                <w:lang w:val="en-GB"/>
              </w:rPr>
              <w:t>300</w:t>
            </w:r>
          </w:p>
        </w:tc>
        <w:tc>
          <w:tcPr>
            <w:tcW w:w="1149" w:type="dxa"/>
            <w:vAlign w:val="center"/>
          </w:tcPr>
          <w:p w14:paraId="1414D6ED" w14:textId="77777777" w:rsidR="00C56699" w:rsidRPr="008640C4" w:rsidRDefault="00594EF7" w:rsidP="004D4F7B">
            <w:pPr>
              <w:pStyle w:val="Tabletext"/>
              <w:rPr>
                <w:lang w:val="en-GB"/>
              </w:rPr>
            </w:pPr>
            <w:r w:rsidRPr="008640C4">
              <w:rPr>
                <w:lang w:val="en-GB"/>
              </w:rPr>
              <w:t>41.34%</w:t>
            </w:r>
          </w:p>
        </w:tc>
      </w:tr>
    </w:tbl>
    <w:p w14:paraId="764461E3" w14:textId="77777777" w:rsidR="00BB57DA" w:rsidRPr="008640C4" w:rsidRDefault="00BB57DA" w:rsidP="009E3616">
      <w:pPr>
        <w:rPr>
          <w:lang w:val="en-GB"/>
        </w:rPr>
      </w:pPr>
    </w:p>
    <w:p w14:paraId="386C3DEC" w14:textId="77777777" w:rsidR="0081362C" w:rsidRPr="00C0038A" w:rsidRDefault="00220D49" w:rsidP="005521CD">
      <w:pPr>
        <w:ind w:firstLine="284"/>
        <w:rPr>
          <w:spacing w:val="-2"/>
          <w:lang w:val="en-GB"/>
        </w:rPr>
      </w:pPr>
      <w:r w:rsidRPr="00C0038A">
        <w:rPr>
          <w:spacing w:val="-2"/>
          <w:lang w:val="en-GB"/>
        </w:rPr>
        <w:t xml:space="preserve">Taking into account the percentage of </w:t>
      </w:r>
      <w:r w:rsidR="00F069F6" w:rsidRPr="00C0038A">
        <w:rPr>
          <w:spacing w:val="-2"/>
          <w:lang w:val="en-GB"/>
        </w:rPr>
        <w:t xml:space="preserve">the </w:t>
      </w:r>
      <w:r w:rsidRPr="00C0038A">
        <w:rPr>
          <w:spacing w:val="-2"/>
          <w:lang w:val="en-GB"/>
        </w:rPr>
        <w:t>population in sectors I</w:t>
      </w:r>
      <w:r w:rsidRPr="00C0038A">
        <w:rPr>
          <w:spacing w:val="-2"/>
          <w:vertAlign w:val="subscript"/>
          <w:lang w:val="en-GB"/>
        </w:rPr>
        <w:t>m1</w:t>
      </w:r>
      <w:r w:rsidRPr="00C0038A">
        <w:rPr>
          <w:spacing w:val="-2"/>
          <w:lang w:val="en-GB"/>
        </w:rPr>
        <w:t xml:space="preserve">, the number of people per sector </w:t>
      </w:r>
      <w:proofErr w:type="spellStart"/>
      <w:r w:rsidRPr="00C0038A">
        <w:rPr>
          <w:spacing w:val="-2"/>
          <w:lang w:val="en-GB"/>
        </w:rPr>
        <w:t>I</w:t>
      </w:r>
      <w:r w:rsidRPr="00C0038A">
        <w:rPr>
          <w:spacing w:val="-2"/>
          <w:vertAlign w:val="subscript"/>
          <w:lang w:val="en-GB"/>
        </w:rPr>
        <w:t>m</w:t>
      </w:r>
      <w:proofErr w:type="spellEnd"/>
      <w:r w:rsidRPr="00C0038A">
        <w:rPr>
          <w:spacing w:val="-2"/>
          <w:lang w:val="en-GB"/>
        </w:rPr>
        <w:t xml:space="preserve"> was calculated by multiplying the percentage share and the number of all inhabitants of </w:t>
      </w:r>
      <w:r w:rsidR="001A534D" w:rsidRPr="00C0038A">
        <w:rPr>
          <w:spacing w:val="-2"/>
          <w:lang w:val="en-GB"/>
        </w:rPr>
        <w:t>Wroclaw</w:t>
      </w:r>
      <w:r w:rsidRPr="00C0038A">
        <w:rPr>
          <w:spacing w:val="-2"/>
          <w:lang w:val="en-GB"/>
        </w:rPr>
        <w:t xml:space="preserve"> P</w:t>
      </w:r>
      <w:r w:rsidRPr="00C0038A">
        <w:rPr>
          <w:spacing w:val="-2"/>
          <w:vertAlign w:val="subscript"/>
          <w:lang w:val="en-GB"/>
        </w:rPr>
        <w:t>1</w:t>
      </w:r>
      <w:r w:rsidRPr="00C0038A">
        <w:rPr>
          <w:spacing w:val="-2"/>
          <w:lang w:val="en-GB"/>
        </w:rPr>
        <w:t xml:space="preserve"> </w:t>
      </w:r>
      <w:r w:rsidR="00CF3C4D" w:rsidRPr="00C0038A">
        <w:rPr>
          <w:spacing w:val="-2"/>
          <w:lang w:val="en-GB"/>
        </w:rPr>
        <w:t>–</w:t>
      </w:r>
      <w:r w:rsidRPr="00C0038A">
        <w:rPr>
          <w:spacing w:val="-2"/>
          <w:lang w:val="en-GB"/>
        </w:rPr>
        <w:t xml:space="preserve"> as for sector </w:t>
      </w:r>
      <w:r w:rsidR="00F069F6" w:rsidRPr="00C0038A">
        <w:rPr>
          <w:spacing w:val="-2"/>
          <w:lang w:val="en-GB"/>
        </w:rPr>
        <w:t>I</w:t>
      </w:r>
      <w:r w:rsidRPr="00C0038A">
        <w:rPr>
          <w:spacing w:val="-2"/>
          <w:lang w:val="en-GB"/>
        </w:rPr>
        <w:t xml:space="preserve"> (</w:t>
      </w:r>
      <w:r w:rsidR="00BB034A" w:rsidRPr="00C0038A">
        <w:rPr>
          <w:spacing w:val="-2"/>
          <w:lang w:val="en-GB"/>
        </w:rPr>
        <w:t>eq. 3)</w:t>
      </w:r>
      <w:r w:rsidRPr="00C0038A">
        <w:rPr>
          <w:spacing w:val="-2"/>
          <w:lang w:val="en-GB"/>
        </w:rPr>
        <w:t xml:space="preserve">. Percentage shares of inhabitants in sectors and the number of people are presented in </w:t>
      </w:r>
      <w:r w:rsidR="006B762A" w:rsidRPr="00C0038A">
        <w:rPr>
          <w:spacing w:val="-2"/>
          <w:lang w:val="en-GB"/>
        </w:rPr>
        <w:t>T</w:t>
      </w:r>
      <w:r w:rsidRPr="00C0038A">
        <w:rPr>
          <w:spacing w:val="-2"/>
          <w:lang w:val="en-GB"/>
        </w:rPr>
        <w:t xml:space="preserve">able </w:t>
      </w:r>
      <w:r w:rsidR="006B762A" w:rsidRPr="00C0038A">
        <w:rPr>
          <w:spacing w:val="-2"/>
          <w:lang w:val="en-GB"/>
        </w:rPr>
        <w:t>3</w:t>
      </w:r>
      <w:r w:rsidRPr="00C0038A">
        <w:rPr>
          <w:spacing w:val="-2"/>
          <w:lang w:val="en-GB"/>
        </w:rPr>
        <w:t>.</w:t>
      </w:r>
    </w:p>
    <w:p w14:paraId="2B905556" w14:textId="17D7ACEA" w:rsidR="00BB57DA" w:rsidRPr="008640C4" w:rsidRDefault="00BB034A" w:rsidP="001671A5">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1</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sub>
        </m:sSub>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3</w:t>
      </w:r>
      <w:r w:rsidR="00D81B25" w:rsidRPr="008640C4">
        <w:rPr>
          <w:noProof/>
          <w:lang w:val="en-GB"/>
        </w:rPr>
        <w:fldChar w:fldCharType="end"/>
      </w:r>
      <w:r w:rsidRPr="008640C4">
        <w:rPr>
          <w:lang w:val="en-GB"/>
        </w:rPr>
        <w:t>)</w:t>
      </w:r>
    </w:p>
    <w:p w14:paraId="5B268C79" w14:textId="1415A47F" w:rsidR="00065944" w:rsidRPr="008640C4" w:rsidRDefault="006B762A" w:rsidP="001671A5">
      <w:pPr>
        <w:pStyle w:val="Rtab"/>
        <w:rPr>
          <w:lang w:val="en-GB"/>
        </w:rPr>
      </w:pPr>
      <w:r w:rsidRPr="008640C4">
        <w:rPr>
          <w:b/>
          <w:bCs/>
          <w:lang w:val="en-GB"/>
        </w:rPr>
        <w:t xml:space="preserve">Table </w:t>
      </w:r>
      <w:r w:rsidR="00D81B25" w:rsidRPr="008640C4">
        <w:rPr>
          <w:b/>
          <w:bCs/>
          <w:noProof/>
          <w:lang w:val="en-GB"/>
        </w:rPr>
        <w:fldChar w:fldCharType="begin"/>
      </w:r>
      <w:r w:rsidRPr="008640C4">
        <w:rPr>
          <w:b/>
          <w:bCs/>
          <w:noProof/>
          <w:lang w:val="en-GB"/>
        </w:rPr>
        <w:instrText xml:space="preserve"> SEQ tabelka\* ARABIC </w:instrText>
      </w:r>
      <w:r w:rsidR="00D81B25" w:rsidRPr="008640C4">
        <w:rPr>
          <w:b/>
          <w:bCs/>
          <w:noProof/>
          <w:lang w:val="en-GB"/>
        </w:rPr>
        <w:fldChar w:fldCharType="separate"/>
      </w:r>
      <w:r w:rsidR="00F04983">
        <w:rPr>
          <w:b/>
          <w:bCs/>
          <w:noProof/>
          <w:lang w:val="en-GB"/>
        </w:rPr>
        <w:t>3</w:t>
      </w:r>
      <w:r w:rsidR="00D81B25" w:rsidRPr="008640C4">
        <w:rPr>
          <w:b/>
          <w:bCs/>
          <w:noProof/>
          <w:lang w:val="en-GB"/>
        </w:rPr>
        <w:fldChar w:fldCharType="end"/>
      </w:r>
      <w:r w:rsidRPr="008640C4">
        <w:rPr>
          <w:b/>
          <w:bCs/>
          <w:lang w:val="en-GB"/>
        </w:rPr>
        <w:t xml:space="preserve">. </w:t>
      </w:r>
      <w:r w:rsidR="00065944" w:rsidRPr="008640C4">
        <w:rPr>
          <w:lang w:val="en-GB"/>
        </w:rPr>
        <w:t>Number of peop</w:t>
      </w:r>
      <w:r w:rsidR="006053B6" w:rsidRPr="008640C4">
        <w:rPr>
          <w:lang w:val="en-GB"/>
        </w:rPr>
        <w:t>le living in particular sectors</w:t>
      </w:r>
    </w:p>
    <w:tbl>
      <w:tblPr>
        <w:tblW w:w="0" w:type="auto"/>
        <w:jc w:val="center"/>
        <w:tblCellMar>
          <w:left w:w="70" w:type="dxa"/>
          <w:right w:w="70" w:type="dxa"/>
        </w:tblCellMar>
        <w:tblLook w:val="04A0" w:firstRow="1" w:lastRow="0" w:firstColumn="1" w:lastColumn="0" w:noHBand="0" w:noVBand="1"/>
      </w:tblPr>
      <w:tblGrid>
        <w:gridCol w:w="651"/>
        <w:gridCol w:w="3030"/>
        <w:gridCol w:w="2977"/>
        <w:gridCol w:w="2970"/>
      </w:tblGrid>
      <w:tr w:rsidR="00065944" w:rsidRPr="008640C4" w14:paraId="4A272337" w14:textId="77777777" w:rsidTr="001671A5">
        <w:trPr>
          <w:trHeight w:val="389"/>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DBB1" w14:textId="77777777" w:rsidR="00065944" w:rsidRPr="008640C4" w:rsidRDefault="00065944" w:rsidP="009E3616">
            <w:pPr>
              <w:pStyle w:val="Tabletext"/>
              <w:rPr>
                <w:lang w:val="en-GB"/>
              </w:rPr>
            </w:pPr>
            <w:r w:rsidRPr="008640C4">
              <w:rPr>
                <w:lang w:val="en-GB"/>
              </w:rPr>
              <w:t>Sector</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14:paraId="09E3F80F" w14:textId="77777777" w:rsidR="00065944" w:rsidRPr="008640C4" w:rsidRDefault="00065944" w:rsidP="001671A5">
            <w:pPr>
              <w:pStyle w:val="Tabletext"/>
              <w:rPr>
                <w:lang w:val="en-GB"/>
              </w:rPr>
            </w:pPr>
            <w:r w:rsidRPr="008640C4">
              <w:rPr>
                <w:lang w:val="en-GB"/>
              </w:rPr>
              <w:t>Percentage share</w:t>
            </w:r>
            <w:r w:rsidR="001671A5" w:rsidRPr="008640C4">
              <w:rPr>
                <w:lang w:val="en-GB"/>
              </w:rPr>
              <w:t xml:space="preserve"> </w:t>
            </w:r>
            <w:r w:rsidRPr="008640C4">
              <w:rPr>
                <w:lang w:val="en-GB"/>
              </w:rPr>
              <w:t>of inhabitants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9B01A84" w14:textId="77777777" w:rsidR="00065944" w:rsidRPr="008640C4" w:rsidRDefault="00065944" w:rsidP="001671A5">
            <w:pPr>
              <w:pStyle w:val="Tabletext"/>
              <w:rPr>
                <w:lang w:val="en-GB"/>
              </w:rPr>
            </w:pPr>
            <w:r w:rsidRPr="008640C4">
              <w:rPr>
                <w:lang w:val="en-GB"/>
              </w:rPr>
              <w:t>Number of inhabitants</w:t>
            </w:r>
            <w:r w:rsidR="001671A5" w:rsidRPr="008640C4">
              <w:rPr>
                <w:lang w:val="en-GB"/>
              </w:rPr>
              <w:t xml:space="preserve"> </w:t>
            </w:r>
            <w:r w:rsidRPr="008640C4">
              <w:rPr>
                <w:lang w:val="en-GB"/>
              </w:rPr>
              <w:t xml:space="preserve">of </w:t>
            </w:r>
            <w:r w:rsidR="001A534D" w:rsidRPr="008640C4">
              <w:rPr>
                <w:lang w:val="en-GB"/>
              </w:rPr>
              <w:t>Wroclaw</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43F5DCDF" w14:textId="77777777" w:rsidR="00065944" w:rsidRPr="008640C4" w:rsidRDefault="00065944" w:rsidP="001671A5">
            <w:pPr>
              <w:pStyle w:val="Tabletext"/>
              <w:rPr>
                <w:lang w:val="en-GB"/>
              </w:rPr>
            </w:pPr>
            <w:r w:rsidRPr="008640C4">
              <w:rPr>
                <w:lang w:val="en-GB"/>
              </w:rPr>
              <w:t>Number of inhabitants</w:t>
            </w:r>
            <w:r w:rsidR="001671A5" w:rsidRPr="008640C4">
              <w:rPr>
                <w:lang w:val="en-GB"/>
              </w:rPr>
              <w:t xml:space="preserve"> </w:t>
            </w:r>
            <w:r w:rsidRPr="008640C4">
              <w:rPr>
                <w:lang w:val="en-GB"/>
              </w:rPr>
              <w:t>in sectors</w:t>
            </w:r>
          </w:p>
        </w:tc>
      </w:tr>
      <w:tr w:rsidR="00065944" w:rsidRPr="008640C4" w14:paraId="60FCB5DA" w14:textId="77777777" w:rsidTr="001671A5">
        <w:trPr>
          <w:trHeight w:val="283"/>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A7EC467" w14:textId="77777777" w:rsidR="00065944" w:rsidRPr="008640C4" w:rsidRDefault="003304C6" w:rsidP="009E3616">
            <w:pPr>
              <w:pStyle w:val="Tabletext"/>
              <w:rPr>
                <w:lang w:val="en-GB"/>
              </w:rPr>
            </w:pPr>
            <w:r w:rsidRPr="008640C4">
              <w:rPr>
                <w:lang w:val="en-GB"/>
              </w:rPr>
              <w:t>1</w:t>
            </w:r>
          </w:p>
        </w:tc>
        <w:tc>
          <w:tcPr>
            <w:tcW w:w="3030" w:type="dxa"/>
            <w:tcBorders>
              <w:top w:val="nil"/>
              <w:left w:val="nil"/>
              <w:bottom w:val="single" w:sz="4" w:space="0" w:color="auto"/>
              <w:right w:val="single" w:sz="4" w:space="0" w:color="auto"/>
            </w:tcBorders>
            <w:shd w:val="clear" w:color="auto" w:fill="auto"/>
            <w:vAlign w:val="center"/>
            <w:hideMark/>
          </w:tcPr>
          <w:p w14:paraId="4C4191F0" w14:textId="77777777" w:rsidR="00065944" w:rsidRPr="008640C4" w:rsidRDefault="00065944" w:rsidP="009E3616">
            <w:pPr>
              <w:pStyle w:val="Tabletext"/>
              <w:rPr>
                <w:lang w:val="en-GB"/>
              </w:rPr>
            </w:pPr>
            <w:r w:rsidRPr="008640C4">
              <w:rPr>
                <w:lang w:val="en-GB"/>
              </w:rPr>
              <w:t>28%</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87AF5" w14:textId="77777777" w:rsidR="00065944" w:rsidRPr="008640C4" w:rsidRDefault="00065944" w:rsidP="009E3616">
            <w:pPr>
              <w:pStyle w:val="Tabletext"/>
              <w:rPr>
                <w:lang w:val="en-GB"/>
              </w:rPr>
            </w:pPr>
            <w:r w:rsidRPr="008640C4">
              <w:rPr>
                <w:lang w:val="en-GB"/>
              </w:rPr>
              <w:t>631</w:t>
            </w:r>
            <w:r w:rsidR="00F069F6">
              <w:rPr>
                <w:lang w:val="en-GB"/>
              </w:rPr>
              <w:t>,</w:t>
            </w:r>
            <w:r w:rsidRPr="008640C4">
              <w:rPr>
                <w:lang w:val="en-GB"/>
              </w:rPr>
              <w:t>263</w:t>
            </w:r>
          </w:p>
        </w:tc>
        <w:tc>
          <w:tcPr>
            <w:tcW w:w="2970" w:type="dxa"/>
            <w:tcBorders>
              <w:top w:val="nil"/>
              <w:left w:val="nil"/>
              <w:bottom w:val="single" w:sz="4" w:space="0" w:color="auto"/>
              <w:right w:val="single" w:sz="4" w:space="0" w:color="auto"/>
            </w:tcBorders>
            <w:shd w:val="clear" w:color="auto" w:fill="auto"/>
            <w:noWrap/>
            <w:vAlign w:val="center"/>
            <w:hideMark/>
          </w:tcPr>
          <w:p w14:paraId="30E1C985" w14:textId="77777777" w:rsidR="00065944" w:rsidRPr="008640C4" w:rsidRDefault="00065944" w:rsidP="009E3616">
            <w:pPr>
              <w:pStyle w:val="Tabletext"/>
              <w:rPr>
                <w:lang w:val="en-GB"/>
              </w:rPr>
            </w:pPr>
            <w:r w:rsidRPr="008640C4">
              <w:rPr>
                <w:lang w:val="en-GB"/>
              </w:rPr>
              <w:t>176</w:t>
            </w:r>
            <w:r w:rsidR="00F069F6">
              <w:rPr>
                <w:lang w:val="en-GB"/>
              </w:rPr>
              <w:t>,</w:t>
            </w:r>
            <w:r w:rsidRPr="008640C4">
              <w:rPr>
                <w:lang w:val="en-GB"/>
              </w:rPr>
              <w:t>753</w:t>
            </w:r>
          </w:p>
        </w:tc>
      </w:tr>
      <w:tr w:rsidR="00065944" w:rsidRPr="008640C4" w14:paraId="730406A2" w14:textId="77777777" w:rsidTr="001671A5">
        <w:trPr>
          <w:trHeight w:val="283"/>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9D9516C" w14:textId="77777777" w:rsidR="00065944" w:rsidRPr="008640C4" w:rsidRDefault="003304C6" w:rsidP="009E3616">
            <w:pPr>
              <w:pStyle w:val="Tabletext"/>
              <w:rPr>
                <w:lang w:val="en-GB"/>
              </w:rPr>
            </w:pPr>
            <w:r w:rsidRPr="008640C4">
              <w:rPr>
                <w:lang w:val="en-GB"/>
              </w:rPr>
              <w:t>2</w:t>
            </w:r>
          </w:p>
        </w:tc>
        <w:tc>
          <w:tcPr>
            <w:tcW w:w="3030" w:type="dxa"/>
            <w:tcBorders>
              <w:top w:val="nil"/>
              <w:left w:val="nil"/>
              <w:bottom w:val="single" w:sz="4" w:space="0" w:color="auto"/>
              <w:right w:val="single" w:sz="4" w:space="0" w:color="auto"/>
            </w:tcBorders>
            <w:shd w:val="clear" w:color="auto" w:fill="auto"/>
            <w:vAlign w:val="center"/>
            <w:hideMark/>
          </w:tcPr>
          <w:p w14:paraId="0115854A" w14:textId="77777777" w:rsidR="00065944" w:rsidRPr="008640C4" w:rsidRDefault="00065944" w:rsidP="009E3616">
            <w:pPr>
              <w:pStyle w:val="Tabletext"/>
              <w:rPr>
                <w:lang w:val="en-GB"/>
              </w:rPr>
            </w:pPr>
            <w:r w:rsidRPr="008640C4">
              <w:rPr>
                <w:lang w:val="en-GB"/>
              </w:rPr>
              <w:t>15%</w:t>
            </w:r>
          </w:p>
        </w:tc>
        <w:tc>
          <w:tcPr>
            <w:tcW w:w="2977" w:type="dxa"/>
            <w:vMerge/>
            <w:tcBorders>
              <w:top w:val="nil"/>
              <w:left w:val="single" w:sz="4" w:space="0" w:color="auto"/>
              <w:bottom w:val="single" w:sz="4" w:space="0" w:color="auto"/>
              <w:right w:val="single" w:sz="4" w:space="0" w:color="auto"/>
            </w:tcBorders>
            <w:vAlign w:val="center"/>
            <w:hideMark/>
          </w:tcPr>
          <w:p w14:paraId="31A70E52" w14:textId="77777777" w:rsidR="00065944" w:rsidRPr="008640C4" w:rsidRDefault="00065944" w:rsidP="009E3616">
            <w:pPr>
              <w:pStyle w:val="Tabletext"/>
              <w:rPr>
                <w:lang w:val="en-GB"/>
              </w:rPr>
            </w:pPr>
          </w:p>
        </w:tc>
        <w:tc>
          <w:tcPr>
            <w:tcW w:w="2970" w:type="dxa"/>
            <w:tcBorders>
              <w:top w:val="nil"/>
              <w:left w:val="nil"/>
              <w:bottom w:val="single" w:sz="4" w:space="0" w:color="auto"/>
              <w:right w:val="single" w:sz="4" w:space="0" w:color="auto"/>
            </w:tcBorders>
            <w:shd w:val="clear" w:color="auto" w:fill="auto"/>
            <w:noWrap/>
            <w:vAlign w:val="center"/>
            <w:hideMark/>
          </w:tcPr>
          <w:p w14:paraId="70DD4098" w14:textId="77777777" w:rsidR="00065944" w:rsidRPr="008640C4" w:rsidRDefault="00065944" w:rsidP="009E3616">
            <w:pPr>
              <w:pStyle w:val="Tabletext"/>
              <w:rPr>
                <w:lang w:val="en-GB"/>
              </w:rPr>
            </w:pPr>
            <w:r w:rsidRPr="008640C4">
              <w:rPr>
                <w:lang w:val="en-GB"/>
              </w:rPr>
              <w:t>94</w:t>
            </w:r>
            <w:r w:rsidR="00F069F6">
              <w:rPr>
                <w:lang w:val="en-GB"/>
              </w:rPr>
              <w:t>,</w:t>
            </w:r>
            <w:r w:rsidRPr="008640C4">
              <w:rPr>
                <w:lang w:val="en-GB"/>
              </w:rPr>
              <w:t>689</w:t>
            </w:r>
          </w:p>
        </w:tc>
      </w:tr>
      <w:tr w:rsidR="00065944" w:rsidRPr="008640C4" w14:paraId="4844629E" w14:textId="77777777" w:rsidTr="001671A5">
        <w:trPr>
          <w:trHeight w:val="283"/>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C7F5D60" w14:textId="77777777" w:rsidR="00065944" w:rsidRPr="008640C4" w:rsidRDefault="003304C6" w:rsidP="009E3616">
            <w:pPr>
              <w:pStyle w:val="Tabletext"/>
              <w:rPr>
                <w:lang w:val="en-GB"/>
              </w:rPr>
            </w:pPr>
            <w:r w:rsidRPr="008640C4">
              <w:rPr>
                <w:lang w:val="en-GB"/>
              </w:rPr>
              <w:t>3</w:t>
            </w:r>
          </w:p>
        </w:tc>
        <w:tc>
          <w:tcPr>
            <w:tcW w:w="3030" w:type="dxa"/>
            <w:tcBorders>
              <w:top w:val="nil"/>
              <w:left w:val="nil"/>
              <w:bottom w:val="single" w:sz="4" w:space="0" w:color="auto"/>
              <w:right w:val="single" w:sz="4" w:space="0" w:color="auto"/>
            </w:tcBorders>
            <w:shd w:val="clear" w:color="auto" w:fill="auto"/>
            <w:vAlign w:val="center"/>
            <w:hideMark/>
          </w:tcPr>
          <w:p w14:paraId="3D2E14B3" w14:textId="77777777" w:rsidR="00065944" w:rsidRPr="008640C4" w:rsidRDefault="00065944" w:rsidP="009E3616">
            <w:pPr>
              <w:pStyle w:val="Tabletext"/>
              <w:rPr>
                <w:lang w:val="en-GB"/>
              </w:rPr>
            </w:pPr>
            <w:r w:rsidRPr="008640C4">
              <w:rPr>
                <w:lang w:val="en-GB"/>
              </w:rPr>
              <w:t>31%</w:t>
            </w:r>
          </w:p>
        </w:tc>
        <w:tc>
          <w:tcPr>
            <w:tcW w:w="2977" w:type="dxa"/>
            <w:vMerge/>
            <w:tcBorders>
              <w:top w:val="nil"/>
              <w:left w:val="single" w:sz="4" w:space="0" w:color="auto"/>
              <w:bottom w:val="single" w:sz="4" w:space="0" w:color="auto"/>
              <w:right w:val="single" w:sz="4" w:space="0" w:color="auto"/>
            </w:tcBorders>
            <w:vAlign w:val="center"/>
            <w:hideMark/>
          </w:tcPr>
          <w:p w14:paraId="2BDCF55D" w14:textId="77777777" w:rsidR="00065944" w:rsidRPr="008640C4" w:rsidRDefault="00065944" w:rsidP="009E3616">
            <w:pPr>
              <w:pStyle w:val="Tabletext"/>
              <w:rPr>
                <w:lang w:val="en-GB"/>
              </w:rPr>
            </w:pPr>
          </w:p>
        </w:tc>
        <w:tc>
          <w:tcPr>
            <w:tcW w:w="2970" w:type="dxa"/>
            <w:tcBorders>
              <w:top w:val="nil"/>
              <w:left w:val="nil"/>
              <w:bottom w:val="single" w:sz="4" w:space="0" w:color="auto"/>
              <w:right w:val="single" w:sz="4" w:space="0" w:color="auto"/>
            </w:tcBorders>
            <w:shd w:val="clear" w:color="auto" w:fill="auto"/>
            <w:noWrap/>
            <w:vAlign w:val="center"/>
            <w:hideMark/>
          </w:tcPr>
          <w:p w14:paraId="56BDBE8F" w14:textId="77777777" w:rsidR="00065944" w:rsidRPr="008640C4" w:rsidRDefault="00065944" w:rsidP="009E3616">
            <w:pPr>
              <w:pStyle w:val="Tabletext"/>
              <w:rPr>
                <w:lang w:val="en-GB"/>
              </w:rPr>
            </w:pPr>
            <w:r w:rsidRPr="008640C4">
              <w:rPr>
                <w:lang w:val="en-GB"/>
              </w:rPr>
              <w:t>195</w:t>
            </w:r>
            <w:r w:rsidR="00F069F6">
              <w:rPr>
                <w:lang w:val="en-GB"/>
              </w:rPr>
              <w:t>,</w:t>
            </w:r>
            <w:r w:rsidRPr="008640C4">
              <w:rPr>
                <w:lang w:val="en-GB"/>
              </w:rPr>
              <w:t>691</w:t>
            </w:r>
          </w:p>
        </w:tc>
      </w:tr>
      <w:tr w:rsidR="00065944" w:rsidRPr="008640C4" w14:paraId="3983714D" w14:textId="77777777" w:rsidTr="001671A5">
        <w:trPr>
          <w:trHeight w:val="283"/>
          <w:jc w:val="center"/>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02882C1B" w14:textId="77777777" w:rsidR="00065944" w:rsidRPr="008640C4" w:rsidRDefault="003304C6" w:rsidP="009E3616">
            <w:pPr>
              <w:pStyle w:val="Tabletext"/>
              <w:rPr>
                <w:lang w:val="en-GB"/>
              </w:rPr>
            </w:pPr>
            <w:r w:rsidRPr="008640C4">
              <w:rPr>
                <w:lang w:val="en-GB"/>
              </w:rPr>
              <w:t>4</w:t>
            </w:r>
          </w:p>
        </w:tc>
        <w:tc>
          <w:tcPr>
            <w:tcW w:w="3030" w:type="dxa"/>
            <w:tcBorders>
              <w:top w:val="nil"/>
              <w:left w:val="nil"/>
              <w:bottom w:val="single" w:sz="4" w:space="0" w:color="auto"/>
              <w:right w:val="single" w:sz="4" w:space="0" w:color="auto"/>
            </w:tcBorders>
            <w:shd w:val="clear" w:color="auto" w:fill="auto"/>
            <w:vAlign w:val="center"/>
            <w:hideMark/>
          </w:tcPr>
          <w:p w14:paraId="3D10C015" w14:textId="77777777" w:rsidR="00065944" w:rsidRPr="008640C4" w:rsidRDefault="00065944" w:rsidP="009E3616">
            <w:pPr>
              <w:pStyle w:val="Tabletext"/>
              <w:rPr>
                <w:lang w:val="en-GB"/>
              </w:rPr>
            </w:pPr>
            <w:r w:rsidRPr="008640C4">
              <w:rPr>
                <w:lang w:val="en-GB"/>
              </w:rPr>
              <w:t>26%</w:t>
            </w:r>
          </w:p>
        </w:tc>
        <w:tc>
          <w:tcPr>
            <w:tcW w:w="2977" w:type="dxa"/>
            <w:vMerge/>
            <w:tcBorders>
              <w:top w:val="nil"/>
              <w:left w:val="single" w:sz="4" w:space="0" w:color="auto"/>
              <w:bottom w:val="single" w:sz="4" w:space="0" w:color="auto"/>
              <w:right w:val="single" w:sz="4" w:space="0" w:color="auto"/>
            </w:tcBorders>
            <w:vAlign w:val="center"/>
            <w:hideMark/>
          </w:tcPr>
          <w:p w14:paraId="46A5A8EB" w14:textId="77777777" w:rsidR="00065944" w:rsidRPr="008640C4" w:rsidRDefault="00065944" w:rsidP="009E3616">
            <w:pPr>
              <w:pStyle w:val="Tabletext"/>
              <w:rPr>
                <w:lang w:val="en-GB"/>
              </w:rPr>
            </w:pPr>
          </w:p>
        </w:tc>
        <w:tc>
          <w:tcPr>
            <w:tcW w:w="2970" w:type="dxa"/>
            <w:tcBorders>
              <w:top w:val="nil"/>
              <w:left w:val="nil"/>
              <w:bottom w:val="single" w:sz="4" w:space="0" w:color="auto"/>
              <w:right w:val="single" w:sz="4" w:space="0" w:color="auto"/>
            </w:tcBorders>
            <w:shd w:val="clear" w:color="auto" w:fill="auto"/>
            <w:noWrap/>
            <w:vAlign w:val="center"/>
            <w:hideMark/>
          </w:tcPr>
          <w:p w14:paraId="5C4E0E32" w14:textId="77777777" w:rsidR="00065944" w:rsidRPr="008640C4" w:rsidRDefault="00065944" w:rsidP="009E3616">
            <w:pPr>
              <w:pStyle w:val="Tabletext"/>
              <w:rPr>
                <w:lang w:val="en-GB"/>
              </w:rPr>
            </w:pPr>
            <w:r w:rsidRPr="008640C4">
              <w:rPr>
                <w:lang w:val="en-GB"/>
              </w:rPr>
              <w:t>164</w:t>
            </w:r>
            <w:r w:rsidR="00F069F6">
              <w:rPr>
                <w:lang w:val="en-GB"/>
              </w:rPr>
              <w:t>,</w:t>
            </w:r>
            <w:r w:rsidRPr="008640C4">
              <w:rPr>
                <w:lang w:val="en-GB"/>
              </w:rPr>
              <w:t>128</w:t>
            </w:r>
          </w:p>
        </w:tc>
      </w:tr>
    </w:tbl>
    <w:p w14:paraId="029E6859" w14:textId="77777777" w:rsidR="00711356" w:rsidRPr="008640C4" w:rsidRDefault="00711356" w:rsidP="009E3616">
      <w:pPr>
        <w:rPr>
          <w:lang w:val="en-GB"/>
        </w:rPr>
      </w:pPr>
    </w:p>
    <w:p w14:paraId="1215DBDA" w14:textId="77777777" w:rsidR="002D0311" w:rsidRPr="00876031" w:rsidRDefault="00F069F6" w:rsidP="001671A5">
      <w:pPr>
        <w:ind w:firstLine="284"/>
        <w:rPr>
          <w:spacing w:val="-2"/>
          <w:lang w:val="en-GB"/>
        </w:rPr>
      </w:pPr>
      <w:r>
        <w:rPr>
          <w:spacing w:val="-2"/>
          <w:lang w:val="en-GB"/>
        </w:rPr>
        <w:t>I</w:t>
      </w:r>
      <w:r w:rsidR="00C959A9" w:rsidRPr="00876031">
        <w:rPr>
          <w:spacing w:val="-2"/>
          <w:lang w:val="en-GB"/>
        </w:rPr>
        <w:t xml:space="preserve">t is possible to calculate how much was generated in each </w:t>
      </w:r>
      <w:r>
        <w:rPr>
          <w:spacing w:val="-2"/>
          <w:lang w:val="en-GB"/>
        </w:rPr>
        <w:t>sector</w:t>
      </w:r>
      <w:r w:rsidRPr="00F069F6">
        <w:rPr>
          <w:spacing w:val="-2"/>
          <w:lang w:val="en-GB"/>
        </w:rPr>
        <w:t xml:space="preserve"> </w:t>
      </w:r>
      <w:r>
        <w:rPr>
          <w:spacing w:val="-2"/>
          <w:lang w:val="en-GB"/>
        </w:rPr>
        <w:t>by k</w:t>
      </w:r>
      <w:r w:rsidRPr="00876031">
        <w:rPr>
          <w:spacing w:val="-2"/>
          <w:lang w:val="en-GB"/>
        </w:rPr>
        <w:t>nowing the amount of mixed and segregated municipal waste generated in 2018</w:t>
      </w:r>
      <w:r w:rsidR="00C959A9" w:rsidRPr="00876031">
        <w:rPr>
          <w:spacing w:val="-2"/>
          <w:lang w:val="en-GB"/>
        </w:rPr>
        <w:t xml:space="preserve">. Inhabited and uninhabited properties are included in the calculations (as mentioned in this section, only mixed municipal waste is estimated). Research shows that in 2018, about 201976 </w:t>
      </w:r>
      <w:r w:rsidR="00CD416B" w:rsidRPr="00876031">
        <w:rPr>
          <w:spacing w:val="-2"/>
          <w:lang w:val="en-GB"/>
        </w:rPr>
        <w:t>[</w:t>
      </w:r>
      <w:r w:rsidR="00C959A9" w:rsidRPr="00876031">
        <w:rPr>
          <w:spacing w:val="-2"/>
          <w:lang w:val="en-GB"/>
        </w:rPr>
        <w:t>Mg</w:t>
      </w:r>
      <w:r w:rsidR="00CD416B" w:rsidRPr="00876031">
        <w:rPr>
          <w:spacing w:val="-2"/>
          <w:lang w:val="en-GB"/>
        </w:rPr>
        <w:t>]</w:t>
      </w:r>
      <w:r w:rsidR="00C959A9" w:rsidRPr="00876031">
        <w:rPr>
          <w:spacing w:val="-2"/>
          <w:lang w:val="en-GB"/>
        </w:rPr>
        <w:t xml:space="preserve"> of mixed municipal waste </w:t>
      </w:r>
      <w:proofErr w:type="spellStart"/>
      <w:r w:rsidR="00C959A9" w:rsidRPr="00876031">
        <w:rPr>
          <w:spacing w:val="-2"/>
          <w:lang w:val="en-GB"/>
        </w:rPr>
        <w:t>Z</w:t>
      </w:r>
      <w:r w:rsidR="00C959A9" w:rsidRPr="00876031">
        <w:rPr>
          <w:spacing w:val="-2"/>
          <w:vertAlign w:val="subscript"/>
          <w:lang w:val="en-GB"/>
        </w:rPr>
        <w:t>w</w:t>
      </w:r>
      <w:proofErr w:type="spellEnd"/>
      <w:r w:rsidR="00C959A9" w:rsidRPr="00876031">
        <w:rPr>
          <w:spacing w:val="-2"/>
          <w:vertAlign w:val="subscript"/>
          <w:lang w:val="en-GB"/>
        </w:rPr>
        <w:t xml:space="preserve"> </w:t>
      </w:r>
      <w:r w:rsidR="00C959A9" w:rsidRPr="00876031">
        <w:rPr>
          <w:spacing w:val="-2"/>
          <w:lang w:val="en-GB"/>
        </w:rPr>
        <w:t xml:space="preserve">was generated in </w:t>
      </w:r>
      <w:r w:rsidR="001A534D" w:rsidRPr="00876031">
        <w:rPr>
          <w:spacing w:val="-2"/>
          <w:lang w:val="en-GB"/>
        </w:rPr>
        <w:t>Wroclaw</w:t>
      </w:r>
      <w:r w:rsidR="00C959A9" w:rsidRPr="00876031">
        <w:rPr>
          <w:spacing w:val="-2"/>
          <w:lang w:val="en-GB"/>
        </w:rPr>
        <w:t xml:space="preserve">. Dividing their number by the number of inhabitants </w:t>
      </w:r>
      <w:proofErr w:type="spellStart"/>
      <w:r w:rsidR="00C959A9" w:rsidRPr="00876031">
        <w:rPr>
          <w:spacing w:val="-2"/>
          <w:lang w:val="en-GB"/>
        </w:rPr>
        <w:t>I</w:t>
      </w:r>
      <w:r w:rsidR="00C959A9" w:rsidRPr="00876031">
        <w:rPr>
          <w:spacing w:val="-2"/>
          <w:vertAlign w:val="subscript"/>
          <w:lang w:val="en-GB"/>
        </w:rPr>
        <w:t>m</w:t>
      </w:r>
      <w:proofErr w:type="spellEnd"/>
      <w:r w:rsidR="00C959A9" w:rsidRPr="00876031">
        <w:rPr>
          <w:spacing w:val="-2"/>
          <w:lang w:val="en-GB"/>
        </w:rPr>
        <w:t xml:space="preserve"> we reach the amount of mixed waste per capita Z</w:t>
      </w:r>
      <w:r w:rsidR="00C959A9" w:rsidRPr="00876031">
        <w:rPr>
          <w:spacing w:val="-2"/>
          <w:vertAlign w:val="subscript"/>
          <w:lang w:val="en-GB"/>
        </w:rPr>
        <w:t>o</w:t>
      </w:r>
      <w:r w:rsidR="00C959A9" w:rsidRPr="00876031">
        <w:rPr>
          <w:spacing w:val="-2"/>
          <w:lang w:val="en-GB"/>
        </w:rPr>
        <w:t xml:space="preserve"> (</w:t>
      </w:r>
      <w:r w:rsidR="0067574B">
        <w:rPr>
          <w:spacing w:val="-2"/>
          <w:lang w:val="en-GB"/>
        </w:rPr>
        <w:t>eq. 4</w:t>
      </w:r>
      <w:r w:rsidR="00C959A9" w:rsidRPr="00876031">
        <w:rPr>
          <w:spacing w:val="-2"/>
          <w:lang w:val="en-GB"/>
        </w:rPr>
        <w:t>). It is then multiplied by the percentage share of the population in each sector I</w:t>
      </w:r>
      <w:r w:rsidR="00C959A9" w:rsidRPr="00876031">
        <w:rPr>
          <w:spacing w:val="-2"/>
          <w:vertAlign w:val="subscript"/>
          <w:lang w:val="en-GB"/>
        </w:rPr>
        <w:t>m1</w:t>
      </w:r>
      <w:r w:rsidR="00C959A9" w:rsidRPr="00876031">
        <w:rPr>
          <w:spacing w:val="-2"/>
          <w:lang w:val="en-GB"/>
        </w:rPr>
        <w:t>, and we get the potential amount of mixed waste generated in these sectors Z</w:t>
      </w:r>
      <w:r w:rsidR="00C959A9" w:rsidRPr="00876031">
        <w:rPr>
          <w:spacing w:val="-2"/>
          <w:vertAlign w:val="subscript"/>
          <w:lang w:val="en-GB"/>
        </w:rPr>
        <w:t>m1</w:t>
      </w:r>
      <w:r w:rsidR="00C959A9" w:rsidRPr="00876031">
        <w:rPr>
          <w:spacing w:val="-2"/>
          <w:lang w:val="en-GB"/>
        </w:rPr>
        <w:t xml:space="preserve"> (</w:t>
      </w:r>
      <w:r w:rsidR="0067574B">
        <w:rPr>
          <w:spacing w:val="-2"/>
          <w:lang w:val="en-GB"/>
        </w:rPr>
        <w:t>eq. 5</w:t>
      </w:r>
      <w:r w:rsidR="00C959A9" w:rsidRPr="00876031">
        <w:rPr>
          <w:spacing w:val="-2"/>
          <w:lang w:val="en-GB"/>
        </w:rPr>
        <w:t>). The amount of mixed waste per capita and per sector is presented in Table 4.</w:t>
      </w:r>
    </w:p>
    <w:p w14:paraId="6B9FF28B" w14:textId="6BAC4C64" w:rsidR="0002578B" w:rsidRPr="008640C4" w:rsidRDefault="00BB034A" w:rsidP="001671A5">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Z</m:t>
            </m:r>
          </m:e>
          <m:sub>
            <m:r>
              <w:rPr>
                <w:rFonts w:ascii="Cambria Math" w:hAnsi="Cambria Math"/>
                <w:lang w:val="en-GB"/>
              </w:rPr>
              <m:t>o</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z</m:t>
                </m:r>
              </m:e>
              <m:sub>
                <m:r>
                  <w:rPr>
                    <w:rFonts w:ascii="Cambria Math" w:hAnsi="Cambria Math"/>
                    <w:lang w:val="en-GB"/>
                  </w:rPr>
                  <m:t>w</m:t>
                </m:r>
              </m:sub>
            </m:sSub>
          </m:num>
          <m:den>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sub>
            </m:sSub>
          </m:den>
        </m:f>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4</w:t>
      </w:r>
      <w:r w:rsidR="00D81B25" w:rsidRPr="008640C4">
        <w:rPr>
          <w:noProof/>
          <w:lang w:val="en-GB"/>
        </w:rPr>
        <w:fldChar w:fldCharType="end"/>
      </w:r>
      <w:r w:rsidRPr="008640C4">
        <w:rPr>
          <w:lang w:val="en-GB"/>
        </w:rPr>
        <w:t>)</w:t>
      </w:r>
    </w:p>
    <w:p w14:paraId="72289FC0" w14:textId="089B022E" w:rsidR="007233FD" w:rsidRPr="008640C4" w:rsidRDefault="0002578B" w:rsidP="001671A5">
      <w:pPr>
        <w:pStyle w:val="Rwnanie"/>
        <w:tabs>
          <w:tab w:val="clear" w:pos="9072"/>
          <w:tab w:val="right" w:pos="9638"/>
        </w:tabs>
        <w:spacing w:before="120" w:after="120"/>
        <w:rPr>
          <w:noProof/>
          <w:lang w:val="en-GB"/>
        </w:rPr>
      </w:pPr>
      <w:r w:rsidRPr="008640C4">
        <w:rPr>
          <w:lang w:val="en-GB"/>
        </w:rPr>
        <w:tab/>
      </w:r>
      <m:oMath>
        <m:sSub>
          <m:sSubPr>
            <m:ctrlPr>
              <w:rPr>
                <w:rFonts w:ascii="Cambria Math" w:hAnsi="Cambria Math"/>
                <w:lang w:val="en-GB"/>
              </w:rPr>
            </m:ctrlPr>
          </m:sSubPr>
          <m:e>
            <m:r>
              <w:rPr>
                <w:rFonts w:ascii="Cambria Math" w:hAnsi="Cambria Math"/>
                <w:lang w:val="en-GB"/>
              </w:rPr>
              <m:t>Z</m:t>
            </m:r>
          </m:e>
          <m:sub>
            <m:r>
              <w:rPr>
                <w:rFonts w:ascii="Cambria Math" w:hAnsi="Cambria Math"/>
                <w:lang w:val="en-GB"/>
              </w:rPr>
              <m:t>m</m:t>
            </m:r>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r>
              <m:rPr>
                <m:sty m:val="p"/>
              </m:rPr>
              <w:rPr>
                <w:rFonts w:ascii="Cambria Math" w:hAnsi="Cambria Math"/>
                <w:lang w:val="en-GB"/>
              </w:rPr>
              <m:t>1</m:t>
            </m:r>
          </m:sub>
        </m:sSub>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Z</m:t>
            </m:r>
          </m:e>
          <m:sub>
            <m:r>
              <w:rPr>
                <w:rFonts w:ascii="Cambria Math" w:hAnsi="Cambria Math"/>
                <w:lang w:val="en-GB"/>
              </w:rPr>
              <m:t>o</m:t>
            </m:r>
          </m:sub>
        </m:sSub>
      </m:oMath>
      <w:r w:rsidR="00BB034A" w:rsidRPr="008640C4">
        <w:rPr>
          <w:lang w:val="en-GB"/>
        </w:rPr>
        <w:tab/>
        <w:t>(</w:t>
      </w:r>
      <w:r w:rsidR="00D81B25" w:rsidRPr="008640C4">
        <w:rPr>
          <w:noProof/>
          <w:lang w:val="en-GB"/>
        </w:rPr>
        <w:fldChar w:fldCharType="begin"/>
      </w:r>
      <w:r w:rsidR="00BB034A" w:rsidRPr="008640C4">
        <w:rPr>
          <w:noProof/>
          <w:lang w:val="en-GB"/>
        </w:rPr>
        <w:instrText xml:space="preserve"> SEQ równanie\* ARABIC </w:instrText>
      </w:r>
      <w:r w:rsidR="00D81B25" w:rsidRPr="008640C4">
        <w:rPr>
          <w:noProof/>
          <w:lang w:val="en-GB"/>
        </w:rPr>
        <w:fldChar w:fldCharType="separate"/>
      </w:r>
      <w:r w:rsidR="00F04983">
        <w:rPr>
          <w:noProof/>
          <w:lang w:val="en-GB"/>
        </w:rPr>
        <w:t>5</w:t>
      </w:r>
      <w:r w:rsidR="00D81B25" w:rsidRPr="008640C4">
        <w:rPr>
          <w:noProof/>
          <w:lang w:val="en-GB"/>
        </w:rPr>
        <w:fldChar w:fldCharType="end"/>
      </w:r>
      <w:r w:rsidR="00BB034A" w:rsidRPr="008640C4">
        <w:rPr>
          <w:lang w:val="en-GB"/>
        </w:rPr>
        <w:t>)</w:t>
      </w:r>
    </w:p>
    <w:p w14:paraId="1B858043" w14:textId="5FFE4531" w:rsidR="005846B3" w:rsidRPr="008640C4" w:rsidRDefault="006B762A" w:rsidP="006053B6">
      <w:pPr>
        <w:pStyle w:val="TableTitel"/>
        <w:rPr>
          <w:lang w:val="en-GB"/>
        </w:rPr>
      </w:pPr>
      <w:r w:rsidRPr="008640C4">
        <w:rPr>
          <w:b/>
          <w:bCs/>
          <w:lang w:val="en-GB"/>
        </w:rPr>
        <w:t xml:space="preserve">Table </w:t>
      </w:r>
      <w:r w:rsidR="00D81B25" w:rsidRPr="008640C4">
        <w:rPr>
          <w:b/>
          <w:bCs/>
          <w:noProof/>
          <w:lang w:val="en-GB"/>
        </w:rPr>
        <w:fldChar w:fldCharType="begin"/>
      </w:r>
      <w:r w:rsidRPr="008640C4">
        <w:rPr>
          <w:b/>
          <w:bCs/>
          <w:noProof/>
          <w:lang w:val="en-GB"/>
        </w:rPr>
        <w:instrText xml:space="preserve"> SEQ tabelka\* ARABIC </w:instrText>
      </w:r>
      <w:r w:rsidR="00D81B25" w:rsidRPr="008640C4">
        <w:rPr>
          <w:b/>
          <w:bCs/>
          <w:noProof/>
          <w:lang w:val="en-GB"/>
        </w:rPr>
        <w:fldChar w:fldCharType="separate"/>
      </w:r>
      <w:r w:rsidR="00F04983">
        <w:rPr>
          <w:b/>
          <w:bCs/>
          <w:noProof/>
          <w:lang w:val="en-GB"/>
        </w:rPr>
        <w:t>4</w:t>
      </w:r>
      <w:r w:rsidR="00D81B25" w:rsidRPr="008640C4">
        <w:rPr>
          <w:b/>
          <w:bCs/>
          <w:noProof/>
          <w:lang w:val="en-GB"/>
        </w:rPr>
        <w:fldChar w:fldCharType="end"/>
      </w:r>
      <w:r w:rsidRPr="008640C4">
        <w:rPr>
          <w:b/>
          <w:bCs/>
          <w:lang w:val="en-GB"/>
        </w:rPr>
        <w:t xml:space="preserve">. </w:t>
      </w:r>
      <w:r w:rsidR="001A65FF" w:rsidRPr="008640C4">
        <w:rPr>
          <w:lang w:val="en-GB"/>
        </w:rPr>
        <w:t>Amount of mixed municipal waste generat</w:t>
      </w:r>
      <w:r w:rsidR="006053B6" w:rsidRPr="008640C4">
        <w:rPr>
          <w:lang w:val="en-GB"/>
        </w:rPr>
        <w:t>ed in individual sectors,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2923"/>
        <w:gridCol w:w="4472"/>
      </w:tblGrid>
      <w:tr w:rsidR="004B4BF8" w:rsidRPr="008640C4" w14:paraId="4D63C30B" w14:textId="77777777" w:rsidTr="00C0038A">
        <w:trPr>
          <w:cantSplit/>
          <w:trHeight w:val="315"/>
          <w:jc w:val="center"/>
        </w:trPr>
        <w:tc>
          <w:tcPr>
            <w:tcW w:w="0" w:type="auto"/>
            <w:shd w:val="clear" w:color="auto" w:fill="auto"/>
            <w:noWrap/>
            <w:vAlign w:val="center"/>
            <w:hideMark/>
          </w:tcPr>
          <w:p w14:paraId="6B965963" w14:textId="77777777" w:rsidR="004B4BF8" w:rsidRPr="008640C4" w:rsidRDefault="004B4BF8" w:rsidP="009E3616">
            <w:pPr>
              <w:pStyle w:val="Tabletext"/>
              <w:rPr>
                <w:lang w:val="en-GB"/>
              </w:rPr>
            </w:pPr>
            <w:r w:rsidRPr="008640C4">
              <w:rPr>
                <w:lang w:val="en-GB"/>
              </w:rPr>
              <w:t>segregated</w:t>
            </w:r>
          </w:p>
        </w:tc>
        <w:tc>
          <w:tcPr>
            <w:tcW w:w="0" w:type="auto"/>
            <w:shd w:val="clear" w:color="auto" w:fill="auto"/>
            <w:noWrap/>
            <w:vAlign w:val="center"/>
            <w:hideMark/>
          </w:tcPr>
          <w:p w14:paraId="01F01D03" w14:textId="77777777" w:rsidR="004B4BF8" w:rsidRPr="008640C4" w:rsidRDefault="004B4BF8" w:rsidP="009E3616">
            <w:pPr>
              <w:pStyle w:val="Tabletext"/>
              <w:rPr>
                <w:lang w:val="en-GB"/>
              </w:rPr>
            </w:pPr>
            <w:r w:rsidRPr="008640C4">
              <w:rPr>
                <w:lang w:val="en-GB"/>
              </w:rPr>
              <w:t>mixed</w:t>
            </w:r>
          </w:p>
        </w:tc>
        <w:tc>
          <w:tcPr>
            <w:tcW w:w="4472" w:type="dxa"/>
            <w:shd w:val="clear" w:color="auto" w:fill="auto"/>
            <w:noWrap/>
            <w:vAlign w:val="center"/>
            <w:hideMark/>
          </w:tcPr>
          <w:p w14:paraId="73959AE2" w14:textId="77777777" w:rsidR="004B4BF8" w:rsidRPr="008640C4" w:rsidRDefault="004B4BF8" w:rsidP="009E3616">
            <w:pPr>
              <w:pStyle w:val="Tabletext"/>
              <w:rPr>
                <w:lang w:val="en-GB"/>
              </w:rPr>
            </w:pPr>
            <w:r w:rsidRPr="008640C4">
              <w:rPr>
                <w:lang w:val="en-GB"/>
              </w:rPr>
              <w:t>total</w:t>
            </w:r>
          </w:p>
        </w:tc>
      </w:tr>
      <w:tr w:rsidR="004B4BF8" w:rsidRPr="008640C4" w14:paraId="5AFC5697" w14:textId="77777777" w:rsidTr="00C0038A">
        <w:trPr>
          <w:cantSplit/>
          <w:trHeight w:val="315"/>
          <w:jc w:val="center"/>
        </w:trPr>
        <w:tc>
          <w:tcPr>
            <w:tcW w:w="0" w:type="auto"/>
            <w:shd w:val="clear" w:color="auto" w:fill="auto"/>
            <w:noWrap/>
            <w:vAlign w:val="center"/>
            <w:hideMark/>
          </w:tcPr>
          <w:p w14:paraId="073E5FFB" w14:textId="77777777" w:rsidR="004B4BF8" w:rsidRPr="008640C4" w:rsidRDefault="004B4BF8" w:rsidP="009E3616">
            <w:pPr>
              <w:pStyle w:val="Tabletext"/>
              <w:rPr>
                <w:lang w:val="en-GB"/>
              </w:rPr>
            </w:pPr>
            <w:r w:rsidRPr="008640C4">
              <w:rPr>
                <w:lang w:val="en-GB"/>
              </w:rPr>
              <w:t>164</w:t>
            </w:r>
            <w:r w:rsidR="00F069F6">
              <w:rPr>
                <w:lang w:val="en-GB"/>
              </w:rPr>
              <w:t>,</w:t>
            </w:r>
            <w:r w:rsidRPr="008640C4">
              <w:rPr>
                <w:lang w:val="en-GB"/>
              </w:rPr>
              <w:t>398.40</w:t>
            </w:r>
          </w:p>
        </w:tc>
        <w:tc>
          <w:tcPr>
            <w:tcW w:w="0" w:type="auto"/>
            <w:shd w:val="clear" w:color="auto" w:fill="auto"/>
            <w:noWrap/>
            <w:vAlign w:val="center"/>
            <w:hideMark/>
          </w:tcPr>
          <w:p w14:paraId="7EF4D1A2" w14:textId="77777777" w:rsidR="004B4BF8" w:rsidRPr="008640C4" w:rsidRDefault="004B4BF8" w:rsidP="009E3616">
            <w:pPr>
              <w:pStyle w:val="Tabletext"/>
              <w:rPr>
                <w:lang w:val="en-GB"/>
              </w:rPr>
            </w:pPr>
            <w:r w:rsidRPr="008640C4">
              <w:rPr>
                <w:lang w:val="en-GB"/>
              </w:rPr>
              <w:t>201</w:t>
            </w:r>
            <w:r w:rsidR="00F069F6">
              <w:rPr>
                <w:lang w:val="en-GB"/>
              </w:rPr>
              <w:t>,</w:t>
            </w:r>
            <w:r w:rsidRPr="008640C4">
              <w:rPr>
                <w:lang w:val="en-GB"/>
              </w:rPr>
              <w:t>976.10</w:t>
            </w:r>
          </w:p>
        </w:tc>
        <w:tc>
          <w:tcPr>
            <w:tcW w:w="4472" w:type="dxa"/>
            <w:shd w:val="clear" w:color="auto" w:fill="auto"/>
            <w:noWrap/>
            <w:vAlign w:val="center"/>
            <w:hideMark/>
          </w:tcPr>
          <w:p w14:paraId="111B2F90" w14:textId="77777777" w:rsidR="004B4BF8" w:rsidRPr="008640C4" w:rsidRDefault="004B4BF8" w:rsidP="009E3616">
            <w:pPr>
              <w:pStyle w:val="Tabletext"/>
              <w:rPr>
                <w:lang w:val="en-GB"/>
              </w:rPr>
            </w:pPr>
            <w:r w:rsidRPr="008640C4">
              <w:rPr>
                <w:lang w:val="en-GB"/>
              </w:rPr>
              <w:t>366</w:t>
            </w:r>
            <w:r w:rsidR="00F069F6">
              <w:rPr>
                <w:lang w:val="en-GB"/>
              </w:rPr>
              <w:t>,</w:t>
            </w:r>
            <w:r w:rsidRPr="008640C4">
              <w:rPr>
                <w:lang w:val="en-GB"/>
              </w:rPr>
              <w:t>374.50</w:t>
            </w:r>
          </w:p>
        </w:tc>
      </w:tr>
      <w:tr w:rsidR="004B4BF8" w:rsidRPr="008640C4" w14:paraId="244DCD9A" w14:textId="77777777" w:rsidTr="00C0038A">
        <w:trPr>
          <w:cantSplit/>
          <w:trHeight w:val="315"/>
          <w:jc w:val="center"/>
        </w:trPr>
        <w:tc>
          <w:tcPr>
            <w:tcW w:w="8435" w:type="dxa"/>
            <w:gridSpan w:val="3"/>
            <w:shd w:val="clear" w:color="auto" w:fill="auto"/>
            <w:noWrap/>
            <w:vAlign w:val="center"/>
            <w:hideMark/>
          </w:tcPr>
          <w:p w14:paraId="1D92D04D" w14:textId="77777777" w:rsidR="004B4BF8" w:rsidRPr="008640C4" w:rsidRDefault="004B4BF8" w:rsidP="009E3616">
            <w:pPr>
              <w:pStyle w:val="Tabletext"/>
              <w:rPr>
                <w:lang w:val="en-GB"/>
              </w:rPr>
            </w:pPr>
            <w:r w:rsidRPr="008640C4">
              <w:rPr>
                <w:lang w:val="en-GB"/>
              </w:rPr>
              <w:t xml:space="preserve">Number of inhabitants of </w:t>
            </w:r>
            <w:r w:rsidR="001A534D" w:rsidRPr="008640C4">
              <w:rPr>
                <w:lang w:val="en-GB"/>
              </w:rPr>
              <w:t>Wroclaw</w:t>
            </w:r>
            <w:r w:rsidRPr="008640C4">
              <w:rPr>
                <w:lang w:val="en-GB"/>
              </w:rPr>
              <w:t xml:space="preserve"> as of 2014</w:t>
            </w:r>
          </w:p>
        </w:tc>
      </w:tr>
      <w:tr w:rsidR="004B4BF8" w:rsidRPr="008640C4" w14:paraId="2BF296F3" w14:textId="77777777" w:rsidTr="00C0038A">
        <w:trPr>
          <w:cantSplit/>
          <w:trHeight w:val="315"/>
          <w:jc w:val="center"/>
        </w:trPr>
        <w:tc>
          <w:tcPr>
            <w:tcW w:w="8435" w:type="dxa"/>
            <w:gridSpan w:val="3"/>
            <w:shd w:val="clear" w:color="auto" w:fill="auto"/>
            <w:noWrap/>
            <w:vAlign w:val="center"/>
            <w:hideMark/>
          </w:tcPr>
          <w:p w14:paraId="57D54630" w14:textId="77777777" w:rsidR="004B4BF8" w:rsidRPr="008640C4" w:rsidRDefault="004B4BF8" w:rsidP="009E3616">
            <w:pPr>
              <w:pStyle w:val="Tabletext"/>
              <w:rPr>
                <w:lang w:val="en-GB"/>
              </w:rPr>
            </w:pPr>
            <w:r w:rsidRPr="008640C4">
              <w:rPr>
                <w:lang w:val="en-GB"/>
              </w:rPr>
              <w:t>631</w:t>
            </w:r>
            <w:r w:rsidR="00F069F6">
              <w:rPr>
                <w:lang w:val="en-GB"/>
              </w:rPr>
              <w:t>,</w:t>
            </w:r>
            <w:r w:rsidRPr="008640C4">
              <w:rPr>
                <w:lang w:val="en-GB"/>
              </w:rPr>
              <w:t>263</w:t>
            </w:r>
          </w:p>
        </w:tc>
      </w:tr>
      <w:tr w:rsidR="004B4BF8" w:rsidRPr="008640C4" w14:paraId="4EA3FD52" w14:textId="77777777" w:rsidTr="00C0038A">
        <w:trPr>
          <w:cantSplit/>
          <w:trHeight w:val="350"/>
          <w:jc w:val="center"/>
        </w:trPr>
        <w:tc>
          <w:tcPr>
            <w:tcW w:w="8435" w:type="dxa"/>
            <w:gridSpan w:val="3"/>
            <w:shd w:val="clear" w:color="auto" w:fill="auto"/>
            <w:vAlign w:val="center"/>
            <w:hideMark/>
          </w:tcPr>
          <w:p w14:paraId="1495B741" w14:textId="77777777" w:rsidR="004B4BF8" w:rsidRPr="008640C4" w:rsidRDefault="004B4BF8" w:rsidP="009E3616">
            <w:pPr>
              <w:pStyle w:val="Tabletext"/>
              <w:rPr>
                <w:lang w:val="en-GB"/>
              </w:rPr>
            </w:pPr>
            <w:r w:rsidRPr="008640C4">
              <w:rPr>
                <w:lang w:val="en-GB"/>
              </w:rPr>
              <w:t xml:space="preserve">Amount of mixed waste per person in Mg in </w:t>
            </w:r>
            <w:r w:rsidR="001A534D" w:rsidRPr="008640C4">
              <w:rPr>
                <w:lang w:val="en-GB"/>
              </w:rPr>
              <w:t>Wroclaw</w:t>
            </w:r>
          </w:p>
        </w:tc>
      </w:tr>
      <w:tr w:rsidR="004B4BF8" w:rsidRPr="008640C4" w14:paraId="454208C9" w14:textId="77777777" w:rsidTr="00C0038A">
        <w:trPr>
          <w:cantSplit/>
          <w:trHeight w:val="315"/>
          <w:jc w:val="center"/>
        </w:trPr>
        <w:tc>
          <w:tcPr>
            <w:tcW w:w="8435" w:type="dxa"/>
            <w:gridSpan w:val="3"/>
            <w:shd w:val="clear" w:color="auto" w:fill="auto"/>
            <w:noWrap/>
            <w:vAlign w:val="center"/>
            <w:hideMark/>
          </w:tcPr>
          <w:p w14:paraId="043A2249" w14:textId="77777777" w:rsidR="004B4BF8" w:rsidRPr="008640C4" w:rsidRDefault="004B4BF8" w:rsidP="009E3616">
            <w:pPr>
              <w:pStyle w:val="Tabletext"/>
              <w:rPr>
                <w:lang w:val="en-GB"/>
              </w:rPr>
            </w:pPr>
            <w:r w:rsidRPr="008640C4">
              <w:rPr>
                <w:lang w:val="en-GB"/>
              </w:rPr>
              <w:t>0.320</w:t>
            </w:r>
          </w:p>
        </w:tc>
      </w:tr>
      <w:tr w:rsidR="004B4BF8" w:rsidRPr="008640C4" w14:paraId="1A3F6A05" w14:textId="77777777" w:rsidTr="00C0038A">
        <w:trPr>
          <w:cantSplit/>
          <w:trHeight w:val="378"/>
          <w:jc w:val="center"/>
        </w:trPr>
        <w:tc>
          <w:tcPr>
            <w:tcW w:w="0" w:type="auto"/>
            <w:shd w:val="clear" w:color="auto" w:fill="auto"/>
            <w:noWrap/>
            <w:vAlign w:val="center"/>
            <w:hideMark/>
          </w:tcPr>
          <w:p w14:paraId="1157DEB0" w14:textId="77777777" w:rsidR="004B4BF8" w:rsidRPr="008640C4" w:rsidRDefault="004B4BF8" w:rsidP="009E3616">
            <w:pPr>
              <w:pStyle w:val="Tabletext"/>
              <w:rPr>
                <w:lang w:val="en-GB"/>
              </w:rPr>
            </w:pPr>
            <w:r w:rsidRPr="008640C4">
              <w:rPr>
                <w:lang w:val="en-GB"/>
              </w:rPr>
              <w:t>Sector</w:t>
            </w:r>
          </w:p>
        </w:tc>
        <w:tc>
          <w:tcPr>
            <w:tcW w:w="0" w:type="auto"/>
            <w:shd w:val="clear" w:color="auto" w:fill="auto"/>
            <w:vAlign w:val="center"/>
            <w:hideMark/>
          </w:tcPr>
          <w:p w14:paraId="7306CD57" w14:textId="77777777" w:rsidR="004B4BF8" w:rsidRPr="008640C4" w:rsidRDefault="004B4BF8" w:rsidP="009E3616">
            <w:pPr>
              <w:pStyle w:val="Tabletext"/>
              <w:rPr>
                <w:lang w:val="en-GB"/>
              </w:rPr>
            </w:pPr>
            <w:r w:rsidRPr="008640C4">
              <w:rPr>
                <w:lang w:val="en-GB"/>
              </w:rPr>
              <w:t>number of inhabitants in the sector</w:t>
            </w:r>
          </w:p>
        </w:tc>
        <w:tc>
          <w:tcPr>
            <w:tcW w:w="4472" w:type="dxa"/>
            <w:shd w:val="clear" w:color="auto" w:fill="auto"/>
            <w:vAlign w:val="center"/>
            <w:hideMark/>
          </w:tcPr>
          <w:p w14:paraId="670086C7" w14:textId="77777777" w:rsidR="004B4BF8" w:rsidRPr="008640C4" w:rsidRDefault="004B4BF8" w:rsidP="009E3616">
            <w:pPr>
              <w:pStyle w:val="Tabletext"/>
              <w:rPr>
                <w:lang w:val="en-GB"/>
              </w:rPr>
            </w:pPr>
            <w:r w:rsidRPr="008640C4">
              <w:rPr>
                <w:lang w:val="en-GB"/>
              </w:rPr>
              <w:t>amount of mixed waste generated in the sector in Mg</w:t>
            </w:r>
          </w:p>
        </w:tc>
      </w:tr>
      <w:tr w:rsidR="004B4BF8" w:rsidRPr="008640C4" w14:paraId="0DC2ECB0" w14:textId="77777777" w:rsidTr="00C0038A">
        <w:trPr>
          <w:cantSplit/>
          <w:trHeight w:val="392"/>
          <w:jc w:val="center"/>
        </w:trPr>
        <w:tc>
          <w:tcPr>
            <w:tcW w:w="0" w:type="auto"/>
            <w:shd w:val="clear" w:color="auto" w:fill="auto"/>
            <w:vAlign w:val="center"/>
            <w:hideMark/>
          </w:tcPr>
          <w:p w14:paraId="0DD3009C" w14:textId="77777777" w:rsidR="004B4BF8" w:rsidRPr="008640C4" w:rsidRDefault="00EA1DD6" w:rsidP="009E3616">
            <w:pPr>
              <w:pStyle w:val="Tabletext"/>
              <w:rPr>
                <w:lang w:val="en-GB"/>
              </w:rPr>
            </w:pPr>
            <w:r w:rsidRPr="008640C4">
              <w:rPr>
                <w:lang w:val="en-GB"/>
              </w:rPr>
              <w:t>1</w:t>
            </w:r>
          </w:p>
        </w:tc>
        <w:tc>
          <w:tcPr>
            <w:tcW w:w="0" w:type="auto"/>
            <w:shd w:val="clear" w:color="auto" w:fill="auto"/>
            <w:noWrap/>
            <w:vAlign w:val="center"/>
            <w:hideMark/>
          </w:tcPr>
          <w:p w14:paraId="72CB1C63" w14:textId="77777777" w:rsidR="004B4BF8" w:rsidRPr="008640C4" w:rsidRDefault="004B4BF8" w:rsidP="009E3616">
            <w:pPr>
              <w:pStyle w:val="Tabletext"/>
              <w:rPr>
                <w:lang w:val="en-GB"/>
              </w:rPr>
            </w:pPr>
            <w:r w:rsidRPr="008640C4">
              <w:rPr>
                <w:lang w:val="en-GB"/>
              </w:rPr>
              <w:t>176</w:t>
            </w:r>
            <w:r w:rsidR="00F069F6">
              <w:rPr>
                <w:lang w:val="en-GB"/>
              </w:rPr>
              <w:t>,</w:t>
            </w:r>
            <w:r w:rsidRPr="008640C4">
              <w:rPr>
                <w:lang w:val="en-GB"/>
              </w:rPr>
              <w:t>753</w:t>
            </w:r>
          </w:p>
        </w:tc>
        <w:tc>
          <w:tcPr>
            <w:tcW w:w="4472" w:type="dxa"/>
            <w:shd w:val="clear" w:color="auto" w:fill="auto"/>
            <w:noWrap/>
            <w:vAlign w:val="center"/>
            <w:hideMark/>
          </w:tcPr>
          <w:p w14:paraId="750CF93F" w14:textId="77777777" w:rsidR="004B4BF8" w:rsidRPr="008640C4" w:rsidRDefault="004B4BF8" w:rsidP="009E3616">
            <w:pPr>
              <w:pStyle w:val="Tabletext"/>
              <w:rPr>
                <w:lang w:val="en-GB"/>
              </w:rPr>
            </w:pPr>
            <w:r w:rsidRPr="008640C4">
              <w:rPr>
                <w:lang w:val="en-GB"/>
              </w:rPr>
              <w:t>56</w:t>
            </w:r>
            <w:r w:rsidR="00F069F6">
              <w:rPr>
                <w:lang w:val="en-GB"/>
              </w:rPr>
              <w:t>,</w:t>
            </w:r>
            <w:r w:rsidRPr="008640C4">
              <w:rPr>
                <w:lang w:val="en-GB"/>
              </w:rPr>
              <w:t>553</w:t>
            </w:r>
          </w:p>
        </w:tc>
      </w:tr>
      <w:tr w:rsidR="004B4BF8" w:rsidRPr="008640C4" w14:paraId="07FBC127" w14:textId="77777777" w:rsidTr="00C0038A">
        <w:trPr>
          <w:cantSplit/>
          <w:trHeight w:val="315"/>
          <w:jc w:val="center"/>
        </w:trPr>
        <w:tc>
          <w:tcPr>
            <w:tcW w:w="0" w:type="auto"/>
            <w:shd w:val="clear" w:color="auto" w:fill="auto"/>
            <w:vAlign w:val="center"/>
            <w:hideMark/>
          </w:tcPr>
          <w:p w14:paraId="09FEC6BA" w14:textId="77777777" w:rsidR="004B4BF8" w:rsidRPr="008640C4" w:rsidRDefault="00EA1DD6" w:rsidP="009E3616">
            <w:pPr>
              <w:pStyle w:val="Tabletext"/>
              <w:rPr>
                <w:lang w:val="en-GB"/>
              </w:rPr>
            </w:pPr>
            <w:r w:rsidRPr="008640C4">
              <w:rPr>
                <w:lang w:val="en-GB"/>
              </w:rPr>
              <w:t>2</w:t>
            </w:r>
          </w:p>
        </w:tc>
        <w:tc>
          <w:tcPr>
            <w:tcW w:w="0" w:type="auto"/>
            <w:shd w:val="clear" w:color="auto" w:fill="auto"/>
            <w:noWrap/>
            <w:vAlign w:val="center"/>
            <w:hideMark/>
          </w:tcPr>
          <w:p w14:paraId="0E1A762F" w14:textId="77777777" w:rsidR="004B4BF8" w:rsidRPr="008640C4" w:rsidRDefault="004B4BF8" w:rsidP="009E3616">
            <w:pPr>
              <w:pStyle w:val="Tabletext"/>
              <w:rPr>
                <w:lang w:val="en-GB"/>
              </w:rPr>
            </w:pPr>
            <w:r w:rsidRPr="008640C4">
              <w:rPr>
                <w:lang w:val="en-GB"/>
              </w:rPr>
              <w:t>94</w:t>
            </w:r>
            <w:r w:rsidR="00F069F6">
              <w:rPr>
                <w:lang w:val="en-GB"/>
              </w:rPr>
              <w:t>,</w:t>
            </w:r>
            <w:r w:rsidRPr="008640C4">
              <w:rPr>
                <w:lang w:val="en-GB"/>
              </w:rPr>
              <w:t>689</w:t>
            </w:r>
          </w:p>
        </w:tc>
        <w:tc>
          <w:tcPr>
            <w:tcW w:w="4472" w:type="dxa"/>
            <w:shd w:val="clear" w:color="auto" w:fill="auto"/>
            <w:noWrap/>
            <w:vAlign w:val="center"/>
            <w:hideMark/>
          </w:tcPr>
          <w:p w14:paraId="2834ADC9" w14:textId="77777777" w:rsidR="004B4BF8" w:rsidRPr="008640C4" w:rsidRDefault="004B4BF8" w:rsidP="009E3616">
            <w:pPr>
              <w:pStyle w:val="Tabletext"/>
              <w:rPr>
                <w:lang w:val="en-GB"/>
              </w:rPr>
            </w:pPr>
            <w:r w:rsidRPr="008640C4">
              <w:rPr>
                <w:lang w:val="en-GB"/>
              </w:rPr>
              <w:t>30</w:t>
            </w:r>
            <w:r w:rsidR="00F069F6">
              <w:rPr>
                <w:lang w:val="en-GB"/>
              </w:rPr>
              <w:t>,</w:t>
            </w:r>
            <w:r w:rsidRPr="008640C4">
              <w:rPr>
                <w:lang w:val="en-GB"/>
              </w:rPr>
              <w:t>296</w:t>
            </w:r>
          </w:p>
        </w:tc>
      </w:tr>
      <w:tr w:rsidR="004B4BF8" w:rsidRPr="008640C4" w14:paraId="79BE8C05" w14:textId="77777777" w:rsidTr="00C0038A">
        <w:trPr>
          <w:cantSplit/>
          <w:trHeight w:val="315"/>
          <w:jc w:val="center"/>
        </w:trPr>
        <w:tc>
          <w:tcPr>
            <w:tcW w:w="0" w:type="auto"/>
            <w:shd w:val="clear" w:color="auto" w:fill="auto"/>
            <w:vAlign w:val="center"/>
            <w:hideMark/>
          </w:tcPr>
          <w:p w14:paraId="602DB36F" w14:textId="77777777" w:rsidR="004B4BF8" w:rsidRPr="008640C4" w:rsidRDefault="00EA1DD6" w:rsidP="009E3616">
            <w:pPr>
              <w:pStyle w:val="Tabletext"/>
              <w:rPr>
                <w:lang w:val="en-GB"/>
              </w:rPr>
            </w:pPr>
            <w:r w:rsidRPr="008640C4">
              <w:rPr>
                <w:lang w:val="en-GB"/>
              </w:rPr>
              <w:t>3</w:t>
            </w:r>
          </w:p>
        </w:tc>
        <w:tc>
          <w:tcPr>
            <w:tcW w:w="0" w:type="auto"/>
            <w:shd w:val="clear" w:color="auto" w:fill="auto"/>
            <w:noWrap/>
            <w:vAlign w:val="center"/>
            <w:hideMark/>
          </w:tcPr>
          <w:p w14:paraId="544980FD" w14:textId="77777777" w:rsidR="004B4BF8" w:rsidRPr="008640C4" w:rsidRDefault="004B4BF8" w:rsidP="009E3616">
            <w:pPr>
              <w:pStyle w:val="Tabletext"/>
              <w:rPr>
                <w:lang w:val="en-GB"/>
              </w:rPr>
            </w:pPr>
            <w:r w:rsidRPr="008640C4">
              <w:rPr>
                <w:lang w:val="en-GB"/>
              </w:rPr>
              <w:t>195</w:t>
            </w:r>
            <w:r w:rsidR="00F069F6">
              <w:rPr>
                <w:lang w:val="en-GB"/>
              </w:rPr>
              <w:t>,</w:t>
            </w:r>
            <w:r w:rsidRPr="008640C4">
              <w:rPr>
                <w:lang w:val="en-GB"/>
              </w:rPr>
              <w:t>691</w:t>
            </w:r>
          </w:p>
        </w:tc>
        <w:tc>
          <w:tcPr>
            <w:tcW w:w="4472" w:type="dxa"/>
            <w:shd w:val="clear" w:color="auto" w:fill="auto"/>
            <w:noWrap/>
            <w:vAlign w:val="center"/>
            <w:hideMark/>
          </w:tcPr>
          <w:p w14:paraId="22E657AF" w14:textId="77777777" w:rsidR="004B4BF8" w:rsidRPr="008640C4" w:rsidRDefault="004B4BF8" w:rsidP="009E3616">
            <w:pPr>
              <w:pStyle w:val="Tabletext"/>
              <w:rPr>
                <w:lang w:val="en-GB"/>
              </w:rPr>
            </w:pPr>
            <w:r w:rsidRPr="008640C4">
              <w:rPr>
                <w:lang w:val="en-GB"/>
              </w:rPr>
              <w:t>62</w:t>
            </w:r>
            <w:r w:rsidR="00F069F6">
              <w:rPr>
                <w:lang w:val="en-GB"/>
              </w:rPr>
              <w:t>,</w:t>
            </w:r>
            <w:r w:rsidRPr="008640C4">
              <w:rPr>
                <w:lang w:val="en-GB"/>
              </w:rPr>
              <w:t>612</w:t>
            </w:r>
          </w:p>
        </w:tc>
      </w:tr>
      <w:tr w:rsidR="004B4BF8" w:rsidRPr="008640C4" w14:paraId="3B519CC2" w14:textId="77777777" w:rsidTr="00C0038A">
        <w:trPr>
          <w:cantSplit/>
          <w:trHeight w:val="315"/>
          <w:jc w:val="center"/>
        </w:trPr>
        <w:tc>
          <w:tcPr>
            <w:tcW w:w="0" w:type="auto"/>
            <w:shd w:val="clear" w:color="auto" w:fill="auto"/>
            <w:vAlign w:val="center"/>
            <w:hideMark/>
          </w:tcPr>
          <w:p w14:paraId="1E0E858B" w14:textId="77777777" w:rsidR="004B4BF8" w:rsidRPr="008640C4" w:rsidRDefault="00EA1DD6" w:rsidP="009E3616">
            <w:pPr>
              <w:pStyle w:val="Tabletext"/>
              <w:rPr>
                <w:lang w:val="en-GB"/>
              </w:rPr>
            </w:pPr>
            <w:r w:rsidRPr="008640C4">
              <w:rPr>
                <w:lang w:val="en-GB"/>
              </w:rPr>
              <w:t>4</w:t>
            </w:r>
          </w:p>
        </w:tc>
        <w:tc>
          <w:tcPr>
            <w:tcW w:w="0" w:type="auto"/>
            <w:shd w:val="clear" w:color="auto" w:fill="auto"/>
            <w:noWrap/>
            <w:vAlign w:val="center"/>
            <w:hideMark/>
          </w:tcPr>
          <w:p w14:paraId="2E25E45D" w14:textId="77777777" w:rsidR="004B4BF8" w:rsidRPr="008640C4" w:rsidRDefault="004B4BF8" w:rsidP="009E3616">
            <w:pPr>
              <w:pStyle w:val="Tabletext"/>
              <w:rPr>
                <w:lang w:val="en-GB"/>
              </w:rPr>
            </w:pPr>
            <w:r w:rsidRPr="008640C4">
              <w:rPr>
                <w:lang w:val="en-GB"/>
              </w:rPr>
              <w:t>164</w:t>
            </w:r>
            <w:r w:rsidR="00F069F6">
              <w:rPr>
                <w:lang w:val="en-GB"/>
              </w:rPr>
              <w:t>,</w:t>
            </w:r>
            <w:r w:rsidRPr="008640C4">
              <w:rPr>
                <w:lang w:val="en-GB"/>
              </w:rPr>
              <w:t>128</w:t>
            </w:r>
          </w:p>
        </w:tc>
        <w:tc>
          <w:tcPr>
            <w:tcW w:w="4472" w:type="dxa"/>
            <w:shd w:val="clear" w:color="auto" w:fill="auto"/>
            <w:noWrap/>
            <w:vAlign w:val="center"/>
            <w:hideMark/>
          </w:tcPr>
          <w:p w14:paraId="7EB68678" w14:textId="77777777" w:rsidR="004B4BF8" w:rsidRPr="008640C4" w:rsidRDefault="004B4BF8" w:rsidP="009E3616">
            <w:pPr>
              <w:pStyle w:val="Tabletext"/>
              <w:rPr>
                <w:lang w:val="en-GB"/>
              </w:rPr>
            </w:pPr>
            <w:r w:rsidRPr="008640C4">
              <w:rPr>
                <w:lang w:val="en-GB"/>
              </w:rPr>
              <w:t>52</w:t>
            </w:r>
            <w:r w:rsidR="00F069F6">
              <w:rPr>
                <w:lang w:val="en-GB"/>
              </w:rPr>
              <w:t>,</w:t>
            </w:r>
            <w:r w:rsidRPr="008640C4">
              <w:rPr>
                <w:lang w:val="en-GB"/>
              </w:rPr>
              <w:t>514</w:t>
            </w:r>
          </w:p>
        </w:tc>
      </w:tr>
    </w:tbl>
    <w:p w14:paraId="44F79F5C" w14:textId="77777777" w:rsidR="00AB455E" w:rsidRPr="008640C4" w:rsidRDefault="00AB455E" w:rsidP="009E3616">
      <w:pPr>
        <w:rPr>
          <w:lang w:val="en-GB"/>
        </w:rPr>
      </w:pPr>
    </w:p>
    <w:p w14:paraId="6AA960F0" w14:textId="77777777" w:rsidR="00030139" w:rsidRDefault="00452DAC" w:rsidP="001671A5">
      <w:pPr>
        <w:ind w:firstLine="284"/>
        <w:rPr>
          <w:lang w:val="en-GB"/>
        </w:rPr>
      </w:pPr>
      <w:r w:rsidRPr="008640C4">
        <w:rPr>
          <w:lang w:val="en-GB"/>
        </w:rPr>
        <w:t xml:space="preserve">Then, in Table </w:t>
      </w:r>
      <w:r w:rsidR="006B762A" w:rsidRPr="008640C4">
        <w:rPr>
          <w:lang w:val="en-GB"/>
        </w:rPr>
        <w:t>5</w:t>
      </w:r>
      <w:r w:rsidRPr="008640C4">
        <w:rPr>
          <w:lang w:val="en-GB"/>
        </w:rPr>
        <w:t xml:space="preserve">, the parameters regarding the density of individual fractions, the </w:t>
      </w:r>
      <w:r w:rsidR="00F069F6">
        <w:rPr>
          <w:lang w:val="en-GB"/>
        </w:rPr>
        <w:t>garbage truck's capabilities and other information</w:t>
      </w:r>
      <w:r w:rsidRPr="008640C4">
        <w:rPr>
          <w:lang w:val="en-GB"/>
        </w:rPr>
        <w:t xml:space="preserve"> necessary for further calculations are presented.</w:t>
      </w:r>
    </w:p>
    <w:p w14:paraId="297386C8" w14:textId="5006752E" w:rsidR="00C0038A" w:rsidRDefault="00C0038A">
      <w:pPr>
        <w:jc w:val="left"/>
        <w:rPr>
          <w:lang w:val="en-GB"/>
        </w:rPr>
      </w:pPr>
      <w:r>
        <w:rPr>
          <w:lang w:val="en-GB"/>
        </w:rPr>
        <w:br w:type="page"/>
      </w:r>
    </w:p>
    <w:p w14:paraId="380FC4F1" w14:textId="4365FB7F" w:rsidR="00C959A9" w:rsidRPr="008640C4" w:rsidRDefault="006B762A" w:rsidP="001671A5">
      <w:pPr>
        <w:pStyle w:val="Rtab"/>
        <w:rPr>
          <w:lang w:val="en-GB"/>
        </w:rPr>
      </w:pPr>
      <w:r w:rsidRPr="008640C4">
        <w:rPr>
          <w:b/>
          <w:bCs/>
          <w:lang w:val="en-GB"/>
        </w:rPr>
        <w:lastRenderedPageBreak/>
        <w:t xml:space="preserve">Table </w:t>
      </w:r>
      <w:r w:rsidR="00D81B25" w:rsidRPr="008640C4">
        <w:rPr>
          <w:b/>
          <w:bCs/>
          <w:noProof/>
          <w:lang w:val="en-GB"/>
        </w:rPr>
        <w:fldChar w:fldCharType="begin"/>
      </w:r>
      <w:r w:rsidRPr="008640C4">
        <w:rPr>
          <w:b/>
          <w:bCs/>
          <w:noProof/>
          <w:lang w:val="en-GB"/>
        </w:rPr>
        <w:instrText xml:space="preserve"> SEQ tabelka\* ARABIC </w:instrText>
      </w:r>
      <w:r w:rsidR="00D81B25" w:rsidRPr="008640C4">
        <w:rPr>
          <w:b/>
          <w:bCs/>
          <w:noProof/>
          <w:lang w:val="en-GB"/>
        </w:rPr>
        <w:fldChar w:fldCharType="separate"/>
      </w:r>
      <w:r w:rsidR="00F04983">
        <w:rPr>
          <w:b/>
          <w:bCs/>
          <w:noProof/>
          <w:lang w:val="en-GB"/>
        </w:rPr>
        <w:t>5</w:t>
      </w:r>
      <w:r w:rsidR="00D81B25" w:rsidRPr="008640C4">
        <w:rPr>
          <w:b/>
          <w:bCs/>
          <w:noProof/>
          <w:lang w:val="en-GB"/>
        </w:rPr>
        <w:fldChar w:fldCharType="end"/>
      </w:r>
      <w:r w:rsidRPr="008640C4">
        <w:rPr>
          <w:b/>
          <w:bCs/>
          <w:lang w:val="en-GB"/>
        </w:rPr>
        <w:t>.</w:t>
      </w:r>
      <w:r w:rsidRPr="008640C4">
        <w:rPr>
          <w:lang w:val="en-GB"/>
        </w:rPr>
        <w:t xml:space="preserve"> </w:t>
      </w:r>
      <w:r w:rsidR="008E1EC5" w:rsidRPr="008640C4">
        <w:rPr>
          <w:lang w:val="en-GB"/>
        </w:rPr>
        <w:t>Data on waste parameters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3"/>
        <w:gridCol w:w="694"/>
        <w:gridCol w:w="794"/>
        <w:gridCol w:w="775"/>
        <w:gridCol w:w="775"/>
        <w:gridCol w:w="775"/>
        <w:gridCol w:w="868"/>
        <w:gridCol w:w="818"/>
      </w:tblGrid>
      <w:tr w:rsidR="00644F8C" w:rsidRPr="008640C4" w14:paraId="29A83EBF" w14:textId="77777777" w:rsidTr="00644F8C">
        <w:trPr>
          <w:cantSplit/>
          <w:trHeight w:val="567"/>
          <w:jc w:val="center"/>
        </w:trPr>
        <w:tc>
          <w:tcPr>
            <w:tcW w:w="4058" w:type="dxa"/>
            <w:shd w:val="clear" w:color="auto" w:fill="auto"/>
            <w:vAlign w:val="center"/>
            <w:hideMark/>
          </w:tcPr>
          <w:p w14:paraId="50031A75" w14:textId="77777777" w:rsidR="00507F68" w:rsidRPr="008640C4" w:rsidRDefault="00507F68" w:rsidP="009E3616">
            <w:pPr>
              <w:pStyle w:val="Tabletext"/>
              <w:rPr>
                <w:lang w:val="en-GB"/>
              </w:rPr>
            </w:pPr>
            <w:r w:rsidRPr="008640C4">
              <w:rPr>
                <w:lang w:val="en-GB"/>
              </w:rPr>
              <w:t>Itemi</w:t>
            </w:r>
            <w:r w:rsidR="001F3921">
              <w:rPr>
                <w:lang w:val="en-GB"/>
              </w:rPr>
              <w:t>s</w:t>
            </w:r>
            <w:r w:rsidRPr="008640C4">
              <w:rPr>
                <w:lang w:val="en-GB"/>
              </w:rPr>
              <w:t>ation</w:t>
            </w:r>
          </w:p>
        </w:tc>
        <w:tc>
          <w:tcPr>
            <w:tcW w:w="661" w:type="dxa"/>
            <w:shd w:val="clear" w:color="auto" w:fill="auto"/>
            <w:vAlign w:val="center"/>
            <w:hideMark/>
          </w:tcPr>
          <w:p w14:paraId="221ACA3B" w14:textId="77777777" w:rsidR="00507F68" w:rsidRPr="008640C4" w:rsidRDefault="00507F68" w:rsidP="009E3616">
            <w:pPr>
              <w:pStyle w:val="Tabletext"/>
              <w:rPr>
                <w:lang w:val="en-GB"/>
              </w:rPr>
            </w:pPr>
            <w:r w:rsidRPr="008640C4">
              <w:rPr>
                <w:lang w:val="en-GB"/>
              </w:rPr>
              <w:t>Unit</w:t>
            </w:r>
          </w:p>
        </w:tc>
        <w:tc>
          <w:tcPr>
            <w:tcW w:w="794" w:type="dxa"/>
            <w:shd w:val="clear" w:color="auto" w:fill="auto"/>
            <w:vAlign w:val="center"/>
            <w:hideMark/>
          </w:tcPr>
          <w:p w14:paraId="78CCF719" w14:textId="77777777" w:rsidR="00507F68" w:rsidRPr="008640C4" w:rsidRDefault="00507F68" w:rsidP="009E3616">
            <w:pPr>
              <w:pStyle w:val="Tabletext"/>
              <w:rPr>
                <w:lang w:val="en-GB"/>
              </w:rPr>
            </w:pPr>
            <w:r w:rsidRPr="008640C4">
              <w:rPr>
                <w:lang w:val="en-GB"/>
              </w:rPr>
              <w:t>Plastics</w:t>
            </w:r>
          </w:p>
        </w:tc>
        <w:tc>
          <w:tcPr>
            <w:tcW w:w="777" w:type="dxa"/>
            <w:shd w:val="clear" w:color="auto" w:fill="auto"/>
            <w:vAlign w:val="center"/>
            <w:hideMark/>
          </w:tcPr>
          <w:p w14:paraId="6A3066BA" w14:textId="77777777" w:rsidR="00507F68" w:rsidRPr="008640C4" w:rsidRDefault="00507F68" w:rsidP="009E3616">
            <w:pPr>
              <w:pStyle w:val="Tabletext"/>
              <w:rPr>
                <w:lang w:val="en-GB"/>
              </w:rPr>
            </w:pPr>
            <w:r w:rsidRPr="008640C4">
              <w:rPr>
                <w:lang w:val="en-GB"/>
              </w:rPr>
              <w:t>Glass</w:t>
            </w:r>
          </w:p>
        </w:tc>
        <w:tc>
          <w:tcPr>
            <w:tcW w:w="777" w:type="dxa"/>
            <w:shd w:val="clear" w:color="auto" w:fill="auto"/>
            <w:vAlign w:val="center"/>
            <w:hideMark/>
          </w:tcPr>
          <w:p w14:paraId="5DE1D618" w14:textId="77777777" w:rsidR="00507F68" w:rsidRPr="008640C4" w:rsidRDefault="00507F68" w:rsidP="009E3616">
            <w:pPr>
              <w:pStyle w:val="Tabletext"/>
              <w:rPr>
                <w:lang w:val="en-GB"/>
              </w:rPr>
            </w:pPr>
            <w:r w:rsidRPr="008640C4">
              <w:rPr>
                <w:lang w:val="en-GB"/>
              </w:rPr>
              <w:t>Paper</w:t>
            </w:r>
          </w:p>
        </w:tc>
        <w:tc>
          <w:tcPr>
            <w:tcW w:w="777" w:type="dxa"/>
            <w:shd w:val="clear" w:color="auto" w:fill="auto"/>
            <w:vAlign w:val="center"/>
            <w:hideMark/>
          </w:tcPr>
          <w:p w14:paraId="3BDF3F78" w14:textId="77777777" w:rsidR="00507F68" w:rsidRPr="008640C4" w:rsidRDefault="00507F68" w:rsidP="009E3616">
            <w:pPr>
              <w:pStyle w:val="Tabletext"/>
              <w:rPr>
                <w:lang w:val="en-GB"/>
              </w:rPr>
            </w:pPr>
            <w:r w:rsidRPr="008640C4">
              <w:rPr>
                <w:lang w:val="en-GB"/>
              </w:rPr>
              <w:t>Bio</w:t>
            </w:r>
          </w:p>
        </w:tc>
        <w:tc>
          <w:tcPr>
            <w:tcW w:w="870" w:type="dxa"/>
            <w:shd w:val="clear" w:color="auto" w:fill="auto"/>
            <w:vAlign w:val="center"/>
            <w:hideMark/>
          </w:tcPr>
          <w:p w14:paraId="7E92B5E2" w14:textId="77777777" w:rsidR="00507F68" w:rsidRPr="008640C4" w:rsidRDefault="00507F68" w:rsidP="009E3616">
            <w:pPr>
              <w:pStyle w:val="Tabletext"/>
              <w:rPr>
                <w:lang w:val="en-GB"/>
              </w:rPr>
            </w:pPr>
            <w:r w:rsidRPr="008640C4">
              <w:rPr>
                <w:lang w:val="en-GB"/>
              </w:rPr>
              <w:t>Other mixed</w:t>
            </w:r>
          </w:p>
        </w:tc>
        <w:tc>
          <w:tcPr>
            <w:tcW w:w="818" w:type="dxa"/>
            <w:shd w:val="clear" w:color="auto" w:fill="auto"/>
            <w:vAlign w:val="center"/>
            <w:hideMark/>
          </w:tcPr>
          <w:p w14:paraId="5D589064" w14:textId="77777777" w:rsidR="00507F68" w:rsidRPr="008640C4" w:rsidRDefault="00507F68" w:rsidP="009E3616">
            <w:pPr>
              <w:pStyle w:val="Tabletext"/>
              <w:rPr>
                <w:lang w:val="en-GB"/>
              </w:rPr>
            </w:pPr>
            <w:r w:rsidRPr="008640C4">
              <w:rPr>
                <w:lang w:val="en-GB"/>
              </w:rPr>
              <w:t>Average</w:t>
            </w:r>
          </w:p>
        </w:tc>
      </w:tr>
      <w:tr w:rsidR="00644F8C" w:rsidRPr="008640C4" w14:paraId="24997B9C" w14:textId="77777777" w:rsidTr="00644F8C">
        <w:trPr>
          <w:cantSplit/>
          <w:trHeight w:val="522"/>
          <w:jc w:val="center"/>
        </w:trPr>
        <w:tc>
          <w:tcPr>
            <w:tcW w:w="4058" w:type="dxa"/>
            <w:shd w:val="clear" w:color="auto" w:fill="auto"/>
            <w:vAlign w:val="center"/>
            <w:hideMark/>
          </w:tcPr>
          <w:p w14:paraId="367BE6E0" w14:textId="77777777" w:rsidR="00507F68" w:rsidRPr="008640C4" w:rsidRDefault="00507F68" w:rsidP="001671A5">
            <w:pPr>
              <w:pStyle w:val="Tabletext"/>
              <w:jc w:val="left"/>
              <w:rPr>
                <w:lang w:val="en-GB"/>
              </w:rPr>
            </w:pPr>
            <w:r w:rsidRPr="008640C4">
              <w:rPr>
                <w:lang w:val="en-GB"/>
              </w:rPr>
              <w:t>Average density of waste thrown into containers</w:t>
            </w:r>
          </w:p>
        </w:tc>
        <w:tc>
          <w:tcPr>
            <w:tcW w:w="661" w:type="dxa"/>
            <w:shd w:val="clear" w:color="auto" w:fill="auto"/>
            <w:vAlign w:val="center"/>
            <w:hideMark/>
          </w:tcPr>
          <w:p w14:paraId="4A54EFC6" w14:textId="77777777" w:rsidR="00507F68" w:rsidRPr="008640C4" w:rsidRDefault="00507F68" w:rsidP="009E3616">
            <w:pPr>
              <w:pStyle w:val="Tabletext"/>
              <w:rPr>
                <w:lang w:val="en-GB"/>
              </w:rPr>
            </w:pPr>
            <w:r w:rsidRPr="008640C4">
              <w:rPr>
                <w:lang w:val="en-GB"/>
              </w:rPr>
              <w:t>Mg/m</w:t>
            </w:r>
            <w:r w:rsidRPr="008640C4">
              <w:rPr>
                <w:vertAlign w:val="superscript"/>
                <w:lang w:val="en-GB"/>
              </w:rPr>
              <w:t>3</w:t>
            </w:r>
          </w:p>
        </w:tc>
        <w:tc>
          <w:tcPr>
            <w:tcW w:w="794" w:type="dxa"/>
            <w:shd w:val="clear" w:color="auto" w:fill="auto"/>
            <w:vAlign w:val="center"/>
            <w:hideMark/>
          </w:tcPr>
          <w:p w14:paraId="377F54F3" w14:textId="77777777" w:rsidR="00507F68" w:rsidRPr="008640C4" w:rsidRDefault="00507F68" w:rsidP="009E3616">
            <w:pPr>
              <w:pStyle w:val="Tabletext"/>
              <w:rPr>
                <w:lang w:val="en-GB"/>
              </w:rPr>
            </w:pPr>
            <w:r w:rsidRPr="008640C4">
              <w:rPr>
                <w:lang w:val="en-GB"/>
              </w:rPr>
              <w:t>0.03</w:t>
            </w:r>
          </w:p>
        </w:tc>
        <w:tc>
          <w:tcPr>
            <w:tcW w:w="777" w:type="dxa"/>
            <w:shd w:val="clear" w:color="auto" w:fill="auto"/>
            <w:vAlign w:val="center"/>
            <w:hideMark/>
          </w:tcPr>
          <w:p w14:paraId="2AEAB5D6" w14:textId="77777777" w:rsidR="00507F68" w:rsidRPr="008640C4" w:rsidRDefault="00507F68" w:rsidP="009E3616">
            <w:pPr>
              <w:pStyle w:val="Tabletext"/>
              <w:rPr>
                <w:lang w:val="en-GB"/>
              </w:rPr>
            </w:pPr>
            <w:r w:rsidRPr="008640C4">
              <w:rPr>
                <w:lang w:val="en-GB"/>
              </w:rPr>
              <w:t>0.31</w:t>
            </w:r>
          </w:p>
        </w:tc>
        <w:tc>
          <w:tcPr>
            <w:tcW w:w="777" w:type="dxa"/>
            <w:shd w:val="clear" w:color="auto" w:fill="auto"/>
            <w:vAlign w:val="center"/>
            <w:hideMark/>
          </w:tcPr>
          <w:p w14:paraId="094E9821" w14:textId="77777777" w:rsidR="00507F68" w:rsidRPr="008640C4" w:rsidRDefault="00507F68" w:rsidP="009E3616">
            <w:pPr>
              <w:pStyle w:val="Tabletext"/>
              <w:rPr>
                <w:lang w:val="en-GB"/>
              </w:rPr>
            </w:pPr>
            <w:r w:rsidRPr="008640C4">
              <w:rPr>
                <w:lang w:val="en-GB"/>
              </w:rPr>
              <w:t>0.14</w:t>
            </w:r>
          </w:p>
        </w:tc>
        <w:tc>
          <w:tcPr>
            <w:tcW w:w="777" w:type="dxa"/>
            <w:shd w:val="clear" w:color="auto" w:fill="auto"/>
            <w:vAlign w:val="center"/>
            <w:hideMark/>
          </w:tcPr>
          <w:p w14:paraId="272EE51C" w14:textId="77777777" w:rsidR="00507F68" w:rsidRPr="008640C4" w:rsidRDefault="00507F68" w:rsidP="009E3616">
            <w:pPr>
              <w:pStyle w:val="Tabletext"/>
              <w:rPr>
                <w:lang w:val="en-GB"/>
              </w:rPr>
            </w:pPr>
            <w:r w:rsidRPr="008640C4">
              <w:rPr>
                <w:lang w:val="en-GB"/>
              </w:rPr>
              <w:t>0.3</w:t>
            </w:r>
          </w:p>
        </w:tc>
        <w:tc>
          <w:tcPr>
            <w:tcW w:w="870" w:type="dxa"/>
            <w:shd w:val="clear" w:color="auto" w:fill="auto"/>
            <w:vAlign w:val="center"/>
            <w:hideMark/>
          </w:tcPr>
          <w:p w14:paraId="4D1822B6" w14:textId="77777777" w:rsidR="00507F68" w:rsidRPr="008640C4" w:rsidRDefault="00507F68" w:rsidP="009E3616">
            <w:pPr>
              <w:pStyle w:val="Tabletext"/>
              <w:rPr>
                <w:lang w:val="en-GB"/>
              </w:rPr>
            </w:pPr>
            <w:r w:rsidRPr="008640C4">
              <w:rPr>
                <w:lang w:val="en-GB"/>
              </w:rPr>
              <w:t>0.2</w:t>
            </w:r>
          </w:p>
        </w:tc>
        <w:tc>
          <w:tcPr>
            <w:tcW w:w="818" w:type="dxa"/>
            <w:shd w:val="clear" w:color="auto" w:fill="auto"/>
            <w:vAlign w:val="center"/>
            <w:hideMark/>
          </w:tcPr>
          <w:p w14:paraId="31F87B28" w14:textId="77777777" w:rsidR="00507F68" w:rsidRPr="008640C4" w:rsidRDefault="00507F68" w:rsidP="009E3616">
            <w:pPr>
              <w:pStyle w:val="Tabletext"/>
              <w:rPr>
                <w:lang w:val="en-GB"/>
              </w:rPr>
            </w:pPr>
            <w:r w:rsidRPr="008640C4">
              <w:rPr>
                <w:lang w:val="en-GB"/>
              </w:rPr>
              <w:t>x</w:t>
            </w:r>
          </w:p>
        </w:tc>
      </w:tr>
      <w:tr w:rsidR="00644F8C" w:rsidRPr="008640C4" w14:paraId="2F9A5E73" w14:textId="77777777" w:rsidTr="00644F8C">
        <w:trPr>
          <w:cantSplit/>
          <w:trHeight w:val="340"/>
          <w:jc w:val="center"/>
        </w:trPr>
        <w:tc>
          <w:tcPr>
            <w:tcW w:w="4058" w:type="dxa"/>
            <w:shd w:val="clear" w:color="auto" w:fill="auto"/>
            <w:vAlign w:val="center"/>
            <w:hideMark/>
          </w:tcPr>
          <w:p w14:paraId="2F27CD7D" w14:textId="77777777" w:rsidR="00507F68" w:rsidRPr="008640C4" w:rsidRDefault="00507F68" w:rsidP="001671A5">
            <w:pPr>
              <w:pStyle w:val="Tabletext"/>
              <w:jc w:val="left"/>
              <w:rPr>
                <w:lang w:val="en-GB"/>
              </w:rPr>
            </w:pPr>
            <w:r w:rsidRPr="008640C4">
              <w:rPr>
                <w:lang w:val="en-GB"/>
              </w:rPr>
              <w:t>Degree of filling the container/bag with waste</w:t>
            </w:r>
          </w:p>
        </w:tc>
        <w:tc>
          <w:tcPr>
            <w:tcW w:w="661" w:type="dxa"/>
            <w:shd w:val="clear" w:color="auto" w:fill="auto"/>
            <w:vAlign w:val="center"/>
            <w:hideMark/>
          </w:tcPr>
          <w:p w14:paraId="250308A2" w14:textId="77777777" w:rsidR="00507F68" w:rsidRPr="008640C4" w:rsidRDefault="00507F68" w:rsidP="009E3616">
            <w:pPr>
              <w:pStyle w:val="Tabletext"/>
              <w:rPr>
                <w:lang w:val="en-GB"/>
              </w:rPr>
            </w:pPr>
            <w:r w:rsidRPr="008640C4">
              <w:rPr>
                <w:lang w:val="en-GB"/>
              </w:rPr>
              <w:t>%</w:t>
            </w:r>
          </w:p>
        </w:tc>
        <w:tc>
          <w:tcPr>
            <w:tcW w:w="794" w:type="dxa"/>
            <w:shd w:val="clear" w:color="auto" w:fill="auto"/>
            <w:vAlign w:val="center"/>
            <w:hideMark/>
          </w:tcPr>
          <w:p w14:paraId="006EE8A0" w14:textId="77777777" w:rsidR="00507F68" w:rsidRPr="008640C4" w:rsidRDefault="00507F68" w:rsidP="009E3616">
            <w:pPr>
              <w:pStyle w:val="Tabletext"/>
              <w:rPr>
                <w:lang w:val="en-GB"/>
              </w:rPr>
            </w:pPr>
            <w:r w:rsidRPr="008640C4">
              <w:rPr>
                <w:lang w:val="en-GB"/>
              </w:rPr>
              <w:t>80%</w:t>
            </w:r>
          </w:p>
        </w:tc>
        <w:tc>
          <w:tcPr>
            <w:tcW w:w="777" w:type="dxa"/>
            <w:shd w:val="clear" w:color="auto" w:fill="auto"/>
            <w:vAlign w:val="center"/>
            <w:hideMark/>
          </w:tcPr>
          <w:p w14:paraId="39DEF753" w14:textId="77777777" w:rsidR="00507F68" w:rsidRPr="008640C4" w:rsidRDefault="00507F68" w:rsidP="009E3616">
            <w:pPr>
              <w:pStyle w:val="Tabletext"/>
              <w:rPr>
                <w:lang w:val="en-GB"/>
              </w:rPr>
            </w:pPr>
            <w:r w:rsidRPr="008640C4">
              <w:rPr>
                <w:lang w:val="en-GB"/>
              </w:rPr>
              <w:t>80%</w:t>
            </w:r>
          </w:p>
        </w:tc>
        <w:tc>
          <w:tcPr>
            <w:tcW w:w="777" w:type="dxa"/>
            <w:shd w:val="clear" w:color="auto" w:fill="auto"/>
            <w:vAlign w:val="center"/>
            <w:hideMark/>
          </w:tcPr>
          <w:p w14:paraId="39C303A5" w14:textId="77777777" w:rsidR="00507F68" w:rsidRPr="008640C4" w:rsidRDefault="00507F68" w:rsidP="009E3616">
            <w:pPr>
              <w:pStyle w:val="Tabletext"/>
              <w:rPr>
                <w:lang w:val="en-GB"/>
              </w:rPr>
            </w:pPr>
            <w:r w:rsidRPr="008640C4">
              <w:rPr>
                <w:lang w:val="en-GB"/>
              </w:rPr>
              <w:t>80%</w:t>
            </w:r>
          </w:p>
        </w:tc>
        <w:tc>
          <w:tcPr>
            <w:tcW w:w="777" w:type="dxa"/>
            <w:shd w:val="clear" w:color="auto" w:fill="auto"/>
            <w:vAlign w:val="center"/>
            <w:hideMark/>
          </w:tcPr>
          <w:p w14:paraId="096FA3BE" w14:textId="77777777" w:rsidR="00507F68" w:rsidRPr="008640C4" w:rsidRDefault="00507F68" w:rsidP="009E3616">
            <w:pPr>
              <w:pStyle w:val="Tabletext"/>
              <w:rPr>
                <w:lang w:val="en-GB"/>
              </w:rPr>
            </w:pPr>
            <w:r w:rsidRPr="008640C4">
              <w:rPr>
                <w:lang w:val="en-GB"/>
              </w:rPr>
              <w:t>50%</w:t>
            </w:r>
          </w:p>
        </w:tc>
        <w:tc>
          <w:tcPr>
            <w:tcW w:w="870" w:type="dxa"/>
            <w:shd w:val="clear" w:color="auto" w:fill="auto"/>
            <w:vAlign w:val="center"/>
            <w:hideMark/>
          </w:tcPr>
          <w:p w14:paraId="1AE9587D" w14:textId="77777777" w:rsidR="00507F68" w:rsidRPr="008640C4" w:rsidRDefault="00507F68" w:rsidP="009E3616">
            <w:pPr>
              <w:pStyle w:val="Tabletext"/>
              <w:rPr>
                <w:lang w:val="en-GB"/>
              </w:rPr>
            </w:pPr>
            <w:r w:rsidRPr="008640C4">
              <w:rPr>
                <w:lang w:val="en-GB"/>
              </w:rPr>
              <w:t>80%</w:t>
            </w:r>
          </w:p>
        </w:tc>
        <w:tc>
          <w:tcPr>
            <w:tcW w:w="818" w:type="dxa"/>
            <w:shd w:val="clear" w:color="auto" w:fill="auto"/>
            <w:vAlign w:val="center"/>
            <w:hideMark/>
          </w:tcPr>
          <w:p w14:paraId="04F46A30" w14:textId="77777777" w:rsidR="00507F68" w:rsidRPr="008640C4" w:rsidRDefault="00507F68" w:rsidP="009E3616">
            <w:pPr>
              <w:pStyle w:val="Tabletext"/>
              <w:rPr>
                <w:lang w:val="en-GB"/>
              </w:rPr>
            </w:pPr>
            <w:r w:rsidRPr="008640C4">
              <w:rPr>
                <w:lang w:val="en-GB"/>
              </w:rPr>
              <w:t>74%</w:t>
            </w:r>
          </w:p>
        </w:tc>
      </w:tr>
      <w:tr w:rsidR="00644F8C" w:rsidRPr="008640C4" w14:paraId="7E729369" w14:textId="77777777" w:rsidTr="00644F8C">
        <w:trPr>
          <w:cantSplit/>
          <w:trHeight w:val="340"/>
          <w:jc w:val="center"/>
        </w:trPr>
        <w:tc>
          <w:tcPr>
            <w:tcW w:w="4058" w:type="dxa"/>
            <w:shd w:val="clear" w:color="auto" w:fill="auto"/>
            <w:vAlign w:val="center"/>
            <w:hideMark/>
          </w:tcPr>
          <w:p w14:paraId="50261F4B" w14:textId="77777777" w:rsidR="00507F68" w:rsidRPr="008640C4" w:rsidRDefault="00507F68" w:rsidP="001671A5">
            <w:pPr>
              <w:pStyle w:val="Tabletext"/>
              <w:jc w:val="left"/>
              <w:rPr>
                <w:lang w:val="en-GB"/>
              </w:rPr>
            </w:pPr>
            <w:r w:rsidRPr="008640C4">
              <w:rPr>
                <w:lang w:val="en-GB"/>
              </w:rPr>
              <w:t>Car crush indicator</w:t>
            </w:r>
          </w:p>
        </w:tc>
        <w:tc>
          <w:tcPr>
            <w:tcW w:w="661" w:type="dxa"/>
            <w:shd w:val="clear" w:color="auto" w:fill="auto"/>
            <w:vAlign w:val="center"/>
            <w:hideMark/>
          </w:tcPr>
          <w:p w14:paraId="618B5EF4" w14:textId="77777777" w:rsidR="00507F68" w:rsidRPr="008640C4" w:rsidRDefault="00507F68" w:rsidP="009E3616">
            <w:pPr>
              <w:pStyle w:val="Tabletext"/>
              <w:rPr>
                <w:lang w:val="en-GB"/>
              </w:rPr>
            </w:pPr>
            <w:r w:rsidRPr="008640C4">
              <w:rPr>
                <w:lang w:val="en-GB"/>
              </w:rPr>
              <w:t>%</w:t>
            </w:r>
          </w:p>
        </w:tc>
        <w:tc>
          <w:tcPr>
            <w:tcW w:w="794" w:type="dxa"/>
            <w:shd w:val="clear" w:color="auto" w:fill="auto"/>
            <w:vAlign w:val="center"/>
            <w:hideMark/>
          </w:tcPr>
          <w:p w14:paraId="3AC6A742" w14:textId="77777777" w:rsidR="00507F68" w:rsidRPr="008640C4" w:rsidRDefault="00507F68" w:rsidP="009E3616">
            <w:pPr>
              <w:pStyle w:val="Tabletext"/>
              <w:rPr>
                <w:lang w:val="en-GB"/>
              </w:rPr>
            </w:pPr>
            <w:r w:rsidRPr="008640C4">
              <w:rPr>
                <w:lang w:val="en-GB"/>
              </w:rPr>
              <w:t>30%</w:t>
            </w:r>
          </w:p>
        </w:tc>
        <w:tc>
          <w:tcPr>
            <w:tcW w:w="777" w:type="dxa"/>
            <w:shd w:val="clear" w:color="auto" w:fill="auto"/>
            <w:vAlign w:val="center"/>
            <w:hideMark/>
          </w:tcPr>
          <w:p w14:paraId="720B690A" w14:textId="77777777" w:rsidR="00507F68" w:rsidRPr="008640C4" w:rsidRDefault="00507F68" w:rsidP="009E3616">
            <w:pPr>
              <w:pStyle w:val="Tabletext"/>
              <w:rPr>
                <w:lang w:val="en-GB"/>
              </w:rPr>
            </w:pPr>
            <w:r w:rsidRPr="008640C4">
              <w:rPr>
                <w:lang w:val="en-GB"/>
              </w:rPr>
              <w:t>100%</w:t>
            </w:r>
          </w:p>
        </w:tc>
        <w:tc>
          <w:tcPr>
            <w:tcW w:w="777" w:type="dxa"/>
            <w:shd w:val="clear" w:color="auto" w:fill="auto"/>
            <w:vAlign w:val="center"/>
            <w:hideMark/>
          </w:tcPr>
          <w:p w14:paraId="3AC98B36" w14:textId="77777777" w:rsidR="00507F68" w:rsidRPr="008640C4" w:rsidRDefault="00507F68" w:rsidP="009E3616">
            <w:pPr>
              <w:pStyle w:val="Tabletext"/>
              <w:rPr>
                <w:lang w:val="en-GB"/>
              </w:rPr>
            </w:pPr>
            <w:r w:rsidRPr="008640C4">
              <w:rPr>
                <w:lang w:val="en-GB"/>
              </w:rPr>
              <w:t>40%</w:t>
            </w:r>
          </w:p>
        </w:tc>
        <w:tc>
          <w:tcPr>
            <w:tcW w:w="777" w:type="dxa"/>
            <w:shd w:val="clear" w:color="auto" w:fill="auto"/>
            <w:vAlign w:val="center"/>
            <w:hideMark/>
          </w:tcPr>
          <w:p w14:paraId="60EE63B7" w14:textId="77777777" w:rsidR="00507F68" w:rsidRPr="008640C4" w:rsidRDefault="00507F68" w:rsidP="009E3616">
            <w:pPr>
              <w:pStyle w:val="Tabletext"/>
              <w:rPr>
                <w:lang w:val="en-GB"/>
              </w:rPr>
            </w:pPr>
            <w:r w:rsidRPr="008640C4">
              <w:rPr>
                <w:lang w:val="en-GB"/>
              </w:rPr>
              <w:t>75%</w:t>
            </w:r>
          </w:p>
        </w:tc>
        <w:tc>
          <w:tcPr>
            <w:tcW w:w="870" w:type="dxa"/>
            <w:shd w:val="clear" w:color="auto" w:fill="auto"/>
            <w:vAlign w:val="center"/>
            <w:hideMark/>
          </w:tcPr>
          <w:p w14:paraId="3474602A" w14:textId="77777777" w:rsidR="00507F68" w:rsidRPr="008640C4" w:rsidRDefault="00507F68" w:rsidP="009E3616">
            <w:pPr>
              <w:pStyle w:val="Tabletext"/>
              <w:rPr>
                <w:lang w:val="en-GB"/>
              </w:rPr>
            </w:pPr>
            <w:r w:rsidRPr="008640C4">
              <w:rPr>
                <w:lang w:val="en-GB"/>
              </w:rPr>
              <w:t>40%</w:t>
            </w:r>
          </w:p>
        </w:tc>
        <w:tc>
          <w:tcPr>
            <w:tcW w:w="818" w:type="dxa"/>
            <w:shd w:val="clear" w:color="auto" w:fill="auto"/>
            <w:vAlign w:val="center"/>
            <w:hideMark/>
          </w:tcPr>
          <w:p w14:paraId="6F99E852" w14:textId="77777777" w:rsidR="00507F68" w:rsidRPr="008640C4" w:rsidRDefault="00507F68" w:rsidP="009E3616">
            <w:pPr>
              <w:pStyle w:val="Tabletext"/>
              <w:rPr>
                <w:lang w:val="en-GB"/>
              </w:rPr>
            </w:pPr>
            <w:r w:rsidRPr="008640C4">
              <w:rPr>
                <w:lang w:val="en-GB"/>
              </w:rPr>
              <w:t>57%</w:t>
            </w:r>
          </w:p>
        </w:tc>
      </w:tr>
      <w:tr w:rsidR="00652971" w:rsidRPr="008640C4" w14:paraId="7629B75E" w14:textId="77777777" w:rsidTr="00644F8C">
        <w:trPr>
          <w:cantSplit/>
          <w:trHeight w:val="340"/>
          <w:jc w:val="center"/>
        </w:trPr>
        <w:tc>
          <w:tcPr>
            <w:tcW w:w="4058" w:type="dxa"/>
            <w:shd w:val="clear" w:color="auto" w:fill="auto"/>
            <w:vAlign w:val="center"/>
            <w:hideMark/>
          </w:tcPr>
          <w:p w14:paraId="0C8E2CA4" w14:textId="77777777" w:rsidR="00507F68" w:rsidRPr="008640C4" w:rsidRDefault="00507F68" w:rsidP="001671A5">
            <w:pPr>
              <w:pStyle w:val="Tabletext"/>
              <w:jc w:val="left"/>
              <w:rPr>
                <w:lang w:val="en-GB"/>
              </w:rPr>
            </w:pPr>
            <w:r w:rsidRPr="008640C4">
              <w:rPr>
                <w:lang w:val="en-GB"/>
              </w:rPr>
              <w:t>Capacity of trucks transporting waste</w:t>
            </w:r>
          </w:p>
        </w:tc>
        <w:tc>
          <w:tcPr>
            <w:tcW w:w="661" w:type="dxa"/>
            <w:shd w:val="clear" w:color="auto" w:fill="auto"/>
            <w:vAlign w:val="center"/>
            <w:hideMark/>
          </w:tcPr>
          <w:p w14:paraId="45534F0B" w14:textId="77777777" w:rsidR="00507F68" w:rsidRPr="008640C4" w:rsidRDefault="00DD17AF" w:rsidP="009E3616">
            <w:pPr>
              <w:pStyle w:val="Tabletext"/>
              <w:rPr>
                <w:lang w:val="en-GB"/>
              </w:rPr>
            </w:pPr>
            <w:r w:rsidRPr="008640C4">
              <w:rPr>
                <w:lang w:val="en-GB"/>
              </w:rPr>
              <w:t>m</w:t>
            </w:r>
            <w:r w:rsidRPr="008640C4">
              <w:rPr>
                <w:vertAlign w:val="superscript"/>
                <w:lang w:val="en-GB"/>
              </w:rPr>
              <w:t>3</w:t>
            </w:r>
          </w:p>
        </w:tc>
        <w:tc>
          <w:tcPr>
            <w:tcW w:w="4813" w:type="dxa"/>
            <w:gridSpan w:val="6"/>
            <w:shd w:val="clear" w:color="auto" w:fill="auto"/>
            <w:vAlign w:val="center"/>
            <w:hideMark/>
          </w:tcPr>
          <w:p w14:paraId="280C2D11" w14:textId="77777777" w:rsidR="00507F68" w:rsidRPr="008640C4" w:rsidRDefault="00507F68" w:rsidP="009E3616">
            <w:pPr>
              <w:pStyle w:val="Tabletext"/>
              <w:rPr>
                <w:lang w:val="en-GB"/>
              </w:rPr>
            </w:pPr>
            <w:r w:rsidRPr="008640C4">
              <w:rPr>
                <w:lang w:val="en-GB"/>
              </w:rPr>
              <w:t>20</w:t>
            </w:r>
          </w:p>
        </w:tc>
      </w:tr>
      <w:tr w:rsidR="00652971" w:rsidRPr="008640C4" w14:paraId="02AE0D54" w14:textId="77777777" w:rsidTr="00644F8C">
        <w:trPr>
          <w:cantSplit/>
          <w:trHeight w:val="340"/>
          <w:jc w:val="center"/>
        </w:trPr>
        <w:tc>
          <w:tcPr>
            <w:tcW w:w="4058" w:type="dxa"/>
            <w:shd w:val="clear" w:color="auto" w:fill="auto"/>
            <w:vAlign w:val="center"/>
            <w:hideMark/>
          </w:tcPr>
          <w:p w14:paraId="396C9B51" w14:textId="77777777" w:rsidR="00507F68" w:rsidRPr="008640C4" w:rsidRDefault="00507F68" w:rsidP="001671A5">
            <w:pPr>
              <w:pStyle w:val="Tabletext"/>
              <w:jc w:val="left"/>
              <w:rPr>
                <w:lang w:val="en-GB"/>
              </w:rPr>
            </w:pPr>
            <w:r w:rsidRPr="008640C4">
              <w:rPr>
                <w:lang w:val="en-GB"/>
              </w:rPr>
              <w:t>The number of people in the crew per vehicle</w:t>
            </w:r>
          </w:p>
        </w:tc>
        <w:tc>
          <w:tcPr>
            <w:tcW w:w="661" w:type="dxa"/>
            <w:shd w:val="clear" w:color="auto" w:fill="auto"/>
            <w:vAlign w:val="center"/>
            <w:hideMark/>
          </w:tcPr>
          <w:p w14:paraId="168F4A2B" w14:textId="77777777" w:rsidR="00507F68" w:rsidRPr="008640C4" w:rsidRDefault="00507F68" w:rsidP="009E3616">
            <w:pPr>
              <w:pStyle w:val="Tabletext"/>
              <w:rPr>
                <w:lang w:val="en-GB"/>
              </w:rPr>
            </w:pPr>
            <w:r w:rsidRPr="008640C4">
              <w:rPr>
                <w:lang w:val="en-GB"/>
              </w:rPr>
              <w:t>ppl</w:t>
            </w:r>
          </w:p>
        </w:tc>
        <w:tc>
          <w:tcPr>
            <w:tcW w:w="4813" w:type="dxa"/>
            <w:gridSpan w:val="6"/>
            <w:shd w:val="clear" w:color="auto" w:fill="auto"/>
            <w:vAlign w:val="center"/>
            <w:hideMark/>
          </w:tcPr>
          <w:p w14:paraId="121D2200" w14:textId="77777777" w:rsidR="00507F68" w:rsidRPr="008640C4" w:rsidRDefault="00507F68" w:rsidP="009E3616">
            <w:pPr>
              <w:pStyle w:val="Tabletext"/>
              <w:rPr>
                <w:lang w:val="en-GB"/>
              </w:rPr>
            </w:pPr>
            <w:r w:rsidRPr="008640C4">
              <w:rPr>
                <w:lang w:val="en-GB"/>
              </w:rPr>
              <w:t>3</w:t>
            </w:r>
          </w:p>
        </w:tc>
      </w:tr>
    </w:tbl>
    <w:p w14:paraId="6A421340" w14:textId="77777777" w:rsidR="006A3E1C" w:rsidRPr="008640C4" w:rsidRDefault="006A3E1C" w:rsidP="009E3616">
      <w:pPr>
        <w:rPr>
          <w:lang w:val="en-GB"/>
        </w:rPr>
      </w:pPr>
    </w:p>
    <w:p w14:paraId="03E95FE3" w14:textId="77777777" w:rsidR="006241F0" w:rsidRPr="008640C4" w:rsidRDefault="00F069F6" w:rsidP="001671A5">
      <w:pPr>
        <w:ind w:firstLine="284"/>
        <w:rPr>
          <w:lang w:val="en-GB"/>
        </w:rPr>
      </w:pPr>
      <w:r>
        <w:rPr>
          <w:lang w:val="en-GB"/>
        </w:rPr>
        <w:t>I</w:t>
      </w:r>
      <w:r w:rsidR="008E1EC5" w:rsidRPr="008640C4">
        <w:rPr>
          <w:lang w:val="en-GB"/>
        </w:rPr>
        <w:t>t is possible to calculate the necessary number of trips for vehicles transporting waste during a month Z</w:t>
      </w:r>
      <w:r w:rsidR="008E1EC5" w:rsidRPr="008640C4">
        <w:rPr>
          <w:vertAlign w:val="subscript"/>
          <w:lang w:val="en-GB"/>
        </w:rPr>
        <w:t>i1</w:t>
      </w:r>
      <w:r>
        <w:rPr>
          <w:lang w:val="en-GB"/>
        </w:rPr>
        <w:t>, u</w:t>
      </w:r>
      <w:r w:rsidRPr="008640C4">
        <w:rPr>
          <w:lang w:val="en-GB"/>
        </w:rPr>
        <w:t>sing the above data and previous information on the morphology of mixed waste</w:t>
      </w:r>
      <w:r w:rsidR="008E1EC5" w:rsidRPr="008640C4">
        <w:rPr>
          <w:lang w:val="en-GB"/>
        </w:rPr>
        <w:t>.</w:t>
      </w:r>
    </w:p>
    <w:p w14:paraId="2B104595" w14:textId="77777777" w:rsidR="006E5E95" w:rsidRPr="008640C4" w:rsidRDefault="00F069F6" w:rsidP="001671A5">
      <w:pPr>
        <w:ind w:firstLine="284"/>
        <w:rPr>
          <w:lang w:val="en-GB"/>
        </w:rPr>
      </w:pPr>
      <w:r>
        <w:rPr>
          <w:lang w:val="en-GB"/>
        </w:rPr>
        <w:t>T</w:t>
      </w:r>
      <w:r w:rsidR="008C2C5F" w:rsidRPr="008640C4">
        <w:rPr>
          <w:lang w:val="en-GB"/>
        </w:rPr>
        <w:t>he above amount of waste can be divided into potential fractions contained in mixed waste containers/bags</w:t>
      </w:r>
      <w:r>
        <w:rPr>
          <w:lang w:val="en-GB"/>
        </w:rPr>
        <w:t>,</w:t>
      </w:r>
      <w:r w:rsidR="008C2C5F" w:rsidRPr="008640C4">
        <w:rPr>
          <w:lang w:val="en-GB"/>
        </w:rPr>
        <w:t xml:space="preserve"> and their amount can be determined</w:t>
      </w:r>
      <w:r w:rsidRPr="00F069F6">
        <w:rPr>
          <w:lang w:val="en-GB"/>
        </w:rPr>
        <w:t xml:space="preserve"> </w:t>
      </w:r>
      <w:r>
        <w:rPr>
          <w:lang w:val="en-GB"/>
        </w:rPr>
        <w:t>u</w:t>
      </w:r>
      <w:r w:rsidRPr="008640C4">
        <w:rPr>
          <w:lang w:val="en-GB"/>
        </w:rPr>
        <w:t>sing the results of the morphological composition of mixed municipal waste</w:t>
      </w:r>
      <w:r w:rsidR="008C2C5F" w:rsidRPr="008640C4">
        <w:rPr>
          <w:lang w:val="en-GB"/>
        </w:rPr>
        <w:t xml:space="preserve">. Then, knowing how much Mg will fit in 1000 l of a given fraction (because materials have different densities), you can calculate </w:t>
      </w:r>
      <w:r>
        <w:rPr>
          <w:lang w:val="en-GB"/>
        </w:rPr>
        <w:t xml:space="preserve">how many </w:t>
      </w:r>
      <w:proofErr w:type="spellStart"/>
      <w:r>
        <w:rPr>
          <w:lang w:val="en-GB"/>
        </w:rPr>
        <w:t>liters</w:t>
      </w:r>
      <w:proofErr w:type="spellEnd"/>
      <w:r>
        <w:rPr>
          <w:lang w:val="en-GB"/>
        </w:rPr>
        <w:t xml:space="preserve"> are needed to fit a given waste stream for each fraction</w:t>
      </w:r>
      <w:r w:rsidR="008C2C5F" w:rsidRPr="008640C4">
        <w:rPr>
          <w:lang w:val="en-GB"/>
        </w:rPr>
        <w:t xml:space="preserve">. After adding up the capacity of individual streams, we will </w:t>
      </w:r>
      <w:r>
        <w:rPr>
          <w:lang w:val="en-GB"/>
        </w:rPr>
        <w:t>determine the total capacity of monthly mixed municipal wast</w:t>
      </w:r>
      <w:r w:rsidR="008C2C5F" w:rsidRPr="008640C4">
        <w:rPr>
          <w:lang w:val="en-GB"/>
        </w:rPr>
        <w:t>e. Then, knowing that the average compaction rate of waste mixed in a garbage truck is 57%, the actual capacity to be transported by the garbage truck was calculated. The average garbage truck's capacity is 20000 l</w:t>
      </w:r>
      <w:r>
        <w:rPr>
          <w:lang w:val="en-GB"/>
        </w:rPr>
        <w:t>. By</w:t>
      </w:r>
      <w:r w:rsidR="008C2C5F" w:rsidRPr="008640C4">
        <w:rPr>
          <w:lang w:val="en-GB"/>
        </w:rPr>
        <w:t xml:space="preserve"> dividing the capacity of all waste by the garbage truck capacity, we will get the number of cars/courses needed to transport the monthly amount of mixed municipal waste. The values calculated </w:t>
      </w:r>
      <w:r>
        <w:rPr>
          <w:lang w:val="en-GB"/>
        </w:rPr>
        <w:t>based on</w:t>
      </w:r>
      <w:r w:rsidR="008C2C5F" w:rsidRPr="008640C4">
        <w:rPr>
          <w:lang w:val="en-GB"/>
        </w:rPr>
        <w:t xml:space="preserve"> formula </w:t>
      </w:r>
      <w:r w:rsidR="0067574B">
        <w:rPr>
          <w:lang w:val="en-GB"/>
        </w:rPr>
        <w:t>(eq. 6)</w:t>
      </w:r>
      <w:r w:rsidR="008C2C5F" w:rsidRPr="008640C4">
        <w:rPr>
          <w:lang w:val="en-GB"/>
        </w:rPr>
        <w:t xml:space="preserve"> and formula </w:t>
      </w:r>
      <w:r w:rsidR="0067574B">
        <w:rPr>
          <w:lang w:val="en-GB"/>
        </w:rPr>
        <w:t>(eq. 7)</w:t>
      </w:r>
      <w:r w:rsidR="008C2C5F" w:rsidRPr="008640C4">
        <w:rPr>
          <w:lang w:val="en-GB"/>
        </w:rPr>
        <w:t xml:space="preserve"> are presented in </w:t>
      </w:r>
      <w:r w:rsidR="00FF6A75" w:rsidRPr="008640C4">
        <w:rPr>
          <w:lang w:val="en-GB"/>
        </w:rPr>
        <w:t>T</w:t>
      </w:r>
      <w:r w:rsidR="008C2C5F" w:rsidRPr="008640C4">
        <w:rPr>
          <w:lang w:val="en-GB"/>
        </w:rPr>
        <w:t xml:space="preserve">able </w:t>
      </w:r>
      <w:r w:rsidR="00FF6A75" w:rsidRPr="008640C4">
        <w:rPr>
          <w:lang w:val="en-GB"/>
        </w:rPr>
        <w:t>6</w:t>
      </w:r>
      <w:r w:rsidR="008C2C5F" w:rsidRPr="008640C4">
        <w:rPr>
          <w:lang w:val="en-GB"/>
        </w:rPr>
        <w:t>. (</w:t>
      </w:r>
      <w:proofErr w:type="spellStart"/>
      <w:r w:rsidR="008C2C5F" w:rsidRPr="008640C4">
        <w:rPr>
          <w:lang w:val="en-GB"/>
        </w:rPr>
        <w:t>I</w:t>
      </w:r>
      <w:r w:rsidR="008C2C5F" w:rsidRPr="008640C4">
        <w:rPr>
          <w:vertAlign w:val="subscript"/>
          <w:lang w:val="en-GB"/>
        </w:rPr>
        <w:t>k</w:t>
      </w:r>
      <w:proofErr w:type="spellEnd"/>
      <w:r w:rsidR="008C2C5F" w:rsidRPr="008640C4">
        <w:rPr>
          <w:lang w:val="en-GB"/>
        </w:rPr>
        <w:t xml:space="preserve"> – number of courses</w:t>
      </w:r>
      <w:r w:rsidR="001F65EE" w:rsidRPr="008640C4">
        <w:rPr>
          <w:lang w:val="en-GB"/>
        </w:rPr>
        <w:t xml:space="preserve">, </w:t>
      </w:r>
      <w:r w:rsidR="00220D49" w:rsidRPr="008640C4">
        <w:rPr>
          <w:lang w:val="en-GB"/>
        </w:rPr>
        <w:t>Pi – percentage shares of individual fractions in mixed waste; G</w:t>
      </w:r>
      <w:r w:rsidR="00220D49" w:rsidRPr="008640C4">
        <w:rPr>
          <w:vertAlign w:val="subscript"/>
          <w:lang w:val="en-GB"/>
        </w:rPr>
        <w:t>i</w:t>
      </w:r>
      <w:r w:rsidR="00220D49" w:rsidRPr="008640C4">
        <w:rPr>
          <w:lang w:val="en-GB"/>
        </w:rPr>
        <w:t xml:space="preserve"> – average density of individual fractions thrown into containers; Z</w:t>
      </w:r>
      <w:r w:rsidR="00220D49" w:rsidRPr="008640C4">
        <w:rPr>
          <w:vertAlign w:val="subscript"/>
          <w:lang w:val="en-GB"/>
        </w:rPr>
        <w:t>i1</w:t>
      </w:r>
      <w:r w:rsidR="00220D49" w:rsidRPr="008640C4">
        <w:rPr>
          <w:lang w:val="en-GB"/>
        </w:rPr>
        <w:t xml:space="preserve"> – Quantity of mixed municipal waste accumulated in </w:t>
      </w:r>
      <w:r>
        <w:rPr>
          <w:lang w:val="en-GB"/>
        </w:rPr>
        <w:t xml:space="preserve">the </w:t>
      </w:r>
      <w:r w:rsidR="00220D49" w:rsidRPr="008640C4">
        <w:rPr>
          <w:lang w:val="en-GB"/>
        </w:rPr>
        <w:t xml:space="preserve">sector I per month; </w:t>
      </w:r>
      <w:proofErr w:type="spellStart"/>
      <w:r w:rsidR="00220D49" w:rsidRPr="008640C4">
        <w:rPr>
          <w:lang w:val="en-GB"/>
        </w:rPr>
        <w:t>W</w:t>
      </w:r>
      <w:r w:rsidR="00220D49" w:rsidRPr="008640C4">
        <w:rPr>
          <w:vertAlign w:val="subscript"/>
          <w:lang w:val="en-GB"/>
        </w:rPr>
        <w:t>z</w:t>
      </w:r>
      <w:proofErr w:type="spellEnd"/>
      <w:r w:rsidR="00220D49" w:rsidRPr="008640C4">
        <w:rPr>
          <w:lang w:val="en-GB"/>
        </w:rPr>
        <w:t xml:space="preserve"> –average car crushing index for mixed waste; </w:t>
      </w:r>
      <w:proofErr w:type="spellStart"/>
      <w:r w:rsidR="00220D49" w:rsidRPr="008640C4">
        <w:rPr>
          <w:lang w:val="en-GB"/>
        </w:rPr>
        <w:t>V</w:t>
      </w:r>
      <w:r w:rsidR="00220D49" w:rsidRPr="008640C4">
        <w:rPr>
          <w:vertAlign w:val="subscript"/>
          <w:lang w:val="en-GB"/>
        </w:rPr>
        <w:t>ś</w:t>
      </w:r>
      <w:proofErr w:type="spellEnd"/>
      <w:r w:rsidR="00220D49" w:rsidRPr="008640C4">
        <w:rPr>
          <w:lang w:val="en-GB"/>
        </w:rPr>
        <w:t xml:space="preserve"> – garbage truck capacity; </w:t>
      </w:r>
      <w:proofErr w:type="spellStart"/>
      <w:r w:rsidR="00220D49" w:rsidRPr="008640C4">
        <w:rPr>
          <w:lang w:val="en-GB"/>
        </w:rPr>
        <w:t>I</w:t>
      </w:r>
      <w:r w:rsidR="00220D49" w:rsidRPr="008640C4">
        <w:rPr>
          <w:vertAlign w:val="subscript"/>
          <w:lang w:val="en-GB"/>
        </w:rPr>
        <w:t>k</w:t>
      </w:r>
      <w:proofErr w:type="spellEnd"/>
      <w:r w:rsidR="00220D49" w:rsidRPr="008640C4">
        <w:rPr>
          <w:lang w:val="en-GB"/>
        </w:rPr>
        <w:t xml:space="preserve"> – number of courses; P</w:t>
      </w:r>
      <w:r w:rsidR="00220D49" w:rsidRPr="008640C4">
        <w:rPr>
          <w:vertAlign w:val="subscript"/>
          <w:lang w:val="en-GB"/>
        </w:rPr>
        <w:t>i</w:t>
      </w:r>
      <w:r w:rsidR="00220D49" w:rsidRPr="008640C4">
        <w:rPr>
          <w:lang w:val="en-GB"/>
        </w:rPr>
        <w:t xml:space="preserve"> – percentage shares of individual fractions in mixed waste; G</w:t>
      </w:r>
      <w:r w:rsidR="00220D49" w:rsidRPr="008640C4">
        <w:rPr>
          <w:vertAlign w:val="subscript"/>
          <w:lang w:val="en-GB"/>
        </w:rPr>
        <w:t>i</w:t>
      </w:r>
      <w:r w:rsidR="00220D49" w:rsidRPr="008640C4">
        <w:rPr>
          <w:lang w:val="en-GB"/>
        </w:rPr>
        <w:t xml:space="preserve"> – average density of individual fractions thrown into containers; Z</w:t>
      </w:r>
      <w:r w:rsidR="00220D49" w:rsidRPr="008640C4">
        <w:rPr>
          <w:vertAlign w:val="subscript"/>
          <w:lang w:val="en-GB"/>
        </w:rPr>
        <w:t>i1</w:t>
      </w:r>
      <w:r w:rsidR="00220D49" w:rsidRPr="008640C4">
        <w:rPr>
          <w:lang w:val="en-GB"/>
        </w:rPr>
        <w:t xml:space="preserve"> – Quantity of mixed municipal waste accumulated in </w:t>
      </w:r>
      <w:r>
        <w:rPr>
          <w:lang w:val="en-GB"/>
        </w:rPr>
        <w:t xml:space="preserve">the </w:t>
      </w:r>
      <w:r w:rsidR="00220D49" w:rsidRPr="008640C4">
        <w:rPr>
          <w:lang w:val="en-GB"/>
        </w:rPr>
        <w:t xml:space="preserve">sector I per month; </w:t>
      </w:r>
      <w:proofErr w:type="spellStart"/>
      <w:r w:rsidR="00220D49" w:rsidRPr="008640C4">
        <w:rPr>
          <w:lang w:val="en-GB"/>
        </w:rPr>
        <w:t>W</w:t>
      </w:r>
      <w:r w:rsidR="00220D49" w:rsidRPr="008640C4">
        <w:rPr>
          <w:vertAlign w:val="subscript"/>
          <w:lang w:val="en-GB"/>
        </w:rPr>
        <w:t>z</w:t>
      </w:r>
      <w:proofErr w:type="spellEnd"/>
      <w:r w:rsidR="00220D49" w:rsidRPr="008640C4">
        <w:rPr>
          <w:lang w:val="en-GB"/>
        </w:rPr>
        <w:t xml:space="preserve"> –average car crushing index for mixed waste; </w:t>
      </w:r>
      <w:proofErr w:type="spellStart"/>
      <w:r w:rsidR="00220D49" w:rsidRPr="008640C4">
        <w:rPr>
          <w:lang w:val="en-GB"/>
        </w:rPr>
        <w:t>V</w:t>
      </w:r>
      <w:r w:rsidR="00220D49" w:rsidRPr="008640C4">
        <w:rPr>
          <w:vertAlign w:val="subscript"/>
          <w:lang w:val="en-GB"/>
        </w:rPr>
        <w:t>ś</w:t>
      </w:r>
      <w:proofErr w:type="spellEnd"/>
      <w:r w:rsidR="00220D49" w:rsidRPr="008640C4">
        <w:rPr>
          <w:lang w:val="en-GB"/>
        </w:rPr>
        <w:t xml:space="preserve"> – garbage truck capacity</w:t>
      </w:r>
    </w:p>
    <w:p w14:paraId="2A4A2EDC" w14:textId="175A1FA3" w:rsidR="005A3DD0" w:rsidRPr="008640C4" w:rsidRDefault="00BB034A" w:rsidP="001671A5">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k</m:t>
            </m:r>
          </m:sub>
        </m:sSub>
        <m:r>
          <m:rPr>
            <m:sty m:val="p"/>
          </m:rPr>
          <w:rPr>
            <w:rFonts w:ascii="Cambria Math" w:hAnsi="Cambria Math"/>
            <w:lang w:val="en-GB"/>
          </w:rPr>
          <m:t>=</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m:rPr>
                <m:sty m:val="p"/>
              </m:rPr>
              <w:rPr>
                <w:rFonts w:ascii="Cambria Math" w:hAnsi="Cambria Math"/>
                <w:lang w:val="en-GB"/>
              </w:rPr>
              <m:t>5</m:t>
            </m:r>
          </m:sup>
          <m:e>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i</m:t>
                    </m:r>
                  </m:sub>
                </m:sSub>
              </m:num>
              <m:den>
                <m:sSub>
                  <m:sSubPr>
                    <m:ctrlPr>
                      <w:rPr>
                        <w:rFonts w:ascii="Cambria Math" w:hAnsi="Cambria Math"/>
                        <w:lang w:val="en-GB"/>
                      </w:rPr>
                    </m:ctrlPr>
                  </m:sSubPr>
                  <m:e>
                    <m:r>
                      <w:rPr>
                        <w:rFonts w:ascii="Cambria Math" w:hAnsi="Cambria Math"/>
                        <w:lang w:val="en-GB"/>
                      </w:rPr>
                      <m:t>G</m:t>
                    </m:r>
                  </m:e>
                  <m:sub>
                    <m:r>
                      <w:rPr>
                        <w:rFonts w:ascii="Cambria Math" w:hAnsi="Cambria Math"/>
                        <w:lang w:val="en-GB"/>
                      </w:rPr>
                      <m:t>i</m:t>
                    </m:r>
                  </m:sub>
                </m:sSub>
              </m:den>
            </m:f>
          </m:e>
        </m:nary>
        <m:r>
          <m:rPr>
            <m:sty m:val="p"/>
          </m:rP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Z</m:t>
                </m:r>
              </m:e>
              <m:sub>
                <m:r>
                  <w:rPr>
                    <w:rFonts w:ascii="Cambria Math" w:hAnsi="Cambria Math"/>
                    <w:lang w:val="en-GB"/>
                  </w:rPr>
                  <m:t>i</m:t>
                </m:r>
                <m:r>
                  <m:rPr>
                    <m:sty m:val="p"/>
                  </m:rPr>
                  <w:rPr>
                    <w:rFonts w:ascii="Cambria Math" w:hAnsi="Cambria Math"/>
                    <w:lang w:val="en-GB"/>
                  </w:rPr>
                  <m:t>1</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W</m:t>
                </m:r>
              </m:e>
              <m:sub>
                <m:r>
                  <w:rPr>
                    <w:rFonts w:ascii="Cambria Math" w:hAnsi="Cambria Math"/>
                    <w:lang w:val="en-GB"/>
                  </w:rPr>
                  <m:t>z</m:t>
                </m:r>
              </m:sub>
            </m:sSub>
            <m:r>
              <w:rPr>
                <w:rFonts w:ascii="Cambria Math" w:hAnsi="Cambria Math"/>
                <w:lang w:val="en-GB"/>
              </w:rPr>
              <m:t>∙</m:t>
            </m:r>
            <m:r>
              <m:rPr>
                <m:sty m:val="p"/>
              </m:rPr>
              <w:rPr>
                <w:rFonts w:ascii="Cambria Math" w:hAnsi="Cambria Math"/>
                <w:lang w:val="en-GB"/>
              </w:rPr>
              <m:t>1000</m:t>
            </m:r>
          </m:num>
          <m:den>
            <m:sSub>
              <m:sSubPr>
                <m:ctrlPr>
                  <w:rPr>
                    <w:rFonts w:ascii="Cambria Math" w:hAnsi="Cambria Math"/>
                    <w:lang w:val="en-GB"/>
                  </w:rPr>
                </m:ctrlPr>
              </m:sSubPr>
              <m:e>
                <m:r>
                  <w:rPr>
                    <w:rFonts w:ascii="Cambria Math" w:hAnsi="Cambria Math"/>
                    <w:lang w:val="en-GB"/>
                  </w:rPr>
                  <m:t>V</m:t>
                </m:r>
              </m:e>
              <m:sub>
                <m:r>
                  <m:rPr>
                    <m:sty m:val="p"/>
                  </m:rPr>
                  <w:rPr>
                    <w:rFonts w:ascii="Cambria Math" w:hAnsi="Cambria Math"/>
                    <w:lang w:val="en-GB"/>
                  </w:rPr>
                  <m:t>ś</m:t>
                </m:r>
              </m:sub>
            </m:sSub>
          </m:den>
        </m:f>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6</w:t>
      </w:r>
      <w:r w:rsidR="00D81B25" w:rsidRPr="008640C4">
        <w:rPr>
          <w:noProof/>
          <w:lang w:val="en-GB"/>
        </w:rPr>
        <w:fldChar w:fldCharType="end"/>
      </w:r>
      <w:r w:rsidRPr="008640C4">
        <w:rPr>
          <w:lang w:val="en-GB"/>
        </w:rPr>
        <w:t>)</w:t>
      </w:r>
    </w:p>
    <w:p w14:paraId="7AF47D91" w14:textId="23494A73" w:rsidR="00544E8F" w:rsidRPr="008640C4" w:rsidRDefault="00FF6A75" w:rsidP="001671A5">
      <w:pPr>
        <w:pStyle w:val="Rtab"/>
        <w:rPr>
          <w:lang w:val="en-GB"/>
        </w:rPr>
      </w:pPr>
      <w:r w:rsidRPr="008640C4">
        <w:rPr>
          <w:b/>
          <w:bCs/>
          <w:lang w:val="en-GB"/>
        </w:rPr>
        <w:t xml:space="preserve">Table </w:t>
      </w:r>
      <w:r w:rsidR="00D81B25" w:rsidRPr="008640C4">
        <w:rPr>
          <w:b/>
          <w:bCs/>
          <w:noProof/>
          <w:lang w:val="en-GB"/>
        </w:rPr>
        <w:fldChar w:fldCharType="begin"/>
      </w:r>
      <w:r w:rsidRPr="008640C4">
        <w:rPr>
          <w:b/>
          <w:bCs/>
          <w:noProof/>
          <w:lang w:val="en-GB"/>
        </w:rPr>
        <w:instrText xml:space="preserve"> SEQ tabelka\* ARABIC </w:instrText>
      </w:r>
      <w:r w:rsidR="00D81B25" w:rsidRPr="008640C4">
        <w:rPr>
          <w:b/>
          <w:bCs/>
          <w:noProof/>
          <w:lang w:val="en-GB"/>
        </w:rPr>
        <w:fldChar w:fldCharType="separate"/>
      </w:r>
      <w:r w:rsidR="00F04983">
        <w:rPr>
          <w:b/>
          <w:bCs/>
          <w:noProof/>
          <w:lang w:val="en-GB"/>
        </w:rPr>
        <w:t>6</w:t>
      </w:r>
      <w:r w:rsidR="00D81B25" w:rsidRPr="008640C4">
        <w:rPr>
          <w:b/>
          <w:bCs/>
          <w:noProof/>
          <w:lang w:val="en-GB"/>
        </w:rPr>
        <w:fldChar w:fldCharType="end"/>
      </w:r>
      <w:r w:rsidRPr="008640C4">
        <w:rPr>
          <w:b/>
          <w:bCs/>
          <w:lang w:val="en-GB"/>
        </w:rPr>
        <w:t xml:space="preserve">. </w:t>
      </w:r>
      <w:r w:rsidR="003B0A0A" w:rsidRPr="008640C4">
        <w:rPr>
          <w:lang w:val="en-GB"/>
        </w:rPr>
        <w:t>The volume of fractions and the number of garb</w:t>
      </w:r>
      <w:r w:rsidR="006053B6" w:rsidRPr="008640C4">
        <w:rPr>
          <w:lang w:val="en-GB"/>
        </w:rPr>
        <w:t>age truck trips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6"/>
        <w:gridCol w:w="1544"/>
        <w:gridCol w:w="1823"/>
        <w:gridCol w:w="2288"/>
        <w:gridCol w:w="2552"/>
      </w:tblGrid>
      <w:tr w:rsidR="004A6000" w:rsidRPr="008640C4" w14:paraId="4F1A27CD" w14:textId="77777777" w:rsidTr="00644F8C">
        <w:trPr>
          <w:trHeight w:val="397"/>
          <w:jc w:val="center"/>
        </w:trPr>
        <w:tc>
          <w:tcPr>
            <w:tcW w:w="1286" w:type="dxa"/>
            <w:vMerge w:val="restart"/>
            <w:shd w:val="clear" w:color="auto" w:fill="auto"/>
            <w:noWrap/>
            <w:vAlign w:val="center"/>
            <w:hideMark/>
          </w:tcPr>
          <w:p w14:paraId="1082271A" w14:textId="77777777" w:rsidR="004A6000" w:rsidRPr="008640C4" w:rsidRDefault="004A6000" w:rsidP="009E3616">
            <w:pPr>
              <w:pStyle w:val="Tabletext"/>
              <w:rPr>
                <w:lang w:val="en-GB"/>
              </w:rPr>
            </w:pPr>
            <w:r w:rsidRPr="008640C4">
              <w:rPr>
                <w:lang w:val="en-GB"/>
              </w:rPr>
              <w:t>Fraction</w:t>
            </w:r>
          </w:p>
        </w:tc>
        <w:tc>
          <w:tcPr>
            <w:tcW w:w="1544" w:type="dxa"/>
            <w:vMerge w:val="restart"/>
            <w:shd w:val="clear" w:color="auto" w:fill="auto"/>
            <w:noWrap/>
            <w:vAlign w:val="center"/>
            <w:hideMark/>
          </w:tcPr>
          <w:p w14:paraId="6C22DAFF" w14:textId="77777777" w:rsidR="004A6000" w:rsidRPr="008640C4" w:rsidRDefault="004A6000" w:rsidP="009E3616">
            <w:pPr>
              <w:pStyle w:val="Tabletext"/>
              <w:rPr>
                <w:lang w:val="en-GB"/>
              </w:rPr>
            </w:pPr>
            <w:r w:rsidRPr="008640C4">
              <w:rPr>
                <w:lang w:val="en-GB"/>
              </w:rPr>
              <w:t>Quantity in Mg</w:t>
            </w:r>
          </w:p>
        </w:tc>
        <w:tc>
          <w:tcPr>
            <w:tcW w:w="1823" w:type="dxa"/>
            <w:vMerge w:val="restart"/>
            <w:shd w:val="clear" w:color="auto" w:fill="auto"/>
            <w:vAlign w:val="center"/>
            <w:hideMark/>
          </w:tcPr>
          <w:p w14:paraId="10385E94" w14:textId="77777777" w:rsidR="004A6000" w:rsidRPr="008640C4" w:rsidRDefault="004A6000" w:rsidP="009E3616">
            <w:pPr>
              <w:pStyle w:val="Tabletext"/>
              <w:rPr>
                <w:lang w:val="en-GB"/>
              </w:rPr>
            </w:pPr>
            <w:r w:rsidRPr="008640C4">
              <w:rPr>
                <w:lang w:val="en-GB"/>
              </w:rPr>
              <w:t xml:space="preserve">Capacity needed </w:t>
            </w:r>
            <w:r w:rsidR="001671A5" w:rsidRPr="008640C4">
              <w:rPr>
                <w:lang w:val="en-GB"/>
              </w:rPr>
              <w:br/>
            </w:r>
            <w:r w:rsidRPr="008640C4">
              <w:rPr>
                <w:lang w:val="en-GB"/>
              </w:rPr>
              <w:t xml:space="preserve">(in </w:t>
            </w:r>
            <w:proofErr w:type="spellStart"/>
            <w:r w:rsidRPr="008640C4">
              <w:rPr>
                <w:lang w:val="en-GB"/>
              </w:rPr>
              <w:t>liters</w:t>
            </w:r>
            <w:proofErr w:type="spellEnd"/>
            <w:r w:rsidRPr="008640C4">
              <w:rPr>
                <w:lang w:val="en-GB"/>
              </w:rPr>
              <w:t>)</w:t>
            </w:r>
          </w:p>
        </w:tc>
        <w:tc>
          <w:tcPr>
            <w:tcW w:w="2288" w:type="dxa"/>
            <w:vMerge w:val="restart"/>
            <w:shd w:val="clear" w:color="auto" w:fill="auto"/>
            <w:vAlign w:val="center"/>
            <w:hideMark/>
          </w:tcPr>
          <w:p w14:paraId="5D9103A5" w14:textId="77777777" w:rsidR="004A6000" w:rsidRPr="008640C4" w:rsidRDefault="004A6000" w:rsidP="009E3616">
            <w:pPr>
              <w:pStyle w:val="Tabletext"/>
              <w:rPr>
                <w:lang w:val="en-GB"/>
              </w:rPr>
            </w:pPr>
            <w:r w:rsidRPr="008640C4">
              <w:rPr>
                <w:lang w:val="en-GB"/>
              </w:rPr>
              <w:t>Capacity after compaction in the garbage truck</w:t>
            </w:r>
          </w:p>
        </w:tc>
        <w:tc>
          <w:tcPr>
            <w:tcW w:w="2552" w:type="dxa"/>
            <w:vMerge w:val="restart"/>
            <w:shd w:val="clear" w:color="auto" w:fill="auto"/>
            <w:vAlign w:val="center"/>
            <w:hideMark/>
          </w:tcPr>
          <w:p w14:paraId="1F45AD68" w14:textId="77777777" w:rsidR="004A6000" w:rsidRPr="008640C4" w:rsidRDefault="004A6000" w:rsidP="009E3616">
            <w:pPr>
              <w:pStyle w:val="Tabletext"/>
              <w:rPr>
                <w:lang w:val="en-GB"/>
              </w:rPr>
            </w:pPr>
            <w:r w:rsidRPr="008640C4">
              <w:rPr>
                <w:lang w:val="en-GB"/>
              </w:rPr>
              <w:t>The number of trips needed to transport the waste</w:t>
            </w:r>
          </w:p>
        </w:tc>
      </w:tr>
      <w:tr w:rsidR="004A6000" w:rsidRPr="008640C4" w14:paraId="760C5FE6" w14:textId="77777777" w:rsidTr="00644F8C">
        <w:trPr>
          <w:trHeight w:val="253"/>
          <w:jc w:val="center"/>
        </w:trPr>
        <w:tc>
          <w:tcPr>
            <w:tcW w:w="1286" w:type="dxa"/>
            <w:vMerge/>
            <w:vAlign w:val="center"/>
            <w:hideMark/>
          </w:tcPr>
          <w:p w14:paraId="3975C614" w14:textId="77777777" w:rsidR="004A6000" w:rsidRPr="008640C4" w:rsidRDefault="004A6000" w:rsidP="009E3616">
            <w:pPr>
              <w:pStyle w:val="Tabletext"/>
              <w:rPr>
                <w:lang w:val="en-GB"/>
              </w:rPr>
            </w:pPr>
          </w:p>
        </w:tc>
        <w:tc>
          <w:tcPr>
            <w:tcW w:w="1544" w:type="dxa"/>
            <w:vMerge/>
            <w:vAlign w:val="center"/>
            <w:hideMark/>
          </w:tcPr>
          <w:p w14:paraId="763CC89A" w14:textId="77777777" w:rsidR="004A6000" w:rsidRPr="008640C4" w:rsidRDefault="004A6000" w:rsidP="009E3616">
            <w:pPr>
              <w:pStyle w:val="Tabletext"/>
              <w:rPr>
                <w:lang w:val="en-GB"/>
              </w:rPr>
            </w:pPr>
          </w:p>
        </w:tc>
        <w:tc>
          <w:tcPr>
            <w:tcW w:w="1823" w:type="dxa"/>
            <w:vMerge/>
            <w:vAlign w:val="center"/>
            <w:hideMark/>
          </w:tcPr>
          <w:p w14:paraId="14E8A5E6" w14:textId="77777777" w:rsidR="004A6000" w:rsidRPr="008640C4" w:rsidRDefault="004A6000" w:rsidP="009E3616">
            <w:pPr>
              <w:pStyle w:val="Tabletext"/>
              <w:rPr>
                <w:lang w:val="en-GB"/>
              </w:rPr>
            </w:pPr>
          </w:p>
        </w:tc>
        <w:tc>
          <w:tcPr>
            <w:tcW w:w="2288" w:type="dxa"/>
            <w:vMerge/>
            <w:vAlign w:val="center"/>
            <w:hideMark/>
          </w:tcPr>
          <w:p w14:paraId="3C311609" w14:textId="77777777" w:rsidR="004A6000" w:rsidRPr="008640C4" w:rsidRDefault="004A6000" w:rsidP="009E3616">
            <w:pPr>
              <w:pStyle w:val="Tabletext"/>
              <w:rPr>
                <w:lang w:val="en-GB"/>
              </w:rPr>
            </w:pPr>
          </w:p>
        </w:tc>
        <w:tc>
          <w:tcPr>
            <w:tcW w:w="2552" w:type="dxa"/>
            <w:vMerge/>
            <w:vAlign w:val="center"/>
            <w:hideMark/>
          </w:tcPr>
          <w:p w14:paraId="42273AED" w14:textId="77777777" w:rsidR="004A6000" w:rsidRPr="008640C4" w:rsidRDefault="004A6000" w:rsidP="009E3616">
            <w:pPr>
              <w:pStyle w:val="Tabletext"/>
              <w:rPr>
                <w:lang w:val="en-GB"/>
              </w:rPr>
            </w:pPr>
          </w:p>
        </w:tc>
      </w:tr>
      <w:tr w:rsidR="004A6000" w:rsidRPr="008640C4" w14:paraId="525455A1" w14:textId="77777777" w:rsidTr="00644F8C">
        <w:trPr>
          <w:trHeight w:val="297"/>
          <w:jc w:val="center"/>
        </w:trPr>
        <w:tc>
          <w:tcPr>
            <w:tcW w:w="1286" w:type="dxa"/>
            <w:shd w:val="clear" w:color="auto" w:fill="auto"/>
            <w:vAlign w:val="center"/>
            <w:hideMark/>
          </w:tcPr>
          <w:p w14:paraId="53C7F789" w14:textId="77777777" w:rsidR="004A6000" w:rsidRPr="008640C4" w:rsidRDefault="001671A5" w:rsidP="00644F8C">
            <w:pPr>
              <w:pStyle w:val="Tabletext"/>
              <w:ind w:left="152"/>
              <w:jc w:val="left"/>
              <w:rPr>
                <w:lang w:val="en-GB"/>
              </w:rPr>
            </w:pPr>
            <w:r w:rsidRPr="008640C4">
              <w:rPr>
                <w:lang w:val="en-GB"/>
              </w:rPr>
              <w:t>P</w:t>
            </w:r>
            <w:r w:rsidR="004A6000" w:rsidRPr="008640C4">
              <w:rPr>
                <w:lang w:val="en-GB"/>
              </w:rPr>
              <w:t>lastics</w:t>
            </w:r>
          </w:p>
        </w:tc>
        <w:tc>
          <w:tcPr>
            <w:tcW w:w="1544" w:type="dxa"/>
            <w:shd w:val="clear" w:color="auto" w:fill="auto"/>
            <w:noWrap/>
            <w:vAlign w:val="center"/>
            <w:hideMark/>
          </w:tcPr>
          <w:p w14:paraId="39701BB6" w14:textId="77777777" w:rsidR="004A6000" w:rsidRPr="008640C4" w:rsidRDefault="004A6000" w:rsidP="009E3616">
            <w:pPr>
              <w:pStyle w:val="Tabletext"/>
              <w:rPr>
                <w:lang w:val="en-GB"/>
              </w:rPr>
            </w:pPr>
            <w:r w:rsidRPr="008640C4">
              <w:rPr>
                <w:lang w:val="en-GB"/>
              </w:rPr>
              <w:t>643</w:t>
            </w:r>
          </w:p>
        </w:tc>
        <w:tc>
          <w:tcPr>
            <w:tcW w:w="1823" w:type="dxa"/>
            <w:shd w:val="clear" w:color="auto" w:fill="auto"/>
            <w:noWrap/>
            <w:vAlign w:val="center"/>
            <w:hideMark/>
          </w:tcPr>
          <w:p w14:paraId="1CE3DFE6" w14:textId="77777777" w:rsidR="004A6000" w:rsidRPr="008640C4" w:rsidRDefault="004A6000" w:rsidP="009E3616">
            <w:pPr>
              <w:pStyle w:val="Tabletext"/>
              <w:rPr>
                <w:lang w:val="en-GB"/>
              </w:rPr>
            </w:pPr>
            <w:r w:rsidRPr="008640C4">
              <w:rPr>
                <w:lang w:val="en-GB"/>
              </w:rPr>
              <w:t>2</w:t>
            </w:r>
            <w:r w:rsidR="00F069F6">
              <w:rPr>
                <w:lang w:val="en-GB"/>
              </w:rPr>
              <w:t>,</w:t>
            </w:r>
            <w:r w:rsidRPr="008640C4">
              <w:rPr>
                <w:lang w:val="en-GB"/>
              </w:rPr>
              <w:t>1428</w:t>
            </w:r>
            <w:r w:rsidR="00F069F6">
              <w:rPr>
                <w:lang w:val="en-GB"/>
              </w:rPr>
              <w:t>,</w:t>
            </w:r>
            <w:r w:rsidRPr="008640C4">
              <w:rPr>
                <w:lang w:val="en-GB"/>
              </w:rPr>
              <w:t>440</w:t>
            </w:r>
          </w:p>
        </w:tc>
        <w:tc>
          <w:tcPr>
            <w:tcW w:w="2288" w:type="dxa"/>
            <w:shd w:val="clear" w:color="auto" w:fill="auto"/>
            <w:noWrap/>
            <w:vAlign w:val="center"/>
            <w:hideMark/>
          </w:tcPr>
          <w:p w14:paraId="6D1138AB" w14:textId="77777777" w:rsidR="004A6000" w:rsidRPr="008640C4" w:rsidRDefault="004A6000" w:rsidP="009E3616">
            <w:pPr>
              <w:pStyle w:val="Tabletext"/>
              <w:rPr>
                <w:lang w:val="en-GB"/>
              </w:rPr>
            </w:pPr>
            <w:r w:rsidRPr="008640C4">
              <w:rPr>
                <w:lang w:val="en-GB"/>
              </w:rPr>
              <w:t>9</w:t>
            </w:r>
            <w:r w:rsidR="00F069F6">
              <w:rPr>
                <w:lang w:val="en-GB"/>
              </w:rPr>
              <w:t>,</w:t>
            </w:r>
            <w:r w:rsidRPr="008640C4">
              <w:rPr>
                <w:lang w:val="en-GB"/>
              </w:rPr>
              <w:t>214</w:t>
            </w:r>
            <w:r w:rsidR="00F069F6">
              <w:rPr>
                <w:lang w:val="en-GB"/>
              </w:rPr>
              <w:t>,</w:t>
            </w:r>
            <w:r w:rsidRPr="008640C4">
              <w:rPr>
                <w:lang w:val="en-GB"/>
              </w:rPr>
              <w:t>229</w:t>
            </w:r>
          </w:p>
        </w:tc>
        <w:tc>
          <w:tcPr>
            <w:tcW w:w="2552" w:type="dxa"/>
            <w:shd w:val="clear" w:color="auto" w:fill="auto"/>
            <w:noWrap/>
            <w:vAlign w:val="center"/>
            <w:hideMark/>
          </w:tcPr>
          <w:p w14:paraId="48B7E837" w14:textId="77777777" w:rsidR="004A6000" w:rsidRPr="008640C4" w:rsidRDefault="004A6000" w:rsidP="009E3616">
            <w:pPr>
              <w:pStyle w:val="Tabletext"/>
              <w:rPr>
                <w:lang w:val="en-GB"/>
              </w:rPr>
            </w:pPr>
            <w:r w:rsidRPr="008640C4">
              <w:rPr>
                <w:lang w:val="en-GB"/>
              </w:rPr>
              <w:t>461</w:t>
            </w:r>
          </w:p>
        </w:tc>
      </w:tr>
      <w:tr w:rsidR="004A6000" w:rsidRPr="008640C4" w14:paraId="0101CE9F" w14:textId="77777777" w:rsidTr="00644F8C">
        <w:trPr>
          <w:trHeight w:val="297"/>
          <w:jc w:val="center"/>
        </w:trPr>
        <w:tc>
          <w:tcPr>
            <w:tcW w:w="1286" w:type="dxa"/>
            <w:shd w:val="clear" w:color="auto" w:fill="auto"/>
            <w:noWrap/>
            <w:vAlign w:val="center"/>
            <w:hideMark/>
          </w:tcPr>
          <w:p w14:paraId="0865DE8E" w14:textId="77777777" w:rsidR="004A6000" w:rsidRPr="008640C4" w:rsidRDefault="001671A5" w:rsidP="00644F8C">
            <w:pPr>
              <w:pStyle w:val="Tabletext"/>
              <w:ind w:left="152"/>
              <w:jc w:val="left"/>
              <w:rPr>
                <w:lang w:val="en-GB"/>
              </w:rPr>
            </w:pPr>
            <w:r w:rsidRPr="008640C4">
              <w:rPr>
                <w:lang w:val="en-GB"/>
              </w:rPr>
              <w:t>P</w:t>
            </w:r>
            <w:r w:rsidR="004A6000" w:rsidRPr="008640C4">
              <w:rPr>
                <w:lang w:val="en-GB"/>
              </w:rPr>
              <w:t>aper</w:t>
            </w:r>
          </w:p>
        </w:tc>
        <w:tc>
          <w:tcPr>
            <w:tcW w:w="1544" w:type="dxa"/>
            <w:shd w:val="clear" w:color="auto" w:fill="auto"/>
            <w:noWrap/>
            <w:vAlign w:val="center"/>
            <w:hideMark/>
          </w:tcPr>
          <w:p w14:paraId="471791A0" w14:textId="77777777" w:rsidR="004A6000" w:rsidRPr="008640C4" w:rsidRDefault="004A6000" w:rsidP="009E3616">
            <w:pPr>
              <w:pStyle w:val="Tabletext"/>
              <w:rPr>
                <w:lang w:val="en-GB"/>
              </w:rPr>
            </w:pPr>
            <w:r w:rsidRPr="008640C4">
              <w:rPr>
                <w:lang w:val="en-GB"/>
              </w:rPr>
              <w:t>586</w:t>
            </w:r>
          </w:p>
        </w:tc>
        <w:tc>
          <w:tcPr>
            <w:tcW w:w="1823" w:type="dxa"/>
            <w:shd w:val="clear" w:color="auto" w:fill="auto"/>
            <w:noWrap/>
            <w:vAlign w:val="center"/>
            <w:hideMark/>
          </w:tcPr>
          <w:p w14:paraId="6E3A8F1F" w14:textId="77777777" w:rsidR="004A6000" w:rsidRPr="008640C4" w:rsidRDefault="004A6000" w:rsidP="009E3616">
            <w:pPr>
              <w:pStyle w:val="Tabletext"/>
              <w:rPr>
                <w:lang w:val="en-GB"/>
              </w:rPr>
            </w:pPr>
            <w:r w:rsidRPr="008640C4">
              <w:rPr>
                <w:lang w:val="en-GB"/>
              </w:rPr>
              <w:t>4</w:t>
            </w:r>
            <w:r w:rsidR="00F069F6">
              <w:rPr>
                <w:lang w:val="en-GB"/>
              </w:rPr>
              <w:t>,</w:t>
            </w:r>
            <w:r w:rsidRPr="008640C4">
              <w:rPr>
                <w:lang w:val="en-GB"/>
              </w:rPr>
              <w:t>184</w:t>
            </w:r>
            <w:r w:rsidR="00F069F6">
              <w:rPr>
                <w:lang w:val="en-GB"/>
              </w:rPr>
              <w:t>,</w:t>
            </w:r>
            <w:r w:rsidRPr="008640C4">
              <w:rPr>
                <w:lang w:val="en-GB"/>
              </w:rPr>
              <w:t>471</w:t>
            </w:r>
          </w:p>
        </w:tc>
        <w:tc>
          <w:tcPr>
            <w:tcW w:w="2288" w:type="dxa"/>
            <w:shd w:val="clear" w:color="auto" w:fill="auto"/>
            <w:noWrap/>
            <w:vAlign w:val="center"/>
            <w:hideMark/>
          </w:tcPr>
          <w:p w14:paraId="57919CF5" w14:textId="77777777" w:rsidR="004A6000" w:rsidRPr="008640C4" w:rsidRDefault="004A6000" w:rsidP="009E3616">
            <w:pPr>
              <w:pStyle w:val="Tabletext"/>
              <w:rPr>
                <w:lang w:val="en-GB"/>
              </w:rPr>
            </w:pPr>
            <w:r w:rsidRPr="008640C4">
              <w:rPr>
                <w:lang w:val="en-GB"/>
              </w:rPr>
              <w:t>1</w:t>
            </w:r>
            <w:r w:rsidR="00F069F6">
              <w:rPr>
                <w:lang w:val="en-GB"/>
              </w:rPr>
              <w:t>,</w:t>
            </w:r>
            <w:r w:rsidRPr="008640C4">
              <w:rPr>
                <w:lang w:val="en-GB"/>
              </w:rPr>
              <w:t>799</w:t>
            </w:r>
            <w:r w:rsidR="00F069F6">
              <w:rPr>
                <w:lang w:val="en-GB"/>
              </w:rPr>
              <w:t>,</w:t>
            </w:r>
            <w:r w:rsidRPr="008640C4">
              <w:rPr>
                <w:lang w:val="en-GB"/>
              </w:rPr>
              <w:t>322</w:t>
            </w:r>
          </w:p>
        </w:tc>
        <w:tc>
          <w:tcPr>
            <w:tcW w:w="2552" w:type="dxa"/>
            <w:shd w:val="clear" w:color="auto" w:fill="auto"/>
            <w:noWrap/>
            <w:vAlign w:val="center"/>
            <w:hideMark/>
          </w:tcPr>
          <w:p w14:paraId="083F5739" w14:textId="77777777" w:rsidR="004A6000" w:rsidRPr="008640C4" w:rsidRDefault="004A6000" w:rsidP="009E3616">
            <w:pPr>
              <w:pStyle w:val="Tabletext"/>
              <w:rPr>
                <w:lang w:val="en-GB"/>
              </w:rPr>
            </w:pPr>
            <w:r w:rsidRPr="008640C4">
              <w:rPr>
                <w:lang w:val="en-GB"/>
              </w:rPr>
              <w:t>90</w:t>
            </w:r>
          </w:p>
        </w:tc>
      </w:tr>
      <w:tr w:rsidR="004A6000" w:rsidRPr="008640C4" w14:paraId="3D108715" w14:textId="77777777" w:rsidTr="00644F8C">
        <w:trPr>
          <w:trHeight w:val="297"/>
          <w:jc w:val="center"/>
        </w:trPr>
        <w:tc>
          <w:tcPr>
            <w:tcW w:w="1286" w:type="dxa"/>
            <w:shd w:val="clear" w:color="auto" w:fill="auto"/>
            <w:noWrap/>
            <w:vAlign w:val="center"/>
            <w:hideMark/>
          </w:tcPr>
          <w:p w14:paraId="3D6063FB" w14:textId="77777777" w:rsidR="004A6000" w:rsidRPr="008640C4" w:rsidRDefault="001671A5" w:rsidP="00644F8C">
            <w:pPr>
              <w:pStyle w:val="Tabletext"/>
              <w:ind w:left="152"/>
              <w:jc w:val="left"/>
              <w:rPr>
                <w:lang w:val="en-GB"/>
              </w:rPr>
            </w:pPr>
            <w:r w:rsidRPr="008640C4">
              <w:rPr>
                <w:lang w:val="en-GB"/>
              </w:rPr>
              <w:t>G</w:t>
            </w:r>
            <w:r w:rsidR="004A6000" w:rsidRPr="008640C4">
              <w:rPr>
                <w:lang w:val="en-GB"/>
              </w:rPr>
              <w:t>lass</w:t>
            </w:r>
          </w:p>
        </w:tc>
        <w:tc>
          <w:tcPr>
            <w:tcW w:w="1544" w:type="dxa"/>
            <w:shd w:val="clear" w:color="auto" w:fill="auto"/>
            <w:noWrap/>
            <w:vAlign w:val="center"/>
            <w:hideMark/>
          </w:tcPr>
          <w:p w14:paraId="35E87332" w14:textId="77777777" w:rsidR="004A6000" w:rsidRPr="008640C4" w:rsidRDefault="004A6000" w:rsidP="009E3616">
            <w:pPr>
              <w:pStyle w:val="Tabletext"/>
              <w:rPr>
                <w:lang w:val="en-GB"/>
              </w:rPr>
            </w:pPr>
            <w:r w:rsidRPr="008640C4">
              <w:rPr>
                <w:lang w:val="en-GB"/>
              </w:rPr>
              <w:t>608</w:t>
            </w:r>
          </w:p>
        </w:tc>
        <w:tc>
          <w:tcPr>
            <w:tcW w:w="1823" w:type="dxa"/>
            <w:shd w:val="clear" w:color="auto" w:fill="auto"/>
            <w:noWrap/>
            <w:vAlign w:val="center"/>
            <w:hideMark/>
          </w:tcPr>
          <w:p w14:paraId="31981065" w14:textId="77777777" w:rsidR="004A6000" w:rsidRPr="008640C4" w:rsidRDefault="004A6000" w:rsidP="009E3616">
            <w:pPr>
              <w:pStyle w:val="Tabletext"/>
              <w:rPr>
                <w:lang w:val="en-GB"/>
              </w:rPr>
            </w:pPr>
            <w:r w:rsidRPr="008640C4">
              <w:rPr>
                <w:lang w:val="en-GB"/>
              </w:rPr>
              <w:t>1</w:t>
            </w:r>
            <w:r w:rsidR="00F069F6">
              <w:rPr>
                <w:lang w:val="en-GB"/>
              </w:rPr>
              <w:t>,</w:t>
            </w:r>
            <w:r w:rsidRPr="008640C4">
              <w:rPr>
                <w:lang w:val="en-GB"/>
              </w:rPr>
              <w:t>962</w:t>
            </w:r>
            <w:r w:rsidR="00F069F6">
              <w:rPr>
                <w:lang w:val="en-GB"/>
              </w:rPr>
              <w:t>,</w:t>
            </w:r>
            <w:r w:rsidRPr="008640C4">
              <w:rPr>
                <w:lang w:val="en-GB"/>
              </w:rPr>
              <w:t>736</w:t>
            </w:r>
          </w:p>
        </w:tc>
        <w:tc>
          <w:tcPr>
            <w:tcW w:w="2288" w:type="dxa"/>
            <w:shd w:val="clear" w:color="auto" w:fill="auto"/>
            <w:noWrap/>
            <w:vAlign w:val="center"/>
            <w:hideMark/>
          </w:tcPr>
          <w:p w14:paraId="31B9B441" w14:textId="77777777" w:rsidR="004A6000" w:rsidRPr="008640C4" w:rsidRDefault="004A6000" w:rsidP="009E3616">
            <w:pPr>
              <w:pStyle w:val="Tabletext"/>
              <w:rPr>
                <w:lang w:val="en-GB"/>
              </w:rPr>
            </w:pPr>
            <w:r w:rsidRPr="008640C4">
              <w:rPr>
                <w:lang w:val="en-GB"/>
              </w:rPr>
              <w:t>843</w:t>
            </w:r>
            <w:r w:rsidR="00F069F6">
              <w:rPr>
                <w:lang w:val="en-GB"/>
              </w:rPr>
              <w:t>,</w:t>
            </w:r>
            <w:r w:rsidRPr="008640C4">
              <w:rPr>
                <w:lang w:val="en-GB"/>
              </w:rPr>
              <w:t>977</w:t>
            </w:r>
          </w:p>
        </w:tc>
        <w:tc>
          <w:tcPr>
            <w:tcW w:w="2552" w:type="dxa"/>
            <w:shd w:val="clear" w:color="auto" w:fill="auto"/>
            <w:noWrap/>
            <w:vAlign w:val="center"/>
            <w:hideMark/>
          </w:tcPr>
          <w:p w14:paraId="3C44F8FB" w14:textId="77777777" w:rsidR="004A6000" w:rsidRPr="008640C4" w:rsidRDefault="004A6000" w:rsidP="009E3616">
            <w:pPr>
              <w:pStyle w:val="Tabletext"/>
              <w:rPr>
                <w:lang w:val="en-GB"/>
              </w:rPr>
            </w:pPr>
            <w:r w:rsidRPr="008640C4">
              <w:rPr>
                <w:lang w:val="en-GB"/>
              </w:rPr>
              <w:t>43</w:t>
            </w:r>
          </w:p>
        </w:tc>
      </w:tr>
      <w:tr w:rsidR="004A6000" w:rsidRPr="008640C4" w14:paraId="362C4F76" w14:textId="77777777" w:rsidTr="00644F8C">
        <w:trPr>
          <w:trHeight w:val="297"/>
          <w:jc w:val="center"/>
        </w:trPr>
        <w:tc>
          <w:tcPr>
            <w:tcW w:w="1286" w:type="dxa"/>
            <w:shd w:val="clear" w:color="auto" w:fill="auto"/>
            <w:noWrap/>
            <w:vAlign w:val="center"/>
            <w:hideMark/>
          </w:tcPr>
          <w:p w14:paraId="3E1AF88F" w14:textId="77777777" w:rsidR="004A6000" w:rsidRPr="008640C4" w:rsidRDefault="001671A5" w:rsidP="00644F8C">
            <w:pPr>
              <w:pStyle w:val="Tabletext"/>
              <w:ind w:left="152"/>
              <w:jc w:val="left"/>
              <w:rPr>
                <w:lang w:val="en-GB"/>
              </w:rPr>
            </w:pPr>
            <w:r w:rsidRPr="008640C4">
              <w:rPr>
                <w:lang w:val="en-GB"/>
              </w:rPr>
              <w:t>B</w:t>
            </w:r>
            <w:r w:rsidR="004A6000" w:rsidRPr="008640C4">
              <w:rPr>
                <w:lang w:val="en-GB"/>
              </w:rPr>
              <w:t>io</w:t>
            </w:r>
          </w:p>
        </w:tc>
        <w:tc>
          <w:tcPr>
            <w:tcW w:w="1544" w:type="dxa"/>
            <w:shd w:val="clear" w:color="auto" w:fill="auto"/>
            <w:noWrap/>
            <w:vAlign w:val="center"/>
            <w:hideMark/>
          </w:tcPr>
          <w:p w14:paraId="2BBE6E2D" w14:textId="77777777" w:rsidR="004A6000" w:rsidRPr="008640C4" w:rsidRDefault="004A6000" w:rsidP="009E3616">
            <w:pPr>
              <w:pStyle w:val="Tabletext"/>
              <w:rPr>
                <w:lang w:val="en-GB"/>
              </w:rPr>
            </w:pPr>
            <w:r w:rsidRPr="008640C4">
              <w:rPr>
                <w:lang w:val="en-GB"/>
              </w:rPr>
              <w:t>1</w:t>
            </w:r>
            <w:r w:rsidR="00F069F6">
              <w:rPr>
                <w:lang w:val="en-GB"/>
              </w:rPr>
              <w:t>,</w:t>
            </w:r>
            <w:r w:rsidRPr="008640C4">
              <w:rPr>
                <w:lang w:val="en-GB"/>
              </w:rPr>
              <w:t>948</w:t>
            </w:r>
          </w:p>
        </w:tc>
        <w:tc>
          <w:tcPr>
            <w:tcW w:w="1823" w:type="dxa"/>
            <w:shd w:val="clear" w:color="auto" w:fill="auto"/>
            <w:noWrap/>
            <w:vAlign w:val="center"/>
            <w:hideMark/>
          </w:tcPr>
          <w:p w14:paraId="43958139" w14:textId="77777777" w:rsidR="004A6000" w:rsidRPr="008640C4" w:rsidRDefault="004A6000" w:rsidP="009E3616">
            <w:pPr>
              <w:pStyle w:val="Tabletext"/>
              <w:rPr>
                <w:lang w:val="en-GB"/>
              </w:rPr>
            </w:pPr>
            <w:r w:rsidRPr="008640C4">
              <w:rPr>
                <w:lang w:val="en-GB"/>
              </w:rPr>
              <w:t>6</w:t>
            </w:r>
            <w:r w:rsidR="00F069F6">
              <w:rPr>
                <w:lang w:val="en-GB"/>
              </w:rPr>
              <w:t>,</w:t>
            </w:r>
            <w:r w:rsidRPr="008640C4">
              <w:rPr>
                <w:lang w:val="en-GB"/>
              </w:rPr>
              <w:t>494</w:t>
            </w:r>
            <w:r w:rsidR="00F069F6">
              <w:rPr>
                <w:lang w:val="en-GB"/>
              </w:rPr>
              <w:t>,</w:t>
            </w:r>
            <w:r w:rsidRPr="008640C4">
              <w:rPr>
                <w:lang w:val="en-GB"/>
              </w:rPr>
              <w:t>514</w:t>
            </w:r>
          </w:p>
        </w:tc>
        <w:tc>
          <w:tcPr>
            <w:tcW w:w="2288" w:type="dxa"/>
            <w:shd w:val="clear" w:color="auto" w:fill="auto"/>
            <w:noWrap/>
            <w:vAlign w:val="center"/>
            <w:hideMark/>
          </w:tcPr>
          <w:p w14:paraId="598B4F7B" w14:textId="77777777" w:rsidR="004A6000" w:rsidRPr="008640C4" w:rsidRDefault="004A6000" w:rsidP="009E3616">
            <w:pPr>
              <w:pStyle w:val="Tabletext"/>
              <w:rPr>
                <w:lang w:val="en-GB"/>
              </w:rPr>
            </w:pPr>
            <w:r w:rsidRPr="008640C4">
              <w:rPr>
                <w:lang w:val="en-GB"/>
              </w:rPr>
              <w:t>2</w:t>
            </w:r>
            <w:r w:rsidR="00F069F6">
              <w:rPr>
                <w:lang w:val="en-GB"/>
              </w:rPr>
              <w:t>,</w:t>
            </w:r>
            <w:r w:rsidRPr="008640C4">
              <w:rPr>
                <w:lang w:val="en-GB"/>
              </w:rPr>
              <w:t>792</w:t>
            </w:r>
            <w:r w:rsidR="00F069F6">
              <w:rPr>
                <w:lang w:val="en-GB"/>
              </w:rPr>
              <w:t>,</w:t>
            </w:r>
            <w:r w:rsidRPr="008640C4">
              <w:rPr>
                <w:lang w:val="en-GB"/>
              </w:rPr>
              <w:t>641</w:t>
            </w:r>
          </w:p>
        </w:tc>
        <w:tc>
          <w:tcPr>
            <w:tcW w:w="2552" w:type="dxa"/>
            <w:shd w:val="clear" w:color="auto" w:fill="auto"/>
            <w:noWrap/>
            <w:vAlign w:val="center"/>
            <w:hideMark/>
          </w:tcPr>
          <w:p w14:paraId="5075117A" w14:textId="77777777" w:rsidR="004A6000" w:rsidRPr="008640C4" w:rsidRDefault="004A6000" w:rsidP="009E3616">
            <w:pPr>
              <w:pStyle w:val="Tabletext"/>
              <w:rPr>
                <w:lang w:val="en-GB"/>
              </w:rPr>
            </w:pPr>
            <w:r w:rsidRPr="008640C4">
              <w:rPr>
                <w:lang w:val="en-GB"/>
              </w:rPr>
              <w:t>140</w:t>
            </w:r>
          </w:p>
        </w:tc>
      </w:tr>
      <w:tr w:rsidR="004A6000" w:rsidRPr="008640C4" w14:paraId="2F1813DE" w14:textId="77777777" w:rsidTr="00644F8C">
        <w:trPr>
          <w:trHeight w:val="297"/>
          <w:jc w:val="center"/>
        </w:trPr>
        <w:tc>
          <w:tcPr>
            <w:tcW w:w="1286" w:type="dxa"/>
            <w:shd w:val="clear" w:color="auto" w:fill="auto"/>
            <w:noWrap/>
            <w:vAlign w:val="center"/>
            <w:hideMark/>
          </w:tcPr>
          <w:p w14:paraId="5CF1290C" w14:textId="77777777" w:rsidR="004A6000" w:rsidRPr="008640C4" w:rsidRDefault="001671A5" w:rsidP="00644F8C">
            <w:pPr>
              <w:pStyle w:val="Tabletext"/>
              <w:ind w:left="152"/>
              <w:jc w:val="left"/>
              <w:rPr>
                <w:lang w:val="en-GB"/>
              </w:rPr>
            </w:pPr>
            <w:r w:rsidRPr="008640C4">
              <w:rPr>
                <w:lang w:val="en-GB"/>
              </w:rPr>
              <w:t>R</w:t>
            </w:r>
            <w:r w:rsidR="004A6000" w:rsidRPr="008640C4">
              <w:rPr>
                <w:lang w:val="en-GB"/>
              </w:rPr>
              <w:t>emaining</w:t>
            </w:r>
          </w:p>
        </w:tc>
        <w:tc>
          <w:tcPr>
            <w:tcW w:w="1544" w:type="dxa"/>
            <w:shd w:val="clear" w:color="auto" w:fill="auto"/>
            <w:noWrap/>
            <w:vAlign w:val="center"/>
            <w:hideMark/>
          </w:tcPr>
          <w:p w14:paraId="2AC0A0A1" w14:textId="77777777" w:rsidR="004A6000" w:rsidRPr="008640C4" w:rsidRDefault="004A6000" w:rsidP="009E3616">
            <w:pPr>
              <w:pStyle w:val="Tabletext"/>
              <w:rPr>
                <w:lang w:val="en-GB"/>
              </w:rPr>
            </w:pPr>
            <w:r w:rsidRPr="008640C4">
              <w:rPr>
                <w:lang w:val="en-GB"/>
              </w:rPr>
              <w:t>928</w:t>
            </w:r>
          </w:p>
        </w:tc>
        <w:tc>
          <w:tcPr>
            <w:tcW w:w="1823" w:type="dxa"/>
            <w:shd w:val="clear" w:color="auto" w:fill="auto"/>
            <w:noWrap/>
            <w:vAlign w:val="center"/>
            <w:hideMark/>
          </w:tcPr>
          <w:p w14:paraId="3ADF1036" w14:textId="77777777" w:rsidR="004A6000" w:rsidRPr="008640C4" w:rsidRDefault="004A6000" w:rsidP="009E3616">
            <w:pPr>
              <w:pStyle w:val="Tabletext"/>
              <w:rPr>
                <w:lang w:val="en-GB"/>
              </w:rPr>
            </w:pPr>
            <w:r w:rsidRPr="008640C4">
              <w:rPr>
                <w:lang w:val="en-GB"/>
              </w:rPr>
              <w:t>4</w:t>
            </w:r>
            <w:r w:rsidR="00F069F6">
              <w:rPr>
                <w:lang w:val="en-GB"/>
              </w:rPr>
              <w:t>,</w:t>
            </w:r>
            <w:r w:rsidRPr="008640C4">
              <w:rPr>
                <w:lang w:val="en-GB"/>
              </w:rPr>
              <w:t>637</w:t>
            </w:r>
            <w:r w:rsidR="00F069F6">
              <w:rPr>
                <w:lang w:val="en-GB"/>
              </w:rPr>
              <w:t>,</w:t>
            </w:r>
            <w:r w:rsidRPr="008640C4">
              <w:rPr>
                <w:lang w:val="en-GB"/>
              </w:rPr>
              <w:t>592</w:t>
            </w:r>
          </w:p>
        </w:tc>
        <w:tc>
          <w:tcPr>
            <w:tcW w:w="2288" w:type="dxa"/>
            <w:shd w:val="clear" w:color="auto" w:fill="auto"/>
            <w:noWrap/>
            <w:vAlign w:val="center"/>
            <w:hideMark/>
          </w:tcPr>
          <w:p w14:paraId="1A7DCBA6" w14:textId="77777777" w:rsidR="004A6000" w:rsidRPr="008640C4" w:rsidRDefault="004A6000" w:rsidP="009E3616">
            <w:pPr>
              <w:pStyle w:val="Tabletext"/>
              <w:rPr>
                <w:lang w:val="en-GB"/>
              </w:rPr>
            </w:pPr>
            <w:r w:rsidRPr="008640C4">
              <w:rPr>
                <w:lang w:val="en-GB"/>
              </w:rPr>
              <w:t>1</w:t>
            </w:r>
            <w:r w:rsidR="00F069F6">
              <w:rPr>
                <w:lang w:val="en-GB"/>
              </w:rPr>
              <w:t>,</w:t>
            </w:r>
            <w:r w:rsidRPr="008640C4">
              <w:rPr>
                <w:lang w:val="en-GB"/>
              </w:rPr>
              <w:t>994</w:t>
            </w:r>
            <w:r w:rsidR="00F069F6">
              <w:rPr>
                <w:lang w:val="en-GB"/>
              </w:rPr>
              <w:t>,</w:t>
            </w:r>
            <w:r w:rsidRPr="008640C4">
              <w:rPr>
                <w:lang w:val="en-GB"/>
              </w:rPr>
              <w:t>165</w:t>
            </w:r>
          </w:p>
        </w:tc>
        <w:tc>
          <w:tcPr>
            <w:tcW w:w="2552" w:type="dxa"/>
            <w:shd w:val="clear" w:color="auto" w:fill="auto"/>
            <w:noWrap/>
            <w:vAlign w:val="center"/>
            <w:hideMark/>
          </w:tcPr>
          <w:p w14:paraId="66FA6596" w14:textId="77777777" w:rsidR="004A6000" w:rsidRPr="008640C4" w:rsidRDefault="004A6000" w:rsidP="009E3616">
            <w:pPr>
              <w:pStyle w:val="Tabletext"/>
              <w:rPr>
                <w:lang w:val="en-GB"/>
              </w:rPr>
            </w:pPr>
            <w:r w:rsidRPr="008640C4">
              <w:rPr>
                <w:lang w:val="en-GB"/>
              </w:rPr>
              <w:t>100</w:t>
            </w:r>
          </w:p>
        </w:tc>
      </w:tr>
      <w:tr w:rsidR="004A6000" w:rsidRPr="008640C4" w14:paraId="10633B84" w14:textId="77777777" w:rsidTr="00644F8C">
        <w:trPr>
          <w:trHeight w:val="297"/>
          <w:jc w:val="center"/>
        </w:trPr>
        <w:tc>
          <w:tcPr>
            <w:tcW w:w="1286" w:type="dxa"/>
            <w:shd w:val="clear" w:color="auto" w:fill="auto"/>
            <w:vAlign w:val="center"/>
            <w:hideMark/>
          </w:tcPr>
          <w:p w14:paraId="49BF0676" w14:textId="77777777" w:rsidR="004A6000" w:rsidRPr="008640C4" w:rsidRDefault="001012F5" w:rsidP="00644F8C">
            <w:pPr>
              <w:pStyle w:val="Tabletext"/>
              <w:ind w:left="152"/>
              <w:jc w:val="left"/>
              <w:rPr>
                <w:lang w:val="en-GB"/>
              </w:rPr>
            </w:pPr>
            <w:r w:rsidRPr="008640C4">
              <w:rPr>
                <w:lang w:val="en-GB"/>
              </w:rPr>
              <w:t>Total</w:t>
            </w:r>
          </w:p>
        </w:tc>
        <w:tc>
          <w:tcPr>
            <w:tcW w:w="1544" w:type="dxa"/>
            <w:shd w:val="clear" w:color="auto" w:fill="auto"/>
            <w:noWrap/>
            <w:vAlign w:val="center"/>
            <w:hideMark/>
          </w:tcPr>
          <w:p w14:paraId="4067BC67" w14:textId="77777777" w:rsidR="004A6000" w:rsidRPr="008640C4" w:rsidRDefault="004A6000" w:rsidP="009E3616">
            <w:pPr>
              <w:pStyle w:val="Tabletext"/>
              <w:rPr>
                <w:lang w:val="en-GB"/>
              </w:rPr>
            </w:pPr>
            <w:r w:rsidRPr="008640C4">
              <w:rPr>
                <w:lang w:val="en-GB"/>
              </w:rPr>
              <w:t>4</w:t>
            </w:r>
            <w:r w:rsidR="00F069F6">
              <w:rPr>
                <w:lang w:val="en-GB"/>
              </w:rPr>
              <w:t>,</w:t>
            </w:r>
            <w:r w:rsidRPr="008640C4">
              <w:rPr>
                <w:lang w:val="en-GB"/>
              </w:rPr>
              <w:t>713</w:t>
            </w:r>
          </w:p>
        </w:tc>
        <w:tc>
          <w:tcPr>
            <w:tcW w:w="1823" w:type="dxa"/>
            <w:shd w:val="clear" w:color="auto" w:fill="auto"/>
            <w:noWrap/>
            <w:vAlign w:val="center"/>
            <w:hideMark/>
          </w:tcPr>
          <w:p w14:paraId="66B38598" w14:textId="77777777" w:rsidR="004A6000" w:rsidRPr="008640C4" w:rsidRDefault="004A6000" w:rsidP="009E3616">
            <w:pPr>
              <w:pStyle w:val="Tabletext"/>
              <w:rPr>
                <w:lang w:val="en-GB"/>
              </w:rPr>
            </w:pPr>
            <w:r w:rsidRPr="008640C4">
              <w:rPr>
                <w:lang w:val="en-GB"/>
              </w:rPr>
              <w:t>38</w:t>
            </w:r>
            <w:r w:rsidR="00F069F6">
              <w:rPr>
                <w:lang w:val="en-GB"/>
              </w:rPr>
              <w:t>,</w:t>
            </w:r>
            <w:r w:rsidRPr="008640C4">
              <w:rPr>
                <w:lang w:val="en-GB"/>
              </w:rPr>
              <w:t>707</w:t>
            </w:r>
            <w:r w:rsidR="00F069F6">
              <w:rPr>
                <w:lang w:val="en-GB"/>
              </w:rPr>
              <w:t>,</w:t>
            </w:r>
            <w:r w:rsidRPr="008640C4">
              <w:rPr>
                <w:lang w:val="en-GB"/>
              </w:rPr>
              <w:t>753</w:t>
            </w:r>
          </w:p>
        </w:tc>
        <w:tc>
          <w:tcPr>
            <w:tcW w:w="2288" w:type="dxa"/>
            <w:shd w:val="clear" w:color="auto" w:fill="auto"/>
            <w:noWrap/>
            <w:vAlign w:val="center"/>
            <w:hideMark/>
          </w:tcPr>
          <w:p w14:paraId="101911AE" w14:textId="77777777" w:rsidR="004A6000" w:rsidRPr="008640C4" w:rsidRDefault="004A6000" w:rsidP="009E3616">
            <w:pPr>
              <w:pStyle w:val="Tabletext"/>
              <w:rPr>
                <w:lang w:val="en-GB"/>
              </w:rPr>
            </w:pPr>
            <w:r w:rsidRPr="008640C4">
              <w:rPr>
                <w:lang w:val="en-GB"/>
              </w:rPr>
              <w:t>16</w:t>
            </w:r>
            <w:r w:rsidR="00F069F6">
              <w:rPr>
                <w:lang w:val="en-GB"/>
              </w:rPr>
              <w:t>,</w:t>
            </w:r>
            <w:r w:rsidRPr="008640C4">
              <w:rPr>
                <w:lang w:val="en-GB"/>
              </w:rPr>
              <w:t>644</w:t>
            </w:r>
            <w:r w:rsidR="00F069F6">
              <w:rPr>
                <w:lang w:val="en-GB"/>
              </w:rPr>
              <w:t>,</w:t>
            </w:r>
            <w:r w:rsidRPr="008640C4">
              <w:rPr>
                <w:lang w:val="en-GB"/>
              </w:rPr>
              <w:t>334</w:t>
            </w:r>
          </w:p>
        </w:tc>
        <w:tc>
          <w:tcPr>
            <w:tcW w:w="2552" w:type="dxa"/>
            <w:shd w:val="clear" w:color="auto" w:fill="auto"/>
            <w:noWrap/>
            <w:vAlign w:val="center"/>
            <w:hideMark/>
          </w:tcPr>
          <w:p w14:paraId="2CC8048C" w14:textId="77777777" w:rsidR="004A6000" w:rsidRPr="008640C4" w:rsidRDefault="004A6000" w:rsidP="009E3616">
            <w:pPr>
              <w:pStyle w:val="Tabletext"/>
              <w:rPr>
                <w:lang w:val="en-GB"/>
              </w:rPr>
            </w:pPr>
            <w:r w:rsidRPr="008640C4">
              <w:rPr>
                <w:lang w:val="en-GB"/>
              </w:rPr>
              <w:t>833</w:t>
            </w:r>
          </w:p>
        </w:tc>
      </w:tr>
    </w:tbl>
    <w:p w14:paraId="49EEE376" w14:textId="77777777" w:rsidR="008742C7" w:rsidRPr="008640C4" w:rsidRDefault="008742C7" w:rsidP="009E3616">
      <w:pPr>
        <w:rPr>
          <w:lang w:val="en-GB"/>
        </w:rPr>
      </w:pPr>
    </w:p>
    <w:p w14:paraId="6C98FBA8" w14:textId="77777777" w:rsidR="006C77B3" w:rsidRPr="008640C4" w:rsidRDefault="00F069F6" w:rsidP="001671A5">
      <w:pPr>
        <w:ind w:firstLine="284"/>
        <w:rPr>
          <w:lang w:val="en-GB"/>
        </w:rPr>
      </w:pPr>
      <w:r>
        <w:rPr>
          <w:lang w:val="en-GB"/>
        </w:rPr>
        <w:t>T</w:t>
      </w:r>
      <w:r w:rsidR="00801ECA" w:rsidRPr="008640C4">
        <w:rPr>
          <w:lang w:val="en-GB"/>
        </w:rPr>
        <w:t>o transport all mixed municipal waste generated within a month in Sector I, 833 trips to the RIPOK are needed. By multiplying the number of trips and the doubled average distance from RIPOK, we will get the number of kilomet</w:t>
      </w:r>
      <w:r>
        <w:rPr>
          <w:lang w:val="en-GB"/>
        </w:rPr>
        <w:t>re</w:t>
      </w:r>
      <w:r w:rsidR="00801ECA" w:rsidRPr="008640C4">
        <w:rPr>
          <w:lang w:val="en-GB"/>
        </w:rPr>
        <w:t>s that must be covered to transport waste.</w:t>
      </w:r>
    </w:p>
    <w:p w14:paraId="43FB5B69" w14:textId="6B2167BB" w:rsidR="000E1604" w:rsidRPr="008640C4" w:rsidRDefault="00237CD4" w:rsidP="001671A5">
      <w:pPr>
        <w:pStyle w:val="Rwnanie"/>
        <w:tabs>
          <w:tab w:val="clear" w:pos="9072"/>
          <w:tab w:val="right" w:pos="9638"/>
        </w:tabs>
        <w:spacing w:before="120" w:after="120"/>
        <w:rPr>
          <w:noProof/>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z</m:t>
            </m:r>
          </m:sub>
        </m:sSub>
        <m:r>
          <m:rPr>
            <m:sty m:val="p"/>
          </m:rPr>
          <w:rPr>
            <w:rFonts w:ascii="Cambria Math" w:hAnsi="Cambria Math"/>
            <w:lang w:val="en-GB"/>
          </w:rPr>
          <m:t xml:space="preserve">= </m:t>
        </m:r>
        <m:r>
          <w:rPr>
            <w:rFonts w:ascii="Cambria Math" w:hAnsi="Cambria Math"/>
            <w:lang w:val="en-GB"/>
          </w:rPr>
          <m:t>S∙P∙W</m:t>
        </m:r>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Ik∙O∙</m:t>
            </m:r>
            <m:r>
              <m:rPr>
                <m:sty m:val="p"/>
              </m:rPr>
              <w:rPr>
                <w:rFonts w:ascii="Cambria Math" w:hAnsi="Cambria Math"/>
                <w:lang w:val="en-GB"/>
              </w:rPr>
              <m:t>2</m:t>
            </m:r>
            <m:r>
              <w:rPr>
                <w:rFonts w:ascii="Cambria Math" w:hAnsi="Cambria Math"/>
                <w:lang w:val="en-GB"/>
              </w:rPr>
              <m:t>∙B</m:t>
            </m:r>
          </m:num>
          <m:den>
            <m:r>
              <m:rPr>
                <m:sty m:val="p"/>
              </m:rPr>
              <w:rPr>
                <w:rFonts w:ascii="Cambria Math" w:hAnsi="Cambria Math"/>
                <w:lang w:val="en-GB"/>
              </w:rPr>
              <m:t>100</m:t>
            </m:r>
          </m:den>
        </m:f>
        <m:r>
          <w:rPr>
            <w:rFonts w:ascii="Cambria Math" w:hAnsi="Cambria Math"/>
            <w:lang w:val="en-GB"/>
          </w:rPr>
          <m:t>∙C</m:t>
        </m:r>
        <m:r>
          <m:rPr>
            <m:sty m:val="p"/>
          </m:rPr>
          <w:rPr>
            <w:rFonts w:ascii="Cambria Math" w:hAnsi="Cambria Math"/>
            <w:lang w:val="en-GB"/>
          </w:rPr>
          <m:t>+</m:t>
        </m:r>
        <m:r>
          <w:rPr>
            <w:rFonts w:ascii="Cambria Math" w:hAnsi="Cambria Math"/>
            <w:lang w:val="en-GB"/>
          </w:rPr>
          <m:t>A∙</m:t>
        </m:r>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k</m:t>
            </m:r>
          </m:sub>
        </m:sSub>
        <m:r>
          <w:rPr>
            <w:rFonts w:ascii="Cambria Math" w:hAnsi="Cambria Math"/>
            <w:lang w:val="en-GB"/>
          </w:rPr>
          <m:t>∙O∙</m:t>
        </m:r>
        <m:r>
          <m:rPr>
            <m:sty m:val="p"/>
          </m:rPr>
          <w:rPr>
            <w:rFonts w:ascii="Cambria Math" w:hAnsi="Cambria Math"/>
            <w:lang w:val="en-GB"/>
          </w:rPr>
          <m:t>2+</m:t>
        </m:r>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n</m:t>
            </m:r>
          </m:sub>
        </m:sSub>
      </m:oMath>
      <w:r w:rsidR="00BB034A" w:rsidRPr="008640C4">
        <w:rPr>
          <w:noProof/>
          <w:lang w:val="en-GB"/>
        </w:rPr>
        <w:tab/>
      </w:r>
      <w:r w:rsidR="00BB034A" w:rsidRPr="008640C4">
        <w:rPr>
          <w:lang w:val="en-GB"/>
        </w:rPr>
        <w:t>(</w:t>
      </w:r>
      <w:r w:rsidR="00D81B25" w:rsidRPr="008640C4">
        <w:rPr>
          <w:noProof/>
          <w:lang w:val="en-GB"/>
        </w:rPr>
        <w:fldChar w:fldCharType="begin"/>
      </w:r>
      <w:r w:rsidR="00BB034A" w:rsidRPr="008640C4">
        <w:rPr>
          <w:noProof/>
          <w:lang w:val="en-GB"/>
        </w:rPr>
        <w:instrText xml:space="preserve"> SEQ równanie\* ARABIC </w:instrText>
      </w:r>
      <w:r w:rsidR="00D81B25" w:rsidRPr="008640C4">
        <w:rPr>
          <w:noProof/>
          <w:lang w:val="en-GB"/>
        </w:rPr>
        <w:fldChar w:fldCharType="separate"/>
      </w:r>
      <w:r w:rsidR="00F04983">
        <w:rPr>
          <w:noProof/>
          <w:lang w:val="en-GB"/>
        </w:rPr>
        <w:t>7</w:t>
      </w:r>
      <w:r w:rsidR="00D81B25" w:rsidRPr="008640C4">
        <w:rPr>
          <w:noProof/>
          <w:lang w:val="en-GB"/>
        </w:rPr>
        <w:fldChar w:fldCharType="end"/>
      </w:r>
      <w:r w:rsidR="00BB034A" w:rsidRPr="008640C4">
        <w:rPr>
          <w:lang w:val="en-GB"/>
        </w:rPr>
        <w:t>)</w:t>
      </w:r>
    </w:p>
    <w:p w14:paraId="1CEE9CE5" w14:textId="77777777" w:rsidR="00876031" w:rsidRDefault="00876031" w:rsidP="009E3616">
      <w:pPr>
        <w:rPr>
          <w:lang w:val="en-GB"/>
        </w:rPr>
      </w:pPr>
    </w:p>
    <w:p w14:paraId="0905B731" w14:textId="77777777" w:rsidR="00237CD4" w:rsidRPr="008640C4" w:rsidRDefault="00237CD4" w:rsidP="009E3616">
      <w:pPr>
        <w:rPr>
          <w:lang w:val="en-GB"/>
        </w:rPr>
      </w:pPr>
      <w:r w:rsidRPr="008640C4">
        <w:rPr>
          <w:lang w:val="en-GB"/>
        </w:rPr>
        <w:t>where:</w:t>
      </w:r>
    </w:p>
    <w:p w14:paraId="3B51768B" w14:textId="77777777" w:rsidR="000E1604" w:rsidRPr="008640C4" w:rsidRDefault="00A21587" w:rsidP="009E3616">
      <w:pPr>
        <w:rPr>
          <w:lang w:val="en-GB"/>
        </w:rPr>
      </w:pPr>
      <w:proofErr w:type="spellStart"/>
      <w:r w:rsidRPr="008640C4">
        <w:rPr>
          <w:lang w:val="en-GB"/>
        </w:rPr>
        <w:t>K</w:t>
      </w:r>
      <w:r w:rsidRPr="008640C4">
        <w:rPr>
          <w:vertAlign w:val="subscript"/>
          <w:lang w:val="en-GB"/>
        </w:rPr>
        <w:t>z</w:t>
      </w:r>
      <w:proofErr w:type="spellEnd"/>
      <w:r w:rsidRPr="008640C4">
        <w:rPr>
          <w:lang w:val="en-GB"/>
        </w:rPr>
        <w:t xml:space="preserve"> </w:t>
      </w:r>
      <w:r w:rsidR="001671A5" w:rsidRPr="008640C4">
        <w:rPr>
          <w:lang w:val="en-GB"/>
        </w:rPr>
        <w:t>–</w:t>
      </w:r>
      <w:r w:rsidRPr="008640C4">
        <w:rPr>
          <w:lang w:val="en-GB"/>
        </w:rPr>
        <w:t xml:space="preserve"> Cost of the waste collection order, Sector I</w:t>
      </w:r>
      <w:r w:rsidR="001F65EE" w:rsidRPr="008640C4">
        <w:rPr>
          <w:lang w:val="en-GB"/>
        </w:rPr>
        <w:t>,</w:t>
      </w:r>
    </w:p>
    <w:p w14:paraId="3F3D7EA0" w14:textId="77777777" w:rsidR="00522617" w:rsidRPr="008640C4" w:rsidRDefault="00522617" w:rsidP="009E3616">
      <w:pPr>
        <w:rPr>
          <w:lang w:val="en-GB"/>
        </w:rPr>
      </w:pPr>
      <w:r w:rsidRPr="008640C4">
        <w:rPr>
          <w:lang w:val="en-GB"/>
        </w:rPr>
        <w:t xml:space="preserve">S </w:t>
      </w:r>
      <w:r w:rsidR="001671A5" w:rsidRPr="008640C4">
        <w:rPr>
          <w:lang w:val="en-GB"/>
        </w:rPr>
        <w:t>–</w:t>
      </w:r>
      <w:r w:rsidRPr="008640C4">
        <w:rPr>
          <w:lang w:val="en-GB"/>
        </w:rPr>
        <w:t xml:space="preserve"> number of cars</w:t>
      </w:r>
      <w:r w:rsidR="001F65EE" w:rsidRPr="008640C4">
        <w:rPr>
          <w:lang w:val="en-GB"/>
        </w:rPr>
        <w:t>,</w:t>
      </w:r>
    </w:p>
    <w:p w14:paraId="352F8895" w14:textId="77777777" w:rsidR="00522617" w:rsidRPr="008640C4" w:rsidRDefault="00522617" w:rsidP="009E3616">
      <w:pPr>
        <w:rPr>
          <w:lang w:val="en-GB"/>
        </w:rPr>
      </w:pPr>
      <w:r w:rsidRPr="008640C4">
        <w:rPr>
          <w:lang w:val="en-GB"/>
        </w:rPr>
        <w:t xml:space="preserve">P </w:t>
      </w:r>
      <w:r w:rsidR="001671A5" w:rsidRPr="008640C4">
        <w:rPr>
          <w:lang w:val="en-GB"/>
        </w:rPr>
        <w:t>–</w:t>
      </w:r>
      <w:r w:rsidRPr="008640C4">
        <w:rPr>
          <w:lang w:val="en-GB"/>
        </w:rPr>
        <w:t xml:space="preserve"> number of employees per 1 car</w:t>
      </w:r>
      <w:r w:rsidR="001F65EE" w:rsidRPr="008640C4">
        <w:rPr>
          <w:lang w:val="en-GB"/>
        </w:rPr>
        <w:t>,</w:t>
      </w:r>
    </w:p>
    <w:p w14:paraId="7B978867" w14:textId="77777777" w:rsidR="00522617" w:rsidRPr="008640C4" w:rsidRDefault="00522617" w:rsidP="009E3616">
      <w:pPr>
        <w:rPr>
          <w:lang w:val="en-GB"/>
        </w:rPr>
      </w:pPr>
      <w:r w:rsidRPr="008640C4">
        <w:rPr>
          <w:lang w:val="en-GB"/>
        </w:rPr>
        <w:t xml:space="preserve">W </w:t>
      </w:r>
      <w:r w:rsidR="001671A5" w:rsidRPr="008640C4">
        <w:rPr>
          <w:lang w:val="en-GB"/>
        </w:rPr>
        <w:t>–</w:t>
      </w:r>
      <w:r w:rsidRPr="008640C4">
        <w:rPr>
          <w:lang w:val="en-GB"/>
        </w:rPr>
        <w:t xml:space="preserve"> employee's monthly wage</w:t>
      </w:r>
      <w:r w:rsidR="001F65EE" w:rsidRPr="008640C4">
        <w:rPr>
          <w:lang w:val="en-GB"/>
        </w:rPr>
        <w:t>,</w:t>
      </w:r>
    </w:p>
    <w:p w14:paraId="7F58D42C" w14:textId="77777777" w:rsidR="00522617" w:rsidRPr="008640C4" w:rsidRDefault="00522617" w:rsidP="009E3616">
      <w:pPr>
        <w:rPr>
          <w:lang w:val="en-GB"/>
        </w:rPr>
      </w:pPr>
      <w:proofErr w:type="spellStart"/>
      <w:r w:rsidRPr="008640C4">
        <w:rPr>
          <w:lang w:val="en-GB"/>
        </w:rPr>
        <w:lastRenderedPageBreak/>
        <w:t>I</w:t>
      </w:r>
      <w:r w:rsidRPr="008640C4">
        <w:rPr>
          <w:vertAlign w:val="subscript"/>
          <w:lang w:val="en-GB"/>
        </w:rPr>
        <w:t>k</w:t>
      </w:r>
      <w:proofErr w:type="spellEnd"/>
      <w:r w:rsidRPr="008640C4">
        <w:rPr>
          <w:lang w:val="en-GB"/>
        </w:rPr>
        <w:t xml:space="preserve"> </w:t>
      </w:r>
      <w:r w:rsidR="001671A5" w:rsidRPr="008640C4">
        <w:rPr>
          <w:lang w:val="en-GB"/>
        </w:rPr>
        <w:t>–</w:t>
      </w:r>
      <w:r w:rsidRPr="008640C4">
        <w:rPr>
          <w:lang w:val="en-GB"/>
        </w:rPr>
        <w:t xml:space="preserve"> number of courses</w:t>
      </w:r>
      <w:r w:rsidR="001F65EE" w:rsidRPr="008640C4">
        <w:rPr>
          <w:lang w:val="en-GB"/>
        </w:rPr>
        <w:t>,</w:t>
      </w:r>
    </w:p>
    <w:p w14:paraId="0DD08676" w14:textId="77777777" w:rsidR="00522617" w:rsidRPr="008640C4" w:rsidRDefault="00522617" w:rsidP="009E3616">
      <w:pPr>
        <w:rPr>
          <w:lang w:val="en-GB"/>
        </w:rPr>
      </w:pPr>
      <w:r w:rsidRPr="008640C4">
        <w:rPr>
          <w:lang w:val="en-GB"/>
        </w:rPr>
        <w:t xml:space="preserve">O </w:t>
      </w:r>
      <w:r w:rsidR="001671A5" w:rsidRPr="008640C4">
        <w:rPr>
          <w:lang w:val="en-GB"/>
        </w:rPr>
        <w:t>–</w:t>
      </w:r>
      <w:r w:rsidRPr="008640C4">
        <w:rPr>
          <w:lang w:val="en-GB"/>
        </w:rPr>
        <w:t xml:space="preserve"> average distance to RIPOK</w:t>
      </w:r>
      <w:r w:rsidR="001F65EE" w:rsidRPr="008640C4">
        <w:rPr>
          <w:lang w:val="en-GB"/>
        </w:rPr>
        <w:t>,</w:t>
      </w:r>
    </w:p>
    <w:p w14:paraId="13C314B1" w14:textId="77777777" w:rsidR="00522617" w:rsidRPr="008640C4" w:rsidRDefault="00522617" w:rsidP="009E3616">
      <w:pPr>
        <w:rPr>
          <w:lang w:val="en-GB"/>
        </w:rPr>
      </w:pPr>
      <w:r w:rsidRPr="008640C4">
        <w:rPr>
          <w:lang w:val="en-GB"/>
        </w:rPr>
        <w:t xml:space="preserve">B </w:t>
      </w:r>
      <w:r w:rsidR="001671A5" w:rsidRPr="008640C4">
        <w:rPr>
          <w:lang w:val="en-GB"/>
        </w:rPr>
        <w:t>–</w:t>
      </w:r>
      <w:r w:rsidRPr="008640C4">
        <w:rPr>
          <w:lang w:val="en-GB"/>
        </w:rPr>
        <w:t xml:space="preserve"> fuel consumption per 100 </w:t>
      </w:r>
      <w:r w:rsidR="00CA6359" w:rsidRPr="008640C4">
        <w:rPr>
          <w:lang w:val="en-GB"/>
        </w:rPr>
        <w:t>[</w:t>
      </w:r>
      <w:r w:rsidRPr="008640C4">
        <w:rPr>
          <w:lang w:val="en-GB"/>
        </w:rPr>
        <w:t>km</w:t>
      </w:r>
      <w:r w:rsidR="001F65EE" w:rsidRPr="008640C4">
        <w:rPr>
          <w:lang w:val="en-GB"/>
        </w:rPr>
        <w:t>],</w:t>
      </w:r>
    </w:p>
    <w:p w14:paraId="3DFD8A24" w14:textId="77777777" w:rsidR="00522617" w:rsidRPr="008640C4" w:rsidRDefault="00522617" w:rsidP="009E3616">
      <w:pPr>
        <w:rPr>
          <w:lang w:val="en-GB"/>
        </w:rPr>
      </w:pPr>
      <w:r w:rsidRPr="008640C4">
        <w:rPr>
          <w:lang w:val="en-GB"/>
        </w:rPr>
        <w:t xml:space="preserve">C </w:t>
      </w:r>
      <w:r w:rsidR="001671A5" w:rsidRPr="008640C4">
        <w:rPr>
          <w:lang w:val="en-GB"/>
        </w:rPr>
        <w:t>–</w:t>
      </w:r>
      <w:r w:rsidRPr="008640C4">
        <w:rPr>
          <w:lang w:val="en-GB"/>
        </w:rPr>
        <w:t xml:space="preserve"> fuel price</w:t>
      </w:r>
      <w:r w:rsidR="001F65EE" w:rsidRPr="008640C4">
        <w:rPr>
          <w:lang w:val="en-GB"/>
        </w:rPr>
        <w:t>,</w:t>
      </w:r>
    </w:p>
    <w:p w14:paraId="42A957A0" w14:textId="77777777" w:rsidR="00001F5D" w:rsidRPr="008640C4" w:rsidRDefault="00001F5D" w:rsidP="009E3616">
      <w:pPr>
        <w:rPr>
          <w:lang w:val="en-GB"/>
        </w:rPr>
      </w:pPr>
      <w:r w:rsidRPr="008640C4">
        <w:rPr>
          <w:lang w:val="en-GB"/>
        </w:rPr>
        <w:t xml:space="preserve">A </w:t>
      </w:r>
      <w:r w:rsidR="001F65EE" w:rsidRPr="008640C4">
        <w:rPr>
          <w:lang w:val="en-GB"/>
        </w:rPr>
        <w:t>–</w:t>
      </w:r>
      <w:r w:rsidRPr="008640C4">
        <w:rPr>
          <w:lang w:val="en-GB"/>
        </w:rPr>
        <w:t xml:space="preserve"> amorti</w:t>
      </w:r>
      <w:r w:rsidR="001F3921">
        <w:rPr>
          <w:lang w:val="en-GB"/>
        </w:rPr>
        <w:t>s</w:t>
      </w:r>
      <w:r w:rsidRPr="008640C4">
        <w:rPr>
          <w:lang w:val="en-GB"/>
        </w:rPr>
        <w:t>ation</w:t>
      </w:r>
      <w:r w:rsidR="001F65EE" w:rsidRPr="008640C4">
        <w:rPr>
          <w:lang w:val="en-GB"/>
        </w:rPr>
        <w:t>,</w:t>
      </w:r>
    </w:p>
    <w:p w14:paraId="75937914" w14:textId="77777777" w:rsidR="000E1604" w:rsidRPr="008640C4" w:rsidRDefault="00001F5D" w:rsidP="009E3616">
      <w:pPr>
        <w:rPr>
          <w:lang w:val="en-GB"/>
        </w:rPr>
      </w:pPr>
      <w:r w:rsidRPr="008640C4">
        <w:rPr>
          <w:lang w:val="en-GB"/>
        </w:rPr>
        <w:t>I</w:t>
      </w:r>
      <w:r w:rsidRPr="008640C4">
        <w:rPr>
          <w:vertAlign w:val="subscript"/>
          <w:lang w:val="en-GB"/>
        </w:rPr>
        <w:t>n</w:t>
      </w:r>
      <w:r w:rsidRPr="008640C4">
        <w:rPr>
          <w:lang w:val="en-GB"/>
        </w:rPr>
        <w:t xml:space="preserve"> </w:t>
      </w:r>
      <w:r w:rsidR="001671A5" w:rsidRPr="008640C4">
        <w:rPr>
          <w:lang w:val="en-GB"/>
        </w:rPr>
        <w:t>–</w:t>
      </w:r>
      <w:r w:rsidRPr="008640C4">
        <w:rPr>
          <w:lang w:val="en-GB"/>
        </w:rPr>
        <w:t xml:space="preserve"> monthly cost of intervention collections</w:t>
      </w:r>
      <w:r w:rsidR="001F65EE" w:rsidRPr="008640C4">
        <w:rPr>
          <w:lang w:val="en-GB"/>
        </w:rPr>
        <w:t>.</w:t>
      </w:r>
    </w:p>
    <w:p w14:paraId="3598D9F2" w14:textId="77777777" w:rsidR="001671A5" w:rsidRPr="008640C4" w:rsidRDefault="001671A5" w:rsidP="001671A5">
      <w:pPr>
        <w:ind w:firstLine="284"/>
        <w:rPr>
          <w:lang w:val="en-GB"/>
        </w:rPr>
      </w:pPr>
    </w:p>
    <w:p w14:paraId="43EDDF1F" w14:textId="77777777" w:rsidR="001760A4" w:rsidRPr="008640C4" w:rsidRDefault="00220D49" w:rsidP="001671A5">
      <w:pPr>
        <w:ind w:firstLine="284"/>
        <w:rPr>
          <w:lang w:val="en-GB"/>
        </w:rPr>
      </w:pPr>
      <w:r w:rsidRPr="008640C4">
        <w:rPr>
          <w:lang w:val="en-GB"/>
        </w:rPr>
        <w:t xml:space="preserve">The costs of transporting mixed waste should also include the costs of storing mixed waste at the landfill </w:t>
      </w:r>
      <w:r w:rsidR="001671A5" w:rsidRPr="008640C4">
        <w:rPr>
          <w:lang w:val="en-GB"/>
        </w:rPr>
        <w:t>–</w:t>
      </w:r>
      <w:r w:rsidRPr="008640C4">
        <w:rPr>
          <w:lang w:val="en-GB"/>
        </w:rPr>
        <w:t xml:space="preserve"> the amount of the administrative fee, maintenance costs of RIPOK, PSZOK (calculated to the percentage of inhabitants in a given sector), system administration costs, 5% profit margin for the waste collection company (</w:t>
      </w:r>
      <w:r w:rsidR="0067574B">
        <w:rPr>
          <w:lang w:val="en-GB"/>
        </w:rPr>
        <w:t>eq. 8</w:t>
      </w:r>
      <w:r w:rsidRPr="008640C4">
        <w:rPr>
          <w:lang w:val="en-GB"/>
        </w:rPr>
        <w:t>).</w:t>
      </w:r>
    </w:p>
    <w:p w14:paraId="179589AC" w14:textId="120F0CC0" w:rsidR="006E5E95" w:rsidRPr="008640C4" w:rsidRDefault="00237CD4" w:rsidP="001671A5">
      <w:pPr>
        <w:pStyle w:val="Rwnanie"/>
        <w:tabs>
          <w:tab w:val="clear" w:pos="9072"/>
          <w:tab w:val="right" w:pos="9638"/>
        </w:tabs>
        <w:ind w:left="1985"/>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fm</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z</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z</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M</m:t>
            </m:r>
          </m:e>
          <m:sub>
            <m:r>
              <w:rPr>
                <w:rFonts w:ascii="Cambria Math" w:hAnsi="Cambria Math"/>
                <w:lang w:val="en-GB"/>
              </w:rPr>
              <m:t>z</m:t>
            </m:r>
          </m:sub>
        </m:sSub>
        <m:r>
          <m:rPr>
            <m:sty m:val="p"/>
          </m:rPr>
          <w:rPr>
            <w:rFonts w:ascii="Cambria Math" w:hAnsi="Cambria Math"/>
            <w:lang w:val="en-GB"/>
          </w:rPr>
          <m:t>+</m:t>
        </m:r>
        <m:d>
          <m:dPr>
            <m:ctrlPr>
              <w:rPr>
                <w:rFonts w:ascii="Cambria Math" w:hAnsi="Cambria Math"/>
                <w:lang w:val="en-GB"/>
              </w:rPr>
            </m:ctrlPr>
          </m:dPr>
          <m:e>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S</m:t>
                    </m:r>
                  </m:e>
                  <m:sub>
                    <m:r>
                      <w:rPr>
                        <w:rFonts w:ascii="Cambria Math" w:hAnsi="Cambria Math"/>
                        <w:lang w:val="en-GB"/>
                      </w:rPr>
                      <m:t>r</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B</m:t>
                    </m:r>
                  </m:e>
                  <m:sub>
                    <m:r>
                      <w:rPr>
                        <w:rFonts w:ascii="Cambria Math" w:hAnsi="Cambria Math"/>
                        <w:lang w:val="en-GB"/>
                      </w:rPr>
                      <m:t>o</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S</m:t>
                    </m:r>
                  </m:e>
                  <m:sub>
                    <m:r>
                      <w:rPr>
                        <w:rFonts w:ascii="Cambria Math" w:hAnsi="Cambria Math"/>
                        <w:lang w:val="en-GB"/>
                      </w:rPr>
                      <m:t>k</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O</m:t>
                    </m:r>
                  </m:e>
                  <m:sub>
                    <m:r>
                      <w:rPr>
                        <w:rFonts w:ascii="Cambria Math" w:hAnsi="Cambria Math"/>
                        <w:lang w:val="en-GB"/>
                      </w:rPr>
                      <m:t>g</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d</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w</m:t>
                    </m:r>
                  </m:sub>
                </m:sSub>
              </m:num>
              <m:den>
                <m:r>
                  <m:rPr>
                    <m:sty m:val="p"/>
                  </m:rPr>
                  <w:rPr>
                    <w:rFonts w:ascii="Cambria Math" w:hAnsi="Cambria Math"/>
                    <w:lang w:val="en-GB"/>
                  </w:rPr>
                  <m:t>12</m:t>
                </m:r>
              </m:den>
            </m:f>
          </m:e>
        </m:d>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1</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z</m:t>
            </m:r>
          </m:sub>
        </m:sSub>
        <m:r>
          <m:rPr>
            <m:sty m:val="p"/>
          </m:rPr>
          <w:rPr>
            <w:rFonts w:ascii="Cambria Math" w:hAnsi="Cambria Math"/>
            <w:lang w:val="en-GB"/>
          </w:rPr>
          <m:t xml:space="preserve"> + </m:t>
        </m:r>
        <m:r>
          <w:rPr>
            <w:rFonts w:ascii="Cambria Math" w:hAnsi="Cambria Math"/>
            <w:lang w:val="en-GB"/>
          </w:rPr>
          <m:t>M∙</m:t>
        </m:r>
        <m:sSub>
          <m:sSubPr>
            <m:ctrlPr>
              <w:rPr>
                <w:rFonts w:ascii="Cambria Math" w:hAnsi="Cambria Math"/>
                <w:lang w:val="en-GB"/>
              </w:rPr>
            </m:ctrlPr>
          </m:sSubPr>
          <m:e>
            <m:r>
              <w:rPr>
                <w:rFonts w:ascii="Cambria Math" w:hAnsi="Cambria Math"/>
                <w:lang w:val="en-GB"/>
              </w:rPr>
              <m:t>Z</m:t>
            </m:r>
          </m:e>
          <m:sub>
            <m:r>
              <w:rPr>
                <w:rFonts w:ascii="Cambria Math" w:hAnsi="Cambria Math"/>
                <w:lang w:val="en-GB"/>
              </w:rPr>
              <m:t>i</m:t>
            </m:r>
            <m:r>
              <m:rPr>
                <m:sty m:val="p"/>
              </m:rPr>
              <w:rPr>
                <w:rFonts w:ascii="Cambria Math" w:hAnsi="Cambria Math"/>
                <w:lang w:val="en-GB"/>
              </w:rPr>
              <m:t>1</m:t>
            </m:r>
          </m:sub>
        </m:sSub>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8</w:t>
      </w:r>
      <w:r w:rsidR="00D81B25" w:rsidRPr="008640C4">
        <w:rPr>
          <w:noProof/>
          <w:lang w:val="en-GB"/>
        </w:rPr>
        <w:fldChar w:fldCharType="end"/>
      </w:r>
      <w:r w:rsidRPr="008640C4">
        <w:rPr>
          <w:lang w:val="en-GB"/>
        </w:rPr>
        <w:t>)</w:t>
      </w:r>
    </w:p>
    <w:p w14:paraId="5ECF440E" w14:textId="77777777" w:rsidR="009B3290" w:rsidRPr="008640C4" w:rsidRDefault="00324570" w:rsidP="009E3616">
      <w:pPr>
        <w:rPr>
          <w:lang w:val="en-GB"/>
        </w:rPr>
      </w:pPr>
      <w:r w:rsidRPr="008640C4">
        <w:rPr>
          <w:lang w:val="en-GB"/>
        </w:rPr>
        <w:t>w</w:t>
      </w:r>
      <w:r w:rsidR="00237CD4" w:rsidRPr="008640C4">
        <w:rPr>
          <w:lang w:val="en-GB"/>
        </w:rPr>
        <w:t>here:</w:t>
      </w:r>
    </w:p>
    <w:p w14:paraId="5072AC3F" w14:textId="77777777" w:rsidR="009E682E" w:rsidRPr="008640C4" w:rsidRDefault="00D73B0C" w:rsidP="009E3616">
      <w:pPr>
        <w:rPr>
          <w:lang w:val="en-GB"/>
        </w:rPr>
      </w:pPr>
      <w:proofErr w:type="spellStart"/>
      <w:r w:rsidRPr="008640C4">
        <w:rPr>
          <w:lang w:val="en-GB"/>
        </w:rPr>
        <w:t>K</w:t>
      </w:r>
      <w:r w:rsidRPr="008640C4">
        <w:rPr>
          <w:vertAlign w:val="subscript"/>
          <w:lang w:val="en-GB"/>
        </w:rPr>
        <w:t>fm</w:t>
      </w:r>
      <w:proofErr w:type="spellEnd"/>
      <w:r w:rsidRPr="008640C4">
        <w:rPr>
          <w:lang w:val="en-GB"/>
        </w:rPr>
        <w:t xml:space="preserve"> </w:t>
      </w:r>
      <w:r w:rsidR="00ED13BF" w:rsidRPr="008640C4">
        <w:rPr>
          <w:lang w:val="en-GB"/>
        </w:rPr>
        <w:t>–</w:t>
      </w:r>
      <w:r w:rsidRPr="008640C4">
        <w:rPr>
          <w:lang w:val="en-GB"/>
        </w:rPr>
        <w:t xml:space="preserve"> Monthly cost of managing mixed municipal waste </w:t>
      </w:r>
      <w:r w:rsidR="00ED13BF" w:rsidRPr="008640C4">
        <w:rPr>
          <w:lang w:val="en-GB"/>
        </w:rPr>
        <w:t>–</w:t>
      </w:r>
      <w:r w:rsidRPr="008640C4">
        <w:rPr>
          <w:lang w:val="en-GB"/>
        </w:rPr>
        <w:t xml:space="preserve"> costs calculated for companies and residents, Sector I</w:t>
      </w:r>
      <w:r w:rsidR="00AA101E" w:rsidRPr="008640C4">
        <w:rPr>
          <w:lang w:val="en-GB"/>
        </w:rPr>
        <w:t>,</w:t>
      </w:r>
    </w:p>
    <w:p w14:paraId="5A46BA96" w14:textId="77777777" w:rsidR="008E777A" w:rsidRPr="008640C4" w:rsidRDefault="008E777A" w:rsidP="009E3616">
      <w:pPr>
        <w:rPr>
          <w:lang w:val="en-GB"/>
        </w:rPr>
      </w:pPr>
      <w:proofErr w:type="spellStart"/>
      <w:r w:rsidRPr="008640C4">
        <w:rPr>
          <w:lang w:val="en-GB"/>
        </w:rPr>
        <w:t>K</w:t>
      </w:r>
      <w:r w:rsidRPr="008640C4">
        <w:rPr>
          <w:vertAlign w:val="subscript"/>
          <w:lang w:val="en-GB"/>
        </w:rPr>
        <w:t>z</w:t>
      </w:r>
      <w:proofErr w:type="spellEnd"/>
      <w:r w:rsidRPr="008640C4">
        <w:rPr>
          <w:lang w:val="en-GB"/>
        </w:rPr>
        <w:t xml:space="preserve"> </w:t>
      </w:r>
      <w:r w:rsidR="00ED13BF" w:rsidRPr="008640C4">
        <w:rPr>
          <w:lang w:val="en-GB"/>
        </w:rPr>
        <w:t>–</w:t>
      </w:r>
      <w:r w:rsidRPr="008640C4">
        <w:rPr>
          <w:lang w:val="en-GB"/>
        </w:rPr>
        <w:t xml:space="preserve"> Cost of the waste collection order, Sector I</w:t>
      </w:r>
      <w:r w:rsidR="00AA101E" w:rsidRPr="008640C4">
        <w:rPr>
          <w:lang w:val="en-GB"/>
        </w:rPr>
        <w:t>,</w:t>
      </w:r>
    </w:p>
    <w:p w14:paraId="6670F431" w14:textId="77777777" w:rsidR="008E777A" w:rsidRPr="008640C4" w:rsidRDefault="008E777A" w:rsidP="009E3616">
      <w:pPr>
        <w:rPr>
          <w:lang w:val="en-GB"/>
        </w:rPr>
      </w:pPr>
      <w:proofErr w:type="spellStart"/>
      <w:r w:rsidRPr="008640C4">
        <w:rPr>
          <w:lang w:val="en-GB"/>
        </w:rPr>
        <w:t>M</w:t>
      </w:r>
      <w:r w:rsidRPr="008640C4">
        <w:rPr>
          <w:vertAlign w:val="subscript"/>
          <w:lang w:val="en-GB"/>
        </w:rPr>
        <w:t>z</w:t>
      </w:r>
      <w:proofErr w:type="spellEnd"/>
      <w:r w:rsidRPr="008640C4">
        <w:rPr>
          <w:lang w:val="en-GB"/>
        </w:rPr>
        <w:t xml:space="preserve"> </w:t>
      </w:r>
      <w:r w:rsidR="00ED13BF" w:rsidRPr="008640C4">
        <w:rPr>
          <w:lang w:val="en-GB"/>
        </w:rPr>
        <w:t>–</w:t>
      </w:r>
      <w:r w:rsidRPr="008640C4">
        <w:rPr>
          <w:lang w:val="en-GB"/>
        </w:rPr>
        <w:t xml:space="preserve"> profit margin percentage</w:t>
      </w:r>
      <w:r w:rsidR="00AA101E" w:rsidRPr="008640C4">
        <w:rPr>
          <w:lang w:val="en-GB"/>
        </w:rPr>
        <w:t>,</w:t>
      </w:r>
    </w:p>
    <w:p w14:paraId="1654E4A1" w14:textId="77777777" w:rsidR="009E682E" w:rsidRPr="008640C4" w:rsidRDefault="008E777A" w:rsidP="009E3616">
      <w:pPr>
        <w:rPr>
          <w:lang w:val="en-GB"/>
        </w:rPr>
      </w:pPr>
      <w:r w:rsidRPr="008640C4">
        <w:rPr>
          <w:lang w:val="en-GB"/>
        </w:rPr>
        <w:t>S</w:t>
      </w:r>
      <w:r w:rsidRPr="008640C4">
        <w:rPr>
          <w:vertAlign w:val="subscript"/>
          <w:lang w:val="en-GB"/>
        </w:rPr>
        <w:t>r</w:t>
      </w:r>
      <w:r w:rsidRPr="008640C4">
        <w:rPr>
          <w:lang w:val="en-GB"/>
        </w:rPr>
        <w:t xml:space="preserve"> </w:t>
      </w:r>
      <w:r w:rsidR="00ED13BF" w:rsidRPr="008640C4">
        <w:rPr>
          <w:lang w:val="en-GB"/>
        </w:rPr>
        <w:t>–</w:t>
      </w:r>
      <w:r w:rsidRPr="008640C4">
        <w:rPr>
          <w:lang w:val="en-GB"/>
        </w:rPr>
        <w:t xml:space="preserve"> annual maintenance cost of the sorting plant</w:t>
      </w:r>
      <w:r w:rsidR="00AA101E" w:rsidRPr="008640C4">
        <w:rPr>
          <w:lang w:val="en-GB"/>
        </w:rPr>
        <w:t>,</w:t>
      </w:r>
    </w:p>
    <w:p w14:paraId="51D3AC62" w14:textId="77777777" w:rsidR="003A47A9" w:rsidRPr="008640C4" w:rsidRDefault="00864468" w:rsidP="009E3616">
      <w:pPr>
        <w:rPr>
          <w:lang w:val="en-GB"/>
        </w:rPr>
      </w:pPr>
      <w:r w:rsidRPr="008640C4">
        <w:rPr>
          <w:lang w:val="en-GB"/>
        </w:rPr>
        <w:t>B</w:t>
      </w:r>
      <w:r w:rsidRPr="008640C4">
        <w:rPr>
          <w:vertAlign w:val="subscript"/>
          <w:lang w:val="en-GB"/>
        </w:rPr>
        <w:t>o</w:t>
      </w:r>
      <w:r w:rsidRPr="008640C4">
        <w:rPr>
          <w:lang w:val="en-GB"/>
        </w:rPr>
        <w:t xml:space="preserve"> </w:t>
      </w:r>
      <w:r w:rsidR="00ED13BF" w:rsidRPr="008640C4">
        <w:rPr>
          <w:lang w:val="en-GB"/>
        </w:rPr>
        <w:t>–</w:t>
      </w:r>
      <w:r w:rsidRPr="008640C4">
        <w:rPr>
          <w:lang w:val="en-GB"/>
        </w:rPr>
        <w:t xml:space="preserve"> annual cost of maintaining a BIO installation</w:t>
      </w:r>
      <w:r w:rsidR="00AA101E" w:rsidRPr="008640C4">
        <w:rPr>
          <w:lang w:val="en-GB"/>
        </w:rPr>
        <w:t>,</w:t>
      </w:r>
    </w:p>
    <w:p w14:paraId="408918C6" w14:textId="77777777" w:rsidR="003A47A9" w:rsidRPr="008640C4" w:rsidRDefault="00864468" w:rsidP="009E3616">
      <w:pPr>
        <w:rPr>
          <w:lang w:val="en-GB"/>
        </w:rPr>
      </w:pPr>
      <w:proofErr w:type="spellStart"/>
      <w:r w:rsidRPr="008640C4">
        <w:rPr>
          <w:lang w:val="en-GB"/>
        </w:rPr>
        <w:t>S</w:t>
      </w:r>
      <w:r w:rsidRPr="008640C4">
        <w:rPr>
          <w:vertAlign w:val="subscript"/>
          <w:lang w:val="en-GB"/>
        </w:rPr>
        <w:t>k</w:t>
      </w:r>
      <w:proofErr w:type="spellEnd"/>
      <w:r w:rsidRPr="008640C4">
        <w:rPr>
          <w:vertAlign w:val="subscript"/>
          <w:lang w:val="en-GB"/>
        </w:rPr>
        <w:t xml:space="preserve"> </w:t>
      </w:r>
      <w:r w:rsidR="00ED13BF" w:rsidRPr="008640C4">
        <w:rPr>
          <w:vertAlign w:val="subscript"/>
          <w:lang w:val="en-GB"/>
        </w:rPr>
        <w:t>–</w:t>
      </w:r>
      <w:r w:rsidRPr="008640C4">
        <w:rPr>
          <w:lang w:val="en-GB"/>
        </w:rPr>
        <w:t xml:space="preserve"> annual landfill maintenance cost</w:t>
      </w:r>
      <w:r w:rsidR="00AA101E" w:rsidRPr="008640C4">
        <w:rPr>
          <w:lang w:val="en-GB"/>
        </w:rPr>
        <w:t>,</w:t>
      </w:r>
    </w:p>
    <w:p w14:paraId="6688305B" w14:textId="77777777" w:rsidR="00A90991" w:rsidRPr="008640C4" w:rsidRDefault="000B589C" w:rsidP="009E3616">
      <w:pPr>
        <w:rPr>
          <w:lang w:val="en-GB"/>
        </w:rPr>
      </w:pPr>
      <w:r w:rsidRPr="008640C4">
        <w:rPr>
          <w:lang w:val="en-GB"/>
        </w:rPr>
        <w:t>O</w:t>
      </w:r>
      <w:r w:rsidRPr="008640C4">
        <w:rPr>
          <w:vertAlign w:val="subscript"/>
          <w:lang w:val="en-GB"/>
        </w:rPr>
        <w:t xml:space="preserve">g </w:t>
      </w:r>
      <w:r w:rsidR="00ED13BF" w:rsidRPr="008640C4">
        <w:rPr>
          <w:vertAlign w:val="subscript"/>
          <w:lang w:val="en-GB"/>
        </w:rPr>
        <w:t>–</w:t>
      </w:r>
      <w:r w:rsidRPr="008640C4">
        <w:rPr>
          <w:lang w:val="en-GB"/>
        </w:rPr>
        <w:t xml:space="preserve"> annual overhead costs</w:t>
      </w:r>
      <w:r w:rsidR="00AA101E" w:rsidRPr="008640C4">
        <w:rPr>
          <w:lang w:val="en-GB"/>
        </w:rPr>
        <w:t>,</w:t>
      </w:r>
    </w:p>
    <w:p w14:paraId="11B3F764" w14:textId="77777777" w:rsidR="0088088D" w:rsidRPr="008640C4" w:rsidRDefault="00675600" w:rsidP="009E3616">
      <w:pPr>
        <w:rPr>
          <w:lang w:val="en-GB"/>
        </w:rPr>
      </w:pPr>
      <w:r w:rsidRPr="008640C4">
        <w:rPr>
          <w:lang w:val="en-GB"/>
        </w:rPr>
        <w:t>A</w:t>
      </w:r>
      <w:r w:rsidRPr="008640C4">
        <w:rPr>
          <w:vertAlign w:val="subscript"/>
          <w:lang w:val="en-GB"/>
        </w:rPr>
        <w:t>d</w:t>
      </w:r>
      <w:r w:rsidRPr="008640C4">
        <w:rPr>
          <w:lang w:val="en-GB"/>
        </w:rPr>
        <w:t xml:space="preserve"> </w:t>
      </w:r>
      <w:r w:rsidR="00ED13BF" w:rsidRPr="008640C4">
        <w:rPr>
          <w:lang w:val="en-GB"/>
        </w:rPr>
        <w:t>–</w:t>
      </w:r>
      <w:r w:rsidRPr="008640C4">
        <w:rPr>
          <w:lang w:val="en-GB"/>
        </w:rPr>
        <w:t xml:space="preserve"> annual administrative costs</w:t>
      </w:r>
      <w:r w:rsidR="00AA101E" w:rsidRPr="008640C4">
        <w:rPr>
          <w:lang w:val="en-GB"/>
        </w:rPr>
        <w:t>,</w:t>
      </w:r>
    </w:p>
    <w:p w14:paraId="4026731F" w14:textId="77777777" w:rsidR="0088088D" w:rsidRPr="008640C4" w:rsidRDefault="00675600" w:rsidP="009E3616">
      <w:pPr>
        <w:rPr>
          <w:lang w:val="en-GB"/>
        </w:rPr>
      </w:pPr>
      <w:r w:rsidRPr="008640C4">
        <w:rPr>
          <w:lang w:val="en-GB"/>
        </w:rPr>
        <w:t>P</w:t>
      </w:r>
      <w:r w:rsidRPr="008640C4">
        <w:rPr>
          <w:vertAlign w:val="subscript"/>
          <w:lang w:val="en-GB"/>
        </w:rPr>
        <w:t xml:space="preserve">s </w:t>
      </w:r>
      <w:r w:rsidRPr="008640C4">
        <w:rPr>
          <w:lang w:val="en-GB"/>
        </w:rPr>
        <w:t xml:space="preserve"> </w:t>
      </w:r>
      <w:r w:rsidR="00ED13BF" w:rsidRPr="008640C4">
        <w:rPr>
          <w:lang w:val="en-GB"/>
        </w:rPr>
        <w:t>–</w:t>
      </w:r>
      <w:r w:rsidR="00AA101E" w:rsidRPr="008640C4">
        <w:rPr>
          <w:lang w:val="en-GB"/>
        </w:rPr>
        <w:t xml:space="preserve"> </w:t>
      </w:r>
      <w:r w:rsidRPr="008640C4">
        <w:rPr>
          <w:lang w:val="en-GB"/>
        </w:rPr>
        <w:t>annual cost of maintaining the PSZOK</w:t>
      </w:r>
      <w:r w:rsidR="00AA101E" w:rsidRPr="008640C4">
        <w:rPr>
          <w:lang w:val="en-GB"/>
        </w:rPr>
        <w:t>,</w:t>
      </w:r>
    </w:p>
    <w:p w14:paraId="1E1B4428" w14:textId="77777777" w:rsidR="004909B1" w:rsidRPr="008640C4" w:rsidRDefault="00675600" w:rsidP="009E3616">
      <w:pPr>
        <w:rPr>
          <w:lang w:val="en-GB"/>
        </w:rPr>
      </w:pPr>
      <w:r w:rsidRPr="008640C4">
        <w:rPr>
          <w:lang w:val="en-GB"/>
        </w:rPr>
        <w:t>P</w:t>
      </w:r>
      <w:r w:rsidRPr="008640C4">
        <w:rPr>
          <w:vertAlign w:val="subscript"/>
          <w:lang w:val="en-GB"/>
        </w:rPr>
        <w:t>w</w:t>
      </w:r>
      <w:r w:rsidRPr="008640C4">
        <w:rPr>
          <w:lang w:val="en-GB"/>
        </w:rPr>
        <w:t xml:space="preserve"> </w:t>
      </w:r>
      <w:r w:rsidR="00ED13BF" w:rsidRPr="008640C4">
        <w:rPr>
          <w:lang w:val="en-GB"/>
        </w:rPr>
        <w:t>–</w:t>
      </w:r>
      <w:r w:rsidRPr="008640C4">
        <w:rPr>
          <w:lang w:val="en-GB"/>
        </w:rPr>
        <w:t xml:space="preserve"> annual purchase cost of containers and bags</w:t>
      </w:r>
      <w:r w:rsidR="00AA101E" w:rsidRPr="008640C4">
        <w:rPr>
          <w:lang w:val="en-GB"/>
        </w:rPr>
        <w:t>,</w:t>
      </w:r>
    </w:p>
    <w:p w14:paraId="1712687C" w14:textId="77777777" w:rsidR="00873A92" w:rsidRPr="008640C4" w:rsidRDefault="00873A92" w:rsidP="009E3616">
      <w:pPr>
        <w:rPr>
          <w:lang w:val="en-GB"/>
        </w:rPr>
      </w:pPr>
      <w:r w:rsidRPr="008640C4">
        <w:rPr>
          <w:lang w:val="en-GB"/>
        </w:rPr>
        <w:t>P</w:t>
      </w:r>
      <w:r w:rsidRPr="008640C4">
        <w:rPr>
          <w:vertAlign w:val="subscript"/>
          <w:lang w:val="en-GB"/>
        </w:rPr>
        <w:t>1</w:t>
      </w:r>
      <w:r w:rsidRPr="008640C4">
        <w:rPr>
          <w:lang w:val="en-GB"/>
        </w:rPr>
        <w:t xml:space="preserve"> </w:t>
      </w:r>
      <w:r w:rsidR="00ED13BF" w:rsidRPr="008640C4">
        <w:rPr>
          <w:lang w:val="en-GB"/>
        </w:rPr>
        <w:t>–</w:t>
      </w:r>
      <w:r w:rsidRPr="008640C4">
        <w:rPr>
          <w:lang w:val="en-GB"/>
        </w:rPr>
        <w:t xml:space="preserve"> percentage share of </w:t>
      </w:r>
      <w:r w:rsidR="001A534D" w:rsidRPr="008640C4">
        <w:rPr>
          <w:lang w:val="en-GB"/>
        </w:rPr>
        <w:t>Wroclaw</w:t>
      </w:r>
      <w:r w:rsidRPr="008640C4">
        <w:rPr>
          <w:lang w:val="en-GB"/>
        </w:rPr>
        <w:t xml:space="preserve"> residents in sector 1</w:t>
      </w:r>
      <w:r w:rsidR="00AA101E" w:rsidRPr="008640C4">
        <w:rPr>
          <w:lang w:val="en-GB"/>
        </w:rPr>
        <w:t>,</w:t>
      </w:r>
    </w:p>
    <w:p w14:paraId="383F0822" w14:textId="77777777" w:rsidR="00723ECD" w:rsidRPr="008640C4" w:rsidRDefault="00873A92" w:rsidP="009E3616">
      <w:pPr>
        <w:rPr>
          <w:lang w:val="en-GB"/>
        </w:rPr>
      </w:pPr>
      <w:proofErr w:type="spellStart"/>
      <w:r w:rsidRPr="008640C4">
        <w:rPr>
          <w:lang w:val="en-GB"/>
        </w:rPr>
        <w:t>P</w:t>
      </w:r>
      <w:r w:rsidRPr="008640C4">
        <w:rPr>
          <w:vertAlign w:val="subscript"/>
          <w:lang w:val="en-GB"/>
        </w:rPr>
        <w:t>z</w:t>
      </w:r>
      <w:proofErr w:type="spellEnd"/>
      <w:r w:rsidRPr="008640C4">
        <w:rPr>
          <w:lang w:val="en-GB"/>
        </w:rPr>
        <w:t xml:space="preserve"> </w:t>
      </w:r>
      <w:r w:rsidR="00ED13BF" w:rsidRPr="008640C4">
        <w:rPr>
          <w:lang w:val="en-GB"/>
        </w:rPr>
        <w:t>–</w:t>
      </w:r>
      <w:r w:rsidRPr="008640C4">
        <w:rPr>
          <w:lang w:val="en-GB"/>
        </w:rPr>
        <w:t xml:space="preserve"> percentage share of mixed waste</w:t>
      </w:r>
      <w:r w:rsidR="00AA101E" w:rsidRPr="008640C4">
        <w:rPr>
          <w:lang w:val="en-GB"/>
        </w:rPr>
        <w:t>,</w:t>
      </w:r>
    </w:p>
    <w:p w14:paraId="6527C4D6" w14:textId="77777777" w:rsidR="00C7479D" w:rsidRPr="008640C4" w:rsidRDefault="00C7479D" w:rsidP="009E3616">
      <w:pPr>
        <w:rPr>
          <w:lang w:val="en-GB"/>
        </w:rPr>
      </w:pPr>
      <w:r w:rsidRPr="008640C4">
        <w:rPr>
          <w:lang w:val="en-GB"/>
        </w:rPr>
        <w:t xml:space="preserve">M </w:t>
      </w:r>
      <w:r w:rsidR="00ED13BF" w:rsidRPr="008640C4">
        <w:rPr>
          <w:lang w:val="en-GB"/>
        </w:rPr>
        <w:t>–</w:t>
      </w:r>
      <w:r w:rsidRPr="008640C4">
        <w:rPr>
          <w:lang w:val="en-GB"/>
        </w:rPr>
        <w:t xml:space="preserve"> marshal's fee</w:t>
      </w:r>
      <w:r w:rsidR="00AA101E" w:rsidRPr="008640C4">
        <w:rPr>
          <w:lang w:val="en-GB"/>
        </w:rPr>
        <w:t>,</w:t>
      </w:r>
    </w:p>
    <w:p w14:paraId="41B72055" w14:textId="77777777" w:rsidR="00C7479D" w:rsidRPr="008640C4" w:rsidRDefault="00C7479D" w:rsidP="009E3616">
      <w:pPr>
        <w:rPr>
          <w:lang w:val="en-GB"/>
        </w:rPr>
      </w:pPr>
      <w:r w:rsidRPr="008640C4">
        <w:rPr>
          <w:lang w:val="en-GB"/>
        </w:rPr>
        <w:t>Z</w:t>
      </w:r>
      <w:r w:rsidRPr="008640C4">
        <w:rPr>
          <w:vertAlign w:val="subscript"/>
          <w:lang w:val="en-GB"/>
        </w:rPr>
        <w:t>i1</w:t>
      </w:r>
      <w:r w:rsidRPr="008640C4">
        <w:rPr>
          <w:lang w:val="en-GB"/>
        </w:rPr>
        <w:t xml:space="preserve"> </w:t>
      </w:r>
      <w:r w:rsidR="00ED13BF" w:rsidRPr="008640C4">
        <w:rPr>
          <w:lang w:val="en-GB"/>
        </w:rPr>
        <w:t>–</w:t>
      </w:r>
      <w:r w:rsidRPr="008640C4">
        <w:rPr>
          <w:lang w:val="en-GB"/>
        </w:rPr>
        <w:t xml:space="preserve"> </w:t>
      </w:r>
      <w:r w:rsidR="00F069F6">
        <w:rPr>
          <w:lang w:val="en-GB"/>
        </w:rPr>
        <w:t>q</w:t>
      </w:r>
      <w:r w:rsidRPr="008640C4">
        <w:rPr>
          <w:lang w:val="en-GB"/>
        </w:rPr>
        <w:t xml:space="preserve">uantity of mixed municipal waste accumulated in </w:t>
      </w:r>
      <w:r w:rsidR="00F069F6">
        <w:rPr>
          <w:lang w:val="en-GB"/>
        </w:rPr>
        <w:t xml:space="preserve">the </w:t>
      </w:r>
      <w:r w:rsidRPr="008640C4">
        <w:rPr>
          <w:lang w:val="en-GB"/>
        </w:rPr>
        <w:t>sector I per month</w:t>
      </w:r>
      <w:r w:rsidR="00AA101E" w:rsidRPr="008640C4">
        <w:rPr>
          <w:lang w:val="en-GB"/>
        </w:rPr>
        <w:t>.</w:t>
      </w:r>
    </w:p>
    <w:p w14:paraId="29602782" w14:textId="77777777" w:rsidR="00ED13BF" w:rsidRPr="008640C4" w:rsidRDefault="00ED13BF" w:rsidP="00ED13BF">
      <w:pPr>
        <w:ind w:firstLine="284"/>
        <w:rPr>
          <w:lang w:val="en-GB"/>
        </w:rPr>
      </w:pPr>
    </w:p>
    <w:p w14:paraId="68D87CC4" w14:textId="5989A3C2" w:rsidR="00F82335" w:rsidRPr="008640C4" w:rsidRDefault="00220D49" w:rsidP="00ED13BF">
      <w:pPr>
        <w:ind w:firstLine="284"/>
        <w:rPr>
          <w:lang w:val="en-GB"/>
        </w:rPr>
      </w:pPr>
      <w:r w:rsidRPr="008640C4">
        <w:rPr>
          <w:lang w:val="en-GB"/>
        </w:rPr>
        <w:t>The above calculations show that the monthly cost of K</w:t>
      </w:r>
      <w:r w:rsidRPr="008640C4">
        <w:rPr>
          <w:vertAlign w:val="subscript"/>
          <w:lang w:val="en-GB"/>
        </w:rPr>
        <w:t>1</w:t>
      </w:r>
      <w:r w:rsidRPr="008640C4">
        <w:rPr>
          <w:lang w:val="en-GB"/>
        </w:rPr>
        <w:t xml:space="preserve"> waste management in Sector I is about PLN 4</w:t>
      </w:r>
      <w:r w:rsidR="00644F8C">
        <w:rPr>
          <w:lang w:val="en-GB"/>
        </w:rPr>
        <w:t> </w:t>
      </w:r>
      <w:r w:rsidRPr="008640C4">
        <w:rPr>
          <w:lang w:val="en-GB"/>
        </w:rPr>
        <w:t>million/inhabitant/month. In the research process, it was established that approx. 40% of municipal waste comes from economic activity, therefore</w:t>
      </w:r>
      <w:r w:rsidR="00F069F6">
        <w:rPr>
          <w:lang w:val="en-GB"/>
        </w:rPr>
        <w:t>,</w:t>
      </w:r>
      <w:r w:rsidRPr="008640C4">
        <w:rPr>
          <w:lang w:val="en-GB"/>
        </w:rPr>
        <w:t xml:space="preserve"> this part of the costs was transferred to companies as in formula (</w:t>
      </w:r>
      <w:r w:rsidR="0067574B">
        <w:rPr>
          <w:lang w:val="en-GB"/>
        </w:rPr>
        <w:t>eq. 9</w:t>
      </w:r>
      <w:r w:rsidRPr="008640C4">
        <w:rPr>
          <w:lang w:val="en-GB"/>
        </w:rPr>
        <w:t>). It was assumed that P</w:t>
      </w:r>
      <w:r w:rsidRPr="008640C4">
        <w:rPr>
          <w:vertAlign w:val="subscript"/>
          <w:lang w:val="en-GB"/>
        </w:rPr>
        <w:t>1</w:t>
      </w:r>
      <w:r w:rsidRPr="008640C4">
        <w:rPr>
          <w:lang w:val="en-GB"/>
        </w:rPr>
        <w:t xml:space="preserve"> means the % share of </w:t>
      </w:r>
      <w:r w:rsidR="001A534D" w:rsidRPr="008640C4">
        <w:rPr>
          <w:lang w:val="en-GB"/>
        </w:rPr>
        <w:t>Wroclaw</w:t>
      </w:r>
      <w:r w:rsidRPr="008640C4">
        <w:rPr>
          <w:lang w:val="en-GB"/>
        </w:rPr>
        <w:t xml:space="preserve"> residents in sector 1 and respectively: P</w:t>
      </w:r>
      <w:r w:rsidRPr="008640C4">
        <w:rPr>
          <w:vertAlign w:val="subscript"/>
          <w:lang w:val="en-GB"/>
        </w:rPr>
        <w:t>2</w:t>
      </w:r>
      <w:r w:rsidRPr="008640C4">
        <w:rPr>
          <w:lang w:val="en-GB"/>
        </w:rPr>
        <w:t xml:space="preserve"> –</w:t>
      </w:r>
      <w:r w:rsidR="008640C4">
        <w:rPr>
          <w:lang w:val="en-GB"/>
        </w:rPr>
        <w:t xml:space="preserve"> </w:t>
      </w:r>
      <w:r w:rsidRPr="008640C4">
        <w:rPr>
          <w:lang w:val="en-GB"/>
        </w:rPr>
        <w:t>in sector 2; P</w:t>
      </w:r>
      <w:r w:rsidRPr="008640C4">
        <w:rPr>
          <w:vertAlign w:val="subscript"/>
          <w:lang w:val="en-GB"/>
        </w:rPr>
        <w:t>3</w:t>
      </w:r>
      <w:r w:rsidRPr="008640C4">
        <w:rPr>
          <w:lang w:val="en-GB"/>
        </w:rPr>
        <w:t xml:space="preserve"> </w:t>
      </w:r>
      <w:r w:rsidR="008640C4">
        <w:rPr>
          <w:lang w:val="en-GB"/>
        </w:rPr>
        <w:t xml:space="preserve">– </w:t>
      </w:r>
      <w:r w:rsidRPr="008640C4">
        <w:rPr>
          <w:lang w:val="en-GB"/>
        </w:rPr>
        <w:t>in sector 3; P</w:t>
      </w:r>
      <w:r w:rsidRPr="008640C4">
        <w:rPr>
          <w:vertAlign w:val="subscript"/>
          <w:lang w:val="en-GB"/>
        </w:rPr>
        <w:t>4</w:t>
      </w:r>
      <w:r w:rsidRPr="008640C4">
        <w:rPr>
          <w:lang w:val="en-GB"/>
        </w:rPr>
        <w:t xml:space="preserve"> </w:t>
      </w:r>
      <w:r w:rsidR="008640C4">
        <w:rPr>
          <w:lang w:val="en-GB"/>
        </w:rPr>
        <w:t xml:space="preserve">– </w:t>
      </w:r>
      <w:r w:rsidRPr="008640C4">
        <w:rPr>
          <w:lang w:val="en-GB"/>
        </w:rPr>
        <w:t>in sector 4;</w:t>
      </w:r>
    </w:p>
    <w:p w14:paraId="54376389" w14:textId="6032376D" w:rsidR="00A91BD0" w:rsidRPr="008640C4" w:rsidRDefault="00237CD4"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fm</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m</m:t>
            </m:r>
          </m:sub>
        </m:sSub>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9</w:t>
      </w:r>
      <w:r w:rsidR="00D81B25" w:rsidRPr="008640C4">
        <w:rPr>
          <w:noProof/>
          <w:lang w:val="en-GB"/>
        </w:rPr>
        <w:fldChar w:fldCharType="end"/>
      </w:r>
      <w:r w:rsidRPr="008640C4">
        <w:rPr>
          <w:lang w:val="en-GB"/>
        </w:rPr>
        <w:t>)</w:t>
      </w:r>
    </w:p>
    <w:p w14:paraId="6BF27408" w14:textId="77777777" w:rsidR="00D23869" w:rsidRPr="008640C4" w:rsidRDefault="00CD2C31" w:rsidP="00644F8C">
      <w:pPr>
        <w:ind w:firstLine="284"/>
        <w:rPr>
          <w:lang w:val="en-GB"/>
        </w:rPr>
      </w:pPr>
      <w:proofErr w:type="spellStart"/>
      <w:r w:rsidRPr="008640C4">
        <w:rPr>
          <w:lang w:val="en-GB"/>
        </w:rPr>
        <w:t>K</w:t>
      </w:r>
      <w:r w:rsidRPr="008640C4">
        <w:rPr>
          <w:vertAlign w:val="subscript"/>
          <w:lang w:val="en-GB"/>
        </w:rPr>
        <w:t>fm</w:t>
      </w:r>
      <w:proofErr w:type="spellEnd"/>
      <w:r w:rsidRPr="008640C4">
        <w:rPr>
          <w:lang w:val="en-GB"/>
        </w:rPr>
        <w:t xml:space="preserve"> is the monthly cost of managing mixed waste </w:t>
      </w:r>
      <w:r w:rsidR="00ED13BF" w:rsidRPr="008640C4">
        <w:rPr>
          <w:lang w:val="en-GB"/>
        </w:rPr>
        <w:t>–</w:t>
      </w:r>
      <w:r w:rsidRPr="008640C4">
        <w:rPr>
          <w:lang w:val="en-GB"/>
        </w:rPr>
        <w:t xml:space="preserve"> costs calculated for companies and residents, Sector I; P</w:t>
      </w:r>
      <w:r w:rsidRPr="008640C4">
        <w:rPr>
          <w:vertAlign w:val="subscript"/>
          <w:lang w:val="en-GB"/>
        </w:rPr>
        <w:t>m</w:t>
      </w:r>
      <w:r w:rsidRPr="008640C4">
        <w:rPr>
          <w:lang w:val="en-GB"/>
        </w:rPr>
        <w:t xml:space="preserve"> is the percentage share of costs incurred by residents. Substituting the data into the formula above, we get the value:</w:t>
      </w:r>
      <w:r w:rsidR="008640C4">
        <w:rPr>
          <w:lang w:val="en-GB"/>
        </w:rPr>
        <w:t xml:space="preserve"> K</w:t>
      </w:r>
      <w:r w:rsidR="008640C4" w:rsidRPr="008640C4">
        <w:rPr>
          <w:vertAlign w:val="subscript"/>
          <w:lang w:val="en-GB"/>
        </w:rPr>
        <w:t>1</w:t>
      </w:r>
      <w:r w:rsidR="008640C4">
        <w:rPr>
          <w:lang w:val="en-GB"/>
        </w:rPr>
        <w:t xml:space="preserve"> = 2397179 PLN.</w:t>
      </w:r>
      <w:r w:rsidRPr="008640C4">
        <w:rPr>
          <w:lang w:val="en-GB"/>
        </w:rPr>
        <w:t xml:space="preserve"> Knowing K</w:t>
      </w:r>
      <w:r w:rsidRPr="008640C4">
        <w:rPr>
          <w:vertAlign w:val="subscript"/>
          <w:lang w:val="en-GB"/>
        </w:rPr>
        <w:t>1</w:t>
      </w:r>
      <w:r w:rsidRPr="008640C4">
        <w:rPr>
          <w:lang w:val="en-GB"/>
        </w:rPr>
        <w:t xml:space="preserve"> we can similarly convert costs in other sectors for individual months </w:t>
      </w:r>
      <w:proofErr w:type="spellStart"/>
      <w:r w:rsidRPr="008640C4">
        <w:rPr>
          <w:lang w:val="en-GB"/>
        </w:rPr>
        <w:t>K</w:t>
      </w:r>
      <w:r w:rsidRPr="008640C4">
        <w:rPr>
          <w:vertAlign w:val="subscript"/>
          <w:lang w:val="en-GB"/>
        </w:rPr>
        <w:t>cz</w:t>
      </w:r>
      <w:proofErr w:type="spellEnd"/>
      <w:r w:rsidRPr="008640C4">
        <w:rPr>
          <w:lang w:val="en-GB"/>
        </w:rPr>
        <w:t xml:space="preserve"> according to the dependence (</w:t>
      </w:r>
      <w:r w:rsidR="0067574B">
        <w:rPr>
          <w:lang w:val="en-GB"/>
        </w:rPr>
        <w:t>eq. 10</w:t>
      </w:r>
      <w:r w:rsidRPr="008640C4">
        <w:rPr>
          <w:lang w:val="en-GB"/>
        </w:rPr>
        <w:t>), which are PLN 1</w:t>
      </w:r>
      <w:r w:rsidR="00F069F6">
        <w:rPr>
          <w:lang w:val="en-GB"/>
        </w:rPr>
        <w:t>,</w:t>
      </w:r>
      <w:r w:rsidRPr="008640C4">
        <w:rPr>
          <w:lang w:val="en-GB"/>
        </w:rPr>
        <w:t>284</w:t>
      </w:r>
      <w:r w:rsidR="00F069F6">
        <w:rPr>
          <w:lang w:val="en-GB"/>
        </w:rPr>
        <w:t>,</w:t>
      </w:r>
      <w:r w:rsidRPr="008640C4">
        <w:rPr>
          <w:lang w:val="en-GB"/>
        </w:rPr>
        <w:t>203, P3 2</w:t>
      </w:r>
      <w:r w:rsidR="00F069F6">
        <w:rPr>
          <w:lang w:val="en-GB"/>
        </w:rPr>
        <w:t>,</w:t>
      </w:r>
      <w:r w:rsidRPr="008640C4">
        <w:rPr>
          <w:lang w:val="en-GB"/>
        </w:rPr>
        <w:t>654</w:t>
      </w:r>
      <w:r w:rsidR="00F069F6">
        <w:rPr>
          <w:lang w:val="en-GB"/>
        </w:rPr>
        <w:t>,</w:t>
      </w:r>
      <w:r w:rsidRPr="008640C4">
        <w:rPr>
          <w:lang w:val="en-GB"/>
        </w:rPr>
        <w:t>019 and P4 PLN 2</w:t>
      </w:r>
      <w:r w:rsidR="00F069F6">
        <w:rPr>
          <w:lang w:val="en-GB"/>
        </w:rPr>
        <w:t>,</w:t>
      </w:r>
      <w:r w:rsidRPr="008640C4">
        <w:rPr>
          <w:lang w:val="en-GB"/>
        </w:rPr>
        <w:t>225</w:t>
      </w:r>
      <w:r w:rsidR="00F069F6">
        <w:rPr>
          <w:lang w:val="en-GB"/>
        </w:rPr>
        <w:t>,</w:t>
      </w:r>
      <w:r w:rsidRPr="008640C4">
        <w:rPr>
          <w:lang w:val="en-GB"/>
        </w:rPr>
        <w:t>951, respectively.</w:t>
      </w:r>
    </w:p>
    <w:p w14:paraId="4F5A3B03" w14:textId="012D77DE" w:rsidR="005A526E" w:rsidRPr="008640C4" w:rsidRDefault="00237CD4"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cz</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1</m:t>
            </m:r>
          </m:sub>
        </m:sSub>
        <m:r>
          <m:rPr>
            <m:sty m:val="p"/>
          </m:rP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3</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4</m:t>
                </m:r>
              </m:sub>
            </m:sSub>
            <m:r>
              <m:rPr>
                <m:sty m:val="p"/>
              </m:rPr>
              <w:rPr>
                <w:rFonts w:ascii="Cambria Math" w:hAnsi="Cambria Math"/>
                <w:lang w:val="en-GB"/>
              </w:rPr>
              <m:t>)</m:t>
            </m:r>
          </m:num>
          <m:den>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1</m:t>
                </m:r>
              </m:sub>
            </m:sSub>
          </m:den>
        </m:f>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10</w:t>
      </w:r>
      <w:r w:rsidR="00D81B25" w:rsidRPr="008640C4">
        <w:rPr>
          <w:noProof/>
          <w:lang w:val="en-GB"/>
        </w:rPr>
        <w:fldChar w:fldCharType="end"/>
      </w:r>
      <w:r w:rsidRPr="008640C4">
        <w:rPr>
          <w:lang w:val="en-GB"/>
        </w:rPr>
        <w:t>)</w:t>
      </w:r>
    </w:p>
    <w:p w14:paraId="5396AF57" w14:textId="77777777" w:rsidR="00237CD4" w:rsidRPr="008640C4" w:rsidRDefault="00CD2C31" w:rsidP="00ED13BF">
      <w:pPr>
        <w:ind w:firstLine="567"/>
        <w:rPr>
          <w:lang w:val="en-GB"/>
        </w:rPr>
      </w:pPr>
      <w:r w:rsidRPr="008640C4">
        <w:rPr>
          <w:lang w:val="en-GB"/>
        </w:rPr>
        <w:t xml:space="preserve">The total cost is approximately PLN 8,561,352. Ultimately, this amount should be divided by the number of inhabitants </w:t>
      </w:r>
      <w:proofErr w:type="spellStart"/>
      <w:r w:rsidRPr="008640C4">
        <w:rPr>
          <w:lang w:val="en-GB"/>
        </w:rPr>
        <w:t>I</w:t>
      </w:r>
      <w:r w:rsidRPr="008640C4">
        <w:rPr>
          <w:vertAlign w:val="subscript"/>
          <w:lang w:val="en-GB"/>
        </w:rPr>
        <w:t>m</w:t>
      </w:r>
      <w:proofErr w:type="spellEnd"/>
      <w:r w:rsidRPr="008640C4">
        <w:rPr>
          <w:lang w:val="en-GB"/>
        </w:rPr>
        <w:t xml:space="preserve"> who do not segregate waste </w:t>
      </w:r>
      <w:proofErr w:type="spellStart"/>
      <w:r w:rsidRPr="008640C4">
        <w:rPr>
          <w:lang w:val="en-GB"/>
        </w:rPr>
        <w:t>P</w:t>
      </w:r>
      <w:r w:rsidRPr="008640C4">
        <w:rPr>
          <w:vertAlign w:val="subscript"/>
          <w:lang w:val="en-GB"/>
        </w:rPr>
        <w:t>z</w:t>
      </w:r>
      <w:proofErr w:type="spellEnd"/>
      <w:r w:rsidRPr="008640C4">
        <w:rPr>
          <w:lang w:val="en-GB"/>
        </w:rPr>
        <w:t xml:space="preserve"> (</w:t>
      </w:r>
      <w:r w:rsidR="0067574B">
        <w:rPr>
          <w:lang w:val="en-GB"/>
        </w:rPr>
        <w:t>eq. 11</w:t>
      </w:r>
      <w:r w:rsidRPr="008640C4">
        <w:rPr>
          <w:lang w:val="en-GB"/>
        </w:rPr>
        <w:t xml:space="preserve">) and compared with the fee rates for mixed municipal waste management in </w:t>
      </w:r>
      <w:r w:rsidR="001A534D" w:rsidRPr="008640C4">
        <w:rPr>
          <w:lang w:val="en-GB"/>
        </w:rPr>
        <w:t>Wroclaw</w:t>
      </w:r>
      <w:r w:rsidRPr="008640C4">
        <w:rPr>
          <w:lang w:val="en-GB"/>
        </w:rPr>
        <w:t>.</w:t>
      </w:r>
    </w:p>
    <w:p w14:paraId="56D180DC" w14:textId="72FB6FEF" w:rsidR="00F8415E" w:rsidRPr="008640C4" w:rsidRDefault="00237CD4"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o</m:t>
            </m:r>
          </m:sub>
        </m:sSub>
        <m:r>
          <m:rPr>
            <m:sty m:val="p"/>
          </m:rP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cz</m:t>
                </m:r>
              </m:sub>
            </m:sSub>
          </m:num>
          <m:den>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sub>
            </m:sSub>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z</m:t>
                </m:r>
              </m:sub>
            </m:sSub>
          </m:den>
        </m:f>
      </m:oMath>
      <w:r w:rsidRPr="008640C4">
        <w:rPr>
          <w:lang w:val="en-GB"/>
        </w:rPr>
        <w:tab/>
        <w:t>(</w:t>
      </w:r>
      <w:r w:rsidR="00D81B25" w:rsidRPr="008640C4">
        <w:rPr>
          <w:rStyle w:val="RwnanieZnak"/>
          <w:lang w:val="en-GB"/>
        </w:rPr>
        <w:fldChar w:fldCharType="begin"/>
      </w:r>
      <w:r w:rsidRPr="008640C4">
        <w:rPr>
          <w:rStyle w:val="RwnanieZnak"/>
          <w:lang w:val="en-GB"/>
        </w:rPr>
        <w:instrText xml:space="preserve"> SEQ równanie\* ARABIC </w:instrText>
      </w:r>
      <w:r w:rsidR="00D81B25" w:rsidRPr="008640C4">
        <w:rPr>
          <w:rStyle w:val="RwnanieZnak"/>
          <w:lang w:val="en-GB"/>
        </w:rPr>
        <w:fldChar w:fldCharType="separate"/>
      </w:r>
      <w:r w:rsidR="00F04983">
        <w:rPr>
          <w:rStyle w:val="RwnanieZnak"/>
          <w:noProof/>
          <w:lang w:val="en-GB"/>
        </w:rPr>
        <w:t>11</w:t>
      </w:r>
      <w:r w:rsidR="00D81B25" w:rsidRPr="008640C4">
        <w:rPr>
          <w:rStyle w:val="RwnanieZnak"/>
          <w:lang w:val="en-GB"/>
        </w:rPr>
        <w:fldChar w:fldCharType="end"/>
      </w:r>
      <w:r w:rsidRPr="008640C4">
        <w:rPr>
          <w:lang w:val="en-GB"/>
        </w:rPr>
        <w:t>)</w:t>
      </w:r>
    </w:p>
    <w:p w14:paraId="3E49531C" w14:textId="77777777" w:rsidR="001760A4" w:rsidRPr="008640C4" w:rsidRDefault="00954A3C" w:rsidP="00ED13BF">
      <w:pPr>
        <w:ind w:firstLine="284"/>
        <w:rPr>
          <w:lang w:val="en-GB"/>
        </w:rPr>
      </w:pPr>
      <w:r w:rsidRPr="008640C4">
        <w:rPr>
          <w:lang w:val="en-GB"/>
        </w:rPr>
        <w:t xml:space="preserve">The fee rate per person is PLN 24.66, the average rate in </w:t>
      </w:r>
      <w:r w:rsidR="001A534D" w:rsidRPr="008640C4">
        <w:rPr>
          <w:lang w:val="en-GB"/>
        </w:rPr>
        <w:t>Wroclaw</w:t>
      </w:r>
      <w:r w:rsidRPr="008640C4">
        <w:rPr>
          <w:lang w:val="en-GB"/>
        </w:rPr>
        <w:t xml:space="preserve"> is PLN 30.75 (there are 347,195 residents who do not segregate, and the cost of mixed waste management is approx. PLN 8</w:t>
      </w:r>
      <w:r w:rsidR="00F069F6">
        <w:rPr>
          <w:lang w:val="en-GB"/>
        </w:rPr>
        <w:t>,</w:t>
      </w:r>
      <w:r w:rsidRPr="008640C4">
        <w:rPr>
          <w:lang w:val="en-GB"/>
        </w:rPr>
        <w:t>561</w:t>
      </w:r>
      <w:r w:rsidR="00F069F6">
        <w:rPr>
          <w:lang w:val="en-GB"/>
        </w:rPr>
        <w:t>,</w:t>
      </w:r>
      <w:r w:rsidRPr="008640C4">
        <w:rPr>
          <w:lang w:val="en-GB"/>
        </w:rPr>
        <w:t>351.88). The above rate assumes 100% collection of the waste fee, which should be determined individually.</w:t>
      </w:r>
    </w:p>
    <w:p w14:paraId="1E063530" w14:textId="77777777" w:rsidR="00EC2FA9" w:rsidRPr="008640C4" w:rsidRDefault="00ED13BF" w:rsidP="00ED13BF">
      <w:pPr>
        <w:pStyle w:val="Rn2"/>
        <w:rPr>
          <w:lang w:val="en-GB"/>
        </w:rPr>
      </w:pPr>
      <w:r w:rsidRPr="008640C4">
        <w:rPr>
          <w:lang w:val="en-GB"/>
        </w:rPr>
        <w:t xml:space="preserve">6.2. </w:t>
      </w:r>
      <w:r w:rsidR="00EC2FA9" w:rsidRPr="008640C4">
        <w:rPr>
          <w:lang w:val="en-GB"/>
        </w:rPr>
        <w:t xml:space="preserve">Cost model </w:t>
      </w:r>
      <w:r w:rsidRPr="008640C4">
        <w:rPr>
          <w:lang w:val="en-GB"/>
        </w:rPr>
        <w:t>–</w:t>
      </w:r>
      <w:r w:rsidR="00EC2FA9" w:rsidRPr="008640C4">
        <w:rPr>
          <w:lang w:val="en-GB"/>
        </w:rPr>
        <w:t xml:space="preserve"> segregated municipal waste</w:t>
      </w:r>
    </w:p>
    <w:p w14:paraId="6F332802" w14:textId="0115D244" w:rsidR="00011C8E" w:rsidRPr="008640C4" w:rsidRDefault="00F069F6" w:rsidP="00ED13BF">
      <w:pPr>
        <w:ind w:firstLine="284"/>
        <w:rPr>
          <w:lang w:val="en-GB"/>
        </w:rPr>
      </w:pPr>
      <w:r>
        <w:rPr>
          <w:lang w:val="en-GB"/>
        </w:rPr>
        <w:t>I</w:t>
      </w:r>
      <w:r w:rsidR="00B14A1F" w:rsidRPr="008640C4">
        <w:rPr>
          <w:lang w:val="en-GB"/>
        </w:rPr>
        <w:t>t is necessary to calculate the individual costs, as in the case of mixed waste</w:t>
      </w:r>
      <w:r>
        <w:rPr>
          <w:lang w:val="en-GB"/>
        </w:rPr>
        <w:t>,</w:t>
      </w:r>
      <w:r w:rsidRPr="00F069F6">
        <w:rPr>
          <w:lang w:val="en-GB"/>
        </w:rPr>
        <w:t xml:space="preserve"> </w:t>
      </w:r>
      <w:r>
        <w:rPr>
          <w:lang w:val="en-GB"/>
        </w:rPr>
        <w:t>t</w:t>
      </w:r>
      <w:r w:rsidRPr="008640C4">
        <w:rPr>
          <w:lang w:val="en-GB"/>
        </w:rPr>
        <w:t xml:space="preserve">o estimate the </w:t>
      </w:r>
      <w:r>
        <w:rPr>
          <w:lang w:val="en-GB"/>
        </w:rPr>
        <w:t>management cos</w:t>
      </w:r>
      <w:r w:rsidRPr="008640C4">
        <w:rPr>
          <w:lang w:val="en-GB"/>
        </w:rPr>
        <w:t>t of selectively collected municipal waste</w:t>
      </w:r>
      <w:r>
        <w:rPr>
          <w:lang w:val="en-GB"/>
        </w:rPr>
        <w:t>. H</w:t>
      </w:r>
      <w:r w:rsidR="00B14A1F" w:rsidRPr="008640C4">
        <w:rPr>
          <w:lang w:val="en-GB"/>
        </w:rPr>
        <w:t xml:space="preserve">owever, the difference will be that selected secondary raw </w:t>
      </w:r>
      <w:r w:rsidR="00B14A1F" w:rsidRPr="008640C4">
        <w:rPr>
          <w:lang w:val="en-GB"/>
        </w:rPr>
        <w:lastRenderedPageBreak/>
        <w:t>materials can be sold to processors</w:t>
      </w:r>
      <w:r w:rsidR="00BB034A" w:rsidRPr="008640C4">
        <w:rPr>
          <w:lang w:val="en-GB"/>
        </w:rPr>
        <w:t xml:space="preserve"> </w:t>
      </w:r>
      <w:r w:rsidR="00B14A1F" w:rsidRPr="008640C4">
        <w:rPr>
          <w:lang w:val="en-GB"/>
        </w:rPr>
        <w:t xml:space="preserve">with profit. This section attempts to estimate such costs. Some data will be taken from </w:t>
      </w:r>
      <w:r>
        <w:rPr>
          <w:lang w:val="en-GB"/>
        </w:rPr>
        <w:t>previously presented or calculated factors</w:t>
      </w:r>
      <w:r w:rsidR="00B14A1F" w:rsidRPr="008640C4">
        <w:rPr>
          <w:lang w:val="en-GB"/>
        </w:rPr>
        <w:t xml:space="preserve"> in subsection 4.1.</w:t>
      </w:r>
    </w:p>
    <w:p w14:paraId="1892D010" w14:textId="77777777" w:rsidR="00227D96" w:rsidRPr="008640C4" w:rsidRDefault="00011C8E" w:rsidP="00ED13BF">
      <w:pPr>
        <w:ind w:firstLine="284"/>
        <w:rPr>
          <w:lang w:val="en-GB"/>
        </w:rPr>
      </w:pPr>
      <w:r w:rsidRPr="008640C4">
        <w:rPr>
          <w:lang w:val="en-GB"/>
        </w:rPr>
        <w:t xml:space="preserve">According to the analysis of the state of municipal waste management in the </w:t>
      </w:r>
      <w:r w:rsidR="001A534D" w:rsidRPr="008640C4">
        <w:rPr>
          <w:lang w:val="en-GB"/>
        </w:rPr>
        <w:t>Wroclaw</w:t>
      </w:r>
      <w:r w:rsidRPr="008640C4">
        <w:rPr>
          <w:lang w:val="en-GB"/>
        </w:rPr>
        <w:t xml:space="preserve"> commune, data from the Central Statistical Office and based on morphological studies </w:t>
      </w:r>
      <w:r w:rsidR="00FF6A75" w:rsidRPr="008640C4">
        <w:rPr>
          <w:lang w:val="en-GB"/>
        </w:rPr>
        <w:t>(</w:t>
      </w:r>
      <w:r w:rsidRPr="008640C4">
        <w:rPr>
          <w:lang w:val="en-GB"/>
        </w:rPr>
        <w:t xml:space="preserve">Table </w:t>
      </w:r>
      <w:r w:rsidR="00FF6A75" w:rsidRPr="008640C4">
        <w:rPr>
          <w:lang w:val="en-GB"/>
        </w:rPr>
        <w:t xml:space="preserve">7) </w:t>
      </w:r>
      <w:r w:rsidRPr="008640C4">
        <w:rPr>
          <w:lang w:val="en-GB"/>
        </w:rPr>
        <w:t xml:space="preserve">presents the amounts of selected waste streams that were collected in 2013. In addition, the percentage rate of recovery of secondary raw materials is also given because one cannot rely on people to segregate waste perfectly. Most fractions are contaminated by incorrect selection. Therefore, it was assumed that a given % of the fraction is recovered as raw material, while the rest of the waste is transported to a landfill. By dividing the annual mass of a given fraction by 12 months, we will obtain the monthly amount of a given fraction. Then, by multiplying by </w:t>
      </w:r>
      <w:r w:rsidR="00F069F6">
        <w:rPr>
          <w:lang w:val="en-GB"/>
        </w:rPr>
        <w:t xml:space="preserve">the </w:t>
      </w:r>
      <w:r w:rsidRPr="008640C4">
        <w:rPr>
          <w:lang w:val="en-GB"/>
        </w:rPr>
        <w:t>recovery %, we will find out what part is potentially recovered. The rest goes back to the landfill.</w:t>
      </w:r>
    </w:p>
    <w:p w14:paraId="5344A8B0" w14:textId="77777777" w:rsidR="00ED13BF" w:rsidRPr="008640C4" w:rsidRDefault="00ED13BF" w:rsidP="001F65EE">
      <w:pPr>
        <w:ind w:firstLine="709"/>
        <w:rPr>
          <w:lang w:val="en-GB"/>
        </w:rPr>
      </w:pPr>
    </w:p>
    <w:p w14:paraId="0C084E98" w14:textId="4767A79A" w:rsidR="00011C8E" w:rsidRPr="008640C4" w:rsidRDefault="00FF6A75" w:rsidP="00ED13BF">
      <w:pPr>
        <w:pStyle w:val="Rtab"/>
        <w:rPr>
          <w:lang w:val="en-GB"/>
        </w:rPr>
      </w:pPr>
      <w:r w:rsidRPr="008640C4">
        <w:rPr>
          <w:b/>
          <w:bCs/>
          <w:lang w:val="en-GB"/>
        </w:rPr>
        <w:t xml:space="preserve">Table </w:t>
      </w:r>
      <w:r w:rsidR="00D81B25" w:rsidRPr="008640C4">
        <w:rPr>
          <w:b/>
          <w:bCs/>
          <w:noProof/>
          <w:lang w:val="en-GB"/>
        </w:rPr>
        <w:fldChar w:fldCharType="begin"/>
      </w:r>
      <w:r w:rsidRPr="008640C4">
        <w:rPr>
          <w:b/>
          <w:bCs/>
          <w:noProof/>
          <w:lang w:val="en-GB"/>
        </w:rPr>
        <w:instrText xml:space="preserve"> SEQ tabelka\* ARABIC </w:instrText>
      </w:r>
      <w:r w:rsidR="00D81B25" w:rsidRPr="008640C4">
        <w:rPr>
          <w:b/>
          <w:bCs/>
          <w:noProof/>
          <w:lang w:val="en-GB"/>
        </w:rPr>
        <w:fldChar w:fldCharType="separate"/>
      </w:r>
      <w:r w:rsidR="00F04983">
        <w:rPr>
          <w:b/>
          <w:bCs/>
          <w:noProof/>
          <w:lang w:val="en-GB"/>
        </w:rPr>
        <w:t>7</w:t>
      </w:r>
      <w:r w:rsidR="00D81B25" w:rsidRPr="008640C4">
        <w:rPr>
          <w:b/>
          <w:bCs/>
          <w:noProof/>
          <w:lang w:val="en-GB"/>
        </w:rPr>
        <w:fldChar w:fldCharType="end"/>
      </w:r>
      <w:r w:rsidRPr="008640C4">
        <w:rPr>
          <w:b/>
          <w:bCs/>
          <w:lang w:val="en-GB"/>
        </w:rPr>
        <w:t xml:space="preserve">. </w:t>
      </w:r>
      <w:r w:rsidR="00011C8E" w:rsidRPr="008640C4">
        <w:rPr>
          <w:lang w:val="en-GB"/>
        </w:rPr>
        <w:t>Quantities of individual was</w:t>
      </w:r>
      <w:r w:rsidR="006053B6" w:rsidRPr="008640C4">
        <w:rPr>
          <w:lang w:val="en-GB"/>
        </w:rPr>
        <w:t>te streams and their management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992"/>
        <w:gridCol w:w="851"/>
        <w:gridCol w:w="1134"/>
        <w:gridCol w:w="1276"/>
        <w:gridCol w:w="1842"/>
      </w:tblGrid>
      <w:tr w:rsidR="00220D49" w:rsidRPr="008640C4" w14:paraId="7DB4C875" w14:textId="77777777" w:rsidTr="008640C4">
        <w:trPr>
          <w:trHeight w:val="1081"/>
          <w:jc w:val="center"/>
        </w:trPr>
        <w:tc>
          <w:tcPr>
            <w:tcW w:w="3539" w:type="dxa"/>
            <w:shd w:val="clear" w:color="auto" w:fill="auto"/>
            <w:vAlign w:val="center"/>
            <w:hideMark/>
          </w:tcPr>
          <w:p w14:paraId="35BBCADA" w14:textId="77777777" w:rsidR="00BB5A85" w:rsidRPr="008640C4" w:rsidRDefault="00BB5A85" w:rsidP="009E3616">
            <w:pPr>
              <w:pStyle w:val="Tabletext"/>
              <w:rPr>
                <w:lang w:val="en-GB"/>
              </w:rPr>
            </w:pPr>
            <w:r w:rsidRPr="008640C4">
              <w:rPr>
                <w:lang w:val="en-GB"/>
              </w:rPr>
              <w:t>FRACTION</w:t>
            </w:r>
          </w:p>
        </w:tc>
        <w:tc>
          <w:tcPr>
            <w:tcW w:w="992" w:type="dxa"/>
            <w:shd w:val="clear" w:color="auto" w:fill="auto"/>
            <w:vAlign w:val="center"/>
            <w:hideMark/>
          </w:tcPr>
          <w:p w14:paraId="0061D86D" w14:textId="77777777" w:rsidR="00BB5A85" w:rsidRPr="008640C4" w:rsidRDefault="00BB5A85" w:rsidP="00ED13BF">
            <w:pPr>
              <w:pStyle w:val="Tabletext"/>
              <w:rPr>
                <w:lang w:val="en-GB"/>
              </w:rPr>
            </w:pPr>
            <w:r w:rsidRPr="008640C4">
              <w:rPr>
                <w:lang w:val="en-GB"/>
              </w:rPr>
              <w:t>Quantity</w:t>
            </w:r>
            <w:r w:rsidR="00ED13BF" w:rsidRPr="008640C4">
              <w:rPr>
                <w:lang w:val="en-GB"/>
              </w:rPr>
              <w:t xml:space="preserve"> </w:t>
            </w:r>
            <w:r w:rsidRPr="008640C4">
              <w:rPr>
                <w:lang w:val="en-GB"/>
              </w:rPr>
              <w:t>Mg/year</w:t>
            </w:r>
          </w:p>
        </w:tc>
        <w:tc>
          <w:tcPr>
            <w:tcW w:w="851" w:type="dxa"/>
            <w:shd w:val="clear" w:color="auto" w:fill="auto"/>
            <w:vAlign w:val="center"/>
            <w:hideMark/>
          </w:tcPr>
          <w:p w14:paraId="44B88F29" w14:textId="77777777" w:rsidR="00BB5A85" w:rsidRPr="008640C4" w:rsidRDefault="00BB5A85" w:rsidP="00ED13BF">
            <w:pPr>
              <w:pStyle w:val="Tabletext"/>
              <w:rPr>
                <w:lang w:val="en-GB"/>
              </w:rPr>
            </w:pPr>
            <w:r w:rsidRPr="008640C4">
              <w:rPr>
                <w:lang w:val="en-GB"/>
              </w:rPr>
              <w:t>Quantity</w:t>
            </w:r>
            <w:r w:rsidR="00ED13BF" w:rsidRPr="008640C4">
              <w:rPr>
                <w:lang w:val="en-GB"/>
              </w:rPr>
              <w:t xml:space="preserve"> </w:t>
            </w:r>
            <w:r w:rsidRPr="008640C4">
              <w:rPr>
                <w:lang w:val="en-GB"/>
              </w:rPr>
              <w:t>a month</w:t>
            </w:r>
            <w:r w:rsidR="00ED13BF" w:rsidRPr="008640C4">
              <w:rPr>
                <w:lang w:val="en-GB"/>
              </w:rPr>
              <w:t xml:space="preserve"> </w:t>
            </w:r>
            <w:r w:rsidRPr="008640C4">
              <w:rPr>
                <w:lang w:val="en-GB"/>
              </w:rPr>
              <w:t>Mg</w:t>
            </w:r>
          </w:p>
        </w:tc>
        <w:tc>
          <w:tcPr>
            <w:tcW w:w="1134" w:type="dxa"/>
            <w:shd w:val="clear" w:color="auto" w:fill="auto"/>
            <w:vAlign w:val="center"/>
            <w:hideMark/>
          </w:tcPr>
          <w:p w14:paraId="7758EF42" w14:textId="7B239AFF" w:rsidR="00220D49" w:rsidRPr="008640C4" w:rsidRDefault="00BB5A85" w:rsidP="00ED13BF">
            <w:pPr>
              <w:pStyle w:val="Tabletext"/>
              <w:rPr>
                <w:lang w:val="en-GB"/>
              </w:rPr>
            </w:pPr>
            <w:r w:rsidRPr="008640C4">
              <w:rPr>
                <w:lang w:val="en-GB"/>
              </w:rPr>
              <w:t>% recycling</w:t>
            </w:r>
            <w:r w:rsidR="00ED13BF" w:rsidRPr="008640C4">
              <w:rPr>
                <w:lang w:val="en-GB"/>
              </w:rPr>
              <w:t xml:space="preserve"> </w:t>
            </w:r>
            <w:r w:rsidR="00220D49" w:rsidRPr="008640C4">
              <w:rPr>
                <w:lang w:val="en-GB"/>
              </w:rPr>
              <w:t xml:space="preserve">Raw </w:t>
            </w:r>
            <w:r w:rsidR="00644F8C">
              <w:rPr>
                <w:lang w:val="en-GB"/>
              </w:rPr>
              <w:br/>
            </w:r>
            <w:r w:rsidR="00220D49" w:rsidRPr="008640C4">
              <w:rPr>
                <w:lang w:val="en-GB"/>
              </w:rPr>
              <w:t>materials</w:t>
            </w:r>
          </w:p>
        </w:tc>
        <w:tc>
          <w:tcPr>
            <w:tcW w:w="1276" w:type="dxa"/>
            <w:shd w:val="clear" w:color="auto" w:fill="auto"/>
            <w:vAlign w:val="center"/>
            <w:hideMark/>
          </w:tcPr>
          <w:p w14:paraId="29DFBDA0" w14:textId="3D3025B6" w:rsidR="00BB5A85" w:rsidRPr="008640C4" w:rsidRDefault="00BB5A85" w:rsidP="00ED13BF">
            <w:pPr>
              <w:pStyle w:val="Tabletext"/>
              <w:rPr>
                <w:lang w:val="en-GB"/>
              </w:rPr>
            </w:pPr>
            <w:r w:rsidRPr="008640C4">
              <w:rPr>
                <w:lang w:val="en-GB"/>
              </w:rPr>
              <w:t>Quantity</w:t>
            </w:r>
            <w:r w:rsidR="00ED13BF" w:rsidRPr="008640C4">
              <w:rPr>
                <w:lang w:val="en-GB"/>
              </w:rPr>
              <w:t xml:space="preserve"> </w:t>
            </w:r>
            <w:r w:rsidR="00220D49" w:rsidRPr="008640C4">
              <w:rPr>
                <w:lang w:val="en-GB"/>
              </w:rPr>
              <w:t>Raw material</w:t>
            </w:r>
            <w:r w:rsidR="00ED13BF" w:rsidRPr="008640C4">
              <w:rPr>
                <w:lang w:val="en-GB"/>
              </w:rPr>
              <w:t xml:space="preserve"> </w:t>
            </w:r>
            <w:r w:rsidR="00644F8C">
              <w:rPr>
                <w:lang w:val="en-GB"/>
              </w:rPr>
              <w:br/>
            </w:r>
            <w:r w:rsidR="00220D49" w:rsidRPr="008640C4">
              <w:rPr>
                <w:lang w:val="en-GB"/>
              </w:rPr>
              <w:t>Recovered</w:t>
            </w:r>
            <w:r w:rsidR="00ED13BF" w:rsidRPr="008640C4">
              <w:rPr>
                <w:lang w:val="en-GB"/>
              </w:rPr>
              <w:t xml:space="preserve"> </w:t>
            </w:r>
            <w:r w:rsidRPr="008640C4">
              <w:rPr>
                <w:lang w:val="en-GB"/>
              </w:rPr>
              <w:t>Mg/month</w:t>
            </w:r>
          </w:p>
        </w:tc>
        <w:tc>
          <w:tcPr>
            <w:tcW w:w="1842" w:type="dxa"/>
            <w:shd w:val="clear" w:color="auto" w:fill="auto"/>
            <w:vAlign w:val="center"/>
            <w:hideMark/>
          </w:tcPr>
          <w:p w14:paraId="077A6657" w14:textId="77777777" w:rsidR="00BB5A85" w:rsidRPr="008640C4" w:rsidRDefault="00BB5A85" w:rsidP="00ED13BF">
            <w:pPr>
              <w:pStyle w:val="Tabletext"/>
              <w:rPr>
                <w:lang w:val="en-GB"/>
              </w:rPr>
            </w:pPr>
            <w:r w:rsidRPr="008640C4">
              <w:rPr>
                <w:lang w:val="en-GB"/>
              </w:rPr>
              <w:t>Number of fractions</w:t>
            </w:r>
            <w:r w:rsidR="00ED13BF" w:rsidRPr="008640C4">
              <w:rPr>
                <w:lang w:val="en-GB"/>
              </w:rPr>
              <w:t xml:space="preserve"> </w:t>
            </w:r>
            <w:r w:rsidRPr="008640C4">
              <w:rPr>
                <w:lang w:val="en-GB"/>
              </w:rPr>
              <w:t>returning to the</w:t>
            </w:r>
            <w:r w:rsidR="00ED13BF" w:rsidRPr="008640C4">
              <w:rPr>
                <w:lang w:val="en-GB"/>
              </w:rPr>
              <w:t xml:space="preserve"> </w:t>
            </w:r>
            <w:r w:rsidRPr="008640C4">
              <w:rPr>
                <w:lang w:val="en-GB"/>
              </w:rPr>
              <w:t>landfill</w:t>
            </w:r>
            <w:r w:rsidR="00ED13BF" w:rsidRPr="008640C4">
              <w:rPr>
                <w:lang w:val="en-GB"/>
              </w:rPr>
              <w:t xml:space="preserve"> </w:t>
            </w:r>
            <w:r w:rsidRPr="008640C4">
              <w:rPr>
                <w:lang w:val="en-GB"/>
              </w:rPr>
              <w:t>Mg/month</w:t>
            </w:r>
          </w:p>
        </w:tc>
      </w:tr>
      <w:tr w:rsidR="00220D49" w:rsidRPr="008640C4" w14:paraId="4F78599E" w14:textId="77777777" w:rsidTr="00ED13BF">
        <w:trPr>
          <w:trHeight w:val="306"/>
          <w:jc w:val="center"/>
        </w:trPr>
        <w:tc>
          <w:tcPr>
            <w:tcW w:w="3539" w:type="dxa"/>
            <w:shd w:val="clear" w:color="auto" w:fill="auto"/>
            <w:noWrap/>
            <w:vAlign w:val="center"/>
            <w:hideMark/>
          </w:tcPr>
          <w:p w14:paraId="1B7B1AD4" w14:textId="77777777" w:rsidR="00BB5A85" w:rsidRPr="008640C4" w:rsidRDefault="00ED13BF" w:rsidP="00ED13BF">
            <w:pPr>
              <w:pStyle w:val="Tabletext"/>
              <w:jc w:val="left"/>
              <w:rPr>
                <w:lang w:val="en-GB"/>
              </w:rPr>
            </w:pPr>
            <w:r w:rsidRPr="008640C4">
              <w:rPr>
                <w:lang w:val="en-GB"/>
              </w:rPr>
              <w:t>P</w:t>
            </w:r>
            <w:r w:rsidR="00BB5A85" w:rsidRPr="008640C4">
              <w:rPr>
                <w:lang w:val="en-GB"/>
              </w:rPr>
              <w:t>aper and cardboard</w:t>
            </w:r>
          </w:p>
        </w:tc>
        <w:tc>
          <w:tcPr>
            <w:tcW w:w="992" w:type="dxa"/>
            <w:shd w:val="clear" w:color="auto" w:fill="auto"/>
            <w:noWrap/>
            <w:vAlign w:val="center"/>
            <w:hideMark/>
          </w:tcPr>
          <w:p w14:paraId="5CC10743" w14:textId="77777777" w:rsidR="00BB5A85" w:rsidRPr="008640C4" w:rsidRDefault="00BB5A85" w:rsidP="009E3616">
            <w:pPr>
              <w:pStyle w:val="Tabletext"/>
              <w:rPr>
                <w:lang w:val="en-GB"/>
              </w:rPr>
            </w:pPr>
            <w:r w:rsidRPr="008640C4">
              <w:rPr>
                <w:lang w:val="en-GB"/>
              </w:rPr>
              <w:t>20</w:t>
            </w:r>
            <w:r w:rsidR="00F069F6">
              <w:rPr>
                <w:lang w:val="en-GB"/>
              </w:rPr>
              <w:t>,</w:t>
            </w:r>
            <w:r w:rsidRPr="008640C4">
              <w:rPr>
                <w:lang w:val="en-GB"/>
              </w:rPr>
              <w:t>550</w:t>
            </w:r>
          </w:p>
        </w:tc>
        <w:tc>
          <w:tcPr>
            <w:tcW w:w="851" w:type="dxa"/>
            <w:shd w:val="clear" w:color="auto" w:fill="auto"/>
            <w:noWrap/>
            <w:vAlign w:val="center"/>
            <w:hideMark/>
          </w:tcPr>
          <w:p w14:paraId="744083C8" w14:textId="77777777" w:rsidR="00BB5A85" w:rsidRPr="008640C4" w:rsidRDefault="00BB5A85" w:rsidP="009E3616">
            <w:pPr>
              <w:pStyle w:val="Tabletext"/>
              <w:rPr>
                <w:lang w:val="en-GB"/>
              </w:rPr>
            </w:pPr>
            <w:r w:rsidRPr="008640C4">
              <w:rPr>
                <w:lang w:val="en-GB"/>
              </w:rPr>
              <w:t>1</w:t>
            </w:r>
            <w:r w:rsidR="00F069F6">
              <w:rPr>
                <w:lang w:val="en-GB"/>
              </w:rPr>
              <w:t>,</w:t>
            </w:r>
            <w:r w:rsidRPr="008640C4">
              <w:rPr>
                <w:lang w:val="en-GB"/>
              </w:rPr>
              <w:t>712</w:t>
            </w:r>
          </w:p>
        </w:tc>
        <w:tc>
          <w:tcPr>
            <w:tcW w:w="1134" w:type="dxa"/>
            <w:shd w:val="clear" w:color="auto" w:fill="auto"/>
            <w:noWrap/>
            <w:vAlign w:val="center"/>
            <w:hideMark/>
          </w:tcPr>
          <w:p w14:paraId="6A0C85D1" w14:textId="77777777" w:rsidR="00BB5A85" w:rsidRPr="008640C4" w:rsidRDefault="00BB5A85" w:rsidP="009E3616">
            <w:pPr>
              <w:pStyle w:val="Tabletext"/>
              <w:rPr>
                <w:lang w:val="en-GB"/>
              </w:rPr>
            </w:pPr>
            <w:r w:rsidRPr="008640C4">
              <w:rPr>
                <w:lang w:val="en-GB"/>
              </w:rPr>
              <w:t>50%</w:t>
            </w:r>
          </w:p>
        </w:tc>
        <w:tc>
          <w:tcPr>
            <w:tcW w:w="1276" w:type="dxa"/>
            <w:shd w:val="clear" w:color="auto" w:fill="auto"/>
            <w:noWrap/>
            <w:vAlign w:val="center"/>
            <w:hideMark/>
          </w:tcPr>
          <w:p w14:paraId="7D768DFF" w14:textId="77777777" w:rsidR="00BB5A85" w:rsidRPr="008640C4" w:rsidRDefault="00BB5A85" w:rsidP="009E3616">
            <w:pPr>
              <w:pStyle w:val="Tabletext"/>
              <w:rPr>
                <w:lang w:val="en-GB"/>
              </w:rPr>
            </w:pPr>
            <w:r w:rsidRPr="008640C4">
              <w:rPr>
                <w:lang w:val="en-GB"/>
              </w:rPr>
              <w:t>856</w:t>
            </w:r>
          </w:p>
        </w:tc>
        <w:tc>
          <w:tcPr>
            <w:tcW w:w="1842" w:type="dxa"/>
            <w:shd w:val="clear" w:color="auto" w:fill="auto"/>
            <w:noWrap/>
            <w:vAlign w:val="center"/>
            <w:hideMark/>
          </w:tcPr>
          <w:p w14:paraId="48325F21" w14:textId="77777777" w:rsidR="00BB5A85" w:rsidRPr="008640C4" w:rsidRDefault="00BB5A85" w:rsidP="009E3616">
            <w:pPr>
              <w:pStyle w:val="Tabletext"/>
              <w:rPr>
                <w:lang w:val="en-GB"/>
              </w:rPr>
            </w:pPr>
            <w:r w:rsidRPr="008640C4">
              <w:rPr>
                <w:lang w:val="en-GB"/>
              </w:rPr>
              <w:t>856</w:t>
            </w:r>
          </w:p>
        </w:tc>
      </w:tr>
      <w:tr w:rsidR="00220D49" w:rsidRPr="008640C4" w14:paraId="15F355CD" w14:textId="77777777" w:rsidTr="00ED13BF">
        <w:trPr>
          <w:trHeight w:val="306"/>
          <w:jc w:val="center"/>
        </w:trPr>
        <w:tc>
          <w:tcPr>
            <w:tcW w:w="3539" w:type="dxa"/>
            <w:shd w:val="clear" w:color="auto" w:fill="auto"/>
            <w:noWrap/>
            <w:vAlign w:val="center"/>
            <w:hideMark/>
          </w:tcPr>
          <w:p w14:paraId="5712DA10" w14:textId="77777777" w:rsidR="00BB5A85" w:rsidRPr="008640C4" w:rsidRDefault="00ED13BF" w:rsidP="00ED13BF">
            <w:pPr>
              <w:pStyle w:val="Tabletext"/>
              <w:jc w:val="left"/>
              <w:rPr>
                <w:lang w:val="en-GB"/>
              </w:rPr>
            </w:pPr>
            <w:r w:rsidRPr="008640C4">
              <w:rPr>
                <w:lang w:val="en-GB"/>
              </w:rPr>
              <w:t>P</w:t>
            </w:r>
            <w:r w:rsidR="00BB5A85" w:rsidRPr="008640C4">
              <w:rPr>
                <w:lang w:val="en-GB"/>
              </w:rPr>
              <w:t>lastics</w:t>
            </w:r>
          </w:p>
        </w:tc>
        <w:tc>
          <w:tcPr>
            <w:tcW w:w="992" w:type="dxa"/>
            <w:shd w:val="clear" w:color="auto" w:fill="auto"/>
            <w:noWrap/>
            <w:vAlign w:val="center"/>
            <w:hideMark/>
          </w:tcPr>
          <w:p w14:paraId="09448596" w14:textId="77777777" w:rsidR="00BB5A85" w:rsidRPr="008640C4" w:rsidRDefault="00BB5A85" w:rsidP="009E3616">
            <w:pPr>
              <w:pStyle w:val="Tabletext"/>
              <w:rPr>
                <w:lang w:val="en-GB"/>
              </w:rPr>
            </w:pPr>
            <w:r w:rsidRPr="008640C4">
              <w:rPr>
                <w:lang w:val="en-GB"/>
              </w:rPr>
              <w:t>22</w:t>
            </w:r>
            <w:r w:rsidR="00F069F6">
              <w:rPr>
                <w:lang w:val="en-GB"/>
              </w:rPr>
              <w:t>,</w:t>
            </w:r>
            <w:r w:rsidRPr="008640C4">
              <w:rPr>
                <w:lang w:val="en-GB"/>
              </w:rPr>
              <w:t>358</w:t>
            </w:r>
          </w:p>
        </w:tc>
        <w:tc>
          <w:tcPr>
            <w:tcW w:w="851" w:type="dxa"/>
            <w:shd w:val="clear" w:color="auto" w:fill="auto"/>
            <w:noWrap/>
            <w:vAlign w:val="center"/>
            <w:hideMark/>
          </w:tcPr>
          <w:p w14:paraId="24C582F1" w14:textId="77777777" w:rsidR="00BB5A85" w:rsidRPr="008640C4" w:rsidRDefault="00BB5A85" w:rsidP="009E3616">
            <w:pPr>
              <w:pStyle w:val="Tabletext"/>
              <w:rPr>
                <w:lang w:val="en-GB"/>
              </w:rPr>
            </w:pPr>
            <w:r w:rsidRPr="008640C4">
              <w:rPr>
                <w:lang w:val="en-GB"/>
              </w:rPr>
              <w:t>1</w:t>
            </w:r>
            <w:r w:rsidR="00F069F6">
              <w:rPr>
                <w:lang w:val="en-GB"/>
              </w:rPr>
              <w:t>,</w:t>
            </w:r>
            <w:r w:rsidRPr="008640C4">
              <w:rPr>
                <w:lang w:val="en-GB"/>
              </w:rPr>
              <w:t>863</w:t>
            </w:r>
          </w:p>
        </w:tc>
        <w:tc>
          <w:tcPr>
            <w:tcW w:w="1134" w:type="dxa"/>
            <w:shd w:val="clear" w:color="auto" w:fill="auto"/>
            <w:noWrap/>
            <w:vAlign w:val="center"/>
            <w:hideMark/>
          </w:tcPr>
          <w:p w14:paraId="483D1AE9" w14:textId="77777777" w:rsidR="00BB5A85" w:rsidRPr="008640C4" w:rsidRDefault="00BB5A85" w:rsidP="009E3616">
            <w:pPr>
              <w:pStyle w:val="Tabletext"/>
              <w:rPr>
                <w:lang w:val="en-GB"/>
              </w:rPr>
            </w:pPr>
            <w:r w:rsidRPr="008640C4">
              <w:rPr>
                <w:lang w:val="en-GB"/>
              </w:rPr>
              <w:t>25%</w:t>
            </w:r>
          </w:p>
        </w:tc>
        <w:tc>
          <w:tcPr>
            <w:tcW w:w="1276" w:type="dxa"/>
            <w:shd w:val="clear" w:color="auto" w:fill="auto"/>
            <w:noWrap/>
            <w:vAlign w:val="center"/>
            <w:hideMark/>
          </w:tcPr>
          <w:p w14:paraId="6B3E41CC" w14:textId="77777777" w:rsidR="00BB5A85" w:rsidRPr="008640C4" w:rsidRDefault="00BB5A85" w:rsidP="009E3616">
            <w:pPr>
              <w:pStyle w:val="Tabletext"/>
              <w:rPr>
                <w:lang w:val="en-GB"/>
              </w:rPr>
            </w:pPr>
            <w:r w:rsidRPr="008640C4">
              <w:rPr>
                <w:lang w:val="en-GB"/>
              </w:rPr>
              <w:t>466</w:t>
            </w:r>
          </w:p>
        </w:tc>
        <w:tc>
          <w:tcPr>
            <w:tcW w:w="1842" w:type="dxa"/>
            <w:shd w:val="clear" w:color="auto" w:fill="auto"/>
            <w:noWrap/>
            <w:vAlign w:val="center"/>
            <w:hideMark/>
          </w:tcPr>
          <w:p w14:paraId="4E6F1131" w14:textId="77777777" w:rsidR="00BB5A85" w:rsidRPr="008640C4" w:rsidRDefault="00BB5A85" w:rsidP="009E3616">
            <w:pPr>
              <w:pStyle w:val="Tabletext"/>
              <w:rPr>
                <w:lang w:val="en-GB"/>
              </w:rPr>
            </w:pPr>
            <w:r w:rsidRPr="008640C4">
              <w:rPr>
                <w:lang w:val="en-GB"/>
              </w:rPr>
              <w:t>1</w:t>
            </w:r>
            <w:r w:rsidR="00F069F6">
              <w:rPr>
                <w:lang w:val="en-GB"/>
              </w:rPr>
              <w:t>,</w:t>
            </w:r>
            <w:r w:rsidRPr="008640C4">
              <w:rPr>
                <w:lang w:val="en-GB"/>
              </w:rPr>
              <w:t>397</w:t>
            </w:r>
          </w:p>
        </w:tc>
      </w:tr>
      <w:tr w:rsidR="00220D49" w:rsidRPr="008640C4" w14:paraId="3DE1D7EF" w14:textId="77777777" w:rsidTr="00ED13BF">
        <w:trPr>
          <w:trHeight w:val="306"/>
          <w:jc w:val="center"/>
        </w:trPr>
        <w:tc>
          <w:tcPr>
            <w:tcW w:w="3539" w:type="dxa"/>
            <w:shd w:val="clear" w:color="auto" w:fill="auto"/>
            <w:noWrap/>
            <w:vAlign w:val="center"/>
            <w:hideMark/>
          </w:tcPr>
          <w:p w14:paraId="332F5A83" w14:textId="77777777" w:rsidR="00BB5A85" w:rsidRPr="008640C4" w:rsidRDefault="00ED13BF" w:rsidP="00ED13BF">
            <w:pPr>
              <w:pStyle w:val="Tabletext"/>
              <w:jc w:val="left"/>
              <w:rPr>
                <w:lang w:val="en-GB"/>
              </w:rPr>
            </w:pPr>
            <w:r w:rsidRPr="008640C4">
              <w:rPr>
                <w:lang w:val="en-GB"/>
              </w:rPr>
              <w:t>G</w:t>
            </w:r>
            <w:r w:rsidR="00BB5A85" w:rsidRPr="008640C4">
              <w:rPr>
                <w:lang w:val="en-GB"/>
              </w:rPr>
              <w:t>lass</w:t>
            </w:r>
          </w:p>
        </w:tc>
        <w:tc>
          <w:tcPr>
            <w:tcW w:w="992" w:type="dxa"/>
            <w:shd w:val="clear" w:color="auto" w:fill="auto"/>
            <w:noWrap/>
            <w:vAlign w:val="center"/>
            <w:hideMark/>
          </w:tcPr>
          <w:p w14:paraId="3AB0208B" w14:textId="77777777" w:rsidR="00BB5A85" w:rsidRPr="008640C4" w:rsidRDefault="00BB5A85" w:rsidP="009E3616">
            <w:pPr>
              <w:pStyle w:val="Tabletext"/>
              <w:rPr>
                <w:lang w:val="en-GB"/>
              </w:rPr>
            </w:pPr>
            <w:r w:rsidRPr="008640C4">
              <w:rPr>
                <w:lang w:val="en-GB"/>
              </w:rPr>
              <w:t>23</w:t>
            </w:r>
            <w:r w:rsidR="00F069F6">
              <w:rPr>
                <w:lang w:val="en-GB"/>
              </w:rPr>
              <w:t>,</w:t>
            </w:r>
            <w:r w:rsidRPr="008640C4">
              <w:rPr>
                <w:lang w:val="en-GB"/>
              </w:rPr>
              <w:t>673</w:t>
            </w:r>
          </w:p>
        </w:tc>
        <w:tc>
          <w:tcPr>
            <w:tcW w:w="851" w:type="dxa"/>
            <w:shd w:val="clear" w:color="auto" w:fill="auto"/>
            <w:noWrap/>
            <w:vAlign w:val="center"/>
            <w:hideMark/>
          </w:tcPr>
          <w:p w14:paraId="11DD3CE1" w14:textId="77777777" w:rsidR="00BB5A85" w:rsidRPr="008640C4" w:rsidRDefault="00BB5A85" w:rsidP="009E3616">
            <w:pPr>
              <w:pStyle w:val="Tabletext"/>
              <w:rPr>
                <w:lang w:val="en-GB"/>
              </w:rPr>
            </w:pPr>
            <w:r w:rsidRPr="008640C4">
              <w:rPr>
                <w:lang w:val="en-GB"/>
              </w:rPr>
              <w:t>1</w:t>
            </w:r>
            <w:r w:rsidR="00F069F6">
              <w:rPr>
                <w:lang w:val="en-GB"/>
              </w:rPr>
              <w:t>,</w:t>
            </w:r>
            <w:r w:rsidRPr="008640C4">
              <w:rPr>
                <w:lang w:val="en-GB"/>
              </w:rPr>
              <w:t>973</w:t>
            </w:r>
          </w:p>
        </w:tc>
        <w:tc>
          <w:tcPr>
            <w:tcW w:w="1134" w:type="dxa"/>
            <w:shd w:val="clear" w:color="auto" w:fill="auto"/>
            <w:noWrap/>
            <w:vAlign w:val="center"/>
            <w:hideMark/>
          </w:tcPr>
          <w:p w14:paraId="6F75490B" w14:textId="77777777" w:rsidR="00BB5A85" w:rsidRPr="008640C4" w:rsidRDefault="00BB5A85" w:rsidP="009E3616">
            <w:pPr>
              <w:pStyle w:val="Tabletext"/>
              <w:rPr>
                <w:lang w:val="en-GB"/>
              </w:rPr>
            </w:pPr>
            <w:r w:rsidRPr="008640C4">
              <w:rPr>
                <w:lang w:val="en-GB"/>
              </w:rPr>
              <w:t>88%</w:t>
            </w:r>
          </w:p>
        </w:tc>
        <w:tc>
          <w:tcPr>
            <w:tcW w:w="1276" w:type="dxa"/>
            <w:shd w:val="clear" w:color="auto" w:fill="auto"/>
            <w:noWrap/>
            <w:vAlign w:val="center"/>
            <w:hideMark/>
          </w:tcPr>
          <w:p w14:paraId="01802BE0" w14:textId="77777777" w:rsidR="00BB5A85" w:rsidRPr="008640C4" w:rsidRDefault="00BB5A85" w:rsidP="009E3616">
            <w:pPr>
              <w:pStyle w:val="Tabletext"/>
              <w:rPr>
                <w:lang w:val="en-GB"/>
              </w:rPr>
            </w:pPr>
            <w:r w:rsidRPr="008640C4">
              <w:rPr>
                <w:lang w:val="en-GB"/>
              </w:rPr>
              <w:t>1736</w:t>
            </w:r>
          </w:p>
        </w:tc>
        <w:tc>
          <w:tcPr>
            <w:tcW w:w="1842" w:type="dxa"/>
            <w:shd w:val="clear" w:color="auto" w:fill="auto"/>
            <w:noWrap/>
            <w:vAlign w:val="center"/>
            <w:hideMark/>
          </w:tcPr>
          <w:p w14:paraId="2D1FF409" w14:textId="77777777" w:rsidR="00BB5A85" w:rsidRPr="008640C4" w:rsidRDefault="00BB5A85" w:rsidP="009E3616">
            <w:pPr>
              <w:pStyle w:val="Tabletext"/>
              <w:rPr>
                <w:lang w:val="en-GB"/>
              </w:rPr>
            </w:pPr>
            <w:r w:rsidRPr="008640C4">
              <w:rPr>
                <w:lang w:val="en-GB"/>
              </w:rPr>
              <w:t>237</w:t>
            </w:r>
          </w:p>
        </w:tc>
      </w:tr>
      <w:tr w:rsidR="00220D49" w:rsidRPr="008640C4" w14:paraId="56F58E39" w14:textId="77777777" w:rsidTr="00ED13BF">
        <w:trPr>
          <w:trHeight w:val="306"/>
          <w:jc w:val="center"/>
        </w:trPr>
        <w:tc>
          <w:tcPr>
            <w:tcW w:w="3539" w:type="dxa"/>
            <w:shd w:val="clear" w:color="auto" w:fill="auto"/>
            <w:noWrap/>
            <w:vAlign w:val="center"/>
            <w:hideMark/>
          </w:tcPr>
          <w:p w14:paraId="1C25C8ED" w14:textId="77777777" w:rsidR="00BB5A85" w:rsidRPr="008640C4" w:rsidRDefault="00ED13BF" w:rsidP="00ED13BF">
            <w:pPr>
              <w:pStyle w:val="Tabletext"/>
              <w:jc w:val="left"/>
              <w:rPr>
                <w:lang w:val="en-GB"/>
              </w:rPr>
            </w:pPr>
            <w:r w:rsidRPr="008640C4">
              <w:rPr>
                <w:lang w:val="en-GB"/>
              </w:rPr>
              <w:t>B</w:t>
            </w:r>
            <w:r w:rsidR="00BB5A85" w:rsidRPr="008640C4">
              <w:rPr>
                <w:lang w:val="en-GB"/>
              </w:rPr>
              <w:t>iodegradable</w:t>
            </w:r>
          </w:p>
        </w:tc>
        <w:tc>
          <w:tcPr>
            <w:tcW w:w="992" w:type="dxa"/>
            <w:shd w:val="clear" w:color="auto" w:fill="auto"/>
            <w:noWrap/>
            <w:vAlign w:val="center"/>
            <w:hideMark/>
          </w:tcPr>
          <w:p w14:paraId="7099E6D7" w14:textId="77777777" w:rsidR="00BB5A85" w:rsidRPr="008640C4" w:rsidRDefault="00BB5A85" w:rsidP="009E3616">
            <w:pPr>
              <w:pStyle w:val="Tabletext"/>
              <w:rPr>
                <w:lang w:val="en-GB"/>
              </w:rPr>
            </w:pPr>
            <w:r w:rsidRPr="008640C4">
              <w:rPr>
                <w:lang w:val="en-GB"/>
              </w:rPr>
              <w:t>67</w:t>
            </w:r>
            <w:r w:rsidR="00F069F6">
              <w:rPr>
                <w:lang w:val="en-GB"/>
              </w:rPr>
              <w:t>,</w:t>
            </w:r>
            <w:r w:rsidRPr="008640C4">
              <w:rPr>
                <w:lang w:val="en-GB"/>
              </w:rPr>
              <w:t>403</w:t>
            </w:r>
          </w:p>
        </w:tc>
        <w:tc>
          <w:tcPr>
            <w:tcW w:w="851" w:type="dxa"/>
            <w:shd w:val="clear" w:color="auto" w:fill="auto"/>
            <w:noWrap/>
            <w:vAlign w:val="center"/>
            <w:hideMark/>
          </w:tcPr>
          <w:p w14:paraId="5B39AF87" w14:textId="77777777" w:rsidR="00BB5A85" w:rsidRPr="008640C4" w:rsidRDefault="00BB5A85" w:rsidP="009E3616">
            <w:pPr>
              <w:pStyle w:val="Tabletext"/>
              <w:rPr>
                <w:lang w:val="en-GB"/>
              </w:rPr>
            </w:pPr>
            <w:r w:rsidRPr="008640C4">
              <w:rPr>
                <w:lang w:val="en-GB"/>
              </w:rPr>
              <w:t>5</w:t>
            </w:r>
            <w:r w:rsidR="00F069F6">
              <w:rPr>
                <w:lang w:val="en-GB"/>
              </w:rPr>
              <w:t>,</w:t>
            </w:r>
            <w:r w:rsidRPr="008640C4">
              <w:rPr>
                <w:lang w:val="en-GB"/>
              </w:rPr>
              <w:t>617</w:t>
            </w:r>
          </w:p>
        </w:tc>
        <w:tc>
          <w:tcPr>
            <w:tcW w:w="1134" w:type="dxa"/>
            <w:shd w:val="clear" w:color="auto" w:fill="auto"/>
            <w:noWrap/>
            <w:vAlign w:val="center"/>
            <w:hideMark/>
          </w:tcPr>
          <w:p w14:paraId="4F0FBDC3" w14:textId="77777777" w:rsidR="00BB5A85" w:rsidRPr="008640C4" w:rsidRDefault="00BB5A85" w:rsidP="009E3616">
            <w:pPr>
              <w:pStyle w:val="Tabletext"/>
              <w:rPr>
                <w:lang w:val="en-GB"/>
              </w:rPr>
            </w:pPr>
            <w:r w:rsidRPr="008640C4">
              <w:rPr>
                <w:lang w:val="en-GB"/>
              </w:rPr>
              <w:t>75%</w:t>
            </w:r>
          </w:p>
        </w:tc>
        <w:tc>
          <w:tcPr>
            <w:tcW w:w="1276" w:type="dxa"/>
            <w:shd w:val="clear" w:color="auto" w:fill="auto"/>
            <w:noWrap/>
            <w:vAlign w:val="center"/>
            <w:hideMark/>
          </w:tcPr>
          <w:p w14:paraId="29EFB503" w14:textId="77777777" w:rsidR="00BB5A85" w:rsidRPr="008640C4" w:rsidRDefault="00BB5A85" w:rsidP="009E3616">
            <w:pPr>
              <w:pStyle w:val="Tabletext"/>
              <w:rPr>
                <w:lang w:val="en-GB"/>
              </w:rPr>
            </w:pPr>
            <w:r w:rsidRPr="008640C4">
              <w:rPr>
                <w:lang w:val="en-GB"/>
              </w:rPr>
              <w:t>4213</w:t>
            </w:r>
          </w:p>
        </w:tc>
        <w:tc>
          <w:tcPr>
            <w:tcW w:w="1842" w:type="dxa"/>
            <w:shd w:val="clear" w:color="auto" w:fill="auto"/>
            <w:noWrap/>
            <w:vAlign w:val="center"/>
            <w:hideMark/>
          </w:tcPr>
          <w:p w14:paraId="6BFFFF64" w14:textId="77777777" w:rsidR="00BB5A85" w:rsidRPr="008640C4" w:rsidRDefault="00BB5A85" w:rsidP="009E3616">
            <w:pPr>
              <w:pStyle w:val="Tabletext"/>
              <w:rPr>
                <w:lang w:val="en-GB"/>
              </w:rPr>
            </w:pPr>
            <w:r w:rsidRPr="008640C4">
              <w:rPr>
                <w:lang w:val="en-GB"/>
              </w:rPr>
              <w:t>1</w:t>
            </w:r>
            <w:r w:rsidR="00F069F6">
              <w:rPr>
                <w:lang w:val="en-GB"/>
              </w:rPr>
              <w:t>,</w:t>
            </w:r>
            <w:r w:rsidRPr="008640C4">
              <w:rPr>
                <w:lang w:val="en-GB"/>
              </w:rPr>
              <w:t>404</w:t>
            </w:r>
          </w:p>
        </w:tc>
      </w:tr>
      <w:tr w:rsidR="00220D49" w:rsidRPr="008640C4" w14:paraId="192F1233" w14:textId="77777777" w:rsidTr="00ED13BF">
        <w:trPr>
          <w:trHeight w:val="306"/>
          <w:jc w:val="center"/>
        </w:trPr>
        <w:tc>
          <w:tcPr>
            <w:tcW w:w="3539" w:type="dxa"/>
            <w:shd w:val="clear" w:color="auto" w:fill="auto"/>
            <w:vAlign w:val="center"/>
            <w:hideMark/>
          </w:tcPr>
          <w:p w14:paraId="255DF3F4" w14:textId="77777777" w:rsidR="00BB5A85" w:rsidRPr="008640C4" w:rsidRDefault="00BB5A85" w:rsidP="00ED13BF">
            <w:pPr>
              <w:pStyle w:val="Tabletext"/>
              <w:jc w:val="left"/>
              <w:rPr>
                <w:lang w:val="en-GB"/>
              </w:rPr>
            </w:pPr>
            <w:r w:rsidRPr="008640C4">
              <w:rPr>
                <w:lang w:val="en-GB"/>
              </w:rPr>
              <w:t xml:space="preserve">Other </w:t>
            </w:r>
            <w:r w:rsidR="00ED13BF" w:rsidRPr="008640C4">
              <w:rPr>
                <w:lang w:val="en-GB"/>
              </w:rPr>
              <w:t>–</w:t>
            </w:r>
            <w:r w:rsidRPr="008640C4">
              <w:rPr>
                <w:lang w:val="en-GB"/>
              </w:rPr>
              <w:t xml:space="preserve"> metals, bulky items, rubble, etc.</w:t>
            </w:r>
          </w:p>
        </w:tc>
        <w:tc>
          <w:tcPr>
            <w:tcW w:w="992" w:type="dxa"/>
            <w:shd w:val="clear" w:color="auto" w:fill="auto"/>
            <w:noWrap/>
            <w:vAlign w:val="center"/>
            <w:hideMark/>
          </w:tcPr>
          <w:p w14:paraId="2064A9EA" w14:textId="77777777" w:rsidR="00BB5A85" w:rsidRPr="008640C4" w:rsidRDefault="00BB5A85" w:rsidP="009E3616">
            <w:pPr>
              <w:pStyle w:val="Tabletext"/>
              <w:rPr>
                <w:lang w:val="en-GB"/>
              </w:rPr>
            </w:pPr>
            <w:r w:rsidRPr="008640C4">
              <w:rPr>
                <w:lang w:val="en-GB"/>
              </w:rPr>
              <w:t>30</w:t>
            </w:r>
            <w:r w:rsidR="00F069F6">
              <w:rPr>
                <w:lang w:val="en-GB"/>
              </w:rPr>
              <w:t>,</w:t>
            </w:r>
            <w:r w:rsidRPr="008640C4">
              <w:rPr>
                <w:lang w:val="en-GB"/>
              </w:rPr>
              <w:t>414</w:t>
            </w:r>
          </w:p>
        </w:tc>
        <w:tc>
          <w:tcPr>
            <w:tcW w:w="851" w:type="dxa"/>
            <w:shd w:val="clear" w:color="auto" w:fill="auto"/>
            <w:noWrap/>
            <w:vAlign w:val="center"/>
            <w:hideMark/>
          </w:tcPr>
          <w:p w14:paraId="50D73A6B" w14:textId="77777777" w:rsidR="00BB5A85" w:rsidRPr="008640C4" w:rsidRDefault="00BB5A85" w:rsidP="009E3616">
            <w:pPr>
              <w:pStyle w:val="Tabletext"/>
              <w:rPr>
                <w:lang w:val="en-GB"/>
              </w:rPr>
            </w:pPr>
            <w:r w:rsidRPr="008640C4">
              <w:rPr>
                <w:lang w:val="en-GB"/>
              </w:rPr>
              <w:t>2</w:t>
            </w:r>
            <w:r w:rsidR="00F069F6">
              <w:rPr>
                <w:lang w:val="en-GB"/>
              </w:rPr>
              <w:t>,</w:t>
            </w:r>
            <w:r w:rsidRPr="008640C4">
              <w:rPr>
                <w:lang w:val="en-GB"/>
              </w:rPr>
              <w:t>534</w:t>
            </w:r>
          </w:p>
        </w:tc>
        <w:tc>
          <w:tcPr>
            <w:tcW w:w="1134" w:type="dxa"/>
            <w:shd w:val="clear" w:color="auto" w:fill="auto"/>
            <w:noWrap/>
            <w:vAlign w:val="center"/>
            <w:hideMark/>
          </w:tcPr>
          <w:p w14:paraId="6BE8EE7D" w14:textId="77777777" w:rsidR="00BB5A85" w:rsidRPr="008640C4" w:rsidRDefault="00BB5A85" w:rsidP="009E3616">
            <w:pPr>
              <w:pStyle w:val="Tabletext"/>
              <w:rPr>
                <w:lang w:val="en-GB"/>
              </w:rPr>
            </w:pPr>
            <w:r w:rsidRPr="008640C4">
              <w:rPr>
                <w:lang w:val="en-GB"/>
              </w:rPr>
              <w:t>70%</w:t>
            </w:r>
          </w:p>
        </w:tc>
        <w:tc>
          <w:tcPr>
            <w:tcW w:w="1276" w:type="dxa"/>
            <w:shd w:val="clear" w:color="auto" w:fill="auto"/>
            <w:noWrap/>
            <w:vAlign w:val="center"/>
            <w:hideMark/>
          </w:tcPr>
          <w:p w14:paraId="62122685" w14:textId="77777777" w:rsidR="00BB5A85" w:rsidRPr="008640C4" w:rsidRDefault="00BB5A85" w:rsidP="009E3616">
            <w:pPr>
              <w:pStyle w:val="Tabletext"/>
              <w:rPr>
                <w:lang w:val="en-GB"/>
              </w:rPr>
            </w:pPr>
            <w:r w:rsidRPr="008640C4">
              <w:rPr>
                <w:lang w:val="en-GB"/>
              </w:rPr>
              <w:t>1774</w:t>
            </w:r>
          </w:p>
        </w:tc>
        <w:tc>
          <w:tcPr>
            <w:tcW w:w="1842" w:type="dxa"/>
            <w:shd w:val="clear" w:color="auto" w:fill="auto"/>
            <w:noWrap/>
            <w:vAlign w:val="center"/>
            <w:hideMark/>
          </w:tcPr>
          <w:p w14:paraId="6D5CB8EB" w14:textId="77777777" w:rsidR="00BB5A85" w:rsidRPr="008640C4" w:rsidRDefault="00BB5A85" w:rsidP="009E3616">
            <w:pPr>
              <w:pStyle w:val="Tabletext"/>
              <w:rPr>
                <w:lang w:val="en-GB"/>
              </w:rPr>
            </w:pPr>
            <w:r w:rsidRPr="008640C4">
              <w:rPr>
                <w:lang w:val="en-GB"/>
              </w:rPr>
              <w:t>760</w:t>
            </w:r>
          </w:p>
        </w:tc>
      </w:tr>
      <w:tr w:rsidR="00220D49" w:rsidRPr="008640C4" w14:paraId="01B5464A" w14:textId="77777777" w:rsidTr="00ED13BF">
        <w:trPr>
          <w:trHeight w:val="306"/>
          <w:jc w:val="center"/>
        </w:trPr>
        <w:tc>
          <w:tcPr>
            <w:tcW w:w="3539" w:type="dxa"/>
            <w:shd w:val="clear" w:color="auto" w:fill="auto"/>
            <w:noWrap/>
            <w:vAlign w:val="center"/>
            <w:hideMark/>
          </w:tcPr>
          <w:p w14:paraId="3DD9E7B3" w14:textId="77777777" w:rsidR="00BB5A85" w:rsidRPr="008640C4" w:rsidRDefault="00BB5A85" w:rsidP="00ED13BF">
            <w:pPr>
              <w:pStyle w:val="Tabletext"/>
              <w:jc w:val="left"/>
              <w:rPr>
                <w:lang w:val="en-GB"/>
              </w:rPr>
            </w:pPr>
            <w:r w:rsidRPr="008640C4">
              <w:rPr>
                <w:lang w:val="en-GB"/>
              </w:rPr>
              <w:t>T</w:t>
            </w:r>
            <w:r w:rsidR="00ED13BF" w:rsidRPr="008640C4">
              <w:rPr>
                <w:lang w:val="en-GB"/>
              </w:rPr>
              <w:t>otal</w:t>
            </w:r>
          </w:p>
        </w:tc>
        <w:tc>
          <w:tcPr>
            <w:tcW w:w="992" w:type="dxa"/>
            <w:shd w:val="clear" w:color="auto" w:fill="auto"/>
            <w:noWrap/>
            <w:vAlign w:val="center"/>
            <w:hideMark/>
          </w:tcPr>
          <w:p w14:paraId="6B9A8834" w14:textId="77777777" w:rsidR="00BB5A85" w:rsidRPr="008640C4" w:rsidRDefault="00BB5A85" w:rsidP="009E3616">
            <w:pPr>
              <w:pStyle w:val="Tabletext"/>
              <w:rPr>
                <w:lang w:val="en-GB"/>
              </w:rPr>
            </w:pPr>
            <w:r w:rsidRPr="008640C4">
              <w:rPr>
                <w:lang w:val="en-GB"/>
              </w:rPr>
              <w:t>164</w:t>
            </w:r>
            <w:r w:rsidR="00F069F6">
              <w:rPr>
                <w:lang w:val="en-GB"/>
              </w:rPr>
              <w:t>,</w:t>
            </w:r>
            <w:r w:rsidRPr="008640C4">
              <w:rPr>
                <w:lang w:val="en-GB"/>
              </w:rPr>
              <w:t>398</w:t>
            </w:r>
          </w:p>
        </w:tc>
        <w:tc>
          <w:tcPr>
            <w:tcW w:w="851" w:type="dxa"/>
            <w:shd w:val="clear" w:color="auto" w:fill="auto"/>
            <w:noWrap/>
            <w:vAlign w:val="center"/>
            <w:hideMark/>
          </w:tcPr>
          <w:p w14:paraId="22682C5A" w14:textId="77777777" w:rsidR="00BB5A85" w:rsidRPr="008640C4" w:rsidRDefault="00BB5A85" w:rsidP="009E3616">
            <w:pPr>
              <w:pStyle w:val="Tabletext"/>
              <w:rPr>
                <w:lang w:val="en-GB"/>
              </w:rPr>
            </w:pPr>
            <w:r w:rsidRPr="008640C4">
              <w:rPr>
                <w:lang w:val="en-GB"/>
              </w:rPr>
              <w:t>13</w:t>
            </w:r>
            <w:r w:rsidR="00F069F6">
              <w:rPr>
                <w:lang w:val="en-GB"/>
              </w:rPr>
              <w:t>,</w:t>
            </w:r>
            <w:r w:rsidRPr="008640C4">
              <w:rPr>
                <w:lang w:val="en-GB"/>
              </w:rPr>
              <w:t>700</w:t>
            </w:r>
          </w:p>
        </w:tc>
        <w:tc>
          <w:tcPr>
            <w:tcW w:w="1134" w:type="dxa"/>
            <w:shd w:val="clear" w:color="auto" w:fill="auto"/>
            <w:noWrap/>
            <w:vAlign w:val="center"/>
            <w:hideMark/>
          </w:tcPr>
          <w:p w14:paraId="117A3D1C" w14:textId="77777777" w:rsidR="00BB5A85" w:rsidRPr="008640C4" w:rsidRDefault="00BB5A85" w:rsidP="009E3616">
            <w:pPr>
              <w:pStyle w:val="Tabletext"/>
              <w:rPr>
                <w:lang w:val="en-GB"/>
              </w:rPr>
            </w:pPr>
          </w:p>
        </w:tc>
        <w:tc>
          <w:tcPr>
            <w:tcW w:w="1276" w:type="dxa"/>
            <w:shd w:val="clear" w:color="auto" w:fill="auto"/>
            <w:noWrap/>
            <w:vAlign w:val="center"/>
            <w:hideMark/>
          </w:tcPr>
          <w:p w14:paraId="1987086E" w14:textId="77777777" w:rsidR="00BB5A85" w:rsidRPr="008640C4" w:rsidRDefault="00BB5A85" w:rsidP="009E3616">
            <w:pPr>
              <w:pStyle w:val="Tabletext"/>
              <w:rPr>
                <w:lang w:val="en-GB"/>
              </w:rPr>
            </w:pPr>
          </w:p>
        </w:tc>
        <w:tc>
          <w:tcPr>
            <w:tcW w:w="1842" w:type="dxa"/>
            <w:shd w:val="clear" w:color="auto" w:fill="auto"/>
            <w:noWrap/>
            <w:vAlign w:val="center"/>
            <w:hideMark/>
          </w:tcPr>
          <w:p w14:paraId="6C5B32B5" w14:textId="77777777" w:rsidR="00BB5A85" w:rsidRPr="008640C4" w:rsidRDefault="00BB5A85" w:rsidP="009E3616">
            <w:pPr>
              <w:pStyle w:val="Tabletext"/>
              <w:rPr>
                <w:lang w:val="en-GB"/>
              </w:rPr>
            </w:pPr>
            <w:r w:rsidRPr="008640C4">
              <w:rPr>
                <w:lang w:val="en-GB"/>
              </w:rPr>
              <w:t>4</w:t>
            </w:r>
            <w:r w:rsidR="00F069F6">
              <w:rPr>
                <w:lang w:val="en-GB"/>
              </w:rPr>
              <w:t>,</w:t>
            </w:r>
            <w:r w:rsidRPr="008640C4">
              <w:rPr>
                <w:lang w:val="en-GB"/>
              </w:rPr>
              <w:t>655</w:t>
            </w:r>
          </w:p>
        </w:tc>
      </w:tr>
    </w:tbl>
    <w:p w14:paraId="2256342A" w14:textId="77777777" w:rsidR="00112F09" w:rsidRPr="008640C4" w:rsidRDefault="00112F09" w:rsidP="009E3616">
      <w:pPr>
        <w:rPr>
          <w:lang w:val="en-GB"/>
        </w:rPr>
      </w:pPr>
    </w:p>
    <w:p w14:paraId="601BFA56" w14:textId="712477DF" w:rsidR="00F100D9" w:rsidRPr="008640C4" w:rsidRDefault="00F100D9" w:rsidP="00ED13BF">
      <w:pPr>
        <w:ind w:firstLine="284"/>
        <w:rPr>
          <w:lang w:val="en-GB"/>
        </w:rPr>
      </w:pPr>
      <w:r w:rsidRPr="008640C4">
        <w:rPr>
          <w:lang w:val="en-GB"/>
        </w:rPr>
        <w:t xml:space="preserve">As mentioned earlier, the transport of waste is a </w:t>
      </w:r>
      <w:r w:rsidR="00F069F6">
        <w:rPr>
          <w:lang w:val="en-GB"/>
        </w:rPr>
        <w:t>signific</w:t>
      </w:r>
      <w:r w:rsidRPr="008640C4">
        <w:rPr>
          <w:lang w:val="en-GB"/>
        </w:rPr>
        <w:t xml:space="preserve">ant cost. Therefore, at the beginning, an analysis should be carried out regarding the number of trips needed to transport the waste to the facility. </w:t>
      </w:r>
      <w:r w:rsidR="00F069F6">
        <w:rPr>
          <w:lang w:val="en-GB"/>
        </w:rPr>
        <w:t>I</w:t>
      </w:r>
      <w:r w:rsidRPr="008640C4">
        <w:rPr>
          <w:lang w:val="en-GB"/>
        </w:rPr>
        <w:t>t is necessary to calculate the volume of its monthly accumulation for each fraction separately</w:t>
      </w:r>
      <w:r w:rsidR="00F069F6" w:rsidRPr="00F069F6">
        <w:rPr>
          <w:lang w:val="en-GB"/>
        </w:rPr>
        <w:t xml:space="preserve"> </w:t>
      </w:r>
      <w:r w:rsidR="00F069F6">
        <w:rPr>
          <w:lang w:val="en-GB"/>
        </w:rPr>
        <w:t>t</w:t>
      </w:r>
      <w:r w:rsidR="00F069F6" w:rsidRPr="008640C4">
        <w:rPr>
          <w:lang w:val="en-GB"/>
        </w:rPr>
        <w:t>o calculate the necessary and sufficient number of courses</w:t>
      </w:r>
      <w:r w:rsidRPr="008640C4">
        <w:rPr>
          <w:lang w:val="en-GB"/>
        </w:rPr>
        <w:t>. Then, knowing the degree of compaction, multiply the result by a</w:t>
      </w:r>
      <w:r w:rsidR="00644F8C">
        <w:rPr>
          <w:lang w:val="en-GB"/>
        </w:rPr>
        <w:t> </w:t>
      </w:r>
      <w:r w:rsidRPr="008640C4">
        <w:rPr>
          <w:lang w:val="en-GB"/>
        </w:rPr>
        <w:t xml:space="preserve">given percentage, </w:t>
      </w:r>
      <w:r w:rsidR="00F069F6">
        <w:rPr>
          <w:lang w:val="en-GB"/>
        </w:rPr>
        <w:t>giving</w:t>
      </w:r>
      <w:r w:rsidRPr="008640C4">
        <w:rPr>
          <w:lang w:val="en-GB"/>
        </w:rPr>
        <w:t xml:space="preserve"> us the actual capacity of the waste. Finally, the result should be divided by the garbage truck capacity to get the number of trips needed for a given fraction. </w:t>
      </w:r>
      <w:r w:rsidR="00F069F6">
        <w:rPr>
          <w:lang w:val="en-GB"/>
        </w:rPr>
        <w:t>We will get the final result by adding up the number of trips for all fractions</w:t>
      </w:r>
      <w:r w:rsidRPr="008640C4">
        <w:rPr>
          <w:lang w:val="en-GB"/>
        </w:rPr>
        <w:t>.</w:t>
      </w:r>
    </w:p>
    <w:p w14:paraId="2C5FA63C" w14:textId="605819D0" w:rsidR="00DF57A8" w:rsidRPr="008640C4" w:rsidRDefault="00237CD4"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ks</m:t>
            </m:r>
          </m:sub>
        </m:sSub>
        <m:r>
          <m:rPr>
            <m:sty m:val="p"/>
          </m:rPr>
          <w:rPr>
            <w:rFonts w:ascii="Cambria Math" w:hAnsi="Cambria Math"/>
            <w:lang w:val="en-GB"/>
          </w:rPr>
          <m:t xml:space="preserve">=  </m:t>
        </m:r>
        <m:f>
          <m:fPr>
            <m:ctrlPr>
              <w:rPr>
                <w:rFonts w:ascii="Cambria Math" w:hAnsi="Cambria Math"/>
                <w:lang w:val="en-GB"/>
              </w:rPr>
            </m:ctrlPr>
          </m:fPr>
          <m:num>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m:rPr>
                    <m:sty m:val="p"/>
                  </m:rPr>
                  <w:rPr>
                    <w:rFonts w:ascii="Cambria Math" w:hAnsi="Cambria Math"/>
                    <w:lang w:val="en-GB"/>
                  </w:rPr>
                  <m:t>4</m:t>
                </m:r>
              </m:sup>
              <m:e>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si</m:t>
                        </m:r>
                      </m:sub>
                    </m:sSub>
                    <m:r>
                      <w:rPr>
                        <w:rFonts w:ascii="Cambria Math" w:hAnsi="Cambria Math"/>
                        <w:lang w:val="en-GB"/>
                      </w:rPr>
                      <m:t>∙</m:t>
                    </m:r>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W</m:t>
                        </m:r>
                      </m:e>
                      <m:sub>
                        <m:r>
                          <w:rPr>
                            <w:rFonts w:ascii="Cambria Math" w:hAnsi="Cambria Math"/>
                            <w:lang w:val="en-GB"/>
                          </w:rPr>
                          <m:t>si</m:t>
                        </m:r>
                      </m:sub>
                    </m:sSub>
                  </m:num>
                  <m:den>
                    <m:sSub>
                      <m:sSubPr>
                        <m:ctrlPr>
                          <w:rPr>
                            <w:rFonts w:ascii="Cambria Math" w:hAnsi="Cambria Math"/>
                            <w:lang w:val="en-GB"/>
                          </w:rPr>
                        </m:ctrlPr>
                      </m:sSubPr>
                      <m:e>
                        <m:r>
                          <w:rPr>
                            <w:rFonts w:ascii="Cambria Math" w:hAnsi="Cambria Math"/>
                            <w:lang w:val="en-GB"/>
                          </w:rPr>
                          <m:t>G</m:t>
                        </m:r>
                      </m:e>
                      <m:sub>
                        <m:r>
                          <w:rPr>
                            <w:rFonts w:ascii="Cambria Math" w:hAnsi="Cambria Math"/>
                            <w:lang w:val="en-GB"/>
                          </w:rPr>
                          <m:t>si</m:t>
                        </m:r>
                      </m:sub>
                    </m:sSub>
                  </m:den>
                </m:f>
                <m:r>
                  <w:rPr>
                    <w:rFonts w:ascii="Cambria Math" w:hAnsi="Cambria Math"/>
                    <w:lang w:val="en-GB"/>
                  </w:rPr>
                  <m:t>∙</m:t>
                </m:r>
                <m:r>
                  <m:rPr>
                    <m:sty m:val="p"/>
                  </m:rPr>
                  <w:rPr>
                    <w:rFonts w:ascii="Cambria Math" w:hAnsi="Cambria Math"/>
                    <w:lang w:val="en-GB"/>
                  </w:rPr>
                  <m:t>1000</m:t>
                </m:r>
              </m:e>
            </m:nary>
          </m:num>
          <m:den>
            <m:sSub>
              <m:sSubPr>
                <m:ctrlPr>
                  <w:rPr>
                    <w:rFonts w:ascii="Cambria Math" w:hAnsi="Cambria Math"/>
                    <w:lang w:val="en-GB"/>
                  </w:rPr>
                </m:ctrlPr>
              </m:sSubPr>
              <m:e>
                <m:r>
                  <w:rPr>
                    <w:rFonts w:ascii="Cambria Math" w:hAnsi="Cambria Math"/>
                    <w:lang w:val="en-GB"/>
                  </w:rPr>
                  <m:t>V</m:t>
                </m:r>
              </m:e>
              <m:sub>
                <m:r>
                  <m:rPr>
                    <m:sty m:val="p"/>
                  </m:rPr>
                  <w:rPr>
                    <w:rFonts w:ascii="Cambria Math" w:hAnsi="Cambria Math"/>
                    <w:lang w:val="en-GB"/>
                  </w:rPr>
                  <m:t>ś</m:t>
                </m:r>
              </m:sub>
            </m:sSub>
          </m:den>
        </m:f>
      </m:oMath>
      <w:r w:rsidRPr="008640C4">
        <w:rPr>
          <w:lang w:val="en-GB"/>
        </w:rPr>
        <w:tab/>
        <w:t>(</w:t>
      </w:r>
      <w:r w:rsidR="00D81B25" w:rsidRPr="008640C4">
        <w:rPr>
          <w:rStyle w:val="RwnanieZnak"/>
          <w:lang w:val="en-GB"/>
        </w:rPr>
        <w:fldChar w:fldCharType="begin"/>
      </w:r>
      <w:r w:rsidRPr="008640C4">
        <w:rPr>
          <w:rStyle w:val="RwnanieZnak"/>
          <w:lang w:val="en-GB"/>
        </w:rPr>
        <w:instrText xml:space="preserve"> SEQ równanie\* ARABIC </w:instrText>
      </w:r>
      <w:r w:rsidR="00D81B25" w:rsidRPr="008640C4">
        <w:rPr>
          <w:rStyle w:val="RwnanieZnak"/>
          <w:lang w:val="en-GB"/>
        </w:rPr>
        <w:fldChar w:fldCharType="separate"/>
      </w:r>
      <w:r w:rsidR="00F04983">
        <w:rPr>
          <w:rStyle w:val="RwnanieZnak"/>
          <w:noProof/>
          <w:lang w:val="en-GB"/>
        </w:rPr>
        <w:t>12</w:t>
      </w:r>
      <w:r w:rsidR="00D81B25" w:rsidRPr="008640C4">
        <w:rPr>
          <w:rStyle w:val="RwnanieZnak"/>
          <w:lang w:val="en-GB"/>
        </w:rPr>
        <w:fldChar w:fldCharType="end"/>
      </w:r>
      <w:r w:rsidRPr="008640C4">
        <w:rPr>
          <w:lang w:val="en-GB"/>
        </w:rPr>
        <w:t>)</w:t>
      </w:r>
    </w:p>
    <w:p w14:paraId="6C792256" w14:textId="77777777" w:rsidR="000B50F1" w:rsidRPr="008640C4" w:rsidRDefault="00237CD4" w:rsidP="009E3616">
      <w:pPr>
        <w:rPr>
          <w:lang w:val="en-GB"/>
        </w:rPr>
      </w:pPr>
      <w:r w:rsidRPr="008640C4">
        <w:rPr>
          <w:lang w:val="en-GB"/>
        </w:rPr>
        <w:t>where:</w:t>
      </w:r>
    </w:p>
    <w:p w14:paraId="7E273593" w14:textId="77777777" w:rsidR="000B50F1" w:rsidRPr="008640C4" w:rsidRDefault="000B50F1" w:rsidP="009E3616">
      <w:pPr>
        <w:rPr>
          <w:lang w:val="en-GB"/>
        </w:rPr>
      </w:pPr>
      <w:proofErr w:type="spellStart"/>
      <w:r w:rsidRPr="008640C4">
        <w:rPr>
          <w:lang w:val="en-GB"/>
        </w:rPr>
        <w:t>I</w:t>
      </w:r>
      <w:r w:rsidRPr="008640C4">
        <w:rPr>
          <w:vertAlign w:val="subscript"/>
          <w:lang w:val="en-GB"/>
        </w:rPr>
        <w:t>ks</w:t>
      </w:r>
      <w:proofErr w:type="spellEnd"/>
      <w:r w:rsidRPr="008640C4">
        <w:rPr>
          <w:lang w:val="en-GB"/>
        </w:rPr>
        <w:t xml:space="preserve"> </w:t>
      </w:r>
      <w:r w:rsidR="00ED13BF" w:rsidRPr="008640C4">
        <w:rPr>
          <w:lang w:val="en-GB"/>
        </w:rPr>
        <w:t>–</w:t>
      </w:r>
      <w:r w:rsidRPr="008640C4">
        <w:rPr>
          <w:lang w:val="en-GB"/>
        </w:rPr>
        <w:t xml:space="preserve"> number of segregated waste collection trips</w:t>
      </w:r>
      <w:r w:rsidR="00AA101E" w:rsidRPr="008640C4">
        <w:rPr>
          <w:lang w:val="en-GB"/>
        </w:rPr>
        <w:t>,</w:t>
      </w:r>
    </w:p>
    <w:p w14:paraId="413F3DD1" w14:textId="77777777" w:rsidR="000B50F1" w:rsidRPr="008640C4" w:rsidRDefault="000B50F1" w:rsidP="009E3616">
      <w:pPr>
        <w:rPr>
          <w:lang w:val="en-GB"/>
        </w:rPr>
      </w:pPr>
      <w:r w:rsidRPr="008640C4">
        <w:rPr>
          <w:lang w:val="en-GB"/>
        </w:rPr>
        <w:t>I</w:t>
      </w:r>
      <w:r w:rsidRPr="008640C4">
        <w:rPr>
          <w:vertAlign w:val="subscript"/>
          <w:lang w:val="en-GB"/>
        </w:rPr>
        <w:t>si</w:t>
      </w:r>
      <w:r w:rsidRPr="008640C4">
        <w:rPr>
          <w:lang w:val="en-GB"/>
        </w:rPr>
        <w:t xml:space="preserve"> </w:t>
      </w:r>
      <w:r w:rsidR="00ED13BF" w:rsidRPr="008640C4">
        <w:rPr>
          <w:lang w:val="en-GB"/>
        </w:rPr>
        <w:t>–</w:t>
      </w:r>
      <w:r w:rsidRPr="008640C4">
        <w:rPr>
          <w:lang w:val="en-GB"/>
        </w:rPr>
        <w:t xml:space="preserve"> individual amounts of fractions accumulated during the month</w:t>
      </w:r>
      <w:r w:rsidR="00AA101E" w:rsidRPr="008640C4">
        <w:rPr>
          <w:lang w:val="en-GB"/>
        </w:rPr>
        <w:t>,</w:t>
      </w:r>
    </w:p>
    <w:p w14:paraId="323346AE" w14:textId="77777777" w:rsidR="000B50F1" w:rsidRPr="008640C4" w:rsidRDefault="000B50F1" w:rsidP="009E3616">
      <w:pPr>
        <w:rPr>
          <w:lang w:val="en-GB"/>
        </w:rPr>
      </w:pPr>
      <w:proofErr w:type="spellStart"/>
      <w:r w:rsidRPr="008640C4">
        <w:rPr>
          <w:lang w:val="en-GB"/>
        </w:rPr>
        <w:t>W</w:t>
      </w:r>
      <w:r w:rsidRPr="008640C4">
        <w:rPr>
          <w:vertAlign w:val="subscript"/>
          <w:lang w:val="en-GB"/>
        </w:rPr>
        <w:t>si</w:t>
      </w:r>
      <w:proofErr w:type="spellEnd"/>
      <w:r w:rsidRPr="008640C4">
        <w:rPr>
          <w:lang w:val="en-GB"/>
        </w:rPr>
        <w:t xml:space="preserve"> </w:t>
      </w:r>
      <w:r w:rsidR="00ED13BF" w:rsidRPr="008640C4">
        <w:rPr>
          <w:lang w:val="en-GB"/>
        </w:rPr>
        <w:t>–</w:t>
      </w:r>
      <w:r w:rsidRPr="008640C4">
        <w:rPr>
          <w:lang w:val="en-GB"/>
        </w:rPr>
        <w:t xml:space="preserve"> individual car crush indicators</w:t>
      </w:r>
      <w:r w:rsidR="00AA101E" w:rsidRPr="008640C4">
        <w:rPr>
          <w:lang w:val="en-GB"/>
        </w:rPr>
        <w:t>,</w:t>
      </w:r>
    </w:p>
    <w:p w14:paraId="742B4D2F" w14:textId="77777777" w:rsidR="000B50F1" w:rsidRPr="008640C4" w:rsidRDefault="000B50F1" w:rsidP="009E3616">
      <w:pPr>
        <w:rPr>
          <w:lang w:val="en-GB"/>
        </w:rPr>
      </w:pPr>
      <w:proofErr w:type="spellStart"/>
      <w:r w:rsidRPr="008640C4">
        <w:rPr>
          <w:lang w:val="en-GB"/>
        </w:rPr>
        <w:t>G</w:t>
      </w:r>
      <w:r w:rsidRPr="008640C4">
        <w:rPr>
          <w:vertAlign w:val="subscript"/>
          <w:lang w:val="en-GB"/>
        </w:rPr>
        <w:t>si</w:t>
      </w:r>
      <w:proofErr w:type="spellEnd"/>
      <w:r w:rsidRPr="008640C4">
        <w:rPr>
          <w:lang w:val="en-GB"/>
        </w:rPr>
        <w:t xml:space="preserve"> </w:t>
      </w:r>
      <w:r w:rsidR="00ED13BF" w:rsidRPr="008640C4">
        <w:rPr>
          <w:lang w:val="en-GB"/>
        </w:rPr>
        <w:t>–</w:t>
      </w:r>
      <w:r w:rsidRPr="008640C4">
        <w:rPr>
          <w:lang w:val="en-GB"/>
        </w:rPr>
        <w:t xml:space="preserve"> average density of individual fractions thrown into containers</w:t>
      </w:r>
      <w:r w:rsidR="00AA101E" w:rsidRPr="008640C4">
        <w:rPr>
          <w:lang w:val="en-GB"/>
        </w:rPr>
        <w:t>,</w:t>
      </w:r>
    </w:p>
    <w:p w14:paraId="3C3D0B52" w14:textId="77777777" w:rsidR="009233CE" w:rsidRPr="008640C4" w:rsidRDefault="009233CE" w:rsidP="009E3616">
      <w:pPr>
        <w:rPr>
          <w:lang w:val="en-GB"/>
        </w:rPr>
      </w:pPr>
      <w:proofErr w:type="spellStart"/>
      <w:r w:rsidRPr="008640C4">
        <w:rPr>
          <w:lang w:val="en-GB"/>
        </w:rPr>
        <w:t>V</w:t>
      </w:r>
      <w:r w:rsidRPr="008640C4">
        <w:rPr>
          <w:vertAlign w:val="subscript"/>
          <w:lang w:val="en-GB"/>
        </w:rPr>
        <w:t>ś</w:t>
      </w:r>
      <w:proofErr w:type="spellEnd"/>
      <w:r w:rsidRPr="008640C4">
        <w:rPr>
          <w:lang w:val="en-GB"/>
        </w:rPr>
        <w:t xml:space="preserve"> </w:t>
      </w:r>
      <w:r w:rsidR="00ED13BF" w:rsidRPr="008640C4">
        <w:rPr>
          <w:lang w:val="en-GB"/>
        </w:rPr>
        <w:t>–</w:t>
      </w:r>
      <w:r w:rsidRPr="008640C4">
        <w:rPr>
          <w:lang w:val="en-GB"/>
        </w:rPr>
        <w:t xml:space="preserve"> garbage truck capacity</w:t>
      </w:r>
      <w:r w:rsidR="00AA101E" w:rsidRPr="008640C4">
        <w:rPr>
          <w:lang w:val="en-GB"/>
        </w:rPr>
        <w:t>.</w:t>
      </w:r>
    </w:p>
    <w:p w14:paraId="0CE81D63" w14:textId="77777777" w:rsidR="00ED13BF" w:rsidRPr="008640C4" w:rsidRDefault="00ED13BF" w:rsidP="001F65EE">
      <w:pPr>
        <w:ind w:firstLine="709"/>
        <w:rPr>
          <w:lang w:val="en-GB"/>
        </w:rPr>
      </w:pPr>
    </w:p>
    <w:p w14:paraId="3FBC1537" w14:textId="77777777" w:rsidR="00370E02" w:rsidRPr="008640C4" w:rsidRDefault="00CD2C31" w:rsidP="00ED13BF">
      <w:pPr>
        <w:ind w:firstLine="284"/>
        <w:rPr>
          <w:lang w:val="en-GB"/>
        </w:rPr>
      </w:pPr>
      <w:r w:rsidRPr="008640C4">
        <w:rPr>
          <w:lang w:val="en-GB"/>
        </w:rPr>
        <w:t>As in the previous model, the number of trips must be converted into the amount of fuel needed, its cost, amorti</w:t>
      </w:r>
      <w:r w:rsidR="001F3921">
        <w:rPr>
          <w:lang w:val="en-GB"/>
        </w:rPr>
        <w:t>s</w:t>
      </w:r>
      <w:r w:rsidRPr="008640C4">
        <w:rPr>
          <w:lang w:val="en-GB"/>
        </w:rPr>
        <w:t>ation, insurance and employee wage costs (</w:t>
      </w:r>
      <w:r w:rsidR="00352E19">
        <w:rPr>
          <w:lang w:val="en-GB"/>
        </w:rPr>
        <w:t>eq. 13</w:t>
      </w:r>
      <w:r w:rsidRPr="008640C4">
        <w:rPr>
          <w:lang w:val="en-GB"/>
        </w:rPr>
        <w:t xml:space="preserve">). Table </w:t>
      </w:r>
      <w:r w:rsidR="00352E19">
        <w:rPr>
          <w:lang w:val="en-GB"/>
        </w:rPr>
        <w:t>7</w:t>
      </w:r>
      <w:r w:rsidRPr="008640C4">
        <w:rPr>
          <w:lang w:val="en-GB"/>
        </w:rPr>
        <w:t xml:space="preserve"> does not contain an analysis of the management of waste such as rubble or bulky waste into prime factors </w:t>
      </w:r>
      <w:r w:rsidR="00CF3C4D" w:rsidRPr="008640C4">
        <w:rPr>
          <w:lang w:val="en-GB"/>
        </w:rPr>
        <w:t>–</w:t>
      </w:r>
      <w:r w:rsidRPr="008640C4">
        <w:rPr>
          <w:lang w:val="en-GB"/>
        </w:rPr>
        <w:t xml:space="preserve"> because they are transported </w:t>
      </w:r>
      <w:r w:rsidR="00F069F6">
        <w:rPr>
          <w:lang w:val="en-GB"/>
        </w:rPr>
        <w:t>differentl</w:t>
      </w:r>
      <w:r w:rsidRPr="008640C4">
        <w:rPr>
          <w:lang w:val="en-GB"/>
        </w:rPr>
        <w:t>y. Their total development cost has already been presented as a monthly cost. Similarly, the rest of the packaging waste must be well prepared before it goes on sale as a secondary raw material, i.e. segregated and cleaned, which is associated with high costs of such preparation.</w:t>
      </w:r>
    </w:p>
    <w:p w14:paraId="2D86A5F0" w14:textId="77777777" w:rsidR="00370E02" w:rsidRPr="008640C4" w:rsidRDefault="00237CD4" w:rsidP="001F65EE">
      <w:pPr>
        <w:pStyle w:val="Rwnanie"/>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zs</m:t>
            </m:r>
            <m:r>
              <m:rPr>
                <m:sty m:val="p"/>
              </m:rPr>
              <w:rPr>
                <w:rFonts w:ascii="Cambria Math" w:hAnsi="Cambria Math"/>
                <w:lang w:val="en-GB"/>
              </w:rPr>
              <m:t xml:space="preserve"> </m:t>
            </m:r>
          </m:sub>
        </m:sSub>
        <m:r>
          <m:rPr>
            <m:sty m:val="p"/>
          </m:rP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ks</m:t>
                </m:r>
              </m:sub>
            </m:sSub>
            <m:r>
              <m:rPr>
                <m:sty m:val="p"/>
              </m:rPr>
              <w:rPr>
                <w:rFonts w:ascii="Cambria Math" w:hAnsi="Cambria Math"/>
                <w:lang w:val="en-GB"/>
              </w:rPr>
              <m:t>∙</m:t>
            </m:r>
            <m:r>
              <w:rPr>
                <w:rFonts w:ascii="Cambria Math" w:hAnsi="Cambria Math"/>
                <w:lang w:val="en-GB"/>
              </w:rPr>
              <m:t>O</m:t>
            </m:r>
            <m:r>
              <m:rPr>
                <m:sty m:val="p"/>
              </m:rPr>
              <w:rPr>
                <w:rFonts w:ascii="Cambria Math" w:hAnsi="Cambria Math"/>
                <w:lang w:val="en-GB"/>
              </w:rPr>
              <m:t>∙2∙</m:t>
            </m:r>
            <m:r>
              <w:rPr>
                <w:rFonts w:ascii="Cambria Math" w:hAnsi="Cambria Math"/>
                <w:lang w:val="en-GB"/>
              </w:rPr>
              <m:t>B</m:t>
            </m:r>
          </m:num>
          <m:den>
            <m:r>
              <m:rPr>
                <m:sty m:val="p"/>
              </m:rPr>
              <w:rPr>
                <w:rFonts w:ascii="Cambria Math" w:hAnsi="Cambria Math"/>
                <w:lang w:val="en-GB"/>
              </w:rPr>
              <m:t>100</m:t>
            </m:r>
          </m:den>
        </m:f>
        <m:r>
          <m:rPr>
            <m:sty m:val="p"/>
          </m:rPr>
          <w:rPr>
            <w:rFonts w:ascii="Cambria Math" w:hAnsi="Cambria Math"/>
            <w:lang w:val="en-GB"/>
          </w:rPr>
          <m:t>∙</m:t>
        </m:r>
        <m:r>
          <w:rPr>
            <w:rFonts w:ascii="Cambria Math" w:hAnsi="Cambria Math"/>
            <w:lang w:val="en-GB"/>
          </w:rPr>
          <m:t>C</m:t>
        </m:r>
        <m:r>
          <m:rPr>
            <m:sty m:val="p"/>
          </m:rPr>
          <w:rPr>
            <w:rFonts w:ascii="Cambria Math" w:hAnsi="Cambria Math"/>
            <w:lang w:val="en-GB"/>
          </w:rPr>
          <m:t>+</m:t>
        </m:r>
        <m:r>
          <w:rPr>
            <w:rFonts w:ascii="Cambria Math" w:hAnsi="Cambria Math"/>
            <w:lang w:val="en-GB"/>
          </w:rPr>
          <m:t>A</m:t>
        </m:r>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ks</m:t>
            </m:r>
          </m:sub>
        </m:sSub>
        <m:r>
          <m:rPr>
            <m:sty m:val="p"/>
          </m:rPr>
          <w:rPr>
            <w:rFonts w:ascii="Cambria Math" w:hAnsi="Cambria Math"/>
            <w:lang w:val="en-GB"/>
          </w:rPr>
          <m:t>∙</m:t>
        </m:r>
        <m:r>
          <w:rPr>
            <w:rFonts w:ascii="Cambria Math" w:hAnsi="Cambria Math"/>
            <w:lang w:val="en-GB"/>
          </w:rPr>
          <m:t>O</m:t>
        </m:r>
        <m:r>
          <m:rPr>
            <m:sty m:val="p"/>
          </m:rPr>
          <w:rPr>
            <w:rFonts w:ascii="Cambria Math" w:hAnsi="Cambria Math"/>
            <w:lang w:val="en-GB"/>
          </w:rPr>
          <m:t>∙2+</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G</m:t>
                </m:r>
              </m:e>
              <m:sub>
                <m:r>
                  <w:rPr>
                    <w:rFonts w:ascii="Cambria Math" w:hAnsi="Cambria Math"/>
                    <w:lang w:val="en-GB"/>
                  </w:rPr>
                  <m:t>r</m:t>
                </m:r>
              </m:sub>
            </m:sSub>
          </m:num>
          <m:den>
            <m:r>
              <m:rPr>
                <m:sty m:val="p"/>
              </m:rPr>
              <w:rPr>
                <w:rFonts w:ascii="Cambria Math" w:hAnsi="Cambria Math"/>
                <w:lang w:val="en-GB"/>
              </w:rPr>
              <m:t>12</m:t>
            </m:r>
          </m:den>
        </m:f>
        <m:r>
          <m:rPr>
            <m:sty m:val="p"/>
          </m:rPr>
          <w:rPr>
            <w:rFonts w:ascii="Cambria Math" w:hAnsi="Cambria Math"/>
            <w:lang w:val="en-GB"/>
          </w:rPr>
          <m:t>+</m:t>
        </m:r>
      </m:oMath>
    </w:p>
    <w:p w14:paraId="2198C28E" w14:textId="724E9A73" w:rsidR="00A876B5" w:rsidRPr="008640C4" w:rsidRDefault="00237CD4" w:rsidP="00ED13BF">
      <w:pPr>
        <w:pStyle w:val="Rwnanie"/>
        <w:tabs>
          <w:tab w:val="clear" w:pos="9072"/>
          <w:tab w:val="right" w:pos="9638"/>
        </w:tabs>
        <w:spacing w:before="120" w:after="120"/>
        <w:rPr>
          <w:lang w:val="en-GB"/>
        </w:rPr>
      </w:pPr>
      <w:r w:rsidRPr="008640C4">
        <w:rPr>
          <w:lang w:val="en-GB"/>
        </w:rPr>
        <w:tab/>
      </w:r>
      <m:oMath>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S</m:t>
            </m:r>
          </m:e>
          <m:sub>
            <m:r>
              <w:rPr>
                <w:rFonts w:ascii="Cambria Math" w:hAnsi="Cambria Math"/>
                <w:lang w:val="en-GB"/>
              </w:rPr>
              <m:t>s</m:t>
            </m:r>
          </m:sub>
        </m:sSub>
        <m:r>
          <w:rPr>
            <w:rFonts w:ascii="Cambria Math" w:hAnsi="Cambria Math"/>
            <w:lang w:val="en-GB"/>
          </w:rPr>
          <m:t>∙P∙W</m:t>
        </m:r>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n</m:t>
            </m:r>
          </m:sub>
        </m:sSub>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S</m:t>
            </m:r>
          </m:e>
          <m:sub>
            <m:r>
              <w:rPr>
                <w:rFonts w:ascii="Cambria Math" w:hAnsi="Cambria Math"/>
                <w:lang w:val="en-GB"/>
              </w:rPr>
              <m:t>k</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B</m:t>
            </m:r>
          </m:e>
          <m:sub>
            <m:r>
              <m:rPr>
                <m:sty m:val="p"/>
              </m:rPr>
              <w:rPr>
                <w:rFonts w:ascii="Cambria Math" w:hAnsi="Cambria Math"/>
                <w:lang w:val="en-GB"/>
              </w:rPr>
              <m:t>0</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O</m:t>
            </m:r>
          </m:e>
          <m:sub>
            <m:r>
              <w:rPr>
                <w:rFonts w:ascii="Cambria Math" w:hAnsi="Cambria Math"/>
                <w:lang w:val="en-GB"/>
              </w:rPr>
              <m:t>b</m:t>
            </m:r>
          </m:sub>
        </m:sSub>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13</w:t>
      </w:r>
      <w:r w:rsidR="00D81B25" w:rsidRPr="008640C4">
        <w:rPr>
          <w:noProof/>
          <w:lang w:val="en-GB"/>
        </w:rPr>
        <w:fldChar w:fldCharType="end"/>
      </w:r>
      <w:r w:rsidRPr="008640C4">
        <w:rPr>
          <w:lang w:val="en-GB"/>
        </w:rPr>
        <w:t>)</w:t>
      </w:r>
    </w:p>
    <w:p w14:paraId="7C6C774E" w14:textId="77777777" w:rsidR="00237CD4" w:rsidRPr="008640C4" w:rsidRDefault="00237CD4" w:rsidP="009E3616">
      <w:pPr>
        <w:rPr>
          <w:lang w:val="en-GB"/>
        </w:rPr>
      </w:pPr>
      <w:r w:rsidRPr="008640C4">
        <w:rPr>
          <w:lang w:val="en-GB"/>
        </w:rPr>
        <w:t>where:</w:t>
      </w:r>
    </w:p>
    <w:p w14:paraId="6829F49A" w14:textId="77777777" w:rsidR="00A876B5" w:rsidRPr="008640C4" w:rsidRDefault="00A876B5" w:rsidP="00F04983">
      <w:pPr>
        <w:rPr>
          <w:lang w:val="en-GB"/>
        </w:rPr>
      </w:pPr>
      <w:proofErr w:type="spellStart"/>
      <w:r w:rsidRPr="008640C4">
        <w:rPr>
          <w:lang w:val="en-GB"/>
        </w:rPr>
        <w:t>K</w:t>
      </w:r>
      <w:r w:rsidRPr="008640C4">
        <w:rPr>
          <w:vertAlign w:val="subscript"/>
          <w:lang w:val="en-GB"/>
        </w:rPr>
        <w:t>zs</w:t>
      </w:r>
      <w:proofErr w:type="spellEnd"/>
      <w:r w:rsidRPr="008640C4">
        <w:rPr>
          <w:lang w:val="en-GB"/>
        </w:rPr>
        <w:t xml:space="preserve"> </w:t>
      </w:r>
      <w:r w:rsidR="00ED13BF" w:rsidRPr="008640C4">
        <w:rPr>
          <w:lang w:val="en-GB"/>
        </w:rPr>
        <w:t>–</w:t>
      </w:r>
      <w:r w:rsidRPr="008640C4">
        <w:rPr>
          <w:lang w:val="en-GB"/>
        </w:rPr>
        <w:t xml:space="preserve"> the cost of ordering the collection of segregated waste</w:t>
      </w:r>
      <w:r w:rsidR="001F65EE" w:rsidRPr="008640C4">
        <w:rPr>
          <w:lang w:val="en-GB"/>
        </w:rPr>
        <w:t>,</w:t>
      </w:r>
    </w:p>
    <w:p w14:paraId="2C99AF28" w14:textId="77777777" w:rsidR="00CA6872" w:rsidRPr="008640C4" w:rsidRDefault="00CA6872" w:rsidP="00F04983">
      <w:pPr>
        <w:rPr>
          <w:lang w:val="en-GB"/>
        </w:rPr>
      </w:pPr>
      <w:r w:rsidRPr="008640C4">
        <w:rPr>
          <w:lang w:val="en-GB"/>
        </w:rPr>
        <w:t>I</w:t>
      </w:r>
      <w:r w:rsidRPr="008640C4">
        <w:rPr>
          <w:vertAlign w:val="subscript"/>
          <w:lang w:val="en-GB"/>
        </w:rPr>
        <w:t>ks</w:t>
      </w:r>
      <w:r w:rsidRPr="008640C4">
        <w:rPr>
          <w:lang w:val="en-GB"/>
        </w:rPr>
        <w:t xml:space="preserve"> </w:t>
      </w:r>
      <w:r w:rsidR="00ED13BF" w:rsidRPr="008640C4">
        <w:rPr>
          <w:lang w:val="en-GB"/>
        </w:rPr>
        <w:t>–</w:t>
      </w:r>
      <w:r w:rsidRPr="008640C4">
        <w:rPr>
          <w:lang w:val="en-GB"/>
        </w:rPr>
        <w:t xml:space="preserve"> number of trips needed to transport segregated waste</w:t>
      </w:r>
      <w:r w:rsidR="001F65EE" w:rsidRPr="008640C4">
        <w:rPr>
          <w:lang w:val="en-GB"/>
        </w:rPr>
        <w:t>,</w:t>
      </w:r>
    </w:p>
    <w:p w14:paraId="1EE16AFF" w14:textId="77777777" w:rsidR="00CA6872" w:rsidRPr="008640C4" w:rsidRDefault="00CA6872" w:rsidP="00F04983">
      <w:pPr>
        <w:rPr>
          <w:lang w:val="en-GB"/>
        </w:rPr>
      </w:pPr>
      <w:r w:rsidRPr="008640C4">
        <w:rPr>
          <w:lang w:val="en-GB"/>
        </w:rPr>
        <w:t xml:space="preserve">O </w:t>
      </w:r>
      <w:r w:rsidR="00ED13BF" w:rsidRPr="008640C4">
        <w:rPr>
          <w:lang w:val="en-GB"/>
        </w:rPr>
        <w:t>–</w:t>
      </w:r>
      <w:r w:rsidRPr="008640C4">
        <w:rPr>
          <w:lang w:val="en-GB"/>
        </w:rPr>
        <w:t xml:space="preserve"> average distance to RIPOK</w:t>
      </w:r>
      <w:r w:rsidR="001F65EE" w:rsidRPr="008640C4">
        <w:rPr>
          <w:lang w:val="en-GB"/>
        </w:rPr>
        <w:t>,</w:t>
      </w:r>
    </w:p>
    <w:p w14:paraId="48D28DD4" w14:textId="77777777" w:rsidR="00CA6872" w:rsidRPr="008640C4" w:rsidRDefault="00CA6872" w:rsidP="00F04983">
      <w:pPr>
        <w:rPr>
          <w:lang w:val="en-GB"/>
        </w:rPr>
      </w:pPr>
      <w:r w:rsidRPr="008640C4">
        <w:rPr>
          <w:lang w:val="en-GB"/>
        </w:rPr>
        <w:t xml:space="preserve">B </w:t>
      </w:r>
      <w:r w:rsidR="00ED13BF" w:rsidRPr="008640C4">
        <w:rPr>
          <w:lang w:val="en-GB"/>
        </w:rPr>
        <w:t>–</w:t>
      </w:r>
      <w:r w:rsidRPr="008640C4">
        <w:rPr>
          <w:lang w:val="en-GB"/>
        </w:rPr>
        <w:t xml:space="preserve"> fuel consumption per 100 </w:t>
      </w:r>
      <w:r w:rsidR="001F65EE" w:rsidRPr="008640C4">
        <w:rPr>
          <w:lang w:val="en-GB"/>
        </w:rPr>
        <w:t>[</w:t>
      </w:r>
      <w:r w:rsidRPr="008640C4">
        <w:rPr>
          <w:lang w:val="en-GB"/>
        </w:rPr>
        <w:t>km</w:t>
      </w:r>
      <w:r w:rsidR="001F65EE" w:rsidRPr="008640C4">
        <w:rPr>
          <w:lang w:val="en-GB"/>
        </w:rPr>
        <w:t>],</w:t>
      </w:r>
    </w:p>
    <w:p w14:paraId="5097EC02" w14:textId="77777777" w:rsidR="00CA6872" w:rsidRPr="008640C4" w:rsidRDefault="00CA6872" w:rsidP="00F04983">
      <w:pPr>
        <w:rPr>
          <w:lang w:val="en-GB"/>
        </w:rPr>
      </w:pPr>
      <w:r w:rsidRPr="008640C4">
        <w:rPr>
          <w:lang w:val="en-GB"/>
        </w:rPr>
        <w:lastRenderedPageBreak/>
        <w:t xml:space="preserve">C </w:t>
      </w:r>
      <w:r w:rsidR="00ED13BF" w:rsidRPr="008640C4">
        <w:rPr>
          <w:lang w:val="en-GB"/>
        </w:rPr>
        <w:t>–</w:t>
      </w:r>
      <w:r w:rsidRPr="008640C4">
        <w:rPr>
          <w:lang w:val="en-GB"/>
        </w:rPr>
        <w:t xml:space="preserve"> fuel price</w:t>
      </w:r>
      <w:r w:rsidR="001F65EE" w:rsidRPr="008640C4">
        <w:rPr>
          <w:lang w:val="en-GB"/>
        </w:rPr>
        <w:t>,</w:t>
      </w:r>
    </w:p>
    <w:p w14:paraId="6F45FB70" w14:textId="77777777" w:rsidR="00CA6872" w:rsidRPr="008640C4" w:rsidRDefault="00CA6872" w:rsidP="00F04983">
      <w:pPr>
        <w:rPr>
          <w:lang w:val="en-GB"/>
        </w:rPr>
      </w:pPr>
      <w:r w:rsidRPr="008640C4">
        <w:rPr>
          <w:lang w:val="en-GB"/>
        </w:rPr>
        <w:t xml:space="preserve">A </w:t>
      </w:r>
      <w:r w:rsidR="001F65EE" w:rsidRPr="008640C4">
        <w:rPr>
          <w:lang w:val="en-GB"/>
        </w:rPr>
        <w:t>–</w:t>
      </w:r>
      <w:r w:rsidRPr="008640C4">
        <w:rPr>
          <w:lang w:val="en-GB"/>
        </w:rPr>
        <w:t xml:space="preserve"> amorti</w:t>
      </w:r>
      <w:r w:rsidR="001F3921">
        <w:rPr>
          <w:lang w:val="en-GB"/>
        </w:rPr>
        <w:t>s</w:t>
      </w:r>
      <w:r w:rsidRPr="008640C4">
        <w:rPr>
          <w:lang w:val="en-GB"/>
        </w:rPr>
        <w:t>ation</w:t>
      </w:r>
      <w:r w:rsidR="001F65EE" w:rsidRPr="008640C4">
        <w:rPr>
          <w:lang w:val="en-GB"/>
        </w:rPr>
        <w:t>,</w:t>
      </w:r>
    </w:p>
    <w:p w14:paraId="6ACBFB69" w14:textId="77777777" w:rsidR="00387DDE" w:rsidRPr="008640C4" w:rsidRDefault="00387DDE" w:rsidP="00F04983">
      <w:pPr>
        <w:rPr>
          <w:lang w:val="en-GB"/>
        </w:rPr>
      </w:pPr>
      <w:r w:rsidRPr="008640C4">
        <w:rPr>
          <w:lang w:val="en-GB"/>
        </w:rPr>
        <w:t>G</w:t>
      </w:r>
      <w:r w:rsidRPr="008640C4">
        <w:rPr>
          <w:vertAlign w:val="subscript"/>
          <w:lang w:val="en-GB"/>
        </w:rPr>
        <w:t>r</w:t>
      </w:r>
      <w:r w:rsidRPr="008640C4">
        <w:rPr>
          <w:lang w:val="en-GB"/>
        </w:rPr>
        <w:t xml:space="preserve"> </w:t>
      </w:r>
      <w:r w:rsidR="00ED13BF" w:rsidRPr="008640C4">
        <w:rPr>
          <w:lang w:val="en-GB"/>
        </w:rPr>
        <w:t>–</w:t>
      </w:r>
      <w:r w:rsidRPr="008640C4">
        <w:rPr>
          <w:lang w:val="en-GB"/>
        </w:rPr>
        <w:t xml:space="preserve"> annual cost of managing waste such as rubble, etc.</w:t>
      </w:r>
      <w:r w:rsidR="001F65EE" w:rsidRPr="008640C4">
        <w:rPr>
          <w:lang w:val="en-GB"/>
        </w:rPr>
        <w:t>,</w:t>
      </w:r>
    </w:p>
    <w:p w14:paraId="2E78D193" w14:textId="77777777" w:rsidR="00387DDE" w:rsidRPr="008640C4" w:rsidRDefault="00387DDE" w:rsidP="00F04983">
      <w:pPr>
        <w:rPr>
          <w:lang w:val="en-GB"/>
        </w:rPr>
      </w:pPr>
      <w:r w:rsidRPr="008640C4">
        <w:rPr>
          <w:lang w:val="en-GB"/>
        </w:rPr>
        <w:t>S</w:t>
      </w:r>
      <w:r w:rsidRPr="008640C4">
        <w:rPr>
          <w:vertAlign w:val="subscript"/>
          <w:lang w:val="en-GB"/>
        </w:rPr>
        <w:t>s</w:t>
      </w:r>
      <w:r w:rsidRPr="008640C4">
        <w:rPr>
          <w:lang w:val="en-GB"/>
        </w:rPr>
        <w:t xml:space="preserve"> </w:t>
      </w:r>
      <w:r w:rsidR="00ED13BF" w:rsidRPr="008640C4">
        <w:rPr>
          <w:lang w:val="en-GB"/>
        </w:rPr>
        <w:t>–</w:t>
      </w:r>
      <w:r w:rsidRPr="008640C4">
        <w:rPr>
          <w:lang w:val="en-GB"/>
        </w:rPr>
        <w:t xml:space="preserve"> number of cars for selective collection</w:t>
      </w:r>
      <w:r w:rsidR="001F65EE" w:rsidRPr="008640C4">
        <w:rPr>
          <w:lang w:val="en-GB"/>
        </w:rPr>
        <w:t>,</w:t>
      </w:r>
    </w:p>
    <w:p w14:paraId="6C0CB391" w14:textId="77777777" w:rsidR="006218B4" w:rsidRPr="008640C4" w:rsidRDefault="006218B4" w:rsidP="00F04983">
      <w:pPr>
        <w:rPr>
          <w:lang w:val="en-GB"/>
        </w:rPr>
      </w:pPr>
      <w:r w:rsidRPr="008640C4">
        <w:rPr>
          <w:lang w:val="en-GB"/>
        </w:rPr>
        <w:t xml:space="preserve">P </w:t>
      </w:r>
      <w:r w:rsidR="00ED13BF" w:rsidRPr="008640C4">
        <w:rPr>
          <w:lang w:val="en-GB"/>
        </w:rPr>
        <w:t>–</w:t>
      </w:r>
      <w:r w:rsidRPr="008640C4">
        <w:rPr>
          <w:lang w:val="en-GB"/>
        </w:rPr>
        <w:t xml:space="preserve"> number of employees per 1 car</w:t>
      </w:r>
      <w:r w:rsidR="001F65EE" w:rsidRPr="008640C4">
        <w:rPr>
          <w:lang w:val="en-GB"/>
        </w:rPr>
        <w:t>,</w:t>
      </w:r>
    </w:p>
    <w:p w14:paraId="3E51A03C" w14:textId="77777777" w:rsidR="006218B4" w:rsidRPr="008640C4" w:rsidRDefault="006218B4" w:rsidP="00F04983">
      <w:pPr>
        <w:rPr>
          <w:lang w:val="en-GB"/>
        </w:rPr>
      </w:pPr>
      <w:r w:rsidRPr="008640C4">
        <w:rPr>
          <w:lang w:val="en-GB"/>
        </w:rPr>
        <w:t xml:space="preserve">W </w:t>
      </w:r>
      <w:r w:rsidR="00ED13BF" w:rsidRPr="008640C4">
        <w:rPr>
          <w:lang w:val="en-GB"/>
        </w:rPr>
        <w:t>–</w:t>
      </w:r>
      <w:r w:rsidRPr="008640C4">
        <w:rPr>
          <w:lang w:val="en-GB"/>
        </w:rPr>
        <w:t xml:space="preserve"> employee's monthly wage</w:t>
      </w:r>
      <w:r w:rsidR="001F65EE" w:rsidRPr="008640C4">
        <w:rPr>
          <w:lang w:val="en-GB"/>
        </w:rPr>
        <w:t>,</w:t>
      </w:r>
    </w:p>
    <w:p w14:paraId="5C7D00A0" w14:textId="77777777" w:rsidR="00387DDE" w:rsidRPr="008640C4" w:rsidRDefault="00387DDE" w:rsidP="00F04983">
      <w:pPr>
        <w:rPr>
          <w:lang w:val="en-GB"/>
        </w:rPr>
      </w:pPr>
      <w:r w:rsidRPr="008640C4">
        <w:rPr>
          <w:lang w:val="en-GB"/>
        </w:rPr>
        <w:t>I</w:t>
      </w:r>
      <w:r w:rsidRPr="008640C4">
        <w:rPr>
          <w:vertAlign w:val="subscript"/>
          <w:lang w:val="en-GB"/>
        </w:rPr>
        <w:t>n</w:t>
      </w:r>
      <w:r w:rsidRPr="008640C4">
        <w:rPr>
          <w:lang w:val="en-GB"/>
        </w:rPr>
        <w:t xml:space="preserve"> </w:t>
      </w:r>
      <w:r w:rsidR="00ED13BF" w:rsidRPr="008640C4">
        <w:rPr>
          <w:lang w:val="en-GB"/>
        </w:rPr>
        <w:t>–</w:t>
      </w:r>
      <w:r w:rsidRPr="008640C4">
        <w:rPr>
          <w:lang w:val="en-GB"/>
        </w:rPr>
        <w:t xml:space="preserve"> monthly cost of intervention collections</w:t>
      </w:r>
      <w:r w:rsidR="001F65EE" w:rsidRPr="008640C4">
        <w:rPr>
          <w:lang w:val="en-GB"/>
        </w:rPr>
        <w:t>,</w:t>
      </w:r>
    </w:p>
    <w:p w14:paraId="428DEA5E" w14:textId="77777777" w:rsidR="00E27A52" w:rsidRPr="008640C4" w:rsidRDefault="00454FCF" w:rsidP="00F04983">
      <w:pPr>
        <w:rPr>
          <w:lang w:val="en-GB"/>
        </w:rPr>
      </w:pPr>
      <w:r w:rsidRPr="008640C4">
        <w:rPr>
          <w:lang w:val="en-GB"/>
        </w:rPr>
        <w:t xml:space="preserve">T </w:t>
      </w:r>
      <w:r w:rsidR="00ED13BF" w:rsidRPr="008640C4">
        <w:rPr>
          <w:lang w:val="en-GB"/>
        </w:rPr>
        <w:t>–</w:t>
      </w:r>
      <w:r w:rsidRPr="008640C4">
        <w:rPr>
          <w:lang w:val="en-GB"/>
        </w:rPr>
        <w:t xml:space="preserve"> monthly cost of treating plastics and waste paper</w:t>
      </w:r>
      <w:r w:rsidR="001F65EE" w:rsidRPr="008640C4">
        <w:rPr>
          <w:lang w:val="en-GB"/>
        </w:rPr>
        <w:t>,</w:t>
      </w:r>
    </w:p>
    <w:p w14:paraId="5964F5BC" w14:textId="77777777" w:rsidR="00E27A52" w:rsidRPr="008640C4" w:rsidRDefault="00454FCF" w:rsidP="00F04983">
      <w:pPr>
        <w:rPr>
          <w:lang w:val="en-GB"/>
        </w:rPr>
      </w:pPr>
      <w:r w:rsidRPr="008640C4">
        <w:rPr>
          <w:lang w:val="en-GB"/>
        </w:rPr>
        <w:t>S</w:t>
      </w:r>
      <w:r w:rsidRPr="008640C4">
        <w:rPr>
          <w:vertAlign w:val="subscript"/>
          <w:lang w:val="en-GB"/>
        </w:rPr>
        <w:t>k</w:t>
      </w:r>
      <w:r w:rsidRPr="008640C4">
        <w:rPr>
          <w:lang w:val="en-GB"/>
        </w:rPr>
        <w:t xml:space="preserve"> </w:t>
      </w:r>
      <w:r w:rsidR="00ED13BF" w:rsidRPr="008640C4">
        <w:rPr>
          <w:lang w:val="en-GB"/>
        </w:rPr>
        <w:t>–</w:t>
      </w:r>
      <w:r w:rsidRPr="008640C4">
        <w:rPr>
          <w:lang w:val="en-GB"/>
        </w:rPr>
        <w:t xml:space="preserve"> monthly cost of glass preparation</w:t>
      </w:r>
      <w:r w:rsidR="001F65EE" w:rsidRPr="008640C4">
        <w:rPr>
          <w:lang w:val="en-GB"/>
        </w:rPr>
        <w:t>,</w:t>
      </w:r>
    </w:p>
    <w:p w14:paraId="1134021E" w14:textId="77777777" w:rsidR="00387DDE" w:rsidRPr="008640C4" w:rsidRDefault="00387DDE" w:rsidP="00F04983">
      <w:pPr>
        <w:rPr>
          <w:lang w:val="en-GB"/>
        </w:rPr>
      </w:pPr>
      <w:r w:rsidRPr="008640C4">
        <w:rPr>
          <w:lang w:val="en-GB"/>
        </w:rPr>
        <w:t>B</w:t>
      </w:r>
      <w:r w:rsidRPr="008640C4">
        <w:rPr>
          <w:vertAlign w:val="subscript"/>
          <w:lang w:val="en-GB"/>
        </w:rPr>
        <w:t>o</w:t>
      </w:r>
      <w:r w:rsidRPr="008640C4">
        <w:rPr>
          <w:lang w:val="en-GB"/>
        </w:rPr>
        <w:t xml:space="preserve"> </w:t>
      </w:r>
      <w:r w:rsidR="00ED13BF" w:rsidRPr="008640C4">
        <w:rPr>
          <w:lang w:val="en-GB"/>
        </w:rPr>
        <w:t>–</w:t>
      </w:r>
      <w:r w:rsidRPr="008640C4">
        <w:rPr>
          <w:lang w:val="en-GB"/>
        </w:rPr>
        <w:t xml:space="preserve"> BIO waste management fee</w:t>
      </w:r>
      <w:r w:rsidR="001F65EE" w:rsidRPr="008640C4">
        <w:rPr>
          <w:lang w:val="en-GB"/>
        </w:rPr>
        <w:t>,</w:t>
      </w:r>
    </w:p>
    <w:p w14:paraId="1342040E" w14:textId="77777777" w:rsidR="006019F7" w:rsidRPr="008640C4" w:rsidRDefault="006019F7" w:rsidP="00F04983">
      <w:pPr>
        <w:rPr>
          <w:lang w:val="en-GB"/>
        </w:rPr>
      </w:pPr>
      <w:r w:rsidRPr="008640C4">
        <w:rPr>
          <w:lang w:val="en-GB"/>
        </w:rPr>
        <w:t>O</w:t>
      </w:r>
      <w:r w:rsidRPr="008640C4">
        <w:rPr>
          <w:vertAlign w:val="subscript"/>
          <w:lang w:val="en-GB"/>
        </w:rPr>
        <w:t>b</w:t>
      </w:r>
      <w:r w:rsidRPr="008640C4">
        <w:rPr>
          <w:lang w:val="en-GB"/>
        </w:rPr>
        <w:t xml:space="preserve"> </w:t>
      </w:r>
      <w:r w:rsidR="00ED13BF" w:rsidRPr="008640C4">
        <w:rPr>
          <w:lang w:val="en-GB"/>
        </w:rPr>
        <w:t>–</w:t>
      </w:r>
      <w:r w:rsidRPr="008640C4">
        <w:rPr>
          <w:lang w:val="en-GB"/>
        </w:rPr>
        <w:t xml:space="preserve"> amount of recovered BIO fraction</w:t>
      </w:r>
      <w:r w:rsidR="001F65EE" w:rsidRPr="008640C4">
        <w:rPr>
          <w:lang w:val="en-GB"/>
        </w:rPr>
        <w:t>.</w:t>
      </w:r>
    </w:p>
    <w:p w14:paraId="66A247AE" w14:textId="77777777" w:rsidR="00ED13BF" w:rsidRPr="008640C4" w:rsidRDefault="00ED13BF" w:rsidP="001F65EE">
      <w:pPr>
        <w:ind w:firstLine="709"/>
        <w:rPr>
          <w:lang w:val="en-GB"/>
        </w:rPr>
      </w:pPr>
    </w:p>
    <w:p w14:paraId="7AA4B9B2" w14:textId="77777777" w:rsidR="42CCCD8F" w:rsidRPr="008640C4" w:rsidRDefault="00CD2C31" w:rsidP="001F65EE">
      <w:pPr>
        <w:ind w:firstLine="709"/>
        <w:rPr>
          <w:color w:val="000000"/>
          <w:lang w:val="en-GB"/>
        </w:rPr>
      </w:pPr>
      <w:r w:rsidRPr="008640C4">
        <w:rPr>
          <w:lang w:val="en-GB"/>
        </w:rPr>
        <w:t>Some of the sorted waste will not be used as secondary raw material. Residues after sorting in the north-central region go to RIPOK-1</w:t>
      </w:r>
      <w:r w:rsidRPr="008640C4">
        <w:rPr>
          <w:color w:val="000000"/>
          <w:lang w:val="en-GB"/>
        </w:rPr>
        <w:t xml:space="preserve">. Waste is delivered to the installation </w:t>
      </w:r>
      <w:r w:rsidR="00F069F6">
        <w:rPr>
          <w:color w:val="000000"/>
          <w:lang w:val="en-GB"/>
        </w:rPr>
        <w:t>and coded as 19 12 12, i.e., waste from mechanical treatment (e.g.,</w:t>
      </w:r>
      <w:r w:rsidRPr="008640C4">
        <w:rPr>
          <w:color w:val="000000"/>
          <w:lang w:val="en-GB"/>
        </w:rPr>
        <w:t xml:space="preserve"> sorting, crushing, granulating). The average cost of storing such waste is PLN 329.10 per Mg. The above cost of storing the rest of the waste, which can be calculated by multiplying the amount of residues from each fraction </w:t>
      </w:r>
      <w:r w:rsidR="00F069F6">
        <w:rPr>
          <w:color w:val="000000"/>
          <w:lang w:val="en-GB"/>
        </w:rPr>
        <w:t>un</w:t>
      </w:r>
      <w:r w:rsidRPr="008640C4">
        <w:rPr>
          <w:color w:val="000000"/>
          <w:lang w:val="en-GB"/>
        </w:rPr>
        <w:t>suitable for recycling times the rate for storing the sorted waste, should be added to the previously calculated costs. The profit margin must be added to this, as well as overhead costs and, similarly to mixed waste, 40% of the costs covered by the companies should be subtracted from this sum (1</w:t>
      </w:r>
      <w:r w:rsidR="00324570" w:rsidRPr="008640C4">
        <w:rPr>
          <w:color w:val="000000"/>
          <w:lang w:val="en-GB"/>
        </w:rPr>
        <w:t>4</w:t>
      </w:r>
      <w:r w:rsidRPr="008640C4">
        <w:rPr>
          <w:color w:val="000000"/>
          <w:lang w:val="en-GB"/>
        </w:rPr>
        <w:t>).</w:t>
      </w:r>
    </w:p>
    <w:p w14:paraId="1C74D98D" w14:textId="0358FFAC" w:rsidR="00707FB3" w:rsidRPr="008640C4" w:rsidRDefault="00237CD4"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cs</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zs</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zs</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M</m:t>
            </m:r>
          </m:e>
          <m:sub>
            <m:r>
              <w:rPr>
                <w:rFonts w:ascii="Cambria Math" w:hAnsi="Cambria Math"/>
                <w:lang w:val="en-GB"/>
              </w:rPr>
              <m:t>z</m:t>
            </m:r>
          </m:sub>
        </m:sSub>
        <m:r>
          <m:rPr>
            <m:sty m:val="p"/>
          </m:rP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S</m:t>
                </m:r>
              </m:e>
              <m:sub>
                <m:r>
                  <w:rPr>
                    <w:rFonts w:ascii="Cambria Math" w:hAnsi="Cambria Math"/>
                    <w:lang w:val="en-GB"/>
                  </w:rPr>
                  <m:t>r</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B</m:t>
                </m:r>
              </m:e>
              <m:sub>
                <m:r>
                  <w:rPr>
                    <w:rFonts w:ascii="Cambria Math" w:hAnsi="Cambria Math"/>
                    <w:lang w:val="en-GB"/>
                  </w:rPr>
                  <m:t>o</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S</m:t>
                </m:r>
              </m:e>
              <m:sub>
                <m:r>
                  <w:rPr>
                    <w:rFonts w:ascii="Cambria Math" w:hAnsi="Cambria Math"/>
                    <w:lang w:val="en-GB"/>
                  </w:rPr>
                  <m:t>k</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O</m:t>
                </m:r>
              </m:e>
              <m:sub>
                <m:r>
                  <w:rPr>
                    <w:rFonts w:ascii="Cambria Math" w:hAnsi="Cambria Math"/>
                    <w:lang w:val="en-GB"/>
                  </w:rPr>
                  <m:t>g</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d</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w</m:t>
                </m:r>
              </m:sub>
            </m:sSub>
          </m:num>
          <m:den>
            <m:r>
              <m:rPr>
                <m:sty m:val="p"/>
              </m:rPr>
              <w:rPr>
                <w:rFonts w:ascii="Cambria Math" w:hAnsi="Cambria Math"/>
                <w:lang w:val="en-GB"/>
              </w:rPr>
              <m:t>12</m:t>
            </m:r>
          </m:den>
        </m:f>
        <m:r>
          <w:rPr>
            <w:rFonts w:ascii="Cambria Math" w:hAnsi="Cambria Math"/>
            <w:lang w:val="en-GB"/>
          </w:rPr>
          <m:t>∙</m:t>
        </m:r>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se</m:t>
            </m:r>
          </m:sub>
        </m:sSub>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L</m:t>
            </m:r>
            <m:r>
              <m:rPr>
                <m:sty m:val="p"/>
              </m:rPr>
              <w:rPr>
                <w:rFonts w:ascii="Cambria Math" w:hAnsi="Cambria Math"/>
                <w:lang w:val="en-GB"/>
              </w:rPr>
              <m:t>+</m:t>
            </m:r>
            <m:r>
              <w:rPr>
                <w:rFonts w:ascii="Cambria Math" w:hAnsi="Cambria Math"/>
                <w:lang w:val="en-GB"/>
              </w:rPr>
              <m:t>M∙R</m:t>
            </m:r>
          </m:num>
          <m:den>
            <m:r>
              <m:rPr>
                <m:sty m:val="p"/>
              </m:rPr>
              <w:rPr>
                <w:rFonts w:ascii="Cambria Math" w:hAnsi="Cambria Math"/>
                <w:lang w:val="en-GB"/>
              </w:rPr>
              <m:t>12</m:t>
            </m:r>
          </m:den>
        </m:f>
        <m:r>
          <m:rPr>
            <m:sty m:val="p"/>
          </m:rPr>
          <w:rPr>
            <w:rFonts w:ascii="Cambria Math" w:hAnsi="Cambria Math"/>
            <w:lang w:val="en-GB"/>
          </w:rPr>
          <m:t>)</m:t>
        </m:r>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m</m:t>
            </m:r>
          </m:sub>
        </m:sSub>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14</w:t>
      </w:r>
      <w:r w:rsidR="00D81B25" w:rsidRPr="008640C4">
        <w:rPr>
          <w:noProof/>
          <w:lang w:val="en-GB"/>
        </w:rPr>
        <w:fldChar w:fldCharType="end"/>
      </w:r>
      <w:r w:rsidRPr="008640C4">
        <w:rPr>
          <w:lang w:val="en-GB"/>
        </w:rPr>
        <w:t>)</w:t>
      </w:r>
    </w:p>
    <w:p w14:paraId="49CAC1AD" w14:textId="77777777" w:rsidR="00237CD4" w:rsidRPr="008640C4" w:rsidRDefault="00237CD4" w:rsidP="009E3616">
      <w:pPr>
        <w:rPr>
          <w:lang w:val="en-GB"/>
        </w:rPr>
      </w:pPr>
      <w:r w:rsidRPr="008640C4">
        <w:rPr>
          <w:lang w:val="en-GB"/>
        </w:rPr>
        <w:t>where:</w:t>
      </w:r>
    </w:p>
    <w:p w14:paraId="0274E052" w14:textId="77777777" w:rsidR="00237CD4" w:rsidRPr="008640C4" w:rsidRDefault="00F6784E" w:rsidP="009E3616">
      <w:pPr>
        <w:rPr>
          <w:lang w:val="en-GB"/>
        </w:rPr>
      </w:pPr>
      <w:proofErr w:type="spellStart"/>
      <w:r w:rsidRPr="008640C4">
        <w:rPr>
          <w:lang w:val="en-GB"/>
        </w:rPr>
        <w:t>M</w:t>
      </w:r>
      <w:r w:rsidRPr="008640C4">
        <w:rPr>
          <w:vertAlign w:val="subscript"/>
          <w:lang w:val="en-GB"/>
        </w:rPr>
        <w:t>z</w:t>
      </w:r>
      <w:proofErr w:type="spellEnd"/>
      <w:r w:rsidRPr="008640C4">
        <w:rPr>
          <w:lang w:val="en-GB"/>
        </w:rPr>
        <w:t xml:space="preserve"> </w:t>
      </w:r>
      <w:r w:rsidR="00ED13BF" w:rsidRPr="008640C4">
        <w:rPr>
          <w:lang w:val="en-GB"/>
        </w:rPr>
        <w:t>–</w:t>
      </w:r>
      <w:r w:rsidR="00664385" w:rsidRPr="008640C4">
        <w:rPr>
          <w:lang w:val="en-GB"/>
        </w:rPr>
        <w:t xml:space="preserve"> </w:t>
      </w:r>
      <w:r w:rsidRPr="008640C4">
        <w:rPr>
          <w:lang w:val="en-GB"/>
        </w:rPr>
        <w:t>denotes the % profit margin,</w:t>
      </w:r>
    </w:p>
    <w:p w14:paraId="58CE4E6E" w14:textId="77777777" w:rsidR="00237CD4" w:rsidRPr="008640C4" w:rsidRDefault="00F6784E" w:rsidP="009E3616">
      <w:pPr>
        <w:rPr>
          <w:lang w:val="en-GB"/>
        </w:rPr>
      </w:pPr>
      <w:proofErr w:type="spellStart"/>
      <w:r w:rsidRPr="008640C4">
        <w:rPr>
          <w:lang w:val="en-GB"/>
        </w:rPr>
        <w:t>P</w:t>
      </w:r>
      <w:r w:rsidRPr="008640C4">
        <w:rPr>
          <w:vertAlign w:val="subscript"/>
          <w:lang w:val="en-GB"/>
        </w:rPr>
        <w:t>se</w:t>
      </w:r>
      <w:proofErr w:type="spellEnd"/>
      <w:r w:rsidRPr="008640C4">
        <w:rPr>
          <w:lang w:val="en-GB"/>
        </w:rPr>
        <w:t xml:space="preserve"> </w:t>
      </w:r>
      <w:r w:rsidR="00ED13BF" w:rsidRPr="008640C4">
        <w:rPr>
          <w:lang w:val="en-GB"/>
        </w:rPr>
        <w:t>–</w:t>
      </w:r>
      <w:r w:rsidRPr="008640C4">
        <w:rPr>
          <w:lang w:val="en-GB"/>
        </w:rPr>
        <w:t xml:space="preserve"> % share of segregated waste,</w:t>
      </w:r>
    </w:p>
    <w:p w14:paraId="7DA3A4FB" w14:textId="77777777" w:rsidR="00237CD4" w:rsidRPr="008640C4" w:rsidRDefault="00F6784E" w:rsidP="009E3616">
      <w:pPr>
        <w:rPr>
          <w:lang w:val="en-GB"/>
        </w:rPr>
      </w:pPr>
      <w:r w:rsidRPr="008640C4">
        <w:rPr>
          <w:lang w:val="en-GB"/>
        </w:rPr>
        <w:t xml:space="preserve">M </w:t>
      </w:r>
      <w:r w:rsidR="00ED13BF" w:rsidRPr="008640C4">
        <w:rPr>
          <w:lang w:val="en-GB"/>
        </w:rPr>
        <w:t>–</w:t>
      </w:r>
      <w:r w:rsidR="00664385" w:rsidRPr="008640C4">
        <w:rPr>
          <w:lang w:val="en-GB"/>
        </w:rPr>
        <w:t xml:space="preserve"> </w:t>
      </w:r>
      <w:r w:rsidRPr="008640C4">
        <w:rPr>
          <w:lang w:val="en-GB"/>
        </w:rPr>
        <w:t>administrative fee,</w:t>
      </w:r>
    </w:p>
    <w:p w14:paraId="09FD2BEB" w14:textId="77777777" w:rsidR="00237CD4" w:rsidRPr="008640C4" w:rsidRDefault="00F6784E" w:rsidP="009E3616">
      <w:pPr>
        <w:rPr>
          <w:lang w:val="en-GB"/>
        </w:rPr>
      </w:pPr>
      <w:r w:rsidRPr="008640C4">
        <w:rPr>
          <w:lang w:val="en-GB"/>
        </w:rPr>
        <w:t xml:space="preserve">R </w:t>
      </w:r>
      <w:r w:rsidR="00ED13BF" w:rsidRPr="008640C4">
        <w:rPr>
          <w:lang w:val="en-GB"/>
        </w:rPr>
        <w:t>–</w:t>
      </w:r>
      <w:r w:rsidRPr="008640C4">
        <w:rPr>
          <w:lang w:val="en-GB"/>
        </w:rPr>
        <w:t xml:space="preserve"> the amount of sorted waste going to the landfill and the costs of: S</w:t>
      </w:r>
      <w:r w:rsidRPr="008640C4">
        <w:rPr>
          <w:vertAlign w:val="subscript"/>
          <w:lang w:val="en-GB"/>
        </w:rPr>
        <w:t>r</w:t>
      </w:r>
      <w:r w:rsidRPr="008640C4">
        <w:rPr>
          <w:lang w:val="en-GB"/>
        </w:rPr>
        <w:t xml:space="preserve"> maintaining the sorting plant,</w:t>
      </w:r>
    </w:p>
    <w:p w14:paraId="508A9E3A" w14:textId="77777777" w:rsidR="00237CD4" w:rsidRPr="008640C4" w:rsidRDefault="00F6784E" w:rsidP="009E3616">
      <w:pPr>
        <w:rPr>
          <w:lang w:val="en-GB"/>
        </w:rPr>
      </w:pPr>
      <w:r w:rsidRPr="008640C4">
        <w:rPr>
          <w:lang w:val="en-GB"/>
        </w:rPr>
        <w:t>B</w:t>
      </w:r>
      <w:r w:rsidRPr="008640C4">
        <w:rPr>
          <w:vertAlign w:val="subscript"/>
          <w:lang w:val="en-GB"/>
        </w:rPr>
        <w:t>o</w:t>
      </w:r>
      <w:r w:rsidRPr="008640C4">
        <w:rPr>
          <w:lang w:val="en-GB"/>
        </w:rPr>
        <w:t xml:space="preserve"> </w:t>
      </w:r>
      <w:r w:rsidR="00ED13BF" w:rsidRPr="008640C4">
        <w:rPr>
          <w:lang w:val="en-GB"/>
        </w:rPr>
        <w:t>–</w:t>
      </w:r>
      <w:r w:rsidR="00664385" w:rsidRPr="008640C4">
        <w:rPr>
          <w:lang w:val="en-GB"/>
        </w:rPr>
        <w:t xml:space="preserve"> </w:t>
      </w:r>
      <w:r w:rsidRPr="008640C4">
        <w:rPr>
          <w:lang w:val="en-GB"/>
        </w:rPr>
        <w:t>maintaining the BIO installation,</w:t>
      </w:r>
    </w:p>
    <w:p w14:paraId="70E4F853" w14:textId="77777777" w:rsidR="00237CD4" w:rsidRPr="008640C4" w:rsidRDefault="00F6784E" w:rsidP="009E3616">
      <w:pPr>
        <w:rPr>
          <w:lang w:val="en-GB"/>
        </w:rPr>
      </w:pPr>
      <w:proofErr w:type="spellStart"/>
      <w:r w:rsidRPr="008640C4">
        <w:rPr>
          <w:lang w:val="en-GB"/>
        </w:rPr>
        <w:t>S</w:t>
      </w:r>
      <w:r w:rsidRPr="008640C4">
        <w:rPr>
          <w:vertAlign w:val="subscript"/>
          <w:lang w:val="en-GB"/>
        </w:rPr>
        <w:t>k</w:t>
      </w:r>
      <w:proofErr w:type="spellEnd"/>
      <w:r w:rsidRPr="008640C4">
        <w:rPr>
          <w:lang w:val="en-GB"/>
        </w:rPr>
        <w:t xml:space="preserve"> </w:t>
      </w:r>
      <w:r w:rsidR="00ED13BF" w:rsidRPr="008640C4">
        <w:rPr>
          <w:lang w:val="en-GB"/>
        </w:rPr>
        <w:t>–</w:t>
      </w:r>
      <w:r w:rsidR="00664385" w:rsidRPr="008640C4">
        <w:rPr>
          <w:lang w:val="en-GB"/>
        </w:rPr>
        <w:t xml:space="preserve"> </w:t>
      </w:r>
      <w:r w:rsidRPr="008640C4">
        <w:rPr>
          <w:lang w:val="en-GB"/>
        </w:rPr>
        <w:t>maintaining the landfill,</w:t>
      </w:r>
    </w:p>
    <w:p w14:paraId="1B177F84" w14:textId="77777777" w:rsidR="00237CD4" w:rsidRPr="008640C4" w:rsidRDefault="00F6784E" w:rsidP="009E3616">
      <w:pPr>
        <w:rPr>
          <w:lang w:val="en-GB"/>
        </w:rPr>
      </w:pPr>
      <w:r w:rsidRPr="008640C4">
        <w:rPr>
          <w:lang w:val="en-GB"/>
        </w:rPr>
        <w:t>O</w:t>
      </w:r>
      <w:r w:rsidRPr="008640C4">
        <w:rPr>
          <w:vertAlign w:val="subscript"/>
          <w:lang w:val="en-GB"/>
        </w:rPr>
        <w:t>g</w:t>
      </w:r>
      <w:r w:rsidRPr="008640C4">
        <w:rPr>
          <w:lang w:val="en-GB"/>
        </w:rPr>
        <w:t xml:space="preserve"> </w:t>
      </w:r>
      <w:r w:rsidR="00ED13BF" w:rsidRPr="008640C4">
        <w:rPr>
          <w:lang w:val="en-GB"/>
        </w:rPr>
        <w:t>–</w:t>
      </w:r>
      <w:r w:rsidR="00664385" w:rsidRPr="008640C4">
        <w:rPr>
          <w:lang w:val="en-GB"/>
        </w:rPr>
        <w:t xml:space="preserve"> </w:t>
      </w:r>
      <w:r w:rsidRPr="008640C4">
        <w:rPr>
          <w:lang w:val="en-GB"/>
        </w:rPr>
        <w:t>overhead,</w:t>
      </w:r>
    </w:p>
    <w:p w14:paraId="6F83AC10" w14:textId="77777777" w:rsidR="00237CD4" w:rsidRPr="008640C4" w:rsidRDefault="00F6784E" w:rsidP="009E3616">
      <w:pPr>
        <w:rPr>
          <w:lang w:val="en-GB"/>
        </w:rPr>
      </w:pPr>
      <w:r w:rsidRPr="008640C4">
        <w:rPr>
          <w:lang w:val="en-GB"/>
        </w:rPr>
        <w:t>A</w:t>
      </w:r>
      <w:r w:rsidRPr="008640C4">
        <w:rPr>
          <w:vertAlign w:val="subscript"/>
          <w:lang w:val="en-GB"/>
        </w:rPr>
        <w:t>d</w:t>
      </w:r>
      <w:r w:rsidRPr="008640C4">
        <w:rPr>
          <w:lang w:val="en-GB"/>
        </w:rPr>
        <w:t xml:space="preserve"> </w:t>
      </w:r>
      <w:r w:rsidR="00ED13BF" w:rsidRPr="008640C4">
        <w:rPr>
          <w:lang w:val="en-GB"/>
        </w:rPr>
        <w:t>–</w:t>
      </w:r>
      <w:r w:rsidR="00664385" w:rsidRPr="008640C4">
        <w:rPr>
          <w:lang w:val="en-GB"/>
        </w:rPr>
        <w:t xml:space="preserve"> </w:t>
      </w:r>
      <w:r w:rsidRPr="008640C4">
        <w:rPr>
          <w:lang w:val="en-GB"/>
        </w:rPr>
        <w:t>administrative,</w:t>
      </w:r>
    </w:p>
    <w:p w14:paraId="296CDC19" w14:textId="77777777" w:rsidR="00237CD4" w:rsidRPr="008640C4" w:rsidRDefault="00F6784E" w:rsidP="009E3616">
      <w:pPr>
        <w:rPr>
          <w:lang w:val="en-GB"/>
        </w:rPr>
      </w:pPr>
      <w:r w:rsidRPr="008640C4">
        <w:rPr>
          <w:lang w:val="en-GB"/>
        </w:rPr>
        <w:t>P</w:t>
      </w:r>
      <w:r w:rsidRPr="008640C4">
        <w:rPr>
          <w:vertAlign w:val="subscript"/>
          <w:lang w:val="en-GB"/>
        </w:rPr>
        <w:t>s</w:t>
      </w:r>
      <w:r w:rsidRPr="008640C4">
        <w:rPr>
          <w:lang w:val="en-GB"/>
        </w:rPr>
        <w:t xml:space="preserve"> </w:t>
      </w:r>
      <w:r w:rsidR="00ED13BF" w:rsidRPr="008640C4">
        <w:rPr>
          <w:lang w:val="en-GB"/>
        </w:rPr>
        <w:t>–</w:t>
      </w:r>
      <w:r w:rsidR="00664385" w:rsidRPr="008640C4">
        <w:rPr>
          <w:lang w:val="en-GB"/>
        </w:rPr>
        <w:t xml:space="preserve"> </w:t>
      </w:r>
      <w:r w:rsidRPr="008640C4">
        <w:rPr>
          <w:lang w:val="en-GB"/>
        </w:rPr>
        <w:t>maintaining the PSZOK,</w:t>
      </w:r>
    </w:p>
    <w:p w14:paraId="50446F57" w14:textId="77777777" w:rsidR="00237CD4" w:rsidRPr="008640C4" w:rsidRDefault="00F6784E" w:rsidP="009E3616">
      <w:pPr>
        <w:rPr>
          <w:lang w:val="en-GB"/>
        </w:rPr>
      </w:pPr>
      <w:r w:rsidRPr="008640C4">
        <w:rPr>
          <w:lang w:val="en-GB"/>
        </w:rPr>
        <w:t>P</w:t>
      </w:r>
      <w:r w:rsidRPr="008640C4">
        <w:rPr>
          <w:vertAlign w:val="subscript"/>
          <w:lang w:val="en-GB"/>
        </w:rPr>
        <w:t>w</w:t>
      </w:r>
      <w:r w:rsidRPr="008640C4">
        <w:rPr>
          <w:lang w:val="en-GB"/>
        </w:rPr>
        <w:t xml:space="preserve"> </w:t>
      </w:r>
      <w:r w:rsidR="00ED13BF" w:rsidRPr="008640C4">
        <w:rPr>
          <w:lang w:val="en-GB"/>
        </w:rPr>
        <w:t>–</w:t>
      </w:r>
      <w:r w:rsidR="00664385" w:rsidRPr="008640C4">
        <w:rPr>
          <w:lang w:val="en-GB"/>
        </w:rPr>
        <w:t xml:space="preserve"> </w:t>
      </w:r>
      <w:r w:rsidRPr="008640C4">
        <w:rPr>
          <w:lang w:val="en-GB"/>
        </w:rPr>
        <w:t>purchase of containers and bags,</w:t>
      </w:r>
    </w:p>
    <w:p w14:paraId="6C7048A6" w14:textId="77777777" w:rsidR="00237CD4" w:rsidRPr="008640C4" w:rsidRDefault="00F6784E" w:rsidP="009E3616">
      <w:pPr>
        <w:rPr>
          <w:lang w:val="en-GB"/>
        </w:rPr>
      </w:pPr>
      <w:r w:rsidRPr="008640C4">
        <w:rPr>
          <w:lang w:val="en-GB"/>
        </w:rPr>
        <w:t xml:space="preserve">L </w:t>
      </w:r>
      <w:r w:rsidR="00ED13BF" w:rsidRPr="008640C4">
        <w:rPr>
          <w:lang w:val="en-GB"/>
        </w:rPr>
        <w:t>–</w:t>
      </w:r>
      <w:r w:rsidR="00664385" w:rsidRPr="008640C4">
        <w:rPr>
          <w:lang w:val="en-GB"/>
        </w:rPr>
        <w:t xml:space="preserve"> </w:t>
      </w:r>
      <w:r w:rsidRPr="008640C4">
        <w:rPr>
          <w:lang w:val="en-GB"/>
        </w:rPr>
        <w:t>collection of expired drugs,</w:t>
      </w:r>
    </w:p>
    <w:p w14:paraId="2AA005A9" w14:textId="77777777" w:rsidR="00F6784E" w:rsidRPr="008640C4" w:rsidRDefault="00F6784E" w:rsidP="009E3616">
      <w:pPr>
        <w:rPr>
          <w:lang w:val="en-GB"/>
        </w:rPr>
      </w:pPr>
      <w:r w:rsidRPr="008640C4">
        <w:rPr>
          <w:lang w:val="en-GB"/>
        </w:rPr>
        <w:t>P</w:t>
      </w:r>
      <w:r w:rsidRPr="008640C4">
        <w:rPr>
          <w:vertAlign w:val="subscript"/>
          <w:lang w:val="en-GB"/>
        </w:rPr>
        <w:t>m</w:t>
      </w:r>
      <w:r w:rsidRPr="008640C4">
        <w:rPr>
          <w:lang w:val="en-GB"/>
        </w:rPr>
        <w:t xml:space="preserve"> </w:t>
      </w:r>
      <w:r w:rsidR="00ED13BF" w:rsidRPr="008640C4">
        <w:rPr>
          <w:lang w:val="en-GB"/>
        </w:rPr>
        <w:t>–</w:t>
      </w:r>
      <w:r w:rsidRPr="008640C4">
        <w:rPr>
          <w:lang w:val="en-GB"/>
        </w:rPr>
        <w:t xml:space="preserve"> % share of costs incurred by residents.</w:t>
      </w:r>
    </w:p>
    <w:p w14:paraId="5805F9E3" w14:textId="77777777" w:rsidR="00ED13BF" w:rsidRPr="008640C4" w:rsidRDefault="00ED13BF" w:rsidP="00ED13BF">
      <w:pPr>
        <w:ind w:firstLine="284"/>
        <w:rPr>
          <w:lang w:val="en-GB"/>
        </w:rPr>
      </w:pPr>
    </w:p>
    <w:p w14:paraId="78505CF7" w14:textId="1F179CB3" w:rsidR="00A46A7F" w:rsidRPr="008640C4" w:rsidRDefault="002F5F1A" w:rsidP="00ED13BF">
      <w:pPr>
        <w:ind w:firstLine="284"/>
        <w:rPr>
          <w:lang w:val="en-GB"/>
        </w:rPr>
      </w:pPr>
      <w:r w:rsidRPr="008640C4">
        <w:rPr>
          <w:lang w:val="en-GB"/>
        </w:rPr>
        <w:t>The calculated rate for the management of segregated waste Kos is given by the formula (</w:t>
      </w:r>
      <w:r w:rsidR="00A17EF6">
        <w:rPr>
          <w:lang w:val="en-GB"/>
        </w:rPr>
        <w:t>eq.</w:t>
      </w:r>
      <w:r w:rsidR="00644F8C">
        <w:rPr>
          <w:lang w:val="en-GB"/>
        </w:rPr>
        <w:t xml:space="preserve"> </w:t>
      </w:r>
      <w:r w:rsidR="00A17EF6">
        <w:rPr>
          <w:lang w:val="en-GB"/>
        </w:rPr>
        <w:t>15</w:t>
      </w:r>
      <w:r w:rsidRPr="008640C4">
        <w:rPr>
          <w:lang w:val="en-GB"/>
        </w:rPr>
        <w:t xml:space="preserve">), where the number of inhabitants </w:t>
      </w:r>
      <w:proofErr w:type="spellStart"/>
      <w:r w:rsidRPr="008640C4">
        <w:rPr>
          <w:lang w:val="en-GB"/>
        </w:rPr>
        <w:t>I</w:t>
      </w:r>
      <w:r w:rsidRPr="008640C4">
        <w:rPr>
          <w:vertAlign w:val="subscript"/>
          <w:lang w:val="en-GB"/>
        </w:rPr>
        <w:t>m</w:t>
      </w:r>
      <w:proofErr w:type="spellEnd"/>
      <w:r w:rsidRPr="008640C4">
        <w:rPr>
          <w:lang w:val="en-GB"/>
        </w:rPr>
        <w:t xml:space="preserve"> segregating waste </w:t>
      </w:r>
      <w:proofErr w:type="spellStart"/>
      <w:r w:rsidRPr="008640C4">
        <w:rPr>
          <w:lang w:val="en-GB"/>
        </w:rPr>
        <w:t>P</w:t>
      </w:r>
      <w:r w:rsidRPr="008640C4">
        <w:rPr>
          <w:vertAlign w:val="subscript"/>
          <w:lang w:val="en-GB"/>
        </w:rPr>
        <w:t>se</w:t>
      </w:r>
      <w:proofErr w:type="spellEnd"/>
      <w:r w:rsidRPr="008640C4">
        <w:rPr>
          <w:lang w:val="en-GB"/>
        </w:rPr>
        <w:t xml:space="preserve">. </w:t>
      </w:r>
      <w:r w:rsidR="00F069F6">
        <w:rPr>
          <w:lang w:val="en-GB"/>
        </w:rPr>
        <w:t>It</w:t>
      </w:r>
      <w:r w:rsidRPr="008640C4">
        <w:rPr>
          <w:lang w:val="en-GB"/>
        </w:rPr>
        <w:t xml:space="preserve"> is a similar situation assuming 100% collection of liabilities imposed on residents. Given that this </w:t>
      </w:r>
      <w:r w:rsidR="00F069F6">
        <w:rPr>
          <w:lang w:val="en-GB"/>
        </w:rPr>
        <w:t>situation</w:t>
      </w:r>
      <w:r w:rsidRPr="008640C4">
        <w:rPr>
          <w:lang w:val="en-GB"/>
        </w:rPr>
        <w:t xml:space="preserve"> will not happen, higher rates should be assumed than those calculated under the assumption of perfect collectability.</w:t>
      </w:r>
    </w:p>
    <w:p w14:paraId="3E0B7853" w14:textId="646D8BD5" w:rsidR="00101FEB" w:rsidRPr="008640C4" w:rsidRDefault="00E268A8"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os</m:t>
            </m:r>
          </m:sub>
        </m:sSub>
        <m:r>
          <m:rPr>
            <m:sty m:val="p"/>
          </m:rP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cs</m:t>
                </m:r>
              </m:sub>
            </m:sSub>
          </m:num>
          <m:den>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sub>
            </m:sSub>
            <m:r>
              <w:rPr>
                <w:rFonts w:ascii="Cambria Math" w:hAnsi="Cambria Math"/>
                <w:lang w:val="en-GB"/>
              </w:rPr>
              <m:t>∙</m:t>
            </m:r>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se</m:t>
                </m:r>
              </m:sub>
            </m:sSub>
          </m:den>
        </m:f>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15</w:t>
      </w:r>
      <w:r w:rsidR="00D81B25" w:rsidRPr="008640C4">
        <w:rPr>
          <w:noProof/>
          <w:lang w:val="en-GB"/>
        </w:rPr>
        <w:fldChar w:fldCharType="end"/>
      </w:r>
      <w:r w:rsidRPr="008640C4">
        <w:rPr>
          <w:lang w:val="en-GB"/>
        </w:rPr>
        <w:t>)</w:t>
      </w:r>
    </w:p>
    <w:p w14:paraId="5913E716" w14:textId="77777777" w:rsidR="003307C8" w:rsidRPr="008640C4" w:rsidRDefault="00101FEB" w:rsidP="00ED13BF">
      <w:pPr>
        <w:ind w:firstLine="284"/>
        <w:rPr>
          <w:lang w:val="en-GB"/>
        </w:rPr>
      </w:pPr>
      <w:r w:rsidRPr="008640C4">
        <w:rPr>
          <w:lang w:val="en-GB"/>
        </w:rPr>
        <w:t xml:space="preserve">The </w:t>
      </w:r>
      <w:r w:rsidR="00F069F6">
        <w:rPr>
          <w:lang w:val="en-GB"/>
        </w:rPr>
        <w:t>fee rat</w:t>
      </w:r>
      <w:r w:rsidRPr="008640C4">
        <w:rPr>
          <w:lang w:val="en-GB"/>
        </w:rPr>
        <w:t xml:space="preserve">e calculated per person was PLN 17.16, with an average value of </w:t>
      </w:r>
      <w:r w:rsidR="00995245" w:rsidRPr="008640C4">
        <w:rPr>
          <w:lang w:val="en-GB"/>
        </w:rPr>
        <w:t xml:space="preserve">PLN </w:t>
      </w:r>
      <w:r w:rsidRPr="008640C4">
        <w:rPr>
          <w:lang w:val="en-GB"/>
        </w:rPr>
        <w:t>20.50</w:t>
      </w:r>
      <w:r w:rsidR="00995245" w:rsidRPr="008640C4">
        <w:rPr>
          <w:lang w:val="en-GB"/>
        </w:rPr>
        <w:t xml:space="preserve"> </w:t>
      </w:r>
      <w:r w:rsidR="008640C4">
        <w:rPr>
          <w:lang w:val="en-GB"/>
        </w:rPr>
        <w:t>–</w:t>
      </w:r>
      <w:r w:rsidRPr="008640C4">
        <w:rPr>
          <w:lang w:val="en-GB"/>
        </w:rPr>
        <w:t xml:space="preserve"> the values were calculated for the number of residents who segregate, 284</w:t>
      </w:r>
      <w:r w:rsidR="00F069F6">
        <w:rPr>
          <w:lang w:val="en-GB"/>
        </w:rPr>
        <w:t>,</w:t>
      </w:r>
      <w:r w:rsidRPr="008640C4">
        <w:rPr>
          <w:lang w:val="en-GB"/>
        </w:rPr>
        <w:t>068</w:t>
      </w:r>
      <w:r w:rsidR="008640C4">
        <w:rPr>
          <w:lang w:val="en-GB"/>
        </w:rPr>
        <w:t xml:space="preserve"> </w:t>
      </w:r>
      <w:r w:rsidR="00995245" w:rsidRPr="008640C4">
        <w:rPr>
          <w:lang w:val="en-GB"/>
        </w:rPr>
        <w:t>PLN</w:t>
      </w:r>
      <w:r w:rsidRPr="008640C4">
        <w:rPr>
          <w:lang w:val="en-GB"/>
        </w:rPr>
        <w:t xml:space="preserve">, and the cost of managing segregated waste </w:t>
      </w:r>
      <w:r w:rsidR="00995245" w:rsidRPr="008640C4">
        <w:rPr>
          <w:lang w:val="en-GB"/>
        </w:rPr>
        <w:t xml:space="preserve">PLN </w:t>
      </w:r>
      <w:r w:rsidRPr="008640C4">
        <w:rPr>
          <w:lang w:val="en-GB"/>
        </w:rPr>
        <w:t>4</w:t>
      </w:r>
      <w:r w:rsidR="00F069F6">
        <w:rPr>
          <w:lang w:val="en-GB"/>
        </w:rPr>
        <w:t>,</w:t>
      </w:r>
      <w:r w:rsidRPr="008640C4">
        <w:rPr>
          <w:lang w:val="en-GB"/>
        </w:rPr>
        <w:t>873</w:t>
      </w:r>
      <w:r w:rsidR="00F069F6">
        <w:rPr>
          <w:lang w:val="en-GB"/>
        </w:rPr>
        <w:t>,</w:t>
      </w:r>
      <w:r w:rsidRPr="008640C4">
        <w:rPr>
          <w:lang w:val="en-GB"/>
        </w:rPr>
        <w:t>891.</w:t>
      </w:r>
    </w:p>
    <w:p w14:paraId="6B951626" w14:textId="77777777" w:rsidR="005C7C4C" w:rsidRPr="008640C4" w:rsidRDefault="00ED13BF" w:rsidP="00ED13BF">
      <w:pPr>
        <w:pStyle w:val="Rn2"/>
        <w:rPr>
          <w:lang w:val="en-GB"/>
        </w:rPr>
      </w:pPr>
      <w:r w:rsidRPr="008640C4">
        <w:rPr>
          <w:lang w:val="en-GB"/>
        </w:rPr>
        <w:t xml:space="preserve">6.3. </w:t>
      </w:r>
      <w:bookmarkStart w:id="12" w:name="_Toc421598232"/>
      <w:r w:rsidR="008C2C5F" w:rsidRPr="008640C4">
        <w:rPr>
          <w:lang w:val="en-GB"/>
        </w:rPr>
        <w:t xml:space="preserve">Sale of segregated municipal waste </w:t>
      </w:r>
      <w:r w:rsidR="00CF3C4D" w:rsidRPr="008640C4">
        <w:rPr>
          <w:lang w:val="en-GB"/>
        </w:rPr>
        <w:t>–</w:t>
      </w:r>
      <w:r w:rsidR="008C2C5F" w:rsidRPr="008640C4">
        <w:rPr>
          <w:lang w:val="en-GB"/>
        </w:rPr>
        <w:t xml:space="preserve"> secondary raw material</w:t>
      </w:r>
      <w:bookmarkEnd w:id="12"/>
    </w:p>
    <w:p w14:paraId="517FA3DE" w14:textId="77777777" w:rsidR="42CCCD8F" w:rsidRPr="008640C4" w:rsidRDefault="00E729FC" w:rsidP="00ED13BF">
      <w:pPr>
        <w:ind w:firstLine="284"/>
        <w:rPr>
          <w:lang w:val="en-GB"/>
        </w:rPr>
      </w:pPr>
      <w:r w:rsidRPr="008640C4">
        <w:rPr>
          <w:lang w:val="en-GB"/>
        </w:rPr>
        <w:t xml:space="preserve">It is possible to sell segregated and treated fractions. After preparing fractions such as plastics, glass or paper </w:t>
      </w:r>
      <w:r w:rsidR="00CF3C4D" w:rsidRPr="008640C4">
        <w:rPr>
          <w:lang w:val="en-GB"/>
        </w:rPr>
        <w:t>–</w:t>
      </w:r>
      <w:r w:rsidRPr="008640C4">
        <w:rPr>
          <w:lang w:val="en-GB"/>
        </w:rPr>
        <w:t xml:space="preserve"> they are offered for sale to processors for recycling at a price individually set by the recovery company. To obtain the values, the reader should find the purchase prices of raw materials (examples are given in brackets): plastics (PLN 0.60/kg) 465794</w:t>
      </w:r>
      <w:r w:rsidR="008640C4">
        <w:rPr>
          <w:lang w:val="en-GB"/>
        </w:rPr>
        <w:t xml:space="preserve"> </w:t>
      </w:r>
      <w:r w:rsidRPr="008640C4">
        <w:rPr>
          <w:lang w:val="en-GB"/>
        </w:rPr>
        <w:t>kg, waste paper (PLN 0.26/kg) PLN 856240, scrap (PLN 0.70/kg) PLN 124189, glass (PLN 0.06/kg) PLN 1736043.</w:t>
      </w:r>
    </w:p>
    <w:p w14:paraId="28BE636D" w14:textId="77777777" w:rsidR="00112F09" w:rsidRPr="008640C4" w:rsidRDefault="00220D49" w:rsidP="00ED13BF">
      <w:pPr>
        <w:ind w:firstLine="284"/>
        <w:rPr>
          <w:lang w:val="en-GB"/>
        </w:rPr>
      </w:pPr>
      <w:r w:rsidRPr="008640C4">
        <w:rPr>
          <w:lang w:val="en-GB"/>
        </w:rPr>
        <w:t xml:space="preserve">Summing up the product of the masses of each </w:t>
      </w:r>
      <w:r w:rsidRPr="008640C4">
        <w:rPr>
          <w:i/>
          <w:iCs/>
          <w:lang w:val="en-GB"/>
        </w:rPr>
        <w:t>R</w:t>
      </w:r>
      <w:r w:rsidRPr="008640C4">
        <w:rPr>
          <w:i/>
          <w:iCs/>
          <w:vertAlign w:val="subscript"/>
          <w:lang w:val="en-GB"/>
        </w:rPr>
        <w:t>i</w:t>
      </w:r>
      <w:r w:rsidRPr="008640C4">
        <w:rPr>
          <w:lang w:val="en-GB"/>
        </w:rPr>
        <w:t xml:space="preserve"> fraction intended for recycling and the corresponding purchase price </w:t>
      </w:r>
      <w:r w:rsidRPr="008640C4">
        <w:rPr>
          <w:i/>
          <w:iCs/>
          <w:lang w:val="en-GB"/>
        </w:rPr>
        <w:t>C</w:t>
      </w:r>
      <w:r w:rsidRPr="008640C4">
        <w:rPr>
          <w:i/>
          <w:iCs/>
          <w:vertAlign w:val="subscript"/>
          <w:lang w:val="en-GB"/>
        </w:rPr>
        <w:t>i</w:t>
      </w:r>
      <w:r w:rsidRPr="008640C4">
        <w:rPr>
          <w:lang w:val="en-GB"/>
        </w:rPr>
        <w:t>, the profit Z is obtained</w:t>
      </w:r>
      <w:r w:rsidR="009E3616" w:rsidRPr="008640C4">
        <w:rPr>
          <w:lang w:val="en-GB"/>
        </w:rPr>
        <w:t>:</w:t>
      </w:r>
    </w:p>
    <w:p w14:paraId="2AF91607" w14:textId="20592AAB" w:rsidR="00B96C81" w:rsidRPr="008640C4" w:rsidRDefault="00E268A8" w:rsidP="00ED13BF">
      <w:pPr>
        <w:pStyle w:val="Rwnanie"/>
        <w:tabs>
          <w:tab w:val="clear" w:pos="9072"/>
          <w:tab w:val="right" w:pos="9638"/>
        </w:tabs>
        <w:spacing w:before="120" w:after="120"/>
        <w:rPr>
          <w:noProof/>
          <w:lang w:val="en-GB"/>
        </w:rPr>
      </w:pPr>
      <w:r w:rsidRPr="008640C4">
        <w:rPr>
          <w:lang w:val="en-GB"/>
        </w:rPr>
        <w:tab/>
      </w:r>
      <m:oMath>
        <m:r>
          <w:rPr>
            <w:rFonts w:ascii="Cambria Math" w:hAnsi="Cambria Math"/>
            <w:lang w:val="en-GB"/>
          </w:rPr>
          <m:t>Z</m:t>
        </m:r>
        <m:r>
          <m:rPr>
            <m:sty m:val="p"/>
          </m:rPr>
          <w:rPr>
            <w:rFonts w:ascii="Cambria Math" w:hAnsi="Cambria Math"/>
            <w:lang w:val="en-GB"/>
          </w:rPr>
          <m:t xml:space="preserve">= </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m:rPr>
                <m:sty m:val="p"/>
              </m:rPr>
              <w:rPr>
                <w:rFonts w:ascii="Cambria Math" w:hAnsi="Cambria Math"/>
                <w:lang w:val="en-GB"/>
              </w:rPr>
              <m:t>4</m:t>
            </m:r>
          </m:sup>
          <m:e>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R</m:t>
                </m:r>
              </m:e>
              <m:sub>
                <m:r>
                  <w:rPr>
                    <w:rFonts w:ascii="Cambria Math" w:hAnsi="Cambria Math"/>
                    <w:lang w:val="en-GB"/>
                  </w:rPr>
                  <m:t>i</m:t>
                </m:r>
              </m:sub>
            </m:sSub>
          </m:e>
        </m:nary>
      </m:oMath>
      <w:r w:rsidRPr="008640C4">
        <w:rPr>
          <w:noProof/>
          <w:lang w:val="en-GB"/>
        </w:rPr>
        <w:tab/>
      </w:r>
      <w:r w:rsidRPr="008640C4">
        <w:rPr>
          <w:lang w:val="en-GB"/>
        </w:rPr>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16</w:t>
      </w:r>
      <w:r w:rsidR="00D81B25" w:rsidRPr="008640C4">
        <w:rPr>
          <w:noProof/>
          <w:lang w:val="en-GB"/>
        </w:rPr>
        <w:fldChar w:fldCharType="end"/>
      </w:r>
      <w:r w:rsidRPr="008640C4">
        <w:rPr>
          <w:lang w:val="en-GB"/>
        </w:rPr>
        <w:t>)</w:t>
      </w:r>
    </w:p>
    <w:p w14:paraId="30CEE4AF" w14:textId="77777777" w:rsidR="00112F09" w:rsidRPr="008640C4" w:rsidRDefault="00220D49" w:rsidP="00ED13BF">
      <w:pPr>
        <w:ind w:firstLine="284"/>
        <w:rPr>
          <w:lang w:val="en-GB"/>
        </w:rPr>
      </w:pPr>
      <w:r w:rsidRPr="008640C4">
        <w:rPr>
          <w:lang w:val="en-GB"/>
        </w:rPr>
        <w:lastRenderedPageBreak/>
        <w:t xml:space="preserve">The final </w:t>
      </w:r>
      <w:r w:rsidR="00F069F6">
        <w:rPr>
          <w:lang w:val="en-GB"/>
        </w:rPr>
        <w:t>fee rat</w:t>
      </w:r>
      <w:r w:rsidRPr="008640C4">
        <w:rPr>
          <w:lang w:val="en-GB"/>
        </w:rPr>
        <w:t xml:space="preserve">e for </w:t>
      </w:r>
      <w:r w:rsidR="00F069F6">
        <w:rPr>
          <w:lang w:val="en-GB"/>
        </w:rPr>
        <w:t>managing</w:t>
      </w:r>
      <w:r w:rsidRPr="008640C4">
        <w:rPr>
          <w:lang w:val="en-GB"/>
        </w:rPr>
        <w:t xml:space="preserve"> segregated municipal waste K</w:t>
      </w:r>
      <w:r w:rsidRPr="008640C4">
        <w:rPr>
          <w:vertAlign w:val="subscript"/>
          <w:lang w:val="en-GB"/>
        </w:rPr>
        <w:t>or</w:t>
      </w:r>
      <w:r w:rsidRPr="008640C4">
        <w:rPr>
          <w:lang w:val="en-GB"/>
        </w:rPr>
        <w:t xml:space="preserve"> is obtained from the relationship (</w:t>
      </w:r>
      <w:r w:rsidR="00BE046C">
        <w:rPr>
          <w:lang w:val="en-GB"/>
        </w:rPr>
        <w:t>eq. 17</w:t>
      </w:r>
      <w:r w:rsidRPr="008640C4">
        <w:rPr>
          <w:lang w:val="en-GB"/>
        </w:rPr>
        <w:t xml:space="preserve">). The comparison of the actual rate and the estimated rate after adding the profit is shown in Table 4.20, where Z is the total profit from the sale of recyclable materials, </w:t>
      </w:r>
      <w:proofErr w:type="spellStart"/>
      <w:r w:rsidRPr="008640C4">
        <w:rPr>
          <w:lang w:val="en-GB"/>
        </w:rPr>
        <w:t>I</w:t>
      </w:r>
      <w:r w:rsidRPr="008640C4">
        <w:rPr>
          <w:vertAlign w:val="subscript"/>
          <w:lang w:val="en-GB"/>
        </w:rPr>
        <w:t>m</w:t>
      </w:r>
      <w:proofErr w:type="spellEnd"/>
      <w:r w:rsidRPr="008640C4">
        <w:rPr>
          <w:lang w:val="en-GB"/>
        </w:rPr>
        <w:t xml:space="preserve"> is the number of inhabitants</w:t>
      </w:r>
      <w:r w:rsidR="00F069F6">
        <w:rPr>
          <w:lang w:val="en-GB"/>
        </w:rPr>
        <w:t>,</w:t>
      </w:r>
      <w:r w:rsidRPr="008640C4">
        <w:rPr>
          <w:lang w:val="en-GB"/>
        </w:rPr>
        <w:t xml:space="preserve"> and </w:t>
      </w:r>
      <w:proofErr w:type="spellStart"/>
      <w:r w:rsidRPr="008640C4">
        <w:rPr>
          <w:lang w:val="en-GB"/>
        </w:rPr>
        <w:t>P</w:t>
      </w:r>
      <w:r w:rsidRPr="008640C4">
        <w:rPr>
          <w:vertAlign w:val="subscript"/>
          <w:lang w:val="en-GB"/>
        </w:rPr>
        <w:t>se</w:t>
      </w:r>
      <w:proofErr w:type="spellEnd"/>
      <w:r w:rsidRPr="008640C4">
        <w:rPr>
          <w:lang w:val="en-GB"/>
        </w:rPr>
        <w:t xml:space="preserve"> is the percentage share of segregated waste.</w:t>
      </w:r>
    </w:p>
    <w:p w14:paraId="0C27D4C2" w14:textId="1451E116" w:rsidR="008E51A2" w:rsidRPr="008640C4" w:rsidRDefault="00E268A8" w:rsidP="00ED13BF">
      <w:pPr>
        <w:pStyle w:val="Rwnanie"/>
        <w:tabs>
          <w:tab w:val="clear" w:pos="9072"/>
          <w:tab w:val="right" w:pos="9638"/>
        </w:tabs>
        <w:spacing w:before="120" w:after="120"/>
        <w:rPr>
          <w:lang w:val="en-GB"/>
        </w:rPr>
      </w:pPr>
      <w:r w:rsidRPr="008640C4">
        <w:rPr>
          <w:lang w:val="en-GB"/>
        </w:rPr>
        <w:tab/>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or</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cs</m:t>
                </m:r>
              </m:sub>
            </m:sSub>
            <m:r>
              <m:rPr>
                <m:sty m:val="p"/>
              </m:rPr>
              <w:rPr>
                <w:rFonts w:ascii="Cambria Math" w:hAnsi="Cambria Math"/>
                <w:lang w:val="en-GB"/>
              </w:rPr>
              <m:t xml:space="preserve">- </m:t>
            </m:r>
            <m:r>
              <w:rPr>
                <w:rFonts w:ascii="Cambria Math" w:hAnsi="Cambria Math"/>
                <w:lang w:val="en-GB"/>
              </w:rPr>
              <m:t>Z</m:t>
            </m:r>
          </m:num>
          <m:den>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m</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se</m:t>
                </m:r>
              </m:sub>
            </m:sSub>
          </m:den>
        </m:f>
      </m:oMath>
      <w:r w:rsidRPr="008640C4">
        <w:rPr>
          <w:lang w:val="en-GB"/>
        </w:rPr>
        <w:tab/>
        <w:t>(</w:t>
      </w:r>
      <w:r w:rsidR="00D81B25" w:rsidRPr="008640C4">
        <w:rPr>
          <w:noProof/>
          <w:lang w:val="en-GB"/>
        </w:rPr>
        <w:fldChar w:fldCharType="begin"/>
      </w:r>
      <w:r w:rsidRPr="008640C4">
        <w:rPr>
          <w:noProof/>
          <w:lang w:val="en-GB"/>
        </w:rPr>
        <w:instrText xml:space="preserve"> SEQ równanie\* ARABIC </w:instrText>
      </w:r>
      <w:r w:rsidR="00D81B25" w:rsidRPr="008640C4">
        <w:rPr>
          <w:noProof/>
          <w:lang w:val="en-GB"/>
        </w:rPr>
        <w:fldChar w:fldCharType="separate"/>
      </w:r>
      <w:r w:rsidR="00F04983">
        <w:rPr>
          <w:noProof/>
          <w:lang w:val="en-GB"/>
        </w:rPr>
        <w:t>17</w:t>
      </w:r>
      <w:r w:rsidR="00D81B25" w:rsidRPr="008640C4">
        <w:rPr>
          <w:noProof/>
          <w:lang w:val="en-GB"/>
        </w:rPr>
        <w:fldChar w:fldCharType="end"/>
      </w:r>
      <w:r w:rsidRPr="008640C4">
        <w:rPr>
          <w:lang w:val="en-GB"/>
        </w:rPr>
        <w:t>)</w:t>
      </w:r>
    </w:p>
    <w:p w14:paraId="6F19DF61" w14:textId="77777777" w:rsidR="00441759" w:rsidRPr="008640C4" w:rsidRDefault="00492C44" w:rsidP="001F65EE">
      <w:pPr>
        <w:ind w:firstLine="284"/>
        <w:rPr>
          <w:lang w:val="en-GB"/>
        </w:rPr>
      </w:pPr>
      <w:r w:rsidRPr="008640C4">
        <w:rPr>
          <w:lang w:val="en-GB"/>
        </w:rPr>
        <w:t>Ultimately, the balance of costs and profits, assuming 284</w:t>
      </w:r>
      <w:r w:rsidR="00F069F6">
        <w:rPr>
          <w:lang w:val="en-GB"/>
        </w:rPr>
        <w:t>,</w:t>
      </w:r>
      <w:r w:rsidRPr="008640C4">
        <w:rPr>
          <w:lang w:val="en-GB"/>
        </w:rPr>
        <w:t>068, the cost of segregated waste management is PLN 4</w:t>
      </w:r>
      <w:r w:rsidR="00F069F6">
        <w:rPr>
          <w:lang w:val="en-GB"/>
        </w:rPr>
        <w:t>,</w:t>
      </w:r>
      <w:r w:rsidRPr="008640C4">
        <w:rPr>
          <w:lang w:val="en-GB"/>
        </w:rPr>
        <w:t>180</w:t>
      </w:r>
      <w:r w:rsidR="00F069F6">
        <w:rPr>
          <w:lang w:val="en-GB"/>
        </w:rPr>
        <w:t>,</w:t>
      </w:r>
      <w:r w:rsidRPr="008640C4">
        <w:rPr>
          <w:lang w:val="en-GB"/>
        </w:rPr>
        <w:t xml:space="preserve">698, </w:t>
      </w:r>
      <w:r w:rsidR="00F069F6">
        <w:rPr>
          <w:lang w:val="en-GB"/>
        </w:rPr>
        <w:t xml:space="preserve">and </w:t>
      </w:r>
      <w:r w:rsidRPr="008640C4">
        <w:rPr>
          <w:lang w:val="en-GB"/>
        </w:rPr>
        <w:t xml:space="preserve">the calculated cost per person is PLN 14.72. </w:t>
      </w:r>
    </w:p>
    <w:p w14:paraId="4E9B8253" w14:textId="77777777" w:rsidR="000C5B6A" w:rsidRPr="008640C4" w:rsidRDefault="00ED13BF" w:rsidP="00ED13BF">
      <w:pPr>
        <w:pStyle w:val="Rn1"/>
        <w:rPr>
          <w:lang w:val="en-GB"/>
        </w:rPr>
      </w:pPr>
      <w:r w:rsidRPr="008640C4">
        <w:rPr>
          <w:lang w:val="en-GB"/>
        </w:rPr>
        <w:t xml:space="preserve">7. </w:t>
      </w:r>
      <w:r w:rsidR="006D3EEB" w:rsidRPr="008640C4">
        <w:rPr>
          <w:lang w:val="en-GB"/>
        </w:rPr>
        <w:t>Conclusions</w:t>
      </w:r>
    </w:p>
    <w:p w14:paraId="3EE38E2F" w14:textId="77777777" w:rsidR="005D209A" w:rsidRPr="008640C4" w:rsidRDefault="000D4C39" w:rsidP="001F65EE">
      <w:pPr>
        <w:ind w:firstLine="284"/>
        <w:rPr>
          <w:lang w:val="en-GB"/>
        </w:rPr>
      </w:pPr>
      <w:r w:rsidRPr="008640C4">
        <w:rPr>
          <w:lang w:val="en-GB"/>
        </w:rPr>
        <w:t xml:space="preserve">Analysing the results of the estimated garbage fee rates in </w:t>
      </w:r>
      <w:r w:rsidR="001A534D" w:rsidRPr="008640C4">
        <w:rPr>
          <w:lang w:val="en-GB"/>
        </w:rPr>
        <w:t>Wroclaw</w:t>
      </w:r>
      <w:r w:rsidRPr="008640C4">
        <w:rPr>
          <w:lang w:val="en-GB"/>
        </w:rPr>
        <w:t xml:space="preserve"> and the municipal waste management existing in that city, one may conclude that the sorting of municipal waste is </w:t>
      </w:r>
      <w:r w:rsidR="00F069F6">
        <w:rPr>
          <w:lang w:val="en-GB"/>
        </w:rPr>
        <w:t xml:space="preserve">currently </w:t>
      </w:r>
      <w:r w:rsidRPr="008640C4">
        <w:rPr>
          <w:lang w:val="en-GB"/>
        </w:rPr>
        <w:t>hardly profitable. The main reason for low profitability is the high cost</w:t>
      </w:r>
      <w:r w:rsidR="00F069F6">
        <w:rPr>
          <w:lang w:val="en-GB"/>
        </w:rPr>
        <w:t xml:space="preserve"> resulting</w:t>
      </w:r>
      <w:r w:rsidRPr="008640C4">
        <w:rPr>
          <w:lang w:val="en-GB"/>
        </w:rPr>
        <w:t xml:space="preserve"> from high </w:t>
      </w:r>
      <w:r w:rsidR="00F069F6">
        <w:rPr>
          <w:lang w:val="en-GB"/>
        </w:rPr>
        <w:t>fuel prices</w:t>
      </w:r>
      <w:r w:rsidRPr="008640C4">
        <w:rPr>
          <w:lang w:val="en-GB"/>
        </w:rPr>
        <w:t xml:space="preserve"> or </w:t>
      </w:r>
      <w:r w:rsidR="00F069F6">
        <w:rPr>
          <w:lang w:val="en-GB"/>
        </w:rPr>
        <w:t xml:space="preserve">the </w:t>
      </w:r>
      <w:r w:rsidRPr="008640C4">
        <w:rPr>
          <w:lang w:val="en-GB"/>
        </w:rPr>
        <w:t>maintenance of waste treatment facilities. Low profit is also connected with the fact that the preparation of sorted fractions for recycling is expensive</w:t>
      </w:r>
      <w:r w:rsidR="00F069F6">
        <w:rPr>
          <w:lang w:val="en-GB"/>
        </w:rPr>
        <w:t>. At the same time,</w:t>
      </w:r>
      <w:r w:rsidRPr="008640C4">
        <w:rPr>
          <w:lang w:val="en-GB"/>
        </w:rPr>
        <w:t xml:space="preserve"> the amounts of collected recyclables are also not high enough to cover most of the costs. Based on the estimated costs and profits of the management of sorted municipal waste, it may be seen that the profit from the sale of recyclables </w:t>
      </w:r>
      <w:r w:rsidR="00F069F6">
        <w:rPr>
          <w:lang w:val="en-GB"/>
        </w:rPr>
        <w:t>can</w:t>
      </w:r>
      <w:r w:rsidRPr="008640C4">
        <w:rPr>
          <w:lang w:val="en-GB"/>
        </w:rPr>
        <w:t xml:space="preserve"> cover only about 14.2% of the total costs of the management of sorted municipal waste. </w:t>
      </w:r>
      <w:r w:rsidR="00F069F6">
        <w:rPr>
          <w:lang w:val="en-GB"/>
        </w:rPr>
        <w:t>Based on</w:t>
      </w:r>
      <w:r w:rsidRPr="008640C4">
        <w:rPr>
          <w:lang w:val="en-GB"/>
        </w:rPr>
        <w:t xml:space="preserve"> analyses, studies and observations, it may also be concluded that as time passes, the sorting of municipal waste by residents may be at an increasingly higher level, which may significantly reduce the costs of preparing such waste for recycling. One of the factors that can lead to this is the continuous running of programmes promoting an ecological attitude, making the public aware of </w:t>
      </w:r>
      <w:r w:rsidR="00F069F6">
        <w:rPr>
          <w:lang w:val="en-GB"/>
        </w:rPr>
        <w:t>the significance of the garbage problem</w:t>
      </w:r>
      <w:r w:rsidRPr="008640C4">
        <w:rPr>
          <w:lang w:val="en-GB"/>
        </w:rPr>
        <w:t xml:space="preserve">. It would be worth saying more about the fact that, on average, each of us produces about 320 kg of garbage per year and openly encouraging the reduction of this bulk value, which, if it were lower, could certainly reduce the rate of the garbage fee by reducing the number of garbage truck trips needed for their removal, reducing fuel consumption, the number of employees and the costs of maintaining the sorting plant, installations, etc., and thus the overall reduction of costs affecting the fee for municipal waste management in the municipality of </w:t>
      </w:r>
      <w:r w:rsidR="001A534D" w:rsidRPr="008640C4">
        <w:rPr>
          <w:lang w:val="en-GB"/>
        </w:rPr>
        <w:t>Wroclaw</w:t>
      </w:r>
      <w:r w:rsidRPr="008640C4">
        <w:rPr>
          <w:lang w:val="en-GB"/>
        </w:rPr>
        <w:t>.</w:t>
      </w:r>
    </w:p>
    <w:p w14:paraId="3AD2675C" w14:textId="77777777" w:rsidR="003069CB" w:rsidRPr="008640C4" w:rsidRDefault="009E3616" w:rsidP="00ED13BF">
      <w:pPr>
        <w:pStyle w:val="Rn2"/>
        <w:rPr>
          <w:lang w:val="en-GB"/>
        </w:rPr>
      </w:pPr>
      <w:r w:rsidRPr="008640C4">
        <w:rPr>
          <w:lang w:val="en-GB"/>
        </w:rPr>
        <w:t>References</w:t>
      </w:r>
    </w:p>
    <w:p w14:paraId="34D3F66F" w14:textId="77777777" w:rsidR="00CD2013" w:rsidRPr="008640C4" w:rsidRDefault="00CD2013" w:rsidP="00ED13BF">
      <w:pPr>
        <w:pStyle w:val="Rlit"/>
        <w:rPr>
          <w:lang w:val="en-GB"/>
        </w:rPr>
      </w:pPr>
      <w:bookmarkStart w:id="13" w:name="OLE_LINK1"/>
      <w:r w:rsidRPr="008640C4">
        <w:rPr>
          <w:lang w:val="en-GB"/>
        </w:rPr>
        <w:t xml:space="preserve">Alba </w:t>
      </w:r>
      <w:r>
        <w:rPr>
          <w:lang w:val="en-GB"/>
        </w:rPr>
        <w:t>Polska C</w:t>
      </w:r>
      <w:r w:rsidRPr="00CD2013">
        <w:rPr>
          <w:lang w:val="en-GB"/>
        </w:rPr>
        <w:t xml:space="preserve">ompany </w:t>
      </w:r>
      <w:r w:rsidRPr="008640C4">
        <w:rPr>
          <w:lang w:val="en-GB"/>
        </w:rPr>
        <w:t>(2015)</w:t>
      </w:r>
      <w:r>
        <w:rPr>
          <w:lang w:val="en-GB"/>
        </w:rPr>
        <w:t>.</w:t>
      </w:r>
      <w:r w:rsidRPr="008640C4">
        <w:rPr>
          <w:lang w:val="en-GB"/>
        </w:rPr>
        <w:t xml:space="preserve"> http://www.wroclaw.alba.com.pl/</w:t>
      </w:r>
    </w:p>
    <w:p w14:paraId="42A1DB23" w14:textId="77777777" w:rsidR="00CD2013" w:rsidRPr="008640C4" w:rsidRDefault="00CD2013" w:rsidP="00ED13BF">
      <w:pPr>
        <w:pStyle w:val="Rlit"/>
        <w:rPr>
          <w:lang w:val="en-GB"/>
        </w:rPr>
      </w:pPr>
      <w:proofErr w:type="spellStart"/>
      <w:r w:rsidRPr="008640C4">
        <w:rPr>
          <w:lang w:val="en-GB"/>
        </w:rPr>
        <w:t>Bendkowski</w:t>
      </w:r>
      <w:proofErr w:type="spellEnd"/>
      <w:r>
        <w:rPr>
          <w:lang w:val="en-GB"/>
        </w:rPr>
        <w:t>,</w:t>
      </w:r>
      <w:r w:rsidRPr="008640C4">
        <w:rPr>
          <w:lang w:val="en-GB"/>
        </w:rPr>
        <w:t xml:space="preserve"> J., </w:t>
      </w:r>
      <w:proofErr w:type="spellStart"/>
      <w:r w:rsidRPr="008640C4">
        <w:rPr>
          <w:lang w:val="en-GB"/>
        </w:rPr>
        <w:t>Wengierek</w:t>
      </w:r>
      <w:proofErr w:type="spellEnd"/>
      <w:r>
        <w:rPr>
          <w:lang w:val="en-GB"/>
        </w:rPr>
        <w:t>,</w:t>
      </w:r>
      <w:r w:rsidRPr="008640C4">
        <w:rPr>
          <w:lang w:val="en-GB"/>
        </w:rPr>
        <w:t xml:space="preserve"> M. (2004). </w:t>
      </w:r>
      <w:proofErr w:type="spellStart"/>
      <w:r w:rsidRPr="00644F8C">
        <w:rPr>
          <w:i/>
          <w:iCs/>
          <w:lang w:val="en-GB"/>
        </w:rPr>
        <w:t>Logistyka</w:t>
      </w:r>
      <w:proofErr w:type="spellEnd"/>
      <w:r w:rsidRPr="00644F8C">
        <w:rPr>
          <w:i/>
          <w:iCs/>
          <w:lang w:val="en-GB"/>
        </w:rPr>
        <w:t xml:space="preserve"> </w:t>
      </w:r>
      <w:proofErr w:type="spellStart"/>
      <w:r w:rsidRPr="00644F8C">
        <w:rPr>
          <w:i/>
          <w:iCs/>
          <w:lang w:val="en-GB"/>
        </w:rPr>
        <w:t>odpadów</w:t>
      </w:r>
      <w:proofErr w:type="spellEnd"/>
      <w:r w:rsidRPr="00644F8C">
        <w:rPr>
          <w:i/>
          <w:iCs/>
          <w:lang w:val="en-GB"/>
        </w:rPr>
        <w:t xml:space="preserve"> – Tom II</w:t>
      </w:r>
      <w:r>
        <w:rPr>
          <w:lang w:val="en-GB"/>
        </w:rPr>
        <w:t>.</w:t>
      </w:r>
      <w:r w:rsidRPr="008640C4">
        <w:rPr>
          <w:lang w:val="en-GB"/>
        </w:rPr>
        <w:t xml:space="preserve"> </w:t>
      </w:r>
      <w:r w:rsidRPr="00D526FE">
        <w:rPr>
          <w:lang w:val="en-GB"/>
        </w:rPr>
        <w:t xml:space="preserve">Publishing House </w:t>
      </w:r>
      <w:r>
        <w:rPr>
          <w:lang w:val="en-GB"/>
        </w:rPr>
        <w:t xml:space="preserve">of </w:t>
      </w:r>
      <w:r w:rsidRPr="00D526FE">
        <w:rPr>
          <w:lang w:val="en-GB"/>
        </w:rPr>
        <w:t>Silesian University of Technology</w:t>
      </w:r>
      <w:r w:rsidRPr="008640C4">
        <w:rPr>
          <w:lang w:val="en-GB"/>
        </w:rPr>
        <w:t>, Gliwice.</w:t>
      </w:r>
      <w:r>
        <w:rPr>
          <w:lang w:val="en-GB"/>
        </w:rPr>
        <w:t xml:space="preserve"> </w:t>
      </w:r>
      <w:r>
        <w:t>(in Polish)</w:t>
      </w:r>
    </w:p>
    <w:p w14:paraId="5660AD3F" w14:textId="77777777" w:rsidR="00CD2013" w:rsidRPr="008640C4" w:rsidRDefault="00CD2013" w:rsidP="00ED13BF">
      <w:pPr>
        <w:pStyle w:val="Rlit"/>
        <w:rPr>
          <w:lang w:val="en-GB"/>
        </w:rPr>
      </w:pPr>
      <w:proofErr w:type="spellStart"/>
      <w:r w:rsidRPr="008640C4">
        <w:rPr>
          <w:lang w:val="en-GB"/>
        </w:rPr>
        <w:t>Bilitewski</w:t>
      </w:r>
      <w:proofErr w:type="spellEnd"/>
      <w:r>
        <w:rPr>
          <w:lang w:val="en-GB"/>
        </w:rPr>
        <w:t>,</w:t>
      </w:r>
      <w:r w:rsidRPr="008640C4">
        <w:rPr>
          <w:lang w:val="en-GB"/>
        </w:rPr>
        <w:t xml:space="preserve"> B., </w:t>
      </w:r>
      <w:proofErr w:type="spellStart"/>
      <w:r w:rsidRPr="008640C4">
        <w:rPr>
          <w:lang w:val="en-GB"/>
        </w:rPr>
        <w:t>Hardtle</w:t>
      </w:r>
      <w:proofErr w:type="spellEnd"/>
      <w:r>
        <w:rPr>
          <w:lang w:val="en-GB"/>
        </w:rPr>
        <w:t>,</w:t>
      </w:r>
      <w:r w:rsidRPr="008640C4">
        <w:rPr>
          <w:lang w:val="en-GB"/>
        </w:rPr>
        <w:t xml:space="preserve"> G., Marek</w:t>
      </w:r>
      <w:r>
        <w:rPr>
          <w:lang w:val="en-GB"/>
        </w:rPr>
        <w:t>,</w:t>
      </w:r>
      <w:r w:rsidRPr="008640C4">
        <w:rPr>
          <w:lang w:val="en-GB"/>
        </w:rPr>
        <w:t xml:space="preserve"> K. (2003). </w:t>
      </w:r>
      <w:proofErr w:type="spellStart"/>
      <w:r w:rsidRPr="00644F8C">
        <w:rPr>
          <w:i/>
          <w:iCs/>
          <w:lang w:val="en-GB"/>
        </w:rPr>
        <w:t>Podręcznik</w:t>
      </w:r>
      <w:proofErr w:type="spellEnd"/>
      <w:r w:rsidRPr="00644F8C">
        <w:rPr>
          <w:i/>
          <w:iCs/>
          <w:lang w:val="en-GB"/>
        </w:rPr>
        <w:t xml:space="preserve"> </w:t>
      </w:r>
      <w:proofErr w:type="spellStart"/>
      <w:r w:rsidRPr="00644F8C">
        <w:rPr>
          <w:i/>
          <w:iCs/>
          <w:lang w:val="en-GB"/>
        </w:rPr>
        <w:t>Gospodarki</w:t>
      </w:r>
      <w:proofErr w:type="spellEnd"/>
      <w:r w:rsidRPr="00644F8C">
        <w:rPr>
          <w:i/>
          <w:iCs/>
          <w:lang w:val="en-GB"/>
        </w:rPr>
        <w:t xml:space="preserve"> </w:t>
      </w:r>
      <w:proofErr w:type="spellStart"/>
      <w:r w:rsidRPr="00644F8C">
        <w:rPr>
          <w:i/>
          <w:iCs/>
          <w:lang w:val="en-GB"/>
        </w:rPr>
        <w:t>Odpadami</w:t>
      </w:r>
      <w:proofErr w:type="spellEnd"/>
      <w:r>
        <w:rPr>
          <w:lang w:val="en-GB"/>
        </w:rPr>
        <w:t>.</w:t>
      </w:r>
      <w:r w:rsidRPr="008640C4">
        <w:rPr>
          <w:lang w:val="en-GB"/>
        </w:rPr>
        <w:t xml:space="preserve"> </w:t>
      </w:r>
      <w:r w:rsidRPr="00D526FE">
        <w:rPr>
          <w:lang w:val="en-GB"/>
        </w:rPr>
        <w:t xml:space="preserve">Publishing House </w:t>
      </w:r>
      <w:r w:rsidRPr="008640C4">
        <w:rPr>
          <w:lang w:val="en-GB"/>
        </w:rPr>
        <w:t>Seidel-</w:t>
      </w:r>
      <w:proofErr w:type="spellStart"/>
      <w:r w:rsidRPr="008640C4">
        <w:rPr>
          <w:lang w:val="en-GB"/>
        </w:rPr>
        <w:t>Przywecki</w:t>
      </w:r>
      <w:proofErr w:type="spellEnd"/>
      <w:r w:rsidRPr="008640C4">
        <w:rPr>
          <w:lang w:val="en-GB"/>
        </w:rPr>
        <w:t>, Warszawa.</w:t>
      </w:r>
      <w:r>
        <w:rPr>
          <w:lang w:val="en-GB"/>
        </w:rPr>
        <w:t xml:space="preserve"> </w:t>
      </w:r>
      <w:r>
        <w:t>(in Polish)</w:t>
      </w:r>
    </w:p>
    <w:p w14:paraId="55E33A6E" w14:textId="77777777" w:rsidR="00CD2013" w:rsidRPr="008640C4" w:rsidRDefault="00CD2013" w:rsidP="00ED13BF">
      <w:pPr>
        <w:pStyle w:val="Rlit"/>
        <w:rPr>
          <w:lang w:val="en-GB"/>
        </w:rPr>
      </w:pPr>
      <w:r w:rsidRPr="008640C4">
        <w:rPr>
          <w:lang w:val="en-GB"/>
        </w:rPr>
        <w:t xml:space="preserve">Bujak, A., Zając, P. (2013). </w:t>
      </w:r>
      <w:r w:rsidRPr="00D526FE">
        <w:rPr>
          <w:i/>
          <w:iCs/>
          <w:lang w:val="en-GB"/>
        </w:rPr>
        <w:t>Monitoring of cargo in logistic systems of transport and storage</w:t>
      </w:r>
      <w:r w:rsidRPr="008640C4">
        <w:rPr>
          <w:lang w:val="en-GB"/>
        </w:rPr>
        <w:t>. In Activities of Transport Telematics: 13th International Conference on Transport Systems Telematics, TST 2013, Katowice-Ustroń, Poland, October 23</w:t>
      </w:r>
      <w:r>
        <w:rPr>
          <w:lang w:val="en-GB"/>
        </w:rPr>
        <w:t>-</w:t>
      </w:r>
      <w:r w:rsidRPr="008640C4">
        <w:rPr>
          <w:lang w:val="en-GB"/>
        </w:rPr>
        <w:t>26, 2013, Selected Papers 13 (pp. 361-369). Springer Berlin Heidelberg.</w:t>
      </w:r>
    </w:p>
    <w:p w14:paraId="0945610F" w14:textId="77777777" w:rsidR="00CD2013" w:rsidRPr="008640C4" w:rsidRDefault="00CD2013" w:rsidP="00644F8C">
      <w:pPr>
        <w:pStyle w:val="Rlit"/>
        <w:jc w:val="left"/>
        <w:rPr>
          <w:lang w:val="en-GB"/>
        </w:rPr>
      </w:pPr>
      <w:proofErr w:type="spellStart"/>
      <w:r w:rsidRPr="008640C4">
        <w:rPr>
          <w:lang w:val="en-GB"/>
        </w:rPr>
        <w:t>Chamier-Gliszczyński</w:t>
      </w:r>
      <w:proofErr w:type="spellEnd"/>
      <w:r w:rsidRPr="008640C4">
        <w:rPr>
          <w:lang w:val="en-GB"/>
        </w:rPr>
        <w:t xml:space="preserve">, N. (2010). Optimal Design for the Environment of the Means Transportation: A Case Study of Reuse and Recycling Materials. </w:t>
      </w:r>
      <w:r w:rsidRPr="008640C4">
        <w:rPr>
          <w:i/>
          <w:lang w:val="en-GB"/>
        </w:rPr>
        <w:t>Sold State Phenomena</w:t>
      </w:r>
      <w:r w:rsidRPr="00D526FE">
        <w:rPr>
          <w:iCs/>
          <w:lang w:val="en-GB"/>
        </w:rPr>
        <w:t xml:space="preserve">, </w:t>
      </w:r>
      <w:r w:rsidRPr="008640C4">
        <w:rPr>
          <w:i/>
          <w:lang w:val="en-GB"/>
        </w:rPr>
        <w:t>165</w:t>
      </w:r>
      <w:r w:rsidRPr="008640C4">
        <w:rPr>
          <w:lang w:val="en-GB"/>
        </w:rPr>
        <w:t xml:space="preserve">, 244-249. </w:t>
      </w:r>
      <w:r w:rsidRPr="00D41DEA">
        <w:rPr>
          <w:lang w:val="en-GB"/>
        </w:rPr>
        <w:t>https://doi.org/</w:t>
      </w:r>
      <w:r w:rsidRPr="008640C4">
        <w:rPr>
          <w:lang w:val="en-GB"/>
        </w:rPr>
        <w:t>10.4028/www.scientific.net/SSP.165.244.</w:t>
      </w:r>
    </w:p>
    <w:p w14:paraId="45A940C9" w14:textId="77777777" w:rsidR="00CD2013" w:rsidRPr="008640C4" w:rsidRDefault="00CD2013" w:rsidP="00644F8C">
      <w:pPr>
        <w:pStyle w:val="Rlit"/>
        <w:jc w:val="left"/>
        <w:rPr>
          <w:lang w:val="en-GB"/>
        </w:rPr>
      </w:pPr>
      <w:proofErr w:type="spellStart"/>
      <w:r w:rsidRPr="008640C4">
        <w:rPr>
          <w:lang w:val="en-GB"/>
        </w:rPr>
        <w:t>Chamier-Gliszczyński</w:t>
      </w:r>
      <w:proofErr w:type="spellEnd"/>
      <w:r w:rsidRPr="008640C4">
        <w:rPr>
          <w:lang w:val="en-GB"/>
        </w:rPr>
        <w:t xml:space="preserve">, N. (2011). Environmental aspects of maintenance of transport means, end-of life stage of transport means. </w:t>
      </w:r>
      <w:proofErr w:type="spellStart"/>
      <w:r w:rsidRPr="008640C4">
        <w:rPr>
          <w:i/>
          <w:lang w:val="en-GB"/>
        </w:rPr>
        <w:t>Eksploatacja</w:t>
      </w:r>
      <w:proofErr w:type="spellEnd"/>
      <w:r w:rsidRPr="008640C4">
        <w:rPr>
          <w:i/>
          <w:lang w:val="en-GB"/>
        </w:rPr>
        <w:t xml:space="preserve"> </w:t>
      </w:r>
      <w:proofErr w:type="spellStart"/>
      <w:r w:rsidRPr="008640C4">
        <w:rPr>
          <w:i/>
          <w:lang w:val="en-GB"/>
        </w:rPr>
        <w:t>i</w:t>
      </w:r>
      <w:proofErr w:type="spellEnd"/>
      <w:r w:rsidRPr="008640C4">
        <w:rPr>
          <w:i/>
          <w:lang w:val="en-GB"/>
        </w:rPr>
        <w:t xml:space="preserve"> </w:t>
      </w:r>
      <w:proofErr w:type="spellStart"/>
      <w:r w:rsidRPr="008640C4">
        <w:rPr>
          <w:i/>
          <w:lang w:val="en-GB"/>
        </w:rPr>
        <w:t>Niezawodnosc</w:t>
      </w:r>
      <w:proofErr w:type="spellEnd"/>
      <w:r w:rsidRPr="008640C4">
        <w:rPr>
          <w:i/>
          <w:lang w:val="en-GB"/>
        </w:rPr>
        <w:t xml:space="preserve"> – Maintenance and Reliability</w:t>
      </w:r>
      <w:r w:rsidRPr="00D526FE">
        <w:rPr>
          <w:iCs/>
          <w:lang w:val="en-GB"/>
        </w:rPr>
        <w:t xml:space="preserve">, </w:t>
      </w:r>
      <w:r w:rsidRPr="008640C4">
        <w:rPr>
          <w:i/>
          <w:lang w:val="en-GB"/>
        </w:rPr>
        <w:t>50</w:t>
      </w:r>
      <w:r w:rsidRPr="00D526FE">
        <w:rPr>
          <w:iCs/>
          <w:lang w:val="en-GB"/>
        </w:rPr>
        <w:t>(2)</w:t>
      </w:r>
      <w:r w:rsidRPr="008640C4">
        <w:rPr>
          <w:lang w:val="en-GB"/>
        </w:rPr>
        <w:t>, 59-71. http://ein.org.pl/podstrony/wydania/50/pdf/07.pdf.</w:t>
      </w:r>
    </w:p>
    <w:p w14:paraId="09272BAD" w14:textId="77777777" w:rsidR="00CD2013" w:rsidRPr="008640C4" w:rsidRDefault="00CD2013" w:rsidP="00ED13BF">
      <w:pPr>
        <w:pStyle w:val="Rlit"/>
        <w:rPr>
          <w:lang w:val="en-GB"/>
        </w:rPr>
      </w:pPr>
      <w:proofErr w:type="spellStart"/>
      <w:r w:rsidRPr="008640C4">
        <w:rPr>
          <w:lang w:val="en-GB"/>
        </w:rPr>
        <w:t>Chamier-Gliszczyński</w:t>
      </w:r>
      <w:proofErr w:type="spellEnd"/>
      <w:r w:rsidRPr="008640C4">
        <w:rPr>
          <w:lang w:val="en-GB"/>
        </w:rPr>
        <w:t xml:space="preserve">, N. (2011a). Reuse, Recovery and Recycling System of End-of Life Vehicles. </w:t>
      </w:r>
      <w:r w:rsidRPr="008640C4">
        <w:rPr>
          <w:i/>
          <w:lang w:val="en-GB"/>
        </w:rPr>
        <w:t>Key Engineering Materials</w:t>
      </w:r>
      <w:r w:rsidRPr="00D526FE">
        <w:rPr>
          <w:iCs/>
          <w:lang w:val="en-GB"/>
        </w:rPr>
        <w:t xml:space="preserve">, </w:t>
      </w:r>
      <w:r w:rsidRPr="008640C4">
        <w:rPr>
          <w:i/>
          <w:lang w:val="en-GB"/>
        </w:rPr>
        <w:t>450</w:t>
      </w:r>
      <w:r w:rsidRPr="008640C4">
        <w:rPr>
          <w:lang w:val="en-GB"/>
        </w:rPr>
        <w:t xml:space="preserve">, 425-428. </w:t>
      </w:r>
      <w:r w:rsidRPr="00D41DEA">
        <w:rPr>
          <w:lang w:val="en-GB"/>
        </w:rPr>
        <w:t>https://doi.org/</w:t>
      </w:r>
      <w:r w:rsidRPr="008640C4">
        <w:rPr>
          <w:lang w:val="en-GB"/>
        </w:rPr>
        <w:t>10.4028/www.scientific.net/KEM.450.425.</w:t>
      </w:r>
    </w:p>
    <w:p w14:paraId="3EC3385B" w14:textId="77777777" w:rsidR="00CD2013" w:rsidRPr="008640C4" w:rsidRDefault="00CD2013" w:rsidP="00ED13BF">
      <w:pPr>
        <w:pStyle w:val="Rlit"/>
        <w:rPr>
          <w:lang w:val="en-GB"/>
        </w:rPr>
      </w:pPr>
      <w:proofErr w:type="spellStart"/>
      <w:r w:rsidRPr="008640C4">
        <w:rPr>
          <w:lang w:val="en-GB"/>
        </w:rPr>
        <w:t>Chamier-Gliszczyński</w:t>
      </w:r>
      <w:proofErr w:type="spellEnd"/>
      <w:r w:rsidRPr="008640C4">
        <w:rPr>
          <w:lang w:val="en-GB"/>
        </w:rPr>
        <w:t xml:space="preserve">, N. (2011b). Recycling Aspect of End-of Life Vehicles. Recovery of Components and Materials from ELVs. </w:t>
      </w:r>
      <w:r w:rsidRPr="008640C4">
        <w:rPr>
          <w:i/>
          <w:lang w:val="en-GB"/>
        </w:rPr>
        <w:t>Key Engineering Materials</w:t>
      </w:r>
      <w:r w:rsidRPr="00D526FE">
        <w:rPr>
          <w:iCs/>
          <w:lang w:val="en-GB"/>
        </w:rPr>
        <w:t xml:space="preserve">, </w:t>
      </w:r>
      <w:r w:rsidRPr="008640C4">
        <w:rPr>
          <w:i/>
          <w:lang w:val="en-GB"/>
        </w:rPr>
        <w:t>450</w:t>
      </w:r>
      <w:r w:rsidRPr="008640C4">
        <w:rPr>
          <w:lang w:val="en-GB"/>
        </w:rPr>
        <w:t xml:space="preserve">, 421-424. </w:t>
      </w:r>
      <w:r w:rsidRPr="00D41DEA">
        <w:rPr>
          <w:lang w:val="en-GB"/>
        </w:rPr>
        <w:t>https://doi.org/</w:t>
      </w:r>
      <w:r w:rsidRPr="008640C4">
        <w:rPr>
          <w:lang w:val="en-GB"/>
        </w:rPr>
        <w:t>10.4028/www.scientific.net/KEM.450.421.</w:t>
      </w:r>
    </w:p>
    <w:p w14:paraId="6255D0DA" w14:textId="77777777" w:rsidR="00CD2013" w:rsidRPr="008640C4" w:rsidRDefault="00CD2013" w:rsidP="00ED13BF">
      <w:pPr>
        <w:pStyle w:val="Rlit"/>
        <w:rPr>
          <w:lang w:val="en-GB"/>
        </w:rPr>
      </w:pPr>
      <w:proofErr w:type="spellStart"/>
      <w:r w:rsidRPr="008640C4">
        <w:rPr>
          <w:lang w:val="en-GB"/>
        </w:rPr>
        <w:t>Chamier-Gliszczynski</w:t>
      </w:r>
      <w:proofErr w:type="spellEnd"/>
      <w:r w:rsidRPr="008640C4">
        <w:rPr>
          <w:lang w:val="en-GB"/>
        </w:rPr>
        <w:t xml:space="preserve">, N., </w:t>
      </w:r>
      <w:proofErr w:type="spellStart"/>
      <w:r w:rsidRPr="008640C4">
        <w:rPr>
          <w:lang w:val="en-GB"/>
        </w:rPr>
        <w:t>Krzyzynski</w:t>
      </w:r>
      <w:proofErr w:type="spellEnd"/>
      <w:r w:rsidRPr="008640C4">
        <w:rPr>
          <w:lang w:val="en-GB"/>
        </w:rPr>
        <w:t xml:space="preserve">, T. (2005). On modelling three-stage system of receipt and automotive recycling. </w:t>
      </w:r>
      <w:r w:rsidRPr="008640C4">
        <w:rPr>
          <w:i/>
          <w:lang w:val="en-GB"/>
        </w:rPr>
        <w:t>REWAS</w:t>
      </w:r>
      <w:r w:rsidR="001F3921">
        <w:rPr>
          <w:i/>
          <w:lang w:val="en-GB"/>
        </w:rPr>
        <w:t>'</w:t>
      </w:r>
      <w:r w:rsidRPr="008640C4">
        <w:rPr>
          <w:i/>
          <w:lang w:val="en-GB"/>
        </w:rPr>
        <w:t>04, Global Symposium on Recycling, Waste Treatment and Clean Technology 2005</w:t>
      </w:r>
      <w:r w:rsidRPr="008640C4">
        <w:rPr>
          <w:lang w:val="en-GB"/>
        </w:rPr>
        <w:t>, 2813-2814, Madrid, Spain, 26-29 September 2004, Conference Paper, ISBN: 8495520060.</w:t>
      </w:r>
    </w:p>
    <w:p w14:paraId="113A1437" w14:textId="67E34E13" w:rsidR="00CD2013" w:rsidRPr="008640C4" w:rsidRDefault="00CD2013" w:rsidP="00ED13BF">
      <w:pPr>
        <w:pStyle w:val="Rlit"/>
        <w:rPr>
          <w:lang w:val="en-GB"/>
        </w:rPr>
      </w:pPr>
      <w:proofErr w:type="spellStart"/>
      <w:r w:rsidRPr="008640C4">
        <w:rPr>
          <w:lang w:val="en-GB"/>
        </w:rPr>
        <w:t>Czwajda</w:t>
      </w:r>
      <w:proofErr w:type="spellEnd"/>
      <w:r w:rsidRPr="008640C4">
        <w:rPr>
          <w:lang w:val="en-GB"/>
        </w:rPr>
        <w:t xml:space="preserve">, L., </w:t>
      </w:r>
      <w:proofErr w:type="spellStart"/>
      <w:r w:rsidRPr="008640C4">
        <w:rPr>
          <w:lang w:val="en-GB"/>
        </w:rPr>
        <w:t>Kosacka</w:t>
      </w:r>
      <w:proofErr w:type="spellEnd"/>
      <w:r w:rsidRPr="008640C4">
        <w:rPr>
          <w:lang w:val="en-GB"/>
        </w:rPr>
        <w:t xml:space="preserve">-Olejnik, M., </w:t>
      </w:r>
      <w:proofErr w:type="spellStart"/>
      <w:r w:rsidRPr="008640C4">
        <w:rPr>
          <w:lang w:val="en-GB"/>
        </w:rPr>
        <w:t>Kudelska</w:t>
      </w:r>
      <w:proofErr w:type="spellEnd"/>
      <w:r w:rsidRPr="008640C4">
        <w:rPr>
          <w:lang w:val="en-GB"/>
        </w:rPr>
        <w:t xml:space="preserve">, I., Kostrzewski, M., </w:t>
      </w:r>
      <w:proofErr w:type="spellStart"/>
      <w:r w:rsidRPr="008640C4">
        <w:rPr>
          <w:lang w:val="en-GB"/>
        </w:rPr>
        <w:t>Sethanan</w:t>
      </w:r>
      <w:proofErr w:type="spellEnd"/>
      <w:r w:rsidRPr="008640C4">
        <w:rPr>
          <w:lang w:val="en-GB"/>
        </w:rPr>
        <w:t xml:space="preserve">, K., </w:t>
      </w:r>
      <w:proofErr w:type="spellStart"/>
      <w:r w:rsidRPr="008640C4">
        <w:rPr>
          <w:lang w:val="en-GB"/>
        </w:rPr>
        <w:t>Pitakaso</w:t>
      </w:r>
      <w:proofErr w:type="spellEnd"/>
      <w:r w:rsidRPr="008640C4">
        <w:rPr>
          <w:lang w:val="en-GB"/>
        </w:rPr>
        <w:t xml:space="preserve">, R. (2019). Application of prediction markets phenomenon as decision support instrument in vehicle recycling sector. </w:t>
      </w:r>
      <w:proofErr w:type="spellStart"/>
      <w:r w:rsidRPr="008640C4">
        <w:rPr>
          <w:i/>
          <w:lang w:val="en-GB"/>
        </w:rPr>
        <w:t>LogForum</w:t>
      </w:r>
      <w:proofErr w:type="spellEnd"/>
      <w:r w:rsidRPr="008640C4">
        <w:rPr>
          <w:lang w:val="en-GB"/>
        </w:rPr>
        <w:t xml:space="preserve">, </w:t>
      </w:r>
      <w:r w:rsidRPr="00D526FE">
        <w:rPr>
          <w:i/>
          <w:iCs/>
          <w:lang w:val="en-GB"/>
        </w:rPr>
        <w:t>15</w:t>
      </w:r>
      <w:r w:rsidRPr="008640C4">
        <w:rPr>
          <w:lang w:val="en-GB"/>
        </w:rPr>
        <w:t xml:space="preserve">(2), </w:t>
      </w:r>
      <w:r w:rsidR="00644F8C">
        <w:rPr>
          <w:lang w:val="en-GB"/>
        </w:rPr>
        <w:br/>
      </w:r>
      <w:r w:rsidRPr="008640C4">
        <w:rPr>
          <w:lang w:val="en-GB"/>
        </w:rPr>
        <w:t xml:space="preserve">265-278. </w:t>
      </w:r>
      <w:r w:rsidRPr="00D41DEA">
        <w:rPr>
          <w:lang w:val="en-GB"/>
        </w:rPr>
        <w:t>https://doi.org/</w:t>
      </w:r>
      <w:r w:rsidRPr="008640C4">
        <w:rPr>
          <w:lang w:val="en-GB"/>
        </w:rPr>
        <w:t>10.17270/J.LOG.2019.329.</w:t>
      </w:r>
    </w:p>
    <w:p w14:paraId="7C262D5C" w14:textId="5BF7A8EC" w:rsidR="00CD2013" w:rsidRPr="008640C4" w:rsidRDefault="00CD2013" w:rsidP="00ED13BF">
      <w:pPr>
        <w:pStyle w:val="Rlit"/>
        <w:rPr>
          <w:lang w:val="en-GB"/>
        </w:rPr>
      </w:pPr>
      <w:proofErr w:type="spellStart"/>
      <w:r w:rsidRPr="008640C4">
        <w:rPr>
          <w:lang w:val="en-GB"/>
        </w:rPr>
        <w:t>d’Obyrn</w:t>
      </w:r>
      <w:proofErr w:type="spellEnd"/>
      <w:r w:rsidRPr="008640C4">
        <w:rPr>
          <w:lang w:val="en-GB"/>
        </w:rPr>
        <w:t xml:space="preserve">, </w:t>
      </w:r>
      <w:proofErr w:type="spellStart"/>
      <w:r w:rsidRPr="008640C4">
        <w:rPr>
          <w:lang w:val="en-GB"/>
        </w:rPr>
        <w:t>Szalińska</w:t>
      </w:r>
      <w:proofErr w:type="spellEnd"/>
      <w:r w:rsidRPr="008640C4">
        <w:rPr>
          <w:lang w:val="en-GB"/>
        </w:rPr>
        <w:t xml:space="preserve"> E. (2005). </w:t>
      </w:r>
      <w:proofErr w:type="spellStart"/>
      <w:r w:rsidRPr="00644F8C">
        <w:rPr>
          <w:i/>
          <w:iCs/>
          <w:lang w:val="en-GB"/>
        </w:rPr>
        <w:t>Odpady</w:t>
      </w:r>
      <w:proofErr w:type="spellEnd"/>
      <w:r w:rsidRPr="00644F8C">
        <w:rPr>
          <w:i/>
          <w:iCs/>
          <w:lang w:val="en-GB"/>
        </w:rPr>
        <w:t xml:space="preserve"> </w:t>
      </w:r>
      <w:proofErr w:type="spellStart"/>
      <w:r w:rsidRPr="00644F8C">
        <w:rPr>
          <w:i/>
          <w:iCs/>
          <w:lang w:val="en-GB"/>
        </w:rPr>
        <w:t>komunalne</w:t>
      </w:r>
      <w:proofErr w:type="spellEnd"/>
      <w:r w:rsidR="00644F8C" w:rsidRPr="00644F8C">
        <w:rPr>
          <w:lang w:val="en-GB"/>
        </w:rPr>
        <w:t>.</w:t>
      </w:r>
      <w:r w:rsidRPr="008640C4">
        <w:rPr>
          <w:lang w:val="en-GB"/>
        </w:rPr>
        <w:t xml:space="preserve"> PK, Kraków.</w:t>
      </w:r>
      <w:r>
        <w:rPr>
          <w:lang w:val="en-GB"/>
        </w:rPr>
        <w:t xml:space="preserve"> </w:t>
      </w:r>
      <w:r>
        <w:t>(in Polish)</w:t>
      </w:r>
    </w:p>
    <w:p w14:paraId="5FA72924" w14:textId="77777777" w:rsidR="00CD2013" w:rsidRPr="008640C4" w:rsidRDefault="00CD2013" w:rsidP="00ED13BF">
      <w:pPr>
        <w:pStyle w:val="Rlit"/>
        <w:rPr>
          <w:lang w:val="en-GB"/>
        </w:rPr>
      </w:pPr>
      <w:r w:rsidRPr="008640C4">
        <w:rPr>
          <w:lang w:val="en-GB"/>
        </w:rPr>
        <w:t xml:space="preserve">den Boer E. (2009). </w:t>
      </w:r>
      <w:proofErr w:type="spellStart"/>
      <w:r w:rsidRPr="008640C4">
        <w:rPr>
          <w:lang w:val="en-GB"/>
        </w:rPr>
        <w:t>Ilość</w:t>
      </w:r>
      <w:proofErr w:type="spellEnd"/>
      <w:r w:rsidRPr="008640C4">
        <w:rPr>
          <w:lang w:val="en-GB"/>
        </w:rPr>
        <w:t xml:space="preserve"> </w:t>
      </w:r>
      <w:proofErr w:type="spellStart"/>
      <w:r w:rsidRPr="008640C4">
        <w:rPr>
          <w:lang w:val="en-GB"/>
        </w:rPr>
        <w:t>i</w:t>
      </w:r>
      <w:proofErr w:type="spellEnd"/>
      <w:r w:rsidRPr="008640C4">
        <w:rPr>
          <w:lang w:val="en-GB"/>
        </w:rPr>
        <w:t xml:space="preserve"> </w:t>
      </w:r>
      <w:proofErr w:type="spellStart"/>
      <w:r w:rsidRPr="008640C4">
        <w:rPr>
          <w:lang w:val="en-GB"/>
        </w:rPr>
        <w:t>skład</w:t>
      </w:r>
      <w:proofErr w:type="spellEnd"/>
      <w:r w:rsidRPr="008640C4">
        <w:rPr>
          <w:lang w:val="en-GB"/>
        </w:rPr>
        <w:t xml:space="preserve"> </w:t>
      </w:r>
      <w:proofErr w:type="spellStart"/>
      <w:r w:rsidRPr="008640C4">
        <w:rPr>
          <w:lang w:val="en-GB"/>
        </w:rPr>
        <w:t>odpadów</w:t>
      </w:r>
      <w:proofErr w:type="spellEnd"/>
      <w:r w:rsidRPr="008640C4">
        <w:rPr>
          <w:lang w:val="en-GB"/>
        </w:rPr>
        <w:t xml:space="preserve"> </w:t>
      </w:r>
      <w:proofErr w:type="spellStart"/>
      <w:r w:rsidRPr="008640C4">
        <w:rPr>
          <w:lang w:val="en-GB"/>
        </w:rPr>
        <w:t>komunalnych</w:t>
      </w:r>
      <w:proofErr w:type="spellEnd"/>
      <w:r w:rsidRPr="008640C4">
        <w:rPr>
          <w:lang w:val="en-GB"/>
        </w:rPr>
        <w:t xml:space="preserve"> </w:t>
      </w:r>
      <w:proofErr w:type="spellStart"/>
      <w:r w:rsidRPr="008640C4">
        <w:rPr>
          <w:lang w:val="en-GB"/>
        </w:rPr>
        <w:t>wytwarzanych</w:t>
      </w:r>
      <w:proofErr w:type="spellEnd"/>
      <w:r w:rsidRPr="008640C4">
        <w:rPr>
          <w:lang w:val="en-GB"/>
        </w:rPr>
        <w:t xml:space="preserve"> w </w:t>
      </w:r>
      <w:proofErr w:type="spellStart"/>
      <w:r w:rsidRPr="008640C4">
        <w:rPr>
          <w:lang w:val="en-GB"/>
        </w:rPr>
        <w:t>gospodarstwach</w:t>
      </w:r>
      <w:proofErr w:type="spellEnd"/>
      <w:r w:rsidRPr="008640C4">
        <w:rPr>
          <w:lang w:val="en-GB"/>
        </w:rPr>
        <w:t xml:space="preserve"> </w:t>
      </w:r>
      <w:proofErr w:type="spellStart"/>
      <w:r w:rsidRPr="008640C4">
        <w:rPr>
          <w:lang w:val="en-GB"/>
        </w:rPr>
        <w:t>domowych</w:t>
      </w:r>
      <w:proofErr w:type="spellEnd"/>
      <w:r w:rsidRPr="008640C4">
        <w:rPr>
          <w:lang w:val="en-GB"/>
        </w:rPr>
        <w:t xml:space="preserve"> </w:t>
      </w:r>
      <w:proofErr w:type="spellStart"/>
      <w:r w:rsidRPr="008640C4">
        <w:rPr>
          <w:lang w:val="en-GB"/>
        </w:rPr>
        <w:t>dużych</w:t>
      </w:r>
      <w:proofErr w:type="spellEnd"/>
      <w:r w:rsidRPr="008640C4">
        <w:rPr>
          <w:lang w:val="en-GB"/>
        </w:rPr>
        <w:t xml:space="preserve"> </w:t>
      </w:r>
      <w:proofErr w:type="spellStart"/>
      <w:r w:rsidRPr="008640C4">
        <w:rPr>
          <w:lang w:val="en-GB"/>
        </w:rPr>
        <w:t>miast</w:t>
      </w:r>
      <w:proofErr w:type="spellEnd"/>
      <w:r w:rsidRPr="008640C4">
        <w:rPr>
          <w:lang w:val="en-GB"/>
        </w:rPr>
        <w:t xml:space="preserve"> Polski, </w:t>
      </w:r>
      <w:proofErr w:type="spellStart"/>
      <w:r w:rsidRPr="008640C4">
        <w:rPr>
          <w:i/>
          <w:lang w:val="en-GB"/>
        </w:rPr>
        <w:t>Archiwum</w:t>
      </w:r>
      <w:proofErr w:type="spellEnd"/>
      <w:r w:rsidRPr="008640C4">
        <w:rPr>
          <w:i/>
          <w:lang w:val="en-GB"/>
        </w:rPr>
        <w:t xml:space="preserve"> </w:t>
      </w:r>
      <w:proofErr w:type="spellStart"/>
      <w:r w:rsidRPr="008640C4">
        <w:rPr>
          <w:i/>
          <w:lang w:val="en-GB"/>
        </w:rPr>
        <w:t>Gospodarki</w:t>
      </w:r>
      <w:proofErr w:type="spellEnd"/>
      <w:r w:rsidRPr="008640C4">
        <w:rPr>
          <w:i/>
          <w:lang w:val="en-GB"/>
        </w:rPr>
        <w:t xml:space="preserve"> </w:t>
      </w:r>
      <w:proofErr w:type="spellStart"/>
      <w:r w:rsidRPr="008640C4">
        <w:rPr>
          <w:i/>
          <w:lang w:val="en-GB"/>
        </w:rPr>
        <w:t>Odpadami</w:t>
      </w:r>
      <w:proofErr w:type="spellEnd"/>
      <w:r w:rsidRPr="008640C4">
        <w:rPr>
          <w:i/>
          <w:lang w:val="en-GB"/>
        </w:rPr>
        <w:t xml:space="preserve"> </w:t>
      </w:r>
      <w:proofErr w:type="spellStart"/>
      <w:r w:rsidRPr="008640C4">
        <w:rPr>
          <w:i/>
          <w:lang w:val="en-GB"/>
        </w:rPr>
        <w:t>i</w:t>
      </w:r>
      <w:proofErr w:type="spellEnd"/>
      <w:r w:rsidRPr="008640C4">
        <w:rPr>
          <w:i/>
          <w:lang w:val="en-GB"/>
        </w:rPr>
        <w:t xml:space="preserve"> </w:t>
      </w:r>
      <w:proofErr w:type="spellStart"/>
      <w:r w:rsidRPr="008640C4">
        <w:rPr>
          <w:i/>
          <w:lang w:val="en-GB"/>
        </w:rPr>
        <w:t>Ochrony</w:t>
      </w:r>
      <w:proofErr w:type="spellEnd"/>
      <w:r w:rsidRPr="008640C4">
        <w:rPr>
          <w:i/>
          <w:lang w:val="en-GB"/>
        </w:rPr>
        <w:t xml:space="preserve"> </w:t>
      </w:r>
      <w:proofErr w:type="spellStart"/>
      <w:r w:rsidRPr="008640C4">
        <w:rPr>
          <w:i/>
          <w:lang w:val="en-GB"/>
        </w:rPr>
        <w:t>Środowiska</w:t>
      </w:r>
      <w:proofErr w:type="spellEnd"/>
      <w:r w:rsidRPr="008640C4">
        <w:rPr>
          <w:lang w:val="en-GB"/>
        </w:rPr>
        <w:t xml:space="preserve">, </w:t>
      </w:r>
      <w:r w:rsidRPr="00D526FE">
        <w:rPr>
          <w:i/>
          <w:iCs/>
          <w:lang w:val="en-GB"/>
        </w:rPr>
        <w:t>11</w:t>
      </w:r>
      <w:r>
        <w:rPr>
          <w:lang w:val="en-GB"/>
        </w:rPr>
        <w:t>(</w:t>
      </w:r>
      <w:r w:rsidRPr="008640C4">
        <w:rPr>
          <w:lang w:val="en-GB"/>
        </w:rPr>
        <w:t>4</w:t>
      </w:r>
      <w:r>
        <w:rPr>
          <w:lang w:val="en-GB"/>
        </w:rPr>
        <w:t>)</w:t>
      </w:r>
      <w:r w:rsidRPr="008640C4">
        <w:rPr>
          <w:lang w:val="en-GB"/>
        </w:rPr>
        <w:t>.</w:t>
      </w:r>
      <w:r>
        <w:rPr>
          <w:lang w:val="en-GB"/>
        </w:rPr>
        <w:t xml:space="preserve"> </w:t>
      </w:r>
      <w:r>
        <w:t>(in Polish)</w:t>
      </w:r>
    </w:p>
    <w:p w14:paraId="2AE23AB2" w14:textId="77777777" w:rsidR="00CD2013" w:rsidRPr="008640C4" w:rsidRDefault="00CD2013" w:rsidP="00ED13BF">
      <w:pPr>
        <w:pStyle w:val="Rlit"/>
        <w:rPr>
          <w:lang w:val="en-GB"/>
        </w:rPr>
      </w:pPr>
      <w:r w:rsidRPr="008640C4">
        <w:rPr>
          <w:lang w:val="en-GB"/>
        </w:rPr>
        <w:t>Deng, HX., Wang, WQ., Zhao, Y. (2018). Optimi</w:t>
      </w:r>
      <w:r w:rsidR="001F3921">
        <w:rPr>
          <w:lang w:val="en-GB"/>
        </w:rPr>
        <w:t>s</w:t>
      </w:r>
      <w:r w:rsidRPr="008640C4">
        <w:rPr>
          <w:lang w:val="en-GB"/>
        </w:rPr>
        <w:t xml:space="preserve">ation design of end-of-life vehicle recycling system based on </w:t>
      </w:r>
      <w:proofErr w:type="spellStart"/>
      <w:r w:rsidRPr="008640C4">
        <w:rPr>
          <w:lang w:val="en-GB"/>
        </w:rPr>
        <w:t>ExtendSim</w:t>
      </w:r>
      <w:proofErr w:type="spellEnd"/>
      <w:r w:rsidRPr="008640C4">
        <w:rPr>
          <w:lang w:val="en-GB"/>
        </w:rPr>
        <w:t xml:space="preserve">. </w:t>
      </w:r>
      <w:r w:rsidRPr="008640C4">
        <w:rPr>
          <w:i/>
          <w:lang w:val="en-GB"/>
        </w:rPr>
        <w:t xml:space="preserve">University </w:t>
      </w:r>
      <w:proofErr w:type="spellStart"/>
      <w:r w:rsidRPr="008640C4">
        <w:rPr>
          <w:i/>
          <w:lang w:val="en-GB"/>
        </w:rPr>
        <w:t>Politehnica</w:t>
      </w:r>
      <w:proofErr w:type="spellEnd"/>
      <w:r w:rsidRPr="008640C4">
        <w:rPr>
          <w:i/>
          <w:lang w:val="en-GB"/>
        </w:rPr>
        <w:t xml:space="preserve"> of Bucharest Scientific Bulletin Series C-Electrical Engineering and Computer Science</w:t>
      </w:r>
      <w:r w:rsidRPr="00D526FE">
        <w:rPr>
          <w:iCs/>
          <w:lang w:val="en-GB"/>
        </w:rPr>
        <w:t xml:space="preserve">, </w:t>
      </w:r>
      <w:r w:rsidRPr="00D526FE">
        <w:rPr>
          <w:i/>
          <w:iCs/>
          <w:lang w:val="en-GB"/>
        </w:rPr>
        <w:t>80</w:t>
      </w:r>
      <w:r w:rsidRPr="008640C4">
        <w:rPr>
          <w:lang w:val="en-GB"/>
        </w:rPr>
        <w:t>(3), 95-108.</w:t>
      </w:r>
    </w:p>
    <w:p w14:paraId="43F298BA" w14:textId="77777777" w:rsidR="00CD2013" w:rsidRPr="008640C4" w:rsidRDefault="00CD2013" w:rsidP="00ED13BF">
      <w:pPr>
        <w:pStyle w:val="Rlit"/>
        <w:rPr>
          <w:lang w:val="en-GB"/>
        </w:rPr>
      </w:pPr>
      <w:r w:rsidRPr="008640C4">
        <w:rPr>
          <w:lang w:val="en-GB"/>
        </w:rPr>
        <w:lastRenderedPageBreak/>
        <w:t xml:space="preserve">Dia, G., Zhou, Z. (2018). Human </w:t>
      </w:r>
      <w:proofErr w:type="spellStart"/>
      <w:r w:rsidRPr="008640C4">
        <w:rPr>
          <w:lang w:val="en-GB"/>
        </w:rPr>
        <w:t>Centered</w:t>
      </w:r>
      <w:proofErr w:type="spellEnd"/>
      <w:r w:rsidRPr="008640C4">
        <w:rPr>
          <w:lang w:val="en-GB"/>
        </w:rPr>
        <w:t xml:space="preserve"> Automation System for ELV Disassembly Line. </w:t>
      </w:r>
      <w:r w:rsidRPr="008640C4">
        <w:rPr>
          <w:i/>
          <w:lang w:val="en-GB"/>
        </w:rPr>
        <w:t>Lecture Notes in Electrical Engineering</w:t>
      </w:r>
      <w:r w:rsidRPr="00D526FE">
        <w:rPr>
          <w:iCs/>
          <w:lang w:val="en-GB"/>
        </w:rPr>
        <w:t xml:space="preserve">, </w:t>
      </w:r>
      <w:r w:rsidRPr="008640C4">
        <w:rPr>
          <w:lang w:val="en-GB"/>
        </w:rPr>
        <w:t xml:space="preserve">451, 347-355. </w:t>
      </w:r>
      <w:r w:rsidRPr="00D41DEA">
        <w:rPr>
          <w:lang w:val="en-GB"/>
        </w:rPr>
        <w:t>https://doi.org/</w:t>
      </w:r>
      <w:r w:rsidRPr="008640C4">
        <w:rPr>
          <w:lang w:val="en-GB"/>
        </w:rPr>
        <w:t>10.1007/978-981-10-5768-7_37</w:t>
      </w:r>
    </w:p>
    <w:p w14:paraId="4CD9FE26" w14:textId="77777777" w:rsidR="00CD2013" w:rsidRPr="008640C4" w:rsidRDefault="00CD2013" w:rsidP="00ED13BF">
      <w:pPr>
        <w:pStyle w:val="Rlit"/>
        <w:rPr>
          <w:lang w:val="en-GB"/>
        </w:rPr>
      </w:pPr>
      <w:proofErr w:type="spellStart"/>
      <w:r w:rsidRPr="008640C4">
        <w:rPr>
          <w:lang w:val="en-GB"/>
        </w:rPr>
        <w:t>Ekosystem</w:t>
      </w:r>
      <w:proofErr w:type="spellEnd"/>
      <w:r w:rsidRPr="008640C4">
        <w:rPr>
          <w:lang w:val="en-GB"/>
        </w:rPr>
        <w:t xml:space="preserve"> </w:t>
      </w:r>
      <w:r>
        <w:rPr>
          <w:lang w:val="en-GB"/>
        </w:rPr>
        <w:t>C</w:t>
      </w:r>
      <w:r w:rsidRPr="00CD2013">
        <w:rPr>
          <w:lang w:val="en-GB"/>
        </w:rPr>
        <w:t>ompany</w:t>
      </w:r>
      <w:r w:rsidRPr="008640C4">
        <w:rPr>
          <w:lang w:val="en-GB"/>
        </w:rPr>
        <w:t xml:space="preserve"> (2015). https://kontakt.ekosystem.wroc.pl/</w:t>
      </w:r>
    </w:p>
    <w:p w14:paraId="61F7C4D4" w14:textId="77777777" w:rsidR="00CD2013" w:rsidRPr="008640C4" w:rsidRDefault="00CD2013" w:rsidP="00D526FE">
      <w:pPr>
        <w:pStyle w:val="Rlit"/>
        <w:jc w:val="left"/>
        <w:rPr>
          <w:lang w:val="en-GB"/>
        </w:rPr>
      </w:pPr>
      <w:r w:rsidRPr="008640C4">
        <w:rPr>
          <w:lang w:val="en-GB"/>
        </w:rPr>
        <w:t>European Parliament and Council Directive 94/62/</w:t>
      </w:r>
      <w:proofErr w:type="spellStart"/>
      <w:r w:rsidRPr="008640C4">
        <w:rPr>
          <w:lang w:val="en-GB"/>
        </w:rPr>
        <w:t>ec</w:t>
      </w:r>
      <w:proofErr w:type="spellEnd"/>
      <w:r w:rsidRPr="008640C4">
        <w:rPr>
          <w:lang w:val="en-GB"/>
        </w:rPr>
        <w:t>; https://eur-lex.europa.eu/legal-content/eng/TXT/PDF/?uri=CELEX:31994L0062&amp;from=LV</w:t>
      </w:r>
    </w:p>
    <w:p w14:paraId="7946EEBA" w14:textId="77777777" w:rsidR="00CD2013" w:rsidRPr="008640C4" w:rsidRDefault="00CD2013" w:rsidP="00ED13BF">
      <w:pPr>
        <w:pStyle w:val="Rlit"/>
        <w:rPr>
          <w:i/>
          <w:iCs/>
          <w:lang w:val="en-GB"/>
        </w:rPr>
      </w:pPr>
      <w:proofErr w:type="spellStart"/>
      <w:r w:rsidRPr="008640C4">
        <w:rPr>
          <w:lang w:val="en-GB"/>
        </w:rPr>
        <w:t>Gabryelewicz</w:t>
      </w:r>
      <w:proofErr w:type="spellEnd"/>
      <w:r>
        <w:rPr>
          <w:lang w:val="en-GB"/>
        </w:rPr>
        <w:t>,</w:t>
      </w:r>
      <w:r w:rsidRPr="008640C4">
        <w:rPr>
          <w:lang w:val="en-GB"/>
        </w:rPr>
        <w:t xml:space="preserve"> I., Lenort</w:t>
      </w:r>
      <w:r>
        <w:rPr>
          <w:lang w:val="en-GB"/>
        </w:rPr>
        <w:t>,</w:t>
      </w:r>
      <w:r w:rsidRPr="008640C4">
        <w:rPr>
          <w:lang w:val="en-GB"/>
        </w:rPr>
        <w:t xml:space="preserve"> R., </w:t>
      </w:r>
      <w:proofErr w:type="spellStart"/>
      <w:r w:rsidRPr="008640C4">
        <w:rPr>
          <w:lang w:val="en-GB"/>
        </w:rPr>
        <w:t>Wędrychowicz</w:t>
      </w:r>
      <w:proofErr w:type="spellEnd"/>
      <w:r>
        <w:rPr>
          <w:lang w:val="en-GB"/>
        </w:rPr>
        <w:t>,</w:t>
      </w:r>
      <w:r w:rsidRPr="008640C4">
        <w:rPr>
          <w:lang w:val="en-GB"/>
        </w:rPr>
        <w:t xml:space="preserve"> M., Krupa</w:t>
      </w:r>
      <w:r>
        <w:rPr>
          <w:lang w:val="en-GB"/>
        </w:rPr>
        <w:t>,</w:t>
      </w:r>
      <w:r w:rsidRPr="008640C4">
        <w:rPr>
          <w:lang w:val="en-GB"/>
        </w:rPr>
        <w:t xml:space="preserve"> P., Woźniak</w:t>
      </w:r>
      <w:r>
        <w:rPr>
          <w:lang w:val="en-GB"/>
        </w:rPr>
        <w:t>,</w:t>
      </w:r>
      <w:r w:rsidRPr="008640C4">
        <w:rPr>
          <w:lang w:val="en-GB"/>
        </w:rPr>
        <w:t xml:space="preserve"> W. (2021). Environmental Loads Resulting from Manufacturing Technology</w:t>
      </w:r>
      <w:r>
        <w:rPr>
          <w:lang w:val="en-GB"/>
        </w:rPr>
        <w:t>.</w:t>
      </w:r>
      <w:r w:rsidRPr="008640C4">
        <w:rPr>
          <w:lang w:val="en-GB"/>
        </w:rPr>
        <w:t xml:space="preserve"> </w:t>
      </w:r>
      <w:proofErr w:type="spellStart"/>
      <w:r w:rsidRPr="008640C4">
        <w:rPr>
          <w:i/>
          <w:iCs/>
          <w:lang w:val="en-GB"/>
        </w:rPr>
        <w:t>Rocznik</w:t>
      </w:r>
      <w:proofErr w:type="spellEnd"/>
      <w:r w:rsidRPr="008640C4">
        <w:rPr>
          <w:i/>
          <w:iCs/>
          <w:lang w:val="en-GB"/>
        </w:rPr>
        <w:t xml:space="preserve"> </w:t>
      </w:r>
      <w:proofErr w:type="spellStart"/>
      <w:r w:rsidRPr="008640C4">
        <w:rPr>
          <w:i/>
          <w:iCs/>
          <w:lang w:val="en-GB"/>
        </w:rPr>
        <w:t>Ochrona</w:t>
      </w:r>
      <w:proofErr w:type="spellEnd"/>
      <w:r w:rsidRPr="008640C4">
        <w:rPr>
          <w:i/>
          <w:iCs/>
          <w:lang w:val="en-GB"/>
        </w:rPr>
        <w:t xml:space="preserve"> </w:t>
      </w:r>
      <w:proofErr w:type="spellStart"/>
      <w:r w:rsidRPr="008640C4">
        <w:rPr>
          <w:i/>
          <w:iCs/>
          <w:lang w:val="en-GB"/>
        </w:rPr>
        <w:t>Środowiska</w:t>
      </w:r>
      <w:proofErr w:type="spellEnd"/>
      <w:r w:rsidRPr="00D526FE">
        <w:rPr>
          <w:lang w:val="en-GB"/>
        </w:rPr>
        <w:t xml:space="preserve">, </w:t>
      </w:r>
      <w:r w:rsidRPr="008640C4">
        <w:rPr>
          <w:i/>
          <w:iCs/>
          <w:lang w:val="en-GB"/>
        </w:rPr>
        <w:t>23</w:t>
      </w:r>
      <w:r w:rsidRPr="008640C4">
        <w:rPr>
          <w:lang w:val="en-GB"/>
        </w:rPr>
        <w:t>,</w:t>
      </w:r>
      <w:r w:rsidRPr="00D526FE">
        <w:rPr>
          <w:lang w:val="en-GB"/>
        </w:rPr>
        <w:t xml:space="preserve"> 613-628.</w:t>
      </w:r>
      <w:r>
        <w:rPr>
          <w:lang w:val="en-GB"/>
        </w:rPr>
        <w:t xml:space="preserve"> </w:t>
      </w:r>
      <w:r w:rsidRPr="00532274">
        <w:rPr>
          <w:lang w:val="en-GB"/>
        </w:rPr>
        <w:t>https://doi.org/10.54740/ros.2021.043</w:t>
      </w:r>
    </w:p>
    <w:p w14:paraId="31413D1F" w14:textId="77777777" w:rsidR="00CD2013" w:rsidRPr="00644F8C" w:rsidRDefault="00CD2013" w:rsidP="00ED13BF">
      <w:pPr>
        <w:pStyle w:val="Rlit"/>
        <w:rPr>
          <w:spacing w:val="-2"/>
          <w:shd w:val="clear" w:color="auto" w:fill="FFFFFF"/>
          <w:lang w:val="en-GB"/>
        </w:rPr>
      </w:pPr>
      <w:proofErr w:type="spellStart"/>
      <w:r w:rsidRPr="00644F8C">
        <w:rPr>
          <w:spacing w:val="-2"/>
          <w:lang w:val="en-GB"/>
        </w:rPr>
        <w:t>Gabryelewicz</w:t>
      </w:r>
      <w:proofErr w:type="spellEnd"/>
      <w:r w:rsidRPr="00644F8C">
        <w:rPr>
          <w:spacing w:val="-2"/>
          <w:lang w:val="en-GB"/>
        </w:rPr>
        <w:t xml:space="preserve">, I., </w:t>
      </w:r>
      <w:proofErr w:type="spellStart"/>
      <w:r w:rsidRPr="00644F8C">
        <w:rPr>
          <w:spacing w:val="-2"/>
          <w:lang w:val="en-GB"/>
        </w:rPr>
        <w:t>Wędrychowicz</w:t>
      </w:r>
      <w:proofErr w:type="spellEnd"/>
      <w:r w:rsidRPr="00644F8C">
        <w:rPr>
          <w:spacing w:val="-2"/>
          <w:lang w:val="en-GB"/>
        </w:rPr>
        <w:t xml:space="preserve">, M., Woźniak, W., Besta, P. (2022). </w:t>
      </w:r>
      <w:hyperlink r:id="rId16" w:tgtFrame="_self" w:history="1">
        <w:r w:rsidRPr="00644F8C">
          <w:rPr>
            <w:rStyle w:val="Hipercze"/>
            <w:color w:val="auto"/>
            <w:spacing w:val="-2"/>
            <w:u w:val="none"/>
            <w:bdr w:val="none" w:sz="0" w:space="0" w:color="auto" w:frame="1"/>
            <w:shd w:val="clear" w:color="auto" w:fill="FFFFFF"/>
            <w:lang w:val="en-GB"/>
          </w:rPr>
          <w:t>SEVESO III Directive – Information on Establishments with a High or Increased Risk of a Major Industrial Accident</w:t>
        </w:r>
      </w:hyperlink>
      <w:r w:rsidRPr="00644F8C">
        <w:rPr>
          <w:rStyle w:val="Hipercze"/>
          <w:color w:val="auto"/>
          <w:spacing w:val="-2"/>
          <w:u w:val="none"/>
          <w:bdr w:val="none" w:sz="0" w:space="0" w:color="auto" w:frame="1"/>
          <w:shd w:val="clear" w:color="auto" w:fill="FFFFFF"/>
          <w:lang w:val="en-GB"/>
        </w:rPr>
        <w:t>.</w:t>
      </w:r>
      <w:r w:rsidRPr="00644F8C">
        <w:rPr>
          <w:spacing w:val="-2"/>
          <w:lang w:val="en-GB"/>
        </w:rPr>
        <w:t xml:space="preserve"> </w:t>
      </w:r>
      <w:proofErr w:type="spellStart"/>
      <w:r w:rsidRPr="00644F8C">
        <w:rPr>
          <w:i/>
          <w:iCs/>
          <w:spacing w:val="-2"/>
          <w:lang w:val="en-GB"/>
        </w:rPr>
        <w:t>Rocznik</w:t>
      </w:r>
      <w:proofErr w:type="spellEnd"/>
      <w:r w:rsidRPr="00644F8C">
        <w:rPr>
          <w:i/>
          <w:iCs/>
          <w:spacing w:val="-2"/>
          <w:lang w:val="en-GB"/>
        </w:rPr>
        <w:t xml:space="preserve"> </w:t>
      </w:r>
      <w:proofErr w:type="spellStart"/>
      <w:r w:rsidRPr="00644F8C">
        <w:rPr>
          <w:i/>
          <w:iCs/>
          <w:spacing w:val="-2"/>
          <w:lang w:val="en-GB"/>
        </w:rPr>
        <w:t>Ochrona</w:t>
      </w:r>
      <w:proofErr w:type="spellEnd"/>
      <w:r w:rsidRPr="00644F8C">
        <w:rPr>
          <w:i/>
          <w:iCs/>
          <w:spacing w:val="-2"/>
          <w:lang w:val="en-GB"/>
        </w:rPr>
        <w:t xml:space="preserve"> </w:t>
      </w:r>
      <w:proofErr w:type="spellStart"/>
      <w:r w:rsidRPr="00644F8C">
        <w:rPr>
          <w:i/>
          <w:iCs/>
          <w:spacing w:val="-2"/>
          <w:lang w:val="en-GB"/>
        </w:rPr>
        <w:t>Środowiska</w:t>
      </w:r>
      <w:proofErr w:type="spellEnd"/>
      <w:r w:rsidRPr="00644F8C">
        <w:rPr>
          <w:spacing w:val="-2"/>
          <w:lang w:val="en-GB"/>
        </w:rPr>
        <w:t xml:space="preserve">, </w:t>
      </w:r>
      <w:r w:rsidRPr="00644F8C">
        <w:rPr>
          <w:i/>
          <w:iCs/>
          <w:spacing w:val="-2"/>
          <w:lang w:val="en-GB"/>
        </w:rPr>
        <w:t>24</w:t>
      </w:r>
      <w:r w:rsidRPr="00644F8C">
        <w:rPr>
          <w:spacing w:val="-2"/>
          <w:lang w:val="en-GB"/>
        </w:rPr>
        <w:t xml:space="preserve">, </w:t>
      </w:r>
      <w:r w:rsidRPr="00644F8C">
        <w:rPr>
          <w:spacing w:val="-2"/>
          <w:shd w:val="clear" w:color="auto" w:fill="FFFFFF"/>
          <w:lang w:val="en-GB"/>
        </w:rPr>
        <w:t>383-392. https://doi.org/10.54740/ros.2022.027</w:t>
      </w:r>
    </w:p>
    <w:p w14:paraId="2ED2A94D" w14:textId="77777777" w:rsidR="00CD2013" w:rsidRPr="00644F8C" w:rsidRDefault="00CD2013" w:rsidP="00ED13BF">
      <w:pPr>
        <w:pStyle w:val="Rlit"/>
        <w:rPr>
          <w:spacing w:val="-4"/>
          <w:lang w:val="en-GB"/>
        </w:rPr>
      </w:pPr>
      <w:proofErr w:type="spellStart"/>
      <w:r w:rsidRPr="00644F8C">
        <w:rPr>
          <w:spacing w:val="-4"/>
          <w:lang w:val="en-GB"/>
        </w:rPr>
        <w:t>Guidoni</w:t>
      </w:r>
      <w:proofErr w:type="spellEnd"/>
      <w:r w:rsidRPr="00644F8C">
        <w:rPr>
          <w:spacing w:val="-4"/>
          <w:lang w:val="en-GB"/>
        </w:rPr>
        <w:t xml:space="preserve">, L.L.C., Marques, R.V., Moncks, R.B., Botelho, F.T., da Paz, M.F., Corrêa, L.B. &amp; Corrêa, É.K. (2018). Home composting using different ratios of bulking agent to food waste. </w:t>
      </w:r>
      <w:r w:rsidRPr="00644F8C">
        <w:rPr>
          <w:i/>
          <w:spacing w:val="-4"/>
          <w:lang w:val="en-GB"/>
        </w:rPr>
        <w:t>Journal of environmental management</w:t>
      </w:r>
      <w:r w:rsidRPr="00644F8C">
        <w:rPr>
          <w:spacing w:val="-4"/>
          <w:lang w:val="en-GB"/>
        </w:rPr>
        <w:t>, 207, 141-150.</w:t>
      </w:r>
    </w:p>
    <w:p w14:paraId="62B5BD0C" w14:textId="77777777" w:rsidR="00CD2013" w:rsidRPr="008640C4" w:rsidRDefault="00CD2013" w:rsidP="00ED13BF">
      <w:pPr>
        <w:pStyle w:val="Rlit"/>
        <w:rPr>
          <w:lang w:val="en-GB"/>
        </w:rPr>
      </w:pPr>
      <w:r w:rsidRPr="008640C4">
        <w:rPr>
          <w:lang w:val="en-GB"/>
        </w:rPr>
        <w:t xml:space="preserve">Higgs, G. (2006). Integrating multi-criteria techniques with geographical information systems in waste facility location to enhance public participation. </w:t>
      </w:r>
      <w:r w:rsidRPr="008640C4">
        <w:rPr>
          <w:i/>
          <w:lang w:val="en-GB"/>
        </w:rPr>
        <w:t>Waste management &amp; research</w:t>
      </w:r>
      <w:r w:rsidRPr="008640C4">
        <w:rPr>
          <w:lang w:val="en-GB"/>
        </w:rPr>
        <w:t xml:space="preserve">, </w:t>
      </w:r>
      <w:r w:rsidRPr="00D526FE">
        <w:rPr>
          <w:i/>
          <w:iCs/>
          <w:lang w:val="en-GB"/>
        </w:rPr>
        <w:t>24</w:t>
      </w:r>
      <w:r w:rsidRPr="008640C4">
        <w:rPr>
          <w:lang w:val="en-GB"/>
        </w:rPr>
        <w:t>(2), 105-117.</w:t>
      </w:r>
    </w:p>
    <w:p w14:paraId="71225989" w14:textId="77777777" w:rsidR="00CD2013" w:rsidRPr="008640C4" w:rsidRDefault="00CD2013" w:rsidP="00ED13BF">
      <w:pPr>
        <w:pStyle w:val="Rlit"/>
        <w:rPr>
          <w:lang w:val="en-GB"/>
        </w:rPr>
      </w:pPr>
      <w:r w:rsidRPr="008640C4">
        <w:rPr>
          <w:lang w:val="en-GB"/>
        </w:rPr>
        <w:t xml:space="preserve">Izdebski, M., </w:t>
      </w:r>
      <w:proofErr w:type="spellStart"/>
      <w:r w:rsidRPr="008640C4">
        <w:rPr>
          <w:lang w:val="en-GB"/>
        </w:rPr>
        <w:t>Jacyna</w:t>
      </w:r>
      <w:proofErr w:type="spellEnd"/>
      <w:r w:rsidRPr="008640C4">
        <w:rPr>
          <w:lang w:val="en-GB"/>
        </w:rPr>
        <w:t xml:space="preserve">, M. (2018). The Organization of Municipal Waste Collection: the Decision Model. </w:t>
      </w:r>
      <w:proofErr w:type="spellStart"/>
      <w:r w:rsidRPr="008640C4">
        <w:rPr>
          <w:i/>
          <w:lang w:val="en-GB"/>
        </w:rPr>
        <w:t>Rocznik</w:t>
      </w:r>
      <w:proofErr w:type="spellEnd"/>
      <w:r w:rsidRPr="008640C4">
        <w:rPr>
          <w:i/>
          <w:lang w:val="en-GB"/>
        </w:rPr>
        <w:t xml:space="preserve"> </w:t>
      </w:r>
      <w:proofErr w:type="spellStart"/>
      <w:r w:rsidRPr="008640C4">
        <w:rPr>
          <w:i/>
          <w:lang w:val="en-GB"/>
        </w:rPr>
        <w:t>Ochrona</w:t>
      </w:r>
      <w:proofErr w:type="spellEnd"/>
      <w:r w:rsidRPr="008640C4">
        <w:rPr>
          <w:i/>
          <w:lang w:val="en-GB"/>
        </w:rPr>
        <w:t xml:space="preserve"> </w:t>
      </w:r>
      <w:proofErr w:type="spellStart"/>
      <w:r w:rsidRPr="008640C4">
        <w:rPr>
          <w:i/>
          <w:lang w:val="en-GB"/>
        </w:rPr>
        <w:t>Srodowiska</w:t>
      </w:r>
      <w:proofErr w:type="spellEnd"/>
      <w:r w:rsidRPr="00D526FE">
        <w:rPr>
          <w:iCs/>
          <w:lang w:val="en-GB"/>
        </w:rPr>
        <w:t xml:space="preserve">, </w:t>
      </w:r>
      <w:r w:rsidRPr="008640C4">
        <w:rPr>
          <w:lang w:val="en-GB"/>
        </w:rPr>
        <w:t>20, 919-933.</w:t>
      </w:r>
    </w:p>
    <w:p w14:paraId="4DD1D75A" w14:textId="77777777" w:rsidR="00CD2013" w:rsidRPr="008640C4" w:rsidRDefault="00CD2013" w:rsidP="00ED13BF">
      <w:pPr>
        <w:pStyle w:val="Rlit"/>
        <w:rPr>
          <w:lang w:val="en-GB"/>
        </w:rPr>
      </w:pPr>
      <w:r w:rsidRPr="008640C4">
        <w:rPr>
          <w:lang w:val="en-GB"/>
        </w:rPr>
        <w:t xml:space="preserve">Kirkman, R., </w:t>
      </w:r>
      <w:proofErr w:type="spellStart"/>
      <w:r w:rsidRPr="008640C4">
        <w:rPr>
          <w:lang w:val="en-GB"/>
        </w:rPr>
        <w:t>Voulvoulis</w:t>
      </w:r>
      <w:proofErr w:type="spellEnd"/>
      <w:r w:rsidRPr="008640C4">
        <w:rPr>
          <w:lang w:val="en-GB"/>
        </w:rPr>
        <w:t xml:space="preserve">, N. (2017). The role of public communication in decision making for waste management infrastructure. </w:t>
      </w:r>
      <w:r w:rsidRPr="008640C4">
        <w:rPr>
          <w:i/>
          <w:lang w:val="en-GB"/>
        </w:rPr>
        <w:t>Journal of environmental management</w:t>
      </w:r>
      <w:r w:rsidRPr="008640C4">
        <w:rPr>
          <w:lang w:val="en-GB"/>
        </w:rPr>
        <w:t xml:space="preserve">, </w:t>
      </w:r>
      <w:r w:rsidRPr="00D526FE">
        <w:rPr>
          <w:i/>
          <w:iCs/>
          <w:lang w:val="en-GB"/>
        </w:rPr>
        <w:t>203</w:t>
      </w:r>
      <w:r w:rsidRPr="008640C4">
        <w:rPr>
          <w:lang w:val="en-GB"/>
        </w:rPr>
        <w:t>, 640-647.</w:t>
      </w:r>
    </w:p>
    <w:p w14:paraId="063F77D5" w14:textId="0C8EDD0C" w:rsidR="00CD2013" w:rsidRPr="00644F8C" w:rsidRDefault="00CD2013" w:rsidP="00ED13BF">
      <w:pPr>
        <w:pStyle w:val="Rlit"/>
        <w:rPr>
          <w:spacing w:val="-2"/>
          <w:lang w:val="en-GB"/>
        </w:rPr>
      </w:pPr>
      <w:proofErr w:type="spellStart"/>
      <w:r w:rsidRPr="00644F8C">
        <w:rPr>
          <w:spacing w:val="-2"/>
          <w:lang w:val="en-GB"/>
        </w:rPr>
        <w:t>Kodaniec</w:t>
      </w:r>
      <w:proofErr w:type="spellEnd"/>
      <w:r w:rsidRPr="00644F8C">
        <w:rPr>
          <w:spacing w:val="-2"/>
          <w:lang w:val="en-GB"/>
        </w:rPr>
        <w:t xml:space="preserve">, B. (2002). </w:t>
      </w:r>
      <w:proofErr w:type="spellStart"/>
      <w:r w:rsidRPr="00644F8C">
        <w:rPr>
          <w:i/>
          <w:iCs/>
          <w:spacing w:val="-2"/>
          <w:lang w:val="en-GB"/>
        </w:rPr>
        <w:t>Rocznik</w:t>
      </w:r>
      <w:proofErr w:type="spellEnd"/>
      <w:r w:rsidRPr="00644F8C">
        <w:rPr>
          <w:i/>
          <w:iCs/>
          <w:spacing w:val="-2"/>
          <w:lang w:val="en-GB"/>
        </w:rPr>
        <w:t xml:space="preserve"> </w:t>
      </w:r>
      <w:proofErr w:type="spellStart"/>
      <w:r w:rsidRPr="00644F8C">
        <w:rPr>
          <w:i/>
          <w:iCs/>
          <w:spacing w:val="-2"/>
          <w:lang w:val="en-GB"/>
        </w:rPr>
        <w:t>Statystyczny</w:t>
      </w:r>
      <w:proofErr w:type="spellEnd"/>
      <w:r w:rsidRPr="00644F8C">
        <w:rPr>
          <w:i/>
          <w:iCs/>
          <w:spacing w:val="-2"/>
          <w:lang w:val="en-GB"/>
        </w:rPr>
        <w:t xml:space="preserve"> </w:t>
      </w:r>
      <w:proofErr w:type="spellStart"/>
      <w:r w:rsidRPr="00644F8C">
        <w:rPr>
          <w:i/>
          <w:iCs/>
          <w:spacing w:val="-2"/>
          <w:lang w:val="en-GB"/>
        </w:rPr>
        <w:t>miasta</w:t>
      </w:r>
      <w:proofErr w:type="spellEnd"/>
      <w:r w:rsidRPr="00644F8C">
        <w:rPr>
          <w:i/>
          <w:iCs/>
          <w:spacing w:val="-2"/>
          <w:lang w:val="en-GB"/>
        </w:rPr>
        <w:t xml:space="preserve"> </w:t>
      </w:r>
      <w:proofErr w:type="spellStart"/>
      <w:r w:rsidRPr="00644F8C">
        <w:rPr>
          <w:i/>
          <w:iCs/>
          <w:spacing w:val="-2"/>
          <w:lang w:val="en-GB"/>
        </w:rPr>
        <w:t>Wrocławia</w:t>
      </w:r>
      <w:proofErr w:type="spellEnd"/>
      <w:r w:rsidR="00644F8C" w:rsidRPr="00644F8C">
        <w:rPr>
          <w:spacing w:val="-2"/>
          <w:lang w:val="en-GB"/>
        </w:rPr>
        <w:t>.</w:t>
      </w:r>
      <w:r w:rsidRPr="00644F8C">
        <w:rPr>
          <w:spacing w:val="-2"/>
          <w:lang w:val="en-GB"/>
        </w:rPr>
        <w:t xml:space="preserve"> </w:t>
      </w:r>
      <w:proofErr w:type="spellStart"/>
      <w:r w:rsidRPr="00644F8C">
        <w:rPr>
          <w:spacing w:val="-2"/>
          <w:lang w:val="en-GB"/>
        </w:rPr>
        <w:t>Wydział</w:t>
      </w:r>
      <w:proofErr w:type="spellEnd"/>
      <w:r w:rsidRPr="00644F8C">
        <w:rPr>
          <w:spacing w:val="-2"/>
          <w:lang w:val="en-GB"/>
        </w:rPr>
        <w:t xml:space="preserve"> </w:t>
      </w:r>
      <w:proofErr w:type="spellStart"/>
      <w:r w:rsidRPr="00644F8C">
        <w:rPr>
          <w:spacing w:val="-2"/>
          <w:lang w:val="en-GB"/>
        </w:rPr>
        <w:t>Poligrafii</w:t>
      </w:r>
      <w:proofErr w:type="spellEnd"/>
      <w:r w:rsidRPr="00644F8C">
        <w:rPr>
          <w:spacing w:val="-2"/>
          <w:lang w:val="en-GB"/>
        </w:rPr>
        <w:t xml:space="preserve"> Legnica, </w:t>
      </w:r>
      <w:proofErr w:type="spellStart"/>
      <w:r w:rsidRPr="00644F8C">
        <w:rPr>
          <w:spacing w:val="-2"/>
          <w:lang w:val="en-GB"/>
        </w:rPr>
        <w:t>ul</w:t>
      </w:r>
      <w:proofErr w:type="spellEnd"/>
      <w:r w:rsidRPr="00644F8C">
        <w:rPr>
          <w:spacing w:val="-2"/>
          <w:lang w:val="en-GB"/>
        </w:rPr>
        <w:t xml:space="preserve">. </w:t>
      </w:r>
      <w:proofErr w:type="spellStart"/>
      <w:r w:rsidRPr="00644F8C">
        <w:rPr>
          <w:spacing w:val="-2"/>
          <w:lang w:val="en-GB"/>
        </w:rPr>
        <w:t>Jaworzyńska</w:t>
      </w:r>
      <w:proofErr w:type="spellEnd"/>
      <w:r w:rsidRPr="00644F8C">
        <w:rPr>
          <w:spacing w:val="-2"/>
          <w:lang w:val="en-GB"/>
        </w:rPr>
        <w:t xml:space="preserve"> 65.</w:t>
      </w:r>
      <w:r w:rsidRPr="00644F8C">
        <w:rPr>
          <w:spacing w:val="-2"/>
        </w:rPr>
        <w:t xml:space="preserve"> (in Polish)</w:t>
      </w:r>
    </w:p>
    <w:p w14:paraId="4BE4DB94" w14:textId="4D7498DD" w:rsidR="00CD2013" w:rsidRPr="008640C4" w:rsidRDefault="00CD2013" w:rsidP="00ED13BF">
      <w:pPr>
        <w:pStyle w:val="Rlit"/>
        <w:rPr>
          <w:lang w:val="en-GB"/>
        </w:rPr>
      </w:pPr>
      <w:proofErr w:type="spellStart"/>
      <w:r w:rsidRPr="008640C4">
        <w:rPr>
          <w:lang w:val="en-GB"/>
        </w:rPr>
        <w:t>Korzeń</w:t>
      </w:r>
      <w:proofErr w:type="spellEnd"/>
      <w:r w:rsidRPr="008640C4">
        <w:rPr>
          <w:lang w:val="en-GB"/>
        </w:rPr>
        <w:t xml:space="preserve">, Z. (2001). </w:t>
      </w:r>
      <w:proofErr w:type="spellStart"/>
      <w:r w:rsidRPr="00644F8C">
        <w:rPr>
          <w:i/>
          <w:iCs/>
          <w:lang w:val="en-GB"/>
        </w:rPr>
        <w:t>Ekologistyka</w:t>
      </w:r>
      <w:proofErr w:type="spellEnd"/>
      <w:r w:rsidR="00644F8C">
        <w:rPr>
          <w:lang w:val="en-GB"/>
        </w:rPr>
        <w:t>.</w:t>
      </w:r>
      <w:r w:rsidRPr="008640C4">
        <w:rPr>
          <w:lang w:val="en-GB"/>
        </w:rPr>
        <w:t xml:space="preserve"> </w:t>
      </w:r>
      <w:proofErr w:type="spellStart"/>
      <w:r w:rsidRPr="008640C4">
        <w:rPr>
          <w:lang w:val="en-GB"/>
        </w:rPr>
        <w:t>Instytut</w:t>
      </w:r>
      <w:proofErr w:type="spellEnd"/>
      <w:r w:rsidRPr="008640C4">
        <w:rPr>
          <w:lang w:val="en-GB"/>
        </w:rPr>
        <w:t xml:space="preserve"> </w:t>
      </w:r>
      <w:proofErr w:type="spellStart"/>
      <w:r w:rsidRPr="008640C4">
        <w:rPr>
          <w:lang w:val="en-GB"/>
        </w:rPr>
        <w:t>Logistyki</w:t>
      </w:r>
      <w:proofErr w:type="spellEnd"/>
      <w:r w:rsidRPr="008640C4">
        <w:rPr>
          <w:lang w:val="en-GB"/>
        </w:rPr>
        <w:t xml:space="preserve"> </w:t>
      </w:r>
      <w:proofErr w:type="spellStart"/>
      <w:r w:rsidRPr="008640C4">
        <w:rPr>
          <w:lang w:val="en-GB"/>
        </w:rPr>
        <w:t>i</w:t>
      </w:r>
      <w:proofErr w:type="spellEnd"/>
      <w:r w:rsidRPr="008640C4">
        <w:rPr>
          <w:lang w:val="en-GB"/>
        </w:rPr>
        <w:t xml:space="preserve"> </w:t>
      </w:r>
      <w:proofErr w:type="spellStart"/>
      <w:r w:rsidRPr="008640C4">
        <w:rPr>
          <w:lang w:val="en-GB"/>
        </w:rPr>
        <w:t>Magazynowania</w:t>
      </w:r>
      <w:proofErr w:type="spellEnd"/>
      <w:r w:rsidRPr="008640C4">
        <w:rPr>
          <w:lang w:val="en-GB"/>
        </w:rPr>
        <w:t xml:space="preserve">, </w:t>
      </w:r>
      <w:proofErr w:type="spellStart"/>
      <w:r w:rsidRPr="008640C4">
        <w:rPr>
          <w:lang w:val="en-GB"/>
        </w:rPr>
        <w:t>Poznań</w:t>
      </w:r>
      <w:proofErr w:type="spellEnd"/>
      <w:r w:rsidRPr="008640C4">
        <w:rPr>
          <w:lang w:val="en-GB"/>
        </w:rPr>
        <w:t>.</w:t>
      </w:r>
      <w:r w:rsidRPr="00D526FE">
        <w:t xml:space="preserve"> </w:t>
      </w:r>
      <w:r>
        <w:t>(in Polish)</w:t>
      </w:r>
    </w:p>
    <w:p w14:paraId="25C89542" w14:textId="77777777" w:rsidR="00CD2013" w:rsidRPr="008640C4" w:rsidRDefault="00CD2013" w:rsidP="00ED13BF">
      <w:pPr>
        <w:pStyle w:val="Rlit"/>
        <w:rPr>
          <w:lang w:val="en-GB"/>
        </w:rPr>
      </w:pPr>
      <w:r w:rsidRPr="008640C4">
        <w:rPr>
          <w:lang w:val="en-GB"/>
        </w:rPr>
        <w:t>Kozłowski</w:t>
      </w:r>
      <w:r>
        <w:rPr>
          <w:lang w:val="en-GB"/>
        </w:rPr>
        <w:t>,</w:t>
      </w:r>
      <w:r w:rsidRPr="008640C4">
        <w:rPr>
          <w:lang w:val="en-GB"/>
        </w:rPr>
        <w:t xml:space="preserve"> M. (2002). III </w:t>
      </w:r>
      <w:proofErr w:type="spellStart"/>
      <w:r w:rsidRPr="008640C4">
        <w:rPr>
          <w:lang w:val="en-GB"/>
        </w:rPr>
        <w:t>Międzynarodowa</w:t>
      </w:r>
      <w:proofErr w:type="spellEnd"/>
      <w:r w:rsidRPr="008640C4">
        <w:rPr>
          <w:lang w:val="en-GB"/>
        </w:rPr>
        <w:t xml:space="preserve"> </w:t>
      </w:r>
      <w:proofErr w:type="spellStart"/>
      <w:r w:rsidRPr="008640C4">
        <w:rPr>
          <w:lang w:val="en-GB"/>
        </w:rPr>
        <w:t>Konferencja</w:t>
      </w:r>
      <w:proofErr w:type="spellEnd"/>
      <w:r w:rsidRPr="008640C4">
        <w:rPr>
          <w:lang w:val="en-GB"/>
        </w:rPr>
        <w:t xml:space="preserve"> </w:t>
      </w:r>
      <w:proofErr w:type="spellStart"/>
      <w:r w:rsidRPr="008640C4">
        <w:rPr>
          <w:lang w:val="en-GB"/>
        </w:rPr>
        <w:t>Naukowa</w:t>
      </w:r>
      <w:proofErr w:type="spellEnd"/>
      <w:r w:rsidRPr="008640C4">
        <w:rPr>
          <w:lang w:val="en-GB"/>
        </w:rPr>
        <w:t xml:space="preserve"> „</w:t>
      </w:r>
      <w:proofErr w:type="spellStart"/>
      <w:r w:rsidRPr="008640C4">
        <w:rPr>
          <w:lang w:val="en-GB"/>
        </w:rPr>
        <w:t>Recykling</w:t>
      </w:r>
      <w:proofErr w:type="spellEnd"/>
      <w:r w:rsidRPr="008640C4">
        <w:rPr>
          <w:lang w:val="en-GB"/>
        </w:rPr>
        <w:t xml:space="preserve"> </w:t>
      </w:r>
      <w:proofErr w:type="spellStart"/>
      <w:r w:rsidRPr="008640C4">
        <w:rPr>
          <w:lang w:val="en-GB"/>
        </w:rPr>
        <w:t>Tworzyw</w:t>
      </w:r>
      <w:proofErr w:type="spellEnd"/>
      <w:r w:rsidRPr="008640C4">
        <w:rPr>
          <w:lang w:val="en-GB"/>
        </w:rPr>
        <w:t xml:space="preserve"> </w:t>
      </w:r>
      <w:proofErr w:type="spellStart"/>
      <w:r w:rsidRPr="008640C4">
        <w:rPr>
          <w:lang w:val="en-GB"/>
        </w:rPr>
        <w:t>Sztucznych</w:t>
      </w:r>
      <w:proofErr w:type="spellEnd"/>
      <w:r w:rsidRPr="008640C4">
        <w:rPr>
          <w:lang w:val="en-GB"/>
        </w:rPr>
        <w:t xml:space="preserve">”, </w:t>
      </w:r>
      <w:r w:rsidRPr="00B36FD9">
        <w:rPr>
          <w:lang w:val="en-GB"/>
        </w:rPr>
        <w:t xml:space="preserve">Publishing House of the </w:t>
      </w:r>
      <w:proofErr w:type="spellStart"/>
      <w:r w:rsidRPr="00B36FD9">
        <w:rPr>
          <w:lang w:val="en-GB"/>
        </w:rPr>
        <w:t>Wrocław</w:t>
      </w:r>
      <w:proofErr w:type="spellEnd"/>
      <w:r w:rsidRPr="00B36FD9">
        <w:rPr>
          <w:lang w:val="en-GB"/>
        </w:rPr>
        <w:t xml:space="preserve"> University of Science and Technology</w:t>
      </w:r>
      <w:r w:rsidRPr="008640C4">
        <w:rPr>
          <w:lang w:val="en-GB"/>
        </w:rPr>
        <w:t xml:space="preserve">, </w:t>
      </w:r>
      <w:proofErr w:type="spellStart"/>
      <w:r w:rsidRPr="008640C4">
        <w:rPr>
          <w:lang w:val="en-GB"/>
        </w:rPr>
        <w:t>Wrocław</w:t>
      </w:r>
      <w:proofErr w:type="spellEnd"/>
      <w:r w:rsidRPr="008640C4">
        <w:rPr>
          <w:lang w:val="en-GB"/>
        </w:rPr>
        <w:t xml:space="preserve"> 2002.</w:t>
      </w:r>
      <w:r w:rsidRPr="00D526FE">
        <w:t xml:space="preserve"> </w:t>
      </w:r>
      <w:r>
        <w:t>(in Polish)</w:t>
      </w:r>
    </w:p>
    <w:p w14:paraId="1B12CC50" w14:textId="54662AA7" w:rsidR="00CD2013" w:rsidRPr="008640C4" w:rsidRDefault="00CD2013" w:rsidP="00ED13BF">
      <w:pPr>
        <w:pStyle w:val="Rlit"/>
        <w:rPr>
          <w:lang w:val="en-GB"/>
        </w:rPr>
      </w:pPr>
      <w:proofErr w:type="spellStart"/>
      <w:r w:rsidRPr="008640C4">
        <w:rPr>
          <w:lang w:val="en-GB"/>
        </w:rPr>
        <w:t>Krzyśków</w:t>
      </w:r>
      <w:proofErr w:type="spellEnd"/>
      <w:r w:rsidRPr="008640C4">
        <w:rPr>
          <w:lang w:val="en-GB"/>
        </w:rPr>
        <w:t xml:space="preserve"> A. (2012)</w:t>
      </w:r>
      <w:r>
        <w:rPr>
          <w:lang w:val="en-GB"/>
        </w:rPr>
        <w:t>.</w:t>
      </w:r>
      <w:r w:rsidRPr="008640C4">
        <w:rPr>
          <w:lang w:val="en-GB"/>
        </w:rPr>
        <w:t xml:space="preserve"> </w:t>
      </w:r>
      <w:proofErr w:type="spellStart"/>
      <w:r w:rsidRPr="002328BF">
        <w:rPr>
          <w:i/>
          <w:iCs/>
          <w:lang w:val="en-GB"/>
        </w:rPr>
        <w:t>Opracowanie</w:t>
      </w:r>
      <w:proofErr w:type="spellEnd"/>
      <w:r w:rsidRPr="002328BF">
        <w:rPr>
          <w:i/>
          <w:iCs/>
          <w:lang w:val="en-GB"/>
        </w:rPr>
        <w:t xml:space="preserve"> </w:t>
      </w:r>
      <w:proofErr w:type="spellStart"/>
      <w:r w:rsidRPr="002328BF">
        <w:rPr>
          <w:i/>
          <w:iCs/>
          <w:lang w:val="en-GB"/>
        </w:rPr>
        <w:t>koncepcji</w:t>
      </w:r>
      <w:proofErr w:type="spellEnd"/>
      <w:r w:rsidRPr="002328BF">
        <w:rPr>
          <w:i/>
          <w:iCs/>
          <w:lang w:val="en-GB"/>
        </w:rPr>
        <w:t xml:space="preserve"> </w:t>
      </w:r>
      <w:proofErr w:type="spellStart"/>
      <w:r w:rsidRPr="002328BF">
        <w:rPr>
          <w:i/>
          <w:iCs/>
          <w:lang w:val="en-GB"/>
        </w:rPr>
        <w:t>oraz</w:t>
      </w:r>
      <w:proofErr w:type="spellEnd"/>
      <w:r w:rsidRPr="002328BF">
        <w:rPr>
          <w:i/>
          <w:iCs/>
          <w:lang w:val="en-GB"/>
        </w:rPr>
        <w:t xml:space="preserve"> </w:t>
      </w:r>
      <w:proofErr w:type="spellStart"/>
      <w:r w:rsidRPr="002328BF">
        <w:rPr>
          <w:i/>
          <w:iCs/>
          <w:lang w:val="en-GB"/>
        </w:rPr>
        <w:t>wytycznych</w:t>
      </w:r>
      <w:proofErr w:type="spellEnd"/>
      <w:r w:rsidRPr="002328BF">
        <w:rPr>
          <w:i/>
          <w:iCs/>
          <w:lang w:val="en-GB"/>
        </w:rPr>
        <w:t xml:space="preserve"> w </w:t>
      </w:r>
      <w:proofErr w:type="spellStart"/>
      <w:r w:rsidRPr="002328BF">
        <w:rPr>
          <w:i/>
          <w:iCs/>
          <w:lang w:val="en-GB"/>
        </w:rPr>
        <w:t>zakresie</w:t>
      </w:r>
      <w:proofErr w:type="spellEnd"/>
      <w:r w:rsidRPr="002328BF">
        <w:rPr>
          <w:i/>
          <w:iCs/>
          <w:lang w:val="en-GB"/>
        </w:rPr>
        <w:t xml:space="preserve"> </w:t>
      </w:r>
      <w:proofErr w:type="spellStart"/>
      <w:r w:rsidRPr="002328BF">
        <w:rPr>
          <w:i/>
          <w:iCs/>
          <w:lang w:val="en-GB"/>
        </w:rPr>
        <w:t>gospodarowania</w:t>
      </w:r>
      <w:proofErr w:type="spellEnd"/>
      <w:r w:rsidRPr="002328BF">
        <w:rPr>
          <w:i/>
          <w:iCs/>
          <w:lang w:val="en-GB"/>
        </w:rPr>
        <w:t xml:space="preserve"> </w:t>
      </w:r>
      <w:proofErr w:type="spellStart"/>
      <w:r w:rsidRPr="002328BF">
        <w:rPr>
          <w:i/>
          <w:iCs/>
          <w:lang w:val="en-GB"/>
        </w:rPr>
        <w:t>odpadami</w:t>
      </w:r>
      <w:proofErr w:type="spellEnd"/>
      <w:r w:rsidRPr="002328BF">
        <w:rPr>
          <w:i/>
          <w:iCs/>
          <w:lang w:val="en-GB"/>
        </w:rPr>
        <w:t xml:space="preserve"> </w:t>
      </w:r>
      <w:proofErr w:type="spellStart"/>
      <w:r w:rsidRPr="002328BF">
        <w:rPr>
          <w:i/>
          <w:iCs/>
          <w:lang w:val="en-GB"/>
        </w:rPr>
        <w:t>komunalnymi</w:t>
      </w:r>
      <w:proofErr w:type="spellEnd"/>
      <w:r w:rsidRPr="002328BF">
        <w:rPr>
          <w:i/>
          <w:iCs/>
          <w:lang w:val="en-GB"/>
        </w:rPr>
        <w:t xml:space="preserve"> </w:t>
      </w:r>
      <w:proofErr w:type="spellStart"/>
      <w:r w:rsidRPr="002328BF">
        <w:rPr>
          <w:i/>
          <w:iCs/>
          <w:lang w:val="en-GB"/>
        </w:rPr>
        <w:t>oraz</w:t>
      </w:r>
      <w:proofErr w:type="spellEnd"/>
      <w:r w:rsidRPr="002328BF">
        <w:rPr>
          <w:i/>
          <w:iCs/>
          <w:lang w:val="en-GB"/>
        </w:rPr>
        <w:t xml:space="preserve"> </w:t>
      </w:r>
      <w:proofErr w:type="spellStart"/>
      <w:r w:rsidRPr="002328BF">
        <w:rPr>
          <w:i/>
          <w:iCs/>
          <w:lang w:val="en-GB"/>
        </w:rPr>
        <w:t>nieczystościami</w:t>
      </w:r>
      <w:proofErr w:type="spellEnd"/>
      <w:r w:rsidRPr="002328BF">
        <w:rPr>
          <w:i/>
          <w:iCs/>
          <w:lang w:val="en-GB"/>
        </w:rPr>
        <w:t xml:space="preserve"> </w:t>
      </w:r>
      <w:proofErr w:type="spellStart"/>
      <w:r w:rsidRPr="002328BF">
        <w:rPr>
          <w:i/>
          <w:iCs/>
          <w:lang w:val="en-GB"/>
        </w:rPr>
        <w:t>ciekłymi</w:t>
      </w:r>
      <w:proofErr w:type="spellEnd"/>
      <w:r w:rsidRPr="002328BF">
        <w:rPr>
          <w:i/>
          <w:iCs/>
          <w:lang w:val="en-GB"/>
        </w:rPr>
        <w:t xml:space="preserve"> </w:t>
      </w:r>
      <w:proofErr w:type="spellStart"/>
      <w:r w:rsidRPr="002328BF">
        <w:rPr>
          <w:i/>
          <w:iCs/>
          <w:lang w:val="en-GB"/>
        </w:rPr>
        <w:t>na</w:t>
      </w:r>
      <w:proofErr w:type="spellEnd"/>
      <w:r w:rsidRPr="002328BF">
        <w:rPr>
          <w:i/>
          <w:iCs/>
          <w:lang w:val="en-GB"/>
        </w:rPr>
        <w:t xml:space="preserve"> </w:t>
      </w:r>
      <w:proofErr w:type="spellStart"/>
      <w:r w:rsidRPr="002328BF">
        <w:rPr>
          <w:i/>
          <w:iCs/>
          <w:lang w:val="en-GB"/>
        </w:rPr>
        <w:t>terenie</w:t>
      </w:r>
      <w:proofErr w:type="spellEnd"/>
      <w:r w:rsidRPr="002328BF">
        <w:rPr>
          <w:i/>
          <w:iCs/>
          <w:lang w:val="en-GB"/>
        </w:rPr>
        <w:t xml:space="preserve"> </w:t>
      </w:r>
      <w:proofErr w:type="spellStart"/>
      <w:r w:rsidRPr="002328BF">
        <w:rPr>
          <w:i/>
          <w:iCs/>
          <w:lang w:val="en-GB"/>
        </w:rPr>
        <w:t>gminy</w:t>
      </w:r>
      <w:proofErr w:type="spellEnd"/>
      <w:r w:rsidRPr="002328BF">
        <w:rPr>
          <w:i/>
          <w:iCs/>
          <w:lang w:val="en-GB"/>
        </w:rPr>
        <w:t xml:space="preserve"> </w:t>
      </w:r>
      <w:proofErr w:type="spellStart"/>
      <w:r w:rsidRPr="002328BF">
        <w:rPr>
          <w:i/>
          <w:iCs/>
          <w:lang w:val="en-GB"/>
        </w:rPr>
        <w:t>Wrocław</w:t>
      </w:r>
      <w:proofErr w:type="spellEnd"/>
      <w:r w:rsidRPr="002328BF">
        <w:rPr>
          <w:i/>
          <w:iCs/>
          <w:lang w:val="en-GB"/>
        </w:rPr>
        <w:t xml:space="preserve"> w </w:t>
      </w:r>
      <w:proofErr w:type="spellStart"/>
      <w:r w:rsidRPr="002328BF">
        <w:rPr>
          <w:i/>
          <w:iCs/>
          <w:lang w:val="en-GB"/>
        </w:rPr>
        <w:t>związku</w:t>
      </w:r>
      <w:proofErr w:type="spellEnd"/>
      <w:r w:rsidRPr="002328BF">
        <w:rPr>
          <w:i/>
          <w:iCs/>
          <w:lang w:val="en-GB"/>
        </w:rPr>
        <w:t xml:space="preserve"> z </w:t>
      </w:r>
      <w:proofErr w:type="spellStart"/>
      <w:r w:rsidRPr="002328BF">
        <w:rPr>
          <w:i/>
          <w:iCs/>
          <w:lang w:val="en-GB"/>
        </w:rPr>
        <w:t>nowelizacją</w:t>
      </w:r>
      <w:proofErr w:type="spellEnd"/>
      <w:r w:rsidRPr="002328BF">
        <w:rPr>
          <w:i/>
          <w:iCs/>
          <w:lang w:val="en-GB"/>
        </w:rPr>
        <w:t xml:space="preserve"> </w:t>
      </w:r>
      <w:proofErr w:type="spellStart"/>
      <w:r w:rsidRPr="002328BF">
        <w:rPr>
          <w:i/>
          <w:iCs/>
          <w:lang w:val="en-GB"/>
        </w:rPr>
        <w:t>ustawy</w:t>
      </w:r>
      <w:proofErr w:type="spellEnd"/>
      <w:r w:rsidRPr="002328BF">
        <w:rPr>
          <w:i/>
          <w:iCs/>
          <w:lang w:val="en-GB"/>
        </w:rPr>
        <w:t xml:space="preserve"> o </w:t>
      </w:r>
      <w:proofErr w:type="spellStart"/>
      <w:r w:rsidRPr="002328BF">
        <w:rPr>
          <w:i/>
          <w:iCs/>
          <w:lang w:val="en-GB"/>
        </w:rPr>
        <w:t>utrzymaniu</w:t>
      </w:r>
      <w:proofErr w:type="spellEnd"/>
      <w:r w:rsidRPr="002328BF">
        <w:rPr>
          <w:i/>
          <w:iCs/>
          <w:lang w:val="en-GB"/>
        </w:rPr>
        <w:t xml:space="preserve"> </w:t>
      </w:r>
      <w:proofErr w:type="spellStart"/>
      <w:r w:rsidRPr="002328BF">
        <w:rPr>
          <w:i/>
          <w:iCs/>
          <w:lang w:val="en-GB"/>
        </w:rPr>
        <w:t>czystości</w:t>
      </w:r>
      <w:proofErr w:type="spellEnd"/>
      <w:r w:rsidRPr="002328BF">
        <w:rPr>
          <w:i/>
          <w:iCs/>
          <w:lang w:val="en-GB"/>
        </w:rPr>
        <w:t xml:space="preserve"> </w:t>
      </w:r>
      <w:proofErr w:type="spellStart"/>
      <w:r w:rsidRPr="002328BF">
        <w:rPr>
          <w:i/>
          <w:iCs/>
          <w:lang w:val="en-GB"/>
        </w:rPr>
        <w:t>i</w:t>
      </w:r>
      <w:proofErr w:type="spellEnd"/>
      <w:r w:rsidR="00644F8C">
        <w:rPr>
          <w:i/>
          <w:iCs/>
          <w:lang w:val="en-GB"/>
        </w:rPr>
        <w:t> </w:t>
      </w:r>
      <w:proofErr w:type="spellStart"/>
      <w:r w:rsidRPr="002328BF">
        <w:rPr>
          <w:i/>
          <w:iCs/>
          <w:lang w:val="en-GB"/>
        </w:rPr>
        <w:t>porządku</w:t>
      </w:r>
      <w:proofErr w:type="spellEnd"/>
      <w:r w:rsidRPr="002328BF">
        <w:rPr>
          <w:i/>
          <w:iCs/>
          <w:lang w:val="en-GB"/>
        </w:rPr>
        <w:t xml:space="preserve"> w </w:t>
      </w:r>
      <w:proofErr w:type="spellStart"/>
      <w:r w:rsidRPr="002328BF">
        <w:rPr>
          <w:i/>
          <w:iCs/>
          <w:lang w:val="en-GB"/>
        </w:rPr>
        <w:t>gminach</w:t>
      </w:r>
      <w:proofErr w:type="spellEnd"/>
      <w:r w:rsidRPr="008640C4">
        <w:rPr>
          <w:lang w:val="en-GB"/>
        </w:rPr>
        <w:t xml:space="preserve">, </w:t>
      </w:r>
      <w:proofErr w:type="spellStart"/>
      <w:r w:rsidRPr="008640C4">
        <w:rPr>
          <w:lang w:val="en-GB"/>
        </w:rPr>
        <w:t>Wrocław</w:t>
      </w:r>
      <w:proofErr w:type="spellEnd"/>
      <w:r w:rsidRPr="008640C4">
        <w:rPr>
          <w:lang w:val="en-GB"/>
        </w:rPr>
        <w:t>.</w:t>
      </w:r>
      <w:r w:rsidRPr="002328BF">
        <w:t xml:space="preserve"> </w:t>
      </w:r>
      <w:r>
        <w:t>(in Polish)</w:t>
      </w:r>
    </w:p>
    <w:p w14:paraId="3B34C98B" w14:textId="77777777" w:rsidR="00CD2013" w:rsidRPr="008640C4" w:rsidRDefault="00CD2013" w:rsidP="00ED13BF">
      <w:pPr>
        <w:pStyle w:val="Rlit"/>
        <w:rPr>
          <w:lang w:val="en-GB"/>
        </w:rPr>
      </w:pPr>
      <w:r w:rsidRPr="008640C4">
        <w:rPr>
          <w:lang w:val="en-GB"/>
        </w:rPr>
        <w:t xml:space="preserve">Lenort, R., Baran, J., </w:t>
      </w:r>
      <w:proofErr w:type="spellStart"/>
      <w:r w:rsidRPr="008640C4">
        <w:rPr>
          <w:lang w:val="en-GB"/>
        </w:rPr>
        <w:t>Wysokiński</w:t>
      </w:r>
      <w:proofErr w:type="spellEnd"/>
      <w:r w:rsidRPr="008640C4">
        <w:rPr>
          <w:lang w:val="en-GB"/>
        </w:rPr>
        <w:t xml:space="preserve">, M., </w:t>
      </w:r>
      <w:proofErr w:type="spellStart"/>
      <w:r w:rsidRPr="008640C4">
        <w:rPr>
          <w:lang w:val="en-GB"/>
        </w:rPr>
        <w:t>Gołasa</w:t>
      </w:r>
      <w:proofErr w:type="spellEnd"/>
      <w:r w:rsidRPr="008640C4">
        <w:rPr>
          <w:lang w:val="en-GB"/>
        </w:rPr>
        <w:t xml:space="preserve">, P., </w:t>
      </w:r>
      <w:proofErr w:type="spellStart"/>
      <w:r w:rsidRPr="008640C4">
        <w:rPr>
          <w:lang w:val="en-GB"/>
        </w:rPr>
        <w:t>Bieńkowska-Gołasa</w:t>
      </w:r>
      <w:proofErr w:type="spellEnd"/>
      <w:r w:rsidRPr="008640C4">
        <w:rPr>
          <w:lang w:val="en-GB"/>
        </w:rPr>
        <w:t xml:space="preserve">, W., </w:t>
      </w:r>
      <w:proofErr w:type="spellStart"/>
      <w:r w:rsidRPr="008640C4">
        <w:rPr>
          <w:lang w:val="en-GB"/>
        </w:rPr>
        <w:t>Golonko</w:t>
      </w:r>
      <w:proofErr w:type="spellEnd"/>
      <w:r w:rsidRPr="008640C4">
        <w:rPr>
          <w:lang w:val="en-GB"/>
        </w:rPr>
        <w:t xml:space="preserve">, M., </w:t>
      </w:r>
      <w:proofErr w:type="spellStart"/>
      <w:r w:rsidRPr="008640C4">
        <w:rPr>
          <w:lang w:val="en-GB"/>
        </w:rPr>
        <w:t>Chamier-Gliszczyński</w:t>
      </w:r>
      <w:proofErr w:type="spellEnd"/>
      <w:r w:rsidRPr="008640C4">
        <w:rPr>
          <w:lang w:val="en-GB"/>
        </w:rPr>
        <w:t xml:space="preserve">, N. (2019). Economic and environmental efficiency of the chemical industry in Europe in 2010-2016. </w:t>
      </w:r>
      <w:proofErr w:type="spellStart"/>
      <w:r w:rsidRPr="008640C4">
        <w:rPr>
          <w:i/>
          <w:lang w:val="en-GB"/>
        </w:rPr>
        <w:t>Rocznik</w:t>
      </w:r>
      <w:proofErr w:type="spellEnd"/>
      <w:r w:rsidRPr="008640C4">
        <w:rPr>
          <w:i/>
          <w:lang w:val="en-GB"/>
        </w:rPr>
        <w:t xml:space="preserve"> </w:t>
      </w:r>
      <w:proofErr w:type="spellStart"/>
      <w:r w:rsidRPr="008640C4">
        <w:rPr>
          <w:i/>
          <w:lang w:val="en-GB"/>
        </w:rPr>
        <w:t>Ochrona</w:t>
      </w:r>
      <w:proofErr w:type="spellEnd"/>
      <w:r w:rsidRPr="008640C4">
        <w:rPr>
          <w:i/>
          <w:lang w:val="en-GB"/>
        </w:rPr>
        <w:t xml:space="preserve"> </w:t>
      </w:r>
      <w:proofErr w:type="spellStart"/>
      <w:r w:rsidRPr="008640C4">
        <w:rPr>
          <w:i/>
          <w:lang w:val="en-GB"/>
        </w:rPr>
        <w:t>Srodowiska</w:t>
      </w:r>
      <w:proofErr w:type="spellEnd"/>
      <w:r w:rsidRPr="00D526FE">
        <w:rPr>
          <w:iCs/>
          <w:lang w:val="en-GB"/>
        </w:rPr>
        <w:t xml:space="preserve">, </w:t>
      </w:r>
      <w:r w:rsidRPr="00D526FE">
        <w:rPr>
          <w:i/>
          <w:iCs/>
          <w:lang w:val="en-GB"/>
        </w:rPr>
        <w:t>21</w:t>
      </w:r>
      <w:r>
        <w:rPr>
          <w:lang w:val="en-GB"/>
        </w:rPr>
        <w:t>(</w:t>
      </w:r>
      <w:r w:rsidRPr="008640C4">
        <w:rPr>
          <w:lang w:val="en-GB"/>
        </w:rPr>
        <w:t>2</w:t>
      </w:r>
      <w:r>
        <w:rPr>
          <w:lang w:val="en-GB"/>
        </w:rPr>
        <w:t>)</w:t>
      </w:r>
      <w:r w:rsidRPr="008640C4">
        <w:rPr>
          <w:lang w:val="en-GB"/>
        </w:rPr>
        <w:t>, 1398-1404.</w:t>
      </w:r>
    </w:p>
    <w:p w14:paraId="7324A0FA" w14:textId="77777777" w:rsidR="00CD2013" w:rsidRPr="008640C4" w:rsidRDefault="00CD2013" w:rsidP="00ED13BF">
      <w:pPr>
        <w:pStyle w:val="Rlit"/>
        <w:rPr>
          <w:lang w:val="en-GB"/>
        </w:rPr>
      </w:pPr>
      <w:r w:rsidRPr="008640C4">
        <w:rPr>
          <w:lang w:val="en-GB"/>
        </w:rPr>
        <w:t>Lewicki</w:t>
      </w:r>
      <w:r>
        <w:rPr>
          <w:lang w:val="en-GB"/>
        </w:rPr>
        <w:t>,</w:t>
      </w:r>
      <w:r w:rsidRPr="008640C4">
        <w:rPr>
          <w:lang w:val="en-GB"/>
        </w:rPr>
        <w:t xml:space="preserve"> Z. (2014). </w:t>
      </w:r>
      <w:proofErr w:type="spellStart"/>
      <w:r w:rsidRPr="002328BF">
        <w:rPr>
          <w:i/>
          <w:iCs/>
          <w:lang w:val="en-GB"/>
        </w:rPr>
        <w:t>Środowisko</w:t>
      </w:r>
      <w:proofErr w:type="spellEnd"/>
      <w:r w:rsidRPr="002328BF">
        <w:rPr>
          <w:i/>
          <w:iCs/>
          <w:lang w:val="en-GB"/>
        </w:rPr>
        <w:t xml:space="preserve"> </w:t>
      </w:r>
      <w:proofErr w:type="spellStart"/>
      <w:r w:rsidRPr="002328BF">
        <w:rPr>
          <w:i/>
          <w:iCs/>
          <w:lang w:val="en-GB"/>
        </w:rPr>
        <w:t>Wrocławia</w:t>
      </w:r>
      <w:proofErr w:type="spellEnd"/>
      <w:r w:rsidRPr="002328BF">
        <w:rPr>
          <w:i/>
          <w:iCs/>
          <w:lang w:val="en-GB"/>
        </w:rPr>
        <w:t xml:space="preserve"> </w:t>
      </w:r>
      <w:proofErr w:type="spellStart"/>
      <w:r w:rsidRPr="002328BF">
        <w:rPr>
          <w:i/>
          <w:iCs/>
          <w:lang w:val="en-GB"/>
        </w:rPr>
        <w:t>Informator</w:t>
      </w:r>
      <w:proofErr w:type="spellEnd"/>
      <w:r w:rsidRPr="008640C4">
        <w:rPr>
          <w:lang w:val="en-GB"/>
        </w:rPr>
        <w:t xml:space="preserve">, </w:t>
      </w:r>
      <w:proofErr w:type="spellStart"/>
      <w:r w:rsidRPr="008640C4">
        <w:rPr>
          <w:lang w:val="en-GB"/>
        </w:rPr>
        <w:t>Oficyna</w:t>
      </w:r>
      <w:proofErr w:type="spellEnd"/>
      <w:r w:rsidRPr="008640C4">
        <w:rPr>
          <w:lang w:val="en-GB"/>
        </w:rPr>
        <w:t xml:space="preserve"> </w:t>
      </w:r>
      <w:proofErr w:type="spellStart"/>
      <w:r w:rsidRPr="008640C4">
        <w:rPr>
          <w:lang w:val="en-GB"/>
        </w:rPr>
        <w:t>Wydawnicza</w:t>
      </w:r>
      <w:proofErr w:type="spellEnd"/>
      <w:r w:rsidRPr="008640C4">
        <w:rPr>
          <w:lang w:val="en-GB"/>
        </w:rPr>
        <w:t xml:space="preserve"> ATUT, </w:t>
      </w:r>
      <w:proofErr w:type="spellStart"/>
      <w:r w:rsidRPr="008640C4">
        <w:rPr>
          <w:lang w:val="en-GB"/>
        </w:rPr>
        <w:t>Wrocław</w:t>
      </w:r>
      <w:proofErr w:type="spellEnd"/>
      <w:r w:rsidRPr="008640C4">
        <w:rPr>
          <w:lang w:val="en-GB"/>
        </w:rPr>
        <w:t xml:space="preserve"> 2014.</w:t>
      </w:r>
      <w:r w:rsidRPr="002328BF">
        <w:t xml:space="preserve"> </w:t>
      </w:r>
      <w:r>
        <w:t>(in Polish)</w:t>
      </w:r>
    </w:p>
    <w:p w14:paraId="5F407B99" w14:textId="77777777" w:rsidR="00CD2013" w:rsidRPr="008640C4" w:rsidRDefault="00CD2013" w:rsidP="00ED13BF">
      <w:pPr>
        <w:pStyle w:val="Rlit"/>
        <w:rPr>
          <w:lang w:val="en-GB"/>
        </w:rPr>
      </w:pPr>
      <w:proofErr w:type="spellStart"/>
      <w:r w:rsidRPr="008640C4">
        <w:rPr>
          <w:lang w:val="en-GB"/>
        </w:rPr>
        <w:t>Małacka</w:t>
      </w:r>
      <w:proofErr w:type="spellEnd"/>
      <w:r>
        <w:rPr>
          <w:lang w:val="en-GB"/>
        </w:rPr>
        <w:t>,</w:t>
      </w:r>
      <w:r w:rsidRPr="008640C4">
        <w:rPr>
          <w:lang w:val="en-GB"/>
        </w:rPr>
        <w:t xml:space="preserve"> E (2006). </w:t>
      </w:r>
      <w:proofErr w:type="spellStart"/>
      <w:r w:rsidRPr="002328BF">
        <w:rPr>
          <w:i/>
          <w:iCs/>
          <w:lang w:val="en-GB"/>
        </w:rPr>
        <w:t>Rocznik</w:t>
      </w:r>
      <w:proofErr w:type="spellEnd"/>
      <w:r w:rsidRPr="002328BF">
        <w:rPr>
          <w:i/>
          <w:iCs/>
          <w:lang w:val="en-GB"/>
        </w:rPr>
        <w:t xml:space="preserve"> </w:t>
      </w:r>
      <w:proofErr w:type="spellStart"/>
      <w:r w:rsidRPr="002328BF">
        <w:rPr>
          <w:i/>
          <w:iCs/>
          <w:lang w:val="en-GB"/>
        </w:rPr>
        <w:t>Statystyczny</w:t>
      </w:r>
      <w:proofErr w:type="spellEnd"/>
      <w:r w:rsidRPr="002328BF">
        <w:rPr>
          <w:i/>
          <w:iCs/>
          <w:lang w:val="en-GB"/>
        </w:rPr>
        <w:t xml:space="preserve"> </w:t>
      </w:r>
      <w:proofErr w:type="spellStart"/>
      <w:r w:rsidRPr="002328BF">
        <w:rPr>
          <w:i/>
          <w:iCs/>
          <w:lang w:val="en-GB"/>
        </w:rPr>
        <w:t>miasta</w:t>
      </w:r>
      <w:proofErr w:type="spellEnd"/>
      <w:r w:rsidRPr="002328BF">
        <w:rPr>
          <w:i/>
          <w:iCs/>
          <w:lang w:val="en-GB"/>
        </w:rPr>
        <w:t xml:space="preserve"> </w:t>
      </w:r>
      <w:proofErr w:type="spellStart"/>
      <w:r w:rsidRPr="002328BF">
        <w:rPr>
          <w:i/>
          <w:iCs/>
          <w:lang w:val="en-GB"/>
        </w:rPr>
        <w:t>Wrocławia</w:t>
      </w:r>
      <w:proofErr w:type="spellEnd"/>
      <w:r w:rsidRPr="008640C4">
        <w:rPr>
          <w:lang w:val="en-GB"/>
        </w:rPr>
        <w:t xml:space="preserve">, </w:t>
      </w:r>
      <w:proofErr w:type="spellStart"/>
      <w:r w:rsidRPr="008640C4">
        <w:rPr>
          <w:lang w:val="en-GB"/>
        </w:rPr>
        <w:t>Wydział</w:t>
      </w:r>
      <w:proofErr w:type="spellEnd"/>
      <w:r w:rsidRPr="008640C4">
        <w:rPr>
          <w:lang w:val="en-GB"/>
        </w:rPr>
        <w:t xml:space="preserve"> </w:t>
      </w:r>
      <w:proofErr w:type="spellStart"/>
      <w:r w:rsidRPr="008640C4">
        <w:rPr>
          <w:lang w:val="en-GB"/>
        </w:rPr>
        <w:t>Poligrafii</w:t>
      </w:r>
      <w:proofErr w:type="spellEnd"/>
      <w:r w:rsidRPr="008640C4">
        <w:rPr>
          <w:lang w:val="en-GB"/>
        </w:rPr>
        <w:t xml:space="preserve"> Legnica, </w:t>
      </w:r>
      <w:proofErr w:type="spellStart"/>
      <w:r w:rsidRPr="008640C4">
        <w:rPr>
          <w:lang w:val="en-GB"/>
        </w:rPr>
        <w:t>ul</w:t>
      </w:r>
      <w:proofErr w:type="spellEnd"/>
      <w:r w:rsidRPr="008640C4">
        <w:rPr>
          <w:lang w:val="en-GB"/>
        </w:rPr>
        <w:t xml:space="preserve">. </w:t>
      </w:r>
      <w:proofErr w:type="spellStart"/>
      <w:r w:rsidRPr="008640C4">
        <w:rPr>
          <w:lang w:val="en-GB"/>
        </w:rPr>
        <w:t>Jaworzyńska</w:t>
      </w:r>
      <w:proofErr w:type="spellEnd"/>
      <w:r w:rsidRPr="008640C4">
        <w:rPr>
          <w:lang w:val="en-GB"/>
        </w:rPr>
        <w:t xml:space="preserve"> 65.</w:t>
      </w:r>
      <w:r>
        <w:rPr>
          <w:lang w:val="en-GB"/>
        </w:rPr>
        <w:t xml:space="preserve"> </w:t>
      </w:r>
      <w:r>
        <w:t>(in Polish)</w:t>
      </w:r>
    </w:p>
    <w:p w14:paraId="47D28242" w14:textId="77777777" w:rsidR="00CD2013" w:rsidRPr="008640C4" w:rsidRDefault="00CD2013" w:rsidP="00ED13BF">
      <w:pPr>
        <w:pStyle w:val="Rlit"/>
        <w:rPr>
          <w:lang w:val="en-GB"/>
        </w:rPr>
      </w:pPr>
      <w:proofErr w:type="spellStart"/>
      <w:r w:rsidRPr="008640C4">
        <w:rPr>
          <w:lang w:val="en-GB"/>
        </w:rPr>
        <w:t>Mavrin</w:t>
      </w:r>
      <w:proofErr w:type="spellEnd"/>
      <w:r>
        <w:rPr>
          <w:lang w:val="en-GB"/>
        </w:rPr>
        <w:t>,</w:t>
      </w:r>
      <w:r w:rsidRPr="008640C4">
        <w:rPr>
          <w:lang w:val="en-GB"/>
        </w:rPr>
        <w:t xml:space="preserve"> Jeličić, M., Mlinarić, T.J., Zajac, P. (2023). Assessment and Relationship of Work Ability and the Level of Physical Activity Among Professional Bus Drivers. </w:t>
      </w:r>
      <w:proofErr w:type="spellStart"/>
      <w:r w:rsidRPr="008640C4">
        <w:rPr>
          <w:i/>
          <w:lang w:val="en-GB"/>
        </w:rPr>
        <w:t>Promet-Traffic&amp;Transportation</w:t>
      </w:r>
      <w:proofErr w:type="spellEnd"/>
      <w:r w:rsidRPr="008640C4">
        <w:rPr>
          <w:lang w:val="en-GB"/>
        </w:rPr>
        <w:t xml:space="preserve">, </w:t>
      </w:r>
      <w:r w:rsidRPr="002328BF">
        <w:rPr>
          <w:i/>
          <w:iCs/>
          <w:lang w:val="en-GB"/>
        </w:rPr>
        <w:t>35</w:t>
      </w:r>
      <w:r w:rsidRPr="008640C4">
        <w:rPr>
          <w:lang w:val="en-GB"/>
        </w:rPr>
        <w:t>(2), 175-183.</w:t>
      </w:r>
    </w:p>
    <w:p w14:paraId="71DC0A78" w14:textId="77777777" w:rsidR="00CD2013" w:rsidRPr="008640C4" w:rsidRDefault="00CD2013" w:rsidP="00ED13BF">
      <w:pPr>
        <w:pStyle w:val="Rlit"/>
        <w:rPr>
          <w:lang w:val="en-GB"/>
        </w:rPr>
      </w:pPr>
      <w:r w:rsidRPr="008640C4">
        <w:rPr>
          <w:lang w:val="en-GB"/>
        </w:rPr>
        <w:t>Municipal Waste, https://ec.europa.eu/eurostat/statistics-explained/index.php?title=Municipal_waste_statistics</w:t>
      </w:r>
    </w:p>
    <w:p w14:paraId="218A9E66" w14:textId="77777777" w:rsidR="00CD2013" w:rsidRPr="008640C4" w:rsidRDefault="00CD2013" w:rsidP="00ED13BF">
      <w:pPr>
        <w:pStyle w:val="Rlit"/>
        <w:rPr>
          <w:lang w:val="en-GB"/>
        </w:rPr>
      </w:pPr>
      <w:r w:rsidRPr="008640C4">
        <w:rPr>
          <w:lang w:val="en-GB"/>
        </w:rPr>
        <w:t xml:space="preserve">Sharma, K.D., Jain, S. (2020). Municipal solid waste generation, composition, and management: the global scenario. </w:t>
      </w:r>
      <w:r w:rsidRPr="008640C4">
        <w:rPr>
          <w:i/>
          <w:lang w:val="en-GB"/>
        </w:rPr>
        <w:t>Social Responsibility Journal</w:t>
      </w:r>
      <w:r w:rsidRPr="008640C4">
        <w:rPr>
          <w:lang w:val="en-GB"/>
        </w:rPr>
        <w:t>.</w:t>
      </w:r>
    </w:p>
    <w:p w14:paraId="5DEB6BD2" w14:textId="77777777" w:rsidR="00CD2013" w:rsidRPr="008640C4" w:rsidRDefault="00CD2013" w:rsidP="00ED13BF">
      <w:pPr>
        <w:pStyle w:val="Rlit"/>
        <w:rPr>
          <w:lang w:val="en-GB"/>
        </w:rPr>
      </w:pPr>
      <w:proofErr w:type="spellStart"/>
      <w:r w:rsidRPr="008640C4">
        <w:rPr>
          <w:lang w:val="en-GB"/>
        </w:rPr>
        <w:t>Smolarczyk</w:t>
      </w:r>
      <w:proofErr w:type="spellEnd"/>
      <w:r w:rsidRPr="008640C4">
        <w:rPr>
          <w:lang w:val="en-GB"/>
        </w:rPr>
        <w:t>, J. (2015)</w:t>
      </w:r>
      <w:r>
        <w:rPr>
          <w:lang w:val="en-GB"/>
        </w:rPr>
        <w:t>.</w:t>
      </w:r>
      <w:r w:rsidRPr="008640C4">
        <w:rPr>
          <w:lang w:val="en-GB"/>
        </w:rPr>
        <w:t xml:space="preserve"> </w:t>
      </w:r>
      <w:r w:rsidRPr="002328BF">
        <w:rPr>
          <w:i/>
          <w:iCs/>
          <w:lang w:val="en-GB"/>
        </w:rPr>
        <w:t xml:space="preserve">Analysis of the possibility of increasing the selective collection of municipal waste in </w:t>
      </w:r>
      <w:proofErr w:type="spellStart"/>
      <w:r w:rsidRPr="002328BF">
        <w:rPr>
          <w:i/>
          <w:iCs/>
          <w:lang w:val="en-GB"/>
        </w:rPr>
        <w:t>Wrocław</w:t>
      </w:r>
      <w:proofErr w:type="spellEnd"/>
      <w:r w:rsidRPr="002328BF">
        <w:rPr>
          <w:i/>
          <w:iCs/>
          <w:lang w:val="en-GB"/>
        </w:rPr>
        <w:t>. Economic aspects</w:t>
      </w:r>
      <w:r w:rsidRPr="002328BF">
        <w:rPr>
          <w:lang w:val="en-GB"/>
        </w:rPr>
        <w:t>.</w:t>
      </w:r>
      <w:r w:rsidRPr="008640C4">
        <w:rPr>
          <w:lang w:val="en-GB"/>
        </w:rPr>
        <w:t xml:space="preserve"> Wroclaw University of Science and Technology, Wroclaw.</w:t>
      </w:r>
    </w:p>
    <w:p w14:paraId="2B943D0B" w14:textId="36022804" w:rsidR="00CD2013" w:rsidRPr="0032054B" w:rsidRDefault="00CD2013" w:rsidP="00ED13BF">
      <w:pPr>
        <w:pStyle w:val="Rlit"/>
        <w:rPr>
          <w:spacing w:val="-4"/>
          <w:lang w:val="en-GB"/>
        </w:rPr>
      </w:pPr>
      <w:proofErr w:type="spellStart"/>
      <w:r w:rsidRPr="0032054B">
        <w:rPr>
          <w:spacing w:val="-4"/>
          <w:lang w:val="en-GB"/>
        </w:rPr>
        <w:t>Smolnicki</w:t>
      </w:r>
      <w:proofErr w:type="spellEnd"/>
      <w:r w:rsidRPr="0032054B">
        <w:rPr>
          <w:spacing w:val="-4"/>
          <w:lang w:val="en-GB"/>
        </w:rPr>
        <w:t xml:space="preserve">, K., </w:t>
      </w:r>
      <w:proofErr w:type="spellStart"/>
      <w:r w:rsidRPr="0032054B">
        <w:rPr>
          <w:spacing w:val="-4"/>
          <w:lang w:val="en-GB"/>
        </w:rPr>
        <w:t>Szykasiuk</w:t>
      </w:r>
      <w:proofErr w:type="spellEnd"/>
      <w:r w:rsidRPr="0032054B">
        <w:rPr>
          <w:spacing w:val="-4"/>
          <w:lang w:val="en-GB"/>
        </w:rPr>
        <w:t xml:space="preserve">, M. (2002). </w:t>
      </w:r>
      <w:proofErr w:type="spellStart"/>
      <w:r w:rsidRPr="0032054B">
        <w:rPr>
          <w:i/>
          <w:iCs/>
          <w:spacing w:val="-4"/>
          <w:lang w:val="en-GB"/>
        </w:rPr>
        <w:t>Informator</w:t>
      </w:r>
      <w:proofErr w:type="spellEnd"/>
      <w:r w:rsidRPr="0032054B">
        <w:rPr>
          <w:i/>
          <w:iCs/>
          <w:spacing w:val="-4"/>
          <w:lang w:val="en-GB"/>
        </w:rPr>
        <w:t xml:space="preserve"> o </w:t>
      </w:r>
      <w:proofErr w:type="spellStart"/>
      <w:r w:rsidRPr="0032054B">
        <w:rPr>
          <w:i/>
          <w:iCs/>
          <w:spacing w:val="-4"/>
          <w:lang w:val="en-GB"/>
        </w:rPr>
        <w:t>Stanie</w:t>
      </w:r>
      <w:proofErr w:type="spellEnd"/>
      <w:r w:rsidRPr="0032054B">
        <w:rPr>
          <w:i/>
          <w:iCs/>
          <w:spacing w:val="-4"/>
          <w:lang w:val="en-GB"/>
        </w:rPr>
        <w:t xml:space="preserve"> </w:t>
      </w:r>
      <w:proofErr w:type="spellStart"/>
      <w:r w:rsidRPr="0032054B">
        <w:rPr>
          <w:i/>
          <w:iCs/>
          <w:spacing w:val="-4"/>
          <w:lang w:val="en-GB"/>
        </w:rPr>
        <w:t>Środowiska</w:t>
      </w:r>
      <w:proofErr w:type="spellEnd"/>
      <w:r w:rsidRPr="0032054B">
        <w:rPr>
          <w:i/>
          <w:iCs/>
          <w:spacing w:val="-4"/>
          <w:lang w:val="en-GB"/>
        </w:rPr>
        <w:t xml:space="preserve"> </w:t>
      </w:r>
      <w:proofErr w:type="spellStart"/>
      <w:r w:rsidRPr="0032054B">
        <w:rPr>
          <w:i/>
          <w:iCs/>
          <w:spacing w:val="-4"/>
          <w:lang w:val="en-GB"/>
        </w:rPr>
        <w:t>Wrocławia</w:t>
      </w:r>
      <w:proofErr w:type="spellEnd"/>
      <w:r w:rsidRPr="0032054B">
        <w:rPr>
          <w:spacing w:val="-4"/>
          <w:lang w:val="en-GB"/>
        </w:rPr>
        <w:t xml:space="preserve">, </w:t>
      </w:r>
      <w:proofErr w:type="spellStart"/>
      <w:r w:rsidRPr="0032054B">
        <w:rPr>
          <w:spacing w:val="-4"/>
          <w:lang w:val="en-GB"/>
        </w:rPr>
        <w:t>s.c.</w:t>
      </w:r>
      <w:proofErr w:type="spellEnd"/>
      <w:r w:rsidRPr="0032054B">
        <w:rPr>
          <w:spacing w:val="-4"/>
          <w:lang w:val="en-GB"/>
        </w:rPr>
        <w:t xml:space="preserve">, A.P.W. </w:t>
      </w:r>
      <w:proofErr w:type="spellStart"/>
      <w:r w:rsidRPr="0032054B">
        <w:rPr>
          <w:spacing w:val="-4"/>
          <w:lang w:val="en-GB"/>
        </w:rPr>
        <w:t>Bierońscy</w:t>
      </w:r>
      <w:proofErr w:type="spellEnd"/>
      <w:r w:rsidRPr="0032054B">
        <w:rPr>
          <w:spacing w:val="-4"/>
          <w:lang w:val="en-GB"/>
        </w:rPr>
        <w:t xml:space="preserve">, </w:t>
      </w:r>
      <w:proofErr w:type="spellStart"/>
      <w:r w:rsidRPr="0032054B">
        <w:rPr>
          <w:spacing w:val="-4"/>
          <w:lang w:val="en-GB"/>
        </w:rPr>
        <w:t>Wrocław</w:t>
      </w:r>
      <w:proofErr w:type="spellEnd"/>
      <w:r w:rsidRPr="0032054B">
        <w:rPr>
          <w:spacing w:val="-4"/>
          <w:lang w:val="en-GB"/>
        </w:rPr>
        <w:t xml:space="preserve">. </w:t>
      </w:r>
      <w:r w:rsidRPr="0032054B">
        <w:rPr>
          <w:spacing w:val="-4"/>
        </w:rPr>
        <w:t>(in Polish)</w:t>
      </w:r>
    </w:p>
    <w:p w14:paraId="70F69C18" w14:textId="77777777" w:rsidR="00CD2013" w:rsidRPr="008640C4" w:rsidRDefault="00CD2013" w:rsidP="00ED13BF">
      <w:pPr>
        <w:pStyle w:val="Rlit"/>
        <w:rPr>
          <w:lang w:val="en-GB"/>
        </w:rPr>
      </w:pPr>
      <w:r w:rsidRPr="008640C4">
        <w:rPr>
          <w:lang w:val="en-GB"/>
        </w:rPr>
        <w:t>SNAGA</w:t>
      </w:r>
      <w:r>
        <w:rPr>
          <w:lang w:val="en-GB"/>
        </w:rPr>
        <w:t xml:space="preserve"> P</w:t>
      </w:r>
      <w:r w:rsidRPr="00CD2013">
        <w:rPr>
          <w:lang w:val="en-GB"/>
        </w:rPr>
        <w:t xml:space="preserve">ublic </w:t>
      </w:r>
      <w:r>
        <w:rPr>
          <w:lang w:val="en-GB"/>
        </w:rPr>
        <w:t>U</w:t>
      </w:r>
      <w:r w:rsidRPr="00CD2013">
        <w:rPr>
          <w:lang w:val="en-GB"/>
        </w:rPr>
        <w:t xml:space="preserve">tility </w:t>
      </w:r>
      <w:r>
        <w:rPr>
          <w:lang w:val="en-GB"/>
        </w:rPr>
        <w:t>C</w:t>
      </w:r>
      <w:r w:rsidRPr="00CD2013">
        <w:rPr>
          <w:lang w:val="en-GB"/>
        </w:rPr>
        <w:t>ompany</w:t>
      </w:r>
      <w:r w:rsidRPr="008640C4">
        <w:rPr>
          <w:lang w:val="en-GB"/>
        </w:rPr>
        <w:t>, https://www.vokasnaga.si/</w:t>
      </w:r>
    </w:p>
    <w:p w14:paraId="3FCF4166" w14:textId="77777777" w:rsidR="00CD2013" w:rsidRPr="008640C4" w:rsidRDefault="00CD2013" w:rsidP="00ED13BF">
      <w:pPr>
        <w:pStyle w:val="Rlit"/>
        <w:rPr>
          <w:lang w:val="en-GB"/>
        </w:rPr>
      </w:pPr>
      <w:proofErr w:type="spellStart"/>
      <w:r w:rsidRPr="008640C4">
        <w:rPr>
          <w:lang w:val="en-GB"/>
        </w:rPr>
        <w:t>Szpadt</w:t>
      </w:r>
      <w:proofErr w:type="spellEnd"/>
      <w:r>
        <w:rPr>
          <w:lang w:val="en-GB"/>
        </w:rPr>
        <w:t>,</w:t>
      </w:r>
      <w:r w:rsidRPr="008640C4">
        <w:rPr>
          <w:lang w:val="en-GB"/>
        </w:rPr>
        <w:t xml:space="preserve"> R., den Boer</w:t>
      </w:r>
      <w:r>
        <w:rPr>
          <w:lang w:val="en-GB"/>
        </w:rPr>
        <w:t>,</w:t>
      </w:r>
      <w:r w:rsidRPr="008640C4">
        <w:rPr>
          <w:lang w:val="en-GB"/>
        </w:rPr>
        <w:t xml:space="preserve"> E. (2011). </w:t>
      </w:r>
      <w:proofErr w:type="spellStart"/>
      <w:r w:rsidRPr="002328BF">
        <w:rPr>
          <w:i/>
          <w:iCs/>
          <w:lang w:val="en-GB"/>
        </w:rPr>
        <w:t>Ocena</w:t>
      </w:r>
      <w:proofErr w:type="spellEnd"/>
      <w:r w:rsidRPr="002328BF">
        <w:rPr>
          <w:i/>
          <w:iCs/>
          <w:lang w:val="en-GB"/>
        </w:rPr>
        <w:t xml:space="preserve"> </w:t>
      </w:r>
      <w:proofErr w:type="spellStart"/>
      <w:r w:rsidRPr="002328BF">
        <w:rPr>
          <w:i/>
          <w:iCs/>
          <w:lang w:val="en-GB"/>
        </w:rPr>
        <w:t>Strategiczna</w:t>
      </w:r>
      <w:proofErr w:type="spellEnd"/>
      <w:r w:rsidRPr="002328BF">
        <w:rPr>
          <w:i/>
          <w:iCs/>
          <w:lang w:val="en-GB"/>
        </w:rPr>
        <w:t xml:space="preserve"> </w:t>
      </w:r>
      <w:proofErr w:type="spellStart"/>
      <w:r w:rsidRPr="002328BF">
        <w:rPr>
          <w:i/>
          <w:iCs/>
          <w:lang w:val="en-GB"/>
        </w:rPr>
        <w:t>Systemu</w:t>
      </w:r>
      <w:proofErr w:type="spellEnd"/>
      <w:r w:rsidRPr="002328BF">
        <w:rPr>
          <w:i/>
          <w:iCs/>
          <w:lang w:val="en-GB"/>
        </w:rPr>
        <w:t xml:space="preserve"> </w:t>
      </w:r>
      <w:proofErr w:type="spellStart"/>
      <w:r w:rsidRPr="002328BF">
        <w:rPr>
          <w:i/>
          <w:iCs/>
          <w:lang w:val="en-GB"/>
        </w:rPr>
        <w:t>Gospodarki</w:t>
      </w:r>
      <w:proofErr w:type="spellEnd"/>
      <w:r w:rsidRPr="002328BF">
        <w:rPr>
          <w:i/>
          <w:iCs/>
          <w:lang w:val="en-GB"/>
        </w:rPr>
        <w:t xml:space="preserve"> </w:t>
      </w:r>
      <w:proofErr w:type="spellStart"/>
      <w:r w:rsidRPr="002328BF">
        <w:rPr>
          <w:i/>
          <w:iCs/>
          <w:lang w:val="en-GB"/>
        </w:rPr>
        <w:t>Odpadami</w:t>
      </w:r>
      <w:proofErr w:type="spellEnd"/>
      <w:r w:rsidRPr="002328BF">
        <w:rPr>
          <w:i/>
          <w:iCs/>
          <w:lang w:val="en-GB"/>
        </w:rPr>
        <w:t xml:space="preserve"> </w:t>
      </w:r>
      <w:proofErr w:type="spellStart"/>
      <w:r>
        <w:rPr>
          <w:i/>
          <w:iCs/>
          <w:lang w:val="en-GB"/>
        </w:rPr>
        <w:t>n</w:t>
      </w:r>
      <w:r w:rsidRPr="002328BF">
        <w:rPr>
          <w:i/>
          <w:iCs/>
          <w:lang w:val="en-GB"/>
        </w:rPr>
        <w:t>a</w:t>
      </w:r>
      <w:proofErr w:type="spellEnd"/>
      <w:r w:rsidRPr="002328BF">
        <w:rPr>
          <w:i/>
          <w:iCs/>
          <w:lang w:val="en-GB"/>
        </w:rPr>
        <w:t xml:space="preserve"> </w:t>
      </w:r>
      <w:proofErr w:type="spellStart"/>
      <w:r w:rsidRPr="002328BF">
        <w:rPr>
          <w:i/>
          <w:iCs/>
          <w:lang w:val="en-GB"/>
        </w:rPr>
        <w:t>Terenie</w:t>
      </w:r>
      <w:proofErr w:type="spellEnd"/>
      <w:r w:rsidRPr="002328BF">
        <w:rPr>
          <w:i/>
          <w:iCs/>
          <w:lang w:val="en-GB"/>
        </w:rPr>
        <w:t xml:space="preserve"> </w:t>
      </w:r>
      <w:proofErr w:type="spellStart"/>
      <w:r w:rsidRPr="002328BF">
        <w:rPr>
          <w:i/>
          <w:iCs/>
          <w:lang w:val="en-GB"/>
        </w:rPr>
        <w:t>Aglomeracji</w:t>
      </w:r>
      <w:proofErr w:type="spellEnd"/>
      <w:r w:rsidRPr="002328BF">
        <w:rPr>
          <w:i/>
          <w:iCs/>
          <w:lang w:val="en-GB"/>
        </w:rPr>
        <w:t xml:space="preserve"> </w:t>
      </w:r>
      <w:proofErr w:type="spellStart"/>
      <w:r w:rsidRPr="002328BF">
        <w:rPr>
          <w:i/>
          <w:iCs/>
          <w:lang w:val="en-GB"/>
        </w:rPr>
        <w:t>Wrocławskiej</w:t>
      </w:r>
      <w:proofErr w:type="spellEnd"/>
      <w:r w:rsidRPr="002328BF">
        <w:rPr>
          <w:i/>
          <w:iCs/>
          <w:lang w:val="en-GB"/>
        </w:rPr>
        <w:t xml:space="preserve"> </w:t>
      </w:r>
      <w:proofErr w:type="spellStart"/>
      <w:r>
        <w:rPr>
          <w:i/>
          <w:iCs/>
          <w:lang w:val="en-GB"/>
        </w:rPr>
        <w:t>n</w:t>
      </w:r>
      <w:r w:rsidRPr="002328BF">
        <w:rPr>
          <w:i/>
          <w:iCs/>
          <w:lang w:val="en-GB"/>
        </w:rPr>
        <w:t>a</w:t>
      </w:r>
      <w:proofErr w:type="spellEnd"/>
      <w:r w:rsidRPr="002328BF">
        <w:rPr>
          <w:i/>
          <w:iCs/>
          <w:lang w:val="en-GB"/>
        </w:rPr>
        <w:t xml:space="preserve"> Lata 2010-2020</w:t>
      </w:r>
      <w:r>
        <w:rPr>
          <w:i/>
          <w:iCs/>
          <w:lang w:val="en-GB"/>
        </w:rPr>
        <w:t>.</w:t>
      </w:r>
      <w:r w:rsidRPr="008640C4">
        <w:rPr>
          <w:lang w:val="en-GB"/>
        </w:rPr>
        <w:t xml:space="preserve"> </w:t>
      </w:r>
      <w:proofErr w:type="spellStart"/>
      <w:r w:rsidRPr="008640C4">
        <w:rPr>
          <w:lang w:val="en-GB"/>
        </w:rPr>
        <w:t>Agencja</w:t>
      </w:r>
      <w:proofErr w:type="spellEnd"/>
      <w:r w:rsidRPr="008640C4">
        <w:rPr>
          <w:lang w:val="en-GB"/>
        </w:rPr>
        <w:t xml:space="preserve"> </w:t>
      </w:r>
      <w:proofErr w:type="spellStart"/>
      <w:r w:rsidRPr="008640C4">
        <w:rPr>
          <w:lang w:val="en-GB"/>
        </w:rPr>
        <w:t>Rozwoju</w:t>
      </w:r>
      <w:proofErr w:type="spellEnd"/>
      <w:r w:rsidRPr="008640C4">
        <w:rPr>
          <w:lang w:val="en-GB"/>
        </w:rPr>
        <w:t xml:space="preserve"> </w:t>
      </w:r>
      <w:proofErr w:type="spellStart"/>
      <w:r w:rsidRPr="008640C4">
        <w:rPr>
          <w:lang w:val="en-GB"/>
        </w:rPr>
        <w:t>Aglomeracji</w:t>
      </w:r>
      <w:proofErr w:type="spellEnd"/>
      <w:r w:rsidRPr="008640C4">
        <w:rPr>
          <w:lang w:val="en-GB"/>
        </w:rPr>
        <w:t xml:space="preserve"> </w:t>
      </w:r>
      <w:proofErr w:type="spellStart"/>
      <w:r w:rsidRPr="008640C4">
        <w:rPr>
          <w:lang w:val="en-GB"/>
        </w:rPr>
        <w:t>Wrocławskiej</w:t>
      </w:r>
      <w:proofErr w:type="spellEnd"/>
      <w:r w:rsidRPr="008640C4">
        <w:rPr>
          <w:lang w:val="en-GB"/>
        </w:rPr>
        <w:t xml:space="preserve">, </w:t>
      </w:r>
      <w:proofErr w:type="spellStart"/>
      <w:r w:rsidRPr="008640C4">
        <w:rPr>
          <w:lang w:val="en-GB"/>
        </w:rPr>
        <w:t>Wrocław</w:t>
      </w:r>
      <w:proofErr w:type="spellEnd"/>
      <w:r w:rsidRPr="008640C4">
        <w:rPr>
          <w:lang w:val="en-GB"/>
        </w:rPr>
        <w:t>.</w:t>
      </w:r>
      <w:r>
        <w:rPr>
          <w:lang w:val="en-GB"/>
        </w:rPr>
        <w:t xml:space="preserve"> </w:t>
      </w:r>
      <w:r>
        <w:t>(in Polish)</w:t>
      </w:r>
    </w:p>
    <w:p w14:paraId="0D0CC97D" w14:textId="77777777" w:rsidR="00CD2013" w:rsidRPr="008640C4" w:rsidRDefault="00CD2013" w:rsidP="00ED13BF">
      <w:pPr>
        <w:pStyle w:val="Rlit"/>
        <w:rPr>
          <w:lang w:val="en-GB"/>
        </w:rPr>
      </w:pPr>
      <w:r w:rsidRPr="008640C4">
        <w:rPr>
          <w:lang w:val="en-GB"/>
        </w:rPr>
        <w:t>Szymkowiak</w:t>
      </w:r>
      <w:r>
        <w:rPr>
          <w:lang w:val="en-GB"/>
        </w:rPr>
        <w:t>,</w:t>
      </w:r>
      <w:r w:rsidRPr="008640C4">
        <w:rPr>
          <w:lang w:val="en-GB"/>
        </w:rPr>
        <w:t xml:space="preserve"> T. (2007). </w:t>
      </w:r>
      <w:proofErr w:type="spellStart"/>
      <w:r w:rsidRPr="008640C4">
        <w:rPr>
          <w:lang w:val="en-GB"/>
        </w:rPr>
        <w:t>Wrocławskie</w:t>
      </w:r>
      <w:proofErr w:type="spellEnd"/>
      <w:r w:rsidRPr="008640C4">
        <w:rPr>
          <w:lang w:val="en-GB"/>
        </w:rPr>
        <w:t xml:space="preserve"> </w:t>
      </w:r>
      <w:proofErr w:type="spellStart"/>
      <w:r w:rsidRPr="008640C4">
        <w:rPr>
          <w:lang w:val="en-GB"/>
        </w:rPr>
        <w:t>badania</w:t>
      </w:r>
      <w:proofErr w:type="spellEnd"/>
      <w:r w:rsidRPr="008640C4">
        <w:rPr>
          <w:lang w:val="en-GB"/>
        </w:rPr>
        <w:t xml:space="preserve"> </w:t>
      </w:r>
      <w:proofErr w:type="spellStart"/>
      <w:r w:rsidRPr="008640C4">
        <w:rPr>
          <w:lang w:val="en-GB"/>
        </w:rPr>
        <w:t>odpadów</w:t>
      </w:r>
      <w:proofErr w:type="spellEnd"/>
      <w:r>
        <w:rPr>
          <w:lang w:val="en-GB"/>
        </w:rPr>
        <w:t>.</w:t>
      </w:r>
      <w:r w:rsidRPr="008640C4">
        <w:rPr>
          <w:lang w:val="en-GB"/>
        </w:rPr>
        <w:t xml:space="preserve"> </w:t>
      </w:r>
      <w:proofErr w:type="spellStart"/>
      <w:r w:rsidRPr="008640C4">
        <w:rPr>
          <w:i/>
          <w:lang w:val="en-GB"/>
        </w:rPr>
        <w:t>Przegląd</w:t>
      </w:r>
      <w:proofErr w:type="spellEnd"/>
      <w:r w:rsidRPr="008640C4">
        <w:rPr>
          <w:i/>
          <w:lang w:val="en-GB"/>
        </w:rPr>
        <w:t xml:space="preserve"> </w:t>
      </w:r>
      <w:proofErr w:type="spellStart"/>
      <w:r w:rsidRPr="008640C4">
        <w:rPr>
          <w:i/>
          <w:lang w:val="en-GB"/>
        </w:rPr>
        <w:t>Komunalny</w:t>
      </w:r>
      <w:proofErr w:type="spellEnd"/>
      <w:r w:rsidRPr="008640C4">
        <w:rPr>
          <w:lang w:val="en-GB"/>
        </w:rPr>
        <w:t xml:space="preserve">, </w:t>
      </w:r>
      <w:r w:rsidRPr="002328BF">
        <w:rPr>
          <w:i/>
          <w:iCs/>
          <w:lang w:val="en-GB"/>
        </w:rPr>
        <w:t>5</w:t>
      </w:r>
      <w:r w:rsidRPr="008640C4">
        <w:rPr>
          <w:lang w:val="en-GB"/>
        </w:rPr>
        <w:t>(188).</w:t>
      </w:r>
      <w:r>
        <w:rPr>
          <w:lang w:val="en-GB"/>
        </w:rPr>
        <w:t xml:space="preserve"> </w:t>
      </w:r>
      <w:r>
        <w:t>(in Polish)</w:t>
      </w:r>
    </w:p>
    <w:p w14:paraId="3E9A754F" w14:textId="77777777" w:rsidR="00CD2013" w:rsidRPr="008640C4" w:rsidRDefault="00CD2013" w:rsidP="00ED13BF">
      <w:pPr>
        <w:pStyle w:val="Rlit"/>
        <w:rPr>
          <w:lang w:val="en-GB"/>
        </w:rPr>
      </w:pPr>
      <w:r w:rsidRPr="008640C4">
        <w:rPr>
          <w:lang w:val="en-GB"/>
        </w:rPr>
        <w:t>The Single-Use Plastics Directive (2021). https://eur-lex.europa.eu/eli/dir/2019/904/oj</w:t>
      </w:r>
    </w:p>
    <w:p w14:paraId="46933AAE" w14:textId="77777777" w:rsidR="00CD2013" w:rsidRPr="008640C4" w:rsidRDefault="00CD2013" w:rsidP="00ED13BF">
      <w:pPr>
        <w:pStyle w:val="Rlit"/>
        <w:rPr>
          <w:lang w:val="en-GB"/>
        </w:rPr>
      </w:pPr>
      <w:r w:rsidRPr="008640C4">
        <w:rPr>
          <w:lang w:val="en-GB"/>
        </w:rPr>
        <w:t>War on Science (The Age of Disbelief) National Geographic Society, New Washington, DC (2015), 227</w:t>
      </w:r>
      <w:r w:rsidR="00164367">
        <w:rPr>
          <w:lang w:val="en-GB"/>
        </w:rPr>
        <w:t>(</w:t>
      </w:r>
      <w:r w:rsidRPr="008640C4">
        <w:rPr>
          <w:lang w:val="en-GB"/>
        </w:rPr>
        <w:t>3</w:t>
      </w:r>
      <w:r w:rsidR="00164367">
        <w:rPr>
          <w:lang w:val="en-GB"/>
        </w:rPr>
        <w:t>)</w:t>
      </w:r>
      <w:r>
        <w:rPr>
          <w:lang w:val="en-GB"/>
        </w:rPr>
        <w:t>.</w:t>
      </w:r>
    </w:p>
    <w:p w14:paraId="193EFD08" w14:textId="77777777" w:rsidR="00CD2013" w:rsidRPr="008640C4" w:rsidRDefault="00CD2013" w:rsidP="00ED13BF">
      <w:pPr>
        <w:pStyle w:val="Rlit"/>
        <w:rPr>
          <w:lang w:val="en-GB"/>
        </w:rPr>
      </w:pPr>
      <w:r w:rsidRPr="008640C4">
        <w:rPr>
          <w:lang w:val="en-GB"/>
        </w:rPr>
        <w:t>Wojtkowiak-</w:t>
      </w:r>
      <w:proofErr w:type="spellStart"/>
      <w:r w:rsidRPr="008640C4">
        <w:rPr>
          <w:lang w:val="en-GB"/>
        </w:rPr>
        <w:t>Jakacka</w:t>
      </w:r>
      <w:proofErr w:type="spellEnd"/>
      <w:r>
        <w:rPr>
          <w:lang w:val="en-GB"/>
        </w:rPr>
        <w:t>,</w:t>
      </w:r>
      <w:r w:rsidRPr="008640C4">
        <w:rPr>
          <w:lang w:val="en-GB"/>
        </w:rPr>
        <w:t xml:space="preserve"> M. (2014). </w:t>
      </w:r>
      <w:proofErr w:type="spellStart"/>
      <w:r w:rsidRPr="006B6197">
        <w:rPr>
          <w:i/>
          <w:iCs/>
          <w:lang w:val="en-GB"/>
        </w:rPr>
        <w:t>Rocznik</w:t>
      </w:r>
      <w:proofErr w:type="spellEnd"/>
      <w:r w:rsidRPr="006B6197">
        <w:rPr>
          <w:i/>
          <w:iCs/>
          <w:lang w:val="en-GB"/>
        </w:rPr>
        <w:t xml:space="preserve"> </w:t>
      </w:r>
      <w:proofErr w:type="spellStart"/>
      <w:r w:rsidRPr="006B6197">
        <w:rPr>
          <w:i/>
          <w:iCs/>
          <w:lang w:val="en-GB"/>
        </w:rPr>
        <w:t>Statystyczny</w:t>
      </w:r>
      <w:proofErr w:type="spellEnd"/>
      <w:r w:rsidRPr="006B6197">
        <w:rPr>
          <w:i/>
          <w:iCs/>
          <w:lang w:val="en-GB"/>
        </w:rPr>
        <w:t xml:space="preserve"> </w:t>
      </w:r>
      <w:proofErr w:type="spellStart"/>
      <w:r w:rsidRPr="006B6197">
        <w:rPr>
          <w:i/>
          <w:iCs/>
          <w:lang w:val="en-GB"/>
        </w:rPr>
        <w:t>miasta</w:t>
      </w:r>
      <w:proofErr w:type="spellEnd"/>
      <w:r w:rsidRPr="006B6197">
        <w:rPr>
          <w:i/>
          <w:iCs/>
          <w:lang w:val="en-GB"/>
        </w:rPr>
        <w:t xml:space="preserve"> </w:t>
      </w:r>
      <w:proofErr w:type="spellStart"/>
      <w:r w:rsidRPr="006B6197">
        <w:rPr>
          <w:i/>
          <w:iCs/>
          <w:lang w:val="en-GB"/>
        </w:rPr>
        <w:t>Wrocławia</w:t>
      </w:r>
      <w:proofErr w:type="spellEnd"/>
      <w:r w:rsidRPr="008640C4">
        <w:rPr>
          <w:lang w:val="en-GB"/>
        </w:rPr>
        <w:t xml:space="preserve">, </w:t>
      </w:r>
      <w:proofErr w:type="spellStart"/>
      <w:r w:rsidRPr="008640C4">
        <w:rPr>
          <w:lang w:val="en-GB"/>
        </w:rPr>
        <w:t>Wydział</w:t>
      </w:r>
      <w:proofErr w:type="spellEnd"/>
      <w:r w:rsidRPr="008640C4">
        <w:rPr>
          <w:lang w:val="en-GB"/>
        </w:rPr>
        <w:t xml:space="preserve"> </w:t>
      </w:r>
      <w:proofErr w:type="spellStart"/>
      <w:r w:rsidRPr="008640C4">
        <w:rPr>
          <w:lang w:val="en-GB"/>
        </w:rPr>
        <w:t>Poligrafii</w:t>
      </w:r>
      <w:proofErr w:type="spellEnd"/>
      <w:r w:rsidRPr="008640C4">
        <w:rPr>
          <w:lang w:val="en-GB"/>
        </w:rPr>
        <w:t xml:space="preserve"> Legnica, </w:t>
      </w:r>
      <w:proofErr w:type="spellStart"/>
      <w:r w:rsidRPr="008640C4">
        <w:rPr>
          <w:lang w:val="en-GB"/>
        </w:rPr>
        <w:t>ul</w:t>
      </w:r>
      <w:proofErr w:type="spellEnd"/>
      <w:r w:rsidRPr="008640C4">
        <w:rPr>
          <w:lang w:val="en-GB"/>
        </w:rPr>
        <w:t xml:space="preserve">. </w:t>
      </w:r>
      <w:proofErr w:type="spellStart"/>
      <w:r w:rsidRPr="008640C4">
        <w:rPr>
          <w:lang w:val="en-GB"/>
        </w:rPr>
        <w:t>Jaworzyńska</w:t>
      </w:r>
      <w:proofErr w:type="spellEnd"/>
      <w:r w:rsidRPr="008640C4">
        <w:rPr>
          <w:lang w:val="en-GB"/>
        </w:rPr>
        <w:t xml:space="preserve"> 65.</w:t>
      </w:r>
      <w:r>
        <w:rPr>
          <w:lang w:val="en-GB"/>
        </w:rPr>
        <w:t xml:space="preserve"> </w:t>
      </w:r>
      <w:r>
        <w:t>(in Polish)</w:t>
      </w:r>
    </w:p>
    <w:p w14:paraId="207DCAE3" w14:textId="77777777" w:rsidR="00CD2013" w:rsidRPr="008640C4" w:rsidRDefault="00CD2013" w:rsidP="00ED13BF">
      <w:pPr>
        <w:pStyle w:val="Rlit"/>
        <w:rPr>
          <w:lang w:val="en-GB"/>
        </w:rPr>
      </w:pPr>
      <w:r w:rsidRPr="008640C4">
        <w:rPr>
          <w:lang w:val="en-GB"/>
        </w:rPr>
        <w:t xml:space="preserve">Woźniak, W., </w:t>
      </w:r>
      <w:proofErr w:type="spellStart"/>
      <w:r w:rsidRPr="008640C4">
        <w:rPr>
          <w:lang w:val="en-GB"/>
        </w:rPr>
        <w:t>Stryjski</w:t>
      </w:r>
      <w:proofErr w:type="spellEnd"/>
      <w:r w:rsidRPr="008640C4">
        <w:rPr>
          <w:lang w:val="en-GB"/>
        </w:rPr>
        <w:t xml:space="preserve">, R., </w:t>
      </w:r>
      <w:proofErr w:type="spellStart"/>
      <w:r w:rsidRPr="008640C4">
        <w:rPr>
          <w:lang w:val="en-GB"/>
        </w:rPr>
        <w:t>Mielniczuk</w:t>
      </w:r>
      <w:proofErr w:type="spellEnd"/>
      <w:r w:rsidRPr="008640C4">
        <w:rPr>
          <w:lang w:val="en-GB"/>
        </w:rPr>
        <w:t xml:space="preserve">, J., Wojnarowski, T. (2016). </w:t>
      </w:r>
      <w:r w:rsidRPr="006B6197">
        <w:rPr>
          <w:i/>
          <w:iCs/>
          <w:lang w:val="en-GB"/>
        </w:rPr>
        <w:t>The concept of the profitability for the transport orders acquired from the transport exchange market</w:t>
      </w:r>
      <w:r w:rsidRPr="008640C4">
        <w:rPr>
          <w:lang w:val="en-GB"/>
        </w:rPr>
        <w:t>. Proceedings of the 27th International Business Information Management Association (IBIMA), ISBN: 9780986041969, 4-5 May 2016, Milan, Italy 2375-2383.</w:t>
      </w:r>
    </w:p>
    <w:p w14:paraId="14DD3C09" w14:textId="77777777" w:rsidR="00CD2013" w:rsidRPr="008640C4" w:rsidRDefault="00CD2013" w:rsidP="00ED13BF">
      <w:pPr>
        <w:pStyle w:val="Rlit"/>
        <w:rPr>
          <w:lang w:val="en-GB"/>
        </w:rPr>
      </w:pPr>
      <w:r w:rsidRPr="008640C4">
        <w:rPr>
          <w:lang w:val="en-GB"/>
        </w:rPr>
        <w:t xml:space="preserve">Zając, P. (2010). </w:t>
      </w:r>
      <w:r w:rsidRPr="006B6197">
        <w:rPr>
          <w:i/>
          <w:iCs/>
          <w:lang w:val="en-GB"/>
        </w:rPr>
        <w:t>Transport-storage system optimi</w:t>
      </w:r>
      <w:r w:rsidR="001F3921">
        <w:rPr>
          <w:i/>
          <w:iCs/>
          <w:lang w:val="en-GB"/>
        </w:rPr>
        <w:t>s</w:t>
      </w:r>
      <w:r w:rsidRPr="006B6197">
        <w:rPr>
          <w:i/>
          <w:iCs/>
          <w:lang w:val="en-GB"/>
        </w:rPr>
        <w:t>ation in terms of exergy</w:t>
      </w:r>
      <w:r w:rsidRPr="008640C4">
        <w:rPr>
          <w:lang w:val="en-GB"/>
        </w:rPr>
        <w:t xml:space="preserve">. W: The 13th International Conference on Harbor Maritime Multimodal Logistics </w:t>
      </w:r>
      <w:proofErr w:type="spellStart"/>
      <w:r w:rsidRPr="008640C4">
        <w:rPr>
          <w:lang w:val="en-GB"/>
        </w:rPr>
        <w:t>Modeling</w:t>
      </w:r>
      <w:proofErr w:type="spellEnd"/>
      <w:r w:rsidRPr="008640C4">
        <w:rPr>
          <w:lang w:val="en-GB"/>
        </w:rPr>
        <w:t xml:space="preserve"> &amp; Simulation, HMS 2010, Fes, Morocco, October 13-15 2010 / ed. by Agostino Bruzzone [</w:t>
      </w:r>
      <w:proofErr w:type="spellStart"/>
      <w:r w:rsidRPr="008640C4">
        <w:rPr>
          <w:lang w:val="en-GB"/>
        </w:rPr>
        <w:t>i</w:t>
      </w:r>
      <w:proofErr w:type="spellEnd"/>
      <w:r w:rsidRPr="008640C4">
        <w:rPr>
          <w:lang w:val="en-GB"/>
        </w:rPr>
        <w:t xml:space="preserve"> in.]. [Marseille : </w:t>
      </w:r>
      <w:proofErr w:type="spellStart"/>
      <w:r w:rsidRPr="008640C4">
        <w:rPr>
          <w:lang w:val="en-GB"/>
        </w:rPr>
        <w:t>Laboratoire</w:t>
      </w:r>
      <w:proofErr w:type="spellEnd"/>
      <w:r w:rsidRPr="008640C4">
        <w:rPr>
          <w:lang w:val="en-GB"/>
        </w:rPr>
        <w:t xml:space="preserve"> des Sciences de </w:t>
      </w:r>
      <w:proofErr w:type="spellStart"/>
      <w:r w:rsidRPr="008640C4">
        <w:rPr>
          <w:lang w:val="en-GB"/>
        </w:rPr>
        <w:t>l'Information</w:t>
      </w:r>
      <w:proofErr w:type="spellEnd"/>
      <w:r w:rsidRPr="008640C4">
        <w:rPr>
          <w:lang w:val="en-GB"/>
        </w:rPr>
        <w:t xml:space="preserve"> et des </w:t>
      </w:r>
      <w:proofErr w:type="spellStart"/>
      <w:r w:rsidRPr="008640C4">
        <w:rPr>
          <w:lang w:val="en-GB"/>
        </w:rPr>
        <w:t>Systèmes</w:t>
      </w:r>
      <w:proofErr w:type="spellEnd"/>
      <w:r w:rsidRPr="008640C4">
        <w:rPr>
          <w:lang w:val="en-GB"/>
        </w:rPr>
        <w:t>], cop. 2010. 143-148.</w:t>
      </w:r>
    </w:p>
    <w:p w14:paraId="0654E962" w14:textId="77777777" w:rsidR="00CD2013" w:rsidRPr="008640C4" w:rsidRDefault="00CD2013" w:rsidP="00ED13BF">
      <w:pPr>
        <w:pStyle w:val="Rlit"/>
        <w:rPr>
          <w:lang w:val="en-GB"/>
        </w:rPr>
      </w:pPr>
      <w:r w:rsidRPr="008640C4">
        <w:rPr>
          <w:lang w:val="en-GB"/>
        </w:rPr>
        <w:t xml:space="preserve">Zając, P., </w:t>
      </w:r>
      <w:proofErr w:type="spellStart"/>
      <w:r w:rsidRPr="008640C4">
        <w:rPr>
          <w:lang w:val="en-GB"/>
        </w:rPr>
        <w:t>Ejdys</w:t>
      </w:r>
      <w:proofErr w:type="spellEnd"/>
      <w:r w:rsidRPr="008640C4">
        <w:rPr>
          <w:lang w:val="en-GB"/>
        </w:rPr>
        <w:t xml:space="preserve">, S., Dzik, R. (2022). Recycling of Polyethylene Terephthalate (PET) Bottles in the Logistics Supply Chain–Overview. </w:t>
      </w:r>
      <w:proofErr w:type="spellStart"/>
      <w:r w:rsidRPr="008640C4">
        <w:rPr>
          <w:i/>
          <w:lang w:val="en-GB"/>
        </w:rPr>
        <w:t>Rocznik</w:t>
      </w:r>
      <w:proofErr w:type="spellEnd"/>
      <w:r w:rsidRPr="008640C4">
        <w:rPr>
          <w:i/>
          <w:lang w:val="en-GB"/>
        </w:rPr>
        <w:t xml:space="preserve"> </w:t>
      </w:r>
      <w:proofErr w:type="spellStart"/>
      <w:r w:rsidRPr="008640C4">
        <w:rPr>
          <w:i/>
          <w:lang w:val="en-GB"/>
        </w:rPr>
        <w:t>Ochrona</w:t>
      </w:r>
      <w:proofErr w:type="spellEnd"/>
      <w:r w:rsidRPr="008640C4">
        <w:rPr>
          <w:i/>
          <w:lang w:val="en-GB"/>
        </w:rPr>
        <w:t xml:space="preserve"> </w:t>
      </w:r>
      <w:proofErr w:type="spellStart"/>
      <w:r w:rsidRPr="008640C4">
        <w:rPr>
          <w:i/>
          <w:lang w:val="en-GB"/>
        </w:rPr>
        <w:t>Środowiska</w:t>
      </w:r>
      <w:proofErr w:type="spellEnd"/>
      <w:r w:rsidRPr="008640C4">
        <w:rPr>
          <w:lang w:val="en-GB"/>
        </w:rPr>
        <w:t xml:space="preserve">, </w:t>
      </w:r>
      <w:r w:rsidRPr="006B6197">
        <w:rPr>
          <w:i/>
          <w:iCs/>
          <w:lang w:val="en-GB"/>
        </w:rPr>
        <w:t>24</w:t>
      </w:r>
      <w:r w:rsidRPr="008640C4">
        <w:rPr>
          <w:lang w:val="en-GB"/>
        </w:rPr>
        <w:t>.</w:t>
      </w:r>
      <w:r>
        <w:rPr>
          <w:lang w:val="en-GB"/>
        </w:rPr>
        <w:t xml:space="preserve"> </w:t>
      </w:r>
      <w:r w:rsidRPr="00627327">
        <w:rPr>
          <w:lang w:val="en-GB"/>
        </w:rPr>
        <w:t>https://doi.org/10.54740/ros.2022.031</w:t>
      </w:r>
    </w:p>
    <w:p w14:paraId="028A0C5A" w14:textId="77777777" w:rsidR="00CD2013" w:rsidRPr="008640C4" w:rsidRDefault="00CD2013" w:rsidP="00ED13BF">
      <w:pPr>
        <w:pStyle w:val="Rlit"/>
        <w:rPr>
          <w:lang w:val="en-GB"/>
        </w:rPr>
      </w:pPr>
      <w:r w:rsidRPr="008640C4">
        <w:rPr>
          <w:lang w:val="en-GB"/>
        </w:rPr>
        <w:t xml:space="preserve">Zajac, P., Haladyn, S., </w:t>
      </w:r>
      <w:proofErr w:type="spellStart"/>
      <w:r w:rsidRPr="008640C4">
        <w:rPr>
          <w:lang w:val="en-GB"/>
        </w:rPr>
        <w:t>Kwasniowski</w:t>
      </w:r>
      <w:proofErr w:type="spellEnd"/>
      <w:r w:rsidRPr="008640C4">
        <w:rPr>
          <w:lang w:val="en-GB"/>
        </w:rPr>
        <w:t xml:space="preserve">, S. (2019). </w:t>
      </w:r>
      <w:r w:rsidRPr="006B6197">
        <w:rPr>
          <w:i/>
          <w:iCs/>
          <w:lang w:val="en-GB"/>
        </w:rPr>
        <w:t xml:space="preserve">Concept of reducing harmful emissions by road transport vehicles in the tourist route </w:t>
      </w:r>
      <w:proofErr w:type="spellStart"/>
      <w:r w:rsidRPr="006B6197">
        <w:rPr>
          <w:i/>
          <w:iCs/>
          <w:lang w:val="en-GB"/>
        </w:rPr>
        <w:t>Karpacz</w:t>
      </w:r>
      <w:proofErr w:type="spellEnd"/>
      <w:r>
        <w:rPr>
          <w:i/>
          <w:iCs/>
          <w:lang w:val="en-GB"/>
        </w:rPr>
        <w:t>-</w:t>
      </w:r>
      <w:r w:rsidRPr="006B6197">
        <w:rPr>
          <w:i/>
          <w:iCs/>
          <w:lang w:val="en-GB"/>
        </w:rPr>
        <w:t>Jelenia Góra</w:t>
      </w:r>
      <w:r w:rsidRPr="008640C4">
        <w:rPr>
          <w:lang w:val="en-GB"/>
        </w:rPr>
        <w:t>. In E3S Web of Conferences (Vol. 100, p. 00091). EDP Sciences.</w:t>
      </w:r>
    </w:p>
    <w:p w14:paraId="05089192" w14:textId="77777777" w:rsidR="00CD2013" w:rsidRPr="008640C4" w:rsidRDefault="00CD2013" w:rsidP="00ED13BF">
      <w:pPr>
        <w:pStyle w:val="Rlit"/>
        <w:rPr>
          <w:lang w:val="en-GB"/>
        </w:rPr>
      </w:pPr>
      <w:r w:rsidRPr="008640C4">
        <w:rPr>
          <w:lang w:val="en-GB"/>
        </w:rPr>
        <w:t xml:space="preserve">Zajac, P., </w:t>
      </w:r>
      <w:proofErr w:type="spellStart"/>
      <w:r w:rsidRPr="008640C4">
        <w:rPr>
          <w:lang w:val="en-GB"/>
        </w:rPr>
        <w:t>Poznański</w:t>
      </w:r>
      <w:proofErr w:type="spellEnd"/>
      <w:r w:rsidRPr="008640C4">
        <w:rPr>
          <w:lang w:val="en-GB"/>
        </w:rPr>
        <w:t xml:space="preserve">, J. (2021). Management Model Improving Environmental Protection. </w:t>
      </w:r>
      <w:proofErr w:type="spellStart"/>
      <w:r w:rsidRPr="008640C4">
        <w:rPr>
          <w:i/>
          <w:lang w:val="en-GB"/>
        </w:rPr>
        <w:t>Rocznik</w:t>
      </w:r>
      <w:proofErr w:type="spellEnd"/>
      <w:r w:rsidRPr="008640C4">
        <w:rPr>
          <w:i/>
          <w:lang w:val="en-GB"/>
        </w:rPr>
        <w:t xml:space="preserve"> </w:t>
      </w:r>
      <w:proofErr w:type="spellStart"/>
      <w:r w:rsidRPr="008640C4">
        <w:rPr>
          <w:i/>
          <w:lang w:val="en-GB"/>
        </w:rPr>
        <w:t>Ochrona</w:t>
      </w:r>
      <w:proofErr w:type="spellEnd"/>
      <w:r w:rsidRPr="008640C4">
        <w:rPr>
          <w:i/>
          <w:lang w:val="en-GB"/>
        </w:rPr>
        <w:t xml:space="preserve"> </w:t>
      </w:r>
      <w:proofErr w:type="spellStart"/>
      <w:r w:rsidRPr="008640C4">
        <w:rPr>
          <w:i/>
          <w:lang w:val="en-GB"/>
        </w:rPr>
        <w:t>Środowiska</w:t>
      </w:r>
      <w:proofErr w:type="spellEnd"/>
      <w:r w:rsidRPr="008640C4">
        <w:rPr>
          <w:lang w:val="en-GB"/>
        </w:rPr>
        <w:t>, 23.</w:t>
      </w:r>
      <w:r>
        <w:rPr>
          <w:lang w:val="en-GB"/>
        </w:rPr>
        <w:t xml:space="preserve"> </w:t>
      </w:r>
      <w:r w:rsidRPr="003F4E12">
        <w:rPr>
          <w:lang w:val="en-GB"/>
        </w:rPr>
        <w:t>https://doi.org/10.54740/ros.2021.026</w:t>
      </w:r>
    </w:p>
    <w:p w14:paraId="34C53C59" w14:textId="77777777" w:rsidR="00CD2013" w:rsidRPr="008640C4" w:rsidRDefault="00CD2013" w:rsidP="00ED13BF">
      <w:pPr>
        <w:pStyle w:val="Rlit"/>
        <w:rPr>
          <w:lang w:val="en-GB"/>
        </w:rPr>
      </w:pPr>
      <w:r w:rsidRPr="008640C4">
        <w:rPr>
          <w:lang w:val="en-GB"/>
        </w:rPr>
        <w:t>Zajac, P., Przybylek, G. (2020). Lighting lamps in recreational areas</w:t>
      </w:r>
      <w:r>
        <w:rPr>
          <w:lang w:val="en-GB"/>
        </w:rPr>
        <w:t xml:space="preserve"> </w:t>
      </w:r>
      <w:r w:rsidRPr="008640C4">
        <w:rPr>
          <w:lang w:val="en-GB"/>
        </w:rPr>
        <w:t>–</w:t>
      </w:r>
      <w:r>
        <w:rPr>
          <w:lang w:val="en-GB"/>
        </w:rPr>
        <w:t xml:space="preserve"> </w:t>
      </w:r>
      <w:r w:rsidRPr="008640C4">
        <w:rPr>
          <w:lang w:val="en-GB"/>
        </w:rPr>
        <w:t xml:space="preserve">Damage and prevention, testing and modelling. </w:t>
      </w:r>
      <w:r w:rsidRPr="008640C4">
        <w:rPr>
          <w:i/>
          <w:lang w:val="en-GB"/>
        </w:rPr>
        <w:t>Engineering Failure Analysis</w:t>
      </w:r>
      <w:r w:rsidRPr="008640C4">
        <w:rPr>
          <w:lang w:val="en-GB"/>
        </w:rPr>
        <w:t xml:space="preserve">, </w:t>
      </w:r>
      <w:r w:rsidRPr="006B6197">
        <w:rPr>
          <w:i/>
          <w:iCs/>
          <w:lang w:val="en-GB"/>
        </w:rPr>
        <w:t>115</w:t>
      </w:r>
      <w:r w:rsidRPr="008640C4">
        <w:rPr>
          <w:lang w:val="en-GB"/>
        </w:rPr>
        <w:t>, 104693.</w:t>
      </w:r>
    </w:p>
    <w:bookmarkEnd w:id="13"/>
    <w:p w14:paraId="0DA8F68C" w14:textId="77777777" w:rsidR="00CD2013" w:rsidRPr="008640C4" w:rsidRDefault="00CD2013" w:rsidP="00ED13BF">
      <w:pPr>
        <w:pStyle w:val="Rlit"/>
        <w:rPr>
          <w:lang w:val="en-GB"/>
        </w:rPr>
      </w:pPr>
      <w:r w:rsidRPr="008640C4">
        <w:rPr>
          <w:lang w:val="en-GB"/>
        </w:rPr>
        <w:t xml:space="preserve">Zajac, P., Staš, D., Lenort, R. (2020). Noise Charge in Rail Transport-EU Regulations Versus Operation of Logistics Systems. </w:t>
      </w:r>
      <w:proofErr w:type="spellStart"/>
      <w:r w:rsidRPr="008640C4">
        <w:rPr>
          <w:i/>
          <w:lang w:val="en-GB"/>
        </w:rPr>
        <w:t>Rocznik</w:t>
      </w:r>
      <w:proofErr w:type="spellEnd"/>
      <w:r w:rsidRPr="008640C4">
        <w:rPr>
          <w:i/>
          <w:lang w:val="en-GB"/>
        </w:rPr>
        <w:t xml:space="preserve"> </w:t>
      </w:r>
      <w:proofErr w:type="spellStart"/>
      <w:r w:rsidRPr="008640C4">
        <w:rPr>
          <w:i/>
          <w:lang w:val="en-GB"/>
        </w:rPr>
        <w:t>Ochrona</w:t>
      </w:r>
      <w:proofErr w:type="spellEnd"/>
      <w:r w:rsidRPr="008640C4">
        <w:rPr>
          <w:i/>
          <w:lang w:val="en-GB"/>
        </w:rPr>
        <w:t xml:space="preserve"> </w:t>
      </w:r>
      <w:proofErr w:type="spellStart"/>
      <w:r w:rsidRPr="008640C4">
        <w:rPr>
          <w:i/>
          <w:lang w:val="en-GB"/>
        </w:rPr>
        <w:t>Środowiska</w:t>
      </w:r>
      <w:proofErr w:type="spellEnd"/>
      <w:r w:rsidRPr="008640C4">
        <w:rPr>
          <w:lang w:val="en-GB"/>
        </w:rPr>
        <w:t>, 22.</w:t>
      </w:r>
    </w:p>
    <w:sectPr w:rsidR="00CD2013" w:rsidRPr="008640C4" w:rsidSect="00274081">
      <w:headerReference w:type="even" r:id="rId17"/>
      <w:headerReference w:type="default" r:id="rId18"/>
      <w:footerReference w:type="first" r:id="rId19"/>
      <w:pgSz w:w="11906" w:h="16838" w:code="9"/>
      <w:pgMar w:top="1134" w:right="1134" w:bottom="1134" w:left="1134" w:header="567" w:footer="567" w:gutter="0"/>
      <w:pgNumType w:start="312"/>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0DD0" w14:textId="77777777" w:rsidR="00334E56" w:rsidRDefault="00334E56" w:rsidP="009E3616">
      <w:r>
        <w:separator/>
      </w:r>
    </w:p>
  </w:endnote>
  <w:endnote w:type="continuationSeparator" w:id="0">
    <w:p w14:paraId="3860112E" w14:textId="77777777" w:rsidR="00334E56" w:rsidRDefault="00334E56" w:rsidP="009E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2E6D50" w:rsidRPr="005C78AA" w14:paraId="2F6DB426" w14:textId="77777777" w:rsidTr="002E6D50">
      <w:trPr>
        <w:trHeight w:val="198"/>
      </w:trPr>
      <w:tc>
        <w:tcPr>
          <w:tcW w:w="1384" w:type="dxa"/>
          <w:shd w:val="clear" w:color="auto" w:fill="auto"/>
          <w:vAlign w:val="center"/>
        </w:tcPr>
        <w:p w14:paraId="4A34D0DA" w14:textId="77777777" w:rsidR="002E6D50" w:rsidRPr="005B7341" w:rsidRDefault="002E6D50" w:rsidP="00E74729">
          <w:bookmarkStart w:id="14" w:name="_Hlk104286226"/>
          <w:bookmarkStart w:id="15" w:name="_Hlk104286227"/>
          <w:r w:rsidRPr="005B7341">
            <w:rPr>
              <w:noProof/>
            </w:rPr>
            <w:drawing>
              <wp:inline distT="0" distB="0" distL="0" distR="0" wp14:anchorId="6AF9211F" wp14:editId="7278828B">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673D22D2" w14:textId="77777777" w:rsidR="002E6D50" w:rsidRPr="005B7341" w:rsidRDefault="002E6D50" w:rsidP="00E74729">
          <w:pPr>
            <w:suppressAutoHyphens/>
            <w:rPr>
              <w:sz w:val="18"/>
              <w:szCs w:val="18"/>
              <w:lang w:val="en-GB"/>
            </w:rPr>
          </w:pPr>
          <w:r w:rsidRPr="005B7341">
            <w:rPr>
              <w:sz w:val="18"/>
              <w:szCs w:val="18"/>
              <w:lang w:val="en-GB"/>
            </w:rPr>
            <w:t>© 2023. Author(s). This work is licensed under a Creative Commons Attribution 4.0 International License (CC BY-SA)</w:t>
          </w:r>
        </w:p>
      </w:tc>
    </w:tr>
    <w:bookmarkEnd w:id="14"/>
    <w:bookmarkEnd w:id="15"/>
  </w:tbl>
  <w:p w14:paraId="1EA4D1D3" w14:textId="77777777" w:rsidR="002E6D50" w:rsidRPr="005B7341" w:rsidRDefault="002E6D50" w:rsidP="00461D2C">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375A" w14:textId="77777777" w:rsidR="00334E56" w:rsidRDefault="00334E56" w:rsidP="009E3616">
      <w:r>
        <w:separator/>
      </w:r>
    </w:p>
  </w:footnote>
  <w:footnote w:type="continuationSeparator" w:id="0">
    <w:p w14:paraId="6FE63F9A" w14:textId="77777777" w:rsidR="00334E56" w:rsidRDefault="00334E56" w:rsidP="009E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2E6D50" w:rsidRPr="00377DE9" w14:paraId="097D93C5" w14:textId="77777777" w:rsidTr="002E6D50">
      <w:trPr>
        <w:trHeight w:hRule="exact" w:val="284"/>
      </w:trPr>
      <w:tc>
        <w:tcPr>
          <w:tcW w:w="397" w:type="dxa"/>
          <w:shd w:val="clear" w:color="auto" w:fill="auto"/>
          <w:vAlign w:val="center"/>
        </w:tcPr>
        <w:p w14:paraId="4E01B733" w14:textId="77777777" w:rsidR="002E6D50" w:rsidRPr="00377DE9" w:rsidRDefault="00D81B25" w:rsidP="00461D2C">
          <w:pPr>
            <w:pStyle w:val="Nagwek"/>
            <w:rPr>
              <w:rFonts w:ascii="Arial" w:hAnsi="Arial" w:cs="Arial"/>
              <w:i/>
              <w:sz w:val="20"/>
              <w:szCs w:val="20"/>
            </w:rPr>
          </w:pPr>
          <w:r w:rsidRPr="00377DE9">
            <w:rPr>
              <w:rFonts w:ascii="Arial" w:hAnsi="Arial" w:cs="Arial"/>
              <w:sz w:val="20"/>
              <w:szCs w:val="20"/>
            </w:rPr>
            <w:fldChar w:fldCharType="begin"/>
          </w:r>
          <w:r w:rsidR="002E6D50"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sidR="00570B2B">
            <w:rPr>
              <w:rFonts w:ascii="Arial" w:hAnsi="Arial" w:cs="Arial"/>
              <w:noProof/>
              <w:sz w:val="20"/>
              <w:szCs w:val="20"/>
            </w:rPr>
            <w:t>18</w:t>
          </w:r>
          <w:r w:rsidRPr="00377DE9">
            <w:rPr>
              <w:rFonts w:ascii="Arial" w:hAnsi="Arial" w:cs="Arial"/>
              <w:sz w:val="20"/>
              <w:szCs w:val="20"/>
            </w:rPr>
            <w:fldChar w:fldCharType="end"/>
          </w:r>
        </w:p>
      </w:tc>
      <w:tc>
        <w:tcPr>
          <w:tcW w:w="9242" w:type="dxa"/>
          <w:shd w:val="clear" w:color="auto" w:fill="auto"/>
          <w:vAlign w:val="center"/>
        </w:tcPr>
        <w:p w14:paraId="32DDFE9D" w14:textId="77777777" w:rsidR="002E6D50" w:rsidRPr="00377DE9" w:rsidRDefault="002E6D50" w:rsidP="00461D2C">
          <w:pPr>
            <w:pStyle w:val="Nagwek"/>
            <w:jc w:val="center"/>
            <w:rPr>
              <w:rFonts w:ascii="Arial" w:hAnsi="Arial" w:cs="Arial"/>
              <w:i/>
              <w:sz w:val="20"/>
              <w:szCs w:val="20"/>
            </w:rPr>
          </w:pPr>
          <w:r w:rsidRPr="008640C4">
            <w:rPr>
              <w:rFonts w:ascii="Arial" w:hAnsi="Arial" w:cs="Arial"/>
              <w:i/>
              <w:sz w:val="20"/>
              <w:szCs w:val="20"/>
            </w:rPr>
            <w:t>Paweł Zając</w:t>
          </w:r>
          <w:r w:rsidRPr="00377DE9">
            <w:rPr>
              <w:rFonts w:ascii="Arial" w:hAnsi="Arial" w:cs="Arial"/>
              <w:i/>
              <w:sz w:val="20"/>
              <w:szCs w:val="20"/>
            </w:rPr>
            <w:t xml:space="preserve"> et al.</w:t>
          </w:r>
        </w:p>
      </w:tc>
    </w:tr>
  </w:tbl>
  <w:p w14:paraId="319AB207" w14:textId="77777777" w:rsidR="002E6D50" w:rsidRPr="000A241A" w:rsidRDefault="002E6D50" w:rsidP="00461D2C">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2E6D50" w:rsidRPr="00911802" w14:paraId="1B9F4D3D" w14:textId="77777777" w:rsidTr="002E6D50">
      <w:trPr>
        <w:trHeight w:hRule="exact" w:val="284"/>
        <w:jc w:val="right"/>
      </w:trPr>
      <w:tc>
        <w:tcPr>
          <w:tcW w:w="9243" w:type="dxa"/>
          <w:shd w:val="clear" w:color="auto" w:fill="auto"/>
          <w:vAlign w:val="center"/>
        </w:tcPr>
        <w:p w14:paraId="719C9A44" w14:textId="77777777" w:rsidR="002E6D50" w:rsidRPr="005117CD" w:rsidRDefault="002E6D50" w:rsidP="00461D2C">
          <w:pPr>
            <w:pStyle w:val="Nagwek"/>
            <w:jc w:val="center"/>
            <w:rPr>
              <w:rFonts w:ascii="Arial" w:hAnsi="Arial" w:cs="Arial"/>
              <w:i/>
              <w:sz w:val="20"/>
              <w:szCs w:val="18"/>
              <w:lang w:val="en-GB"/>
            </w:rPr>
          </w:pPr>
          <w:r w:rsidRPr="008640C4">
            <w:rPr>
              <w:rFonts w:ascii="Arial" w:hAnsi="Arial" w:cs="Arial"/>
              <w:i/>
              <w:sz w:val="20"/>
              <w:szCs w:val="18"/>
              <w:lang w:val="en-GB"/>
            </w:rPr>
            <w:t>Rationalization of Costs in the Collection, Segregation and Transport</w:t>
          </w:r>
          <w:r>
            <w:rPr>
              <w:rFonts w:ascii="Arial" w:hAnsi="Arial" w:cs="Arial"/>
              <w:i/>
              <w:sz w:val="20"/>
              <w:szCs w:val="18"/>
              <w:lang w:val="en-GB"/>
            </w:rPr>
            <w:t>…</w:t>
          </w:r>
        </w:p>
      </w:tc>
      <w:tc>
        <w:tcPr>
          <w:tcW w:w="397" w:type="dxa"/>
          <w:shd w:val="clear" w:color="auto" w:fill="auto"/>
          <w:vAlign w:val="center"/>
        </w:tcPr>
        <w:p w14:paraId="1FD7247B" w14:textId="77777777" w:rsidR="002E6D50" w:rsidRPr="00911802" w:rsidRDefault="00D81B25" w:rsidP="00461D2C">
          <w:pPr>
            <w:pStyle w:val="Nagwek"/>
            <w:jc w:val="right"/>
            <w:rPr>
              <w:rFonts w:ascii="Arial" w:hAnsi="Arial" w:cs="Arial"/>
              <w:i/>
              <w:sz w:val="20"/>
              <w:szCs w:val="18"/>
            </w:rPr>
          </w:pPr>
          <w:r w:rsidRPr="00911802">
            <w:rPr>
              <w:rFonts w:ascii="Arial" w:hAnsi="Arial" w:cs="Arial"/>
              <w:sz w:val="20"/>
              <w:szCs w:val="18"/>
            </w:rPr>
            <w:fldChar w:fldCharType="begin"/>
          </w:r>
          <w:r w:rsidR="002E6D50"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570B2B">
            <w:rPr>
              <w:rFonts w:ascii="Arial" w:hAnsi="Arial" w:cs="Arial"/>
              <w:noProof/>
              <w:sz w:val="20"/>
              <w:szCs w:val="18"/>
            </w:rPr>
            <w:t>17</w:t>
          </w:r>
          <w:r w:rsidRPr="00911802">
            <w:rPr>
              <w:rFonts w:ascii="Arial" w:hAnsi="Arial" w:cs="Arial"/>
              <w:sz w:val="20"/>
              <w:szCs w:val="18"/>
            </w:rPr>
            <w:fldChar w:fldCharType="end"/>
          </w:r>
        </w:p>
      </w:tc>
    </w:tr>
  </w:tbl>
  <w:p w14:paraId="4962ECBC" w14:textId="77777777" w:rsidR="002E6D50" w:rsidRPr="00911802" w:rsidRDefault="002E6D50" w:rsidP="00461D2C">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C6E"/>
    <w:multiLevelType w:val="hybridMultilevel"/>
    <w:tmpl w:val="9876722E"/>
    <w:lvl w:ilvl="0" w:tplc="A762E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663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2E2835"/>
    <w:multiLevelType w:val="hybridMultilevel"/>
    <w:tmpl w:val="793A32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1A74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E693F"/>
    <w:multiLevelType w:val="hybridMultilevel"/>
    <w:tmpl w:val="8F8C59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02051"/>
    <w:multiLevelType w:val="hybridMultilevel"/>
    <w:tmpl w:val="0DAA8EA2"/>
    <w:lvl w:ilvl="0" w:tplc="7B1ECE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FC2856"/>
    <w:multiLevelType w:val="multilevel"/>
    <w:tmpl w:val="99B06152"/>
    <w:lvl w:ilvl="0">
      <w:start w:val="1"/>
      <w:numFmt w:val="decimal"/>
      <w:pStyle w:val="Nagwek1"/>
      <w:lvlText w:val="%1."/>
      <w:lvlJc w:val="left"/>
      <w:pPr>
        <w:ind w:left="360" w:hanging="360"/>
      </w:pPr>
    </w:lvl>
    <w:lvl w:ilvl="1">
      <w:start w:val="1"/>
      <w:numFmt w:val="decimal"/>
      <w:pStyle w:val="Nagwek2"/>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E4DA7"/>
    <w:multiLevelType w:val="hybridMultilevel"/>
    <w:tmpl w:val="66A67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7006F"/>
    <w:multiLevelType w:val="hybridMultilevel"/>
    <w:tmpl w:val="F1AC0D10"/>
    <w:lvl w:ilvl="0" w:tplc="0415000F">
      <w:start w:val="1"/>
      <w:numFmt w:val="decimal"/>
      <w:lvlText w:val="%1."/>
      <w:lvlJc w:val="left"/>
      <w:pPr>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B023CD"/>
    <w:multiLevelType w:val="hybridMultilevel"/>
    <w:tmpl w:val="4ED46B30"/>
    <w:lvl w:ilvl="0" w:tplc="7B1EC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9426EC"/>
    <w:multiLevelType w:val="hybridMultilevel"/>
    <w:tmpl w:val="AE7E8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C224B3"/>
    <w:multiLevelType w:val="hybridMultilevel"/>
    <w:tmpl w:val="CF6637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D28CA"/>
    <w:multiLevelType w:val="hybridMultilevel"/>
    <w:tmpl w:val="4BB4960C"/>
    <w:lvl w:ilvl="0" w:tplc="164EF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Simplified Arabic Fixed" w:hAnsi="Simplified Arabic Fixed" w:cs="Simplified Arabic Fixed"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Simplified Arabic Fixed" w:hAnsi="Simplified Arabic Fixed" w:cs="Simplified Arabic Fixed"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Simplified Arabic Fixed" w:hAnsi="Simplified Arabic Fixed" w:cs="Simplified Arabic Fixed"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167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163714"/>
    <w:multiLevelType w:val="hybridMultilevel"/>
    <w:tmpl w:val="51A6BBB6"/>
    <w:lvl w:ilvl="0" w:tplc="60B8CAD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B8224A"/>
    <w:multiLevelType w:val="multilevel"/>
    <w:tmpl w:val="60F89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EF11BB0"/>
    <w:multiLevelType w:val="hybridMultilevel"/>
    <w:tmpl w:val="51906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10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D641A5"/>
    <w:multiLevelType w:val="hybridMultilevel"/>
    <w:tmpl w:val="293A2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E6366"/>
    <w:multiLevelType w:val="multilevel"/>
    <w:tmpl w:val="3AF2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86523"/>
    <w:multiLevelType w:val="hybridMultilevel"/>
    <w:tmpl w:val="8EE69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222A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3565C8"/>
    <w:multiLevelType w:val="hybridMultilevel"/>
    <w:tmpl w:val="91726F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D40038"/>
    <w:multiLevelType w:val="hybridMultilevel"/>
    <w:tmpl w:val="1A48962E"/>
    <w:lvl w:ilvl="0" w:tplc="7D163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5649F5"/>
    <w:multiLevelType w:val="hybridMultilevel"/>
    <w:tmpl w:val="FAA64896"/>
    <w:lvl w:ilvl="0" w:tplc="BD3C5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05DF7"/>
    <w:multiLevelType w:val="hybridMultilevel"/>
    <w:tmpl w:val="23B2E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B01D7"/>
    <w:multiLevelType w:val="hybridMultilevel"/>
    <w:tmpl w:val="86C805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39489E"/>
    <w:multiLevelType w:val="hybridMultilevel"/>
    <w:tmpl w:val="579A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B927D1"/>
    <w:multiLevelType w:val="hybridMultilevel"/>
    <w:tmpl w:val="5044C94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9" w15:restartNumberingAfterBreak="0">
    <w:nsid w:val="592946A9"/>
    <w:multiLevelType w:val="hybridMultilevel"/>
    <w:tmpl w:val="0C904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B52CE8"/>
    <w:multiLevelType w:val="hybridMultilevel"/>
    <w:tmpl w:val="D2AE0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8452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EB40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3E088D"/>
    <w:multiLevelType w:val="multilevel"/>
    <w:tmpl w:val="C4E8AFA2"/>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9C2F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04BF0"/>
    <w:multiLevelType w:val="hybridMultilevel"/>
    <w:tmpl w:val="11648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C87226"/>
    <w:multiLevelType w:val="hybridMultilevel"/>
    <w:tmpl w:val="BAFCD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Simplified Arabic Fixed" w:hAnsi="Simplified Arabic Fixed" w:cs="Simplified Arabic Fixed"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Simplified Arabic Fixed" w:hAnsi="Simplified Arabic Fixed" w:cs="Simplified Arabic Fixed"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Simplified Arabic Fixed" w:hAnsi="Simplified Arabic Fixed" w:cs="Simplified Arabic Fixed"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4171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E6D9E"/>
    <w:multiLevelType w:val="hybridMultilevel"/>
    <w:tmpl w:val="50845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439136">
    <w:abstractNumId w:val="28"/>
  </w:num>
  <w:num w:numId="2" w16cid:durableId="2050257590">
    <w:abstractNumId w:val="24"/>
  </w:num>
  <w:num w:numId="3" w16cid:durableId="338315031">
    <w:abstractNumId w:val="33"/>
  </w:num>
  <w:num w:numId="4" w16cid:durableId="1378048839">
    <w:abstractNumId w:val="20"/>
  </w:num>
  <w:num w:numId="5" w16cid:durableId="1054424909">
    <w:abstractNumId w:val="15"/>
  </w:num>
  <w:num w:numId="6" w16cid:durableId="189073289">
    <w:abstractNumId w:val="2"/>
  </w:num>
  <w:num w:numId="7" w16cid:durableId="990721177">
    <w:abstractNumId w:val="26"/>
  </w:num>
  <w:num w:numId="8" w16cid:durableId="1982801818">
    <w:abstractNumId w:val="1"/>
  </w:num>
  <w:num w:numId="9" w16cid:durableId="1540360588">
    <w:abstractNumId w:val="9"/>
  </w:num>
  <w:num w:numId="10" w16cid:durableId="419640521">
    <w:abstractNumId w:val="22"/>
  </w:num>
  <w:num w:numId="11" w16cid:durableId="1153064192">
    <w:abstractNumId w:val="5"/>
  </w:num>
  <w:num w:numId="12" w16cid:durableId="513374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7330948">
    <w:abstractNumId w:val="11"/>
  </w:num>
  <w:num w:numId="14" w16cid:durableId="1865166273">
    <w:abstractNumId w:val="35"/>
  </w:num>
  <w:num w:numId="15" w16cid:durableId="904725636">
    <w:abstractNumId w:val="38"/>
  </w:num>
  <w:num w:numId="16" w16cid:durableId="542595017">
    <w:abstractNumId w:val="4"/>
  </w:num>
  <w:num w:numId="17" w16cid:durableId="460072835">
    <w:abstractNumId w:val="37"/>
  </w:num>
  <w:num w:numId="18" w16cid:durableId="1372460745">
    <w:abstractNumId w:val="13"/>
  </w:num>
  <w:num w:numId="19" w16cid:durableId="1783642905">
    <w:abstractNumId w:val="16"/>
  </w:num>
  <w:num w:numId="20" w16cid:durableId="1077093880">
    <w:abstractNumId w:val="27"/>
  </w:num>
  <w:num w:numId="21" w16cid:durableId="1673340757">
    <w:abstractNumId w:val="29"/>
  </w:num>
  <w:num w:numId="22" w16cid:durableId="1757289545">
    <w:abstractNumId w:val="18"/>
  </w:num>
  <w:num w:numId="23" w16cid:durableId="1580863071">
    <w:abstractNumId w:val="30"/>
  </w:num>
  <w:num w:numId="24" w16cid:durableId="678390776">
    <w:abstractNumId w:val="34"/>
  </w:num>
  <w:num w:numId="25" w16cid:durableId="1313102864">
    <w:abstractNumId w:val="25"/>
  </w:num>
  <w:num w:numId="26" w16cid:durableId="243683777">
    <w:abstractNumId w:val="32"/>
  </w:num>
  <w:num w:numId="27" w16cid:durableId="1193616538">
    <w:abstractNumId w:val="31"/>
  </w:num>
  <w:num w:numId="28" w16cid:durableId="1296444906">
    <w:abstractNumId w:val="17"/>
  </w:num>
  <w:num w:numId="29" w16cid:durableId="1495101330">
    <w:abstractNumId w:val="19"/>
  </w:num>
  <w:num w:numId="30" w16cid:durableId="529613192">
    <w:abstractNumId w:val="10"/>
  </w:num>
  <w:num w:numId="31" w16cid:durableId="1087577972">
    <w:abstractNumId w:val="36"/>
  </w:num>
  <w:num w:numId="32" w16cid:durableId="906379923">
    <w:abstractNumId w:val="21"/>
  </w:num>
  <w:num w:numId="33" w16cid:durableId="917983484">
    <w:abstractNumId w:val="3"/>
  </w:num>
  <w:num w:numId="34" w16cid:durableId="1860000689">
    <w:abstractNumId w:val="14"/>
  </w:num>
  <w:num w:numId="35" w16cid:durableId="843782020">
    <w:abstractNumId w:val="6"/>
  </w:num>
  <w:num w:numId="36" w16cid:durableId="1134370104">
    <w:abstractNumId w:val="12"/>
  </w:num>
  <w:num w:numId="37" w16cid:durableId="1555191650">
    <w:abstractNumId w:val="0"/>
  </w:num>
  <w:num w:numId="38" w16cid:durableId="1251549763">
    <w:abstractNumId w:val="7"/>
  </w:num>
  <w:num w:numId="39" w16cid:durableId="149148448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cwtDQ3MTMxtDA0tbRU0lEKTi0uzszPAykwrAUAGoMCeiwAAAA="/>
  </w:docVars>
  <w:rsids>
    <w:rsidRoot w:val="00CE678A"/>
    <w:rsid w:val="0000132F"/>
    <w:rsid w:val="00001F5D"/>
    <w:rsid w:val="000034D0"/>
    <w:rsid w:val="000042D5"/>
    <w:rsid w:val="00006B73"/>
    <w:rsid w:val="000074F6"/>
    <w:rsid w:val="00007685"/>
    <w:rsid w:val="00007FFE"/>
    <w:rsid w:val="00011AED"/>
    <w:rsid w:val="00011C8E"/>
    <w:rsid w:val="00012F4D"/>
    <w:rsid w:val="000165A1"/>
    <w:rsid w:val="00017613"/>
    <w:rsid w:val="0001780A"/>
    <w:rsid w:val="00017A4A"/>
    <w:rsid w:val="00023659"/>
    <w:rsid w:val="00024DFF"/>
    <w:rsid w:val="0002578B"/>
    <w:rsid w:val="00026780"/>
    <w:rsid w:val="000274CF"/>
    <w:rsid w:val="00030139"/>
    <w:rsid w:val="000305EE"/>
    <w:rsid w:val="000332E4"/>
    <w:rsid w:val="000359BA"/>
    <w:rsid w:val="00035A99"/>
    <w:rsid w:val="00036469"/>
    <w:rsid w:val="0003720C"/>
    <w:rsid w:val="00042E71"/>
    <w:rsid w:val="00045746"/>
    <w:rsid w:val="00045C22"/>
    <w:rsid w:val="000479EB"/>
    <w:rsid w:val="000505ED"/>
    <w:rsid w:val="0005073B"/>
    <w:rsid w:val="0005208A"/>
    <w:rsid w:val="000521E2"/>
    <w:rsid w:val="000530F6"/>
    <w:rsid w:val="0005384E"/>
    <w:rsid w:val="000539FF"/>
    <w:rsid w:val="00054CB1"/>
    <w:rsid w:val="00055300"/>
    <w:rsid w:val="000563C6"/>
    <w:rsid w:val="00056A43"/>
    <w:rsid w:val="00057357"/>
    <w:rsid w:val="000600D0"/>
    <w:rsid w:val="000624A8"/>
    <w:rsid w:val="0006253A"/>
    <w:rsid w:val="0006297B"/>
    <w:rsid w:val="00063B23"/>
    <w:rsid w:val="000648E1"/>
    <w:rsid w:val="00065430"/>
    <w:rsid w:val="00065944"/>
    <w:rsid w:val="0006746A"/>
    <w:rsid w:val="000702F2"/>
    <w:rsid w:val="0007230D"/>
    <w:rsid w:val="00073036"/>
    <w:rsid w:val="000732B0"/>
    <w:rsid w:val="0007387F"/>
    <w:rsid w:val="000744B5"/>
    <w:rsid w:val="000746F5"/>
    <w:rsid w:val="00074AE6"/>
    <w:rsid w:val="00077272"/>
    <w:rsid w:val="000802EE"/>
    <w:rsid w:val="0008032A"/>
    <w:rsid w:val="00082D7A"/>
    <w:rsid w:val="00083C95"/>
    <w:rsid w:val="00084EE6"/>
    <w:rsid w:val="000857CF"/>
    <w:rsid w:val="0008610E"/>
    <w:rsid w:val="00086F97"/>
    <w:rsid w:val="0008727E"/>
    <w:rsid w:val="00087892"/>
    <w:rsid w:val="00092E5C"/>
    <w:rsid w:val="000946CE"/>
    <w:rsid w:val="00094D55"/>
    <w:rsid w:val="000953AF"/>
    <w:rsid w:val="000964D6"/>
    <w:rsid w:val="000972AF"/>
    <w:rsid w:val="000A0475"/>
    <w:rsid w:val="000A07B2"/>
    <w:rsid w:val="000A0B47"/>
    <w:rsid w:val="000A1BB2"/>
    <w:rsid w:val="000A5569"/>
    <w:rsid w:val="000A5E76"/>
    <w:rsid w:val="000A76F6"/>
    <w:rsid w:val="000A7C6F"/>
    <w:rsid w:val="000B2052"/>
    <w:rsid w:val="000B43C4"/>
    <w:rsid w:val="000B50F1"/>
    <w:rsid w:val="000B582A"/>
    <w:rsid w:val="000B589C"/>
    <w:rsid w:val="000B5F26"/>
    <w:rsid w:val="000B6D3D"/>
    <w:rsid w:val="000C01B4"/>
    <w:rsid w:val="000C0585"/>
    <w:rsid w:val="000C073A"/>
    <w:rsid w:val="000C0DC0"/>
    <w:rsid w:val="000C1DB1"/>
    <w:rsid w:val="000C20A9"/>
    <w:rsid w:val="000C2BD6"/>
    <w:rsid w:val="000C3418"/>
    <w:rsid w:val="000C50AE"/>
    <w:rsid w:val="000C5246"/>
    <w:rsid w:val="000C52F2"/>
    <w:rsid w:val="000C5855"/>
    <w:rsid w:val="000C5B6A"/>
    <w:rsid w:val="000C7C3A"/>
    <w:rsid w:val="000D0931"/>
    <w:rsid w:val="000D3DD6"/>
    <w:rsid w:val="000D417C"/>
    <w:rsid w:val="000D4C39"/>
    <w:rsid w:val="000D4D50"/>
    <w:rsid w:val="000D613C"/>
    <w:rsid w:val="000D7FCC"/>
    <w:rsid w:val="000E00D9"/>
    <w:rsid w:val="000E11CF"/>
    <w:rsid w:val="000E1604"/>
    <w:rsid w:val="000E2596"/>
    <w:rsid w:val="000E351E"/>
    <w:rsid w:val="000E470C"/>
    <w:rsid w:val="000E5367"/>
    <w:rsid w:val="000E57D2"/>
    <w:rsid w:val="000E7929"/>
    <w:rsid w:val="000F009D"/>
    <w:rsid w:val="000F12E5"/>
    <w:rsid w:val="000F2F08"/>
    <w:rsid w:val="000F318E"/>
    <w:rsid w:val="000F3AAA"/>
    <w:rsid w:val="000F4B66"/>
    <w:rsid w:val="000F6A0B"/>
    <w:rsid w:val="000F7DAF"/>
    <w:rsid w:val="00100258"/>
    <w:rsid w:val="001004DE"/>
    <w:rsid w:val="001012F5"/>
    <w:rsid w:val="00101F16"/>
    <w:rsid w:val="00101FEB"/>
    <w:rsid w:val="00102E66"/>
    <w:rsid w:val="00104E22"/>
    <w:rsid w:val="00104FBF"/>
    <w:rsid w:val="00105ECA"/>
    <w:rsid w:val="00105F0A"/>
    <w:rsid w:val="00106307"/>
    <w:rsid w:val="00107413"/>
    <w:rsid w:val="00107894"/>
    <w:rsid w:val="00107B56"/>
    <w:rsid w:val="0011173A"/>
    <w:rsid w:val="00112F09"/>
    <w:rsid w:val="001130D1"/>
    <w:rsid w:val="00113AC7"/>
    <w:rsid w:val="00113C9D"/>
    <w:rsid w:val="00115467"/>
    <w:rsid w:val="00115486"/>
    <w:rsid w:val="00115E61"/>
    <w:rsid w:val="00116799"/>
    <w:rsid w:val="001179B5"/>
    <w:rsid w:val="0012072E"/>
    <w:rsid w:val="00121A27"/>
    <w:rsid w:val="00121AF7"/>
    <w:rsid w:val="00121D5E"/>
    <w:rsid w:val="00123493"/>
    <w:rsid w:val="001265F7"/>
    <w:rsid w:val="00130538"/>
    <w:rsid w:val="00130AF2"/>
    <w:rsid w:val="00130BB5"/>
    <w:rsid w:val="00130D26"/>
    <w:rsid w:val="001314FD"/>
    <w:rsid w:val="00132D47"/>
    <w:rsid w:val="001333CE"/>
    <w:rsid w:val="00133F1F"/>
    <w:rsid w:val="00134161"/>
    <w:rsid w:val="001341B8"/>
    <w:rsid w:val="00135C58"/>
    <w:rsid w:val="00135F95"/>
    <w:rsid w:val="001361F5"/>
    <w:rsid w:val="00137EAE"/>
    <w:rsid w:val="00140DDD"/>
    <w:rsid w:val="00141B0F"/>
    <w:rsid w:val="00143C74"/>
    <w:rsid w:val="0014594D"/>
    <w:rsid w:val="00146271"/>
    <w:rsid w:val="001466F0"/>
    <w:rsid w:val="001478A8"/>
    <w:rsid w:val="0015196D"/>
    <w:rsid w:val="001519D6"/>
    <w:rsid w:val="0015290E"/>
    <w:rsid w:val="00155A84"/>
    <w:rsid w:val="00156B12"/>
    <w:rsid w:val="0016216B"/>
    <w:rsid w:val="001623B9"/>
    <w:rsid w:val="00164367"/>
    <w:rsid w:val="0016612E"/>
    <w:rsid w:val="001664EA"/>
    <w:rsid w:val="001671A5"/>
    <w:rsid w:val="00170265"/>
    <w:rsid w:val="00170D14"/>
    <w:rsid w:val="00172430"/>
    <w:rsid w:val="00172B4E"/>
    <w:rsid w:val="001760A4"/>
    <w:rsid w:val="001770C2"/>
    <w:rsid w:val="00182A4C"/>
    <w:rsid w:val="00182A7F"/>
    <w:rsid w:val="00182ADE"/>
    <w:rsid w:val="0018308E"/>
    <w:rsid w:val="0018656A"/>
    <w:rsid w:val="00186595"/>
    <w:rsid w:val="00190E47"/>
    <w:rsid w:val="0019114A"/>
    <w:rsid w:val="00191435"/>
    <w:rsid w:val="001919C6"/>
    <w:rsid w:val="00192DD3"/>
    <w:rsid w:val="00192EFF"/>
    <w:rsid w:val="00194898"/>
    <w:rsid w:val="001949CB"/>
    <w:rsid w:val="00195049"/>
    <w:rsid w:val="001979A8"/>
    <w:rsid w:val="00197D70"/>
    <w:rsid w:val="001A077B"/>
    <w:rsid w:val="001A217C"/>
    <w:rsid w:val="001A3CFE"/>
    <w:rsid w:val="001A4649"/>
    <w:rsid w:val="001A534D"/>
    <w:rsid w:val="001A553C"/>
    <w:rsid w:val="001A65FF"/>
    <w:rsid w:val="001A7060"/>
    <w:rsid w:val="001B009D"/>
    <w:rsid w:val="001B0B58"/>
    <w:rsid w:val="001B0BC0"/>
    <w:rsid w:val="001B1B6C"/>
    <w:rsid w:val="001B2283"/>
    <w:rsid w:val="001B2883"/>
    <w:rsid w:val="001B4318"/>
    <w:rsid w:val="001B44B7"/>
    <w:rsid w:val="001B4F31"/>
    <w:rsid w:val="001B61A6"/>
    <w:rsid w:val="001C020C"/>
    <w:rsid w:val="001C0ADC"/>
    <w:rsid w:val="001C0BA4"/>
    <w:rsid w:val="001C361E"/>
    <w:rsid w:val="001C383C"/>
    <w:rsid w:val="001C4270"/>
    <w:rsid w:val="001C4591"/>
    <w:rsid w:val="001C48FA"/>
    <w:rsid w:val="001C5E10"/>
    <w:rsid w:val="001D4660"/>
    <w:rsid w:val="001D545A"/>
    <w:rsid w:val="001D5831"/>
    <w:rsid w:val="001E02BD"/>
    <w:rsid w:val="001E35C8"/>
    <w:rsid w:val="001E4BE3"/>
    <w:rsid w:val="001E67DF"/>
    <w:rsid w:val="001E6D82"/>
    <w:rsid w:val="001E6E41"/>
    <w:rsid w:val="001F0D3F"/>
    <w:rsid w:val="001F0E0F"/>
    <w:rsid w:val="001F151C"/>
    <w:rsid w:val="001F1F39"/>
    <w:rsid w:val="001F1F82"/>
    <w:rsid w:val="001F297D"/>
    <w:rsid w:val="001F34B8"/>
    <w:rsid w:val="001F3921"/>
    <w:rsid w:val="001F5841"/>
    <w:rsid w:val="001F65EE"/>
    <w:rsid w:val="0020048B"/>
    <w:rsid w:val="002014D6"/>
    <w:rsid w:val="00201B94"/>
    <w:rsid w:val="002041B1"/>
    <w:rsid w:val="0020604A"/>
    <w:rsid w:val="00206B31"/>
    <w:rsid w:val="00207092"/>
    <w:rsid w:val="00210A78"/>
    <w:rsid w:val="002116D0"/>
    <w:rsid w:val="00211E9A"/>
    <w:rsid w:val="00212A03"/>
    <w:rsid w:val="00215E91"/>
    <w:rsid w:val="00215F0B"/>
    <w:rsid w:val="00215F28"/>
    <w:rsid w:val="00216452"/>
    <w:rsid w:val="002169A4"/>
    <w:rsid w:val="0021742B"/>
    <w:rsid w:val="00220D49"/>
    <w:rsid w:val="00225EE5"/>
    <w:rsid w:val="002279F2"/>
    <w:rsid w:val="00227D96"/>
    <w:rsid w:val="00230DB4"/>
    <w:rsid w:val="002328BF"/>
    <w:rsid w:val="002334B0"/>
    <w:rsid w:val="00233982"/>
    <w:rsid w:val="002340F2"/>
    <w:rsid w:val="002348A5"/>
    <w:rsid w:val="00235C21"/>
    <w:rsid w:val="0023658E"/>
    <w:rsid w:val="00236807"/>
    <w:rsid w:val="002368E4"/>
    <w:rsid w:val="00236ABF"/>
    <w:rsid w:val="002377BD"/>
    <w:rsid w:val="00237A93"/>
    <w:rsid w:val="00237CD4"/>
    <w:rsid w:val="002407EA"/>
    <w:rsid w:val="00242271"/>
    <w:rsid w:val="00242E74"/>
    <w:rsid w:val="00243532"/>
    <w:rsid w:val="0024449C"/>
    <w:rsid w:val="0024799C"/>
    <w:rsid w:val="002532E1"/>
    <w:rsid w:val="002538A8"/>
    <w:rsid w:val="00254C2F"/>
    <w:rsid w:val="00256F2C"/>
    <w:rsid w:val="00260479"/>
    <w:rsid w:val="002605D0"/>
    <w:rsid w:val="00260606"/>
    <w:rsid w:val="00263045"/>
    <w:rsid w:val="002637EB"/>
    <w:rsid w:val="00263D0F"/>
    <w:rsid w:val="00264368"/>
    <w:rsid w:val="00264700"/>
    <w:rsid w:val="00266E19"/>
    <w:rsid w:val="0026709C"/>
    <w:rsid w:val="002719C9"/>
    <w:rsid w:val="00272140"/>
    <w:rsid w:val="00272A73"/>
    <w:rsid w:val="00273693"/>
    <w:rsid w:val="00273FD1"/>
    <w:rsid w:val="00274081"/>
    <w:rsid w:val="00274CE1"/>
    <w:rsid w:val="00276431"/>
    <w:rsid w:val="00276617"/>
    <w:rsid w:val="00276E60"/>
    <w:rsid w:val="002775B3"/>
    <w:rsid w:val="002777E1"/>
    <w:rsid w:val="00277841"/>
    <w:rsid w:val="002808BF"/>
    <w:rsid w:val="00280C05"/>
    <w:rsid w:val="00280E4E"/>
    <w:rsid w:val="0028275C"/>
    <w:rsid w:val="00283AB4"/>
    <w:rsid w:val="002855E4"/>
    <w:rsid w:val="00286309"/>
    <w:rsid w:val="00286D4B"/>
    <w:rsid w:val="002879C9"/>
    <w:rsid w:val="002921AB"/>
    <w:rsid w:val="00296EA4"/>
    <w:rsid w:val="002A0363"/>
    <w:rsid w:val="002A1E7F"/>
    <w:rsid w:val="002A4177"/>
    <w:rsid w:val="002A4242"/>
    <w:rsid w:val="002A57CC"/>
    <w:rsid w:val="002A59BE"/>
    <w:rsid w:val="002A5BE5"/>
    <w:rsid w:val="002A6128"/>
    <w:rsid w:val="002A6A43"/>
    <w:rsid w:val="002B07E7"/>
    <w:rsid w:val="002B1BE4"/>
    <w:rsid w:val="002B1D3A"/>
    <w:rsid w:val="002B1FA5"/>
    <w:rsid w:val="002B21EB"/>
    <w:rsid w:val="002B29BD"/>
    <w:rsid w:val="002B571A"/>
    <w:rsid w:val="002B61B8"/>
    <w:rsid w:val="002C0E14"/>
    <w:rsid w:val="002C195C"/>
    <w:rsid w:val="002C34BD"/>
    <w:rsid w:val="002C3F70"/>
    <w:rsid w:val="002C47F6"/>
    <w:rsid w:val="002C4ED5"/>
    <w:rsid w:val="002C665D"/>
    <w:rsid w:val="002C74D2"/>
    <w:rsid w:val="002D0311"/>
    <w:rsid w:val="002D0E63"/>
    <w:rsid w:val="002D1342"/>
    <w:rsid w:val="002D20B9"/>
    <w:rsid w:val="002D334F"/>
    <w:rsid w:val="002D67DB"/>
    <w:rsid w:val="002E03CE"/>
    <w:rsid w:val="002E051A"/>
    <w:rsid w:val="002E08D5"/>
    <w:rsid w:val="002E2FA6"/>
    <w:rsid w:val="002E3D2C"/>
    <w:rsid w:val="002E6D50"/>
    <w:rsid w:val="002E7A49"/>
    <w:rsid w:val="002E7B00"/>
    <w:rsid w:val="002F0582"/>
    <w:rsid w:val="002F0C0E"/>
    <w:rsid w:val="002F0D12"/>
    <w:rsid w:val="002F4145"/>
    <w:rsid w:val="002F5AE8"/>
    <w:rsid w:val="002F5F1A"/>
    <w:rsid w:val="002F6213"/>
    <w:rsid w:val="002F78D7"/>
    <w:rsid w:val="003024BA"/>
    <w:rsid w:val="00304215"/>
    <w:rsid w:val="003069CB"/>
    <w:rsid w:val="00306CDB"/>
    <w:rsid w:val="003109B2"/>
    <w:rsid w:val="003114A6"/>
    <w:rsid w:val="00312F16"/>
    <w:rsid w:val="00313E75"/>
    <w:rsid w:val="00313ECE"/>
    <w:rsid w:val="003143D5"/>
    <w:rsid w:val="003157D6"/>
    <w:rsid w:val="0032054B"/>
    <w:rsid w:val="00321885"/>
    <w:rsid w:val="00321DD3"/>
    <w:rsid w:val="00322296"/>
    <w:rsid w:val="00323A17"/>
    <w:rsid w:val="00323FDB"/>
    <w:rsid w:val="003240FE"/>
    <w:rsid w:val="00324570"/>
    <w:rsid w:val="00326853"/>
    <w:rsid w:val="0032763D"/>
    <w:rsid w:val="00327755"/>
    <w:rsid w:val="003304C6"/>
    <w:rsid w:val="003307C8"/>
    <w:rsid w:val="00331214"/>
    <w:rsid w:val="00331857"/>
    <w:rsid w:val="0033200B"/>
    <w:rsid w:val="0033313A"/>
    <w:rsid w:val="00334CF7"/>
    <w:rsid w:val="00334E56"/>
    <w:rsid w:val="0033527B"/>
    <w:rsid w:val="00335A46"/>
    <w:rsid w:val="00336337"/>
    <w:rsid w:val="003367DB"/>
    <w:rsid w:val="0033722D"/>
    <w:rsid w:val="0033756E"/>
    <w:rsid w:val="00337AAF"/>
    <w:rsid w:val="0034163A"/>
    <w:rsid w:val="0034526C"/>
    <w:rsid w:val="00345514"/>
    <w:rsid w:val="00346000"/>
    <w:rsid w:val="003465BF"/>
    <w:rsid w:val="003510B3"/>
    <w:rsid w:val="00351D4D"/>
    <w:rsid w:val="00352E19"/>
    <w:rsid w:val="0035417F"/>
    <w:rsid w:val="003556C1"/>
    <w:rsid w:val="00356324"/>
    <w:rsid w:val="00356352"/>
    <w:rsid w:val="003568D4"/>
    <w:rsid w:val="00357646"/>
    <w:rsid w:val="00361E56"/>
    <w:rsid w:val="00362FA9"/>
    <w:rsid w:val="00363675"/>
    <w:rsid w:val="00364202"/>
    <w:rsid w:val="00364215"/>
    <w:rsid w:val="0036568D"/>
    <w:rsid w:val="00367165"/>
    <w:rsid w:val="003675D2"/>
    <w:rsid w:val="0037033E"/>
    <w:rsid w:val="00370BCE"/>
    <w:rsid w:val="00370E02"/>
    <w:rsid w:val="0037103E"/>
    <w:rsid w:val="00371717"/>
    <w:rsid w:val="003719A7"/>
    <w:rsid w:val="00371D23"/>
    <w:rsid w:val="0037287C"/>
    <w:rsid w:val="003732DE"/>
    <w:rsid w:val="00375A13"/>
    <w:rsid w:val="00380ACD"/>
    <w:rsid w:val="00380DB9"/>
    <w:rsid w:val="00381144"/>
    <w:rsid w:val="003820CF"/>
    <w:rsid w:val="003829FD"/>
    <w:rsid w:val="00384C0B"/>
    <w:rsid w:val="0038718E"/>
    <w:rsid w:val="00387DDE"/>
    <w:rsid w:val="0039097D"/>
    <w:rsid w:val="00390DB0"/>
    <w:rsid w:val="00391EFD"/>
    <w:rsid w:val="003921C8"/>
    <w:rsid w:val="00392E38"/>
    <w:rsid w:val="00393DA8"/>
    <w:rsid w:val="00396197"/>
    <w:rsid w:val="003A0B72"/>
    <w:rsid w:val="003A3CDB"/>
    <w:rsid w:val="003A47A9"/>
    <w:rsid w:val="003A5B98"/>
    <w:rsid w:val="003A60AC"/>
    <w:rsid w:val="003A70E9"/>
    <w:rsid w:val="003A73A7"/>
    <w:rsid w:val="003A75E3"/>
    <w:rsid w:val="003B0A0A"/>
    <w:rsid w:val="003B641E"/>
    <w:rsid w:val="003B7C68"/>
    <w:rsid w:val="003C029E"/>
    <w:rsid w:val="003C17E7"/>
    <w:rsid w:val="003C1EEF"/>
    <w:rsid w:val="003C2AC0"/>
    <w:rsid w:val="003C35C2"/>
    <w:rsid w:val="003C3984"/>
    <w:rsid w:val="003C3F83"/>
    <w:rsid w:val="003C5050"/>
    <w:rsid w:val="003C513E"/>
    <w:rsid w:val="003C5626"/>
    <w:rsid w:val="003C5812"/>
    <w:rsid w:val="003C5DC3"/>
    <w:rsid w:val="003C5E90"/>
    <w:rsid w:val="003D0C40"/>
    <w:rsid w:val="003D2A11"/>
    <w:rsid w:val="003D39B6"/>
    <w:rsid w:val="003D3FF7"/>
    <w:rsid w:val="003D5906"/>
    <w:rsid w:val="003D5CCE"/>
    <w:rsid w:val="003D6320"/>
    <w:rsid w:val="003D6FE7"/>
    <w:rsid w:val="003E03AA"/>
    <w:rsid w:val="003E0943"/>
    <w:rsid w:val="003E2A9D"/>
    <w:rsid w:val="003E32A8"/>
    <w:rsid w:val="003E735D"/>
    <w:rsid w:val="003E7611"/>
    <w:rsid w:val="003F03A4"/>
    <w:rsid w:val="003F4E12"/>
    <w:rsid w:val="003F6E93"/>
    <w:rsid w:val="003F71E1"/>
    <w:rsid w:val="003F72A9"/>
    <w:rsid w:val="0040151D"/>
    <w:rsid w:val="00402911"/>
    <w:rsid w:val="0040339D"/>
    <w:rsid w:val="00405F8F"/>
    <w:rsid w:val="00407619"/>
    <w:rsid w:val="004076BB"/>
    <w:rsid w:val="00407C45"/>
    <w:rsid w:val="004139DD"/>
    <w:rsid w:val="00415BE3"/>
    <w:rsid w:val="00416831"/>
    <w:rsid w:val="00416FFE"/>
    <w:rsid w:val="00417376"/>
    <w:rsid w:val="00417D07"/>
    <w:rsid w:val="00420452"/>
    <w:rsid w:val="004223E2"/>
    <w:rsid w:val="00422CD6"/>
    <w:rsid w:val="0042361C"/>
    <w:rsid w:val="004247FB"/>
    <w:rsid w:val="00426936"/>
    <w:rsid w:val="00430117"/>
    <w:rsid w:val="00430C42"/>
    <w:rsid w:val="00432A05"/>
    <w:rsid w:val="00433F4C"/>
    <w:rsid w:val="0043461B"/>
    <w:rsid w:val="00434C09"/>
    <w:rsid w:val="004369FE"/>
    <w:rsid w:val="00440E1D"/>
    <w:rsid w:val="00441759"/>
    <w:rsid w:val="00442692"/>
    <w:rsid w:val="00444738"/>
    <w:rsid w:val="00446F9F"/>
    <w:rsid w:val="004506AE"/>
    <w:rsid w:val="00450D59"/>
    <w:rsid w:val="00451CFE"/>
    <w:rsid w:val="00452DAC"/>
    <w:rsid w:val="004538E9"/>
    <w:rsid w:val="00453D96"/>
    <w:rsid w:val="00454CAA"/>
    <w:rsid w:val="00454FCF"/>
    <w:rsid w:val="004570AC"/>
    <w:rsid w:val="00457329"/>
    <w:rsid w:val="00461D2C"/>
    <w:rsid w:val="004624A3"/>
    <w:rsid w:val="00462817"/>
    <w:rsid w:val="00462892"/>
    <w:rsid w:val="00463116"/>
    <w:rsid w:val="004658EE"/>
    <w:rsid w:val="00470A57"/>
    <w:rsid w:val="00471350"/>
    <w:rsid w:val="00472529"/>
    <w:rsid w:val="00473280"/>
    <w:rsid w:val="00474525"/>
    <w:rsid w:val="004750E2"/>
    <w:rsid w:val="004802B4"/>
    <w:rsid w:val="00481F28"/>
    <w:rsid w:val="004822A2"/>
    <w:rsid w:val="00484518"/>
    <w:rsid w:val="00486978"/>
    <w:rsid w:val="00487E3D"/>
    <w:rsid w:val="004909B1"/>
    <w:rsid w:val="00491858"/>
    <w:rsid w:val="00492068"/>
    <w:rsid w:val="0049246C"/>
    <w:rsid w:val="00492C44"/>
    <w:rsid w:val="00493027"/>
    <w:rsid w:val="00493736"/>
    <w:rsid w:val="004963D9"/>
    <w:rsid w:val="004A1FA2"/>
    <w:rsid w:val="004A258F"/>
    <w:rsid w:val="004A2E34"/>
    <w:rsid w:val="004A3061"/>
    <w:rsid w:val="004A3359"/>
    <w:rsid w:val="004A439F"/>
    <w:rsid w:val="004A4EC7"/>
    <w:rsid w:val="004A4FDE"/>
    <w:rsid w:val="004A6000"/>
    <w:rsid w:val="004A7398"/>
    <w:rsid w:val="004B08C2"/>
    <w:rsid w:val="004B0C49"/>
    <w:rsid w:val="004B2772"/>
    <w:rsid w:val="004B3150"/>
    <w:rsid w:val="004B4BF8"/>
    <w:rsid w:val="004B7DC8"/>
    <w:rsid w:val="004C09C7"/>
    <w:rsid w:val="004C0C00"/>
    <w:rsid w:val="004C1B29"/>
    <w:rsid w:val="004C3A1C"/>
    <w:rsid w:val="004C4365"/>
    <w:rsid w:val="004C5453"/>
    <w:rsid w:val="004C54FA"/>
    <w:rsid w:val="004C61B6"/>
    <w:rsid w:val="004C6410"/>
    <w:rsid w:val="004C6B64"/>
    <w:rsid w:val="004D1A62"/>
    <w:rsid w:val="004D1E84"/>
    <w:rsid w:val="004D43EF"/>
    <w:rsid w:val="004D447D"/>
    <w:rsid w:val="004D4F7B"/>
    <w:rsid w:val="004D57BB"/>
    <w:rsid w:val="004D610A"/>
    <w:rsid w:val="004D7415"/>
    <w:rsid w:val="004D7657"/>
    <w:rsid w:val="004E0056"/>
    <w:rsid w:val="004E2425"/>
    <w:rsid w:val="004E3767"/>
    <w:rsid w:val="004E521E"/>
    <w:rsid w:val="004E55C3"/>
    <w:rsid w:val="004E5C5B"/>
    <w:rsid w:val="004F04E4"/>
    <w:rsid w:val="004F16D9"/>
    <w:rsid w:val="004F26E3"/>
    <w:rsid w:val="004F2AB9"/>
    <w:rsid w:val="004F63A1"/>
    <w:rsid w:val="004F6FD9"/>
    <w:rsid w:val="005006B7"/>
    <w:rsid w:val="00500F4B"/>
    <w:rsid w:val="00501DDD"/>
    <w:rsid w:val="0050273E"/>
    <w:rsid w:val="005040D0"/>
    <w:rsid w:val="005054CC"/>
    <w:rsid w:val="005066B6"/>
    <w:rsid w:val="00507BE7"/>
    <w:rsid w:val="00507F68"/>
    <w:rsid w:val="005102E6"/>
    <w:rsid w:val="005113D2"/>
    <w:rsid w:val="005116D4"/>
    <w:rsid w:val="005116E5"/>
    <w:rsid w:val="00513A81"/>
    <w:rsid w:val="00515563"/>
    <w:rsid w:val="00515746"/>
    <w:rsid w:val="00515CED"/>
    <w:rsid w:val="00516FAC"/>
    <w:rsid w:val="00520AD6"/>
    <w:rsid w:val="005210D8"/>
    <w:rsid w:val="005216D4"/>
    <w:rsid w:val="00522617"/>
    <w:rsid w:val="005248EF"/>
    <w:rsid w:val="00524EA6"/>
    <w:rsid w:val="0052587B"/>
    <w:rsid w:val="00526B90"/>
    <w:rsid w:val="00530644"/>
    <w:rsid w:val="00532274"/>
    <w:rsid w:val="00532B4D"/>
    <w:rsid w:val="00534C51"/>
    <w:rsid w:val="00534E94"/>
    <w:rsid w:val="00535C42"/>
    <w:rsid w:val="00536422"/>
    <w:rsid w:val="005402CB"/>
    <w:rsid w:val="0054220C"/>
    <w:rsid w:val="00544E8F"/>
    <w:rsid w:val="005466B8"/>
    <w:rsid w:val="00550A13"/>
    <w:rsid w:val="00550F1E"/>
    <w:rsid w:val="0055187B"/>
    <w:rsid w:val="00551F29"/>
    <w:rsid w:val="005521CD"/>
    <w:rsid w:val="00553339"/>
    <w:rsid w:val="00553837"/>
    <w:rsid w:val="00553D04"/>
    <w:rsid w:val="00555275"/>
    <w:rsid w:val="00555532"/>
    <w:rsid w:val="00556582"/>
    <w:rsid w:val="00557873"/>
    <w:rsid w:val="005578F2"/>
    <w:rsid w:val="0056046F"/>
    <w:rsid w:val="00563FD4"/>
    <w:rsid w:val="005655A5"/>
    <w:rsid w:val="005672A5"/>
    <w:rsid w:val="00567BA8"/>
    <w:rsid w:val="00570331"/>
    <w:rsid w:val="00570B2B"/>
    <w:rsid w:val="00571941"/>
    <w:rsid w:val="00572436"/>
    <w:rsid w:val="0057267F"/>
    <w:rsid w:val="005746F8"/>
    <w:rsid w:val="0057475A"/>
    <w:rsid w:val="005761D0"/>
    <w:rsid w:val="005819B7"/>
    <w:rsid w:val="00581B67"/>
    <w:rsid w:val="00582457"/>
    <w:rsid w:val="00583228"/>
    <w:rsid w:val="00583FA3"/>
    <w:rsid w:val="005846B3"/>
    <w:rsid w:val="005862EE"/>
    <w:rsid w:val="005869A9"/>
    <w:rsid w:val="005900BB"/>
    <w:rsid w:val="00591738"/>
    <w:rsid w:val="005938F3"/>
    <w:rsid w:val="0059473A"/>
    <w:rsid w:val="005948CB"/>
    <w:rsid w:val="00594EF7"/>
    <w:rsid w:val="0059512E"/>
    <w:rsid w:val="005956E4"/>
    <w:rsid w:val="005A029D"/>
    <w:rsid w:val="005A3652"/>
    <w:rsid w:val="005A3DD0"/>
    <w:rsid w:val="005A462B"/>
    <w:rsid w:val="005A526E"/>
    <w:rsid w:val="005A63F2"/>
    <w:rsid w:val="005A6456"/>
    <w:rsid w:val="005A6562"/>
    <w:rsid w:val="005B0532"/>
    <w:rsid w:val="005B0933"/>
    <w:rsid w:val="005B0DAF"/>
    <w:rsid w:val="005B249B"/>
    <w:rsid w:val="005B57F3"/>
    <w:rsid w:val="005B69B9"/>
    <w:rsid w:val="005C039B"/>
    <w:rsid w:val="005C03E2"/>
    <w:rsid w:val="005C08B2"/>
    <w:rsid w:val="005C0C62"/>
    <w:rsid w:val="005C1457"/>
    <w:rsid w:val="005C28D4"/>
    <w:rsid w:val="005C370A"/>
    <w:rsid w:val="005C4123"/>
    <w:rsid w:val="005C4B50"/>
    <w:rsid w:val="005C58E6"/>
    <w:rsid w:val="005C6802"/>
    <w:rsid w:val="005C6CFC"/>
    <w:rsid w:val="005C7C4C"/>
    <w:rsid w:val="005D11FF"/>
    <w:rsid w:val="005D209A"/>
    <w:rsid w:val="005D61B1"/>
    <w:rsid w:val="005D6E51"/>
    <w:rsid w:val="005E0986"/>
    <w:rsid w:val="005E0AC9"/>
    <w:rsid w:val="005E13A8"/>
    <w:rsid w:val="005E1461"/>
    <w:rsid w:val="005E5CF6"/>
    <w:rsid w:val="005E6691"/>
    <w:rsid w:val="005E7403"/>
    <w:rsid w:val="005E7FE9"/>
    <w:rsid w:val="005F0010"/>
    <w:rsid w:val="005F09A7"/>
    <w:rsid w:val="006001D8"/>
    <w:rsid w:val="00600344"/>
    <w:rsid w:val="006009C6"/>
    <w:rsid w:val="00600AF0"/>
    <w:rsid w:val="00600EF4"/>
    <w:rsid w:val="006019F7"/>
    <w:rsid w:val="006044E4"/>
    <w:rsid w:val="006053B6"/>
    <w:rsid w:val="0060674D"/>
    <w:rsid w:val="00606B1A"/>
    <w:rsid w:val="00606C39"/>
    <w:rsid w:val="00610525"/>
    <w:rsid w:val="006108B7"/>
    <w:rsid w:val="00612725"/>
    <w:rsid w:val="006135F8"/>
    <w:rsid w:val="0061454F"/>
    <w:rsid w:val="0061475B"/>
    <w:rsid w:val="0061511E"/>
    <w:rsid w:val="00615529"/>
    <w:rsid w:val="00616735"/>
    <w:rsid w:val="00616E13"/>
    <w:rsid w:val="006175A6"/>
    <w:rsid w:val="006218B4"/>
    <w:rsid w:val="00623928"/>
    <w:rsid w:val="006241F0"/>
    <w:rsid w:val="0062448B"/>
    <w:rsid w:val="006244B7"/>
    <w:rsid w:val="00624DDF"/>
    <w:rsid w:val="00625BF7"/>
    <w:rsid w:val="00626AAD"/>
    <w:rsid w:val="00627327"/>
    <w:rsid w:val="00630864"/>
    <w:rsid w:val="00630E8E"/>
    <w:rsid w:val="006312DA"/>
    <w:rsid w:val="00631DD1"/>
    <w:rsid w:val="00631F92"/>
    <w:rsid w:val="00633DA5"/>
    <w:rsid w:val="00633E2E"/>
    <w:rsid w:val="00635BDC"/>
    <w:rsid w:val="00635FB6"/>
    <w:rsid w:val="00636A0B"/>
    <w:rsid w:val="00637791"/>
    <w:rsid w:val="006401FD"/>
    <w:rsid w:val="006412F4"/>
    <w:rsid w:val="00642930"/>
    <w:rsid w:val="00643A1B"/>
    <w:rsid w:val="0064409C"/>
    <w:rsid w:val="00644F8C"/>
    <w:rsid w:val="00645269"/>
    <w:rsid w:val="006464C1"/>
    <w:rsid w:val="00647913"/>
    <w:rsid w:val="00650908"/>
    <w:rsid w:val="00652971"/>
    <w:rsid w:val="0065449A"/>
    <w:rsid w:val="00656F42"/>
    <w:rsid w:val="006570FC"/>
    <w:rsid w:val="00657687"/>
    <w:rsid w:val="00661337"/>
    <w:rsid w:val="00662127"/>
    <w:rsid w:val="00662878"/>
    <w:rsid w:val="00662DA5"/>
    <w:rsid w:val="00664385"/>
    <w:rsid w:val="00667465"/>
    <w:rsid w:val="00667541"/>
    <w:rsid w:val="00670A12"/>
    <w:rsid w:val="006725B2"/>
    <w:rsid w:val="00672B5D"/>
    <w:rsid w:val="00673347"/>
    <w:rsid w:val="0067438B"/>
    <w:rsid w:val="00674B1A"/>
    <w:rsid w:val="00674E80"/>
    <w:rsid w:val="006750F9"/>
    <w:rsid w:val="0067557E"/>
    <w:rsid w:val="00675600"/>
    <w:rsid w:val="0067574B"/>
    <w:rsid w:val="0067616A"/>
    <w:rsid w:val="006771A9"/>
    <w:rsid w:val="00677535"/>
    <w:rsid w:val="006850CF"/>
    <w:rsid w:val="0068783A"/>
    <w:rsid w:val="00687F80"/>
    <w:rsid w:val="00690CF3"/>
    <w:rsid w:val="006933B5"/>
    <w:rsid w:val="006950B2"/>
    <w:rsid w:val="00695795"/>
    <w:rsid w:val="0069595F"/>
    <w:rsid w:val="006965DE"/>
    <w:rsid w:val="00696A7C"/>
    <w:rsid w:val="00696FD6"/>
    <w:rsid w:val="0069733E"/>
    <w:rsid w:val="00697835"/>
    <w:rsid w:val="006A11FF"/>
    <w:rsid w:val="006A324A"/>
    <w:rsid w:val="006A3E1C"/>
    <w:rsid w:val="006A4870"/>
    <w:rsid w:val="006A6D91"/>
    <w:rsid w:val="006A71BD"/>
    <w:rsid w:val="006B0A63"/>
    <w:rsid w:val="006B398A"/>
    <w:rsid w:val="006B4416"/>
    <w:rsid w:val="006B49E8"/>
    <w:rsid w:val="006B4C58"/>
    <w:rsid w:val="006B5641"/>
    <w:rsid w:val="006B6197"/>
    <w:rsid w:val="006B75FC"/>
    <w:rsid w:val="006B762A"/>
    <w:rsid w:val="006B7ABE"/>
    <w:rsid w:val="006C0214"/>
    <w:rsid w:val="006C0776"/>
    <w:rsid w:val="006C0AA0"/>
    <w:rsid w:val="006C114F"/>
    <w:rsid w:val="006C2DAF"/>
    <w:rsid w:val="006C2FAF"/>
    <w:rsid w:val="006C4AE4"/>
    <w:rsid w:val="006C5DDC"/>
    <w:rsid w:val="006C77B3"/>
    <w:rsid w:val="006C7863"/>
    <w:rsid w:val="006D06DD"/>
    <w:rsid w:val="006D0778"/>
    <w:rsid w:val="006D1A94"/>
    <w:rsid w:val="006D36D6"/>
    <w:rsid w:val="006D3EEB"/>
    <w:rsid w:val="006D470C"/>
    <w:rsid w:val="006E00C4"/>
    <w:rsid w:val="006E208B"/>
    <w:rsid w:val="006E2210"/>
    <w:rsid w:val="006E2614"/>
    <w:rsid w:val="006E4E95"/>
    <w:rsid w:val="006E566B"/>
    <w:rsid w:val="006E5E95"/>
    <w:rsid w:val="006E7FA8"/>
    <w:rsid w:val="006F1E4B"/>
    <w:rsid w:val="006F3BC9"/>
    <w:rsid w:val="006F5633"/>
    <w:rsid w:val="00701223"/>
    <w:rsid w:val="00702D88"/>
    <w:rsid w:val="00702ED1"/>
    <w:rsid w:val="00704505"/>
    <w:rsid w:val="00705924"/>
    <w:rsid w:val="00705D65"/>
    <w:rsid w:val="00706154"/>
    <w:rsid w:val="007077ED"/>
    <w:rsid w:val="00707BB1"/>
    <w:rsid w:val="00707FB3"/>
    <w:rsid w:val="007111D9"/>
    <w:rsid w:val="00711356"/>
    <w:rsid w:val="00712573"/>
    <w:rsid w:val="00714531"/>
    <w:rsid w:val="00714C05"/>
    <w:rsid w:val="00715864"/>
    <w:rsid w:val="007162B0"/>
    <w:rsid w:val="007205AF"/>
    <w:rsid w:val="0072093E"/>
    <w:rsid w:val="00721810"/>
    <w:rsid w:val="007233FD"/>
    <w:rsid w:val="0072388B"/>
    <w:rsid w:val="00723ECD"/>
    <w:rsid w:val="007241AB"/>
    <w:rsid w:val="0072448D"/>
    <w:rsid w:val="00725076"/>
    <w:rsid w:val="00725AFE"/>
    <w:rsid w:val="00726481"/>
    <w:rsid w:val="00727589"/>
    <w:rsid w:val="007305F3"/>
    <w:rsid w:val="0073192F"/>
    <w:rsid w:val="00731AEA"/>
    <w:rsid w:val="00732A91"/>
    <w:rsid w:val="00732C2A"/>
    <w:rsid w:val="00733395"/>
    <w:rsid w:val="00735C52"/>
    <w:rsid w:val="00736C1D"/>
    <w:rsid w:val="00736C79"/>
    <w:rsid w:val="00737204"/>
    <w:rsid w:val="00737270"/>
    <w:rsid w:val="0073748E"/>
    <w:rsid w:val="0073778F"/>
    <w:rsid w:val="007377B7"/>
    <w:rsid w:val="00737960"/>
    <w:rsid w:val="007428A8"/>
    <w:rsid w:val="00742F84"/>
    <w:rsid w:val="00742FBD"/>
    <w:rsid w:val="0074349B"/>
    <w:rsid w:val="00743814"/>
    <w:rsid w:val="00745398"/>
    <w:rsid w:val="00745A2E"/>
    <w:rsid w:val="00747D18"/>
    <w:rsid w:val="0075022E"/>
    <w:rsid w:val="00753D9A"/>
    <w:rsid w:val="00756D10"/>
    <w:rsid w:val="007573D3"/>
    <w:rsid w:val="007607DF"/>
    <w:rsid w:val="00760862"/>
    <w:rsid w:val="00760F89"/>
    <w:rsid w:val="007618AB"/>
    <w:rsid w:val="007641CA"/>
    <w:rsid w:val="00764A6D"/>
    <w:rsid w:val="00765550"/>
    <w:rsid w:val="00765932"/>
    <w:rsid w:val="00765E05"/>
    <w:rsid w:val="007664CC"/>
    <w:rsid w:val="00767062"/>
    <w:rsid w:val="00767A29"/>
    <w:rsid w:val="00767C40"/>
    <w:rsid w:val="007713FD"/>
    <w:rsid w:val="007731E9"/>
    <w:rsid w:val="00773A09"/>
    <w:rsid w:val="0077418E"/>
    <w:rsid w:val="0077454B"/>
    <w:rsid w:val="00774A6B"/>
    <w:rsid w:val="00774E3D"/>
    <w:rsid w:val="00775F02"/>
    <w:rsid w:val="00776230"/>
    <w:rsid w:val="007762CD"/>
    <w:rsid w:val="00776E14"/>
    <w:rsid w:val="007778C1"/>
    <w:rsid w:val="0078066F"/>
    <w:rsid w:val="00780B51"/>
    <w:rsid w:val="00780BCA"/>
    <w:rsid w:val="007814FC"/>
    <w:rsid w:val="007818F0"/>
    <w:rsid w:val="0078236A"/>
    <w:rsid w:val="007827A4"/>
    <w:rsid w:val="007827E0"/>
    <w:rsid w:val="00783331"/>
    <w:rsid w:val="00784170"/>
    <w:rsid w:val="00785126"/>
    <w:rsid w:val="007863A8"/>
    <w:rsid w:val="00790B4F"/>
    <w:rsid w:val="00790C14"/>
    <w:rsid w:val="00790FCC"/>
    <w:rsid w:val="00791581"/>
    <w:rsid w:val="007918A5"/>
    <w:rsid w:val="00794A58"/>
    <w:rsid w:val="0079722A"/>
    <w:rsid w:val="00797E6A"/>
    <w:rsid w:val="007A0414"/>
    <w:rsid w:val="007A0CD3"/>
    <w:rsid w:val="007A1A3D"/>
    <w:rsid w:val="007A331A"/>
    <w:rsid w:val="007A3A4B"/>
    <w:rsid w:val="007A3C9E"/>
    <w:rsid w:val="007A41C0"/>
    <w:rsid w:val="007A41FC"/>
    <w:rsid w:val="007A4C46"/>
    <w:rsid w:val="007A4F46"/>
    <w:rsid w:val="007A5FBC"/>
    <w:rsid w:val="007B2E65"/>
    <w:rsid w:val="007B6457"/>
    <w:rsid w:val="007B6548"/>
    <w:rsid w:val="007B6EB5"/>
    <w:rsid w:val="007C2129"/>
    <w:rsid w:val="007C23FA"/>
    <w:rsid w:val="007C5044"/>
    <w:rsid w:val="007C5A6A"/>
    <w:rsid w:val="007C6372"/>
    <w:rsid w:val="007C7C59"/>
    <w:rsid w:val="007D006E"/>
    <w:rsid w:val="007D22F7"/>
    <w:rsid w:val="007D34BB"/>
    <w:rsid w:val="007D43CC"/>
    <w:rsid w:val="007D47A5"/>
    <w:rsid w:val="007D5135"/>
    <w:rsid w:val="007D542E"/>
    <w:rsid w:val="007D6614"/>
    <w:rsid w:val="007D6979"/>
    <w:rsid w:val="007E219C"/>
    <w:rsid w:val="007E2EE5"/>
    <w:rsid w:val="007E79A9"/>
    <w:rsid w:val="007F258D"/>
    <w:rsid w:val="007F2D58"/>
    <w:rsid w:val="007F540B"/>
    <w:rsid w:val="007F6555"/>
    <w:rsid w:val="007F6609"/>
    <w:rsid w:val="007F664A"/>
    <w:rsid w:val="007F7D65"/>
    <w:rsid w:val="00801AD7"/>
    <w:rsid w:val="00801D17"/>
    <w:rsid w:val="00801ECA"/>
    <w:rsid w:val="00802B05"/>
    <w:rsid w:val="00802E6B"/>
    <w:rsid w:val="00802ED5"/>
    <w:rsid w:val="008039DE"/>
    <w:rsid w:val="00803AE2"/>
    <w:rsid w:val="00803DB6"/>
    <w:rsid w:val="008042CE"/>
    <w:rsid w:val="00804FFC"/>
    <w:rsid w:val="008052E9"/>
    <w:rsid w:val="00805961"/>
    <w:rsid w:val="00805BB5"/>
    <w:rsid w:val="00805EAA"/>
    <w:rsid w:val="008063EF"/>
    <w:rsid w:val="00807EFC"/>
    <w:rsid w:val="008107FE"/>
    <w:rsid w:val="0081362C"/>
    <w:rsid w:val="00814131"/>
    <w:rsid w:val="0081568D"/>
    <w:rsid w:val="00815F94"/>
    <w:rsid w:val="00816A9A"/>
    <w:rsid w:val="00820023"/>
    <w:rsid w:val="0082048A"/>
    <w:rsid w:val="00820638"/>
    <w:rsid w:val="00820A78"/>
    <w:rsid w:val="00822A7C"/>
    <w:rsid w:val="00824A80"/>
    <w:rsid w:val="0082605C"/>
    <w:rsid w:val="008260DE"/>
    <w:rsid w:val="00826546"/>
    <w:rsid w:val="00827FDA"/>
    <w:rsid w:val="00832E21"/>
    <w:rsid w:val="008337A2"/>
    <w:rsid w:val="008337D8"/>
    <w:rsid w:val="00833D9F"/>
    <w:rsid w:val="00834971"/>
    <w:rsid w:val="00834B8F"/>
    <w:rsid w:val="00834ED8"/>
    <w:rsid w:val="00835F9A"/>
    <w:rsid w:val="0083724C"/>
    <w:rsid w:val="00837B60"/>
    <w:rsid w:val="00837C10"/>
    <w:rsid w:val="008412B5"/>
    <w:rsid w:val="0084150F"/>
    <w:rsid w:val="00841BCA"/>
    <w:rsid w:val="00842DEF"/>
    <w:rsid w:val="00843281"/>
    <w:rsid w:val="0084394D"/>
    <w:rsid w:val="00843DE3"/>
    <w:rsid w:val="008443C4"/>
    <w:rsid w:val="0085026E"/>
    <w:rsid w:val="00850FDF"/>
    <w:rsid w:val="0085463F"/>
    <w:rsid w:val="00857D6E"/>
    <w:rsid w:val="00860005"/>
    <w:rsid w:val="00860110"/>
    <w:rsid w:val="00860320"/>
    <w:rsid w:val="00860CF0"/>
    <w:rsid w:val="00860FDC"/>
    <w:rsid w:val="00861067"/>
    <w:rsid w:val="0086355C"/>
    <w:rsid w:val="00863CBC"/>
    <w:rsid w:val="00863EE9"/>
    <w:rsid w:val="008640C4"/>
    <w:rsid w:val="00864468"/>
    <w:rsid w:val="00866011"/>
    <w:rsid w:val="00866F60"/>
    <w:rsid w:val="00870DF3"/>
    <w:rsid w:val="00871116"/>
    <w:rsid w:val="0087271C"/>
    <w:rsid w:val="008728FD"/>
    <w:rsid w:val="00873A92"/>
    <w:rsid w:val="008742C7"/>
    <w:rsid w:val="00875258"/>
    <w:rsid w:val="008759C6"/>
    <w:rsid w:val="00875EE7"/>
    <w:rsid w:val="00876031"/>
    <w:rsid w:val="0087699F"/>
    <w:rsid w:val="0087710F"/>
    <w:rsid w:val="0088045A"/>
    <w:rsid w:val="00880823"/>
    <w:rsid w:val="0088088D"/>
    <w:rsid w:val="00880E2F"/>
    <w:rsid w:val="008815D1"/>
    <w:rsid w:val="00882B28"/>
    <w:rsid w:val="00882E3C"/>
    <w:rsid w:val="00884869"/>
    <w:rsid w:val="00884965"/>
    <w:rsid w:val="008853D6"/>
    <w:rsid w:val="00886031"/>
    <w:rsid w:val="00893759"/>
    <w:rsid w:val="00894789"/>
    <w:rsid w:val="00896E9C"/>
    <w:rsid w:val="00897DAD"/>
    <w:rsid w:val="008A140F"/>
    <w:rsid w:val="008A236D"/>
    <w:rsid w:val="008A3107"/>
    <w:rsid w:val="008A4723"/>
    <w:rsid w:val="008A5739"/>
    <w:rsid w:val="008B0987"/>
    <w:rsid w:val="008B36D1"/>
    <w:rsid w:val="008B41BA"/>
    <w:rsid w:val="008B4FCD"/>
    <w:rsid w:val="008B6FE2"/>
    <w:rsid w:val="008C1990"/>
    <w:rsid w:val="008C2014"/>
    <w:rsid w:val="008C2C5F"/>
    <w:rsid w:val="008C349F"/>
    <w:rsid w:val="008C3D7E"/>
    <w:rsid w:val="008C5B2B"/>
    <w:rsid w:val="008C5D06"/>
    <w:rsid w:val="008C7126"/>
    <w:rsid w:val="008C74C3"/>
    <w:rsid w:val="008D0111"/>
    <w:rsid w:val="008D06B7"/>
    <w:rsid w:val="008D3C39"/>
    <w:rsid w:val="008D4107"/>
    <w:rsid w:val="008D64C7"/>
    <w:rsid w:val="008D68F2"/>
    <w:rsid w:val="008D69F9"/>
    <w:rsid w:val="008D6E03"/>
    <w:rsid w:val="008D7EC7"/>
    <w:rsid w:val="008E06DE"/>
    <w:rsid w:val="008E06E0"/>
    <w:rsid w:val="008E1AD6"/>
    <w:rsid w:val="008E1CFC"/>
    <w:rsid w:val="008E1EC5"/>
    <w:rsid w:val="008E2E4C"/>
    <w:rsid w:val="008E4550"/>
    <w:rsid w:val="008E4EFF"/>
    <w:rsid w:val="008E51A2"/>
    <w:rsid w:val="008E53B6"/>
    <w:rsid w:val="008E5CAD"/>
    <w:rsid w:val="008E726B"/>
    <w:rsid w:val="008E777A"/>
    <w:rsid w:val="008F00CD"/>
    <w:rsid w:val="008F0399"/>
    <w:rsid w:val="008F0F8B"/>
    <w:rsid w:val="008F1595"/>
    <w:rsid w:val="008F3556"/>
    <w:rsid w:val="008F5321"/>
    <w:rsid w:val="008F6A54"/>
    <w:rsid w:val="008F6FEA"/>
    <w:rsid w:val="008F7FAD"/>
    <w:rsid w:val="00900004"/>
    <w:rsid w:val="009001AB"/>
    <w:rsid w:val="0090166D"/>
    <w:rsid w:val="00905771"/>
    <w:rsid w:val="009064C1"/>
    <w:rsid w:val="009101AB"/>
    <w:rsid w:val="00913056"/>
    <w:rsid w:val="00913CA9"/>
    <w:rsid w:val="00914125"/>
    <w:rsid w:val="0091571E"/>
    <w:rsid w:val="009163CD"/>
    <w:rsid w:val="00916696"/>
    <w:rsid w:val="0091698F"/>
    <w:rsid w:val="00917415"/>
    <w:rsid w:val="009176D8"/>
    <w:rsid w:val="009219C5"/>
    <w:rsid w:val="009233CE"/>
    <w:rsid w:val="00923E38"/>
    <w:rsid w:val="0092487A"/>
    <w:rsid w:val="00925D2F"/>
    <w:rsid w:val="00930C09"/>
    <w:rsid w:val="009316C9"/>
    <w:rsid w:val="0093173E"/>
    <w:rsid w:val="00931CBC"/>
    <w:rsid w:val="00933B15"/>
    <w:rsid w:val="00934592"/>
    <w:rsid w:val="009371CA"/>
    <w:rsid w:val="00937906"/>
    <w:rsid w:val="0094103F"/>
    <w:rsid w:val="00942130"/>
    <w:rsid w:val="00942E56"/>
    <w:rsid w:val="009452D9"/>
    <w:rsid w:val="00952BC5"/>
    <w:rsid w:val="00953EB7"/>
    <w:rsid w:val="00954051"/>
    <w:rsid w:val="00954A3C"/>
    <w:rsid w:val="00962533"/>
    <w:rsid w:val="00966320"/>
    <w:rsid w:val="00967898"/>
    <w:rsid w:val="00967B1A"/>
    <w:rsid w:val="009711F0"/>
    <w:rsid w:val="00972731"/>
    <w:rsid w:val="00972EB2"/>
    <w:rsid w:val="00973015"/>
    <w:rsid w:val="00973AFE"/>
    <w:rsid w:val="0097408B"/>
    <w:rsid w:val="00974792"/>
    <w:rsid w:val="00974E3F"/>
    <w:rsid w:val="00976940"/>
    <w:rsid w:val="00977720"/>
    <w:rsid w:val="00977CFE"/>
    <w:rsid w:val="00980289"/>
    <w:rsid w:val="0098099D"/>
    <w:rsid w:val="00980D2C"/>
    <w:rsid w:val="00981BC1"/>
    <w:rsid w:val="0098229F"/>
    <w:rsid w:val="0098350A"/>
    <w:rsid w:val="009840AD"/>
    <w:rsid w:val="00984247"/>
    <w:rsid w:val="00985B7C"/>
    <w:rsid w:val="00985F22"/>
    <w:rsid w:val="0098672C"/>
    <w:rsid w:val="00986D2E"/>
    <w:rsid w:val="00987830"/>
    <w:rsid w:val="00991D01"/>
    <w:rsid w:val="009924F0"/>
    <w:rsid w:val="009927E0"/>
    <w:rsid w:val="009946F3"/>
    <w:rsid w:val="00994B42"/>
    <w:rsid w:val="00995245"/>
    <w:rsid w:val="00995C82"/>
    <w:rsid w:val="00997FD2"/>
    <w:rsid w:val="009A0A5C"/>
    <w:rsid w:val="009A0CDA"/>
    <w:rsid w:val="009A0CF9"/>
    <w:rsid w:val="009A1226"/>
    <w:rsid w:val="009A294F"/>
    <w:rsid w:val="009A2BE4"/>
    <w:rsid w:val="009A42B2"/>
    <w:rsid w:val="009A4B7F"/>
    <w:rsid w:val="009A5B07"/>
    <w:rsid w:val="009A6094"/>
    <w:rsid w:val="009A638C"/>
    <w:rsid w:val="009B0BBB"/>
    <w:rsid w:val="009B1BA1"/>
    <w:rsid w:val="009B2868"/>
    <w:rsid w:val="009B3290"/>
    <w:rsid w:val="009B413E"/>
    <w:rsid w:val="009B42DE"/>
    <w:rsid w:val="009B4519"/>
    <w:rsid w:val="009B4832"/>
    <w:rsid w:val="009B4AD5"/>
    <w:rsid w:val="009B531C"/>
    <w:rsid w:val="009B6B58"/>
    <w:rsid w:val="009B7320"/>
    <w:rsid w:val="009B7510"/>
    <w:rsid w:val="009C0E88"/>
    <w:rsid w:val="009C339E"/>
    <w:rsid w:val="009C33BB"/>
    <w:rsid w:val="009C3CF3"/>
    <w:rsid w:val="009C497D"/>
    <w:rsid w:val="009C4A4E"/>
    <w:rsid w:val="009C510C"/>
    <w:rsid w:val="009C69A2"/>
    <w:rsid w:val="009C6D47"/>
    <w:rsid w:val="009C79CC"/>
    <w:rsid w:val="009D05B8"/>
    <w:rsid w:val="009D1DF8"/>
    <w:rsid w:val="009D3B0B"/>
    <w:rsid w:val="009D4A43"/>
    <w:rsid w:val="009D6394"/>
    <w:rsid w:val="009E2065"/>
    <w:rsid w:val="009E2AF5"/>
    <w:rsid w:val="009E343B"/>
    <w:rsid w:val="009E3616"/>
    <w:rsid w:val="009E5546"/>
    <w:rsid w:val="009E59DA"/>
    <w:rsid w:val="009E5E61"/>
    <w:rsid w:val="009E682E"/>
    <w:rsid w:val="009E7B98"/>
    <w:rsid w:val="009F2103"/>
    <w:rsid w:val="009F26C0"/>
    <w:rsid w:val="009F3289"/>
    <w:rsid w:val="009F3AA5"/>
    <w:rsid w:val="009F445E"/>
    <w:rsid w:val="009F5CE6"/>
    <w:rsid w:val="00A017DC"/>
    <w:rsid w:val="00A01A95"/>
    <w:rsid w:val="00A02745"/>
    <w:rsid w:val="00A038D3"/>
    <w:rsid w:val="00A12753"/>
    <w:rsid w:val="00A134C9"/>
    <w:rsid w:val="00A14C68"/>
    <w:rsid w:val="00A176D6"/>
    <w:rsid w:val="00A17757"/>
    <w:rsid w:val="00A17EF6"/>
    <w:rsid w:val="00A20322"/>
    <w:rsid w:val="00A20D70"/>
    <w:rsid w:val="00A21113"/>
    <w:rsid w:val="00A21587"/>
    <w:rsid w:val="00A2233E"/>
    <w:rsid w:val="00A23D5D"/>
    <w:rsid w:val="00A2418A"/>
    <w:rsid w:val="00A2468B"/>
    <w:rsid w:val="00A3160A"/>
    <w:rsid w:val="00A33F3E"/>
    <w:rsid w:val="00A33FC6"/>
    <w:rsid w:val="00A3406F"/>
    <w:rsid w:val="00A34B81"/>
    <w:rsid w:val="00A42111"/>
    <w:rsid w:val="00A436E4"/>
    <w:rsid w:val="00A46A7F"/>
    <w:rsid w:val="00A51324"/>
    <w:rsid w:val="00A51889"/>
    <w:rsid w:val="00A531A9"/>
    <w:rsid w:val="00A54CED"/>
    <w:rsid w:val="00A57117"/>
    <w:rsid w:val="00A61289"/>
    <w:rsid w:val="00A6234C"/>
    <w:rsid w:val="00A624E6"/>
    <w:rsid w:val="00A63486"/>
    <w:rsid w:val="00A637E6"/>
    <w:rsid w:val="00A6726F"/>
    <w:rsid w:val="00A67F7F"/>
    <w:rsid w:val="00A7019F"/>
    <w:rsid w:val="00A70DAB"/>
    <w:rsid w:val="00A71901"/>
    <w:rsid w:val="00A73419"/>
    <w:rsid w:val="00A73446"/>
    <w:rsid w:val="00A73721"/>
    <w:rsid w:val="00A74A93"/>
    <w:rsid w:val="00A75C03"/>
    <w:rsid w:val="00A810A4"/>
    <w:rsid w:val="00A816F3"/>
    <w:rsid w:val="00A82296"/>
    <w:rsid w:val="00A822FC"/>
    <w:rsid w:val="00A8298F"/>
    <w:rsid w:val="00A82E47"/>
    <w:rsid w:val="00A830DD"/>
    <w:rsid w:val="00A83914"/>
    <w:rsid w:val="00A84E22"/>
    <w:rsid w:val="00A8619E"/>
    <w:rsid w:val="00A876B5"/>
    <w:rsid w:val="00A901BC"/>
    <w:rsid w:val="00A90991"/>
    <w:rsid w:val="00A90BFD"/>
    <w:rsid w:val="00A91BD0"/>
    <w:rsid w:val="00A920EF"/>
    <w:rsid w:val="00A92655"/>
    <w:rsid w:val="00A92D82"/>
    <w:rsid w:val="00A948AE"/>
    <w:rsid w:val="00A94AC4"/>
    <w:rsid w:val="00A9643A"/>
    <w:rsid w:val="00A9649A"/>
    <w:rsid w:val="00A96C30"/>
    <w:rsid w:val="00A97906"/>
    <w:rsid w:val="00A97A78"/>
    <w:rsid w:val="00AA0C27"/>
    <w:rsid w:val="00AA101E"/>
    <w:rsid w:val="00AA5579"/>
    <w:rsid w:val="00AA665F"/>
    <w:rsid w:val="00AB047E"/>
    <w:rsid w:val="00AB08FA"/>
    <w:rsid w:val="00AB0B15"/>
    <w:rsid w:val="00AB1442"/>
    <w:rsid w:val="00AB15C3"/>
    <w:rsid w:val="00AB15F1"/>
    <w:rsid w:val="00AB3183"/>
    <w:rsid w:val="00AB455E"/>
    <w:rsid w:val="00AB4663"/>
    <w:rsid w:val="00AB5FAE"/>
    <w:rsid w:val="00AB6DF0"/>
    <w:rsid w:val="00AB726A"/>
    <w:rsid w:val="00AB7BFB"/>
    <w:rsid w:val="00AC0632"/>
    <w:rsid w:val="00AC0E92"/>
    <w:rsid w:val="00AC0F90"/>
    <w:rsid w:val="00AC18A7"/>
    <w:rsid w:val="00AC2310"/>
    <w:rsid w:val="00AC29D8"/>
    <w:rsid w:val="00AC37A7"/>
    <w:rsid w:val="00AC483A"/>
    <w:rsid w:val="00AC580D"/>
    <w:rsid w:val="00AC608B"/>
    <w:rsid w:val="00AC621F"/>
    <w:rsid w:val="00AC649D"/>
    <w:rsid w:val="00AC7783"/>
    <w:rsid w:val="00AD0BC0"/>
    <w:rsid w:val="00AD37E9"/>
    <w:rsid w:val="00AD3ACB"/>
    <w:rsid w:val="00AD5257"/>
    <w:rsid w:val="00AD5AC6"/>
    <w:rsid w:val="00AD6D2F"/>
    <w:rsid w:val="00AD7317"/>
    <w:rsid w:val="00AD7843"/>
    <w:rsid w:val="00AD7D3D"/>
    <w:rsid w:val="00AE3B95"/>
    <w:rsid w:val="00AE61B6"/>
    <w:rsid w:val="00AE6788"/>
    <w:rsid w:val="00AE6A04"/>
    <w:rsid w:val="00AF01E5"/>
    <w:rsid w:val="00AF0913"/>
    <w:rsid w:val="00AF37BF"/>
    <w:rsid w:val="00AF3CD4"/>
    <w:rsid w:val="00AF3D52"/>
    <w:rsid w:val="00AF6D02"/>
    <w:rsid w:val="00AF7202"/>
    <w:rsid w:val="00AF7F50"/>
    <w:rsid w:val="00B00061"/>
    <w:rsid w:val="00B01CCA"/>
    <w:rsid w:val="00B02279"/>
    <w:rsid w:val="00B041FA"/>
    <w:rsid w:val="00B05BBA"/>
    <w:rsid w:val="00B05C13"/>
    <w:rsid w:val="00B0657F"/>
    <w:rsid w:val="00B065BE"/>
    <w:rsid w:val="00B11C40"/>
    <w:rsid w:val="00B13C8D"/>
    <w:rsid w:val="00B1488E"/>
    <w:rsid w:val="00B14A1F"/>
    <w:rsid w:val="00B14CF6"/>
    <w:rsid w:val="00B15E75"/>
    <w:rsid w:val="00B17A2E"/>
    <w:rsid w:val="00B20E0D"/>
    <w:rsid w:val="00B2107B"/>
    <w:rsid w:val="00B22FF9"/>
    <w:rsid w:val="00B235B7"/>
    <w:rsid w:val="00B23D93"/>
    <w:rsid w:val="00B23D97"/>
    <w:rsid w:val="00B26615"/>
    <w:rsid w:val="00B27FEC"/>
    <w:rsid w:val="00B31FA8"/>
    <w:rsid w:val="00B321E8"/>
    <w:rsid w:val="00B3276D"/>
    <w:rsid w:val="00B33808"/>
    <w:rsid w:val="00B355DB"/>
    <w:rsid w:val="00B36FD9"/>
    <w:rsid w:val="00B370F2"/>
    <w:rsid w:val="00B37A4C"/>
    <w:rsid w:val="00B401C3"/>
    <w:rsid w:val="00B402F9"/>
    <w:rsid w:val="00B42262"/>
    <w:rsid w:val="00B423CF"/>
    <w:rsid w:val="00B4279C"/>
    <w:rsid w:val="00B43762"/>
    <w:rsid w:val="00B45422"/>
    <w:rsid w:val="00B45E5C"/>
    <w:rsid w:val="00B475D8"/>
    <w:rsid w:val="00B5044F"/>
    <w:rsid w:val="00B52F96"/>
    <w:rsid w:val="00B54193"/>
    <w:rsid w:val="00B55AC3"/>
    <w:rsid w:val="00B574A9"/>
    <w:rsid w:val="00B57AE8"/>
    <w:rsid w:val="00B6221D"/>
    <w:rsid w:val="00B624F9"/>
    <w:rsid w:val="00B62E5B"/>
    <w:rsid w:val="00B63191"/>
    <w:rsid w:val="00B64D77"/>
    <w:rsid w:val="00B6517C"/>
    <w:rsid w:val="00B65789"/>
    <w:rsid w:val="00B659DB"/>
    <w:rsid w:val="00B66D1F"/>
    <w:rsid w:val="00B67F8D"/>
    <w:rsid w:val="00B7039D"/>
    <w:rsid w:val="00B70EE6"/>
    <w:rsid w:val="00B726E3"/>
    <w:rsid w:val="00B72799"/>
    <w:rsid w:val="00B72C58"/>
    <w:rsid w:val="00B740B1"/>
    <w:rsid w:val="00B741B1"/>
    <w:rsid w:val="00B761B0"/>
    <w:rsid w:val="00B81F7F"/>
    <w:rsid w:val="00B82F9B"/>
    <w:rsid w:val="00B83F56"/>
    <w:rsid w:val="00B84131"/>
    <w:rsid w:val="00B86943"/>
    <w:rsid w:val="00B9143C"/>
    <w:rsid w:val="00B917EB"/>
    <w:rsid w:val="00B93DC6"/>
    <w:rsid w:val="00B966DA"/>
    <w:rsid w:val="00B96C81"/>
    <w:rsid w:val="00B97967"/>
    <w:rsid w:val="00B97B67"/>
    <w:rsid w:val="00B97BC7"/>
    <w:rsid w:val="00BA16F7"/>
    <w:rsid w:val="00BA30D7"/>
    <w:rsid w:val="00BA4A53"/>
    <w:rsid w:val="00BA69AE"/>
    <w:rsid w:val="00BA7772"/>
    <w:rsid w:val="00BB034A"/>
    <w:rsid w:val="00BB03B8"/>
    <w:rsid w:val="00BB22E4"/>
    <w:rsid w:val="00BB2303"/>
    <w:rsid w:val="00BB2FAE"/>
    <w:rsid w:val="00BB4193"/>
    <w:rsid w:val="00BB50C9"/>
    <w:rsid w:val="00BB57DA"/>
    <w:rsid w:val="00BB5810"/>
    <w:rsid w:val="00BB5A85"/>
    <w:rsid w:val="00BB644F"/>
    <w:rsid w:val="00BB66B1"/>
    <w:rsid w:val="00BC158C"/>
    <w:rsid w:val="00BC1E0B"/>
    <w:rsid w:val="00BC27E9"/>
    <w:rsid w:val="00BC2863"/>
    <w:rsid w:val="00BC421C"/>
    <w:rsid w:val="00BC5206"/>
    <w:rsid w:val="00BC52FA"/>
    <w:rsid w:val="00BC742D"/>
    <w:rsid w:val="00BC7A73"/>
    <w:rsid w:val="00BD1E37"/>
    <w:rsid w:val="00BD3C20"/>
    <w:rsid w:val="00BD404B"/>
    <w:rsid w:val="00BD5798"/>
    <w:rsid w:val="00BD66A6"/>
    <w:rsid w:val="00BD710B"/>
    <w:rsid w:val="00BE046C"/>
    <w:rsid w:val="00BE3429"/>
    <w:rsid w:val="00BE746E"/>
    <w:rsid w:val="00BE77A7"/>
    <w:rsid w:val="00BE7A3E"/>
    <w:rsid w:val="00BF3BBE"/>
    <w:rsid w:val="00BF3BEB"/>
    <w:rsid w:val="00BF529C"/>
    <w:rsid w:val="00BF591D"/>
    <w:rsid w:val="00BF629E"/>
    <w:rsid w:val="00BF7757"/>
    <w:rsid w:val="00C0038A"/>
    <w:rsid w:val="00C015E4"/>
    <w:rsid w:val="00C022EA"/>
    <w:rsid w:val="00C02FA6"/>
    <w:rsid w:val="00C04F10"/>
    <w:rsid w:val="00C0505E"/>
    <w:rsid w:val="00C05B74"/>
    <w:rsid w:val="00C07345"/>
    <w:rsid w:val="00C074C3"/>
    <w:rsid w:val="00C10481"/>
    <w:rsid w:val="00C1053F"/>
    <w:rsid w:val="00C1170E"/>
    <w:rsid w:val="00C13753"/>
    <w:rsid w:val="00C14E2E"/>
    <w:rsid w:val="00C1511C"/>
    <w:rsid w:val="00C15518"/>
    <w:rsid w:val="00C15EB6"/>
    <w:rsid w:val="00C203D9"/>
    <w:rsid w:val="00C20D9F"/>
    <w:rsid w:val="00C21860"/>
    <w:rsid w:val="00C21C3F"/>
    <w:rsid w:val="00C223DD"/>
    <w:rsid w:val="00C2333D"/>
    <w:rsid w:val="00C24AB0"/>
    <w:rsid w:val="00C24B8C"/>
    <w:rsid w:val="00C24DE4"/>
    <w:rsid w:val="00C316F8"/>
    <w:rsid w:val="00C31ACF"/>
    <w:rsid w:val="00C32CE7"/>
    <w:rsid w:val="00C349BD"/>
    <w:rsid w:val="00C34D21"/>
    <w:rsid w:val="00C35298"/>
    <w:rsid w:val="00C355D3"/>
    <w:rsid w:val="00C35854"/>
    <w:rsid w:val="00C35F94"/>
    <w:rsid w:val="00C36B44"/>
    <w:rsid w:val="00C36C76"/>
    <w:rsid w:val="00C37653"/>
    <w:rsid w:val="00C37CB2"/>
    <w:rsid w:val="00C402AF"/>
    <w:rsid w:val="00C41963"/>
    <w:rsid w:val="00C42342"/>
    <w:rsid w:val="00C424A1"/>
    <w:rsid w:val="00C4338E"/>
    <w:rsid w:val="00C4559E"/>
    <w:rsid w:val="00C47CF9"/>
    <w:rsid w:val="00C514D8"/>
    <w:rsid w:val="00C51996"/>
    <w:rsid w:val="00C531DD"/>
    <w:rsid w:val="00C53B79"/>
    <w:rsid w:val="00C55E06"/>
    <w:rsid w:val="00C56699"/>
    <w:rsid w:val="00C56B26"/>
    <w:rsid w:val="00C57844"/>
    <w:rsid w:val="00C57A17"/>
    <w:rsid w:val="00C57D10"/>
    <w:rsid w:val="00C57EAD"/>
    <w:rsid w:val="00C62DA5"/>
    <w:rsid w:val="00C63462"/>
    <w:rsid w:val="00C637B9"/>
    <w:rsid w:val="00C63800"/>
    <w:rsid w:val="00C642B9"/>
    <w:rsid w:val="00C662A0"/>
    <w:rsid w:val="00C66AD8"/>
    <w:rsid w:val="00C6710B"/>
    <w:rsid w:val="00C674B1"/>
    <w:rsid w:val="00C746E6"/>
    <w:rsid w:val="00C7479D"/>
    <w:rsid w:val="00C74903"/>
    <w:rsid w:val="00C75DC9"/>
    <w:rsid w:val="00C765A1"/>
    <w:rsid w:val="00C771A0"/>
    <w:rsid w:val="00C77B50"/>
    <w:rsid w:val="00C80733"/>
    <w:rsid w:val="00C81FE4"/>
    <w:rsid w:val="00C8238D"/>
    <w:rsid w:val="00C82AEE"/>
    <w:rsid w:val="00C85A3F"/>
    <w:rsid w:val="00C87555"/>
    <w:rsid w:val="00C87D86"/>
    <w:rsid w:val="00C91548"/>
    <w:rsid w:val="00C91F69"/>
    <w:rsid w:val="00C93157"/>
    <w:rsid w:val="00C95597"/>
    <w:rsid w:val="00C959A9"/>
    <w:rsid w:val="00C968F9"/>
    <w:rsid w:val="00C9694B"/>
    <w:rsid w:val="00CA030C"/>
    <w:rsid w:val="00CA040C"/>
    <w:rsid w:val="00CA07D0"/>
    <w:rsid w:val="00CA0DB9"/>
    <w:rsid w:val="00CA0ECD"/>
    <w:rsid w:val="00CA1702"/>
    <w:rsid w:val="00CA231B"/>
    <w:rsid w:val="00CA2657"/>
    <w:rsid w:val="00CA6359"/>
    <w:rsid w:val="00CA6872"/>
    <w:rsid w:val="00CA7E3E"/>
    <w:rsid w:val="00CB2971"/>
    <w:rsid w:val="00CB2BA7"/>
    <w:rsid w:val="00CB3154"/>
    <w:rsid w:val="00CB36AA"/>
    <w:rsid w:val="00CB495E"/>
    <w:rsid w:val="00CB5DBF"/>
    <w:rsid w:val="00CB7D3E"/>
    <w:rsid w:val="00CC0156"/>
    <w:rsid w:val="00CC01B3"/>
    <w:rsid w:val="00CC18D0"/>
    <w:rsid w:val="00CC1E11"/>
    <w:rsid w:val="00CC2DAB"/>
    <w:rsid w:val="00CC3F02"/>
    <w:rsid w:val="00CC4155"/>
    <w:rsid w:val="00CC4329"/>
    <w:rsid w:val="00CC4949"/>
    <w:rsid w:val="00CC584D"/>
    <w:rsid w:val="00CC5DB7"/>
    <w:rsid w:val="00CC791D"/>
    <w:rsid w:val="00CD2013"/>
    <w:rsid w:val="00CD2C31"/>
    <w:rsid w:val="00CD39A5"/>
    <w:rsid w:val="00CD3B29"/>
    <w:rsid w:val="00CD416B"/>
    <w:rsid w:val="00CD44DD"/>
    <w:rsid w:val="00CD47DC"/>
    <w:rsid w:val="00CD4839"/>
    <w:rsid w:val="00CD578B"/>
    <w:rsid w:val="00CD64BA"/>
    <w:rsid w:val="00CD6CE1"/>
    <w:rsid w:val="00CD737D"/>
    <w:rsid w:val="00CE0E93"/>
    <w:rsid w:val="00CE150F"/>
    <w:rsid w:val="00CE17ED"/>
    <w:rsid w:val="00CE36B1"/>
    <w:rsid w:val="00CE43EA"/>
    <w:rsid w:val="00CE65B6"/>
    <w:rsid w:val="00CE678A"/>
    <w:rsid w:val="00CE7878"/>
    <w:rsid w:val="00CE7D87"/>
    <w:rsid w:val="00CF156A"/>
    <w:rsid w:val="00CF329B"/>
    <w:rsid w:val="00CF3C4D"/>
    <w:rsid w:val="00CF42F5"/>
    <w:rsid w:val="00CF4D34"/>
    <w:rsid w:val="00CF50EA"/>
    <w:rsid w:val="00CF62E1"/>
    <w:rsid w:val="00CF62EC"/>
    <w:rsid w:val="00CF6610"/>
    <w:rsid w:val="00D01DB6"/>
    <w:rsid w:val="00D02A9B"/>
    <w:rsid w:val="00D02D1D"/>
    <w:rsid w:val="00D048DD"/>
    <w:rsid w:val="00D05A05"/>
    <w:rsid w:val="00D05FED"/>
    <w:rsid w:val="00D07F6B"/>
    <w:rsid w:val="00D10DA1"/>
    <w:rsid w:val="00D11187"/>
    <w:rsid w:val="00D1155E"/>
    <w:rsid w:val="00D124EC"/>
    <w:rsid w:val="00D12692"/>
    <w:rsid w:val="00D12872"/>
    <w:rsid w:val="00D15512"/>
    <w:rsid w:val="00D1654B"/>
    <w:rsid w:val="00D2121D"/>
    <w:rsid w:val="00D23027"/>
    <w:rsid w:val="00D23869"/>
    <w:rsid w:val="00D23C22"/>
    <w:rsid w:val="00D23F37"/>
    <w:rsid w:val="00D24D73"/>
    <w:rsid w:val="00D2508A"/>
    <w:rsid w:val="00D25E5A"/>
    <w:rsid w:val="00D316A8"/>
    <w:rsid w:val="00D31E57"/>
    <w:rsid w:val="00D332B3"/>
    <w:rsid w:val="00D35DC2"/>
    <w:rsid w:val="00D36458"/>
    <w:rsid w:val="00D364A0"/>
    <w:rsid w:val="00D369F9"/>
    <w:rsid w:val="00D37728"/>
    <w:rsid w:val="00D37C37"/>
    <w:rsid w:val="00D42057"/>
    <w:rsid w:val="00D43611"/>
    <w:rsid w:val="00D43E72"/>
    <w:rsid w:val="00D44069"/>
    <w:rsid w:val="00D45BE8"/>
    <w:rsid w:val="00D46BFF"/>
    <w:rsid w:val="00D47672"/>
    <w:rsid w:val="00D50914"/>
    <w:rsid w:val="00D526FE"/>
    <w:rsid w:val="00D53034"/>
    <w:rsid w:val="00D5448A"/>
    <w:rsid w:val="00D54E37"/>
    <w:rsid w:val="00D566A1"/>
    <w:rsid w:val="00D57E9F"/>
    <w:rsid w:val="00D62009"/>
    <w:rsid w:val="00D62253"/>
    <w:rsid w:val="00D623BD"/>
    <w:rsid w:val="00D62B41"/>
    <w:rsid w:val="00D64238"/>
    <w:rsid w:val="00D64398"/>
    <w:rsid w:val="00D644F6"/>
    <w:rsid w:val="00D6566B"/>
    <w:rsid w:val="00D6734B"/>
    <w:rsid w:val="00D7031F"/>
    <w:rsid w:val="00D73B0C"/>
    <w:rsid w:val="00D75FF3"/>
    <w:rsid w:val="00D76993"/>
    <w:rsid w:val="00D77F51"/>
    <w:rsid w:val="00D8028D"/>
    <w:rsid w:val="00D81B25"/>
    <w:rsid w:val="00D81D03"/>
    <w:rsid w:val="00D8357D"/>
    <w:rsid w:val="00D83F05"/>
    <w:rsid w:val="00D8513B"/>
    <w:rsid w:val="00D866E2"/>
    <w:rsid w:val="00D86965"/>
    <w:rsid w:val="00D8706B"/>
    <w:rsid w:val="00D87EEF"/>
    <w:rsid w:val="00D903C7"/>
    <w:rsid w:val="00D91184"/>
    <w:rsid w:val="00D9153B"/>
    <w:rsid w:val="00D92468"/>
    <w:rsid w:val="00D92565"/>
    <w:rsid w:val="00D92686"/>
    <w:rsid w:val="00D92DCA"/>
    <w:rsid w:val="00D94E38"/>
    <w:rsid w:val="00D97D47"/>
    <w:rsid w:val="00DA2DF3"/>
    <w:rsid w:val="00DA2F9E"/>
    <w:rsid w:val="00DA377F"/>
    <w:rsid w:val="00DA3EBE"/>
    <w:rsid w:val="00DA48F0"/>
    <w:rsid w:val="00DA4960"/>
    <w:rsid w:val="00DA61BB"/>
    <w:rsid w:val="00DA63F0"/>
    <w:rsid w:val="00DA7F20"/>
    <w:rsid w:val="00DB124E"/>
    <w:rsid w:val="00DB4F74"/>
    <w:rsid w:val="00DC03CE"/>
    <w:rsid w:val="00DC1D24"/>
    <w:rsid w:val="00DC2328"/>
    <w:rsid w:val="00DC3D54"/>
    <w:rsid w:val="00DC63D0"/>
    <w:rsid w:val="00DC65FC"/>
    <w:rsid w:val="00DC6D3E"/>
    <w:rsid w:val="00DD04C8"/>
    <w:rsid w:val="00DD17AF"/>
    <w:rsid w:val="00DD20A6"/>
    <w:rsid w:val="00DD2781"/>
    <w:rsid w:val="00DD4DDE"/>
    <w:rsid w:val="00DD5E23"/>
    <w:rsid w:val="00DE0413"/>
    <w:rsid w:val="00DE2784"/>
    <w:rsid w:val="00DE29CD"/>
    <w:rsid w:val="00DE5E31"/>
    <w:rsid w:val="00DE7305"/>
    <w:rsid w:val="00DF2DB9"/>
    <w:rsid w:val="00DF2DDE"/>
    <w:rsid w:val="00DF31AF"/>
    <w:rsid w:val="00DF3E97"/>
    <w:rsid w:val="00DF4C2F"/>
    <w:rsid w:val="00DF5368"/>
    <w:rsid w:val="00DF57A8"/>
    <w:rsid w:val="00DF6537"/>
    <w:rsid w:val="00DF6919"/>
    <w:rsid w:val="00DF74E2"/>
    <w:rsid w:val="00DF7AA2"/>
    <w:rsid w:val="00E0060B"/>
    <w:rsid w:val="00E010CF"/>
    <w:rsid w:val="00E0452A"/>
    <w:rsid w:val="00E05F30"/>
    <w:rsid w:val="00E06554"/>
    <w:rsid w:val="00E06A88"/>
    <w:rsid w:val="00E07D57"/>
    <w:rsid w:val="00E13E75"/>
    <w:rsid w:val="00E14144"/>
    <w:rsid w:val="00E154F2"/>
    <w:rsid w:val="00E17DF9"/>
    <w:rsid w:val="00E2061D"/>
    <w:rsid w:val="00E22AD7"/>
    <w:rsid w:val="00E2482F"/>
    <w:rsid w:val="00E24DDD"/>
    <w:rsid w:val="00E268A8"/>
    <w:rsid w:val="00E2728E"/>
    <w:rsid w:val="00E2760E"/>
    <w:rsid w:val="00E27A52"/>
    <w:rsid w:val="00E27AA5"/>
    <w:rsid w:val="00E31334"/>
    <w:rsid w:val="00E33BF6"/>
    <w:rsid w:val="00E33DB3"/>
    <w:rsid w:val="00E355F6"/>
    <w:rsid w:val="00E368B7"/>
    <w:rsid w:val="00E36CB5"/>
    <w:rsid w:val="00E374FD"/>
    <w:rsid w:val="00E37C05"/>
    <w:rsid w:val="00E41D2D"/>
    <w:rsid w:val="00E42322"/>
    <w:rsid w:val="00E42E57"/>
    <w:rsid w:val="00E44399"/>
    <w:rsid w:val="00E44E83"/>
    <w:rsid w:val="00E45467"/>
    <w:rsid w:val="00E45CE7"/>
    <w:rsid w:val="00E5103D"/>
    <w:rsid w:val="00E529CC"/>
    <w:rsid w:val="00E5491D"/>
    <w:rsid w:val="00E54AA9"/>
    <w:rsid w:val="00E57B88"/>
    <w:rsid w:val="00E60BFB"/>
    <w:rsid w:val="00E60CFD"/>
    <w:rsid w:val="00E6114D"/>
    <w:rsid w:val="00E613F6"/>
    <w:rsid w:val="00E62008"/>
    <w:rsid w:val="00E638A7"/>
    <w:rsid w:val="00E647B6"/>
    <w:rsid w:val="00E67DB8"/>
    <w:rsid w:val="00E7181B"/>
    <w:rsid w:val="00E719E1"/>
    <w:rsid w:val="00E71CB1"/>
    <w:rsid w:val="00E72255"/>
    <w:rsid w:val="00E729FC"/>
    <w:rsid w:val="00E7393D"/>
    <w:rsid w:val="00E74729"/>
    <w:rsid w:val="00E748F0"/>
    <w:rsid w:val="00E7491B"/>
    <w:rsid w:val="00E74C0E"/>
    <w:rsid w:val="00E75E5B"/>
    <w:rsid w:val="00E77491"/>
    <w:rsid w:val="00E77C30"/>
    <w:rsid w:val="00E81360"/>
    <w:rsid w:val="00E814C1"/>
    <w:rsid w:val="00E8251C"/>
    <w:rsid w:val="00E84E21"/>
    <w:rsid w:val="00E868E4"/>
    <w:rsid w:val="00E86F21"/>
    <w:rsid w:val="00E87314"/>
    <w:rsid w:val="00E9068A"/>
    <w:rsid w:val="00E91127"/>
    <w:rsid w:val="00E9175A"/>
    <w:rsid w:val="00E91D54"/>
    <w:rsid w:val="00E92CC3"/>
    <w:rsid w:val="00E957AB"/>
    <w:rsid w:val="00E95F4B"/>
    <w:rsid w:val="00E97FE9"/>
    <w:rsid w:val="00EA089D"/>
    <w:rsid w:val="00EA1DD6"/>
    <w:rsid w:val="00EA265E"/>
    <w:rsid w:val="00EA268E"/>
    <w:rsid w:val="00EA3B9C"/>
    <w:rsid w:val="00EA460F"/>
    <w:rsid w:val="00EA6B44"/>
    <w:rsid w:val="00EA768F"/>
    <w:rsid w:val="00EB1D78"/>
    <w:rsid w:val="00EB2140"/>
    <w:rsid w:val="00EB2547"/>
    <w:rsid w:val="00EB7AB2"/>
    <w:rsid w:val="00EB7FEF"/>
    <w:rsid w:val="00EC0D25"/>
    <w:rsid w:val="00EC0E27"/>
    <w:rsid w:val="00EC2FA9"/>
    <w:rsid w:val="00EC347F"/>
    <w:rsid w:val="00EC56C2"/>
    <w:rsid w:val="00EC58C5"/>
    <w:rsid w:val="00EC61C3"/>
    <w:rsid w:val="00ED0994"/>
    <w:rsid w:val="00ED0D7C"/>
    <w:rsid w:val="00ED13BF"/>
    <w:rsid w:val="00ED1A40"/>
    <w:rsid w:val="00ED42E3"/>
    <w:rsid w:val="00ED4428"/>
    <w:rsid w:val="00ED5BA1"/>
    <w:rsid w:val="00ED74AD"/>
    <w:rsid w:val="00EE0060"/>
    <w:rsid w:val="00EE04A7"/>
    <w:rsid w:val="00EE1AFD"/>
    <w:rsid w:val="00EE1BCC"/>
    <w:rsid w:val="00EE239A"/>
    <w:rsid w:val="00EE260E"/>
    <w:rsid w:val="00EE28B9"/>
    <w:rsid w:val="00EE4730"/>
    <w:rsid w:val="00EE6E80"/>
    <w:rsid w:val="00EE7219"/>
    <w:rsid w:val="00EE7AB6"/>
    <w:rsid w:val="00EF0DC9"/>
    <w:rsid w:val="00EF1812"/>
    <w:rsid w:val="00EF22E1"/>
    <w:rsid w:val="00EF279C"/>
    <w:rsid w:val="00EF37C4"/>
    <w:rsid w:val="00EF4E26"/>
    <w:rsid w:val="00EF5119"/>
    <w:rsid w:val="00EF5890"/>
    <w:rsid w:val="00EF5DAD"/>
    <w:rsid w:val="00EF60DF"/>
    <w:rsid w:val="00EF67B2"/>
    <w:rsid w:val="00F01C43"/>
    <w:rsid w:val="00F02A43"/>
    <w:rsid w:val="00F02D72"/>
    <w:rsid w:val="00F035A6"/>
    <w:rsid w:val="00F04253"/>
    <w:rsid w:val="00F04983"/>
    <w:rsid w:val="00F069F6"/>
    <w:rsid w:val="00F07F14"/>
    <w:rsid w:val="00F100D9"/>
    <w:rsid w:val="00F10735"/>
    <w:rsid w:val="00F108F7"/>
    <w:rsid w:val="00F109D3"/>
    <w:rsid w:val="00F11D87"/>
    <w:rsid w:val="00F12311"/>
    <w:rsid w:val="00F14F7F"/>
    <w:rsid w:val="00F1507D"/>
    <w:rsid w:val="00F15A80"/>
    <w:rsid w:val="00F1724F"/>
    <w:rsid w:val="00F21543"/>
    <w:rsid w:val="00F2164E"/>
    <w:rsid w:val="00F22401"/>
    <w:rsid w:val="00F23E86"/>
    <w:rsid w:val="00F24012"/>
    <w:rsid w:val="00F26C37"/>
    <w:rsid w:val="00F27F35"/>
    <w:rsid w:val="00F30B57"/>
    <w:rsid w:val="00F32ECA"/>
    <w:rsid w:val="00F33133"/>
    <w:rsid w:val="00F337A5"/>
    <w:rsid w:val="00F34D33"/>
    <w:rsid w:val="00F3564A"/>
    <w:rsid w:val="00F372EC"/>
    <w:rsid w:val="00F405C0"/>
    <w:rsid w:val="00F409E6"/>
    <w:rsid w:val="00F4199A"/>
    <w:rsid w:val="00F423AF"/>
    <w:rsid w:val="00F42B92"/>
    <w:rsid w:val="00F42C5A"/>
    <w:rsid w:val="00F44A04"/>
    <w:rsid w:val="00F45321"/>
    <w:rsid w:val="00F45F7B"/>
    <w:rsid w:val="00F46762"/>
    <w:rsid w:val="00F468C4"/>
    <w:rsid w:val="00F51DA8"/>
    <w:rsid w:val="00F53F7D"/>
    <w:rsid w:val="00F540C7"/>
    <w:rsid w:val="00F56A74"/>
    <w:rsid w:val="00F56D76"/>
    <w:rsid w:val="00F5742E"/>
    <w:rsid w:val="00F57524"/>
    <w:rsid w:val="00F600DC"/>
    <w:rsid w:val="00F612FA"/>
    <w:rsid w:val="00F616BF"/>
    <w:rsid w:val="00F6263F"/>
    <w:rsid w:val="00F62E9B"/>
    <w:rsid w:val="00F63BD4"/>
    <w:rsid w:val="00F640AD"/>
    <w:rsid w:val="00F653AA"/>
    <w:rsid w:val="00F65BEF"/>
    <w:rsid w:val="00F66314"/>
    <w:rsid w:val="00F66770"/>
    <w:rsid w:val="00F66CEB"/>
    <w:rsid w:val="00F67492"/>
    <w:rsid w:val="00F6784E"/>
    <w:rsid w:val="00F67B3B"/>
    <w:rsid w:val="00F700BE"/>
    <w:rsid w:val="00F71D49"/>
    <w:rsid w:val="00F733C8"/>
    <w:rsid w:val="00F73408"/>
    <w:rsid w:val="00F73698"/>
    <w:rsid w:val="00F739D8"/>
    <w:rsid w:val="00F748F1"/>
    <w:rsid w:val="00F755EF"/>
    <w:rsid w:val="00F77CE2"/>
    <w:rsid w:val="00F813AF"/>
    <w:rsid w:val="00F81753"/>
    <w:rsid w:val="00F817C2"/>
    <w:rsid w:val="00F82335"/>
    <w:rsid w:val="00F83A6F"/>
    <w:rsid w:val="00F83F76"/>
    <w:rsid w:val="00F8415E"/>
    <w:rsid w:val="00F84700"/>
    <w:rsid w:val="00F847E1"/>
    <w:rsid w:val="00F8525D"/>
    <w:rsid w:val="00F85F0E"/>
    <w:rsid w:val="00F87D95"/>
    <w:rsid w:val="00F9029E"/>
    <w:rsid w:val="00F90A22"/>
    <w:rsid w:val="00F9154D"/>
    <w:rsid w:val="00F917E5"/>
    <w:rsid w:val="00F91D3C"/>
    <w:rsid w:val="00F938F5"/>
    <w:rsid w:val="00F95300"/>
    <w:rsid w:val="00F95B5B"/>
    <w:rsid w:val="00F96029"/>
    <w:rsid w:val="00F96337"/>
    <w:rsid w:val="00FA00DD"/>
    <w:rsid w:val="00FA055A"/>
    <w:rsid w:val="00FA105A"/>
    <w:rsid w:val="00FA10A2"/>
    <w:rsid w:val="00FA1888"/>
    <w:rsid w:val="00FA193C"/>
    <w:rsid w:val="00FA1BD6"/>
    <w:rsid w:val="00FA2F61"/>
    <w:rsid w:val="00FA394A"/>
    <w:rsid w:val="00FA5ABF"/>
    <w:rsid w:val="00FA6961"/>
    <w:rsid w:val="00FB0ED7"/>
    <w:rsid w:val="00FB16CC"/>
    <w:rsid w:val="00FB26BE"/>
    <w:rsid w:val="00FB2A89"/>
    <w:rsid w:val="00FB305E"/>
    <w:rsid w:val="00FB3ADB"/>
    <w:rsid w:val="00FB461A"/>
    <w:rsid w:val="00FB4CE0"/>
    <w:rsid w:val="00FB5C6A"/>
    <w:rsid w:val="00FC043C"/>
    <w:rsid w:val="00FC2C8C"/>
    <w:rsid w:val="00FC3292"/>
    <w:rsid w:val="00FC4BD6"/>
    <w:rsid w:val="00FC555D"/>
    <w:rsid w:val="00FC77EE"/>
    <w:rsid w:val="00FD1C76"/>
    <w:rsid w:val="00FD2417"/>
    <w:rsid w:val="00FD4A7D"/>
    <w:rsid w:val="00FD7623"/>
    <w:rsid w:val="00FD7FD3"/>
    <w:rsid w:val="00FE1465"/>
    <w:rsid w:val="00FE2F73"/>
    <w:rsid w:val="00FE3973"/>
    <w:rsid w:val="00FE4E6C"/>
    <w:rsid w:val="00FF022C"/>
    <w:rsid w:val="00FF08EF"/>
    <w:rsid w:val="00FF1BE9"/>
    <w:rsid w:val="00FF4099"/>
    <w:rsid w:val="00FF4BB9"/>
    <w:rsid w:val="00FF50BE"/>
    <w:rsid w:val="00FF52EB"/>
    <w:rsid w:val="00FF684C"/>
    <w:rsid w:val="00FF6A75"/>
    <w:rsid w:val="00FF748F"/>
    <w:rsid w:val="146B4208"/>
    <w:rsid w:val="42CCCD8F"/>
    <w:rsid w:val="46149579"/>
    <w:rsid w:val="60C0C625"/>
    <w:rsid w:val="63487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D3584"/>
  <w15:docId w15:val="{81E23F25-0B02-4E21-8E3D-F8993A4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E3616"/>
    <w:pPr>
      <w:jc w:val="both"/>
    </w:pPr>
    <w:rPr>
      <w:sz w:val="22"/>
      <w:szCs w:val="22"/>
      <w:lang w:eastAsia="pl-PL"/>
    </w:rPr>
  </w:style>
  <w:style w:type="paragraph" w:styleId="Nagwek1">
    <w:name w:val="heading 1"/>
    <w:basedOn w:val="Normalny"/>
    <w:next w:val="Normalny"/>
    <w:rsid w:val="00AB5FAE"/>
    <w:pPr>
      <w:keepNext/>
      <w:numPr>
        <w:numId w:val="35"/>
      </w:numPr>
      <w:spacing w:before="240" w:after="120"/>
      <w:ind w:left="284" w:hanging="284"/>
      <w:outlineLvl w:val="0"/>
    </w:pPr>
    <w:rPr>
      <w:b/>
      <w:bCs/>
      <w:szCs w:val="24"/>
    </w:rPr>
  </w:style>
  <w:style w:type="paragraph" w:styleId="Nagwek2">
    <w:name w:val="heading 2"/>
    <w:basedOn w:val="Normalny"/>
    <w:next w:val="Normalny"/>
    <w:link w:val="Nagwek2Znak"/>
    <w:rsid w:val="009C0E88"/>
    <w:pPr>
      <w:keepNext/>
      <w:numPr>
        <w:ilvl w:val="1"/>
        <w:numId w:val="35"/>
      </w:numPr>
      <w:spacing w:before="120" w:after="120"/>
      <w:ind w:left="567" w:hanging="567"/>
      <w:jc w:val="left"/>
      <w:outlineLvl w:val="1"/>
    </w:pPr>
    <w:rPr>
      <w:b/>
      <w:szCs w:val="24"/>
    </w:rPr>
  </w:style>
  <w:style w:type="paragraph" w:styleId="Nagwek3">
    <w:name w:val="heading 3"/>
    <w:basedOn w:val="Normalny"/>
    <w:next w:val="Normalny"/>
    <w:rsid w:val="00696A7C"/>
    <w:pPr>
      <w:keepNext/>
      <w:outlineLvl w:val="2"/>
    </w:pPr>
    <w:rPr>
      <w:sz w:val="28"/>
    </w:rPr>
  </w:style>
  <w:style w:type="paragraph" w:styleId="Nagwek4">
    <w:name w:val="heading 4"/>
    <w:basedOn w:val="Normalny"/>
    <w:next w:val="Normalny"/>
    <w:rsid w:val="00507BE7"/>
    <w:pPr>
      <w:keepNext/>
      <w:jc w:val="center"/>
      <w:outlineLvl w:val="3"/>
    </w:pPr>
    <w:rPr>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CE678A"/>
    <w:rPr>
      <w:rFonts w:ascii="Tahoma" w:hAnsi="Tahoma" w:cs="Tahoma"/>
      <w:sz w:val="16"/>
      <w:szCs w:val="16"/>
    </w:rPr>
  </w:style>
  <w:style w:type="paragraph" w:styleId="Nagwek">
    <w:name w:val="header"/>
    <w:basedOn w:val="Normalny"/>
    <w:link w:val="NagwekZnak"/>
    <w:uiPriority w:val="99"/>
    <w:rsid w:val="009B1BA1"/>
    <w:pPr>
      <w:tabs>
        <w:tab w:val="center" w:pos="4536"/>
        <w:tab w:val="right" w:pos="9072"/>
      </w:tabs>
    </w:pPr>
  </w:style>
  <w:style w:type="character" w:customStyle="1" w:styleId="NagwekZnak">
    <w:name w:val="Nagłówek Znak"/>
    <w:basedOn w:val="Domylnaczcionkaakapitu"/>
    <w:link w:val="Nagwek"/>
    <w:uiPriority w:val="99"/>
    <w:rsid w:val="009B1BA1"/>
  </w:style>
  <w:style w:type="paragraph" w:styleId="Stopka">
    <w:name w:val="footer"/>
    <w:basedOn w:val="Normalny"/>
    <w:link w:val="StopkaZnak"/>
    <w:uiPriority w:val="99"/>
    <w:rsid w:val="009B1BA1"/>
    <w:pPr>
      <w:tabs>
        <w:tab w:val="center" w:pos="4536"/>
        <w:tab w:val="right" w:pos="9072"/>
      </w:tabs>
    </w:pPr>
  </w:style>
  <w:style w:type="character" w:customStyle="1" w:styleId="StopkaZnak">
    <w:name w:val="Stopka Znak"/>
    <w:basedOn w:val="Domylnaczcionkaakapitu"/>
    <w:link w:val="Stopka"/>
    <w:uiPriority w:val="99"/>
    <w:rsid w:val="009B1BA1"/>
  </w:style>
  <w:style w:type="paragraph" w:styleId="Nagwekspisutreci">
    <w:name w:val="TOC Heading"/>
    <w:basedOn w:val="Nagwek1"/>
    <w:next w:val="Normalny"/>
    <w:uiPriority w:val="39"/>
    <w:semiHidden/>
    <w:unhideWhenUsed/>
    <w:qFormat/>
    <w:rsid w:val="00ED42E3"/>
    <w:pPr>
      <w:keepLines/>
      <w:spacing w:before="480" w:line="276" w:lineRule="auto"/>
      <w:outlineLvl w:val="9"/>
    </w:pPr>
    <w:rPr>
      <w:rFonts w:ascii="Cambria" w:hAnsi="Cambria"/>
      <w:bCs w:val="0"/>
      <w:color w:val="365F91"/>
      <w:szCs w:val="28"/>
      <w:lang w:eastAsia="en-US"/>
    </w:rPr>
  </w:style>
  <w:style w:type="paragraph" w:styleId="Spistreci1">
    <w:name w:val="toc 1"/>
    <w:basedOn w:val="Normalny"/>
    <w:next w:val="Normalny"/>
    <w:autoRedefine/>
    <w:uiPriority w:val="39"/>
    <w:qFormat/>
    <w:rsid w:val="000746F5"/>
    <w:pPr>
      <w:tabs>
        <w:tab w:val="left" w:pos="400"/>
        <w:tab w:val="right" w:leader="dot" w:pos="9062"/>
      </w:tabs>
    </w:pPr>
  </w:style>
  <w:style w:type="paragraph" w:styleId="Spistreci2">
    <w:name w:val="toc 2"/>
    <w:basedOn w:val="Normalny"/>
    <w:next w:val="Normalny"/>
    <w:autoRedefine/>
    <w:uiPriority w:val="39"/>
    <w:qFormat/>
    <w:rsid w:val="00FD2417"/>
    <w:pPr>
      <w:tabs>
        <w:tab w:val="left" w:pos="880"/>
        <w:tab w:val="right" w:leader="dot" w:pos="9062"/>
      </w:tabs>
      <w:spacing w:line="360" w:lineRule="auto"/>
      <w:ind w:left="200"/>
    </w:pPr>
  </w:style>
  <w:style w:type="paragraph" w:styleId="Spistreci3">
    <w:name w:val="toc 3"/>
    <w:basedOn w:val="Normalny"/>
    <w:next w:val="Normalny"/>
    <w:autoRedefine/>
    <w:uiPriority w:val="39"/>
    <w:qFormat/>
    <w:rsid w:val="00ED42E3"/>
    <w:pPr>
      <w:ind w:left="400"/>
    </w:pPr>
  </w:style>
  <w:style w:type="character" w:styleId="Hipercze">
    <w:name w:val="Hyperlink"/>
    <w:basedOn w:val="Domylnaczcionkaakapitu"/>
    <w:uiPriority w:val="99"/>
    <w:unhideWhenUsed/>
    <w:rsid w:val="00ED42E3"/>
    <w:rPr>
      <w:color w:val="0000FF"/>
      <w:u w:val="single"/>
    </w:rPr>
  </w:style>
  <w:style w:type="paragraph" w:styleId="Tekstpodstawowy2">
    <w:name w:val="Body Text 2"/>
    <w:basedOn w:val="Normalny"/>
    <w:link w:val="Tekstpodstawowy2Znak"/>
    <w:rsid w:val="00007FFE"/>
    <w:rPr>
      <w:szCs w:val="24"/>
    </w:rPr>
  </w:style>
  <w:style w:type="character" w:customStyle="1" w:styleId="Tekstpodstawowy2Znak">
    <w:name w:val="Tekst podstawowy 2 Znak"/>
    <w:basedOn w:val="Domylnaczcionkaakapitu"/>
    <w:link w:val="Tekstpodstawowy2"/>
    <w:rsid w:val="00007FFE"/>
    <w:rPr>
      <w:sz w:val="24"/>
      <w:szCs w:val="24"/>
    </w:rPr>
  </w:style>
  <w:style w:type="paragraph" w:styleId="Podtytu">
    <w:name w:val="Subtitle"/>
    <w:basedOn w:val="Normalny"/>
    <w:next w:val="Normalny"/>
    <w:link w:val="PodtytuZnak"/>
    <w:rsid w:val="000C5855"/>
    <w:pPr>
      <w:spacing w:after="60"/>
      <w:jc w:val="center"/>
      <w:outlineLvl w:val="1"/>
    </w:pPr>
    <w:rPr>
      <w:rFonts w:ascii="Cambria" w:hAnsi="Cambria"/>
      <w:szCs w:val="24"/>
    </w:rPr>
  </w:style>
  <w:style w:type="character" w:customStyle="1" w:styleId="PodtytuZnak">
    <w:name w:val="Podtytuł Znak"/>
    <w:basedOn w:val="Domylnaczcionkaakapitu"/>
    <w:link w:val="Podtytu"/>
    <w:rsid w:val="000C5855"/>
    <w:rPr>
      <w:rFonts w:ascii="Cambria" w:eastAsia="Times New Roman" w:hAnsi="Cambria" w:cs="Times New Roman"/>
      <w:sz w:val="24"/>
      <w:szCs w:val="24"/>
    </w:rPr>
  </w:style>
  <w:style w:type="paragraph" w:styleId="Tekstprzypisudolnego">
    <w:name w:val="footnote text"/>
    <w:basedOn w:val="Normalny"/>
    <w:link w:val="TekstprzypisudolnegoZnak"/>
    <w:rsid w:val="00CB36AA"/>
  </w:style>
  <w:style w:type="character" w:customStyle="1" w:styleId="TekstprzypisudolnegoZnak">
    <w:name w:val="Tekst przypisu dolnego Znak"/>
    <w:basedOn w:val="Domylnaczcionkaakapitu"/>
    <w:link w:val="Tekstprzypisudolnego"/>
    <w:rsid w:val="00CB36AA"/>
    <w:rPr>
      <w:lang w:eastAsia="pl-PL"/>
    </w:rPr>
  </w:style>
  <w:style w:type="character" w:styleId="Odwoanieprzypisudolnego">
    <w:name w:val="footnote reference"/>
    <w:basedOn w:val="Domylnaczcionkaakapitu"/>
    <w:rsid w:val="00CB36AA"/>
    <w:rPr>
      <w:vertAlign w:val="superscript"/>
    </w:rPr>
  </w:style>
  <w:style w:type="paragraph" w:customStyle="1" w:styleId="Default">
    <w:name w:val="Default"/>
    <w:rsid w:val="005956E4"/>
    <w:pPr>
      <w:autoSpaceDE w:val="0"/>
      <w:autoSpaceDN w:val="0"/>
      <w:adjustRightInd w:val="0"/>
    </w:pPr>
    <w:rPr>
      <w:color w:val="000000"/>
      <w:sz w:val="24"/>
      <w:szCs w:val="24"/>
    </w:rPr>
  </w:style>
  <w:style w:type="paragraph" w:styleId="Akapitzlist">
    <w:name w:val="List Paragraph"/>
    <w:basedOn w:val="Normalny"/>
    <w:uiPriority w:val="34"/>
    <w:qFormat/>
    <w:rsid w:val="0072448D"/>
    <w:pPr>
      <w:ind w:left="720"/>
      <w:contextualSpacing/>
    </w:pPr>
  </w:style>
  <w:style w:type="table" w:styleId="Tabela-Siatka">
    <w:name w:val="Table Grid"/>
    <w:basedOn w:val="Standardowy"/>
    <w:rsid w:val="00C5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rsid w:val="00643A1B"/>
    <w:rPr>
      <w:b/>
      <w:bCs/>
    </w:rPr>
  </w:style>
  <w:style w:type="paragraph" w:styleId="Tekstprzypisukocowego">
    <w:name w:val="endnote text"/>
    <w:basedOn w:val="Normalny"/>
    <w:link w:val="TekstprzypisukocowegoZnak"/>
    <w:rsid w:val="005A3652"/>
    <w:rPr>
      <w:sz w:val="20"/>
    </w:rPr>
  </w:style>
  <w:style w:type="character" w:customStyle="1" w:styleId="TekstprzypisukocowegoZnak">
    <w:name w:val="Tekst przypisu końcowego Znak"/>
    <w:basedOn w:val="Domylnaczcionkaakapitu"/>
    <w:link w:val="Tekstprzypisukocowego"/>
    <w:rsid w:val="005A3652"/>
    <w:rPr>
      <w:lang w:eastAsia="pl-PL"/>
    </w:rPr>
  </w:style>
  <w:style w:type="character" w:styleId="Odwoanieprzypisukocowego">
    <w:name w:val="endnote reference"/>
    <w:basedOn w:val="Domylnaczcionkaakapitu"/>
    <w:rsid w:val="005A3652"/>
    <w:rPr>
      <w:vertAlign w:val="superscript"/>
    </w:rPr>
  </w:style>
  <w:style w:type="character" w:styleId="Tekstzastpczy">
    <w:name w:val="Placeholder Text"/>
    <w:basedOn w:val="Domylnaczcionkaakapitu"/>
    <w:uiPriority w:val="99"/>
    <w:semiHidden/>
    <w:rsid w:val="001341B8"/>
    <w:rPr>
      <w:color w:val="808080"/>
    </w:rPr>
  </w:style>
  <w:style w:type="character" w:styleId="Odwoaniedokomentarza">
    <w:name w:val="annotation reference"/>
    <w:basedOn w:val="Domylnaczcionkaakapitu"/>
    <w:rsid w:val="004C61B6"/>
    <w:rPr>
      <w:sz w:val="16"/>
      <w:szCs w:val="16"/>
    </w:rPr>
  </w:style>
  <w:style w:type="paragraph" w:styleId="Tekstkomentarza">
    <w:name w:val="annotation text"/>
    <w:basedOn w:val="Normalny"/>
    <w:link w:val="TekstkomentarzaZnak"/>
    <w:rsid w:val="004C61B6"/>
    <w:rPr>
      <w:sz w:val="20"/>
    </w:rPr>
  </w:style>
  <w:style w:type="character" w:customStyle="1" w:styleId="TekstkomentarzaZnak">
    <w:name w:val="Tekst komentarza Znak"/>
    <w:basedOn w:val="Domylnaczcionkaakapitu"/>
    <w:link w:val="Tekstkomentarza"/>
    <w:rsid w:val="004C61B6"/>
    <w:rPr>
      <w:lang w:eastAsia="pl-PL"/>
    </w:rPr>
  </w:style>
  <w:style w:type="paragraph" w:styleId="Tematkomentarza">
    <w:name w:val="annotation subject"/>
    <w:basedOn w:val="Tekstkomentarza"/>
    <w:next w:val="Tekstkomentarza"/>
    <w:link w:val="TematkomentarzaZnak"/>
    <w:rsid w:val="004C61B6"/>
    <w:rPr>
      <w:b/>
      <w:bCs/>
    </w:rPr>
  </w:style>
  <w:style w:type="character" w:customStyle="1" w:styleId="TematkomentarzaZnak">
    <w:name w:val="Temat komentarza Znak"/>
    <w:basedOn w:val="TekstkomentarzaZnak"/>
    <w:link w:val="Tematkomentarza"/>
    <w:rsid w:val="004C61B6"/>
    <w:rPr>
      <w:b/>
      <w:bCs/>
      <w:lang w:eastAsia="pl-PL"/>
    </w:rPr>
  </w:style>
  <w:style w:type="paragraph" w:styleId="NormalnyWeb">
    <w:name w:val="Normal (Web)"/>
    <w:basedOn w:val="Normalny"/>
    <w:uiPriority w:val="99"/>
    <w:unhideWhenUsed/>
    <w:rsid w:val="000E7929"/>
    <w:pPr>
      <w:spacing w:before="100" w:beforeAutospacing="1" w:after="100" w:afterAutospacing="1"/>
    </w:pPr>
    <w:rPr>
      <w:szCs w:val="24"/>
    </w:rPr>
  </w:style>
  <w:style w:type="character" w:customStyle="1" w:styleId="apple-converted-space">
    <w:name w:val="apple-converted-space"/>
    <w:basedOn w:val="Domylnaczcionkaakapitu"/>
    <w:rsid w:val="00E81360"/>
  </w:style>
  <w:style w:type="character" w:customStyle="1" w:styleId="Nagwek2Znak">
    <w:name w:val="Nagłówek 2 Znak"/>
    <w:basedOn w:val="Domylnaczcionkaakapitu"/>
    <w:link w:val="Nagwek2"/>
    <w:rsid w:val="009C0E88"/>
    <w:rPr>
      <w:b/>
      <w:sz w:val="24"/>
      <w:szCs w:val="24"/>
      <w:lang w:eastAsia="pl-PL"/>
    </w:rPr>
  </w:style>
  <w:style w:type="paragraph" w:customStyle="1" w:styleId="Tabletext">
    <w:name w:val="Table text"/>
    <w:basedOn w:val="Normalny"/>
    <w:link w:val="TabletextZnak"/>
    <w:qFormat/>
    <w:rsid w:val="00074AE6"/>
    <w:pPr>
      <w:jc w:val="center"/>
    </w:pPr>
    <w:rPr>
      <w:sz w:val="20"/>
    </w:rPr>
  </w:style>
  <w:style w:type="character" w:customStyle="1" w:styleId="TabletextZnak">
    <w:name w:val="Table text Znak"/>
    <w:basedOn w:val="Domylnaczcionkaakapitu"/>
    <w:link w:val="Tabletext"/>
    <w:rsid w:val="00074AE6"/>
    <w:rPr>
      <w:lang w:eastAsia="pl-PL"/>
    </w:rPr>
  </w:style>
  <w:style w:type="paragraph" w:customStyle="1" w:styleId="TableTitel">
    <w:name w:val="TableTitel"/>
    <w:basedOn w:val="Tabletext"/>
    <w:link w:val="TableTitelZnak"/>
    <w:qFormat/>
    <w:rsid w:val="0002578B"/>
    <w:pPr>
      <w:spacing w:before="120" w:after="120"/>
      <w:jc w:val="left"/>
    </w:pPr>
  </w:style>
  <w:style w:type="character" w:customStyle="1" w:styleId="TableTitelZnak">
    <w:name w:val="TableTitel Znak"/>
    <w:basedOn w:val="Domylnaczcionkaakapitu"/>
    <w:link w:val="TableTitel"/>
    <w:rsid w:val="0002578B"/>
    <w:rPr>
      <w:lang w:eastAsia="pl-PL"/>
    </w:rPr>
  </w:style>
  <w:style w:type="paragraph" w:customStyle="1" w:styleId="Rwnanie">
    <w:name w:val="Równanie"/>
    <w:basedOn w:val="Normalny"/>
    <w:link w:val="RwnanieZnak"/>
    <w:qFormat/>
    <w:rsid w:val="005C28D4"/>
    <w:pPr>
      <w:tabs>
        <w:tab w:val="center" w:pos="4536"/>
        <w:tab w:val="right" w:pos="9072"/>
      </w:tabs>
      <w:jc w:val="left"/>
    </w:pPr>
  </w:style>
  <w:style w:type="character" w:customStyle="1" w:styleId="RwnanieZnak">
    <w:name w:val="Równanie Znak"/>
    <w:basedOn w:val="Domylnaczcionkaakapitu"/>
    <w:link w:val="Rwnanie"/>
    <w:rsid w:val="005C28D4"/>
    <w:rPr>
      <w:sz w:val="22"/>
      <w:szCs w:val="22"/>
      <w:lang w:eastAsia="pl-PL"/>
    </w:rPr>
  </w:style>
  <w:style w:type="paragraph" w:customStyle="1" w:styleId="Obrazek-podspodem">
    <w:name w:val="Obrazek-pod spodem"/>
    <w:basedOn w:val="Normalny"/>
    <w:link w:val="Obrazek-podspodemZnak"/>
    <w:rsid w:val="002279F2"/>
    <w:pPr>
      <w:spacing w:after="120"/>
      <w:jc w:val="center"/>
    </w:pPr>
    <w:rPr>
      <w:sz w:val="20"/>
      <w:szCs w:val="20"/>
    </w:rPr>
  </w:style>
  <w:style w:type="paragraph" w:customStyle="1" w:styleId="AtekstTytunakocu">
    <w:name w:val="A_tekst_Tytuł na końcu"/>
    <w:basedOn w:val="Normalny"/>
    <w:link w:val="AtekstTytunakocuZnak"/>
    <w:rsid w:val="009E3616"/>
    <w:rPr>
      <w:b/>
      <w:sz w:val="20"/>
      <w:szCs w:val="20"/>
    </w:rPr>
  </w:style>
  <w:style w:type="character" w:customStyle="1" w:styleId="Obrazek-podspodemZnak">
    <w:name w:val="Obrazek-pod spodem Znak"/>
    <w:basedOn w:val="Domylnaczcionkaakapitu"/>
    <w:link w:val="Obrazek-podspodem"/>
    <w:rsid w:val="002279F2"/>
    <w:rPr>
      <w:lang w:eastAsia="pl-PL"/>
    </w:rPr>
  </w:style>
  <w:style w:type="paragraph" w:customStyle="1" w:styleId="ALiteratura">
    <w:name w:val="A_Literatura"/>
    <w:basedOn w:val="Normalny"/>
    <w:link w:val="ALiteraturaZnak"/>
    <w:rsid w:val="00334CF7"/>
    <w:pPr>
      <w:ind w:left="425" w:hanging="425"/>
    </w:pPr>
    <w:rPr>
      <w:rFonts w:eastAsiaTheme="minorHAnsi" w:cstheme="minorBidi"/>
      <w:color w:val="000000" w:themeColor="text1"/>
      <w:sz w:val="20"/>
      <w:szCs w:val="24"/>
      <w:lang w:val="en-GB" w:eastAsia="en-US"/>
    </w:rPr>
  </w:style>
  <w:style w:type="character" w:customStyle="1" w:styleId="AtekstTytunakocuZnak">
    <w:name w:val="A_tekst_Tytuł na końcu Znak"/>
    <w:basedOn w:val="Domylnaczcionkaakapitu"/>
    <w:link w:val="AtekstTytunakocu"/>
    <w:rsid w:val="009E3616"/>
    <w:rPr>
      <w:b/>
      <w:lang w:eastAsia="pl-PL"/>
    </w:rPr>
  </w:style>
  <w:style w:type="character" w:customStyle="1" w:styleId="ALiteraturaZnak">
    <w:name w:val="A_Literatura Znak"/>
    <w:basedOn w:val="Domylnaczcionkaakapitu"/>
    <w:link w:val="ALiteratura"/>
    <w:rsid w:val="00334CF7"/>
    <w:rPr>
      <w:rFonts w:eastAsiaTheme="minorHAnsi" w:cstheme="minorBidi"/>
      <w:color w:val="000000" w:themeColor="text1"/>
      <w:szCs w:val="24"/>
      <w:lang w:val="en-GB" w:eastAsia="en-US"/>
    </w:rPr>
  </w:style>
  <w:style w:type="paragraph" w:styleId="Bezodstpw">
    <w:name w:val="No Spacing"/>
    <w:uiPriority w:val="1"/>
    <w:qFormat/>
    <w:rsid w:val="00B54193"/>
    <w:rPr>
      <w:rFonts w:asciiTheme="minorHAnsi" w:eastAsiaTheme="minorEastAsia" w:hAnsiTheme="minorHAnsi" w:cstheme="minorBidi"/>
      <w:sz w:val="22"/>
      <w:szCs w:val="22"/>
      <w:lang w:val="en-GB" w:eastAsia="pl-PL"/>
    </w:rPr>
  </w:style>
  <w:style w:type="paragraph" w:customStyle="1" w:styleId="Rab1">
    <w:name w:val="R_ab1"/>
    <w:next w:val="Normalny"/>
    <w:autoRedefine/>
    <w:qFormat/>
    <w:rsid w:val="0007387F"/>
    <w:pPr>
      <w:suppressAutoHyphens/>
      <w:spacing w:before="120"/>
      <w:ind w:left="567" w:right="567"/>
      <w:jc w:val="both"/>
    </w:pPr>
    <w:rPr>
      <w:rFonts w:eastAsia="SimSun"/>
      <w:kern w:val="2"/>
      <w:sz w:val="18"/>
      <w:lang w:val="en-GB" w:eastAsia="pl-PL"/>
    </w:rPr>
  </w:style>
  <w:style w:type="paragraph" w:customStyle="1" w:styleId="Rab2">
    <w:name w:val="R_ab2"/>
    <w:basedOn w:val="Rab1"/>
    <w:next w:val="Normalny"/>
    <w:autoRedefine/>
    <w:qFormat/>
    <w:rsid w:val="0007387F"/>
    <w:pPr>
      <w:spacing w:before="60"/>
    </w:pPr>
  </w:style>
  <w:style w:type="paragraph" w:customStyle="1" w:styleId="Rafiliacja">
    <w:name w:val="R_afiliacja"/>
    <w:basedOn w:val="Normalny"/>
    <w:link w:val="RafiliacjaZnak"/>
    <w:qFormat/>
    <w:rsid w:val="0007387F"/>
    <w:pPr>
      <w:suppressAutoHyphens/>
      <w:jc w:val="center"/>
    </w:pPr>
    <w:rPr>
      <w:rFonts w:eastAsiaTheme="minorHAnsi"/>
      <w:i/>
      <w:kern w:val="2"/>
      <w:sz w:val="20"/>
      <w:szCs w:val="28"/>
      <w:lang w:eastAsia="en-US"/>
    </w:rPr>
  </w:style>
  <w:style w:type="character" w:customStyle="1" w:styleId="RafiliacjaZnak">
    <w:name w:val="R_afiliacja Znak"/>
    <w:basedOn w:val="Domylnaczcionkaakapitu"/>
    <w:link w:val="Rafiliacja"/>
    <w:rsid w:val="0007387F"/>
    <w:rPr>
      <w:rFonts w:eastAsiaTheme="minorHAnsi"/>
      <w:i/>
      <w:kern w:val="2"/>
      <w:szCs w:val="28"/>
      <w:lang w:eastAsia="en-US"/>
    </w:rPr>
  </w:style>
  <w:style w:type="paragraph" w:customStyle="1" w:styleId="Rauco">
    <w:name w:val="R_au_co"/>
    <w:basedOn w:val="Rafiliacja"/>
    <w:autoRedefine/>
    <w:qFormat/>
    <w:rsid w:val="0007387F"/>
    <w:pPr>
      <w:spacing w:before="120"/>
    </w:pPr>
    <w:rPr>
      <w:lang w:val="en-GB"/>
    </w:rPr>
  </w:style>
  <w:style w:type="paragraph" w:customStyle="1" w:styleId="Rn1">
    <w:name w:val="R_n1"/>
    <w:basedOn w:val="Normalny"/>
    <w:link w:val="Rn1Znak"/>
    <w:qFormat/>
    <w:rsid w:val="0007387F"/>
    <w:pPr>
      <w:suppressAutoHyphens/>
      <w:spacing w:before="240" w:after="120"/>
    </w:pPr>
    <w:rPr>
      <w:rFonts w:eastAsiaTheme="minorHAnsi" w:cstheme="minorBidi"/>
      <w:b/>
      <w:kern w:val="2"/>
      <w:sz w:val="24"/>
      <w:lang w:eastAsia="en-US"/>
    </w:rPr>
  </w:style>
  <w:style w:type="character" w:customStyle="1" w:styleId="Rn1Znak">
    <w:name w:val="R_n1 Znak"/>
    <w:basedOn w:val="Domylnaczcionkaakapitu"/>
    <w:link w:val="Rn1"/>
    <w:rsid w:val="0007387F"/>
    <w:rPr>
      <w:rFonts w:eastAsiaTheme="minorHAnsi" w:cstheme="minorBidi"/>
      <w:b/>
      <w:kern w:val="2"/>
      <w:sz w:val="24"/>
      <w:szCs w:val="22"/>
      <w:lang w:eastAsia="en-US"/>
    </w:rPr>
  </w:style>
  <w:style w:type="paragraph" w:customStyle="1" w:styleId="Rn2">
    <w:name w:val="R_n2"/>
    <w:basedOn w:val="Rn1"/>
    <w:link w:val="Rn2Znak"/>
    <w:qFormat/>
    <w:rsid w:val="0007387F"/>
    <w:pPr>
      <w:spacing w:before="120"/>
      <w:jc w:val="left"/>
    </w:pPr>
    <w:rPr>
      <w:sz w:val="22"/>
    </w:rPr>
  </w:style>
  <w:style w:type="character" w:customStyle="1" w:styleId="Rn2Znak">
    <w:name w:val="R_n2 Znak"/>
    <w:link w:val="Rn2"/>
    <w:rsid w:val="0007387F"/>
    <w:rPr>
      <w:rFonts w:eastAsiaTheme="minorHAnsi" w:cstheme="minorBidi"/>
      <w:b/>
      <w:kern w:val="2"/>
      <w:sz w:val="22"/>
      <w:szCs w:val="22"/>
      <w:lang w:eastAsia="en-US"/>
    </w:rPr>
  </w:style>
  <w:style w:type="paragraph" w:customStyle="1" w:styleId="Rtytu">
    <w:name w:val="R_tytuł"/>
    <w:basedOn w:val="Rn2"/>
    <w:link w:val="RtytuZnak"/>
    <w:autoRedefine/>
    <w:qFormat/>
    <w:rsid w:val="0007387F"/>
    <w:pPr>
      <w:spacing w:before="240" w:after="0"/>
      <w:jc w:val="center"/>
    </w:pPr>
    <w:rPr>
      <w:sz w:val="24"/>
      <w:szCs w:val="28"/>
    </w:rPr>
  </w:style>
  <w:style w:type="character" w:customStyle="1" w:styleId="RtytuZnak">
    <w:name w:val="R_tytuł Znak"/>
    <w:basedOn w:val="Rn2Znak"/>
    <w:link w:val="Rtytu"/>
    <w:rsid w:val="0007387F"/>
    <w:rPr>
      <w:rFonts w:eastAsiaTheme="minorHAnsi" w:cstheme="minorBidi"/>
      <w:b/>
      <w:kern w:val="2"/>
      <w:sz w:val="24"/>
      <w:szCs w:val="28"/>
      <w:lang w:eastAsia="en-US"/>
    </w:rPr>
  </w:style>
  <w:style w:type="paragraph" w:customStyle="1" w:styleId="Rautor">
    <w:name w:val="R_autor"/>
    <w:basedOn w:val="Rtytu"/>
    <w:link w:val="RautorZnak"/>
    <w:autoRedefine/>
    <w:qFormat/>
    <w:rsid w:val="0007387F"/>
    <w:pPr>
      <w:spacing w:before="120"/>
    </w:pPr>
    <w:rPr>
      <w:rFonts w:eastAsia="Calibri" w:cs="Times New Roman"/>
      <w:b w:val="0"/>
      <w:i/>
    </w:rPr>
  </w:style>
  <w:style w:type="character" w:customStyle="1" w:styleId="RautorZnak">
    <w:name w:val="R_autor Znak"/>
    <w:link w:val="Rautor"/>
    <w:rsid w:val="0007387F"/>
    <w:rPr>
      <w:rFonts w:eastAsia="Calibri"/>
      <w:i/>
      <w:kern w:val="2"/>
      <w:sz w:val="24"/>
      <w:szCs w:val="28"/>
      <w:lang w:eastAsia="en-US"/>
    </w:rPr>
  </w:style>
  <w:style w:type="paragraph" w:customStyle="1" w:styleId="Rlit">
    <w:name w:val="R_lit"/>
    <w:basedOn w:val="Normalny"/>
    <w:link w:val="RlitZnak"/>
    <w:qFormat/>
    <w:rsid w:val="0007387F"/>
    <w:pPr>
      <w:ind w:left="425" w:hanging="425"/>
    </w:pPr>
    <w:rPr>
      <w:kern w:val="2"/>
      <w:sz w:val="20"/>
      <w:szCs w:val="20"/>
      <w:lang w:val="en-US"/>
    </w:rPr>
  </w:style>
  <w:style w:type="character" w:customStyle="1" w:styleId="RlitZnak">
    <w:name w:val="R_lit Znak"/>
    <w:basedOn w:val="Domylnaczcionkaakapitu"/>
    <w:link w:val="Rlit"/>
    <w:rsid w:val="0007387F"/>
    <w:rPr>
      <w:kern w:val="2"/>
      <w:lang w:val="en-US" w:eastAsia="pl-PL"/>
    </w:rPr>
  </w:style>
  <w:style w:type="paragraph" w:customStyle="1" w:styleId="Rtab">
    <w:name w:val="R_tab"/>
    <w:basedOn w:val="Normalny"/>
    <w:link w:val="RtabZnak"/>
    <w:qFormat/>
    <w:rsid w:val="0007387F"/>
    <w:pPr>
      <w:suppressAutoHyphens/>
      <w:spacing w:after="120"/>
      <w:jc w:val="left"/>
    </w:pPr>
    <w:rPr>
      <w:rFonts w:eastAsiaTheme="minorHAnsi" w:cstheme="minorBidi"/>
      <w:kern w:val="2"/>
      <w:sz w:val="20"/>
      <w:lang w:eastAsia="en-US"/>
    </w:rPr>
  </w:style>
  <w:style w:type="character" w:customStyle="1" w:styleId="RtabZnak">
    <w:name w:val="R_tab Znak"/>
    <w:basedOn w:val="Domylnaczcionkaakapitu"/>
    <w:link w:val="Rtab"/>
    <w:rsid w:val="0007387F"/>
    <w:rPr>
      <w:rFonts w:eastAsiaTheme="minorHAnsi" w:cstheme="minorBidi"/>
      <w:kern w:val="2"/>
      <w:szCs w:val="22"/>
      <w:lang w:eastAsia="en-US"/>
    </w:rPr>
  </w:style>
  <w:style w:type="paragraph" w:customStyle="1" w:styleId="Rn3">
    <w:name w:val="R_n3"/>
    <w:basedOn w:val="Rtab"/>
    <w:link w:val="Rn3Znak"/>
    <w:qFormat/>
    <w:rsid w:val="0007387F"/>
    <w:pPr>
      <w:spacing w:before="120"/>
      <w:jc w:val="both"/>
    </w:pPr>
    <w:rPr>
      <w:i/>
    </w:rPr>
  </w:style>
  <w:style w:type="character" w:customStyle="1" w:styleId="Rn3Znak">
    <w:name w:val="R_n3 Znak"/>
    <w:basedOn w:val="RtabZnak"/>
    <w:link w:val="Rn3"/>
    <w:rsid w:val="0007387F"/>
    <w:rPr>
      <w:rFonts w:eastAsiaTheme="minorHAnsi" w:cstheme="minorBidi"/>
      <w:i/>
      <w:kern w:val="2"/>
      <w:szCs w:val="22"/>
      <w:lang w:eastAsia="en-US"/>
    </w:rPr>
  </w:style>
  <w:style w:type="paragraph" w:customStyle="1" w:styleId="Rrys">
    <w:name w:val="R_rys"/>
    <w:basedOn w:val="Rafiliacja"/>
    <w:link w:val="RrysZnak"/>
    <w:qFormat/>
    <w:rsid w:val="0007387F"/>
    <w:pPr>
      <w:spacing w:before="120"/>
      <w:jc w:val="left"/>
    </w:pPr>
    <w:rPr>
      <w:i w:val="0"/>
    </w:rPr>
  </w:style>
  <w:style w:type="character" w:customStyle="1" w:styleId="RrysZnak">
    <w:name w:val="R_rys Znak"/>
    <w:basedOn w:val="RafiliacjaZnak"/>
    <w:link w:val="Rrys"/>
    <w:rsid w:val="0007387F"/>
    <w:rPr>
      <w:rFonts w:eastAsiaTheme="minorHAnsi"/>
      <w:i w:val="0"/>
      <w:kern w:val="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37">
      <w:bodyDiv w:val="1"/>
      <w:marLeft w:val="0"/>
      <w:marRight w:val="0"/>
      <w:marTop w:val="0"/>
      <w:marBottom w:val="0"/>
      <w:divBdr>
        <w:top w:val="none" w:sz="0" w:space="0" w:color="auto"/>
        <w:left w:val="none" w:sz="0" w:space="0" w:color="auto"/>
        <w:bottom w:val="none" w:sz="0" w:space="0" w:color="auto"/>
        <w:right w:val="none" w:sz="0" w:space="0" w:color="auto"/>
      </w:divBdr>
    </w:div>
    <w:div w:id="46148237">
      <w:bodyDiv w:val="1"/>
      <w:marLeft w:val="0"/>
      <w:marRight w:val="0"/>
      <w:marTop w:val="0"/>
      <w:marBottom w:val="0"/>
      <w:divBdr>
        <w:top w:val="none" w:sz="0" w:space="0" w:color="auto"/>
        <w:left w:val="none" w:sz="0" w:space="0" w:color="auto"/>
        <w:bottom w:val="none" w:sz="0" w:space="0" w:color="auto"/>
        <w:right w:val="none" w:sz="0" w:space="0" w:color="auto"/>
      </w:divBdr>
    </w:div>
    <w:div w:id="60757187">
      <w:bodyDiv w:val="1"/>
      <w:marLeft w:val="0"/>
      <w:marRight w:val="0"/>
      <w:marTop w:val="0"/>
      <w:marBottom w:val="0"/>
      <w:divBdr>
        <w:top w:val="none" w:sz="0" w:space="0" w:color="auto"/>
        <w:left w:val="none" w:sz="0" w:space="0" w:color="auto"/>
        <w:bottom w:val="none" w:sz="0" w:space="0" w:color="auto"/>
        <w:right w:val="none" w:sz="0" w:space="0" w:color="auto"/>
      </w:divBdr>
    </w:div>
    <w:div w:id="82185607">
      <w:bodyDiv w:val="1"/>
      <w:marLeft w:val="0"/>
      <w:marRight w:val="0"/>
      <w:marTop w:val="0"/>
      <w:marBottom w:val="0"/>
      <w:divBdr>
        <w:top w:val="none" w:sz="0" w:space="0" w:color="auto"/>
        <w:left w:val="none" w:sz="0" w:space="0" w:color="auto"/>
        <w:bottom w:val="none" w:sz="0" w:space="0" w:color="auto"/>
        <w:right w:val="none" w:sz="0" w:space="0" w:color="auto"/>
      </w:divBdr>
    </w:div>
    <w:div w:id="165630847">
      <w:bodyDiv w:val="1"/>
      <w:marLeft w:val="0"/>
      <w:marRight w:val="0"/>
      <w:marTop w:val="0"/>
      <w:marBottom w:val="0"/>
      <w:divBdr>
        <w:top w:val="none" w:sz="0" w:space="0" w:color="auto"/>
        <w:left w:val="none" w:sz="0" w:space="0" w:color="auto"/>
        <w:bottom w:val="none" w:sz="0" w:space="0" w:color="auto"/>
        <w:right w:val="none" w:sz="0" w:space="0" w:color="auto"/>
      </w:divBdr>
    </w:div>
    <w:div w:id="175661554">
      <w:bodyDiv w:val="1"/>
      <w:marLeft w:val="0"/>
      <w:marRight w:val="0"/>
      <w:marTop w:val="0"/>
      <w:marBottom w:val="0"/>
      <w:divBdr>
        <w:top w:val="none" w:sz="0" w:space="0" w:color="auto"/>
        <w:left w:val="none" w:sz="0" w:space="0" w:color="auto"/>
        <w:bottom w:val="none" w:sz="0" w:space="0" w:color="auto"/>
        <w:right w:val="none" w:sz="0" w:space="0" w:color="auto"/>
      </w:divBdr>
    </w:div>
    <w:div w:id="221447519">
      <w:bodyDiv w:val="1"/>
      <w:marLeft w:val="0"/>
      <w:marRight w:val="0"/>
      <w:marTop w:val="0"/>
      <w:marBottom w:val="0"/>
      <w:divBdr>
        <w:top w:val="none" w:sz="0" w:space="0" w:color="auto"/>
        <w:left w:val="none" w:sz="0" w:space="0" w:color="auto"/>
        <w:bottom w:val="none" w:sz="0" w:space="0" w:color="auto"/>
        <w:right w:val="none" w:sz="0" w:space="0" w:color="auto"/>
      </w:divBdr>
    </w:div>
    <w:div w:id="242878502">
      <w:bodyDiv w:val="1"/>
      <w:marLeft w:val="0"/>
      <w:marRight w:val="0"/>
      <w:marTop w:val="0"/>
      <w:marBottom w:val="0"/>
      <w:divBdr>
        <w:top w:val="none" w:sz="0" w:space="0" w:color="auto"/>
        <w:left w:val="none" w:sz="0" w:space="0" w:color="auto"/>
        <w:bottom w:val="none" w:sz="0" w:space="0" w:color="auto"/>
        <w:right w:val="none" w:sz="0" w:space="0" w:color="auto"/>
      </w:divBdr>
    </w:div>
    <w:div w:id="249628483">
      <w:bodyDiv w:val="1"/>
      <w:marLeft w:val="0"/>
      <w:marRight w:val="0"/>
      <w:marTop w:val="0"/>
      <w:marBottom w:val="0"/>
      <w:divBdr>
        <w:top w:val="none" w:sz="0" w:space="0" w:color="auto"/>
        <w:left w:val="none" w:sz="0" w:space="0" w:color="auto"/>
        <w:bottom w:val="none" w:sz="0" w:space="0" w:color="auto"/>
        <w:right w:val="none" w:sz="0" w:space="0" w:color="auto"/>
      </w:divBdr>
    </w:div>
    <w:div w:id="250286844">
      <w:bodyDiv w:val="1"/>
      <w:marLeft w:val="0"/>
      <w:marRight w:val="0"/>
      <w:marTop w:val="0"/>
      <w:marBottom w:val="0"/>
      <w:divBdr>
        <w:top w:val="none" w:sz="0" w:space="0" w:color="auto"/>
        <w:left w:val="none" w:sz="0" w:space="0" w:color="auto"/>
        <w:bottom w:val="none" w:sz="0" w:space="0" w:color="auto"/>
        <w:right w:val="none" w:sz="0" w:space="0" w:color="auto"/>
      </w:divBdr>
    </w:div>
    <w:div w:id="289481147">
      <w:bodyDiv w:val="1"/>
      <w:marLeft w:val="0"/>
      <w:marRight w:val="0"/>
      <w:marTop w:val="0"/>
      <w:marBottom w:val="0"/>
      <w:divBdr>
        <w:top w:val="none" w:sz="0" w:space="0" w:color="auto"/>
        <w:left w:val="none" w:sz="0" w:space="0" w:color="auto"/>
        <w:bottom w:val="none" w:sz="0" w:space="0" w:color="auto"/>
        <w:right w:val="none" w:sz="0" w:space="0" w:color="auto"/>
      </w:divBdr>
    </w:div>
    <w:div w:id="327445588">
      <w:bodyDiv w:val="1"/>
      <w:marLeft w:val="0"/>
      <w:marRight w:val="0"/>
      <w:marTop w:val="0"/>
      <w:marBottom w:val="0"/>
      <w:divBdr>
        <w:top w:val="none" w:sz="0" w:space="0" w:color="auto"/>
        <w:left w:val="none" w:sz="0" w:space="0" w:color="auto"/>
        <w:bottom w:val="none" w:sz="0" w:space="0" w:color="auto"/>
        <w:right w:val="none" w:sz="0" w:space="0" w:color="auto"/>
      </w:divBdr>
    </w:div>
    <w:div w:id="376010874">
      <w:bodyDiv w:val="1"/>
      <w:marLeft w:val="0"/>
      <w:marRight w:val="0"/>
      <w:marTop w:val="0"/>
      <w:marBottom w:val="0"/>
      <w:divBdr>
        <w:top w:val="none" w:sz="0" w:space="0" w:color="auto"/>
        <w:left w:val="none" w:sz="0" w:space="0" w:color="auto"/>
        <w:bottom w:val="none" w:sz="0" w:space="0" w:color="auto"/>
        <w:right w:val="none" w:sz="0" w:space="0" w:color="auto"/>
      </w:divBdr>
    </w:div>
    <w:div w:id="389695578">
      <w:bodyDiv w:val="1"/>
      <w:marLeft w:val="0"/>
      <w:marRight w:val="0"/>
      <w:marTop w:val="0"/>
      <w:marBottom w:val="0"/>
      <w:divBdr>
        <w:top w:val="none" w:sz="0" w:space="0" w:color="auto"/>
        <w:left w:val="none" w:sz="0" w:space="0" w:color="auto"/>
        <w:bottom w:val="none" w:sz="0" w:space="0" w:color="auto"/>
        <w:right w:val="none" w:sz="0" w:space="0" w:color="auto"/>
      </w:divBdr>
    </w:div>
    <w:div w:id="479150763">
      <w:bodyDiv w:val="1"/>
      <w:marLeft w:val="0"/>
      <w:marRight w:val="0"/>
      <w:marTop w:val="0"/>
      <w:marBottom w:val="0"/>
      <w:divBdr>
        <w:top w:val="none" w:sz="0" w:space="0" w:color="auto"/>
        <w:left w:val="none" w:sz="0" w:space="0" w:color="auto"/>
        <w:bottom w:val="none" w:sz="0" w:space="0" w:color="auto"/>
        <w:right w:val="none" w:sz="0" w:space="0" w:color="auto"/>
      </w:divBdr>
    </w:div>
    <w:div w:id="491528714">
      <w:bodyDiv w:val="1"/>
      <w:marLeft w:val="0"/>
      <w:marRight w:val="0"/>
      <w:marTop w:val="0"/>
      <w:marBottom w:val="0"/>
      <w:divBdr>
        <w:top w:val="none" w:sz="0" w:space="0" w:color="auto"/>
        <w:left w:val="none" w:sz="0" w:space="0" w:color="auto"/>
        <w:bottom w:val="none" w:sz="0" w:space="0" w:color="auto"/>
        <w:right w:val="none" w:sz="0" w:space="0" w:color="auto"/>
      </w:divBdr>
    </w:div>
    <w:div w:id="528304315">
      <w:bodyDiv w:val="1"/>
      <w:marLeft w:val="0"/>
      <w:marRight w:val="0"/>
      <w:marTop w:val="0"/>
      <w:marBottom w:val="0"/>
      <w:divBdr>
        <w:top w:val="none" w:sz="0" w:space="0" w:color="auto"/>
        <w:left w:val="none" w:sz="0" w:space="0" w:color="auto"/>
        <w:bottom w:val="none" w:sz="0" w:space="0" w:color="auto"/>
        <w:right w:val="none" w:sz="0" w:space="0" w:color="auto"/>
      </w:divBdr>
    </w:div>
    <w:div w:id="530845781">
      <w:bodyDiv w:val="1"/>
      <w:marLeft w:val="0"/>
      <w:marRight w:val="0"/>
      <w:marTop w:val="0"/>
      <w:marBottom w:val="0"/>
      <w:divBdr>
        <w:top w:val="none" w:sz="0" w:space="0" w:color="auto"/>
        <w:left w:val="none" w:sz="0" w:space="0" w:color="auto"/>
        <w:bottom w:val="none" w:sz="0" w:space="0" w:color="auto"/>
        <w:right w:val="none" w:sz="0" w:space="0" w:color="auto"/>
      </w:divBdr>
    </w:div>
    <w:div w:id="544024683">
      <w:bodyDiv w:val="1"/>
      <w:marLeft w:val="0"/>
      <w:marRight w:val="0"/>
      <w:marTop w:val="0"/>
      <w:marBottom w:val="0"/>
      <w:divBdr>
        <w:top w:val="none" w:sz="0" w:space="0" w:color="auto"/>
        <w:left w:val="none" w:sz="0" w:space="0" w:color="auto"/>
        <w:bottom w:val="none" w:sz="0" w:space="0" w:color="auto"/>
        <w:right w:val="none" w:sz="0" w:space="0" w:color="auto"/>
      </w:divBdr>
    </w:div>
    <w:div w:id="552620865">
      <w:bodyDiv w:val="1"/>
      <w:marLeft w:val="0"/>
      <w:marRight w:val="0"/>
      <w:marTop w:val="0"/>
      <w:marBottom w:val="0"/>
      <w:divBdr>
        <w:top w:val="none" w:sz="0" w:space="0" w:color="auto"/>
        <w:left w:val="none" w:sz="0" w:space="0" w:color="auto"/>
        <w:bottom w:val="none" w:sz="0" w:space="0" w:color="auto"/>
        <w:right w:val="none" w:sz="0" w:space="0" w:color="auto"/>
      </w:divBdr>
    </w:div>
    <w:div w:id="600840327">
      <w:bodyDiv w:val="1"/>
      <w:marLeft w:val="0"/>
      <w:marRight w:val="0"/>
      <w:marTop w:val="0"/>
      <w:marBottom w:val="0"/>
      <w:divBdr>
        <w:top w:val="none" w:sz="0" w:space="0" w:color="auto"/>
        <w:left w:val="none" w:sz="0" w:space="0" w:color="auto"/>
        <w:bottom w:val="none" w:sz="0" w:space="0" w:color="auto"/>
        <w:right w:val="none" w:sz="0" w:space="0" w:color="auto"/>
      </w:divBdr>
    </w:div>
    <w:div w:id="632059113">
      <w:bodyDiv w:val="1"/>
      <w:marLeft w:val="0"/>
      <w:marRight w:val="0"/>
      <w:marTop w:val="0"/>
      <w:marBottom w:val="0"/>
      <w:divBdr>
        <w:top w:val="none" w:sz="0" w:space="0" w:color="auto"/>
        <w:left w:val="none" w:sz="0" w:space="0" w:color="auto"/>
        <w:bottom w:val="none" w:sz="0" w:space="0" w:color="auto"/>
        <w:right w:val="none" w:sz="0" w:space="0" w:color="auto"/>
      </w:divBdr>
    </w:div>
    <w:div w:id="642736901">
      <w:bodyDiv w:val="1"/>
      <w:marLeft w:val="0"/>
      <w:marRight w:val="0"/>
      <w:marTop w:val="0"/>
      <w:marBottom w:val="0"/>
      <w:divBdr>
        <w:top w:val="none" w:sz="0" w:space="0" w:color="auto"/>
        <w:left w:val="none" w:sz="0" w:space="0" w:color="auto"/>
        <w:bottom w:val="none" w:sz="0" w:space="0" w:color="auto"/>
        <w:right w:val="none" w:sz="0" w:space="0" w:color="auto"/>
      </w:divBdr>
    </w:div>
    <w:div w:id="687025143">
      <w:bodyDiv w:val="1"/>
      <w:marLeft w:val="0"/>
      <w:marRight w:val="0"/>
      <w:marTop w:val="0"/>
      <w:marBottom w:val="0"/>
      <w:divBdr>
        <w:top w:val="none" w:sz="0" w:space="0" w:color="auto"/>
        <w:left w:val="none" w:sz="0" w:space="0" w:color="auto"/>
        <w:bottom w:val="none" w:sz="0" w:space="0" w:color="auto"/>
        <w:right w:val="none" w:sz="0" w:space="0" w:color="auto"/>
      </w:divBdr>
    </w:div>
    <w:div w:id="694616988">
      <w:bodyDiv w:val="1"/>
      <w:marLeft w:val="0"/>
      <w:marRight w:val="0"/>
      <w:marTop w:val="0"/>
      <w:marBottom w:val="0"/>
      <w:divBdr>
        <w:top w:val="none" w:sz="0" w:space="0" w:color="auto"/>
        <w:left w:val="none" w:sz="0" w:space="0" w:color="auto"/>
        <w:bottom w:val="none" w:sz="0" w:space="0" w:color="auto"/>
        <w:right w:val="none" w:sz="0" w:space="0" w:color="auto"/>
      </w:divBdr>
    </w:div>
    <w:div w:id="699815009">
      <w:bodyDiv w:val="1"/>
      <w:marLeft w:val="0"/>
      <w:marRight w:val="0"/>
      <w:marTop w:val="0"/>
      <w:marBottom w:val="0"/>
      <w:divBdr>
        <w:top w:val="none" w:sz="0" w:space="0" w:color="auto"/>
        <w:left w:val="none" w:sz="0" w:space="0" w:color="auto"/>
        <w:bottom w:val="none" w:sz="0" w:space="0" w:color="auto"/>
        <w:right w:val="none" w:sz="0" w:space="0" w:color="auto"/>
      </w:divBdr>
    </w:div>
    <w:div w:id="721246928">
      <w:bodyDiv w:val="1"/>
      <w:marLeft w:val="0"/>
      <w:marRight w:val="0"/>
      <w:marTop w:val="0"/>
      <w:marBottom w:val="0"/>
      <w:divBdr>
        <w:top w:val="none" w:sz="0" w:space="0" w:color="auto"/>
        <w:left w:val="none" w:sz="0" w:space="0" w:color="auto"/>
        <w:bottom w:val="none" w:sz="0" w:space="0" w:color="auto"/>
        <w:right w:val="none" w:sz="0" w:space="0" w:color="auto"/>
      </w:divBdr>
    </w:div>
    <w:div w:id="733822991">
      <w:bodyDiv w:val="1"/>
      <w:marLeft w:val="0"/>
      <w:marRight w:val="0"/>
      <w:marTop w:val="0"/>
      <w:marBottom w:val="0"/>
      <w:divBdr>
        <w:top w:val="none" w:sz="0" w:space="0" w:color="auto"/>
        <w:left w:val="none" w:sz="0" w:space="0" w:color="auto"/>
        <w:bottom w:val="none" w:sz="0" w:space="0" w:color="auto"/>
        <w:right w:val="none" w:sz="0" w:space="0" w:color="auto"/>
      </w:divBdr>
    </w:div>
    <w:div w:id="838693933">
      <w:bodyDiv w:val="1"/>
      <w:marLeft w:val="0"/>
      <w:marRight w:val="0"/>
      <w:marTop w:val="0"/>
      <w:marBottom w:val="0"/>
      <w:divBdr>
        <w:top w:val="none" w:sz="0" w:space="0" w:color="auto"/>
        <w:left w:val="none" w:sz="0" w:space="0" w:color="auto"/>
        <w:bottom w:val="none" w:sz="0" w:space="0" w:color="auto"/>
        <w:right w:val="none" w:sz="0" w:space="0" w:color="auto"/>
      </w:divBdr>
    </w:div>
    <w:div w:id="857426074">
      <w:bodyDiv w:val="1"/>
      <w:marLeft w:val="0"/>
      <w:marRight w:val="0"/>
      <w:marTop w:val="0"/>
      <w:marBottom w:val="0"/>
      <w:divBdr>
        <w:top w:val="none" w:sz="0" w:space="0" w:color="auto"/>
        <w:left w:val="none" w:sz="0" w:space="0" w:color="auto"/>
        <w:bottom w:val="none" w:sz="0" w:space="0" w:color="auto"/>
        <w:right w:val="none" w:sz="0" w:space="0" w:color="auto"/>
      </w:divBdr>
    </w:div>
    <w:div w:id="859589686">
      <w:bodyDiv w:val="1"/>
      <w:marLeft w:val="0"/>
      <w:marRight w:val="0"/>
      <w:marTop w:val="0"/>
      <w:marBottom w:val="0"/>
      <w:divBdr>
        <w:top w:val="none" w:sz="0" w:space="0" w:color="auto"/>
        <w:left w:val="none" w:sz="0" w:space="0" w:color="auto"/>
        <w:bottom w:val="none" w:sz="0" w:space="0" w:color="auto"/>
        <w:right w:val="none" w:sz="0" w:space="0" w:color="auto"/>
      </w:divBdr>
    </w:div>
    <w:div w:id="866602693">
      <w:bodyDiv w:val="1"/>
      <w:marLeft w:val="0"/>
      <w:marRight w:val="0"/>
      <w:marTop w:val="0"/>
      <w:marBottom w:val="0"/>
      <w:divBdr>
        <w:top w:val="none" w:sz="0" w:space="0" w:color="auto"/>
        <w:left w:val="none" w:sz="0" w:space="0" w:color="auto"/>
        <w:bottom w:val="none" w:sz="0" w:space="0" w:color="auto"/>
        <w:right w:val="none" w:sz="0" w:space="0" w:color="auto"/>
      </w:divBdr>
    </w:div>
    <w:div w:id="898630833">
      <w:bodyDiv w:val="1"/>
      <w:marLeft w:val="0"/>
      <w:marRight w:val="0"/>
      <w:marTop w:val="0"/>
      <w:marBottom w:val="0"/>
      <w:divBdr>
        <w:top w:val="none" w:sz="0" w:space="0" w:color="auto"/>
        <w:left w:val="none" w:sz="0" w:space="0" w:color="auto"/>
        <w:bottom w:val="none" w:sz="0" w:space="0" w:color="auto"/>
        <w:right w:val="none" w:sz="0" w:space="0" w:color="auto"/>
      </w:divBdr>
    </w:div>
    <w:div w:id="909198519">
      <w:bodyDiv w:val="1"/>
      <w:marLeft w:val="0"/>
      <w:marRight w:val="0"/>
      <w:marTop w:val="0"/>
      <w:marBottom w:val="0"/>
      <w:divBdr>
        <w:top w:val="none" w:sz="0" w:space="0" w:color="auto"/>
        <w:left w:val="none" w:sz="0" w:space="0" w:color="auto"/>
        <w:bottom w:val="none" w:sz="0" w:space="0" w:color="auto"/>
        <w:right w:val="none" w:sz="0" w:space="0" w:color="auto"/>
      </w:divBdr>
    </w:div>
    <w:div w:id="924536828">
      <w:bodyDiv w:val="1"/>
      <w:marLeft w:val="0"/>
      <w:marRight w:val="0"/>
      <w:marTop w:val="0"/>
      <w:marBottom w:val="0"/>
      <w:divBdr>
        <w:top w:val="none" w:sz="0" w:space="0" w:color="auto"/>
        <w:left w:val="none" w:sz="0" w:space="0" w:color="auto"/>
        <w:bottom w:val="none" w:sz="0" w:space="0" w:color="auto"/>
        <w:right w:val="none" w:sz="0" w:space="0" w:color="auto"/>
      </w:divBdr>
    </w:div>
    <w:div w:id="979654789">
      <w:bodyDiv w:val="1"/>
      <w:marLeft w:val="0"/>
      <w:marRight w:val="0"/>
      <w:marTop w:val="0"/>
      <w:marBottom w:val="0"/>
      <w:divBdr>
        <w:top w:val="none" w:sz="0" w:space="0" w:color="auto"/>
        <w:left w:val="none" w:sz="0" w:space="0" w:color="auto"/>
        <w:bottom w:val="none" w:sz="0" w:space="0" w:color="auto"/>
        <w:right w:val="none" w:sz="0" w:space="0" w:color="auto"/>
      </w:divBdr>
    </w:div>
    <w:div w:id="1004166619">
      <w:bodyDiv w:val="1"/>
      <w:marLeft w:val="0"/>
      <w:marRight w:val="0"/>
      <w:marTop w:val="0"/>
      <w:marBottom w:val="0"/>
      <w:divBdr>
        <w:top w:val="none" w:sz="0" w:space="0" w:color="auto"/>
        <w:left w:val="none" w:sz="0" w:space="0" w:color="auto"/>
        <w:bottom w:val="none" w:sz="0" w:space="0" w:color="auto"/>
        <w:right w:val="none" w:sz="0" w:space="0" w:color="auto"/>
      </w:divBdr>
    </w:div>
    <w:div w:id="1048577102">
      <w:bodyDiv w:val="1"/>
      <w:marLeft w:val="0"/>
      <w:marRight w:val="0"/>
      <w:marTop w:val="0"/>
      <w:marBottom w:val="0"/>
      <w:divBdr>
        <w:top w:val="none" w:sz="0" w:space="0" w:color="auto"/>
        <w:left w:val="none" w:sz="0" w:space="0" w:color="auto"/>
        <w:bottom w:val="none" w:sz="0" w:space="0" w:color="auto"/>
        <w:right w:val="none" w:sz="0" w:space="0" w:color="auto"/>
      </w:divBdr>
    </w:div>
    <w:div w:id="1065951866">
      <w:bodyDiv w:val="1"/>
      <w:marLeft w:val="0"/>
      <w:marRight w:val="0"/>
      <w:marTop w:val="0"/>
      <w:marBottom w:val="0"/>
      <w:divBdr>
        <w:top w:val="none" w:sz="0" w:space="0" w:color="auto"/>
        <w:left w:val="none" w:sz="0" w:space="0" w:color="auto"/>
        <w:bottom w:val="none" w:sz="0" w:space="0" w:color="auto"/>
        <w:right w:val="none" w:sz="0" w:space="0" w:color="auto"/>
      </w:divBdr>
    </w:div>
    <w:div w:id="1075662997">
      <w:bodyDiv w:val="1"/>
      <w:marLeft w:val="0"/>
      <w:marRight w:val="0"/>
      <w:marTop w:val="0"/>
      <w:marBottom w:val="0"/>
      <w:divBdr>
        <w:top w:val="none" w:sz="0" w:space="0" w:color="auto"/>
        <w:left w:val="none" w:sz="0" w:space="0" w:color="auto"/>
        <w:bottom w:val="none" w:sz="0" w:space="0" w:color="auto"/>
        <w:right w:val="none" w:sz="0" w:space="0" w:color="auto"/>
      </w:divBdr>
    </w:div>
    <w:div w:id="1189218454">
      <w:bodyDiv w:val="1"/>
      <w:marLeft w:val="0"/>
      <w:marRight w:val="0"/>
      <w:marTop w:val="0"/>
      <w:marBottom w:val="0"/>
      <w:divBdr>
        <w:top w:val="none" w:sz="0" w:space="0" w:color="auto"/>
        <w:left w:val="none" w:sz="0" w:space="0" w:color="auto"/>
        <w:bottom w:val="none" w:sz="0" w:space="0" w:color="auto"/>
        <w:right w:val="none" w:sz="0" w:space="0" w:color="auto"/>
      </w:divBdr>
    </w:div>
    <w:div w:id="1213928774">
      <w:bodyDiv w:val="1"/>
      <w:marLeft w:val="0"/>
      <w:marRight w:val="0"/>
      <w:marTop w:val="0"/>
      <w:marBottom w:val="0"/>
      <w:divBdr>
        <w:top w:val="none" w:sz="0" w:space="0" w:color="auto"/>
        <w:left w:val="none" w:sz="0" w:space="0" w:color="auto"/>
        <w:bottom w:val="none" w:sz="0" w:space="0" w:color="auto"/>
        <w:right w:val="none" w:sz="0" w:space="0" w:color="auto"/>
      </w:divBdr>
    </w:div>
    <w:div w:id="1239286031">
      <w:bodyDiv w:val="1"/>
      <w:marLeft w:val="0"/>
      <w:marRight w:val="0"/>
      <w:marTop w:val="0"/>
      <w:marBottom w:val="0"/>
      <w:divBdr>
        <w:top w:val="none" w:sz="0" w:space="0" w:color="auto"/>
        <w:left w:val="none" w:sz="0" w:space="0" w:color="auto"/>
        <w:bottom w:val="none" w:sz="0" w:space="0" w:color="auto"/>
        <w:right w:val="none" w:sz="0" w:space="0" w:color="auto"/>
      </w:divBdr>
    </w:div>
    <w:div w:id="1254048770">
      <w:bodyDiv w:val="1"/>
      <w:marLeft w:val="0"/>
      <w:marRight w:val="0"/>
      <w:marTop w:val="0"/>
      <w:marBottom w:val="0"/>
      <w:divBdr>
        <w:top w:val="none" w:sz="0" w:space="0" w:color="auto"/>
        <w:left w:val="none" w:sz="0" w:space="0" w:color="auto"/>
        <w:bottom w:val="none" w:sz="0" w:space="0" w:color="auto"/>
        <w:right w:val="none" w:sz="0" w:space="0" w:color="auto"/>
      </w:divBdr>
    </w:div>
    <w:div w:id="1262032691">
      <w:bodyDiv w:val="1"/>
      <w:marLeft w:val="0"/>
      <w:marRight w:val="0"/>
      <w:marTop w:val="0"/>
      <w:marBottom w:val="0"/>
      <w:divBdr>
        <w:top w:val="none" w:sz="0" w:space="0" w:color="auto"/>
        <w:left w:val="none" w:sz="0" w:space="0" w:color="auto"/>
        <w:bottom w:val="none" w:sz="0" w:space="0" w:color="auto"/>
        <w:right w:val="none" w:sz="0" w:space="0" w:color="auto"/>
      </w:divBdr>
    </w:div>
    <w:div w:id="1285771245">
      <w:bodyDiv w:val="1"/>
      <w:marLeft w:val="0"/>
      <w:marRight w:val="0"/>
      <w:marTop w:val="0"/>
      <w:marBottom w:val="0"/>
      <w:divBdr>
        <w:top w:val="none" w:sz="0" w:space="0" w:color="auto"/>
        <w:left w:val="none" w:sz="0" w:space="0" w:color="auto"/>
        <w:bottom w:val="none" w:sz="0" w:space="0" w:color="auto"/>
        <w:right w:val="none" w:sz="0" w:space="0" w:color="auto"/>
      </w:divBdr>
    </w:div>
    <w:div w:id="1406730690">
      <w:bodyDiv w:val="1"/>
      <w:marLeft w:val="0"/>
      <w:marRight w:val="0"/>
      <w:marTop w:val="0"/>
      <w:marBottom w:val="0"/>
      <w:divBdr>
        <w:top w:val="none" w:sz="0" w:space="0" w:color="auto"/>
        <w:left w:val="none" w:sz="0" w:space="0" w:color="auto"/>
        <w:bottom w:val="none" w:sz="0" w:space="0" w:color="auto"/>
        <w:right w:val="none" w:sz="0" w:space="0" w:color="auto"/>
      </w:divBdr>
    </w:div>
    <w:div w:id="1477718773">
      <w:bodyDiv w:val="1"/>
      <w:marLeft w:val="0"/>
      <w:marRight w:val="0"/>
      <w:marTop w:val="0"/>
      <w:marBottom w:val="0"/>
      <w:divBdr>
        <w:top w:val="none" w:sz="0" w:space="0" w:color="auto"/>
        <w:left w:val="none" w:sz="0" w:space="0" w:color="auto"/>
        <w:bottom w:val="none" w:sz="0" w:space="0" w:color="auto"/>
        <w:right w:val="none" w:sz="0" w:space="0" w:color="auto"/>
      </w:divBdr>
    </w:div>
    <w:div w:id="1533228125">
      <w:bodyDiv w:val="1"/>
      <w:marLeft w:val="0"/>
      <w:marRight w:val="0"/>
      <w:marTop w:val="0"/>
      <w:marBottom w:val="0"/>
      <w:divBdr>
        <w:top w:val="none" w:sz="0" w:space="0" w:color="auto"/>
        <w:left w:val="none" w:sz="0" w:space="0" w:color="auto"/>
        <w:bottom w:val="none" w:sz="0" w:space="0" w:color="auto"/>
        <w:right w:val="none" w:sz="0" w:space="0" w:color="auto"/>
      </w:divBdr>
    </w:div>
    <w:div w:id="1554386915">
      <w:bodyDiv w:val="1"/>
      <w:marLeft w:val="0"/>
      <w:marRight w:val="0"/>
      <w:marTop w:val="0"/>
      <w:marBottom w:val="0"/>
      <w:divBdr>
        <w:top w:val="none" w:sz="0" w:space="0" w:color="auto"/>
        <w:left w:val="none" w:sz="0" w:space="0" w:color="auto"/>
        <w:bottom w:val="none" w:sz="0" w:space="0" w:color="auto"/>
        <w:right w:val="none" w:sz="0" w:space="0" w:color="auto"/>
      </w:divBdr>
    </w:div>
    <w:div w:id="1560356808">
      <w:bodyDiv w:val="1"/>
      <w:marLeft w:val="0"/>
      <w:marRight w:val="0"/>
      <w:marTop w:val="0"/>
      <w:marBottom w:val="0"/>
      <w:divBdr>
        <w:top w:val="none" w:sz="0" w:space="0" w:color="auto"/>
        <w:left w:val="none" w:sz="0" w:space="0" w:color="auto"/>
        <w:bottom w:val="none" w:sz="0" w:space="0" w:color="auto"/>
        <w:right w:val="none" w:sz="0" w:space="0" w:color="auto"/>
      </w:divBdr>
    </w:div>
    <w:div w:id="1569341671">
      <w:bodyDiv w:val="1"/>
      <w:marLeft w:val="0"/>
      <w:marRight w:val="0"/>
      <w:marTop w:val="0"/>
      <w:marBottom w:val="0"/>
      <w:divBdr>
        <w:top w:val="none" w:sz="0" w:space="0" w:color="auto"/>
        <w:left w:val="none" w:sz="0" w:space="0" w:color="auto"/>
        <w:bottom w:val="none" w:sz="0" w:space="0" w:color="auto"/>
        <w:right w:val="none" w:sz="0" w:space="0" w:color="auto"/>
      </w:divBdr>
    </w:div>
    <w:div w:id="1609577801">
      <w:bodyDiv w:val="1"/>
      <w:marLeft w:val="0"/>
      <w:marRight w:val="0"/>
      <w:marTop w:val="0"/>
      <w:marBottom w:val="0"/>
      <w:divBdr>
        <w:top w:val="none" w:sz="0" w:space="0" w:color="auto"/>
        <w:left w:val="none" w:sz="0" w:space="0" w:color="auto"/>
        <w:bottom w:val="none" w:sz="0" w:space="0" w:color="auto"/>
        <w:right w:val="none" w:sz="0" w:space="0" w:color="auto"/>
      </w:divBdr>
    </w:div>
    <w:div w:id="1618684992">
      <w:bodyDiv w:val="1"/>
      <w:marLeft w:val="0"/>
      <w:marRight w:val="0"/>
      <w:marTop w:val="0"/>
      <w:marBottom w:val="0"/>
      <w:divBdr>
        <w:top w:val="none" w:sz="0" w:space="0" w:color="auto"/>
        <w:left w:val="none" w:sz="0" w:space="0" w:color="auto"/>
        <w:bottom w:val="none" w:sz="0" w:space="0" w:color="auto"/>
        <w:right w:val="none" w:sz="0" w:space="0" w:color="auto"/>
      </w:divBdr>
    </w:div>
    <w:div w:id="1660383904">
      <w:bodyDiv w:val="1"/>
      <w:marLeft w:val="0"/>
      <w:marRight w:val="0"/>
      <w:marTop w:val="0"/>
      <w:marBottom w:val="0"/>
      <w:divBdr>
        <w:top w:val="none" w:sz="0" w:space="0" w:color="auto"/>
        <w:left w:val="none" w:sz="0" w:space="0" w:color="auto"/>
        <w:bottom w:val="none" w:sz="0" w:space="0" w:color="auto"/>
        <w:right w:val="none" w:sz="0" w:space="0" w:color="auto"/>
      </w:divBdr>
    </w:div>
    <w:div w:id="1677805389">
      <w:bodyDiv w:val="1"/>
      <w:marLeft w:val="0"/>
      <w:marRight w:val="0"/>
      <w:marTop w:val="0"/>
      <w:marBottom w:val="0"/>
      <w:divBdr>
        <w:top w:val="none" w:sz="0" w:space="0" w:color="auto"/>
        <w:left w:val="none" w:sz="0" w:space="0" w:color="auto"/>
        <w:bottom w:val="none" w:sz="0" w:space="0" w:color="auto"/>
        <w:right w:val="none" w:sz="0" w:space="0" w:color="auto"/>
      </w:divBdr>
    </w:div>
    <w:div w:id="1723283364">
      <w:bodyDiv w:val="1"/>
      <w:marLeft w:val="0"/>
      <w:marRight w:val="0"/>
      <w:marTop w:val="0"/>
      <w:marBottom w:val="0"/>
      <w:divBdr>
        <w:top w:val="none" w:sz="0" w:space="0" w:color="auto"/>
        <w:left w:val="none" w:sz="0" w:space="0" w:color="auto"/>
        <w:bottom w:val="none" w:sz="0" w:space="0" w:color="auto"/>
        <w:right w:val="none" w:sz="0" w:space="0" w:color="auto"/>
      </w:divBdr>
    </w:div>
    <w:div w:id="1761027994">
      <w:bodyDiv w:val="1"/>
      <w:marLeft w:val="0"/>
      <w:marRight w:val="0"/>
      <w:marTop w:val="0"/>
      <w:marBottom w:val="0"/>
      <w:divBdr>
        <w:top w:val="none" w:sz="0" w:space="0" w:color="auto"/>
        <w:left w:val="none" w:sz="0" w:space="0" w:color="auto"/>
        <w:bottom w:val="none" w:sz="0" w:space="0" w:color="auto"/>
        <w:right w:val="none" w:sz="0" w:space="0" w:color="auto"/>
      </w:divBdr>
    </w:div>
    <w:div w:id="1782870174">
      <w:bodyDiv w:val="1"/>
      <w:marLeft w:val="0"/>
      <w:marRight w:val="0"/>
      <w:marTop w:val="0"/>
      <w:marBottom w:val="0"/>
      <w:divBdr>
        <w:top w:val="none" w:sz="0" w:space="0" w:color="auto"/>
        <w:left w:val="none" w:sz="0" w:space="0" w:color="auto"/>
        <w:bottom w:val="none" w:sz="0" w:space="0" w:color="auto"/>
        <w:right w:val="none" w:sz="0" w:space="0" w:color="auto"/>
      </w:divBdr>
    </w:div>
    <w:div w:id="1840339871">
      <w:bodyDiv w:val="1"/>
      <w:marLeft w:val="0"/>
      <w:marRight w:val="0"/>
      <w:marTop w:val="0"/>
      <w:marBottom w:val="0"/>
      <w:divBdr>
        <w:top w:val="none" w:sz="0" w:space="0" w:color="auto"/>
        <w:left w:val="none" w:sz="0" w:space="0" w:color="auto"/>
        <w:bottom w:val="none" w:sz="0" w:space="0" w:color="auto"/>
        <w:right w:val="none" w:sz="0" w:space="0" w:color="auto"/>
      </w:divBdr>
    </w:div>
    <w:div w:id="1846165114">
      <w:bodyDiv w:val="1"/>
      <w:marLeft w:val="0"/>
      <w:marRight w:val="0"/>
      <w:marTop w:val="0"/>
      <w:marBottom w:val="0"/>
      <w:divBdr>
        <w:top w:val="none" w:sz="0" w:space="0" w:color="auto"/>
        <w:left w:val="none" w:sz="0" w:space="0" w:color="auto"/>
        <w:bottom w:val="none" w:sz="0" w:space="0" w:color="auto"/>
        <w:right w:val="none" w:sz="0" w:space="0" w:color="auto"/>
      </w:divBdr>
    </w:div>
    <w:div w:id="1857425988">
      <w:bodyDiv w:val="1"/>
      <w:marLeft w:val="0"/>
      <w:marRight w:val="0"/>
      <w:marTop w:val="0"/>
      <w:marBottom w:val="0"/>
      <w:divBdr>
        <w:top w:val="none" w:sz="0" w:space="0" w:color="auto"/>
        <w:left w:val="none" w:sz="0" w:space="0" w:color="auto"/>
        <w:bottom w:val="none" w:sz="0" w:space="0" w:color="auto"/>
        <w:right w:val="none" w:sz="0" w:space="0" w:color="auto"/>
      </w:divBdr>
    </w:div>
    <w:div w:id="1961523852">
      <w:bodyDiv w:val="1"/>
      <w:marLeft w:val="0"/>
      <w:marRight w:val="0"/>
      <w:marTop w:val="0"/>
      <w:marBottom w:val="0"/>
      <w:divBdr>
        <w:top w:val="none" w:sz="0" w:space="0" w:color="auto"/>
        <w:left w:val="none" w:sz="0" w:space="0" w:color="auto"/>
        <w:bottom w:val="none" w:sz="0" w:space="0" w:color="auto"/>
        <w:right w:val="none" w:sz="0" w:space="0" w:color="auto"/>
      </w:divBdr>
    </w:div>
    <w:div w:id="2010860900">
      <w:bodyDiv w:val="1"/>
      <w:marLeft w:val="0"/>
      <w:marRight w:val="0"/>
      <w:marTop w:val="0"/>
      <w:marBottom w:val="0"/>
      <w:divBdr>
        <w:top w:val="none" w:sz="0" w:space="0" w:color="auto"/>
        <w:left w:val="none" w:sz="0" w:space="0" w:color="auto"/>
        <w:bottom w:val="none" w:sz="0" w:space="0" w:color="auto"/>
        <w:right w:val="none" w:sz="0" w:space="0" w:color="auto"/>
      </w:divBdr>
    </w:div>
    <w:div w:id="2013877834">
      <w:bodyDiv w:val="1"/>
      <w:marLeft w:val="0"/>
      <w:marRight w:val="0"/>
      <w:marTop w:val="0"/>
      <w:marBottom w:val="0"/>
      <w:divBdr>
        <w:top w:val="none" w:sz="0" w:space="0" w:color="auto"/>
        <w:left w:val="none" w:sz="0" w:space="0" w:color="auto"/>
        <w:bottom w:val="none" w:sz="0" w:space="0" w:color="auto"/>
        <w:right w:val="none" w:sz="0" w:space="0" w:color="auto"/>
      </w:divBdr>
    </w:div>
    <w:div w:id="2017734144">
      <w:bodyDiv w:val="1"/>
      <w:marLeft w:val="0"/>
      <w:marRight w:val="0"/>
      <w:marTop w:val="0"/>
      <w:marBottom w:val="0"/>
      <w:divBdr>
        <w:top w:val="none" w:sz="0" w:space="0" w:color="auto"/>
        <w:left w:val="none" w:sz="0" w:space="0" w:color="auto"/>
        <w:bottom w:val="none" w:sz="0" w:space="0" w:color="auto"/>
        <w:right w:val="none" w:sz="0" w:space="0" w:color="auto"/>
      </w:divBdr>
    </w:div>
    <w:div w:id="2041658213">
      <w:bodyDiv w:val="1"/>
      <w:marLeft w:val="0"/>
      <w:marRight w:val="0"/>
      <w:marTop w:val="0"/>
      <w:marBottom w:val="0"/>
      <w:divBdr>
        <w:top w:val="none" w:sz="0" w:space="0" w:color="auto"/>
        <w:left w:val="none" w:sz="0" w:space="0" w:color="auto"/>
        <w:bottom w:val="none" w:sz="0" w:space="0" w:color="auto"/>
        <w:right w:val="none" w:sz="0" w:space="0" w:color="auto"/>
      </w:divBdr>
    </w:div>
    <w:div w:id="20662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adda.icm.edu.pl/baztech/element/bwmeta1.element.baztech-4b1ee53a-66b0-4c70-b690-586b75df3130?q=bwmeta1.element.baztech-e4e5bf64-36d2-4aa1-89eb-e3ecf72cf9ba;26&amp;qt=CHILDREN-STATEL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uStYSs\Documents\SZKO&#321;A%20PWR\ZIP\PRACA%20INZ\do%20pracy%20morfolog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uStYSs\Documents\SZKO&#321;A%20PWR\ZIP\PRACA%20INZ\do%20pracy%20morfolog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StYSs\Documents\SZKO&#321;A%20PWR\ZIP\PRACA%20INZ\do%20pracy%20morfolog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4129588748932754E-2"/>
          <c:y val="3.0225392881047215E-2"/>
          <c:w val="0.88865578475136009"/>
          <c:h val="0.86495661867458717"/>
        </c:manualLayout>
      </c:layout>
      <c:barChart>
        <c:barDir val="col"/>
        <c:grouping val="clustered"/>
        <c:varyColors val="0"/>
        <c:ser>
          <c:idx val="0"/>
          <c:order val="0"/>
          <c:tx>
            <c:strRef>
              <c:f>Arkusz1!$A$4</c:f>
              <c:strCache>
                <c:ptCount val="1"/>
                <c:pt idx="0">
                  <c:v>ile na glowe</c:v>
                </c:pt>
              </c:strCache>
            </c:strRef>
          </c:tx>
          <c:invertIfNegative val="0"/>
          <c:dLbls>
            <c:dLbl>
              <c:idx val="0"/>
              <c:layout>
                <c:manualLayout>
                  <c:x val="0"/>
                  <c:y val="-2.554184481073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B9-45F0-B2BF-43141FBF43B2}"/>
                </c:ext>
              </c:extLst>
            </c:dLbl>
            <c:dLbl>
              <c:idx val="3"/>
              <c:layout>
                <c:manualLayout>
                  <c:x val="0"/>
                  <c:y val="9.02385673241884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3C-47D4-81F6-2F071B54722F}"/>
                </c:ext>
              </c:extLst>
            </c:dLbl>
            <c:dLbl>
              <c:idx val="4"/>
              <c:layout>
                <c:manualLayout>
                  <c:x val="0"/>
                  <c:y val="1.9970434434753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B9-45F0-B2BF-43141FBF43B2}"/>
                </c:ext>
              </c:extLst>
            </c:dLbl>
            <c:dLbl>
              <c:idx val="5"/>
              <c:layout>
                <c:manualLayout>
                  <c:x val="0"/>
                  <c:y val="-9.59462700887503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EF-40C9-824C-81F7915DAE3D}"/>
                </c:ext>
              </c:extLst>
            </c:dLbl>
            <c:dLbl>
              <c:idx val="8"/>
              <c:layout>
                <c:manualLayout>
                  <c:x val="0"/>
                  <c:y val="1.804771346483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3C-47D4-81F6-2F071B54722F}"/>
                </c:ext>
              </c:extLst>
            </c:dLbl>
            <c:dLbl>
              <c:idx val="9"/>
              <c:layout>
                <c:manualLayout>
                  <c:x val="0"/>
                  <c:y val="9.02385673241884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3C-47D4-81F6-2F071B54722F}"/>
                </c:ext>
              </c:extLst>
            </c:dLbl>
            <c:dLbl>
              <c:idx val="12"/>
              <c:layout>
                <c:manualLayout>
                  <c:x val="-1.0843188849651805E-16"/>
                  <c:y val="4.79731350443751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EF-40C9-824C-81F7915DAE3D}"/>
                </c:ext>
              </c:extLst>
            </c:dLbl>
            <c:numFmt formatCode="0" sourceLinked="0"/>
            <c:spPr>
              <a:noFill/>
              <a:ln>
                <a:noFill/>
              </a:ln>
              <a:effectLst/>
            </c:sp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15:showLeaderLines val="0"/>
              </c:ext>
            </c:extLst>
          </c:dLbls>
          <c:cat>
            <c:numRef>
              <c:f>Arkusz1!$B$1:$O$1</c:f>
              <c:numCache>
                <c:formatCode>General</c:formatCode>
                <c:ptCount val="14"/>
                <c:pt idx="0">
                  <c:v>1998</c:v>
                </c:pt>
                <c:pt idx="1">
                  <c:v>1999</c:v>
                </c:pt>
                <c:pt idx="2">
                  <c:v>2000</c:v>
                </c:pt>
                <c:pt idx="3">
                  <c:v>2001</c:v>
                </c:pt>
                <c:pt idx="4">
                  <c:v>2002</c:v>
                </c:pt>
                <c:pt idx="5">
                  <c:v>2003</c:v>
                </c:pt>
                <c:pt idx="6">
                  <c:v>2005</c:v>
                </c:pt>
                <c:pt idx="7">
                  <c:v>2006</c:v>
                </c:pt>
                <c:pt idx="8">
                  <c:v>2007</c:v>
                </c:pt>
                <c:pt idx="9">
                  <c:v>2009</c:v>
                </c:pt>
                <c:pt idx="10">
                  <c:v>2010</c:v>
                </c:pt>
                <c:pt idx="11">
                  <c:v>2011</c:v>
                </c:pt>
                <c:pt idx="12">
                  <c:v>2012</c:v>
                </c:pt>
                <c:pt idx="13">
                  <c:v>2013</c:v>
                </c:pt>
              </c:numCache>
            </c:numRef>
          </c:cat>
          <c:val>
            <c:numRef>
              <c:f>Arkusz1!$B$4:$O$4</c:f>
              <c:numCache>
                <c:formatCode>General</c:formatCode>
                <c:ptCount val="14"/>
                <c:pt idx="0">
                  <c:v>857.89631836933995</c:v>
                </c:pt>
                <c:pt idx="1">
                  <c:v>885.22861375448792</c:v>
                </c:pt>
                <c:pt idx="2">
                  <c:v>783.62920666531829</c:v>
                </c:pt>
                <c:pt idx="3">
                  <c:v>327.72193292998799</c:v>
                </c:pt>
                <c:pt idx="4">
                  <c:v>349.47300363720399</c:v>
                </c:pt>
                <c:pt idx="5">
                  <c:v>371.94244266272432</c:v>
                </c:pt>
                <c:pt idx="6">
                  <c:v>586.58219291143621</c:v>
                </c:pt>
                <c:pt idx="7">
                  <c:v>487.60861352474615</c:v>
                </c:pt>
                <c:pt idx="8">
                  <c:v>428.21515892420359</c:v>
                </c:pt>
                <c:pt idx="9">
                  <c:v>416.10616221687923</c:v>
                </c:pt>
                <c:pt idx="10">
                  <c:v>377.78734355563364</c:v>
                </c:pt>
                <c:pt idx="11">
                  <c:v>384.85733043865753</c:v>
                </c:pt>
                <c:pt idx="12">
                  <c:v>423.35031209562595</c:v>
                </c:pt>
                <c:pt idx="13">
                  <c:v>580.38329507669835</c:v>
                </c:pt>
              </c:numCache>
            </c:numRef>
          </c:val>
          <c:extLst>
            <c:ext xmlns:c16="http://schemas.microsoft.com/office/drawing/2014/chart" uri="{C3380CC4-5D6E-409C-BE32-E72D297353CC}">
              <c16:uniqueId val="{00000002-B7B9-45F0-B2BF-43141FBF43B2}"/>
            </c:ext>
          </c:extLst>
        </c:ser>
        <c:dLbls>
          <c:showLegendKey val="0"/>
          <c:showVal val="1"/>
          <c:showCatName val="0"/>
          <c:showSerName val="0"/>
          <c:showPercent val="0"/>
          <c:showBubbleSize val="0"/>
        </c:dLbls>
        <c:gapWidth val="150"/>
        <c:axId val="39175296"/>
        <c:axId val="39176832"/>
      </c:barChart>
      <c:catAx>
        <c:axId val="39175296"/>
        <c:scaling>
          <c:orientation val="minMax"/>
        </c:scaling>
        <c:delete val="0"/>
        <c:axPos val="b"/>
        <c:majorGridlines/>
        <c:numFmt formatCode="General" sourceLinked="1"/>
        <c:majorTickMark val="out"/>
        <c:minorTickMark val="none"/>
        <c:tickLblPos val="nextTo"/>
        <c:crossAx val="39176832"/>
        <c:crosses val="autoZero"/>
        <c:auto val="1"/>
        <c:lblAlgn val="ctr"/>
        <c:lblOffset val="100"/>
        <c:noMultiLvlLbl val="0"/>
      </c:catAx>
      <c:valAx>
        <c:axId val="39176832"/>
        <c:scaling>
          <c:orientation val="minMax"/>
        </c:scaling>
        <c:delete val="0"/>
        <c:axPos val="l"/>
        <c:majorGridlines/>
        <c:numFmt formatCode="General" sourceLinked="1"/>
        <c:majorTickMark val="out"/>
        <c:minorTickMark val="none"/>
        <c:tickLblPos val="nextTo"/>
        <c:txPr>
          <a:bodyPr/>
          <a:lstStyle/>
          <a:p>
            <a:pPr>
              <a:defRPr sz="800"/>
            </a:pPr>
            <a:endParaRPr lang="pl-PL"/>
          </a:p>
        </c:txPr>
        <c:crossAx val="39175296"/>
        <c:crosses val="autoZero"/>
        <c:crossBetween val="between"/>
      </c:valAx>
    </c:plotArea>
    <c:plotVisOnly val="1"/>
    <c:dispBlanksAs val="gap"/>
    <c:showDLblsOverMax val="0"/>
  </c:chart>
  <c:spPr>
    <a:solidFill>
      <a:schemeClr val="lt1"/>
    </a:solidFill>
    <a:ln w="9525" cap="flat" cmpd="sng" algn="ctr">
      <a:solidFill>
        <a:schemeClr val="tx1"/>
      </a:solidFill>
      <a:prstDash val="solid"/>
      <a:miter lim="800000"/>
    </a:ln>
    <a:effectLst/>
  </c:spPr>
  <c:txPr>
    <a:bodyPr/>
    <a:lstStyle/>
    <a:p>
      <a:pPr>
        <a:defRPr sz="800">
          <a:solidFill>
            <a:schemeClr val="dk1"/>
          </a:solidFill>
          <a:latin typeface="+mn-lt"/>
          <a:ea typeface="+mn-ea"/>
          <a:cs typeface="+mn-cs"/>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Skład odpadów</c:v>
          </c:tx>
          <c:dPt>
            <c:idx val="0"/>
            <c:bubble3D val="0"/>
            <c:spPr>
              <a:solidFill>
                <a:srgbClr val="00B0F0"/>
              </a:solidFill>
            </c:spPr>
            <c:extLst>
              <c:ext xmlns:c16="http://schemas.microsoft.com/office/drawing/2014/chart" uri="{C3380CC4-5D6E-409C-BE32-E72D297353CC}">
                <c16:uniqueId val="{00000001-2DE4-423E-9607-14EA961C40EA}"/>
              </c:ext>
            </c:extLst>
          </c:dPt>
          <c:dPt>
            <c:idx val="1"/>
            <c:bubble3D val="0"/>
            <c:spPr>
              <a:solidFill>
                <a:srgbClr val="FF0000"/>
              </a:solidFill>
            </c:spPr>
            <c:extLst>
              <c:ext xmlns:c16="http://schemas.microsoft.com/office/drawing/2014/chart" uri="{C3380CC4-5D6E-409C-BE32-E72D297353CC}">
                <c16:uniqueId val="{00000003-2DE4-423E-9607-14EA961C40EA}"/>
              </c:ext>
            </c:extLst>
          </c:dPt>
          <c:dPt>
            <c:idx val="3"/>
            <c:bubble3D val="0"/>
            <c:spPr>
              <a:solidFill>
                <a:srgbClr val="FFFF00"/>
              </a:solidFill>
            </c:spPr>
            <c:extLst>
              <c:ext xmlns:c16="http://schemas.microsoft.com/office/drawing/2014/chart" uri="{C3380CC4-5D6E-409C-BE32-E72D297353CC}">
                <c16:uniqueId val="{00000005-2DE4-423E-9607-14EA961C40EA}"/>
              </c:ext>
            </c:extLst>
          </c:dPt>
          <c:dPt>
            <c:idx val="5"/>
            <c:bubble3D val="0"/>
            <c:spPr>
              <a:solidFill>
                <a:srgbClr val="00B050"/>
              </a:solidFill>
            </c:spPr>
            <c:extLst>
              <c:ext xmlns:c16="http://schemas.microsoft.com/office/drawing/2014/chart" uri="{C3380CC4-5D6E-409C-BE32-E72D297353CC}">
                <c16:uniqueId val="{00000007-2DE4-423E-9607-14EA961C40EA}"/>
              </c:ext>
            </c:extLst>
          </c:dPt>
          <c:dPt>
            <c:idx val="6"/>
            <c:bubble3D val="0"/>
            <c:spPr>
              <a:solidFill>
                <a:schemeClr val="accent4">
                  <a:lumMod val="40000"/>
                  <a:lumOff val="60000"/>
                </a:schemeClr>
              </a:solidFill>
            </c:spPr>
            <c:extLst>
              <c:ext xmlns:c16="http://schemas.microsoft.com/office/drawing/2014/chart" uri="{C3380CC4-5D6E-409C-BE32-E72D297353CC}">
                <c16:uniqueId val="{00000009-2DE4-423E-9607-14EA961C40EA}"/>
              </c:ext>
            </c:extLst>
          </c:dPt>
          <c:dPt>
            <c:idx val="7"/>
            <c:bubble3D val="0"/>
            <c:spPr>
              <a:solidFill>
                <a:srgbClr val="FF3399"/>
              </a:solidFill>
            </c:spPr>
            <c:extLst>
              <c:ext xmlns:c16="http://schemas.microsoft.com/office/drawing/2014/chart" uri="{C3380CC4-5D6E-409C-BE32-E72D297353CC}">
                <c16:uniqueId val="{0000000B-2DE4-423E-9607-14EA961C40EA}"/>
              </c:ext>
            </c:extLst>
          </c:dPt>
          <c:dLbls>
            <c:dLbl>
              <c:idx val="0"/>
              <c:tx>
                <c:rich>
                  <a:bodyPr/>
                  <a:lstStyle/>
                  <a:p>
                    <a:r>
                      <a:rPr lang="en-US" baseline="0"/>
                      <a:t>paper 
</a:t>
                    </a:r>
                    <a:fld id="{8FD30117-BA93-422B-85F9-9EBC032FE062}"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DE4-423E-9607-14EA961C40EA}"/>
                </c:ext>
              </c:extLst>
            </c:dLbl>
            <c:dLbl>
              <c:idx val="1"/>
              <c:layout>
                <c:manualLayout>
                  <c:x val="-0.19196758192111238"/>
                  <c:y val="6.3501479276221212E-2"/>
                </c:manualLayout>
              </c:layout>
              <c:tx>
                <c:rich>
                  <a:bodyPr/>
                  <a:lstStyle/>
                  <a:p>
                    <a:r>
                      <a:rPr lang="en-US" baseline="0"/>
                      <a:t>Plastics
</a:t>
                    </a:r>
                    <a:fld id="{51AE9ABD-C863-4149-B7F6-4522F870CF90}"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DE4-423E-9607-14EA961C40EA}"/>
                </c:ext>
              </c:extLst>
            </c:dLbl>
            <c:dLbl>
              <c:idx val="2"/>
              <c:tx>
                <c:rich>
                  <a:bodyPr/>
                  <a:lstStyle/>
                  <a:p>
                    <a:r>
                      <a:rPr lang="en-US" baseline="0"/>
                      <a:t>textiles
</a:t>
                    </a:r>
                    <a:fld id="{B7D8FE33-20ED-41AC-8475-E7AAB2DA650A}"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DE4-423E-9607-14EA961C40EA}"/>
                </c:ext>
              </c:extLst>
            </c:dLbl>
            <c:dLbl>
              <c:idx val="3"/>
              <c:tx>
                <c:rich>
                  <a:bodyPr/>
                  <a:lstStyle/>
                  <a:p>
                    <a:r>
                      <a:rPr lang="en-US" baseline="0"/>
                      <a:t>metals
</a:t>
                    </a:r>
                    <a:fld id="{D1B5DC13-21DC-422A-B9D4-152AABF545C6}"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DE4-423E-9607-14EA961C40EA}"/>
                </c:ext>
              </c:extLst>
            </c:dLbl>
            <c:dLbl>
              <c:idx val="4"/>
              <c:tx>
                <c:rich>
                  <a:bodyPr/>
                  <a:lstStyle/>
                  <a:p>
                    <a:r>
                      <a:rPr lang="en-US" baseline="0"/>
                      <a:t>glass
</a:t>
                    </a:r>
                    <a:fld id="{184B43E5-C5C8-4793-87AA-54FC6511412C}"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2DE4-423E-9607-14EA961C40EA}"/>
                </c:ext>
              </c:extLst>
            </c:dLbl>
            <c:dLbl>
              <c:idx val="5"/>
              <c:layout>
                <c:manualLayout>
                  <c:x val="0.19203765512917442"/>
                  <c:y val="-0.20346456692913389"/>
                </c:manualLayout>
              </c:layout>
              <c:tx>
                <c:rich>
                  <a:bodyPr/>
                  <a:lstStyle/>
                  <a:p>
                    <a:r>
                      <a:rPr lang="en-US" baseline="0"/>
                      <a:t>biodegradable
</a:t>
                    </a:r>
                    <a:fld id="{B36F5DBC-C833-4FBC-A508-ACD4225D0215}"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2552693208430911"/>
                      <c:h val="0.18727915194346292"/>
                    </c:manualLayout>
                  </c15:layout>
                  <c15:dlblFieldTable/>
                  <c15:showDataLabelsRange val="0"/>
                </c:ext>
                <c:ext xmlns:c16="http://schemas.microsoft.com/office/drawing/2014/chart" uri="{C3380CC4-5D6E-409C-BE32-E72D297353CC}">
                  <c16:uniqueId val="{00000007-2DE4-423E-9607-14EA961C40EA}"/>
                </c:ext>
              </c:extLst>
            </c:dLbl>
            <c:dLbl>
              <c:idx val="6"/>
              <c:layout>
                <c:manualLayout>
                  <c:x val="-7.0257611241217821E-2"/>
                  <c:y val="0.17379037867616376"/>
                </c:manualLayout>
              </c:layout>
              <c:tx>
                <c:rich>
                  <a:bodyPr/>
                  <a:lstStyle/>
                  <a:p>
                    <a:r>
                      <a:rPr lang="en-US" baseline="0"/>
                      <a:t>other mineral 
</a:t>
                    </a:r>
                    <a:fld id="{6D534572-8380-4B19-A5F5-9D1C2F782556}"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536299765807964"/>
                      <c:h val="0.18727915194346292"/>
                    </c:manualLayout>
                  </c15:layout>
                  <c15:dlblFieldTable/>
                  <c15:showDataLabelsRange val="0"/>
                </c:ext>
                <c:ext xmlns:c16="http://schemas.microsoft.com/office/drawing/2014/chart" uri="{C3380CC4-5D6E-409C-BE32-E72D297353CC}">
                  <c16:uniqueId val="{00000009-2DE4-423E-9607-14EA961C40EA}"/>
                </c:ext>
              </c:extLst>
            </c:dLbl>
            <c:dLbl>
              <c:idx val="7"/>
              <c:tx>
                <c:rich>
                  <a:bodyPr/>
                  <a:lstStyle/>
                  <a:p>
                    <a:r>
                      <a:rPr lang="en-US" baseline="0"/>
                      <a:t>other 
</a:t>
                    </a:r>
                    <a:fld id="{D9454E25-124E-4E61-8CE4-34DAE8D8442C}"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DE4-423E-9607-14EA961C40EA}"/>
                </c:ext>
              </c:extLst>
            </c:dLbl>
            <c:spPr>
              <a:noFill/>
              <a:ln>
                <a:noFill/>
              </a:ln>
              <a:effectLst/>
            </c:spPr>
            <c:showLegendKey val="0"/>
            <c:showVal val="0"/>
            <c:showCatName val="1"/>
            <c:showSerName val="0"/>
            <c:showPercent val="1"/>
            <c:showBubbleSize val="0"/>
            <c:showLeaderLines val="1"/>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Lst>
          </c:dLbls>
          <c:cat>
            <c:strRef>
              <c:f>'1992-1995'!$I$2:$I$9</c:f>
              <c:strCache>
                <c:ptCount val="8"/>
                <c:pt idx="0">
                  <c:v>papier</c:v>
                </c:pt>
                <c:pt idx="1">
                  <c:v>tworzywa sztuczne</c:v>
                </c:pt>
                <c:pt idx="2">
                  <c:v>tekstylia</c:v>
                </c:pt>
                <c:pt idx="3">
                  <c:v>metale</c:v>
                </c:pt>
                <c:pt idx="4">
                  <c:v>szkło</c:v>
                </c:pt>
                <c:pt idx="5">
                  <c:v>biorozkładalne</c:v>
                </c:pt>
                <c:pt idx="6">
                  <c:v>pozostałe mineralne</c:v>
                </c:pt>
                <c:pt idx="7">
                  <c:v>inne</c:v>
                </c:pt>
              </c:strCache>
            </c:strRef>
          </c:cat>
          <c:val>
            <c:numRef>
              <c:f>'1992-1995'!$H$2:$H$9</c:f>
              <c:numCache>
                <c:formatCode>0.0</c:formatCode>
                <c:ptCount val="8"/>
                <c:pt idx="0">
                  <c:v>13.4</c:v>
                </c:pt>
                <c:pt idx="1">
                  <c:v>13.4</c:v>
                </c:pt>
                <c:pt idx="2">
                  <c:v>6.9</c:v>
                </c:pt>
                <c:pt idx="3">
                  <c:v>4.9000000000000004</c:v>
                </c:pt>
                <c:pt idx="4">
                  <c:v>4.9000000000000004</c:v>
                </c:pt>
                <c:pt idx="5">
                  <c:v>38.5</c:v>
                </c:pt>
                <c:pt idx="6">
                  <c:v>16.600000000000001</c:v>
                </c:pt>
                <c:pt idx="7">
                  <c:v>1.4</c:v>
                </c:pt>
              </c:numCache>
            </c:numRef>
          </c:val>
          <c:extLst>
            <c:ext xmlns:c16="http://schemas.microsoft.com/office/drawing/2014/chart" uri="{C3380CC4-5D6E-409C-BE32-E72D297353CC}">
              <c16:uniqueId val="{0000000C-2DE4-423E-9607-14EA961C40EA}"/>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solidFill>
      <a:schemeClr val="lt1"/>
    </a:solidFill>
    <a:ln w="9525"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21211372969046"/>
          <c:y val="8.0717331148086768E-2"/>
          <c:w val="0.62940638517745229"/>
          <c:h val="0.81737390292276757"/>
        </c:manualLayout>
      </c:layout>
      <c:pieChart>
        <c:varyColors val="1"/>
        <c:ser>
          <c:idx val="1"/>
          <c:order val="0"/>
          <c:tx>
            <c:strRef>
              <c:f>'2004 - 2005'!$A$1</c:f>
              <c:strCache>
                <c:ptCount val="1"/>
                <c:pt idx="0">
                  <c:v>Frakcja </c:v>
                </c:pt>
              </c:strCache>
            </c:strRef>
          </c:tx>
          <c:dPt>
            <c:idx val="0"/>
            <c:bubble3D val="0"/>
            <c:spPr>
              <a:solidFill>
                <a:srgbClr val="00B0F0"/>
              </a:solidFill>
            </c:spPr>
            <c:extLst>
              <c:ext xmlns:c16="http://schemas.microsoft.com/office/drawing/2014/chart" uri="{C3380CC4-5D6E-409C-BE32-E72D297353CC}">
                <c16:uniqueId val="{00000001-34AB-409D-8C03-E7A65DE60AF1}"/>
              </c:ext>
            </c:extLst>
          </c:dPt>
          <c:dPt>
            <c:idx val="1"/>
            <c:bubble3D val="0"/>
            <c:spPr>
              <a:solidFill>
                <a:srgbClr val="FF3399"/>
              </a:solidFill>
            </c:spPr>
            <c:extLst>
              <c:ext xmlns:c16="http://schemas.microsoft.com/office/drawing/2014/chart" uri="{C3380CC4-5D6E-409C-BE32-E72D297353CC}">
                <c16:uniqueId val="{00000003-34AB-409D-8C03-E7A65DE60AF1}"/>
              </c:ext>
            </c:extLst>
          </c:dPt>
          <c:dPt>
            <c:idx val="3"/>
            <c:bubble3D val="0"/>
            <c:spPr>
              <a:solidFill>
                <a:srgbClr val="FFFF00"/>
              </a:solidFill>
            </c:spPr>
            <c:extLst>
              <c:ext xmlns:c16="http://schemas.microsoft.com/office/drawing/2014/chart" uri="{C3380CC4-5D6E-409C-BE32-E72D297353CC}">
                <c16:uniqueId val="{00000005-34AB-409D-8C03-E7A65DE60AF1}"/>
              </c:ext>
            </c:extLst>
          </c:dPt>
          <c:dPt>
            <c:idx val="5"/>
            <c:bubble3D val="0"/>
            <c:spPr>
              <a:solidFill>
                <a:schemeClr val="accent2">
                  <a:lumMod val="20000"/>
                  <a:lumOff val="80000"/>
                </a:schemeClr>
              </a:solidFill>
            </c:spPr>
            <c:extLst>
              <c:ext xmlns:c16="http://schemas.microsoft.com/office/drawing/2014/chart" uri="{C3380CC4-5D6E-409C-BE32-E72D297353CC}">
                <c16:uniqueId val="{00000007-34AB-409D-8C03-E7A65DE60AF1}"/>
              </c:ext>
            </c:extLst>
          </c:dPt>
          <c:dPt>
            <c:idx val="8"/>
            <c:bubble3D val="0"/>
            <c:spPr>
              <a:solidFill>
                <a:srgbClr val="FF0000"/>
              </a:solidFill>
            </c:spPr>
            <c:extLst>
              <c:ext xmlns:c16="http://schemas.microsoft.com/office/drawing/2014/chart" uri="{C3380CC4-5D6E-409C-BE32-E72D297353CC}">
                <c16:uniqueId val="{00000009-34AB-409D-8C03-E7A65DE60AF1}"/>
              </c:ext>
            </c:extLst>
          </c:dPt>
          <c:dLbls>
            <c:dLbl>
              <c:idx val="0"/>
              <c:layout>
                <c:manualLayout>
                  <c:x val="-8.5308056872037921E-2"/>
                  <c:y val="0.13185717265474267"/>
                </c:manualLayout>
              </c:layout>
              <c:tx>
                <c:rich>
                  <a:bodyPr/>
                  <a:lstStyle/>
                  <a:p>
                    <a:r>
                      <a:rPr lang="en-US" baseline="0"/>
                      <a:t>Biodegradable waste
</a:t>
                    </a:r>
                    <a:fld id="{71A0E989-2615-4C85-906E-E2E535BD40CE}"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0924170616113744"/>
                      <c:h val="0.35596026490066224"/>
                    </c:manualLayout>
                  </c15:layout>
                  <c15:dlblFieldTable/>
                  <c15:showDataLabelsRange val="0"/>
                </c:ext>
                <c:ext xmlns:c16="http://schemas.microsoft.com/office/drawing/2014/chart" uri="{C3380CC4-5D6E-409C-BE32-E72D297353CC}">
                  <c16:uniqueId val="{00000001-34AB-409D-8C03-E7A65DE60AF1}"/>
                </c:ext>
              </c:extLst>
            </c:dLbl>
            <c:dLbl>
              <c:idx val="1"/>
              <c:tx>
                <c:rich>
                  <a:bodyPr/>
                  <a:lstStyle/>
                  <a:p>
                    <a:r>
                      <a:rPr lang="en-US" sz="900" baseline="0"/>
                      <a:t>Wood
</a:t>
                    </a:r>
                    <a:fld id="{4300CAC3-A741-4814-818C-329009F4C9FE}" type="PERCENTAGE">
                      <a:rPr lang="en-US" sz="900" baseline="0"/>
                      <a:pPr/>
                      <a:t>[PROCENTOWE]</a:t>
                    </a:fld>
                    <a:endParaRPr lang="en-US" sz="9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4AB-409D-8C03-E7A65DE60AF1}"/>
                </c:ext>
              </c:extLst>
            </c:dLbl>
            <c:dLbl>
              <c:idx val="2"/>
              <c:layout>
                <c:manualLayout>
                  <c:x val="-8.3248497966190244E-2"/>
                  <c:y val="-6.8073734160713384E-2"/>
                </c:manualLayout>
              </c:layout>
              <c:tx>
                <c:rich>
                  <a:bodyPr wrap="square" lIns="38100" tIns="19050" rIns="38100" bIns="19050" anchor="ctr">
                    <a:noAutofit/>
                  </a:bodyPr>
                  <a:lstStyle/>
                  <a:p>
                    <a:pPr>
                      <a:defRPr/>
                    </a:pPr>
                    <a:r>
                      <a:rPr lang="en-US" sz="900" baseline="0"/>
                      <a:t>Paper, cardboard
</a:t>
                    </a:r>
                    <a:fld id="{F12F206D-D006-435C-A66C-71AEF96606BC}" type="PERCENTAGE">
                      <a:rPr lang="en-US" sz="900" baseline="0"/>
                      <a:pPr>
                        <a:defRPr/>
                      </a:pPr>
                      <a:t>[PROCENTOWE]</a:t>
                    </a:fld>
                    <a:endParaRPr lang="en-US" sz="9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6023696682464453"/>
                      <c:h val="0.28664459161147904"/>
                    </c:manualLayout>
                  </c15:layout>
                  <c15:dlblFieldTable/>
                  <c15:showDataLabelsRange val="0"/>
                </c:ext>
                <c:ext xmlns:c16="http://schemas.microsoft.com/office/drawing/2014/chart" uri="{C3380CC4-5D6E-409C-BE32-E72D297353CC}">
                  <c16:uniqueId val="{0000000A-ECFB-4B56-B2E3-FD4661845DE8}"/>
                </c:ext>
              </c:extLst>
            </c:dLbl>
            <c:dLbl>
              <c:idx val="3"/>
              <c:layout>
                <c:manualLayout>
                  <c:x val="0.19964436317498233"/>
                  <c:y val="-0.15452538631346591"/>
                </c:manualLayout>
              </c:layout>
              <c:tx>
                <c:rich>
                  <a:bodyPr wrap="square" lIns="38100" tIns="19050" rIns="38100" bIns="19050" anchor="ctr">
                    <a:noAutofit/>
                  </a:bodyPr>
                  <a:lstStyle/>
                  <a:p>
                    <a:pPr>
                      <a:defRPr/>
                    </a:pPr>
                    <a:r>
                      <a:rPr lang="en-US" sz="900" baseline="0"/>
                      <a:t>Plastics
</a:t>
                    </a:r>
                    <a:fld id="{8A472E2A-31EF-45FB-BB6C-FE151CA1E7A8}" type="PERCENTAGE">
                      <a:rPr lang="en-US" sz="900" baseline="0"/>
                      <a:pPr>
                        <a:defRPr/>
                      </a:pPr>
                      <a:t>[PROCENTOWE]</a:t>
                    </a:fld>
                    <a:endParaRPr lang="en-US" sz="9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33151658767772513"/>
                      <c:h val="0.18472084615250908"/>
                    </c:manualLayout>
                  </c15:layout>
                  <c15:dlblFieldTable/>
                  <c15:showDataLabelsRange val="0"/>
                </c:ext>
                <c:ext xmlns:c16="http://schemas.microsoft.com/office/drawing/2014/chart" uri="{C3380CC4-5D6E-409C-BE32-E72D297353CC}">
                  <c16:uniqueId val="{00000005-34AB-409D-8C03-E7A65DE60AF1}"/>
                </c:ext>
              </c:extLst>
            </c:dLbl>
            <c:dLbl>
              <c:idx val="5"/>
              <c:layout>
                <c:manualLayout>
                  <c:x val="0.11238086352949953"/>
                  <c:y val="0.34914220159566156"/>
                </c:manualLayout>
              </c:layout>
              <c:tx>
                <c:rich>
                  <a:bodyPr/>
                  <a:lstStyle/>
                  <a:p>
                    <a:r>
                      <a:rPr lang="en-US" sz="900" baseline="0"/>
                      <a:t>Clothes and textiles
</a:t>
                    </a:r>
                    <a:fld id="{B7EA5CB7-2D19-4937-BD31-F9E789EE15B2}" type="PERCENTAGE">
                      <a:rPr lang="en-US" sz="900" baseline="0"/>
                      <a:pPr/>
                      <a:t>[PROCENTOWE]</a:t>
                    </a:fld>
                    <a:endParaRPr lang="en-US" sz="900" baseline="0"/>
                  </a:p>
                </c:rich>
              </c:tx>
              <c:showLegendKey val="0"/>
              <c:showVal val="0"/>
              <c:showCatName val="1"/>
              <c:showSerName val="0"/>
              <c:showPercent val="1"/>
              <c:showBubbleSize val="0"/>
              <c:extLst>
                <c:ext xmlns:c15="http://schemas.microsoft.com/office/drawing/2012/chart" uri="{CE6537A1-D6FC-4f65-9D91-7224C49458BB}">
                  <c15:layout>
                    <c:manualLayout>
                      <c:w val="0.27182483113781392"/>
                      <c:h val="0.25905077262693155"/>
                    </c:manualLayout>
                  </c15:layout>
                  <c15:dlblFieldTable/>
                  <c15:showDataLabelsRange val="0"/>
                </c:ext>
                <c:ext xmlns:c16="http://schemas.microsoft.com/office/drawing/2014/chart" uri="{C3380CC4-5D6E-409C-BE32-E72D297353CC}">
                  <c16:uniqueId val="{00000007-34AB-409D-8C03-E7A65DE60AF1}"/>
                </c:ext>
              </c:extLst>
            </c:dLbl>
            <c:dLbl>
              <c:idx val="6"/>
              <c:layout>
                <c:manualLayout>
                  <c:x val="-7.8007612792476783E-2"/>
                  <c:y val="0.22877709408840458"/>
                </c:manualLayout>
              </c:layout>
              <c:tx>
                <c:rich>
                  <a:bodyPr/>
                  <a:lstStyle/>
                  <a:p>
                    <a:r>
                      <a:rPr lang="en-US" sz="900"/>
                      <a:t>Metals</a:t>
                    </a:r>
                    <a:r>
                      <a:rPr lang="en-US" sz="900" baseline="0"/>
                      <a:t>
</a:t>
                    </a:r>
                    <a:fld id="{D6B79E9E-F4A8-4D86-8C9B-73255D94A3E6}" type="PERCENTAGE">
                      <a:rPr lang="en-US" sz="900" baseline="0"/>
                      <a:pPr/>
                      <a:t>[PROCENTOWE]</a:t>
                    </a:fld>
                    <a:endParaRPr lang="en-US" sz="9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CFB-4B56-B2E3-FD4661845DE8}"/>
                </c:ext>
              </c:extLst>
            </c:dLbl>
            <c:dLbl>
              <c:idx val="7"/>
              <c:tx>
                <c:rich>
                  <a:bodyPr/>
                  <a:lstStyle/>
                  <a:p>
                    <a:r>
                      <a:rPr lang="en-US" sz="900" b="0" i="0" u="none" baseline="0"/>
                      <a:t>Hazardous waste
1%</a:t>
                    </a:r>
                  </a:p>
                </c:rich>
              </c:tx>
              <c:showLegendKey val="0"/>
              <c:showVal val="0"/>
              <c:showCatName val="1"/>
              <c:showSerName val="0"/>
              <c:showPercent val="1"/>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15:showDataLabelsRange val="0"/>
                </c:ext>
                <c:ext xmlns:c16="http://schemas.microsoft.com/office/drawing/2014/chart" uri="{C3380CC4-5D6E-409C-BE32-E72D297353CC}">
                  <c16:uniqueId val="{0000000A-34AB-409D-8C03-E7A65DE60AF1}"/>
                </c:ext>
              </c:extLst>
            </c:dLbl>
            <c:dLbl>
              <c:idx val="8"/>
              <c:layout>
                <c:manualLayout>
                  <c:x val="0"/>
                  <c:y val="-0.12162616676226735"/>
                </c:manualLayout>
              </c:layout>
              <c:tx>
                <c:rich>
                  <a:bodyPr/>
                  <a:lstStyle/>
                  <a:p>
                    <a:r>
                      <a:rPr lang="en-US" baseline="0"/>
                      <a:t>composites
</a:t>
                    </a:r>
                    <a:fld id="{4D92313B-B411-4D06-9753-C3F43904E281}" type="PERCENTAGE">
                      <a:rPr lang="en-US" baseline="0"/>
                      <a:pPr/>
                      <a:t>[PROCENTOWE]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73696682464455"/>
                      <c:h val="0.21937086092715236"/>
                    </c:manualLayout>
                  </c15:layout>
                  <c15:dlblFieldTable/>
                  <c15:showDataLabelsRange val="0"/>
                </c:ext>
                <c:ext xmlns:c16="http://schemas.microsoft.com/office/drawing/2014/chart" uri="{C3380CC4-5D6E-409C-BE32-E72D297353CC}">
                  <c16:uniqueId val="{00000009-34AB-409D-8C03-E7A65DE60AF1}"/>
                </c:ext>
              </c:extLst>
            </c:dLbl>
            <c:dLbl>
              <c:idx val="9"/>
              <c:layout>
                <c:manualLayout>
                  <c:x val="0.18483412322274878"/>
                  <c:y val="-6.9623768055483135E-2"/>
                </c:manualLayout>
              </c:layout>
              <c:tx>
                <c:rich>
                  <a:bodyPr/>
                  <a:lstStyle/>
                  <a:p>
                    <a:r>
                      <a:rPr lang="en-US" sz="900" baseline="0"/>
                      <a:t>Inert waste
</a:t>
                    </a:r>
                    <a:fld id="{0B4E167D-A5BA-4C0D-8D3E-2537731EBF99}" type="PERCENTAGE">
                      <a:rPr lang="en-US" sz="900" baseline="0"/>
                      <a:pPr/>
                      <a:t>[PROCENTOWE]</a:t>
                    </a:fld>
                    <a:endParaRPr lang="en-US" sz="900" baseline="0"/>
                  </a:p>
                </c:rich>
              </c:tx>
              <c:showLegendKey val="0"/>
              <c:showVal val="0"/>
              <c:showCatName val="1"/>
              <c:showSerName val="0"/>
              <c:showPercent val="1"/>
              <c:showBubbleSize val="0"/>
              <c:extLst>
                <c:ext xmlns:c15="http://schemas.microsoft.com/office/drawing/2012/chart" uri="{CE6537A1-D6FC-4f65-9D91-7224C49458BB}">
                  <c15:layout>
                    <c:manualLayout>
                      <c:w val="0.36848341232227488"/>
                      <c:h val="0.28559602649006621"/>
                    </c:manualLayout>
                  </c15:layout>
                  <c15:dlblFieldTable/>
                  <c15:showDataLabelsRange val="0"/>
                </c:ext>
                <c:ext xmlns:c16="http://schemas.microsoft.com/office/drawing/2014/chart" uri="{C3380CC4-5D6E-409C-BE32-E72D297353CC}">
                  <c16:uniqueId val="{0000000D-34AB-409D-8C03-E7A65DE60AF1}"/>
                </c:ext>
              </c:extLst>
            </c:dLbl>
            <c:dLbl>
              <c:idx val="10"/>
              <c:tx>
                <c:rich>
                  <a:bodyPr/>
                  <a:lstStyle/>
                  <a:p>
                    <a:r>
                      <a:rPr lang="en-US" b="0" i="0" u="none" baseline="0"/>
                      <a:t>Other
13%</a:t>
                    </a:r>
                  </a:p>
                </c:rich>
              </c:tx>
              <c:showLegendKey val="0"/>
              <c:showVal val="0"/>
              <c:showCatName val="1"/>
              <c:showSerName val="0"/>
              <c:showPercent val="1"/>
              <c:showBubbleSize val="0"/>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15:showDataLabelsRange val="0"/>
                </c:ext>
                <c:ext xmlns:c16="http://schemas.microsoft.com/office/drawing/2014/chart" uri="{C3380CC4-5D6E-409C-BE32-E72D297353CC}">
                  <c16:uniqueId val="{0000000B-34AB-409D-8C03-E7A65DE60AF1}"/>
                </c:ext>
              </c:extLst>
            </c:dLbl>
            <c:spPr>
              <a:noFill/>
              <a:ln>
                <a:noFill/>
              </a:ln>
              <a:effectLst/>
            </c:spPr>
            <c:showLegendKey val="0"/>
            <c:showVal val="0"/>
            <c:showCatName val="1"/>
            <c:showSerName val="0"/>
            <c:showPercent val="1"/>
            <c:showBubbleSize val="0"/>
            <c:showLeaderLines val="1"/>
            <c:extLst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wpc="http://schemas.microsoft.com/office/word/2010/wordprocessingCanvas">
              <c:ext xmlns:c15="http://schemas.microsoft.com/office/drawing/2012/chart" uri="{CE6537A1-D6FC-4f65-9D91-7224C49458BB}"/>
            </c:extLst>
          </c:dLbls>
          <c:cat>
            <c:strRef>
              <c:f>'2004 - 2005'!$A$2:$A$12</c:f>
              <c:strCache>
                <c:ptCount val="11"/>
                <c:pt idx="0">
                  <c:v>Odpady ulegające biodegradacji</c:v>
                </c:pt>
                <c:pt idx="1">
                  <c:v>Drewno</c:v>
                </c:pt>
                <c:pt idx="2">
                  <c:v>Papier, tektura</c:v>
                </c:pt>
                <c:pt idx="3">
                  <c:v>Tworzywa sztuczne</c:v>
                </c:pt>
                <c:pt idx="4">
                  <c:v>Szkło</c:v>
                </c:pt>
                <c:pt idx="5">
                  <c:v>Odzież i tekstylia</c:v>
                </c:pt>
                <c:pt idx="6">
                  <c:v>Metale</c:v>
                </c:pt>
                <c:pt idx="7">
                  <c:v>Odpady niebezpieczne</c:v>
                </c:pt>
                <c:pt idx="8">
                  <c:v>Kompozyty</c:v>
                </c:pt>
                <c:pt idx="9">
                  <c:v>Inertne (obojętne)</c:v>
                </c:pt>
                <c:pt idx="10">
                  <c:v>Inne</c:v>
                </c:pt>
              </c:strCache>
            </c:strRef>
          </c:cat>
          <c:val>
            <c:numRef>
              <c:f>'2004 - 2005'!$C$2:$C$12</c:f>
              <c:numCache>
                <c:formatCode>0.00</c:formatCode>
                <c:ptCount val="11"/>
                <c:pt idx="0">
                  <c:v>41.02</c:v>
                </c:pt>
                <c:pt idx="1">
                  <c:v>0.750000000000002</c:v>
                </c:pt>
                <c:pt idx="2">
                  <c:v>10.25</c:v>
                </c:pt>
                <c:pt idx="3">
                  <c:v>10.81</c:v>
                </c:pt>
                <c:pt idx="4">
                  <c:v>11</c:v>
                </c:pt>
                <c:pt idx="5">
                  <c:v>2.21</c:v>
                </c:pt>
                <c:pt idx="6">
                  <c:v>1.84</c:v>
                </c:pt>
                <c:pt idx="7">
                  <c:v>0.24000000000000021</c:v>
                </c:pt>
                <c:pt idx="8">
                  <c:v>2.57</c:v>
                </c:pt>
                <c:pt idx="9">
                  <c:v>5.53</c:v>
                </c:pt>
                <c:pt idx="10">
                  <c:v>13.78</c:v>
                </c:pt>
              </c:numCache>
            </c:numRef>
          </c:val>
          <c:extLst>
            <c:ext xmlns:c16="http://schemas.microsoft.com/office/drawing/2014/chart" uri="{C3380CC4-5D6E-409C-BE32-E72D297353CC}">
              <c16:uniqueId val="{0000000C-34AB-409D-8C03-E7A65DE60AF1}"/>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solidFill>
      <a:schemeClr val="lt1"/>
    </a:solidFill>
    <a:ln w="9525"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pl-P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F7713-A34E-4617-997B-96FFD1CCA4EC}">
  <ds:schemaRefs>
    <ds:schemaRef ds:uri="urn:writefull-cache:Suggestions"/>
  </ds:schemaRefs>
</ds:datastoreItem>
</file>

<file path=customXml/itemProps2.xml><?xml version="1.0" encoding="utf-8"?>
<ds:datastoreItem xmlns:ds="http://schemas.openxmlformats.org/officeDocument/2006/customXml" ds:itemID="{F1325CB4-90D5-47F7-A247-849DEA6B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9361</Words>
  <Characters>56169</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asd</vt:lpstr>
    </vt:vector>
  </TitlesOfParts>
  <Company/>
  <LinksUpToDate>false</LinksUpToDate>
  <CharactersWithSpaces>65400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dc:title>
  <dc:subject>asd</dc:subject>
  <cp:keywords>asd</cp:keywords>
  <cp:lastModifiedBy>Janusz Dabrowski NA</cp:lastModifiedBy>
  <cp:revision>13</cp:revision>
  <cp:lastPrinted>2023-12-19T10:41:00Z</cp:lastPrinted>
  <dcterms:created xsi:type="dcterms:W3CDTF">2023-12-18T18:19:00Z</dcterms:created>
  <dcterms:modified xsi:type="dcterms:W3CDTF">2023-12-19T10:50:00Z</dcterms:modified>
  <cp:category>asd</cp:category>
  <cp:contentStatus>asd</cp:contentStatus>
</cp:coreProperties>
</file>