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CD5BC5" w:rsidRPr="004667BD" w14:paraId="660DE920" w14:textId="77777777" w:rsidTr="00C12530">
        <w:trPr>
          <w:trHeight w:hRule="exact" w:val="142"/>
        </w:trPr>
        <w:tc>
          <w:tcPr>
            <w:tcW w:w="709" w:type="dxa"/>
            <w:vMerge w:val="restart"/>
            <w:shd w:val="clear" w:color="auto" w:fill="auto"/>
            <w:vAlign w:val="center"/>
          </w:tcPr>
          <w:p w14:paraId="35098D1E" w14:textId="77777777" w:rsidR="00CD5BC5" w:rsidRPr="004667BD" w:rsidRDefault="00CD5BC5" w:rsidP="00C12530">
            <w:pPr>
              <w:ind w:firstLine="0"/>
              <w:rPr>
                <w:sz w:val="20"/>
                <w:lang w:val="en-GB"/>
              </w:rPr>
            </w:pPr>
            <w:bookmarkStart w:id="0" w:name="_Hlk103340665"/>
            <w:bookmarkStart w:id="1" w:name="_Hlk24804592"/>
            <w:bookmarkStart w:id="2" w:name="_Hlk505620807"/>
            <w:bookmarkEnd w:id="0"/>
            <w:r w:rsidRPr="004667BD">
              <w:rPr>
                <w:noProof/>
                <w:lang w:val="en-GB"/>
              </w:rPr>
              <w:drawing>
                <wp:anchor distT="0" distB="0" distL="114300" distR="114300" simplePos="0" relativeHeight="251659264" behindDoc="0" locked="0" layoutInCell="1" allowOverlap="1" wp14:anchorId="5F2977BA" wp14:editId="54E3086A">
                  <wp:simplePos x="0" y="0"/>
                  <wp:positionH relativeFrom="column">
                    <wp:posOffset>-635</wp:posOffset>
                  </wp:positionH>
                  <wp:positionV relativeFrom="paragraph">
                    <wp:posOffset>348615</wp:posOffset>
                  </wp:positionV>
                  <wp:extent cx="432000" cy="426000"/>
                  <wp:effectExtent l="0" t="0" r="6350" b="0"/>
                  <wp:wrapNone/>
                  <wp:docPr id="159511152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00" cy="426000"/>
                          </a:xfrm>
                          <a:prstGeom prst="rect">
                            <a:avLst/>
                          </a:prstGeom>
                          <a:noFill/>
                          <a:ln>
                            <a:noFill/>
                          </a:ln>
                        </pic:spPr>
                      </pic:pic>
                    </a:graphicData>
                  </a:graphic>
                </wp:anchor>
              </w:drawing>
            </w:r>
          </w:p>
        </w:tc>
        <w:tc>
          <w:tcPr>
            <w:tcW w:w="8930" w:type="dxa"/>
            <w:gridSpan w:val="3"/>
            <w:shd w:val="clear" w:color="auto" w:fill="auto"/>
            <w:vAlign w:val="center"/>
          </w:tcPr>
          <w:p w14:paraId="4A7783F3" w14:textId="77777777" w:rsidR="00CD5BC5" w:rsidRPr="004667BD" w:rsidRDefault="00CD5BC5" w:rsidP="00C12530">
            <w:pPr>
              <w:ind w:firstLine="0"/>
              <w:jc w:val="center"/>
              <w:rPr>
                <w:lang w:val="en-GB"/>
              </w:rPr>
            </w:pPr>
          </w:p>
        </w:tc>
      </w:tr>
      <w:tr w:rsidR="00CD5BC5" w:rsidRPr="004667BD" w14:paraId="121A891B" w14:textId="77777777" w:rsidTr="00C12530">
        <w:trPr>
          <w:trHeight w:hRule="exact" w:val="283"/>
        </w:trPr>
        <w:tc>
          <w:tcPr>
            <w:tcW w:w="709" w:type="dxa"/>
            <w:vMerge/>
            <w:shd w:val="clear" w:color="auto" w:fill="auto"/>
          </w:tcPr>
          <w:p w14:paraId="3EB56763" w14:textId="77777777" w:rsidR="00CD5BC5" w:rsidRPr="004667BD" w:rsidRDefault="00CD5BC5" w:rsidP="00C12530">
            <w:pPr>
              <w:ind w:firstLine="0"/>
              <w:jc w:val="center"/>
              <w:rPr>
                <w:lang w:val="en-GB"/>
              </w:rPr>
            </w:pPr>
          </w:p>
        </w:tc>
        <w:tc>
          <w:tcPr>
            <w:tcW w:w="8930" w:type="dxa"/>
            <w:gridSpan w:val="3"/>
            <w:tcBorders>
              <w:bottom w:val="single" w:sz="2" w:space="0" w:color="auto"/>
            </w:tcBorders>
            <w:shd w:val="clear" w:color="auto" w:fill="auto"/>
            <w:vAlign w:val="center"/>
          </w:tcPr>
          <w:p w14:paraId="504C16FB" w14:textId="77777777" w:rsidR="00CD5BC5" w:rsidRPr="004667BD" w:rsidRDefault="00CD5BC5" w:rsidP="00C12530">
            <w:pPr>
              <w:ind w:firstLine="0"/>
              <w:jc w:val="center"/>
              <w:rPr>
                <w:lang w:val="en-GB"/>
              </w:rPr>
            </w:pPr>
            <w:proofErr w:type="spellStart"/>
            <w:r w:rsidRPr="004667BD">
              <w:rPr>
                <w:b/>
                <w:sz w:val="20"/>
                <w:lang w:val="en-GB"/>
              </w:rPr>
              <w:t>Rocznik</w:t>
            </w:r>
            <w:proofErr w:type="spellEnd"/>
            <w:r w:rsidRPr="004667BD">
              <w:rPr>
                <w:b/>
                <w:sz w:val="20"/>
                <w:lang w:val="en-GB"/>
              </w:rPr>
              <w:t xml:space="preserve"> </w:t>
            </w:r>
            <w:proofErr w:type="spellStart"/>
            <w:r w:rsidRPr="004667BD">
              <w:rPr>
                <w:b/>
                <w:sz w:val="20"/>
                <w:lang w:val="en-GB"/>
              </w:rPr>
              <w:t>Ochrona</w:t>
            </w:r>
            <w:proofErr w:type="spellEnd"/>
            <w:r w:rsidRPr="004667BD">
              <w:rPr>
                <w:b/>
                <w:sz w:val="20"/>
                <w:lang w:val="en-GB"/>
              </w:rPr>
              <w:t xml:space="preserve"> </w:t>
            </w:r>
            <w:proofErr w:type="spellStart"/>
            <w:r w:rsidRPr="004667BD">
              <w:rPr>
                <w:b/>
                <w:sz w:val="20"/>
                <w:lang w:val="en-GB"/>
              </w:rPr>
              <w:t>Środowiska</w:t>
            </w:r>
            <w:proofErr w:type="spellEnd"/>
          </w:p>
        </w:tc>
      </w:tr>
      <w:tr w:rsidR="00CD5BC5" w:rsidRPr="004667BD" w14:paraId="68ECBE7C" w14:textId="77777777" w:rsidTr="00C12530">
        <w:trPr>
          <w:trHeight w:hRule="exact" w:val="283"/>
        </w:trPr>
        <w:tc>
          <w:tcPr>
            <w:tcW w:w="709" w:type="dxa"/>
            <w:vMerge/>
            <w:shd w:val="clear" w:color="auto" w:fill="auto"/>
          </w:tcPr>
          <w:p w14:paraId="1F0A9632" w14:textId="77777777" w:rsidR="00CD5BC5" w:rsidRPr="004667BD" w:rsidRDefault="00CD5BC5" w:rsidP="00C12530">
            <w:pPr>
              <w:ind w:firstLine="0"/>
              <w:jc w:val="center"/>
              <w:rPr>
                <w:lang w:val="en-GB"/>
              </w:rPr>
            </w:pPr>
          </w:p>
        </w:tc>
        <w:tc>
          <w:tcPr>
            <w:tcW w:w="992" w:type="dxa"/>
            <w:tcBorders>
              <w:top w:val="single" w:sz="2" w:space="0" w:color="auto"/>
              <w:bottom w:val="single" w:sz="2" w:space="0" w:color="auto"/>
            </w:tcBorders>
            <w:shd w:val="clear" w:color="auto" w:fill="auto"/>
            <w:vAlign w:val="center"/>
          </w:tcPr>
          <w:p w14:paraId="7430B748" w14:textId="77777777" w:rsidR="00CD5BC5" w:rsidRPr="004667BD" w:rsidRDefault="00CD5BC5" w:rsidP="00C12530">
            <w:pPr>
              <w:ind w:firstLine="0"/>
              <w:rPr>
                <w:sz w:val="18"/>
                <w:szCs w:val="18"/>
                <w:lang w:val="en-GB"/>
              </w:rPr>
            </w:pPr>
            <w:r w:rsidRPr="004667BD">
              <w:rPr>
                <w:sz w:val="18"/>
                <w:szCs w:val="18"/>
                <w:lang w:val="en-GB"/>
              </w:rPr>
              <w:t>Volume 25</w:t>
            </w:r>
          </w:p>
        </w:tc>
        <w:tc>
          <w:tcPr>
            <w:tcW w:w="6304" w:type="dxa"/>
            <w:tcBorders>
              <w:top w:val="single" w:sz="2" w:space="0" w:color="auto"/>
              <w:bottom w:val="single" w:sz="2" w:space="0" w:color="auto"/>
            </w:tcBorders>
            <w:shd w:val="clear" w:color="auto" w:fill="auto"/>
            <w:vAlign w:val="center"/>
          </w:tcPr>
          <w:p w14:paraId="0BF42B10" w14:textId="77777777" w:rsidR="00CD5BC5" w:rsidRPr="004667BD" w:rsidRDefault="00CD5BC5" w:rsidP="00C12530">
            <w:pPr>
              <w:tabs>
                <w:tab w:val="left" w:pos="3057"/>
              </w:tabs>
              <w:ind w:left="227" w:firstLine="0"/>
              <w:rPr>
                <w:sz w:val="18"/>
                <w:szCs w:val="18"/>
                <w:lang w:val="en-GB"/>
              </w:rPr>
            </w:pPr>
            <w:r w:rsidRPr="004667BD">
              <w:rPr>
                <w:sz w:val="18"/>
                <w:szCs w:val="18"/>
                <w:lang w:val="en-GB"/>
              </w:rPr>
              <w:t>Year 2023</w:t>
            </w:r>
            <w:r w:rsidRPr="004667BD">
              <w:rPr>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3124B97D" w14:textId="0630C88D" w:rsidR="00CD5BC5" w:rsidRPr="004667BD" w:rsidRDefault="00CD5BC5" w:rsidP="00C12530">
            <w:pPr>
              <w:ind w:firstLine="0"/>
              <w:jc w:val="right"/>
              <w:rPr>
                <w:sz w:val="18"/>
                <w:szCs w:val="18"/>
                <w:lang w:val="en-GB"/>
              </w:rPr>
            </w:pPr>
            <w:r w:rsidRPr="004667BD">
              <w:rPr>
                <w:sz w:val="18"/>
                <w:szCs w:val="18"/>
                <w:lang w:val="en-GB"/>
              </w:rPr>
              <w:t xml:space="preserve">pp. </w:t>
            </w:r>
            <w:r w:rsidR="00311E5E">
              <w:rPr>
                <w:sz w:val="18"/>
                <w:szCs w:val="18"/>
                <w:lang w:val="en-GB"/>
              </w:rPr>
              <w:t>250</w:t>
            </w:r>
            <w:r w:rsidRPr="004667BD">
              <w:rPr>
                <w:sz w:val="18"/>
                <w:szCs w:val="18"/>
                <w:lang w:val="en-GB"/>
              </w:rPr>
              <w:t>-</w:t>
            </w:r>
            <w:r w:rsidR="00311E5E">
              <w:rPr>
                <w:sz w:val="18"/>
                <w:szCs w:val="18"/>
                <w:lang w:val="en-GB"/>
              </w:rPr>
              <w:t>255</w:t>
            </w:r>
          </w:p>
        </w:tc>
      </w:tr>
      <w:tr w:rsidR="00CD5BC5" w:rsidRPr="004667BD" w14:paraId="0DC1FF05" w14:textId="77777777" w:rsidTr="00C12530">
        <w:trPr>
          <w:trHeight w:hRule="exact" w:val="283"/>
        </w:trPr>
        <w:tc>
          <w:tcPr>
            <w:tcW w:w="709" w:type="dxa"/>
            <w:shd w:val="clear" w:color="auto" w:fill="auto"/>
          </w:tcPr>
          <w:p w14:paraId="5D547F39" w14:textId="77777777" w:rsidR="00CD5BC5" w:rsidRPr="004667BD" w:rsidRDefault="00CD5BC5" w:rsidP="00C12530">
            <w:pPr>
              <w:ind w:firstLine="0"/>
              <w:jc w:val="center"/>
              <w:rPr>
                <w:lang w:val="en-GB"/>
              </w:rPr>
            </w:pPr>
          </w:p>
        </w:tc>
        <w:tc>
          <w:tcPr>
            <w:tcW w:w="8930" w:type="dxa"/>
            <w:gridSpan w:val="3"/>
            <w:tcBorders>
              <w:top w:val="single" w:sz="2" w:space="0" w:color="auto"/>
              <w:bottom w:val="single" w:sz="2" w:space="0" w:color="auto"/>
            </w:tcBorders>
            <w:shd w:val="clear" w:color="auto" w:fill="auto"/>
            <w:vAlign w:val="center"/>
          </w:tcPr>
          <w:p w14:paraId="0DA1A84B" w14:textId="3406C4A4" w:rsidR="00CD5BC5" w:rsidRPr="004667BD" w:rsidRDefault="00CD5BC5" w:rsidP="00C12530">
            <w:pPr>
              <w:tabs>
                <w:tab w:val="right" w:pos="8928"/>
              </w:tabs>
              <w:ind w:firstLine="0"/>
              <w:rPr>
                <w:sz w:val="18"/>
                <w:szCs w:val="18"/>
                <w:lang w:val="en-GB"/>
              </w:rPr>
            </w:pPr>
            <w:r w:rsidRPr="004667BD">
              <w:rPr>
                <w:sz w:val="18"/>
                <w:szCs w:val="18"/>
                <w:lang w:val="en-GB"/>
              </w:rPr>
              <w:t>https://doi.org/10.54740/ros.2023.0</w:t>
            </w:r>
            <w:r w:rsidR="00C81999">
              <w:rPr>
                <w:sz w:val="18"/>
                <w:szCs w:val="18"/>
                <w:lang w:val="en-GB"/>
              </w:rPr>
              <w:t>26</w:t>
            </w:r>
            <w:r w:rsidRPr="004667BD">
              <w:rPr>
                <w:sz w:val="18"/>
                <w:szCs w:val="18"/>
                <w:lang w:val="en-GB"/>
              </w:rPr>
              <w:tab/>
              <w:t>open access</w:t>
            </w:r>
          </w:p>
        </w:tc>
      </w:tr>
      <w:tr w:rsidR="00CD5BC5" w:rsidRPr="004667BD" w14:paraId="66CCF03E" w14:textId="77777777" w:rsidTr="00C12530">
        <w:trPr>
          <w:trHeight w:hRule="exact" w:val="283"/>
        </w:trPr>
        <w:tc>
          <w:tcPr>
            <w:tcW w:w="709" w:type="dxa"/>
            <w:shd w:val="clear" w:color="auto" w:fill="auto"/>
          </w:tcPr>
          <w:p w14:paraId="66611803" w14:textId="77777777" w:rsidR="00CD5BC5" w:rsidRPr="004667BD" w:rsidRDefault="00CD5BC5" w:rsidP="00C12530">
            <w:pPr>
              <w:ind w:firstLine="0"/>
              <w:jc w:val="center"/>
              <w:rPr>
                <w:lang w:val="en-GB"/>
              </w:rPr>
            </w:pPr>
          </w:p>
        </w:tc>
        <w:tc>
          <w:tcPr>
            <w:tcW w:w="8930" w:type="dxa"/>
            <w:gridSpan w:val="3"/>
            <w:tcBorders>
              <w:top w:val="single" w:sz="2" w:space="0" w:color="auto"/>
            </w:tcBorders>
            <w:shd w:val="clear" w:color="auto" w:fill="auto"/>
            <w:vAlign w:val="center"/>
          </w:tcPr>
          <w:p w14:paraId="35E329F2" w14:textId="36503C4D" w:rsidR="00CD5BC5" w:rsidRPr="004667BD" w:rsidRDefault="00CD5BC5" w:rsidP="00A80C7A">
            <w:pPr>
              <w:tabs>
                <w:tab w:val="left" w:pos="3705"/>
                <w:tab w:val="right" w:pos="8928"/>
              </w:tabs>
              <w:ind w:firstLine="0"/>
              <w:rPr>
                <w:sz w:val="18"/>
                <w:szCs w:val="18"/>
                <w:lang w:val="en-GB"/>
              </w:rPr>
            </w:pPr>
            <w:r w:rsidRPr="004667BD">
              <w:rPr>
                <w:sz w:val="18"/>
                <w:szCs w:val="18"/>
                <w:lang w:val="en-GB"/>
              </w:rPr>
              <w:t>Received: August 2023</w:t>
            </w:r>
            <w:r w:rsidRPr="004667BD">
              <w:rPr>
                <w:sz w:val="18"/>
                <w:szCs w:val="18"/>
                <w:lang w:val="en-GB"/>
              </w:rPr>
              <w:tab/>
              <w:t>Accepted: September 2023</w:t>
            </w:r>
            <w:r w:rsidRPr="004667BD">
              <w:rPr>
                <w:sz w:val="18"/>
                <w:szCs w:val="18"/>
                <w:lang w:val="en-GB"/>
              </w:rPr>
              <w:tab/>
              <w:t xml:space="preserve">Published: </w:t>
            </w:r>
            <w:r w:rsidR="008C4D5E">
              <w:rPr>
                <w:sz w:val="18"/>
                <w:szCs w:val="18"/>
                <w:lang w:val="en-GB"/>
              </w:rPr>
              <w:t>October</w:t>
            </w:r>
            <w:r w:rsidRPr="004667BD">
              <w:rPr>
                <w:sz w:val="18"/>
                <w:szCs w:val="18"/>
                <w:lang w:val="en-GB"/>
              </w:rPr>
              <w:t xml:space="preserve"> 2023</w:t>
            </w:r>
          </w:p>
        </w:tc>
      </w:tr>
    </w:tbl>
    <w:bookmarkEnd w:id="1"/>
    <w:p w14:paraId="4A4864BA" w14:textId="5E955609" w:rsidR="004E797C" w:rsidRPr="00CD5BC5" w:rsidRDefault="004E797C" w:rsidP="00CD5BC5">
      <w:pPr>
        <w:pStyle w:val="Rtytu"/>
        <w:rPr>
          <w:lang w:val="en-GB"/>
        </w:rPr>
      </w:pPr>
      <w:r w:rsidRPr="00CD5BC5">
        <w:rPr>
          <w:lang w:val="en-GB"/>
        </w:rPr>
        <w:t xml:space="preserve">Possibilities of </w:t>
      </w:r>
      <w:proofErr w:type="spellStart"/>
      <w:r w:rsidR="00CD5BC5">
        <w:rPr>
          <w:lang w:val="en-GB"/>
        </w:rPr>
        <w:t>F</w:t>
      </w:r>
      <w:r w:rsidRPr="00CD5BC5">
        <w:rPr>
          <w:lang w:val="en-GB"/>
        </w:rPr>
        <w:t>ulfillment</w:t>
      </w:r>
      <w:proofErr w:type="spellEnd"/>
      <w:r w:rsidRPr="00CD5BC5">
        <w:rPr>
          <w:lang w:val="en-GB"/>
        </w:rPr>
        <w:t xml:space="preserve"> and </w:t>
      </w:r>
      <w:r w:rsidR="00CD5BC5">
        <w:rPr>
          <w:lang w:val="en-GB"/>
        </w:rPr>
        <w:t>C</w:t>
      </w:r>
      <w:r w:rsidRPr="00CD5BC5">
        <w:rPr>
          <w:lang w:val="en-GB"/>
        </w:rPr>
        <w:t xml:space="preserve">onsequences of </w:t>
      </w:r>
      <w:r w:rsidR="00CD5BC5">
        <w:rPr>
          <w:lang w:val="en-GB"/>
        </w:rPr>
        <w:t>I</w:t>
      </w:r>
      <w:r w:rsidRPr="00CD5BC5">
        <w:rPr>
          <w:lang w:val="en-GB"/>
        </w:rPr>
        <w:t xml:space="preserve">ntroducing the Carbon Intensity Indicator </w:t>
      </w:r>
      <w:r w:rsidR="00484763">
        <w:rPr>
          <w:lang w:val="en-GB"/>
        </w:rPr>
        <w:br/>
      </w:r>
      <w:r w:rsidRPr="00CD5BC5">
        <w:rPr>
          <w:lang w:val="en-GB"/>
        </w:rPr>
        <w:t xml:space="preserve">in </w:t>
      </w:r>
      <w:r w:rsidR="00CD5BC5">
        <w:rPr>
          <w:lang w:val="en-GB"/>
        </w:rPr>
        <w:t>I</w:t>
      </w:r>
      <w:r w:rsidR="00071498" w:rsidRPr="00CD5BC5">
        <w:rPr>
          <w:lang w:val="en-GB"/>
        </w:rPr>
        <w:t xml:space="preserve">nternational </w:t>
      </w:r>
      <w:r w:rsidR="00CD5BC5">
        <w:rPr>
          <w:lang w:val="en-GB"/>
        </w:rPr>
        <w:t>S</w:t>
      </w:r>
      <w:r w:rsidRPr="00CD5BC5">
        <w:rPr>
          <w:lang w:val="en-GB"/>
        </w:rPr>
        <w:t>hipping</w:t>
      </w:r>
    </w:p>
    <w:p w14:paraId="6011EE0C" w14:textId="49C40156" w:rsidR="001D41EC" w:rsidRPr="00CD5BC5" w:rsidRDefault="001D41EC" w:rsidP="00CD5BC5">
      <w:pPr>
        <w:pStyle w:val="Rautor"/>
        <w:rPr>
          <w:lang w:val="en-GB"/>
        </w:rPr>
      </w:pPr>
      <w:r w:rsidRPr="00CD5BC5">
        <w:rPr>
          <w:lang w:val="en-GB"/>
        </w:rPr>
        <w:t>Jerzy Herdzik</w:t>
      </w:r>
    </w:p>
    <w:p w14:paraId="2AF892ED" w14:textId="77FE69ED" w:rsidR="00522C93" w:rsidRPr="00CD5BC5" w:rsidRDefault="001D41EC" w:rsidP="00CD5BC5">
      <w:pPr>
        <w:pStyle w:val="Rafiliacja"/>
        <w:rPr>
          <w:iCs/>
          <w:lang w:val="en-GB"/>
        </w:rPr>
      </w:pPr>
      <w:r w:rsidRPr="00CD5BC5">
        <w:rPr>
          <w:iCs/>
          <w:lang w:val="en-GB"/>
        </w:rPr>
        <w:t>Gdynia Maritime University</w:t>
      </w:r>
      <w:r w:rsidR="00CD5BC5">
        <w:rPr>
          <w:iCs/>
          <w:lang w:val="en-GB"/>
        </w:rPr>
        <w:t>, Poland</w:t>
      </w:r>
      <w:r w:rsidR="00CD5BC5">
        <w:rPr>
          <w:iCs/>
          <w:lang w:val="en-GB"/>
        </w:rPr>
        <w:br/>
      </w:r>
      <w:bookmarkStart w:id="3" w:name="_Hlk89336582"/>
      <w:r w:rsidR="00CD5BC5" w:rsidRPr="004667BD">
        <w:rPr>
          <w:szCs w:val="22"/>
          <w:lang w:val="en-GB"/>
        </w:rPr>
        <w:t>https://orcid.org/</w:t>
      </w:r>
      <w:bookmarkEnd w:id="3"/>
      <w:r w:rsidR="00522C93" w:rsidRPr="00CD5BC5">
        <w:rPr>
          <w:lang w:val="en-GB"/>
        </w:rPr>
        <w:t>0000-0002-2339-807X</w:t>
      </w:r>
    </w:p>
    <w:p w14:paraId="0751B341" w14:textId="056DAD01" w:rsidR="009C4AAA" w:rsidRDefault="00CD5BC5" w:rsidP="00CD5BC5">
      <w:pPr>
        <w:pStyle w:val="Rauco"/>
        <w:rPr>
          <w:iCs/>
        </w:rPr>
      </w:pPr>
      <w:r w:rsidRPr="00D93571">
        <w:t>corresponding author</w:t>
      </w:r>
      <w:r>
        <w:t>'</w:t>
      </w:r>
      <w:r w:rsidRPr="00D93571">
        <w:t>s e-mail:</w:t>
      </w:r>
      <w:r w:rsidR="009C4AAA" w:rsidRPr="00CD5BC5">
        <w:rPr>
          <w:iCs/>
          <w:szCs w:val="22"/>
        </w:rPr>
        <w:t xml:space="preserve"> j.herdzik@wm.umg.edu.pl</w:t>
      </w:r>
    </w:p>
    <w:p w14:paraId="279C88B5" w14:textId="76924005" w:rsidR="00CD5BC5" w:rsidRPr="00CD5BC5" w:rsidRDefault="00CD5BC5" w:rsidP="00CD5BC5">
      <w:pPr>
        <w:pStyle w:val="Rab1"/>
        <w:rPr>
          <w:rFonts w:eastAsiaTheme="minorHAnsi"/>
          <w:iCs/>
          <w:lang w:eastAsia="en-US"/>
        </w:rPr>
      </w:pPr>
      <w:r w:rsidRPr="00CD5BC5">
        <w:rPr>
          <w:b/>
          <w:szCs w:val="18"/>
        </w:rPr>
        <w:t>Abstract</w:t>
      </w:r>
      <w:r>
        <w:rPr>
          <w:b/>
          <w:szCs w:val="18"/>
        </w:rPr>
        <w:t xml:space="preserve">: </w:t>
      </w:r>
      <w:r w:rsidRPr="00CD5BC5">
        <w:t>Maritime transport contributes to stimulating the development of civili</w:t>
      </w:r>
      <w:r w:rsidR="00575252">
        <w:t>s</w:t>
      </w:r>
      <w:r w:rsidRPr="00CD5BC5">
        <w:t>ation. According to the European Environment Agency, around 1/4 of the total CO</w:t>
      </w:r>
      <w:r w:rsidRPr="00F93764">
        <w:rPr>
          <w:vertAlign w:val="subscript"/>
        </w:rPr>
        <w:t>2</w:t>
      </w:r>
      <w:r w:rsidRPr="00CD5BC5">
        <w:t xml:space="preserve"> emissions in the EU in 2019 came from the transport sector, of which 71.7% </w:t>
      </w:r>
      <w:r w:rsidR="00575252">
        <w:t xml:space="preserve">were </w:t>
      </w:r>
      <w:r w:rsidRPr="00CD5BC5">
        <w:t xml:space="preserve">from road transport. </w:t>
      </w:r>
      <w:r w:rsidR="00575252">
        <w:t>The share of CO</w:t>
      </w:r>
      <w:r w:rsidR="00575252" w:rsidRPr="00575252">
        <w:rPr>
          <w:vertAlign w:val="subscript"/>
        </w:rPr>
        <w:t>2</w:t>
      </w:r>
      <w:r w:rsidR="00575252">
        <w:t xml:space="preserve"> emissions from maritime transport is estimated to be</w:t>
      </w:r>
      <w:r w:rsidRPr="00CD5BC5">
        <w:t xml:space="preserve"> about 3% of the world</w:t>
      </w:r>
      <w:r w:rsidR="00575252">
        <w:t>'s</w:t>
      </w:r>
      <w:r w:rsidRPr="00CD5BC5">
        <w:t xml:space="preserve">. In terms of energy demand for moving a specific load over a specific distance, it is currently the cheapest form of transport. The </w:t>
      </w:r>
      <w:r w:rsidR="00575252">
        <w:t>International Maritime Organization's activities aim to reduce</w:t>
      </w:r>
      <w:r w:rsidRPr="00CD5BC5">
        <w:t xml:space="preserve"> the environmental impact of this form of transport. The article discusses the expected effects of the regulations introduced until 2023. Regulations have a significant impact on the increase in transport costs. There may be far-reaching changes in the shipping market that have an indirect (rather unintended) effect due to the introduced regulations. "Side effects" can be very severe</w:t>
      </w:r>
      <w:r w:rsidR="00575252">
        <w:t>,</w:t>
      </w:r>
      <w:r w:rsidRPr="00CD5BC5">
        <w:t xml:space="preserve"> especially for shipowners with a small number of ships. The article attempts to draw attention to such threats.</w:t>
      </w:r>
    </w:p>
    <w:p w14:paraId="3B354E69" w14:textId="7E119FAD" w:rsidR="00CD5BC5" w:rsidRPr="00CD5BC5" w:rsidRDefault="00CD5BC5" w:rsidP="00311E5E">
      <w:pPr>
        <w:pStyle w:val="Rab2"/>
      </w:pPr>
      <w:r w:rsidRPr="00CD5BC5">
        <w:rPr>
          <w:b/>
        </w:rPr>
        <w:t>Keywords:</w:t>
      </w:r>
      <w:r w:rsidRPr="00CD5BC5">
        <w:t xml:space="preserve"> </w:t>
      </w:r>
      <w:r w:rsidRPr="00CD5BC5">
        <w:rPr>
          <w:bCs/>
        </w:rPr>
        <w:t>IMO regulations,</w:t>
      </w:r>
      <w:r w:rsidRPr="00484763">
        <w:rPr>
          <w:bCs/>
        </w:rPr>
        <w:t xml:space="preserve"> </w:t>
      </w:r>
      <w:r w:rsidRPr="00CD5BC5">
        <w:rPr>
          <w:bCs/>
        </w:rPr>
        <w:t>ship operation,</w:t>
      </w:r>
      <w:r w:rsidRPr="00CD5BC5">
        <w:rPr>
          <w:b/>
        </w:rPr>
        <w:t xml:space="preserve"> </w:t>
      </w:r>
      <w:r w:rsidRPr="00CD5BC5">
        <w:t>climate targets, energy efficiency indicators, environment protection, greenhouse gases</w:t>
      </w:r>
    </w:p>
    <w:bookmarkEnd w:id="2"/>
    <w:p w14:paraId="02A82E72" w14:textId="4A26A7E9" w:rsidR="001D41EC" w:rsidRPr="003F76C0" w:rsidRDefault="001D41EC" w:rsidP="003F76C0">
      <w:pPr>
        <w:pStyle w:val="Rn1"/>
      </w:pPr>
      <w:r w:rsidRPr="00CD5BC5">
        <w:rPr>
          <w:lang w:val="en-GB"/>
        </w:rPr>
        <w:t>1. Introduction</w:t>
      </w:r>
    </w:p>
    <w:p w14:paraId="334913D0" w14:textId="66665362" w:rsidR="004E797C" w:rsidRPr="00F93764" w:rsidRDefault="004E797C" w:rsidP="003F76C0">
      <w:pPr>
        <w:ind w:firstLine="284"/>
        <w:rPr>
          <w:shd w:val="clear" w:color="auto" w:fill="FFFFFF"/>
          <w:lang w:val="en-GB"/>
        </w:rPr>
      </w:pPr>
      <w:r w:rsidRPr="00F93764">
        <w:rPr>
          <w:lang w:val="en-GB"/>
        </w:rPr>
        <w:t>In 2023, the International Maritime Organization</w:t>
      </w:r>
      <w:r w:rsidR="00575252">
        <w:rPr>
          <w:lang w:val="en-GB"/>
        </w:rPr>
        <w:t>'</w:t>
      </w:r>
      <w:r w:rsidRPr="00F93764">
        <w:rPr>
          <w:lang w:val="en-GB"/>
        </w:rPr>
        <w:t>s (IMO) regulation on the Energy Efficiency for Existing Ships (EEXI) and the Carbon Intensity Indicator (CII) entered into force as part of the IMO</w:t>
      </w:r>
      <w:r w:rsidR="00575252">
        <w:rPr>
          <w:lang w:val="en-GB"/>
        </w:rPr>
        <w:t>'</w:t>
      </w:r>
      <w:r w:rsidRPr="00F93764">
        <w:rPr>
          <w:lang w:val="en-GB"/>
        </w:rPr>
        <w:t xml:space="preserve">s short-term climate targets with the requirement to comply </w:t>
      </w:r>
      <w:r w:rsidR="00575252">
        <w:rPr>
          <w:lang w:val="en-GB"/>
        </w:rPr>
        <w:t xml:space="preserve">with </w:t>
      </w:r>
      <w:r w:rsidRPr="00F93764">
        <w:rPr>
          <w:lang w:val="en-GB"/>
        </w:rPr>
        <w:t xml:space="preserve">them at the end of this year </w:t>
      </w:r>
      <w:r w:rsidR="00CC0CF0" w:rsidRPr="00F93764">
        <w:rPr>
          <w:lang w:val="en-GB"/>
        </w:rPr>
        <w:t>(</w:t>
      </w:r>
      <w:r w:rsidR="00030670" w:rsidRPr="00F93764">
        <w:rPr>
          <w:lang w:val="en-GB"/>
        </w:rPr>
        <w:t>IMO 2023a</w:t>
      </w:r>
      <w:r w:rsidR="00CC0CF0" w:rsidRPr="00F93764">
        <w:rPr>
          <w:lang w:val="en-GB"/>
        </w:rPr>
        <w:t>)</w:t>
      </w:r>
      <w:r w:rsidRPr="00F93764">
        <w:rPr>
          <w:lang w:val="en-GB"/>
        </w:rPr>
        <w:t xml:space="preserve">. Earlier, in 2013, regulations for determining the Energy Efficiency Design Index (EEDI) of a ship under construction came into force along with the fulfilment of limit limits for a given type of ship and its deadweight, and then </w:t>
      </w:r>
      <w:r w:rsidR="00575252">
        <w:rPr>
          <w:lang w:val="en-GB"/>
        </w:rPr>
        <w:t xml:space="preserve">a </w:t>
      </w:r>
      <w:r w:rsidRPr="00F93764">
        <w:rPr>
          <w:lang w:val="en-GB"/>
        </w:rPr>
        <w:t xml:space="preserve">non-obligatory determination of the Energy Efficiency Operational Index of a ship in operation (EEOI) </w:t>
      </w:r>
      <w:r w:rsidR="00CC0CF0" w:rsidRPr="00F93764">
        <w:rPr>
          <w:lang w:val="en-GB"/>
        </w:rPr>
        <w:t>(IMO 2023b</w:t>
      </w:r>
      <w:r w:rsidR="00C04B5C" w:rsidRPr="00F93764">
        <w:rPr>
          <w:lang w:val="en-GB"/>
        </w:rPr>
        <w:t>, IMO 2023c, IMO 2023 d, IMO 2023e, PRS 2023, Parker et al. 2015</w:t>
      </w:r>
      <w:r w:rsidR="00CC0CF0" w:rsidRPr="00F93764">
        <w:rPr>
          <w:lang w:val="en-GB"/>
        </w:rPr>
        <w:t>)</w:t>
      </w:r>
      <w:r w:rsidRPr="00F93764">
        <w:rPr>
          <w:lang w:val="en-GB"/>
        </w:rPr>
        <w:t xml:space="preserve">, and from 1 January 2023 also for ships already previously in operation, which falls under the regulation, attained Energy Efficiency </w:t>
      </w:r>
      <w:r w:rsidRPr="00F93764">
        <w:rPr>
          <w:shd w:val="clear" w:color="auto" w:fill="FFFFFF"/>
          <w:lang w:val="en-GB"/>
        </w:rPr>
        <w:t xml:space="preserve">Existing Ship Index </w:t>
      </w:r>
      <w:r w:rsidRPr="00F93764">
        <w:rPr>
          <w:lang w:val="en-GB"/>
        </w:rPr>
        <w:t xml:space="preserve">(EEXI). </w:t>
      </w:r>
      <w:r w:rsidRPr="00F93764">
        <w:rPr>
          <w:shd w:val="clear" w:color="auto" w:fill="FFFFFF"/>
          <w:lang w:val="en-GB"/>
        </w:rPr>
        <w:t xml:space="preserve">From 1 January 2023, it will be mandatory for all ships to calculate their attained EEXI to measure their energy efficiency and to initiate </w:t>
      </w:r>
      <w:r w:rsidR="00575252">
        <w:rPr>
          <w:shd w:val="clear" w:color="auto" w:fill="FFFFFF"/>
          <w:lang w:val="en-GB"/>
        </w:rPr>
        <w:t>data collection</w:t>
      </w:r>
      <w:r w:rsidRPr="00F93764">
        <w:rPr>
          <w:shd w:val="clear" w:color="auto" w:fill="FFFFFF"/>
          <w:lang w:val="en-GB"/>
        </w:rPr>
        <w:t xml:space="preserve"> </w:t>
      </w:r>
      <w:r w:rsidR="00575252">
        <w:rPr>
          <w:shd w:val="clear" w:color="auto" w:fill="FFFFFF"/>
          <w:lang w:val="en-GB"/>
        </w:rPr>
        <w:t>to report</w:t>
      </w:r>
      <w:r w:rsidRPr="00F93764">
        <w:rPr>
          <w:shd w:val="clear" w:color="auto" w:fill="FFFFFF"/>
          <w:lang w:val="en-GB"/>
        </w:rPr>
        <w:t xml:space="preserve"> their annual operational carbon intensity indicator (CII) and CII rating. </w:t>
      </w:r>
    </w:p>
    <w:p w14:paraId="1589ED31" w14:textId="4A3381EA" w:rsidR="004E797C" w:rsidRPr="00CD5BC5" w:rsidRDefault="004E797C" w:rsidP="003F76C0">
      <w:pPr>
        <w:ind w:firstLine="284"/>
        <w:rPr>
          <w:shd w:val="clear" w:color="auto" w:fill="FFFFFF"/>
          <w:lang w:val="en-GB"/>
        </w:rPr>
      </w:pPr>
      <w:r w:rsidRPr="00CD5BC5">
        <w:rPr>
          <w:shd w:val="clear" w:color="auto" w:fill="FFFFFF"/>
          <w:lang w:val="en-GB"/>
        </w:rPr>
        <w:t xml:space="preserve">The introduced regulations force shipowners to take </w:t>
      </w:r>
      <w:r w:rsidR="00575252">
        <w:rPr>
          <w:shd w:val="clear" w:color="auto" w:fill="FFFFFF"/>
          <w:lang w:val="en-GB"/>
        </w:rPr>
        <w:t>several</w:t>
      </w:r>
      <w:r w:rsidRPr="00CD5BC5">
        <w:rPr>
          <w:shd w:val="clear" w:color="auto" w:fill="FFFFFF"/>
          <w:lang w:val="en-GB"/>
        </w:rPr>
        <w:t xml:space="preserve"> actions that will improve the EEXI and CII indicators in the coming years, and thanks to this, further operation of these ships will be possible. In the event of failure to comply </w:t>
      </w:r>
      <w:r w:rsidR="00575252">
        <w:rPr>
          <w:shd w:val="clear" w:color="auto" w:fill="FFFFFF"/>
          <w:lang w:val="en-GB"/>
        </w:rPr>
        <w:t xml:space="preserve">with </w:t>
      </w:r>
      <w:r w:rsidRPr="00CD5BC5">
        <w:rPr>
          <w:shd w:val="clear" w:color="auto" w:fill="FFFFFF"/>
          <w:lang w:val="en-GB"/>
        </w:rPr>
        <w:t>the imposed requirements, the shipowner will be forced to take moderni</w:t>
      </w:r>
      <w:r w:rsidR="00575252">
        <w:rPr>
          <w:shd w:val="clear" w:color="auto" w:fill="FFFFFF"/>
          <w:lang w:val="en-GB"/>
        </w:rPr>
        <w:t>s</w:t>
      </w:r>
      <w:r w:rsidRPr="00CD5BC5">
        <w:rPr>
          <w:shd w:val="clear" w:color="auto" w:fill="FFFFFF"/>
          <w:lang w:val="en-GB"/>
        </w:rPr>
        <w:t xml:space="preserve">ation measures or discontinue the </w:t>
      </w:r>
      <w:r w:rsidR="00575252">
        <w:rPr>
          <w:shd w:val="clear" w:color="auto" w:fill="FFFFFF"/>
          <w:lang w:val="en-GB"/>
        </w:rPr>
        <w:t>ship's operation</w:t>
      </w:r>
      <w:r w:rsidRPr="00CD5BC5">
        <w:rPr>
          <w:shd w:val="clear" w:color="auto" w:fill="FFFFFF"/>
          <w:lang w:val="en-GB"/>
        </w:rPr>
        <w:t>.</w:t>
      </w:r>
    </w:p>
    <w:p w14:paraId="675D2BBB" w14:textId="76C5A48F" w:rsidR="004E797C" w:rsidRPr="00CD5BC5" w:rsidRDefault="004E797C" w:rsidP="003F76C0">
      <w:pPr>
        <w:ind w:firstLine="284"/>
        <w:rPr>
          <w:shd w:val="clear" w:color="auto" w:fill="FFFFFF"/>
          <w:lang w:val="en-GB"/>
        </w:rPr>
      </w:pPr>
      <w:r w:rsidRPr="00CD5BC5">
        <w:rPr>
          <w:shd w:val="clear" w:color="auto" w:fill="FFFFFF"/>
          <w:lang w:val="en-GB"/>
        </w:rPr>
        <w:t xml:space="preserve">As a stimulus to reduce carbon intensity (equivalent carbon dioxide emission) of all ships by 40% by 2030 compared to </w:t>
      </w:r>
      <w:r w:rsidR="00575252">
        <w:rPr>
          <w:shd w:val="clear" w:color="auto" w:fill="FFFFFF"/>
          <w:lang w:val="en-GB"/>
        </w:rPr>
        <w:t xml:space="preserve">the </w:t>
      </w:r>
      <w:r w:rsidRPr="00CD5BC5">
        <w:rPr>
          <w:shd w:val="clear" w:color="auto" w:fill="FFFFFF"/>
          <w:lang w:val="en-GB"/>
        </w:rPr>
        <w:t>2008 baseline, ships will be required to calculate two ratings:</w:t>
      </w:r>
    </w:p>
    <w:p w14:paraId="7C638C98" w14:textId="2C62D759" w:rsidR="004E797C" w:rsidRPr="00CD5BC5" w:rsidRDefault="004E797C" w:rsidP="003F76C0">
      <w:pPr>
        <w:numPr>
          <w:ilvl w:val="0"/>
          <w:numId w:val="21"/>
        </w:numPr>
        <w:ind w:left="364"/>
        <w:rPr>
          <w:shd w:val="clear" w:color="auto" w:fill="FFFFFF"/>
          <w:lang w:val="en-GB"/>
        </w:rPr>
      </w:pPr>
      <w:r w:rsidRPr="00CD5BC5">
        <w:rPr>
          <w:shd w:val="clear" w:color="auto" w:fill="FFFFFF"/>
          <w:lang w:val="en-GB"/>
        </w:rPr>
        <w:t>their attained Energy Existing Ship Index (EEXI) to determine their energy efficiency</w:t>
      </w:r>
      <w:r w:rsidR="0019365C">
        <w:rPr>
          <w:shd w:val="clear" w:color="auto" w:fill="FFFFFF"/>
          <w:lang w:val="en-GB"/>
        </w:rPr>
        <w:t>,</w:t>
      </w:r>
    </w:p>
    <w:p w14:paraId="12159BB5" w14:textId="17470587" w:rsidR="004E797C" w:rsidRPr="00DE6440" w:rsidRDefault="004E797C" w:rsidP="003F76C0">
      <w:pPr>
        <w:numPr>
          <w:ilvl w:val="0"/>
          <w:numId w:val="21"/>
        </w:numPr>
        <w:ind w:left="364"/>
        <w:rPr>
          <w:shd w:val="clear" w:color="auto" w:fill="FFFFFF"/>
          <w:lang w:val="en-GB"/>
        </w:rPr>
      </w:pPr>
      <w:r w:rsidRPr="00DE6440">
        <w:rPr>
          <w:shd w:val="clear" w:color="auto" w:fill="FFFFFF"/>
          <w:lang w:val="en-GB"/>
        </w:rPr>
        <w:t xml:space="preserve">their annual operational Carbon Intensity Indicator (CII) and associated CII rating – carbon intensity links the GHG emissions to the amount of cargo carried over </w:t>
      </w:r>
      <w:r w:rsidR="00575252">
        <w:rPr>
          <w:shd w:val="clear" w:color="auto" w:fill="FFFFFF"/>
          <w:lang w:val="en-GB"/>
        </w:rPr>
        <w:t xml:space="preserve">the </w:t>
      </w:r>
      <w:r w:rsidRPr="00DE6440">
        <w:rPr>
          <w:shd w:val="clear" w:color="auto" w:fill="FFFFFF"/>
          <w:lang w:val="en-GB"/>
        </w:rPr>
        <w:t xml:space="preserve">distance travelled </w:t>
      </w:r>
      <w:r w:rsidR="00CC0CF0" w:rsidRPr="00DE6440">
        <w:rPr>
          <w:shd w:val="clear" w:color="auto" w:fill="FFFFFF"/>
          <w:lang w:val="en-GB"/>
        </w:rPr>
        <w:t>(</w:t>
      </w:r>
      <w:r w:rsidRPr="00DE6440">
        <w:rPr>
          <w:shd w:val="clear" w:color="auto" w:fill="FFFFFF"/>
          <w:lang w:val="en-GB"/>
        </w:rPr>
        <w:t>IMO 2023</w:t>
      </w:r>
      <w:r w:rsidR="00CC0CF0" w:rsidRPr="00DE6440">
        <w:rPr>
          <w:shd w:val="clear" w:color="auto" w:fill="FFFFFF"/>
          <w:lang w:val="en-GB"/>
        </w:rPr>
        <w:t>a)</w:t>
      </w:r>
      <w:r w:rsidRPr="00DE6440">
        <w:rPr>
          <w:shd w:val="clear" w:color="auto" w:fill="FFFFFF"/>
          <w:lang w:val="en-GB"/>
        </w:rPr>
        <w:t>.</w:t>
      </w:r>
    </w:p>
    <w:p w14:paraId="42A04BF4" w14:textId="0729AC8F" w:rsidR="00080E45" w:rsidRPr="00CD5BC5" w:rsidRDefault="00080E45" w:rsidP="003F76C0">
      <w:pPr>
        <w:pStyle w:val="Rn1"/>
        <w:rPr>
          <w:lang w:val="en-GB"/>
        </w:rPr>
      </w:pPr>
      <w:r w:rsidRPr="00CD5BC5">
        <w:rPr>
          <w:lang w:val="en-GB"/>
        </w:rPr>
        <w:t xml:space="preserve">2. </w:t>
      </w:r>
      <w:r w:rsidR="004E797C" w:rsidRPr="00CD5BC5">
        <w:rPr>
          <w:lang w:val="en-GB"/>
        </w:rPr>
        <w:t xml:space="preserve">Materials and </w:t>
      </w:r>
      <w:r w:rsidR="003F76C0">
        <w:rPr>
          <w:lang w:val="en-GB"/>
        </w:rPr>
        <w:t>M</w:t>
      </w:r>
      <w:r w:rsidR="004E797C" w:rsidRPr="00CD5BC5">
        <w:rPr>
          <w:lang w:val="en-GB"/>
        </w:rPr>
        <w:t>ethods</w:t>
      </w:r>
    </w:p>
    <w:p w14:paraId="4C466501" w14:textId="080D7485" w:rsidR="004E797C" w:rsidRPr="00CD5BC5" w:rsidRDefault="004E797C" w:rsidP="003F76C0">
      <w:pPr>
        <w:ind w:firstLine="284"/>
        <w:rPr>
          <w:lang w:val="en-GB"/>
        </w:rPr>
      </w:pPr>
      <w:r w:rsidRPr="00CD5BC5">
        <w:rPr>
          <w:lang w:val="en-GB"/>
        </w:rPr>
        <w:t xml:space="preserve">The article uses the regulations introduced by the IMO </w:t>
      </w:r>
      <w:r w:rsidR="00575252">
        <w:rPr>
          <w:lang w:val="en-GB"/>
        </w:rPr>
        <w:t xml:space="preserve">and </w:t>
      </w:r>
      <w:r w:rsidRPr="00CD5BC5">
        <w:rPr>
          <w:lang w:val="en-GB"/>
        </w:rPr>
        <w:t>additional requirements regarding greenhouse gas emissions into the atmosphere imposed by the European Union Parliament. They were analy</w:t>
      </w:r>
      <w:r w:rsidR="00575252">
        <w:rPr>
          <w:lang w:val="en-GB"/>
        </w:rPr>
        <w:t>s</w:t>
      </w:r>
      <w:r w:rsidRPr="00CD5BC5">
        <w:rPr>
          <w:lang w:val="en-GB"/>
        </w:rPr>
        <w:t>ed in terms of the potential effects on maritime transport. Considerations were made regarding the formulation of assumptions and design requirements for newly built ships from the point of view of the shipowner and the introduction of necessary changes in the fuel system or the power system of already built ships in the perspective of their further operation until and after 2030. Due to the variety of suggested changes and the significant costs of their implementation, there is an urgent need for shipowners to carry out analy</w:t>
      </w:r>
      <w:r w:rsidR="00575252">
        <w:rPr>
          <w:lang w:val="en-GB"/>
        </w:rPr>
        <w:t>s</w:t>
      </w:r>
      <w:r w:rsidRPr="00CD5BC5">
        <w:rPr>
          <w:lang w:val="en-GB"/>
        </w:rPr>
        <w:t xml:space="preserve">es in the context of the age and type of the ship, its size, prospects for its further operation and to estimate the necessary financial outlays </w:t>
      </w:r>
      <w:r w:rsidRPr="00CD5BC5">
        <w:rPr>
          <w:lang w:val="en-GB"/>
        </w:rPr>
        <w:lastRenderedPageBreak/>
        <w:t>to adjust the ship's energy efficiency indicators to the imposed limits. Particular attention was paid to the Carbon Intensity Indicator (CII). Basic options that could meet these limits were analy</w:t>
      </w:r>
      <w:r w:rsidR="00575252">
        <w:rPr>
          <w:lang w:val="en-GB"/>
        </w:rPr>
        <w:t>s</w:t>
      </w:r>
      <w:r w:rsidRPr="00CD5BC5">
        <w:rPr>
          <w:lang w:val="en-GB"/>
        </w:rPr>
        <w:t>ed.</w:t>
      </w:r>
    </w:p>
    <w:p w14:paraId="15740FAF" w14:textId="201FCE5E" w:rsidR="0037752D" w:rsidRPr="00CD5BC5" w:rsidRDefault="005C752E" w:rsidP="003F76C0">
      <w:pPr>
        <w:pStyle w:val="Rn1"/>
        <w:rPr>
          <w:lang w:val="en-GB"/>
        </w:rPr>
      </w:pPr>
      <w:r w:rsidRPr="00CD5BC5">
        <w:rPr>
          <w:lang w:val="en-GB"/>
        </w:rPr>
        <w:t>3</w:t>
      </w:r>
      <w:r w:rsidR="0037752D" w:rsidRPr="00CD5BC5">
        <w:rPr>
          <w:lang w:val="en-GB"/>
        </w:rPr>
        <w:t xml:space="preserve">. </w:t>
      </w:r>
      <w:r w:rsidR="004E797C" w:rsidRPr="00CD5BC5">
        <w:rPr>
          <w:lang w:val="en-GB"/>
        </w:rPr>
        <w:t>Results</w:t>
      </w:r>
    </w:p>
    <w:p w14:paraId="5A206B8F" w14:textId="677FE00F" w:rsidR="004E797C" w:rsidRPr="00CD5BC5" w:rsidRDefault="004E797C" w:rsidP="003F76C0">
      <w:pPr>
        <w:pStyle w:val="Rn2"/>
        <w:rPr>
          <w:i/>
          <w:lang w:val="en-GB"/>
        </w:rPr>
      </w:pPr>
      <w:r w:rsidRPr="00CD5BC5">
        <w:rPr>
          <w:lang w:val="en-GB"/>
        </w:rPr>
        <w:t>3.1. Ship</w:t>
      </w:r>
      <w:r w:rsidR="00575252">
        <w:rPr>
          <w:lang w:val="en-GB"/>
        </w:rPr>
        <w:t>'</w:t>
      </w:r>
      <w:r w:rsidRPr="00CD5BC5">
        <w:rPr>
          <w:lang w:val="en-GB"/>
        </w:rPr>
        <w:t>s power plant energy efficiency</w:t>
      </w:r>
    </w:p>
    <w:p w14:paraId="28CB21D8" w14:textId="47022391" w:rsidR="004E797C" w:rsidRPr="008A51B2" w:rsidRDefault="004E797C" w:rsidP="003F76C0">
      <w:pPr>
        <w:ind w:firstLine="284"/>
        <w:rPr>
          <w:lang w:val="en-GB"/>
        </w:rPr>
      </w:pPr>
      <w:r w:rsidRPr="008A51B2">
        <w:rPr>
          <w:lang w:val="en-GB"/>
        </w:rPr>
        <w:t xml:space="preserve">At the end of the 20th century, the most important indicator of </w:t>
      </w:r>
      <w:r w:rsidR="00575252">
        <w:rPr>
          <w:lang w:val="en-GB"/>
        </w:rPr>
        <w:t xml:space="preserve">a </w:t>
      </w:r>
      <w:r w:rsidRPr="008A51B2">
        <w:rPr>
          <w:lang w:val="en-GB"/>
        </w:rPr>
        <w:t>ship</w:t>
      </w:r>
      <w:r w:rsidR="00575252">
        <w:rPr>
          <w:lang w:val="en-GB"/>
        </w:rPr>
        <w:t>'</w:t>
      </w:r>
      <w:r w:rsidRPr="008A51B2">
        <w:rPr>
          <w:lang w:val="en-GB"/>
        </w:rPr>
        <w:t>s power plant energy efficiency was the thermal efficiency of power plant equipment, mainly the main engine, auxiliary engines and steam boilers. The energy efficiency index of the power plant was determined. In the case of the construction of deep utili</w:t>
      </w:r>
      <w:r w:rsidR="00575252">
        <w:rPr>
          <w:lang w:val="en-GB"/>
        </w:rPr>
        <w:t>s</w:t>
      </w:r>
      <w:r w:rsidRPr="008A51B2">
        <w:rPr>
          <w:lang w:val="en-GB"/>
        </w:rPr>
        <w:t>ation of waste heat systems and their use, the efficiency exceeded 60%. The a</w:t>
      </w:r>
      <w:r w:rsidR="00575252">
        <w:rPr>
          <w:lang w:val="en-GB"/>
        </w:rPr>
        <w:t>ctivities aimed</w:t>
      </w:r>
      <w:r w:rsidRPr="008A51B2">
        <w:rPr>
          <w:lang w:val="en-GB"/>
        </w:rPr>
        <w:t xml:space="preserve"> to reduce the total fuel consumption. </w:t>
      </w:r>
      <w:r w:rsidR="00575252">
        <w:rPr>
          <w:lang w:val="en-GB"/>
        </w:rPr>
        <w:t>It</w:t>
      </w:r>
      <w:r w:rsidRPr="008A51B2">
        <w:rPr>
          <w:lang w:val="en-GB"/>
        </w:rPr>
        <w:t xml:space="preserve"> was followed by activities related to </w:t>
      </w:r>
      <w:r w:rsidR="00575252">
        <w:rPr>
          <w:lang w:val="en-GB"/>
        </w:rPr>
        <w:t>optimising the hull's shape and reducing</w:t>
      </w:r>
      <w:r w:rsidRPr="008A51B2">
        <w:rPr>
          <w:lang w:val="en-GB"/>
        </w:rPr>
        <w:t xml:space="preserve"> swimming resistance. With the year 2000, changes began. First, related to the restrictions on nitrogen oxide emissions from ship engines introduced by the IMO, and then the emission limits for </w:t>
      </w:r>
      <w:proofErr w:type="spellStart"/>
      <w:r w:rsidRPr="008A51B2">
        <w:rPr>
          <w:lang w:val="en-GB"/>
        </w:rPr>
        <w:t>sulfur</w:t>
      </w:r>
      <w:proofErr w:type="spellEnd"/>
      <w:r w:rsidRPr="008A51B2">
        <w:rPr>
          <w:lang w:val="en-GB"/>
        </w:rPr>
        <w:t xml:space="preserve"> oxides, hydrocarbons and particulate matter</w:t>
      </w:r>
      <w:r w:rsidR="00C04B5C" w:rsidRPr="008A51B2">
        <w:rPr>
          <w:lang w:val="en-GB"/>
        </w:rPr>
        <w:t xml:space="preserve"> (IMO 2023d)</w:t>
      </w:r>
      <w:r w:rsidRPr="008A51B2">
        <w:rPr>
          <w:lang w:val="en-GB"/>
        </w:rPr>
        <w:t xml:space="preserve">. </w:t>
      </w:r>
      <w:r w:rsidRPr="00ED642E">
        <w:rPr>
          <w:spacing w:val="-2"/>
          <w:lang w:val="en-GB"/>
        </w:rPr>
        <w:t>Carbon dioxide emissions were not limited, and it should be noted that systems reducing the emission of harmful substances into the atmosphere from ship engines reduced their efficiency and nominal power. According to the IMO regulations, the negative effects of the</w:t>
      </w:r>
      <w:r w:rsidR="00575252" w:rsidRPr="00ED642E">
        <w:rPr>
          <w:spacing w:val="-2"/>
          <w:lang w:val="en-GB"/>
        </w:rPr>
        <w:t>se systems' operation wer</w:t>
      </w:r>
      <w:r w:rsidRPr="00ED642E">
        <w:rPr>
          <w:spacing w:val="-2"/>
          <w:lang w:val="en-GB"/>
        </w:rPr>
        <w:t>e limited to a decrease in efficiency by 1% and power by 2%. In fact, they were much larger, reaching a 5</w:t>
      </w:r>
      <w:r w:rsidR="008A51B2" w:rsidRPr="00ED642E">
        <w:rPr>
          <w:spacing w:val="-2"/>
          <w:lang w:val="en-GB"/>
        </w:rPr>
        <w:t>-</w:t>
      </w:r>
      <w:r w:rsidRPr="00ED642E">
        <w:rPr>
          <w:spacing w:val="-2"/>
          <w:lang w:val="en-GB"/>
        </w:rPr>
        <w:t>10% increase in energy demand and operating costs of these systems</w:t>
      </w:r>
      <w:r w:rsidR="00C04B5C" w:rsidRPr="00ED642E">
        <w:rPr>
          <w:spacing w:val="-2"/>
          <w:lang w:val="en-GB"/>
        </w:rPr>
        <w:t xml:space="preserve"> (ABS 2017, Chang</w:t>
      </w:r>
      <w:r w:rsidR="008A51B2" w:rsidRPr="00ED642E">
        <w:rPr>
          <w:spacing w:val="-2"/>
          <w:lang w:val="en-GB"/>
        </w:rPr>
        <w:t xml:space="preserve"> </w:t>
      </w:r>
      <w:r w:rsidR="00C04B5C" w:rsidRPr="00ED642E">
        <w:rPr>
          <w:spacing w:val="-2"/>
          <w:lang w:val="en-GB"/>
        </w:rPr>
        <w:t>&amp;</w:t>
      </w:r>
      <w:r w:rsidR="008A51B2" w:rsidRPr="00ED642E">
        <w:rPr>
          <w:spacing w:val="-2"/>
          <w:lang w:val="en-GB"/>
        </w:rPr>
        <w:t xml:space="preserve"> </w:t>
      </w:r>
      <w:r w:rsidR="00C04B5C" w:rsidRPr="00ED642E">
        <w:rPr>
          <w:spacing w:val="-2"/>
          <w:lang w:val="en-GB"/>
        </w:rPr>
        <w:t>Wang 2014)</w:t>
      </w:r>
      <w:r w:rsidRPr="00ED642E">
        <w:rPr>
          <w:spacing w:val="-2"/>
          <w:lang w:val="en-GB"/>
        </w:rPr>
        <w:t>.</w:t>
      </w:r>
      <w:r w:rsidRPr="008A51B2">
        <w:rPr>
          <w:lang w:val="en-GB"/>
        </w:rPr>
        <w:t xml:space="preserve"> As a</w:t>
      </w:r>
      <w:r w:rsidR="00ED642E">
        <w:rPr>
          <w:lang w:val="en-GB"/>
        </w:rPr>
        <w:t xml:space="preserve"> </w:t>
      </w:r>
      <w:r w:rsidRPr="008A51B2">
        <w:rPr>
          <w:lang w:val="en-GB"/>
        </w:rPr>
        <w:t xml:space="preserve">result, </w:t>
      </w:r>
      <w:r w:rsidR="00575252">
        <w:rPr>
          <w:lang w:val="en-GB"/>
        </w:rPr>
        <w:t>using</w:t>
      </w:r>
      <w:r w:rsidRPr="008A51B2">
        <w:rPr>
          <w:lang w:val="en-GB"/>
        </w:rPr>
        <w:t xml:space="preserve"> these systems caus</w:t>
      </w:r>
      <w:r w:rsidR="00575252">
        <w:rPr>
          <w:lang w:val="en-GB"/>
        </w:rPr>
        <w:t>ed</w:t>
      </w:r>
      <w:r w:rsidRPr="008A51B2">
        <w:rPr>
          <w:lang w:val="en-GB"/>
        </w:rPr>
        <w:t xml:space="preserve"> a proportional increase in fuel consumption </w:t>
      </w:r>
      <w:r w:rsidR="00575252">
        <w:rPr>
          <w:lang w:val="en-GB"/>
        </w:rPr>
        <w:t xml:space="preserve">and </w:t>
      </w:r>
      <w:r w:rsidRPr="008A51B2">
        <w:rPr>
          <w:lang w:val="en-GB"/>
        </w:rPr>
        <w:t>increased carbon dioxide emissions in the same percentage. From 1 January 2013, the requirement to determine the Energy Efficiency Index of the Designed Ship (EEDI) was introduced</w:t>
      </w:r>
      <w:r w:rsidR="00575252">
        <w:rPr>
          <w:lang w:val="en-GB"/>
        </w:rPr>
        <w:t>,</w:t>
      </w:r>
      <w:r w:rsidRPr="008A51B2">
        <w:rPr>
          <w:lang w:val="en-GB"/>
        </w:rPr>
        <w:t xml:space="preserve"> and the limits of this indicator were specified, which was to be reduced by 5</w:t>
      </w:r>
      <w:r w:rsidR="008A51B2">
        <w:rPr>
          <w:lang w:val="en-GB"/>
        </w:rPr>
        <w:t>-</w:t>
      </w:r>
      <w:r w:rsidRPr="008A51B2">
        <w:rPr>
          <w:lang w:val="en-GB"/>
        </w:rPr>
        <w:t>10% every 5 years, depending on the type and size of the ship. An example of such limits and their planned reductions is presented in Table 1.</w:t>
      </w:r>
    </w:p>
    <w:p w14:paraId="13DE2D98" w14:textId="22DB839E" w:rsidR="004E797C" w:rsidRPr="008A51B2" w:rsidRDefault="004E797C" w:rsidP="003F76C0">
      <w:pPr>
        <w:ind w:firstLine="284"/>
        <w:rPr>
          <w:lang w:val="en-GB"/>
        </w:rPr>
      </w:pPr>
      <w:r w:rsidRPr="008A51B2">
        <w:rPr>
          <w:lang w:val="en-GB"/>
        </w:rPr>
        <w:t>According to Annex VI Regulation 24 of IMO</w:t>
      </w:r>
      <w:r w:rsidR="00575252">
        <w:rPr>
          <w:lang w:val="en-GB"/>
        </w:rPr>
        <w:t>'</w:t>
      </w:r>
      <w:r w:rsidRPr="008A51B2">
        <w:rPr>
          <w:lang w:val="en-GB"/>
        </w:rPr>
        <w:t xml:space="preserve">s MARPOL 73/78 Convention </w:t>
      </w:r>
      <w:r w:rsidR="00C223A9">
        <w:rPr>
          <w:lang w:val="en-GB"/>
        </w:rPr>
        <w:t>(</w:t>
      </w:r>
      <w:r w:rsidR="00C223A9" w:rsidRPr="00CD5BC5">
        <w:t>IM 2005</w:t>
      </w:r>
      <w:r w:rsidR="00C223A9">
        <w:t>)</w:t>
      </w:r>
      <w:r w:rsidRPr="008A51B2">
        <w:rPr>
          <w:lang w:val="en-GB"/>
        </w:rPr>
        <w:t xml:space="preserve">, </w:t>
      </w:r>
      <w:r w:rsidR="00575252">
        <w:rPr>
          <w:lang w:val="en-GB"/>
        </w:rPr>
        <w:t xml:space="preserve">the </w:t>
      </w:r>
      <w:r w:rsidRPr="008A51B2">
        <w:rPr>
          <w:lang w:val="en-GB"/>
        </w:rPr>
        <w:t>required EEDI should be determined according to equation 1.</w:t>
      </w:r>
    </w:p>
    <w:p w14:paraId="4D87D6B1" w14:textId="56FE6BE1" w:rsidR="004E797C" w:rsidRPr="00CD5BC5" w:rsidRDefault="004E797C" w:rsidP="00DE6440">
      <w:pPr>
        <w:shd w:val="clear" w:color="auto" w:fill="FFFFFF"/>
        <w:tabs>
          <w:tab w:val="right" w:pos="9639"/>
        </w:tabs>
        <w:spacing w:before="120" w:after="120"/>
        <w:ind w:firstLine="1843"/>
        <w:jc w:val="center"/>
        <w:rPr>
          <w:lang w:val="en-GB"/>
        </w:rPr>
      </w:pPr>
      <w:r w:rsidRPr="00CD5BC5">
        <w:rPr>
          <w:lang w:val="en-GB"/>
        </w:rPr>
        <w:t>Attained EEDI ≤ Required EEDI = (</w:t>
      </w:r>
      <m:oMath>
        <m:r>
          <w:rPr>
            <w:rFonts w:ascii="Cambria Math" w:hAnsi="Cambria Math"/>
            <w:lang w:val="en-GB"/>
          </w:rPr>
          <m:t>1-</m:t>
        </m:r>
        <m:f>
          <m:fPr>
            <m:ctrlPr>
              <w:rPr>
                <w:rFonts w:ascii="Cambria Math" w:hAnsi="Cambria Math"/>
                <w:i/>
                <w:lang w:val="en-GB"/>
              </w:rPr>
            </m:ctrlPr>
          </m:fPr>
          <m:num>
            <m:r>
              <w:rPr>
                <w:rFonts w:ascii="Cambria Math" w:hAnsi="Cambria Math"/>
                <w:lang w:val="en-GB"/>
              </w:rPr>
              <m:t>X</m:t>
            </m:r>
          </m:num>
          <m:den>
            <m:r>
              <w:rPr>
                <w:rFonts w:ascii="Cambria Math" w:hAnsi="Cambria Math"/>
                <w:lang w:val="en-GB"/>
              </w:rPr>
              <m:t>100</m:t>
            </m:r>
          </m:den>
        </m:f>
      </m:oMath>
      <w:r w:rsidRPr="00CD5BC5">
        <w:rPr>
          <w:lang w:val="en-GB"/>
        </w:rPr>
        <w:t>) · Reference line value</w:t>
      </w:r>
      <w:r w:rsidR="003F76C0">
        <w:rPr>
          <w:lang w:val="en-GB"/>
        </w:rPr>
        <w:tab/>
      </w:r>
      <w:r w:rsidRPr="00CD5BC5">
        <w:rPr>
          <w:lang w:val="en-GB"/>
        </w:rPr>
        <w:t>(1)</w:t>
      </w:r>
    </w:p>
    <w:p w14:paraId="6F442029" w14:textId="77777777" w:rsidR="004E797C" w:rsidRPr="00575252" w:rsidRDefault="004E797C" w:rsidP="003F76C0">
      <w:pPr>
        <w:shd w:val="clear" w:color="auto" w:fill="FFFFFF"/>
        <w:ind w:firstLine="0"/>
        <w:rPr>
          <w:spacing w:val="-2"/>
          <w:kern w:val="0"/>
          <w:lang w:val="en-GB"/>
        </w:rPr>
      </w:pPr>
      <w:r w:rsidRPr="00575252">
        <w:rPr>
          <w:spacing w:val="-2"/>
          <w:kern w:val="0"/>
          <w:lang w:val="en-GB"/>
        </w:rPr>
        <w:t xml:space="preserve">where </w:t>
      </w:r>
      <m:oMath>
        <m:r>
          <w:rPr>
            <w:rFonts w:ascii="Cambria Math" w:hAnsi="Cambria Math"/>
            <w:spacing w:val="-2"/>
            <w:kern w:val="0"/>
            <w:lang w:val="en-GB"/>
          </w:rPr>
          <m:t>X</m:t>
        </m:r>
      </m:oMath>
      <w:r w:rsidRPr="00575252">
        <w:rPr>
          <w:spacing w:val="-2"/>
          <w:kern w:val="0"/>
          <w:lang w:val="en-GB"/>
        </w:rPr>
        <w:t xml:space="preserve"> is the reduction factor specified in Table 1 for the required EEDI compared to the EEDI reference line.</w:t>
      </w:r>
    </w:p>
    <w:p w14:paraId="73E06343" w14:textId="77777777" w:rsidR="003F76C0" w:rsidRPr="00CD5BC5" w:rsidRDefault="003F76C0" w:rsidP="003F76C0">
      <w:pPr>
        <w:shd w:val="clear" w:color="auto" w:fill="FFFFFF"/>
        <w:ind w:firstLine="0"/>
        <w:rPr>
          <w:lang w:val="en-GB"/>
        </w:rPr>
      </w:pPr>
    </w:p>
    <w:p w14:paraId="2392B943" w14:textId="7A8286D2" w:rsidR="004E797C" w:rsidRPr="00CD5BC5" w:rsidRDefault="004E797C" w:rsidP="008A51B2">
      <w:pPr>
        <w:pStyle w:val="Rtab"/>
        <w:rPr>
          <w:lang w:val="en-GB"/>
        </w:rPr>
      </w:pPr>
      <w:r w:rsidRPr="00CD5BC5">
        <w:rPr>
          <w:b/>
          <w:bCs/>
          <w:lang w:val="en-GB"/>
        </w:rPr>
        <w:t>Table 1.</w:t>
      </w:r>
      <w:r w:rsidRPr="00CD5BC5">
        <w:rPr>
          <w:lang w:val="en-GB"/>
        </w:rPr>
        <w:t xml:space="preserve"> EEDI reduction factors (</w:t>
      </w:r>
      <m:oMath>
        <m:r>
          <m:rPr>
            <m:sty m:val="p"/>
          </m:rPr>
          <w:rPr>
            <w:rFonts w:ascii="Cambria Math" w:hAnsi="Cambria Math"/>
            <w:lang w:val="en-GB"/>
          </w:rPr>
          <m:t>X</m:t>
        </m:r>
      </m:oMath>
      <w:r w:rsidRPr="00CD5BC5">
        <w:rPr>
          <w:lang w:val="en-GB"/>
        </w:rPr>
        <w:t xml:space="preserve">) relative to the EEDI reference line expressed as a percentage required after 2020 – selected </w:t>
      </w:r>
      <w:r w:rsidRPr="008A51B2">
        <w:rPr>
          <w:lang w:val="en-GB"/>
        </w:rPr>
        <w:t xml:space="preserve">examples </w:t>
      </w:r>
      <w:r w:rsidR="00750340" w:rsidRPr="008A51B2">
        <w:rPr>
          <w:lang w:val="en-GB"/>
        </w:rPr>
        <w:t>(</w:t>
      </w:r>
      <w:r w:rsidR="001141BE" w:rsidRPr="008A51B2">
        <w:rPr>
          <w:lang w:val="en-GB"/>
        </w:rPr>
        <w:t xml:space="preserve">DNV 2023, </w:t>
      </w:r>
      <w:r w:rsidR="00C04B5C" w:rsidRPr="008A51B2">
        <w:rPr>
          <w:lang w:val="en-GB"/>
        </w:rPr>
        <w:t>IMO 2023a, IMO 2023b</w:t>
      </w:r>
      <w:r w:rsidR="00750340" w:rsidRPr="008A51B2">
        <w:rPr>
          <w:lang w:val="en-G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2660"/>
        <w:gridCol w:w="2057"/>
        <w:gridCol w:w="1624"/>
        <w:gridCol w:w="1562"/>
      </w:tblGrid>
      <w:tr w:rsidR="004E797C" w:rsidRPr="003F76C0" w14:paraId="33D923B7" w14:textId="77777777" w:rsidTr="00ED642E">
        <w:trPr>
          <w:trHeight w:val="872"/>
        </w:trPr>
        <w:tc>
          <w:tcPr>
            <w:tcW w:w="1731" w:type="dxa"/>
            <w:vAlign w:val="center"/>
          </w:tcPr>
          <w:p w14:paraId="4ED9F643" w14:textId="77777777" w:rsidR="004E797C" w:rsidRPr="003F76C0" w:rsidRDefault="004E797C" w:rsidP="008A51B2">
            <w:pPr>
              <w:ind w:firstLine="0"/>
              <w:jc w:val="center"/>
              <w:rPr>
                <w:szCs w:val="20"/>
                <w:lang w:val="en-GB"/>
              </w:rPr>
            </w:pPr>
            <w:r w:rsidRPr="003F76C0">
              <w:rPr>
                <w:szCs w:val="20"/>
                <w:lang w:val="en-GB"/>
              </w:rPr>
              <w:t>Ship type</w:t>
            </w:r>
          </w:p>
        </w:tc>
        <w:tc>
          <w:tcPr>
            <w:tcW w:w="2660" w:type="dxa"/>
            <w:vAlign w:val="center"/>
          </w:tcPr>
          <w:p w14:paraId="1AC947A7" w14:textId="77777777" w:rsidR="004E797C" w:rsidRPr="003F76C0" w:rsidRDefault="004E797C" w:rsidP="008A51B2">
            <w:pPr>
              <w:ind w:firstLine="0"/>
              <w:jc w:val="center"/>
              <w:rPr>
                <w:szCs w:val="20"/>
                <w:lang w:val="en-GB"/>
              </w:rPr>
            </w:pPr>
            <w:r w:rsidRPr="003F76C0">
              <w:rPr>
                <w:szCs w:val="20"/>
                <w:lang w:val="en-GB"/>
              </w:rPr>
              <w:t>Size</w:t>
            </w:r>
          </w:p>
        </w:tc>
        <w:tc>
          <w:tcPr>
            <w:tcW w:w="2057" w:type="dxa"/>
            <w:vAlign w:val="center"/>
          </w:tcPr>
          <w:p w14:paraId="36CE86F1" w14:textId="77777777" w:rsidR="004E797C" w:rsidRPr="003F76C0" w:rsidRDefault="004E797C" w:rsidP="00ED642E">
            <w:pPr>
              <w:ind w:left="-179" w:right="-166" w:firstLine="0"/>
              <w:jc w:val="center"/>
              <w:rPr>
                <w:szCs w:val="20"/>
                <w:lang w:val="en-GB"/>
              </w:rPr>
            </w:pPr>
            <w:r w:rsidRPr="003F76C0">
              <w:rPr>
                <w:szCs w:val="20"/>
                <w:lang w:val="en-GB"/>
              </w:rPr>
              <w:t>Phase 2</w:t>
            </w:r>
          </w:p>
          <w:p w14:paraId="2C1BAB03" w14:textId="268153DB" w:rsidR="004E797C" w:rsidRPr="003F76C0" w:rsidRDefault="00575252" w:rsidP="00ED642E">
            <w:pPr>
              <w:ind w:left="-179" w:right="-166" w:firstLine="0"/>
              <w:jc w:val="center"/>
              <w:rPr>
                <w:szCs w:val="20"/>
                <w:lang w:val="en-GB"/>
              </w:rPr>
            </w:pPr>
            <w:r>
              <w:rPr>
                <w:szCs w:val="20"/>
                <w:lang w:val="en-GB"/>
              </w:rPr>
              <w:t>1st January</w:t>
            </w:r>
            <w:r w:rsidR="004E797C" w:rsidRPr="003F76C0">
              <w:rPr>
                <w:szCs w:val="20"/>
                <w:lang w:val="en-GB"/>
              </w:rPr>
              <w:t xml:space="preserve"> 2020 </w:t>
            </w:r>
            <w:r w:rsidR="00ED642E">
              <w:rPr>
                <w:szCs w:val="20"/>
                <w:lang w:val="en-GB"/>
              </w:rPr>
              <w:br/>
            </w:r>
            <w:r w:rsidR="004E797C" w:rsidRPr="003F76C0">
              <w:rPr>
                <w:szCs w:val="20"/>
                <w:lang w:val="en-GB"/>
              </w:rPr>
              <w:t>– 31</w:t>
            </w:r>
            <w:r>
              <w:rPr>
                <w:szCs w:val="20"/>
                <w:lang w:val="en-GB"/>
              </w:rPr>
              <w:t>st December</w:t>
            </w:r>
            <w:r w:rsidR="004E797C" w:rsidRPr="003F76C0">
              <w:rPr>
                <w:szCs w:val="20"/>
                <w:lang w:val="en-GB"/>
              </w:rPr>
              <w:t xml:space="preserve"> 2024</w:t>
            </w:r>
          </w:p>
        </w:tc>
        <w:tc>
          <w:tcPr>
            <w:tcW w:w="1624" w:type="dxa"/>
            <w:vAlign w:val="center"/>
          </w:tcPr>
          <w:p w14:paraId="3C7C554D" w14:textId="77777777" w:rsidR="004E797C" w:rsidRPr="003F76C0" w:rsidRDefault="004E797C" w:rsidP="008A51B2">
            <w:pPr>
              <w:ind w:firstLine="0"/>
              <w:jc w:val="center"/>
              <w:rPr>
                <w:szCs w:val="20"/>
                <w:lang w:val="en-GB"/>
              </w:rPr>
            </w:pPr>
            <w:r w:rsidRPr="003F76C0">
              <w:rPr>
                <w:szCs w:val="20"/>
                <w:lang w:val="en-GB"/>
              </w:rPr>
              <w:t>Phase 3</w:t>
            </w:r>
          </w:p>
          <w:p w14:paraId="08E14231" w14:textId="4030BED7" w:rsidR="004E797C" w:rsidRPr="003F76C0" w:rsidRDefault="00575252" w:rsidP="008A51B2">
            <w:pPr>
              <w:ind w:firstLine="0"/>
              <w:jc w:val="center"/>
              <w:rPr>
                <w:szCs w:val="20"/>
                <w:lang w:val="en-GB"/>
              </w:rPr>
            </w:pPr>
            <w:r>
              <w:rPr>
                <w:szCs w:val="20"/>
                <w:lang w:val="en-GB"/>
              </w:rPr>
              <w:t>1 January</w:t>
            </w:r>
            <w:r w:rsidR="004E797C" w:rsidRPr="003F76C0">
              <w:rPr>
                <w:szCs w:val="20"/>
                <w:lang w:val="en-GB"/>
              </w:rPr>
              <w:t xml:space="preserve"> 2022</w:t>
            </w:r>
          </w:p>
          <w:p w14:paraId="44B515C3" w14:textId="77777777" w:rsidR="004E797C" w:rsidRPr="003F76C0" w:rsidRDefault="004E797C" w:rsidP="008A51B2">
            <w:pPr>
              <w:ind w:firstLine="0"/>
              <w:jc w:val="center"/>
              <w:rPr>
                <w:szCs w:val="20"/>
                <w:lang w:val="en-GB"/>
              </w:rPr>
            </w:pPr>
            <w:r w:rsidRPr="003F76C0">
              <w:rPr>
                <w:szCs w:val="20"/>
                <w:lang w:val="en-GB"/>
              </w:rPr>
              <w:t>and onwards</w:t>
            </w:r>
          </w:p>
        </w:tc>
        <w:tc>
          <w:tcPr>
            <w:tcW w:w="1562" w:type="dxa"/>
            <w:vAlign w:val="center"/>
          </w:tcPr>
          <w:p w14:paraId="7210AA03" w14:textId="77777777" w:rsidR="004E797C" w:rsidRPr="003F76C0" w:rsidRDefault="004E797C" w:rsidP="008A51B2">
            <w:pPr>
              <w:ind w:firstLine="0"/>
              <w:jc w:val="center"/>
              <w:rPr>
                <w:szCs w:val="20"/>
                <w:lang w:val="en-GB"/>
              </w:rPr>
            </w:pPr>
            <w:r w:rsidRPr="003F76C0">
              <w:rPr>
                <w:szCs w:val="20"/>
                <w:lang w:val="en-GB"/>
              </w:rPr>
              <w:t>Phase 3</w:t>
            </w:r>
          </w:p>
          <w:p w14:paraId="04571C92" w14:textId="291613C0" w:rsidR="004E797C" w:rsidRPr="003F76C0" w:rsidRDefault="00575252" w:rsidP="008A51B2">
            <w:pPr>
              <w:ind w:firstLine="0"/>
              <w:jc w:val="center"/>
              <w:rPr>
                <w:szCs w:val="20"/>
                <w:lang w:val="en-GB"/>
              </w:rPr>
            </w:pPr>
            <w:r>
              <w:rPr>
                <w:szCs w:val="20"/>
                <w:lang w:val="en-GB"/>
              </w:rPr>
              <w:t>1 January</w:t>
            </w:r>
            <w:r w:rsidR="004E797C" w:rsidRPr="003F76C0">
              <w:rPr>
                <w:szCs w:val="20"/>
                <w:lang w:val="en-GB"/>
              </w:rPr>
              <w:t xml:space="preserve"> 2025</w:t>
            </w:r>
          </w:p>
          <w:p w14:paraId="1CEFBAAC" w14:textId="77777777" w:rsidR="004E797C" w:rsidRPr="003F76C0" w:rsidRDefault="004E797C" w:rsidP="008A51B2">
            <w:pPr>
              <w:ind w:firstLine="0"/>
              <w:jc w:val="center"/>
              <w:rPr>
                <w:szCs w:val="20"/>
                <w:lang w:val="en-GB"/>
              </w:rPr>
            </w:pPr>
            <w:r w:rsidRPr="003F76C0">
              <w:rPr>
                <w:szCs w:val="20"/>
                <w:lang w:val="en-GB"/>
              </w:rPr>
              <w:t>and onwards</w:t>
            </w:r>
          </w:p>
        </w:tc>
      </w:tr>
      <w:tr w:rsidR="004E797C" w:rsidRPr="00CD5BC5" w14:paraId="3D3D043B" w14:textId="77777777" w:rsidTr="00ED642E">
        <w:tc>
          <w:tcPr>
            <w:tcW w:w="1731" w:type="dxa"/>
            <w:vMerge w:val="restart"/>
            <w:vAlign w:val="center"/>
          </w:tcPr>
          <w:p w14:paraId="2C3BE50B" w14:textId="77777777" w:rsidR="004E797C" w:rsidRPr="00CD5BC5" w:rsidRDefault="004E797C" w:rsidP="008A51B2">
            <w:pPr>
              <w:ind w:firstLine="0"/>
              <w:jc w:val="left"/>
              <w:rPr>
                <w:szCs w:val="20"/>
                <w:lang w:val="en-GB"/>
              </w:rPr>
            </w:pPr>
            <w:r w:rsidRPr="00CD5BC5">
              <w:rPr>
                <w:szCs w:val="20"/>
                <w:lang w:val="en-GB"/>
              </w:rPr>
              <w:t>Bulk carrier</w:t>
            </w:r>
          </w:p>
        </w:tc>
        <w:tc>
          <w:tcPr>
            <w:tcW w:w="2660" w:type="dxa"/>
            <w:vAlign w:val="center"/>
          </w:tcPr>
          <w:p w14:paraId="10CEAE5E" w14:textId="77777777" w:rsidR="004E797C" w:rsidRPr="00CD5BC5" w:rsidRDefault="004E797C" w:rsidP="008A51B2">
            <w:pPr>
              <w:ind w:firstLine="0"/>
              <w:jc w:val="center"/>
              <w:rPr>
                <w:szCs w:val="20"/>
                <w:lang w:val="en-GB"/>
              </w:rPr>
            </w:pPr>
            <w:r w:rsidRPr="00CD5BC5">
              <w:rPr>
                <w:szCs w:val="20"/>
                <w:lang w:val="en-GB"/>
              </w:rPr>
              <w:t>20,000 DWT and above</w:t>
            </w:r>
          </w:p>
        </w:tc>
        <w:tc>
          <w:tcPr>
            <w:tcW w:w="2057" w:type="dxa"/>
            <w:vAlign w:val="center"/>
          </w:tcPr>
          <w:p w14:paraId="6403F7AE" w14:textId="77777777" w:rsidR="004E797C" w:rsidRPr="00CD5BC5" w:rsidRDefault="004E797C" w:rsidP="008A51B2">
            <w:pPr>
              <w:ind w:firstLine="0"/>
              <w:jc w:val="center"/>
              <w:rPr>
                <w:szCs w:val="20"/>
                <w:lang w:val="en-GB"/>
              </w:rPr>
            </w:pPr>
            <w:r w:rsidRPr="00CD5BC5">
              <w:rPr>
                <w:szCs w:val="20"/>
                <w:lang w:val="en-GB"/>
              </w:rPr>
              <w:t>20</w:t>
            </w:r>
          </w:p>
        </w:tc>
        <w:tc>
          <w:tcPr>
            <w:tcW w:w="1624" w:type="dxa"/>
            <w:vAlign w:val="center"/>
          </w:tcPr>
          <w:p w14:paraId="0741BC82" w14:textId="77777777" w:rsidR="004E797C" w:rsidRPr="00CD5BC5" w:rsidRDefault="004E797C" w:rsidP="008A51B2">
            <w:pPr>
              <w:ind w:firstLine="0"/>
              <w:jc w:val="center"/>
              <w:rPr>
                <w:szCs w:val="20"/>
                <w:lang w:val="en-GB"/>
              </w:rPr>
            </w:pPr>
          </w:p>
        </w:tc>
        <w:tc>
          <w:tcPr>
            <w:tcW w:w="1562" w:type="dxa"/>
            <w:vAlign w:val="center"/>
          </w:tcPr>
          <w:p w14:paraId="7FE98916" w14:textId="77777777" w:rsidR="004E797C" w:rsidRPr="00CD5BC5" w:rsidRDefault="004E797C" w:rsidP="008A51B2">
            <w:pPr>
              <w:ind w:firstLine="0"/>
              <w:jc w:val="center"/>
              <w:rPr>
                <w:szCs w:val="20"/>
                <w:lang w:val="en-GB"/>
              </w:rPr>
            </w:pPr>
            <w:r w:rsidRPr="00CD5BC5">
              <w:rPr>
                <w:szCs w:val="20"/>
                <w:lang w:val="en-GB"/>
              </w:rPr>
              <w:t>30</w:t>
            </w:r>
          </w:p>
        </w:tc>
      </w:tr>
      <w:tr w:rsidR="004E797C" w:rsidRPr="00CD5BC5" w14:paraId="6F830138" w14:textId="77777777" w:rsidTr="00ED642E">
        <w:tc>
          <w:tcPr>
            <w:tcW w:w="1731" w:type="dxa"/>
            <w:vMerge/>
            <w:vAlign w:val="center"/>
          </w:tcPr>
          <w:p w14:paraId="68D8335B" w14:textId="77777777" w:rsidR="004E797C" w:rsidRPr="00CD5BC5" w:rsidRDefault="004E797C" w:rsidP="008A51B2">
            <w:pPr>
              <w:ind w:firstLine="0"/>
              <w:jc w:val="left"/>
              <w:rPr>
                <w:szCs w:val="20"/>
                <w:lang w:val="en-GB"/>
              </w:rPr>
            </w:pPr>
          </w:p>
        </w:tc>
        <w:tc>
          <w:tcPr>
            <w:tcW w:w="2660" w:type="dxa"/>
            <w:vAlign w:val="center"/>
          </w:tcPr>
          <w:p w14:paraId="493727CA" w14:textId="77777777" w:rsidR="004E797C" w:rsidRPr="00CD5BC5" w:rsidRDefault="004E797C" w:rsidP="008A51B2">
            <w:pPr>
              <w:ind w:firstLine="0"/>
              <w:jc w:val="center"/>
              <w:rPr>
                <w:szCs w:val="20"/>
                <w:lang w:val="en-GB"/>
              </w:rPr>
            </w:pPr>
            <w:r w:rsidRPr="00CD5BC5">
              <w:rPr>
                <w:szCs w:val="20"/>
                <w:lang w:val="en-GB"/>
              </w:rPr>
              <w:t>10,000 and above but less than 20,000 DWT</w:t>
            </w:r>
          </w:p>
        </w:tc>
        <w:tc>
          <w:tcPr>
            <w:tcW w:w="2057" w:type="dxa"/>
            <w:vAlign w:val="center"/>
          </w:tcPr>
          <w:p w14:paraId="63FE4247" w14:textId="28EEE421" w:rsidR="004E797C" w:rsidRPr="00CD5BC5" w:rsidRDefault="004E797C" w:rsidP="008A51B2">
            <w:pPr>
              <w:ind w:firstLine="0"/>
              <w:jc w:val="center"/>
              <w:rPr>
                <w:szCs w:val="20"/>
                <w:lang w:val="en-GB"/>
              </w:rPr>
            </w:pPr>
            <w:r w:rsidRPr="00CD5BC5">
              <w:rPr>
                <w:szCs w:val="20"/>
                <w:lang w:val="en-GB"/>
              </w:rPr>
              <w:t>0</w:t>
            </w:r>
            <w:r w:rsidR="008A51B2">
              <w:rPr>
                <w:szCs w:val="20"/>
                <w:lang w:val="en-GB"/>
              </w:rPr>
              <w:t>-</w:t>
            </w:r>
            <w:r w:rsidRPr="00CD5BC5">
              <w:rPr>
                <w:szCs w:val="20"/>
                <w:lang w:val="en-GB"/>
              </w:rPr>
              <w:t>20*</w:t>
            </w:r>
          </w:p>
        </w:tc>
        <w:tc>
          <w:tcPr>
            <w:tcW w:w="1624" w:type="dxa"/>
            <w:vAlign w:val="center"/>
          </w:tcPr>
          <w:p w14:paraId="2C418C17" w14:textId="77777777" w:rsidR="004E797C" w:rsidRPr="00CD5BC5" w:rsidRDefault="004E797C" w:rsidP="008A51B2">
            <w:pPr>
              <w:ind w:firstLine="0"/>
              <w:jc w:val="center"/>
              <w:rPr>
                <w:szCs w:val="20"/>
                <w:lang w:val="en-GB"/>
              </w:rPr>
            </w:pPr>
          </w:p>
        </w:tc>
        <w:tc>
          <w:tcPr>
            <w:tcW w:w="1562" w:type="dxa"/>
            <w:vAlign w:val="center"/>
          </w:tcPr>
          <w:p w14:paraId="69A81037" w14:textId="7F5B6F9A" w:rsidR="004E797C" w:rsidRPr="00CD5BC5" w:rsidRDefault="004E797C" w:rsidP="008A51B2">
            <w:pPr>
              <w:ind w:firstLine="0"/>
              <w:jc w:val="center"/>
              <w:rPr>
                <w:szCs w:val="20"/>
                <w:lang w:val="en-GB"/>
              </w:rPr>
            </w:pPr>
            <w:r w:rsidRPr="00CD5BC5">
              <w:rPr>
                <w:szCs w:val="20"/>
                <w:lang w:val="en-GB"/>
              </w:rPr>
              <w:t>0</w:t>
            </w:r>
            <w:r w:rsidR="008A51B2">
              <w:rPr>
                <w:szCs w:val="20"/>
                <w:lang w:val="en-GB"/>
              </w:rPr>
              <w:t>-</w:t>
            </w:r>
            <w:r w:rsidRPr="00CD5BC5">
              <w:rPr>
                <w:szCs w:val="20"/>
                <w:lang w:val="en-GB"/>
              </w:rPr>
              <w:t>30*</w:t>
            </w:r>
          </w:p>
        </w:tc>
      </w:tr>
      <w:tr w:rsidR="004E797C" w:rsidRPr="00CD5BC5" w14:paraId="372B977C" w14:textId="77777777" w:rsidTr="00ED642E">
        <w:tc>
          <w:tcPr>
            <w:tcW w:w="1731" w:type="dxa"/>
            <w:vMerge w:val="restart"/>
            <w:vAlign w:val="center"/>
          </w:tcPr>
          <w:p w14:paraId="0FD2A91F" w14:textId="77777777" w:rsidR="004E797C" w:rsidRPr="00CD5BC5" w:rsidRDefault="004E797C" w:rsidP="008A51B2">
            <w:pPr>
              <w:ind w:firstLine="0"/>
              <w:jc w:val="left"/>
              <w:rPr>
                <w:szCs w:val="20"/>
                <w:lang w:val="en-GB"/>
              </w:rPr>
            </w:pPr>
            <w:r w:rsidRPr="00CD5BC5">
              <w:rPr>
                <w:szCs w:val="20"/>
                <w:lang w:val="en-GB"/>
              </w:rPr>
              <w:t>General Cargo ships</w:t>
            </w:r>
          </w:p>
        </w:tc>
        <w:tc>
          <w:tcPr>
            <w:tcW w:w="2660" w:type="dxa"/>
            <w:vAlign w:val="center"/>
          </w:tcPr>
          <w:p w14:paraId="1FAED3C5" w14:textId="77777777" w:rsidR="004E797C" w:rsidRPr="00CD5BC5" w:rsidRDefault="004E797C" w:rsidP="008A51B2">
            <w:pPr>
              <w:ind w:firstLine="0"/>
              <w:jc w:val="center"/>
              <w:rPr>
                <w:szCs w:val="20"/>
                <w:lang w:val="en-GB"/>
              </w:rPr>
            </w:pPr>
            <w:r w:rsidRPr="00CD5BC5">
              <w:rPr>
                <w:szCs w:val="20"/>
                <w:lang w:val="en-GB"/>
              </w:rPr>
              <w:t>15,000 DWT and above</w:t>
            </w:r>
          </w:p>
        </w:tc>
        <w:tc>
          <w:tcPr>
            <w:tcW w:w="2057" w:type="dxa"/>
            <w:vAlign w:val="center"/>
          </w:tcPr>
          <w:p w14:paraId="10FEE750" w14:textId="77777777" w:rsidR="004E797C" w:rsidRPr="00CD5BC5" w:rsidRDefault="004E797C" w:rsidP="008A51B2">
            <w:pPr>
              <w:ind w:firstLine="0"/>
              <w:jc w:val="center"/>
              <w:rPr>
                <w:szCs w:val="20"/>
                <w:lang w:val="en-GB"/>
              </w:rPr>
            </w:pPr>
          </w:p>
        </w:tc>
        <w:tc>
          <w:tcPr>
            <w:tcW w:w="1624" w:type="dxa"/>
            <w:vAlign w:val="center"/>
          </w:tcPr>
          <w:p w14:paraId="1DFCAB20" w14:textId="77777777" w:rsidR="004E797C" w:rsidRPr="00CD5BC5" w:rsidRDefault="004E797C" w:rsidP="008A51B2">
            <w:pPr>
              <w:ind w:firstLine="0"/>
              <w:jc w:val="center"/>
              <w:rPr>
                <w:szCs w:val="20"/>
                <w:lang w:val="en-GB"/>
              </w:rPr>
            </w:pPr>
            <w:r w:rsidRPr="00CD5BC5">
              <w:rPr>
                <w:szCs w:val="20"/>
                <w:lang w:val="en-GB"/>
              </w:rPr>
              <w:t>30</w:t>
            </w:r>
          </w:p>
        </w:tc>
        <w:tc>
          <w:tcPr>
            <w:tcW w:w="1562" w:type="dxa"/>
            <w:vAlign w:val="center"/>
          </w:tcPr>
          <w:p w14:paraId="013DB3E9" w14:textId="77777777" w:rsidR="004E797C" w:rsidRPr="00CD5BC5" w:rsidRDefault="004E797C" w:rsidP="008A51B2">
            <w:pPr>
              <w:ind w:firstLine="0"/>
              <w:jc w:val="center"/>
              <w:rPr>
                <w:szCs w:val="20"/>
                <w:lang w:val="en-GB"/>
              </w:rPr>
            </w:pPr>
          </w:p>
        </w:tc>
      </w:tr>
      <w:tr w:rsidR="004E797C" w:rsidRPr="00CD5BC5" w14:paraId="77BA739D" w14:textId="77777777" w:rsidTr="00ED642E">
        <w:tc>
          <w:tcPr>
            <w:tcW w:w="1731" w:type="dxa"/>
            <w:vMerge/>
            <w:vAlign w:val="center"/>
          </w:tcPr>
          <w:p w14:paraId="1E5F3F79" w14:textId="77777777" w:rsidR="004E797C" w:rsidRPr="00CD5BC5" w:rsidRDefault="004E797C" w:rsidP="008A51B2">
            <w:pPr>
              <w:ind w:firstLine="0"/>
              <w:jc w:val="left"/>
              <w:rPr>
                <w:szCs w:val="20"/>
                <w:lang w:val="en-GB"/>
              </w:rPr>
            </w:pPr>
          </w:p>
        </w:tc>
        <w:tc>
          <w:tcPr>
            <w:tcW w:w="2660" w:type="dxa"/>
            <w:vAlign w:val="center"/>
          </w:tcPr>
          <w:p w14:paraId="4712D894" w14:textId="77777777" w:rsidR="004E797C" w:rsidRPr="00CD5BC5" w:rsidRDefault="004E797C" w:rsidP="008A51B2">
            <w:pPr>
              <w:ind w:firstLine="0"/>
              <w:jc w:val="center"/>
              <w:rPr>
                <w:szCs w:val="20"/>
                <w:lang w:val="en-GB"/>
              </w:rPr>
            </w:pPr>
            <w:r w:rsidRPr="00CD5BC5">
              <w:rPr>
                <w:szCs w:val="20"/>
                <w:lang w:val="en-GB"/>
              </w:rPr>
              <w:t>3,000 and above but less than 15,000 DWT</w:t>
            </w:r>
          </w:p>
        </w:tc>
        <w:tc>
          <w:tcPr>
            <w:tcW w:w="2057" w:type="dxa"/>
            <w:vAlign w:val="center"/>
          </w:tcPr>
          <w:p w14:paraId="390B7484" w14:textId="77777777" w:rsidR="004E797C" w:rsidRPr="00CD5BC5" w:rsidRDefault="004E797C" w:rsidP="008A51B2">
            <w:pPr>
              <w:ind w:firstLine="0"/>
              <w:jc w:val="center"/>
              <w:rPr>
                <w:szCs w:val="20"/>
                <w:lang w:val="en-GB"/>
              </w:rPr>
            </w:pPr>
          </w:p>
        </w:tc>
        <w:tc>
          <w:tcPr>
            <w:tcW w:w="1624" w:type="dxa"/>
            <w:vAlign w:val="center"/>
          </w:tcPr>
          <w:p w14:paraId="0781C220" w14:textId="2FE73981" w:rsidR="004E797C" w:rsidRPr="00CD5BC5" w:rsidRDefault="004E797C" w:rsidP="008A51B2">
            <w:pPr>
              <w:ind w:firstLine="0"/>
              <w:jc w:val="center"/>
              <w:rPr>
                <w:szCs w:val="20"/>
                <w:lang w:val="en-GB"/>
              </w:rPr>
            </w:pPr>
            <w:r w:rsidRPr="00CD5BC5">
              <w:rPr>
                <w:szCs w:val="20"/>
                <w:lang w:val="en-GB"/>
              </w:rPr>
              <w:t>0</w:t>
            </w:r>
            <w:r w:rsidR="008A51B2">
              <w:rPr>
                <w:szCs w:val="20"/>
                <w:lang w:val="en-GB"/>
              </w:rPr>
              <w:t>-</w:t>
            </w:r>
            <w:r w:rsidRPr="00CD5BC5">
              <w:rPr>
                <w:szCs w:val="20"/>
                <w:lang w:val="en-GB"/>
              </w:rPr>
              <w:t>30*</w:t>
            </w:r>
          </w:p>
        </w:tc>
        <w:tc>
          <w:tcPr>
            <w:tcW w:w="1562" w:type="dxa"/>
            <w:vAlign w:val="center"/>
          </w:tcPr>
          <w:p w14:paraId="1800F4C2" w14:textId="77777777" w:rsidR="004E797C" w:rsidRPr="00CD5BC5" w:rsidRDefault="004E797C" w:rsidP="008A51B2">
            <w:pPr>
              <w:ind w:firstLine="0"/>
              <w:jc w:val="center"/>
              <w:rPr>
                <w:szCs w:val="20"/>
                <w:lang w:val="en-GB"/>
              </w:rPr>
            </w:pPr>
          </w:p>
        </w:tc>
      </w:tr>
      <w:tr w:rsidR="004E797C" w:rsidRPr="00CD5BC5" w14:paraId="5AF74C5E" w14:textId="77777777" w:rsidTr="00ED642E">
        <w:tc>
          <w:tcPr>
            <w:tcW w:w="1731" w:type="dxa"/>
            <w:vAlign w:val="center"/>
          </w:tcPr>
          <w:p w14:paraId="46F256A1" w14:textId="77777777" w:rsidR="004E797C" w:rsidRPr="00CD5BC5" w:rsidRDefault="004E797C" w:rsidP="008A51B2">
            <w:pPr>
              <w:ind w:firstLine="0"/>
              <w:jc w:val="left"/>
              <w:rPr>
                <w:szCs w:val="20"/>
                <w:lang w:val="en-GB"/>
              </w:rPr>
            </w:pPr>
            <w:r w:rsidRPr="00CD5BC5">
              <w:rPr>
                <w:szCs w:val="20"/>
                <w:lang w:val="en-GB"/>
              </w:rPr>
              <w:t>LNG carrier</w:t>
            </w:r>
          </w:p>
        </w:tc>
        <w:tc>
          <w:tcPr>
            <w:tcW w:w="2660" w:type="dxa"/>
            <w:vAlign w:val="center"/>
          </w:tcPr>
          <w:p w14:paraId="59F23D6C" w14:textId="77777777" w:rsidR="004E797C" w:rsidRPr="00CD5BC5" w:rsidRDefault="004E797C" w:rsidP="008A51B2">
            <w:pPr>
              <w:ind w:firstLine="0"/>
              <w:jc w:val="center"/>
              <w:rPr>
                <w:szCs w:val="20"/>
                <w:lang w:val="en-GB"/>
              </w:rPr>
            </w:pPr>
            <w:r w:rsidRPr="00CD5BC5">
              <w:rPr>
                <w:szCs w:val="20"/>
                <w:lang w:val="en-GB"/>
              </w:rPr>
              <w:t>10,000 DWT and above</w:t>
            </w:r>
          </w:p>
        </w:tc>
        <w:tc>
          <w:tcPr>
            <w:tcW w:w="2057" w:type="dxa"/>
            <w:vAlign w:val="center"/>
          </w:tcPr>
          <w:p w14:paraId="3D2B3765" w14:textId="77777777" w:rsidR="004E797C" w:rsidRPr="00CD5BC5" w:rsidRDefault="004E797C" w:rsidP="008A51B2">
            <w:pPr>
              <w:ind w:firstLine="0"/>
              <w:jc w:val="center"/>
              <w:rPr>
                <w:szCs w:val="20"/>
                <w:lang w:val="en-GB"/>
              </w:rPr>
            </w:pPr>
          </w:p>
        </w:tc>
        <w:tc>
          <w:tcPr>
            <w:tcW w:w="1624" w:type="dxa"/>
            <w:vAlign w:val="center"/>
          </w:tcPr>
          <w:p w14:paraId="3DF8EB64" w14:textId="77777777" w:rsidR="004E797C" w:rsidRPr="00CD5BC5" w:rsidRDefault="004E797C" w:rsidP="008A51B2">
            <w:pPr>
              <w:ind w:firstLine="0"/>
              <w:jc w:val="center"/>
              <w:rPr>
                <w:szCs w:val="20"/>
                <w:lang w:val="en-GB"/>
              </w:rPr>
            </w:pPr>
            <w:r w:rsidRPr="00CD5BC5">
              <w:rPr>
                <w:szCs w:val="20"/>
                <w:lang w:val="en-GB"/>
              </w:rPr>
              <w:t>30</w:t>
            </w:r>
          </w:p>
        </w:tc>
        <w:tc>
          <w:tcPr>
            <w:tcW w:w="1562" w:type="dxa"/>
            <w:vAlign w:val="center"/>
          </w:tcPr>
          <w:p w14:paraId="116B4308" w14:textId="77777777" w:rsidR="004E797C" w:rsidRPr="00CD5BC5" w:rsidRDefault="004E797C" w:rsidP="008A51B2">
            <w:pPr>
              <w:ind w:firstLine="0"/>
              <w:jc w:val="center"/>
              <w:rPr>
                <w:szCs w:val="20"/>
                <w:lang w:val="en-GB"/>
              </w:rPr>
            </w:pPr>
          </w:p>
        </w:tc>
      </w:tr>
      <w:tr w:rsidR="004E797C" w:rsidRPr="00CD5BC5" w14:paraId="13F7C5B6" w14:textId="77777777" w:rsidTr="00ED642E">
        <w:tc>
          <w:tcPr>
            <w:tcW w:w="1731" w:type="dxa"/>
            <w:vMerge w:val="restart"/>
            <w:vAlign w:val="center"/>
          </w:tcPr>
          <w:p w14:paraId="5C399068" w14:textId="77777777" w:rsidR="004E797C" w:rsidRPr="00CD5BC5" w:rsidRDefault="004E797C" w:rsidP="008A51B2">
            <w:pPr>
              <w:ind w:firstLine="0"/>
              <w:jc w:val="left"/>
              <w:rPr>
                <w:szCs w:val="20"/>
                <w:lang w:val="en-GB"/>
              </w:rPr>
            </w:pPr>
            <w:r w:rsidRPr="00CD5BC5">
              <w:rPr>
                <w:szCs w:val="20"/>
                <w:lang w:val="en-GB"/>
              </w:rPr>
              <w:t xml:space="preserve">Container vessel </w:t>
            </w:r>
          </w:p>
        </w:tc>
        <w:tc>
          <w:tcPr>
            <w:tcW w:w="2660" w:type="dxa"/>
            <w:vAlign w:val="center"/>
          </w:tcPr>
          <w:p w14:paraId="2765D2F4" w14:textId="77777777" w:rsidR="004E797C" w:rsidRPr="00CD5BC5" w:rsidRDefault="004E797C" w:rsidP="008A51B2">
            <w:pPr>
              <w:ind w:firstLine="0"/>
              <w:jc w:val="center"/>
              <w:rPr>
                <w:szCs w:val="20"/>
                <w:lang w:val="en-GB"/>
              </w:rPr>
            </w:pPr>
            <w:r w:rsidRPr="00CD5BC5">
              <w:rPr>
                <w:szCs w:val="20"/>
                <w:lang w:val="en-GB"/>
              </w:rPr>
              <w:t>200,000 DWT and above</w:t>
            </w:r>
          </w:p>
        </w:tc>
        <w:tc>
          <w:tcPr>
            <w:tcW w:w="2057" w:type="dxa"/>
            <w:vAlign w:val="center"/>
          </w:tcPr>
          <w:p w14:paraId="085AA712" w14:textId="77777777" w:rsidR="004E797C" w:rsidRPr="00CD5BC5" w:rsidRDefault="004E797C" w:rsidP="008A51B2">
            <w:pPr>
              <w:ind w:firstLine="0"/>
              <w:jc w:val="center"/>
              <w:rPr>
                <w:szCs w:val="20"/>
                <w:lang w:val="en-GB"/>
              </w:rPr>
            </w:pPr>
          </w:p>
        </w:tc>
        <w:tc>
          <w:tcPr>
            <w:tcW w:w="1624" w:type="dxa"/>
            <w:vAlign w:val="center"/>
          </w:tcPr>
          <w:p w14:paraId="18C81B82" w14:textId="77777777" w:rsidR="004E797C" w:rsidRPr="00CD5BC5" w:rsidRDefault="004E797C" w:rsidP="008A51B2">
            <w:pPr>
              <w:ind w:firstLine="0"/>
              <w:jc w:val="center"/>
              <w:rPr>
                <w:szCs w:val="20"/>
                <w:lang w:val="en-GB"/>
              </w:rPr>
            </w:pPr>
            <w:r w:rsidRPr="00CD5BC5">
              <w:rPr>
                <w:szCs w:val="20"/>
                <w:lang w:val="en-GB"/>
              </w:rPr>
              <w:t>50</w:t>
            </w:r>
          </w:p>
        </w:tc>
        <w:tc>
          <w:tcPr>
            <w:tcW w:w="1562" w:type="dxa"/>
            <w:vAlign w:val="center"/>
          </w:tcPr>
          <w:p w14:paraId="4FD40605" w14:textId="77777777" w:rsidR="004E797C" w:rsidRPr="00CD5BC5" w:rsidRDefault="004E797C" w:rsidP="008A51B2">
            <w:pPr>
              <w:ind w:firstLine="0"/>
              <w:jc w:val="center"/>
              <w:rPr>
                <w:szCs w:val="20"/>
                <w:lang w:val="en-GB"/>
              </w:rPr>
            </w:pPr>
          </w:p>
        </w:tc>
      </w:tr>
      <w:tr w:rsidR="004E797C" w:rsidRPr="00CD5BC5" w14:paraId="67F75791" w14:textId="77777777" w:rsidTr="00ED642E">
        <w:tc>
          <w:tcPr>
            <w:tcW w:w="1731" w:type="dxa"/>
            <w:vMerge/>
          </w:tcPr>
          <w:p w14:paraId="23688D11" w14:textId="77777777" w:rsidR="004E797C" w:rsidRPr="00CD5BC5" w:rsidRDefault="004E797C" w:rsidP="003E78FE">
            <w:pPr>
              <w:ind w:firstLine="0"/>
              <w:jc w:val="center"/>
              <w:rPr>
                <w:szCs w:val="20"/>
                <w:lang w:val="en-GB"/>
              </w:rPr>
            </w:pPr>
          </w:p>
        </w:tc>
        <w:tc>
          <w:tcPr>
            <w:tcW w:w="2660" w:type="dxa"/>
            <w:vAlign w:val="center"/>
          </w:tcPr>
          <w:p w14:paraId="7CF8969F" w14:textId="77777777" w:rsidR="004E797C" w:rsidRPr="00CD5BC5" w:rsidRDefault="004E797C" w:rsidP="008A51B2">
            <w:pPr>
              <w:ind w:firstLine="0"/>
              <w:jc w:val="center"/>
              <w:rPr>
                <w:szCs w:val="20"/>
                <w:lang w:val="en-GB"/>
              </w:rPr>
            </w:pPr>
            <w:r w:rsidRPr="00CD5BC5">
              <w:rPr>
                <w:szCs w:val="20"/>
                <w:lang w:val="en-GB"/>
              </w:rPr>
              <w:t>120,000 and above but less than 200,000 DWT</w:t>
            </w:r>
          </w:p>
        </w:tc>
        <w:tc>
          <w:tcPr>
            <w:tcW w:w="2057" w:type="dxa"/>
            <w:vAlign w:val="center"/>
          </w:tcPr>
          <w:p w14:paraId="67B73C9B" w14:textId="77777777" w:rsidR="004E797C" w:rsidRPr="00CD5BC5" w:rsidRDefault="004E797C" w:rsidP="008A51B2">
            <w:pPr>
              <w:ind w:firstLine="0"/>
              <w:jc w:val="center"/>
              <w:rPr>
                <w:szCs w:val="20"/>
                <w:lang w:val="en-GB"/>
              </w:rPr>
            </w:pPr>
          </w:p>
        </w:tc>
        <w:tc>
          <w:tcPr>
            <w:tcW w:w="1624" w:type="dxa"/>
            <w:vAlign w:val="center"/>
          </w:tcPr>
          <w:p w14:paraId="7B9D0768" w14:textId="77777777" w:rsidR="004E797C" w:rsidRPr="00CD5BC5" w:rsidRDefault="004E797C" w:rsidP="008A51B2">
            <w:pPr>
              <w:ind w:firstLine="0"/>
              <w:jc w:val="center"/>
              <w:rPr>
                <w:szCs w:val="20"/>
                <w:lang w:val="en-GB"/>
              </w:rPr>
            </w:pPr>
            <w:r w:rsidRPr="00CD5BC5">
              <w:rPr>
                <w:szCs w:val="20"/>
                <w:lang w:val="en-GB"/>
              </w:rPr>
              <w:t>45</w:t>
            </w:r>
          </w:p>
        </w:tc>
        <w:tc>
          <w:tcPr>
            <w:tcW w:w="1562" w:type="dxa"/>
            <w:vAlign w:val="center"/>
          </w:tcPr>
          <w:p w14:paraId="52321FB6" w14:textId="77777777" w:rsidR="004E797C" w:rsidRPr="00CD5BC5" w:rsidRDefault="004E797C" w:rsidP="008A51B2">
            <w:pPr>
              <w:ind w:firstLine="0"/>
              <w:jc w:val="center"/>
              <w:rPr>
                <w:szCs w:val="20"/>
                <w:lang w:val="en-GB"/>
              </w:rPr>
            </w:pPr>
          </w:p>
        </w:tc>
      </w:tr>
      <w:tr w:rsidR="004E797C" w:rsidRPr="00CD5BC5" w14:paraId="6459AAD8" w14:textId="77777777" w:rsidTr="00ED642E">
        <w:tc>
          <w:tcPr>
            <w:tcW w:w="1731" w:type="dxa"/>
            <w:vMerge/>
          </w:tcPr>
          <w:p w14:paraId="16E73656" w14:textId="77777777" w:rsidR="004E797C" w:rsidRPr="00CD5BC5" w:rsidRDefault="004E797C" w:rsidP="003E78FE">
            <w:pPr>
              <w:ind w:firstLine="0"/>
              <w:jc w:val="center"/>
              <w:rPr>
                <w:szCs w:val="20"/>
                <w:lang w:val="en-GB"/>
              </w:rPr>
            </w:pPr>
          </w:p>
        </w:tc>
        <w:tc>
          <w:tcPr>
            <w:tcW w:w="2660" w:type="dxa"/>
            <w:vAlign w:val="center"/>
          </w:tcPr>
          <w:p w14:paraId="3F1C40DB" w14:textId="77777777" w:rsidR="004E797C" w:rsidRPr="00CD5BC5" w:rsidRDefault="004E797C" w:rsidP="008A51B2">
            <w:pPr>
              <w:ind w:firstLine="0"/>
              <w:jc w:val="center"/>
              <w:rPr>
                <w:szCs w:val="20"/>
                <w:lang w:val="en-GB"/>
              </w:rPr>
            </w:pPr>
            <w:r w:rsidRPr="00CD5BC5">
              <w:rPr>
                <w:szCs w:val="20"/>
                <w:lang w:val="en-GB"/>
              </w:rPr>
              <w:t>80,000 and above but less than 120,000 DWT</w:t>
            </w:r>
          </w:p>
        </w:tc>
        <w:tc>
          <w:tcPr>
            <w:tcW w:w="2057" w:type="dxa"/>
            <w:vAlign w:val="center"/>
          </w:tcPr>
          <w:p w14:paraId="39F0F391" w14:textId="77777777" w:rsidR="004E797C" w:rsidRPr="00CD5BC5" w:rsidRDefault="004E797C" w:rsidP="008A51B2">
            <w:pPr>
              <w:ind w:firstLine="0"/>
              <w:jc w:val="center"/>
              <w:rPr>
                <w:szCs w:val="20"/>
                <w:lang w:val="en-GB"/>
              </w:rPr>
            </w:pPr>
          </w:p>
        </w:tc>
        <w:tc>
          <w:tcPr>
            <w:tcW w:w="1624" w:type="dxa"/>
            <w:vAlign w:val="center"/>
          </w:tcPr>
          <w:p w14:paraId="6BBCCBA1" w14:textId="77777777" w:rsidR="004E797C" w:rsidRPr="00CD5BC5" w:rsidRDefault="004E797C" w:rsidP="008A51B2">
            <w:pPr>
              <w:ind w:firstLine="0"/>
              <w:jc w:val="center"/>
              <w:rPr>
                <w:szCs w:val="20"/>
                <w:lang w:val="en-GB"/>
              </w:rPr>
            </w:pPr>
            <w:r w:rsidRPr="00CD5BC5">
              <w:rPr>
                <w:szCs w:val="20"/>
                <w:lang w:val="en-GB"/>
              </w:rPr>
              <w:t>40</w:t>
            </w:r>
          </w:p>
        </w:tc>
        <w:tc>
          <w:tcPr>
            <w:tcW w:w="1562" w:type="dxa"/>
            <w:vAlign w:val="center"/>
          </w:tcPr>
          <w:p w14:paraId="44DCC40B" w14:textId="77777777" w:rsidR="004E797C" w:rsidRPr="00CD5BC5" w:rsidRDefault="004E797C" w:rsidP="008A51B2">
            <w:pPr>
              <w:ind w:firstLine="0"/>
              <w:jc w:val="center"/>
              <w:rPr>
                <w:szCs w:val="20"/>
                <w:lang w:val="en-GB"/>
              </w:rPr>
            </w:pPr>
          </w:p>
        </w:tc>
      </w:tr>
      <w:tr w:rsidR="004E797C" w:rsidRPr="00CD5BC5" w14:paraId="1F2765C3" w14:textId="77777777" w:rsidTr="00ED642E">
        <w:tc>
          <w:tcPr>
            <w:tcW w:w="1731" w:type="dxa"/>
            <w:vMerge/>
          </w:tcPr>
          <w:p w14:paraId="5EFBF9EE" w14:textId="77777777" w:rsidR="004E797C" w:rsidRPr="00CD5BC5" w:rsidRDefault="004E797C" w:rsidP="003E78FE">
            <w:pPr>
              <w:ind w:firstLine="0"/>
              <w:jc w:val="center"/>
              <w:rPr>
                <w:szCs w:val="20"/>
                <w:lang w:val="en-GB"/>
              </w:rPr>
            </w:pPr>
          </w:p>
        </w:tc>
        <w:tc>
          <w:tcPr>
            <w:tcW w:w="2660" w:type="dxa"/>
            <w:vAlign w:val="center"/>
          </w:tcPr>
          <w:p w14:paraId="03B01B06" w14:textId="77777777" w:rsidR="004E797C" w:rsidRPr="00CD5BC5" w:rsidRDefault="004E797C" w:rsidP="008A51B2">
            <w:pPr>
              <w:ind w:firstLine="0"/>
              <w:jc w:val="center"/>
              <w:rPr>
                <w:szCs w:val="20"/>
                <w:lang w:val="en-GB"/>
              </w:rPr>
            </w:pPr>
            <w:r w:rsidRPr="00CD5BC5">
              <w:rPr>
                <w:szCs w:val="20"/>
                <w:lang w:val="en-GB"/>
              </w:rPr>
              <w:t>40,000 and above but less than 80,000 DWT</w:t>
            </w:r>
          </w:p>
        </w:tc>
        <w:tc>
          <w:tcPr>
            <w:tcW w:w="2057" w:type="dxa"/>
            <w:vAlign w:val="center"/>
          </w:tcPr>
          <w:p w14:paraId="16095673" w14:textId="77777777" w:rsidR="004E797C" w:rsidRPr="00CD5BC5" w:rsidRDefault="004E797C" w:rsidP="008A51B2">
            <w:pPr>
              <w:ind w:firstLine="0"/>
              <w:jc w:val="center"/>
              <w:rPr>
                <w:szCs w:val="20"/>
                <w:lang w:val="en-GB"/>
              </w:rPr>
            </w:pPr>
          </w:p>
        </w:tc>
        <w:tc>
          <w:tcPr>
            <w:tcW w:w="1624" w:type="dxa"/>
            <w:vAlign w:val="center"/>
          </w:tcPr>
          <w:p w14:paraId="7F464620" w14:textId="77777777" w:rsidR="004E797C" w:rsidRPr="00CD5BC5" w:rsidRDefault="004E797C" w:rsidP="008A51B2">
            <w:pPr>
              <w:ind w:firstLine="0"/>
              <w:jc w:val="center"/>
              <w:rPr>
                <w:szCs w:val="20"/>
                <w:lang w:val="en-GB"/>
              </w:rPr>
            </w:pPr>
            <w:r w:rsidRPr="00CD5BC5">
              <w:rPr>
                <w:szCs w:val="20"/>
                <w:lang w:val="en-GB"/>
              </w:rPr>
              <w:t>35</w:t>
            </w:r>
          </w:p>
        </w:tc>
        <w:tc>
          <w:tcPr>
            <w:tcW w:w="1562" w:type="dxa"/>
            <w:vAlign w:val="center"/>
          </w:tcPr>
          <w:p w14:paraId="45FD3D59" w14:textId="77777777" w:rsidR="004E797C" w:rsidRPr="00CD5BC5" w:rsidRDefault="004E797C" w:rsidP="008A51B2">
            <w:pPr>
              <w:ind w:firstLine="0"/>
              <w:jc w:val="center"/>
              <w:rPr>
                <w:szCs w:val="20"/>
                <w:lang w:val="en-GB"/>
              </w:rPr>
            </w:pPr>
          </w:p>
        </w:tc>
      </w:tr>
      <w:tr w:rsidR="004E797C" w:rsidRPr="00CD5BC5" w14:paraId="5898977D" w14:textId="77777777" w:rsidTr="00ED642E">
        <w:tc>
          <w:tcPr>
            <w:tcW w:w="1731" w:type="dxa"/>
            <w:vMerge/>
          </w:tcPr>
          <w:p w14:paraId="4577A8EE" w14:textId="77777777" w:rsidR="004E797C" w:rsidRPr="00CD5BC5" w:rsidRDefault="004E797C" w:rsidP="003E78FE">
            <w:pPr>
              <w:ind w:firstLine="0"/>
              <w:jc w:val="center"/>
              <w:rPr>
                <w:szCs w:val="20"/>
                <w:lang w:val="en-GB"/>
              </w:rPr>
            </w:pPr>
          </w:p>
        </w:tc>
        <w:tc>
          <w:tcPr>
            <w:tcW w:w="2660" w:type="dxa"/>
            <w:vAlign w:val="center"/>
          </w:tcPr>
          <w:p w14:paraId="1A988A0E" w14:textId="71D554B6" w:rsidR="004E797C" w:rsidRPr="00CD5BC5" w:rsidRDefault="004E797C" w:rsidP="008A51B2">
            <w:pPr>
              <w:ind w:firstLine="0"/>
              <w:jc w:val="center"/>
              <w:rPr>
                <w:szCs w:val="20"/>
                <w:lang w:val="en-GB"/>
              </w:rPr>
            </w:pPr>
            <w:r w:rsidRPr="00CD5BC5">
              <w:rPr>
                <w:szCs w:val="20"/>
                <w:lang w:val="en-GB"/>
              </w:rPr>
              <w:t>15,000 and above but less than 40,000</w:t>
            </w:r>
          </w:p>
        </w:tc>
        <w:tc>
          <w:tcPr>
            <w:tcW w:w="2057" w:type="dxa"/>
            <w:vAlign w:val="center"/>
          </w:tcPr>
          <w:p w14:paraId="68F4FB86" w14:textId="77777777" w:rsidR="004E797C" w:rsidRPr="00CD5BC5" w:rsidRDefault="004E797C" w:rsidP="008A51B2">
            <w:pPr>
              <w:ind w:firstLine="0"/>
              <w:jc w:val="center"/>
              <w:rPr>
                <w:szCs w:val="20"/>
                <w:lang w:val="en-GB"/>
              </w:rPr>
            </w:pPr>
          </w:p>
        </w:tc>
        <w:tc>
          <w:tcPr>
            <w:tcW w:w="1624" w:type="dxa"/>
            <w:vAlign w:val="center"/>
          </w:tcPr>
          <w:p w14:paraId="1962259D" w14:textId="77777777" w:rsidR="004E797C" w:rsidRPr="00CD5BC5" w:rsidRDefault="004E797C" w:rsidP="008A51B2">
            <w:pPr>
              <w:ind w:firstLine="0"/>
              <w:jc w:val="center"/>
              <w:rPr>
                <w:szCs w:val="20"/>
                <w:lang w:val="en-GB"/>
              </w:rPr>
            </w:pPr>
            <w:r w:rsidRPr="00CD5BC5">
              <w:rPr>
                <w:szCs w:val="20"/>
                <w:lang w:val="en-GB"/>
              </w:rPr>
              <w:t>30</w:t>
            </w:r>
          </w:p>
        </w:tc>
        <w:tc>
          <w:tcPr>
            <w:tcW w:w="1562" w:type="dxa"/>
            <w:vAlign w:val="center"/>
          </w:tcPr>
          <w:p w14:paraId="6549BB05" w14:textId="77777777" w:rsidR="004E797C" w:rsidRPr="00CD5BC5" w:rsidRDefault="004E797C" w:rsidP="008A51B2">
            <w:pPr>
              <w:ind w:firstLine="0"/>
              <w:jc w:val="center"/>
              <w:rPr>
                <w:szCs w:val="20"/>
                <w:lang w:val="en-GB"/>
              </w:rPr>
            </w:pPr>
          </w:p>
        </w:tc>
      </w:tr>
      <w:tr w:rsidR="004E797C" w:rsidRPr="00CD5BC5" w14:paraId="5661CF70" w14:textId="77777777" w:rsidTr="00ED642E">
        <w:tc>
          <w:tcPr>
            <w:tcW w:w="1731" w:type="dxa"/>
            <w:vMerge/>
          </w:tcPr>
          <w:p w14:paraId="70F88D18" w14:textId="77777777" w:rsidR="004E797C" w:rsidRPr="00CD5BC5" w:rsidRDefault="004E797C" w:rsidP="003E78FE">
            <w:pPr>
              <w:ind w:firstLine="0"/>
              <w:jc w:val="center"/>
              <w:rPr>
                <w:szCs w:val="20"/>
                <w:lang w:val="en-GB"/>
              </w:rPr>
            </w:pPr>
          </w:p>
        </w:tc>
        <w:tc>
          <w:tcPr>
            <w:tcW w:w="2660" w:type="dxa"/>
            <w:vAlign w:val="center"/>
          </w:tcPr>
          <w:p w14:paraId="0A49C723" w14:textId="77777777" w:rsidR="004E797C" w:rsidRPr="00CD5BC5" w:rsidRDefault="004E797C" w:rsidP="008A51B2">
            <w:pPr>
              <w:ind w:firstLine="0"/>
              <w:jc w:val="center"/>
              <w:rPr>
                <w:szCs w:val="20"/>
                <w:lang w:val="en-GB"/>
              </w:rPr>
            </w:pPr>
            <w:r w:rsidRPr="00CD5BC5">
              <w:rPr>
                <w:szCs w:val="20"/>
                <w:lang w:val="en-GB"/>
              </w:rPr>
              <w:t>10,000 and above but less than 15,000 DWT</w:t>
            </w:r>
          </w:p>
        </w:tc>
        <w:tc>
          <w:tcPr>
            <w:tcW w:w="2057" w:type="dxa"/>
            <w:vAlign w:val="center"/>
          </w:tcPr>
          <w:p w14:paraId="4B692F1B" w14:textId="77777777" w:rsidR="004E797C" w:rsidRPr="00CD5BC5" w:rsidRDefault="004E797C" w:rsidP="008A51B2">
            <w:pPr>
              <w:ind w:firstLine="0"/>
              <w:jc w:val="center"/>
              <w:rPr>
                <w:szCs w:val="20"/>
                <w:lang w:val="en-GB"/>
              </w:rPr>
            </w:pPr>
          </w:p>
        </w:tc>
        <w:tc>
          <w:tcPr>
            <w:tcW w:w="1624" w:type="dxa"/>
            <w:vAlign w:val="center"/>
          </w:tcPr>
          <w:p w14:paraId="1D40EACA" w14:textId="11EEE8DD" w:rsidR="004E797C" w:rsidRPr="00CD5BC5" w:rsidRDefault="004E797C" w:rsidP="008A51B2">
            <w:pPr>
              <w:ind w:firstLine="0"/>
              <w:jc w:val="center"/>
              <w:rPr>
                <w:szCs w:val="20"/>
                <w:lang w:val="en-GB"/>
              </w:rPr>
            </w:pPr>
            <w:r w:rsidRPr="00CD5BC5">
              <w:rPr>
                <w:szCs w:val="20"/>
                <w:lang w:val="en-GB"/>
              </w:rPr>
              <w:t>0</w:t>
            </w:r>
            <w:r w:rsidR="008A51B2">
              <w:rPr>
                <w:szCs w:val="20"/>
                <w:lang w:val="en-GB"/>
              </w:rPr>
              <w:t>-</w:t>
            </w:r>
            <w:r w:rsidRPr="00CD5BC5">
              <w:rPr>
                <w:szCs w:val="20"/>
                <w:lang w:val="en-GB"/>
              </w:rPr>
              <w:t>30*</w:t>
            </w:r>
          </w:p>
        </w:tc>
        <w:tc>
          <w:tcPr>
            <w:tcW w:w="1562" w:type="dxa"/>
            <w:vAlign w:val="center"/>
          </w:tcPr>
          <w:p w14:paraId="5E7C01E6" w14:textId="77777777" w:rsidR="004E797C" w:rsidRPr="00CD5BC5" w:rsidRDefault="004E797C" w:rsidP="008A51B2">
            <w:pPr>
              <w:ind w:firstLine="0"/>
              <w:jc w:val="center"/>
              <w:rPr>
                <w:szCs w:val="20"/>
                <w:lang w:val="en-GB"/>
              </w:rPr>
            </w:pPr>
          </w:p>
        </w:tc>
      </w:tr>
    </w:tbl>
    <w:p w14:paraId="015FD156" w14:textId="14C43F0B" w:rsidR="004E797C" w:rsidRPr="003F76C0" w:rsidRDefault="004E797C" w:rsidP="003F76C0">
      <w:pPr>
        <w:spacing w:before="120"/>
        <w:ind w:firstLine="0"/>
        <w:rPr>
          <w:sz w:val="20"/>
          <w:szCs w:val="18"/>
          <w:lang w:val="en-GB"/>
        </w:rPr>
      </w:pPr>
      <w:r w:rsidRPr="008A51B2">
        <w:rPr>
          <w:sz w:val="20"/>
          <w:szCs w:val="18"/>
          <w:shd w:val="clear" w:color="auto" w:fill="FFFFFF"/>
          <w:lang w:val="en-GB"/>
        </w:rPr>
        <w:t>*</w:t>
      </w:r>
      <w:r w:rsidRPr="003F76C0">
        <w:rPr>
          <w:sz w:val="20"/>
          <w:szCs w:val="18"/>
          <w:shd w:val="clear" w:color="auto" w:fill="FFFFFF"/>
          <w:lang w:val="en-GB"/>
        </w:rPr>
        <w:t>Reduction factor to be linearly interpolated between the two values dependent upon ship size. The lower value of the reduction factor is to be applied to the smaller ship size.</w:t>
      </w:r>
    </w:p>
    <w:p w14:paraId="3BE3BF16" w14:textId="77777777" w:rsidR="00ED642E" w:rsidRDefault="00ED642E">
      <w:pPr>
        <w:spacing w:after="160" w:line="259" w:lineRule="auto"/>
        <w:ind w:firstLine="0"/>
        <w:jc w:val="left"/>
        <w:rPr>
          <w:lang w:val="en-GB"/>
        </w:rPr>
      </w:pPr>
      <w:r>
        <w:rPr>
          <w:lang w:val="en-GB"/>
        </w:rPr>
        <w:br w:type="page"/>
      </w:r>
    </w:p>
    <w:p w14:paraId="7E09B4FE" w14:textId="7427F4B5" w:rsidR="004E797C" w:rsidRPr="00CD5BC5" w:rsidRDefault="004E797C" w:rsidP="004E797C">
      <w:pPr>
        <w:shd w:val="clear" w:color="auto" w:fill="FFFFFF"/>
        <w:ind w:firstLine="708"/>
        <w:rPr>
          <w:lang w:val="en-GB"/>
        </w:rPr>
      </w:pPr>
      <w:r w:rsidRPr="00CD5BC5">
        <w:rPr>
          <w:lang w:val="en-GB"/>
        </w:rPr>
        <w:lastRenderedPageBreak/>
        <w:t>The reference line values shall be calculated as follows:</w:t>
      </w:r>
    </w:p>
    <w:p w14:paraId="7963A289" w14:textId="6C68A63F" w:rsidR="004E797C" w:rsidRPr="00CD5BC5" w:rsidRDefault="004E797C" w:rsidP="00DE6440">
      <w:pPr>
        <w:shd w:val="clear" w:color="auto" w:fill="FFFFFF"/>
        <w:tabs>
          <w:tab w:val="right" w:pos="9639"/>
        </w:tabs>
        <w:spacing w:before="120" w:after="120"/>
        <w:ind w:left="720" w:firstLine="2824"/>
        <w:rPr>
          <w:i/>
          <w:iCs/>
          <w:lang w:val="en-GB"/>
        </w:rPr>
      </w:pPr>
      <w:r w:rsidRPr="00CD5BC5">
        <w:rPr>
          <w:lang w:val="en-GB"/>
        </w:rPr>
        <w:t>Reference line value =</w:t>
      </w:r>
      <w:r w:rsidR="00FD4732">
        <w:rPr>
          <w:lang w:val="en-GB"/>
        </w:rPr>
        <w:t xml:space="preserve"> </w:t>
      </w:r>
      <w:r w:rsidRPr="00CD5BC5">
        <w:rPr>
          <w:lang w:val="en-GB"/>
        </w:rPr>
        <w:t>a · b</w:t>
      </w:r>
      <w:r w:rsidRPr="00CD5BC5">
        <w:rPr>
          <w:vertAlign w:val="superscript"/>
          <w:lang w:val="en-GB"/>
        </w:rPr>
        <w:t>−c</w:t>
      </w:r>
      <w:r w:rsidR="003F76C0">
        <w:rPr>
          <w:lang w:val="en-GB"/>
        </w:rPr>
        <w:tab/>
      </w:r>
      <w:r w:rsidRPr="00CD5BC5">
        <w:rPr>
          <w:lang w:val="en-GB"/>
        </w:rPr>
        <w:t>(2)</w:t>
      </w:r>
    </w:p>
    <w:p w14:paraId="2927E2B2" w14:textId="42369ED3" w:rsidR="004E797C" w:rsidRPr="00CD5BC5" w:rsidRDefault="003F76C0" w:rsidP="003F76C0">
      <w:pPr>
        <w:shd w:val="clear" w:color="auto" w:fill="FFFFFF"/>
        <w:ind w:firstLine="0"/>
        <w:rPr>
          <w:lang w:val="en-GB"/>
        </w:rPr>
      </w:pPr>
      <w:r>
        <w:rPr>
          <w:lang w:val="en-GB"/>
        </w:rPr>
        <w:t>w</w:t>
      </w:r>
      <w:r w:rsidR="004E797C" w:rsidRPr="00CD5BC5">
        <w:rPr>
          <w:lang w:val="en-GB"/>
        </w:rPr>
        <w:t>here</w:t>
      </w:r>
      <w:r>
        <w:rPr>
          <w:lang w:val="en-GB"/>
        </w:rPr>
        <w:t xml:space="preserve"> </w:t>
      </w:r>
      <w:r w:rsidR="004E797C" w:rsidRPr="00CD5BC5">
        <w:rPr>
          <w:lang w:val="en-GB"/>
        </w:rPr>
        <w:t>a,</w:t>
      </w:r>
      <w:r>
        <w:rPr>
          <w:lang w:val="en-GB"/>
        </w:rPr>
        <w:t xml:space="preserve"> </w:t>
      </w:r>
      <w:r w:rsidR="004E797C" w:rsidRPr="00CD5BC5">
        <w:rPr>
          <w:lang w:val="en-GB"/>
        </w:rPr>
        <w:t>b</w:t>
      </w:r>
      <w:r>
        <w:rPr>
          <w:lang w:val="en-GB"/>
        </w:rPr>
        <w:t xml:space="preserve"> </w:t>
      </w:r>
      <w:r w:rsidR="004E797C" w:rsidRPr="00CD5BC5">
        <w:rPr>
          <w:lang w:val="en-GB"/>
        </w:rPr>
        <w:t>and</w:t>
      </w:r>
      <w:r>
        <w:rPr>
          <w:lang w:val="en-GB"/>
        </w:rPr>
        <w:t xml:space="preserve"> </w:t>
      </w:r>
      <w:r w:rsidR="004E797C" w:rsidRPr="00CD5BC5">
        <w:rPr>
          <w:lang w:val="en-GB"/>
        </w:rPr>
        <w:t>c</w:t>
      </w:r>
      <w:r>
        <w:rPr>
          <w:lang w:val="en-GB"/>
        </w:rPr>
        <w:t xml:space="preserve"> </w:t>
      </w:r>
      <w:r w:rsidR="004E797C" w:rsidRPr="00CD5BC5">
        <w:rPr>
          <w:lang w:val="en-GB"/>
        </w:rPr>
        <w:t>are the parameters given in Table 2.</w:t>
      </w:r>
    </w:p>
    <w:p w14:paraId="7A308E84" w14:textId="77777777" w:rsidR="004E797C" w:rsidRPr="00CD5BC5" w:rsidRDefault="004E797C" w:rsidP="004E797C">
      <w:pPr>
        <w:ind w:firstLine="708"/>
        <w:rPr>
          <w:lang w:val="en-GB"/>
        </w:rPr>
      </w:pPr>
    </w:p>
    <w:p w14:paraId="33D86593" w14:textId="057832A6" w:rsidR="004E797C" w:rsidRPr="00CD5BC5" w:rsidRDefault="004E797C" w:rsidP="008A51B2">
      <w:pPr>
        <w:pStyle w:val="Rtab"/>
        <w:rPr>
          <w:lang w:val="en-GB"/>
        </w:rPr>
      </w:pPr>
      <w:r w:rsidRPr="00CD5BC5">
        <w:rPr>
          <w:b/>
          <w:bCs/>
          <w:lang w:val="en-GB"/>
        </w:rPr>
        <w:t>Table 2.</w:t>
      </w:r>
      <w:r w:rsidRPr="00CD5BC5">
        <w:rPr>
          <w:lang w:val="en-GB"/>
        </w:rPr>
        <w:t xml:space="preserve"> Parameters for the determination of the reference values for the different ship types – selected </w:t>
      </w:r>
      <w:r w:rsidRPr="008A51B2">
        <w:rPr>
          <w:lang w:val="en-GB"/>
        </w:rPr>
        <w:t xml:space="preserve">examples </w:t>
      </w:r>
      <w:r w:rsidR="00C04B5C" w:rsidRPr="008A51B2">
        <w:rPr>
          <w:lang w:val="en-GB"/>
        </w:rPr>
        <w:t>(IMO 2023a, IMO 2023b)</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134"/>
        <w:gridCol w:w="4110"/>
        <w:gridCol w:w="1134"/>
      </w:tblGrid>
      <w:tr w:rsidR="004E797C" w:rsidRPr="003F76C0" w14:paraId="75D0EE61" w14:textId="77777777" w:rsidTr="003F76C0">
        <w:trPr>
          <w:trHeight w:val="351"/>
        </w:trPr>
        <w:tc>
          <w:tcPr>
            <w:tcW w:w="3256" w:type="dxa"/>
            <w:vAlign w:val="center"/>
          </w:tcPr>
          <w:p w14:paraId="0FBD898E" w14:textId="77777777" w:rsidR="004E797C" w:rsidRPr="003F76C0" w:rsidRDefault="004E797C" w:rsidP="003F76C0">
            <w:pPr>
              <w:ind w:firstLine="0"/>
              <w:jc w:val="center"/>
              <w:rPr>
                <w:szCs w:val="20"/>
                <w:lang w:val="en-GB"/>
              </w:rPr>
            </w:pPr>
            <w:r w:rsidRPr="003F76C0">
              <w:rPr>
                <w:szCs w:val="20"/>
                <w:lang w:val="en-GB"/>
              </w:rPr>
              <w:t>Ship type defined in Regulation 2</w:t>
            </w:r>
          </w:p>
        </w:tc>
        <w:tc>
          <w:tcPr>
            <w:tcW w:w="1134" w:type="dxa"/>
            <w:vAlign w:val="center"/>
          </w:tcPr>
          <w:p w14:paraId="7552B532" w14:textId="77777777" w:rsidR="004E797C" w:rsidRPr="003F76C0" w:rsidRDefault="004E797C" w:rsidP="003F76C0">
            <w:pPr>
              <w:ind w:firstLine="0"/>
              <w:jc w:val="center"/>
              <w:rPr>
                <w:szCs w:val="20"/>
                <w:lang w:val="en-GB"/>
              </w:rPr>
            </w:pPr>
            <w:r w:rsidRPr="003F76C0">
              <w:rPr>
                <w:szCs w:val="20"/>
                <w:lang w:val="en-GB"/>
              </w:rPr>
              <w:t>a</w:t>
            </w:r>
          </w:p>
        </w:tc>
        <w:tc>
          <w:tcPr>
            <w:tcW w:w="4110" w:type="dxa"/>
            <w:vAlign w:val="center"/>
          </w:tcPr>
          <w:p w14:paraId="00FE2A3E" w14:textId="77777777" w:rsidR="004E797C" w:rsidRPr="003F76C0" w:rsidRDefault="004E797C" w:rsidP="003F76C0">
            <w:pPr>
              <w:ind w:firstLine="0"/>
              <w:jc w:val="center"/>
              <w:rPr>
                <w:szCs w:val="20"/>
                <w:lang w:val="en-GB"/>
              </w:rPr>
            </w:pPr>
            <w:r w:rsidRPr="003F76C0">
              <w:rPr>
                <w:szCs w:val="20"/>
                <w:lang w:val="en-GB"/>
              </w:rPr>
              <w:t>b</w:t>
            </w:r>
          </w:p>
        </w:tc>
        <w:tc>
          <w:tcPr>
            <w:tcW w:w="1134" w:type="dxa"/>
            <w:vAlign w:val="center"/>
          </w:tcPr>
          <w:p w14:paraId="31A72F5E" w14:textId="77777777" w:rsidR="004E797C" w:rsidRPr="003F76C0" w:rsidRDefault="004E797C" w:rsidP="003F76C0">
            <w:pPr>
              <w:ind w:firstLine="0"/>
              <w:jc w:val="center"/>
              <w:rPr>
                <w:szCs w:val="20"/>
                <w:lang w:val="en-GB"/>
              </w:rPr>
            </w:pPr>
            <w:r w:rsidRPr="003F76C0">
              <w:rPr>
                <w:szCs w:val="20"/>
                <w:lang w:val="en-GB"/>
              </w:rPr>
              <w:t>c</w:t>
            </w:r>
          </w:p>
        </w:tc>
      </w:tr>
      <w:tr w:rsidR="004E797C" w:rsidRPr="003F76C0" w14:paraId="685F29DF" w14:textId="77777777" w:rsidTr="003F76C0">
        <w:tc>
          <w:tcPr>
            <w:tcW w:w="3256" w:type="dxa"/>
            <w:vAlign w:val="center"/>
          </w:tcPr>
          <w:p w14:paraId="6B5604A5" w14:textId="77777777" w:rsidR="004E797C" w:rsidRPr="003F76C0" w:rsidRDefault="004E797C" w:rsidP="003F76C0">
            <w:pPr>
              <w:ind w:firstLine="0"/>
              <w:jc w:val="left"/>
              <w:rPr>
                <w:szCs w:val="20"/>
                <w:lang w:val="en-GB"/>
              </w:rPr>
            </w:pPr>
            <w:r w:rsidRPr="003F76C0">
              <w:rPr>
                <w:szCs w:val="20"/>
                <w:lang w:val="en-GB"/>
              </w:rPr>
              <w:t>Bulk carrier</w:t>
            </w:r>
          </w:p>
        </w:tc>
        <w:tc>
          <w:tcPr>
            <w:tcW w:w="1134" w:type="dxa"/>
            <w:vAlign w:val="center"/>
          </w:tcPr>
          <w:p w14:paraId="5DFD2AD8" w14:textId="77777777" w:rsidR="004E797C" w:rsidRPr="003F76C0" w:rsidRDefault="004E797C" w:rsidP="003F76C0">
            <w:pPr>
              <w:ind w:firstLine="0"/>
              <w:jc w:val="center"/>
              <w:rPr>
                <w:szCs w:val="20"/>
                <w:lang w:val="en-GB"/>
              </w:rPr>
            </w:pPr>
            <w:r w:rsidRPr="003F76C0">
              <w:rPr>
                <w:szCs w:val="20"/>
                <w:lang w:val="en-GB"/>
              </w:rPr>
              <w:t>961.79</w:t>
            </w:r>
          </w:p>
        </w:tc>
        <w:tc>
          <w:tcPr>
            <w:tcW w:w="4110" w:type="dxa"/>
            <w:vAlign w:val="center"/>
          </w:tcPr>
          <w:p w14:paraId="546198E1" w14:textId="160A69B0" w:rsidR="004E797C" w:rsidRPr="003F76C0" w:rsidRDefault="004E797C" w:rsidP="003F76C0">
            <w:pPr>
              <w:ind w:firstLine="0"/>
              <w:jc w:val="center"/>
              <w:rPr>
                <w:szCs w:val="20"/>
                <w:lang w:val="en-GB"/>
              </w:rPr>
            </w:pPr>
            <w:r w:rsidRPr="003F76C0">
              <w:rPr>
                <w:szCs w:val="20"/>
                <w:lang w:val="en-GB"/>
              </w:rPr>
              <w:t>DWT of the ship where DWT</w:t>
            </w:r>
            <w:r w:rsidR="008A51B2">
              <w:rPr>
                <w:szCs w:val="20"/>
                <w:lang w:val="en-GB"/>
              </w:rPr>
              <w:t xml:space="preserve"> </w:t>
            </w:r>
            <w:r w:rsidRPr="003F76C0">
              <w:rPr>
                <w:szCs w:val="20"/>
                <w:lang w:val="en-GB"/>
              </w:rPr>
              <w:t>&lt;=</w:t>
            </w:r>
            <w:r w:rsidR="008A51B2">
              <w:rPr>
                <w:szCs w:val="20"/>
                <w:lang w:val="en-GB"/>
              </w:rPr>
              <w:t xml:space="preserve"> </w:t>
            </w:r>
            <w:r w:rsidRPr="003F76C0">
              <w:rPr>
                <w:szCs w:val="20"/>
                <w:lang w:val="en-GB"/>
              </w:rPr>
              <w:t>279,000</w:t>
            </w:r>
          </w:p>
          <w:p w14:paraId="3F32C59B" w14:textId="2885418E" w:rsidR="004E797C" w:rsidRPr="003F76C0" w:rsidRDefault="004E797C" w:rsidP="003F76C0">
            <w:pPr>
              <w:ind w:firstLine="0"/>
              <w:jc w:val="center"/>
              <w:rPr>
                <w:szCs w:val="20"/>
                <w:lang w:val="en-GB"/>
              </w:rPr>
            </w:pPr>
            <w:r w:rsidRPr="003F76C0">
              <w:rPr>
                <w:szCs w:val="20"/>
                <w:lang w:val="en-GB"/>
              </w:rPr>
              <w:t>279,000 where DWT</w:t>
            </w:r>
            <w:r w:rsidR="008A51B2">
              <w:rPr>
                <w:szCs w:val="20"/>
                <w:lang w:val="en-GB"/>
              </w:rPr>
              <w:t xml:space="preserve"> </w:t>
            </w:r>
            <w:r w:rsidRPr="003F76C0">
              <w:rPr>
                <w:szCs w:val="20"/>
                <w:lang w:val="en-GB"/>
              </w:rPr>
              <w:t>&gt; 279,000</w:t>
            </w:r>
          </w:p>
        </w:tc>
        <w:tc>
          <w:tcPr>
            <w:tcW w:w="1134" w:type="dxa"/>
            <w:vAlign w:val="center"/>
          </w:tcPr>
          <w:p w14:paraId="19D3AB4B" w14:textId="77777777" w:rsidR="004E797C" w:rsidRPr="003F76C0" w:rsidRDefault="004E797C" w:rsidP="003F76C0">
            <w:pPr>
              <w:ind w:firstLine="0"/>
              <w:jc w:val="center"/>
              <w:rPr>
                <w:szCs w:val="20"/>
                <w:lang w:val="en-GB"/>
              </w:rPr>
            </w:pPr>
            <w:r w:rsidRPr="003F76C0">
              <w:rPr>
                <w:szCs w:val="20"/>
                <w:lang w:val="en-GB"/>
              </w:rPr>
              <w:t>0.477</w:t>
            </w:r>
          </w:p>
        </w:tc>
      </w:tr>
      <w:tr w:rsidR="004E797C" w:rsidRPr="003F76C0" w14:paraId="291095A0" w14:textId="77777777" w:rsidTr="003F76C0">
        <w:tc>
          <w:tcPr>
            <w:tcW w:w="3256" w:type="dxa"/>
            <w:vAlign w:val="center"/>
          </w:tcPr>
          <w:p w14:paraId="25D630BF" w14:textId="77777777" w:rsidR="004E797C" w:rsidRPr="003F76C0" w:rsidRDefault="004E797C" w:rsidP="003F76C0">
            <w:pPr>
              <w:ind w:firstLine="0"/>
              <w:jc w:val="left"/>
              <w:rPr>
                <w:szCs w:val="20"/>
                <w:lang w:val="en-GB"/>
              </w:rPr>
            </w:pPr>
            <w:r w:rsidRPr="003F76C0">
              <w:rPr>
                <w:szCs w:val="20"/>
                <w:lang w:val="en-GB"/>
              </w:rPr>
              <w:t>General Cargo ship</w:t>
            </w:r>
          </w:p>
        </w:tc>
        <w:tc>
          <w:tcPr>
            <w:tcW w:w="1134" w:type="dxa"/>
            <w:vAlign w:val="center"/>
          </w:tcPr>
          <w:p w14:paraId="2518D5F9" w14:textId="77777777" w:rsidR="004E797C" w:rsidRPr="003F76C0" w:rsidRDefault="004E797C" w:rsidP="003F76C0">
            <w:pPr>
              <w:ind w:firstLine="0"/>
              <w:jc w:val="center"/>
              <w:rPr>
                <w:szCs w:val="20"/>
                <w:lang w:val="en-GB"/>
              </w:rPr>
            </w:pPr>
            <w:r w:rsidRPr="003F76C0">
              <w:rPr>
                <w:szCs w:val="20"/>
                <w:lang w:val="en-GB"/>
              </w:rPr>
              <w:t>107.48</w:t>
            </w:r>
          </w:p>
        </w:tc>
        <w:tc>
          <w:tcPr>
            <w:tcW w:w="4110" w:type="dxa"/>
            <w:vAlign w:val="center"/>
          </w:tcPr>
          <w:p w14:paraId="44D568FB" w14:textId="77777777" w:rsidR="004E797C" w:rsidRPr="003F76C0" w:rsidRDefault="004E797C" w:rsidP="003F76C0">
            <w:pPr>
              <w:ind w:firstLine="0"/>
              <w:jc w:val="center"/>
              <w:rPr>
                <w:szCs w:val="20"/>
                <w:lang w:val="en-GB"/>
              </w:rPr>
            </w:pPr>
            <w:r w:rsidRPr="003F76C0">
              <w:rPr>
                <w:szCs w:val="20"/>
                <w:lang w:val="en-GB"/>
              </w:rPr>
              <w:t>DWT of the ship</w:t>
            </w:r>
          </w:p>
        </w:tc>
        <w:tc>
          <w:tcPr>
            <w:tcW w:w="1134" w:type="dxa"/>
            <w:vAlign w:val="center"/>
          </w:tcPr>
          <w:p w14:paraId="4A292F83" w14:textId="77777777" w:rsidR="004E797C" w:rsidRPr="003F76C0" w:rsidRDefault="004E797C" w:rsidP="003F76C0">
            <w:pPr>
              <w:ind w:firstLine="0"/>
              <w:jc w:val="center"/>
              <w:rPr>
                <w:szCs w:val="20"/>
                <w:lang w:val="en-GB"/>
              </w:rPr>
            </w:pPr>
            <w:r w:rsidRPr="003F76C0">
              <w:rPr>
                <w:szCs w:val="20"/>
                <w:lang w:val="en-GB"/>
              </w:rPr>
              <w:t>0.216</w:t>
            </w:r>
          </w:p>
        </w:tc>
      </w:tr>
      <w:tr w:rsidR="004E797C" w:rsidRPr="003F76C0" w14:paraId="5BAC19C0" w14:textId="77777777" w:rsidTr="003F76C0">
        <w:tc>
          <w:tcPr>
            <w:tcW w:w="3256" w:type="dxa"/>
            <w:vAlign w:val="center"/>
          </w:tcPr>
          <w:p w14:paraId="7C48D737" w14:textId="77777777" w:rsidR="004E797C" w:rsidRPr="003F76C0" w:rsidRDefault="004E797C" w:rsidP="003F76C0">
            <w:pPr>
              <w:ind w:firstLine="0"/>
              <w:jc w:val="left"/>
              <w:rPr>
                <w:szCs w:val="20"/>
                <w:lang w:val="en-GB"/>
              </w:rPr>
            </w:pPr>
            <w:r w:rsidRPr="003F76C0">
              <w:rPr>
                <w:szCs w:val="20"/>
                <w:lang w:val="en-GB"/>
              </w:rPr>
              <w:t>LNG carrier</w:t>
            </w:r>
          </w:p>
        </w:tc>
        <w:tc>
          <w:tcPr>
            <w:tcW w:w="1134" w:type="dxa"/>
            <w:vAlign w:val="center"/>
          </w:tcPr>
          <w:p w14:paraId="11754CBF" w14:textId="77777777" w:rsidR="004E797C" w:rsidRPr="003F76C0" w:rsidRDefault="004E797C" w:rsidP="003F76C0">
            <w:pPr>
              <w:ind w:firstLine="0"/>
              <w:jc w:val="center"/>
              <w:rPr>
                <w:szCs w:val="20"/>
                <w:lang w:val="en-GB"/>
              </w:rPr>
            </w:pPr>
            <w:r w:rsidRPr="003F76C0">
              <w:rPr>
                <w:szCs w:val="20"/>
                <w:lang w:val="en-GB"/>
              </w:rPr>
              <w:t>2,253.7</w:t>
            </w:r>
          </w:p>
        </w:tc>
        <w:tc>
          <w:tcPr>
            <w:tcW w:w="4110" w:type="dxa"/>
            <w:vAlign w:val="center"/>
          </w:tcPr>
          <w:p w14:paraId="5C0E074A" w14:textId="7A8F1172" w:rsidR="004E797C" w:rsidRPr="003F76C0" w:rsidRDefault="004E797C" w:rsidP="003F76C0">
            <w:pPr>
              <w:tabs>
                <w:tab w:val="left" w:pos="389"/>
              </w:tabs>
              <w:ind w:firstLine="0"/>
              <w:jc w:val="center"/>
              <w:rPr>
                <w:szCs w:val="20"/>
                <w:lang w:val="en-GB"/>
              </w:rPr>
            </w:pPr>
            <w:r w:rsidRPr="003F76C0">
              <w:rPr>
                <w:szCs w:val="20"/>
                <w:lang w:val="en-GB"/>
              </w:rPr>
              <w:t>DWT of the ship</w:t>
            </w:r>
          </w:p>
        </w:tc>
        <w:tc>
          <w:tcPr>
            <w:tcW w:w="1134" w:type="dxa"/>
            <w:vAlign w:val="center"/>
          </w:tcPr>
          <w:p w14:paraId="213A7BCD" w14:textId="77777777" w:rsidR="004E797C" w:rsidRPr="003F76C0" w:rsidRDefault="004E797C" w:rsidP="003F76C0">
            <w:pPr>
              <w:ind w:firstLine="0"/>
              <w:jc w:val="center"/>
              <w:rPr>
                <w:szCs w:val="20"/>
                <w:lang w:val="en-GB"/>
              </w:rPr>
            </w:pPr>
            <w:r w:rsidRPr="003F76C0">
              <w:rPr>
                <w:szCs w:val="20"/>
                <w:lang w:val="en-GB"/>
              </w:rPr>
              <w:t>0.474</w:t>
            </w:r>
          </w:p>
        </w:tc>
      </w:tr>
      <w:tr w:rsidR="004E797C" w:rsidRPr="003F76C0" w14:paraId="0B87975C" w14:textId="77777777" w:rsidTr="003F76C0">
        <w:tc>
          <w:tcPr>
            <w:tcW w:w="3256" w:type="dxa"/>
            <w:vAlign w:val="center"/>
          </w:tcPr>
          <w:p w14:paraId="7464B004" w14:textId="77777777" w:rsidR="004E797C" w:rsidRPr="003F76C0" w:rsidRDefault="004E797C" w:rsidP="003F76C0">
            <w:pPr>
              <w:ind w:firstLine="0"/>
              <w:jc w:val="left"/>
              <w:rPr>
                <w:szCs w:val="20"/>
                <w:lang w:val="en-GB"/>
              </w:rPr>
            </w:pPr>
            <w:r w:rsidRPr="003F76C0">
              <w:rPr>
                <w:szCs w:val="20"/>
                <w:lang w:val="en-GB"/>
              </w:rPr>
              <w:t>Containership</w:t>
            </w:r>
          </w:p>
        </w:tc>
        <w:tc>
          <w:tcPr>
            <w:tcW w:w="1134" w:type="dxa"/>
            <w:vAlign w:val="center"/>
          </w:tcPr>
          <w:p w14:paraId="55C17E6A" w14:textId="77777777" w:rsidR="004E797C" w:rsidRPr="003F76C0" w:rsidRDefault="004E797C" w:rsidP="003F76C0">
            <w:pPr>
              <w:ind w:firstLine="0"/>
              <w:jc w:val="center"/>
              <w:rPr>
                <w:szCs w:val="20"/>
                <w:lang w:val="en-GB"/>
              </w:rPr>
            </w:pPr>
            <w:r w:rsidRPr="003F76C0">
              <w:rPr>
                <w:szCs w:val="20"/>
                <w:lang w:val="en-GB"/>
              </w:rPr>
              <w:t>174.22</w:t>
            </w:r>
          </w:p>
        </w:tc>
        <w:tc>
          <w:tcPr>
            <w:tcW w:w="4110" w:type="dxa"/>
            <w:vAlign w:val="center"/>
          </w:tcPr>
          <w:p w14:paraId="7B1B972C" w14:textId="77777777" w:rsidR="004E797C" w:rsidRPr="003F76C0" w:rsidRDefault="004E797C" w:rsidP="003F76C0">
            <w:pPr>
              <w:ind w:firstLine="0"/>
              <w:jc w:val="center"/>
              <w:rPr>
                <w:szCs w:val="20"/>
                <w:lang w:val="en-GB"/>
              </w:rPr>
            </w:pPr>
            <w:r w:rsidRPr="003F76C0">
              <w:rPr>
                <w:szCs w:val="20"/>
                <w:lang w:val="en-GB"/>
              </w:rPr>
              <w:t>DWT of the ship</w:t>
            </w:r>
          </w:p>
        </w:tc>
        <w:tc>
          <w:tcPr>
            <w:tcW w:w="1134" w:type="dxa"/>
            <w:vAlign w:val="center"/>
          </w:tcPr>
          <w:p w14:paraId="6C837E0D" w14:textId="77777777" w:rsidR="004E797C" w:rsidRPr="003F76C0" w:rsidRDefault="004E797C" w:rsidP="003F76C0">
            <w:pPr>
              <w:ind w:firstLine="0"/>
              <w:jc w:val="center"/>
              <w:rPr>
                <w:szCs w:val="20"/>
                <w:lang w:val="en-GB"/>
              </w:rPr>
            </w:pPr>
            <w:r w:rsidRPr="003F76C0">
              <w:rPr>
                <w:szCs w:val="20"/>
                <w:lang w:val="en-GB"/>
              </w:rPr>
              <w:t>0.201</w:t>
            </w:r>
          </w:p>
        </w:tc>
      </w:tr>
      <w:tr w:rsidR="004E797C" w:rsidRPr="003F76C0" w14:paraId="441EC97B" w14:textId="77777777" w:rsidTr="003F76C0">
        <w:tc>
          <w:tcPr>
            <w:tcW w:w="3256" w:type="dxa"/>
            <w:vAlign w:val="center"/>
          </w:tcPr>
          <w:p w14:paraId="6BC667C8" w14:textId="77777777" w:rsidR="004E797C" w:rsidRPr="003F76C0" w:rsidRDefault="004E797C" w:rsidP="003F76C0">
            <w:pPr>
              <w:ind w:firstLine="0"/>
              <w:jc w:val="left"/>
              <w:rPr>
                <w:szCs w:val="20"/>
                <w:lang w:val="en-GB"/>
              </w:rPr>
            </w:pPr>
            <w:r w:rsidRPr="003F76C0">
              <w:rPr>
                <w:szCs w:val="20"/>
                <w:lang w:val="en-GB"/>
              </w:rPr>
              <w:t>Tanker</w:t>
            </w:r>
          </w:p>
        </w:tc>
        <w:tc>
          <w:tcPr>
            <w:tcW w:w="1134" w:type="dxa"/>
            <w:vAlign w:val="center"/>
          </w:tcPr>
          <w:p w14:paraId="358848CF" w14:textId="77777777" w:rsidR="004E797C" w:rsidRPr="003F76C0" w:rsidRDefault="004E797C" w:rsidP="003F76C0">
            <w:pPr>
              <w:ind w:firstLine="0"/>
              <w:jc w:val="center"/>
              <w:rPr>
                <w:szCs w:val="20"/>
                <w:lang w:val="en-GB"/>
              </w:rPr>
            </w:pPr>
            <w:r w:rsidRPr="003F76C0">
              <w:rPr>
                <w:szCs w:val="20"/>
                <w:lang w:val="en-GB"/>
              </w:rPr>
              <w:t>1,218.80</w:t>
            </w:r>
          </w:p>
        </w:tc>
        <w:tc>
          <w:tcPr>
            <w:tcW w:w="4110" w:type="dxa"/>
            <w:vAlign w:val="center"/>
          </w:tcPr>
          <w:p w14:paraId="485E0F6E" w14:textId="77777777" w:rsidR="004E797C" w:rsidRPr="003F76C0" w:rsidRDefault="004E797C" w:rsidP="003F76C0">
            <w:pPr>
              <w:ind w:firstLine="0"/>
              <w:jc w:val="center"/>
              <w:rPr>
                <w:szCs w:val="20"/>
                <w:lang w:val="en-GB"/>
              </w:rPr>
            </w:pPr>
            <w:r w:rsidRPr="003F76C0">
              <w:rPr>
                <w:szCs w:val="20"/>
                <w:lang w:val="en-GB"/>
              </w:rPr>
              <w:t>DWT of the ship</w:t>
            </w:r>
          </w:p>
        </w:tc>
        <w:tc>
          <w:tcPr>
            <w:tcW w:w="1134" w:type="dxa"/>
            <w:vAlign w:val="center"/>
          </w:tcPr>
          <w:p w14:paraId="5B82CDD2" w14:textId="77777777" w:rsidR="004E797C" w:rsidRPr="003F76C0" w:rsidRDefault="004E797C" w:rsidP="003F76C0">
            <w:pPr>
              <w:ind w:firstLine="0"/>
              <w:jc w:val="center"/>
              <w:rPr>
                <w:szCs w:val="20"/>
                <w:lang w:val="en-GB"/>
              </w:rPr>
            </w:pPr>
            <w:r w:rsidRPr="003F76C0">
              <w:rPr>
                <w:szCs w:val="20"/>
                <w:lang w:val="en-GB"/>
              </w:rPr>
              <w:t>0.488</w:t>
            </w:r>
          </w:p>
        </w:tc>
      </w:tr>
    </w:tbl>
    <w:p w14:paraId="1532E729" w14:textId="77777777" w:rsidR="003F76C0" w:rsidRDefault="003F76C0" w:rsidP="003F76C0">
      <w:pPr>
        <w:ind w:firstLine="284"/>
        <w:rPr>
          <w:lang w:val="en-GB"/>
        </w:rPr>
      </w:pPr>
    </w:p>
    <w:p w14:paraId="468B4D30" w14:textId="298A8DA0" w:rsidR="004E797C" w:rsidRPr="00CD5BC5" w:rsidRDefault="004E797C" w:rsidP="003F76C0">
      <w:pPr>
        <w:ind w:firstLine="284"/>
        <w:rPr>
          <w:lang w:val="en-GB"/>
        </w:rPr>
      </w:pPr>
      <w:r w:rsidRPr="00CD5BC5">
        <w:rPr>
          <w:lang w:val="en-GB"/>
        </w:rPr>
        <w:t xml:space="preserve">This indicator could be achieved if the ship was operated </w:t>
      </w:r>
      <w:r w:rsidR="00575252">
        <w:rPr>
          <w:lang w:val="en-GB"/>
        </w:rPr>
        <w:t>following</w:t>
      </w:r>
      <w:r w:rsidRPr="00CD5BC5">
        <w:rPr>
          <w:lang w:val="en-GB"/>
        </w:rPr>
        <w:t xml:space="preserve"> the design assumptions. Changing the operating speed of a ship </w:t>
      </w:r>
      <w:r w:rsidR="00575252">
        <w:rPr>
          <w:lang w:val="en-GB"/>
        </w:rPr>
        <w:t>drastically changes</w:t>
      </w:r>
      <w:r w:rsidR="00575252" w:rsidRPr="00CD5BC5">
        <w:rPr>
          <w:lang w:val="en-GB"/>
        </w:rPr>
        <w:t xml:space="preserve"> </w:t>
      </w:r>
      <w:r w:rsidRPr="00CD5BC5">
        <w:rPr>
          <w:lang w:val="en-GB"/>
        </w:rPr>
        <w:t>the power demand for ship propulsion, which makes it difficult to use and reduces the efficiency of waste heat utili</w:t>
      </w:r>
      <w:r w:rsidR="00575252">
        <w:rPr>
          <w:lang w:val="en-GB"/>
        </w:rPr>
        <w:t>s</w:t>
      </w:r>
      <w:r w:rsidRPr="00CD5BC5">
        <w:rPr>
          <w:lang w:val="en-GB"/>
        </w:rPr>
        <w:t>ation systems. In addition, not all systems were started (this requires time to start them at a certain load of the main engine, and at the same time</w:t>
      </w:r>
      <w:r w:rsidR="00575252">
        <w:rPr>
          <w:lang w:val="en-GB"/>
        </w:rPr>
        <w:t>,</w:t>
      </w:r>
      <w:r w:rsidRPr="00CD5BC5">
        <w:rPr>
          <w:lang w:val="en-GB"/>
        </w:rPr>
        <w:t xml:space="preserve"> there are problems with their rational use </w:t>
      </w:r>
      <w:r w:rsidR="009352B6">
        <w:rPr>
          <w:lang w:val="en-GB"/>
        </w:rPr>
        <w:t>–</w:t>
      </w:r>
      <w:r w:rsidRPr="00CD5BC5">
        <w:rPr>
          <w:lang w:val="en-GB"/>
        </w:rPr>
        <w:t xml:space="preserve"> due to the inability to store excess energy).</w:t>
      </w:r>
    </w:p>
    <w:p w14:paraId="691D16DB" w14:textId="5B491BCE" w:rsidR="004E797C" w:rsidRPr="00CD5BC5" w:rsidRDefault="004E797C" w:rsidP="003F76C0">
      <w:pPr>
        <w:ind w:firstLine="284"/>
        <w:rPr>
          <w:lang w:val="en-GB"/>
        </w:rPr>
      </w:pPr>
      <w:r w:rsidRPr="00CD5BC5">
        <w:rPr>
          <w:lang w:val="en-GB"/>
        </w:rPr>
        <w:t>As a result of the development of systems increasing the energy efficiency of the power plant engines, significant investment costs were incurred to meet the EEDI indicator</w:t>
      </w:r>
      <w:r w:rsidR="00575252">
        <w:rPr>
          <w:lang w:val="en-GB"/>
        </w:rPr>
        <w:t>. Then in many operational states of the ship, there were problems with their effective use, which resulted in the fact that the actual energy efficiency indicator of the ship changed over time. M</w:t>
      </w:r>
      <w:r w:rsidRPr="00CD5BC5">
        <w:rPr>
          <w:lang w:val="en-GB"/>
        </w:rPr>
        <w:t>ost of the operational states were above the design index.</w:t>
      </w:r>
    </w:p>
    <w:p w14:paraId="1C02C965" w14:textId="77777777" w:rsidR="004E797C" w:rsidRPr="00CD5BC5" w:rsidRDefault="004E797C" w:rsidP="003F76C0">
      <w:pPr>
        <w:pStyle w:val="Rn2"/>
        <w:rPr>
          <w:i/>
          <w:lang w:val="en-GB"/>
        </w:rPr>
      </w:pPr>
      <w:r w:rsidRPr="00CD5BC5">
        <w:rPr>
          <w:lang w:val="en-GB"/>
        </w:rPr>
        <w:t xml:space="preserve">3.2. Ship energy efficiency indicators and their limits </w:t>
      </w:r>
    </w:p>
    <w:p w14:paraId="31F4E881" w14:textId="5D96D550" w:rsidR="004E797C" w:rsidRPr="00CD5BC5" w:rsidRDefault="004E797C" w:rsidP="003F76C0">
      <w:pPr>
        <w:ind w:firstLine="284"/>
        <w:rPr>
          <w:lang w:val="en-GB"/>
        </w:rPr>
      </w:pPr>
      <w:r w:rsidRPr="00CD5BC5">
        <w:rPr>
          <w:shd w:val="clear" w:color="auto" w:fill="FFFFFF"/>
          <w:lang w:val="en-GB"/>
        </w:rPr>
        <w:t xml:space="preserve">After the end of calendar year 2023 and after the end of each following calendar year, each ship of 5,000 gross tonnage and above which falls into one or more of the categories in regulations of Annex VI shall calculate the attained annual operational CII over </w:t>
      </w:r>
      <w:r w:rsidR="00575252">
        <w:rPr>
          <w:shd w:val="clear" w:color="auto" w:fill="FFFFFF"/>
          <w:lang w:val="en-GB"/>
        </w:rPr>
        <w:t>12 months</w:t>
      </w:r>
      <w:r w:rsidRPr="00CD5BC5">
        <w:rPr>
          <w:shd w:val="clear" w:color="auto" w:fill="FFFFFF"/>
          <w:lang w:val="en-GB"/>
        </w:rPr>
        <w:t xml:space="preserve"> from 1 January to 31 December for the preceding calendar year, using the data collected </w:t>
      </w:r>
      <w:r w:rsidR="00575252">
        <w:rPr>
          <w:shd w:val="clear" w:color="auto" w:fill="FFFFFF"/>
          <w:lang w:val="en-GB"/>
        </w:rPr>
        <w:t>following</w:t>
      </w:r>
      <w:r w:rsidRPr="00CD5BC5">
        <w:rPr>
          <w:shd w:val="clear" w:color="auto" w:fill="FFFFFF"/>
          <w:lang w:val="en-GB"/>
        </w:rPr>
        <w:t xml:space="preserve"> Regulation 27 of this Annex, taking into account the guidelines to be developed by </w:t>
      </w:r>
      <w:r w:rsidRPr="008A51B2">
        <w:rPr>
          <w:shd w:val="clear" w:color="auto" w:fill="FFFFFF"/>
          <w:lang w:val="en-GB"/>
        </w:rPr>
        <w:t>the IMO</w:t>
      </w:r>
      <w:r w:rsidR="00C04B5C" w:rsidRPr="008A51B2">
        <w:rPr>
          <w:shd w:val="clear" w:color="auto" w:fill="FFFFFF"/>
          <w:lang w:val="en-GB"/>
        </w:rPr>
        <w:t xml:space="preserve"> (IMO 2023d)</w:t>
      </w:r>
      <w:r w:rsidRPr="008A51B2">
        <w:rPr>
          <w:shd w:val="clear" w:color="auto" w:fill="FFFFFF"/>
          <w:lang w:val="en-GB"/>
        </w:rPr>
        <w:t>.</w:t>
      </w:r>
    </w:p>
    <w:p w14:paraId="1B887B47" w14:textId="77777777" w:rsidR="004E797C" w:rsidRPr="00CD5BC5" w:rsidRDefault="004E797C" w:rsidP="003F76C0">
      <w:pPr>
        <w:shd w:val="clear" w:color="auto" w:fill="FFFFFF"/>
        <w:ind w:firstLine="284"/>
        <w:rPr>
          <w:lang w:val="en-GB"/>
        </w:rPr>
      </w:pPr>
      <w:r w:rsidRPr="00CD5BC5">
        <w:rPr>
          <w:lang w:val="en-GB"/>
        </w:rPr>
        <w:t>The required annual operational CII shall be determined as follows:</w:t>
      </w:r>
    </w:p>
    <w:p w14:paraId="0EAFDF89" w14:textId="1744A617" w:rsidR="004E797C" w:rsidRPr="00CD5BC5" w:rsidRDefault="004E797C" w:rsidP="00DE6440">
      <w:pPr>
        <w:shd w:val="clear" w:color="auto" w:fill="FFFFFF"/>
        <w:tabs>
          <w:tab w:val="right" w:pos="9639"/>
        </w:tabs>
        <w:spacing w:before="120" w:after="120"/>
        <w:ind w:firstLine="2410"/>
        <w:jc w:val="center"/>
        <w:rPr>
          <w:lang w:val="en-GB"/>
        </w:rPr>
      </w:pPr>
      <w:r w:rsidRPr="00CD5BC5">
        <w:rPr>
          <w:lang w:val="en-GB"/>
        </w:rPr>
        <w:t>Required annual operational CII = (</w:t>
      </w:r>
      <m:oMath>
        <m:r>
          <w:rPr>
            <w:rFonts w:ascii="Cambria Math" w:hAnsi="Cambria Math"/>
            <w:lang w:val="en-GB"/>
          </w:rPr>
          <m:t>1-</m:t>
        </m:r>
        <m:f>
          <m:fPr>
            <m:ctrlPr>
              <w:rPr>
                <w:rFonts w:ascii="Cambria Math" w:hAnsi="Cambria Math"/>
                <w:i/>
                <w:lang w:val="en-GB"/>
              </w:rPr>
            </m:ctrlPr>
          </m:fPr>
          <m:num>
            <m:r>
              <w:rPr>
                <w:rFonts w:ascii="Cambria Math" w:hAnsi="Cambria Math"/>
                <w:lang w:val="en-GB"/>
              </w:rPr>
              <m:t>Z</m:t>
            </m:r>
          </m:num>
          <m:den>
            <m:r>
              <w:rPr>
                <w:rFonts w:ascii="Cambria Math" w:hAnsi="Cambria Math"/>
                <w:lang w:val="en-GB"/>
              </w:rPr>
              <m:t>100</m:t>
            </m:r>
          </m:den>
        </m:f>
      </m:oMath>
      <w:r w:rsidRPr="00CD5BC5">
        <w:rPr>
          <w:lang w:val="en-GB"/>
        </w:rPr>
        <w:t>) · CII</w:t>
      </w:r>
      <w:r w:rsidRPr="00CD5BC5">
        <w:rPr>
          <w:vertAlign w:val="subscript"/>
          <w:lang w:val="en-GB"/>
        </w:rPr>
        <w:t>R</w:t>
      </w:r>
      <w:r w:rsidR="00CD5BC5">
        <w:rPr>
          <w:lang w:val="en-GB"/>
        </w:rPr>
        <w:tab/>
      </w:r>
      <w:r w:rsidRPr="00CD5BC5">
        <w:rPr>
          <w:lang w:val="en-GB"/>
        </w:rPr>
        <w:t>(3)</w:t>
      </w:r>
    </w:p>
    <w:p w14:paraId="2752F529" w14:textId="2735C446" w:rsidR="004E797C" w:rsidRPr="00CD5BC5" w:rsidRDefault="004E797C" w:rsidP="003F76C0">
      <w:pPr>
        <w:shd w:val="clear" w:color="auto" w:fill="FFFFFF"/>
        <w:ind w:firstLine="0"/>
        <w:rPr>
          <w:lang w:val="en-GB"/>
        </w:rPr>
      </w:pPr>
      <w:r w:rsidRPr="00CD5BC5">
        <w:rPr>
          <w:lang w:val="en-GB"/>
        </w:rPr>
        <w:t xml:space="preserve">where </w:t>
      </w:r>
      <m:oMath>
        <m:r>
          <w:rPr>
            <w:rFonts w:ascii="Cambria Math" w:hAnsi="Cambria Math"/>
            <w:lang w:val="en-GB"/>
          </w:rPr>
          <m:t>Z</m:t>
        </m:r>
      </m:oMath>
      <w:r w:rsidRPr="00CD5BC5">
        <w:rPr>
          <w:lang w:val="en-GB"/>
        </w:rPr>
        <w:t xml:space="preserve"> is the annual reduction factor to ensure continuous improvement of the ship</w:t>
      </w:r>
      <w:r w:rsidR="00575252">
        <w:rPr>
          <w:lang w:val="en-GB"/>
        </w:rPr>
        <w:t>'</w:t>
      </w:r>
      <w:r w:rsidRPr="00CD5BC5">
        <w:rPr>
          <w:lang w:val="en-GB"/>
        </w:rPr>
        <w:t>s operational carbon intensity within a specific rating level</w:t>
      </w:r>
      <w:r w:rsidR="00575252">
        <w:rPr>
          <w:lang w:val="en-GB"/>
        </w:rPr>
        <w:t>,</w:t>
      </w:r>
      <w:r w:rsidRPr="00CD5BC5">
        <w:rPr>
          <w:lang w:val="en-GB"/>
        </w:rPr>
        <w:t xml:space="preserve"> and CII</w:t>
      </w:r>
      <w:r w:rsidRPr="00CD5BC5">
        <w:rPr>
          <w:vertAlign w:val="subscript"/>
          <w:lang w:val="en-GB"/>
        </w:rPr>
        <w:t>R</w:t>
      </w:r>
      <w:r w:rsidRPr="00CD5BC5">
        <w:rPr>
          <w:lang w:val="en-GB"/>
        </w:rPr>
        <w:t> is the reference value.</w:t>
      </w:r>
    </w:p>
    <w:p w14:paraId="48812439" w14:textId="77777777" w:rsidR="003F76C0" w:rsidRDefault="003F76C0" w:rsidP="003F76C0">
      <w:pPr>
        <w:shd w:val="clear" w:color="auto" w:fill="FFFFFF"/>
        <w:ind w:firstLine="284"/>
        <w:rPr>
          <w:lang w:val="en-GB"/>
        </w:rPr>
      </w:pPr>
    </w:p>
    <w:p w14:paraId="3493FAF0" w14:textId="06773D6C" w:rsidR="004E797C" w:rsidRPr="00CD5BC5" w:rsidRDefault="004E797C" w:rsidP="003F76C0">
      <w:pPr>
        <w:shd w:val="clear" w:color="auto" w:fill="FFFFFF"/>
        <w:ind w:firstLine="284"/>
        <w:rPr>
          <w:lang w:val="en-GB"/>
        </w:rPr>
      </w:pPr>
      <w:r w:rsidRPr="00CD5BC5">
        <w:rPr>
          <w:lang w:val="en-GB"/>
        </w:rPr>
        <w:t>The</w:t>
      </w:r>
      <w:r w:rsidR="003F76C0">
        <w:rPr>
          <w:lang w:val="en-GB"/>
        </w:rPr>
        <w:t xml:space="preserve"> </w:t>
      </w:r>
      <w:r w:rsidRPr="00CD5BC5">
        <w:rPr>
          <w:lang w:val="en-GB"/>
        </w:rPr>
        <w:t>attained annual operational CII shall be documented and verified against the required annual operational CII to determine operational carbon intensity rating A, B, C, D or E, indicating a major superior, minor superior, moderate, minor inferior, or inferior performance level, either by the Administration or by any organi</w:t>
      </w:r>
      <w:r w:rsidR="00575252">
        <w:rPr>
          <w:lang w:val="en-GB"/>
        </w:rPr>
        <w:t>s</w:t>
      </w:r>
      <w:r w:rsidRPr="00CD5BC5">
        <w:rPr>
          <w:lang w:val="en-GB"/>
        </w:rPr>
        <w:t>ation duly authori</w:t>
      </w:r>
      <w:r w:rsidR="00575252">
        <w:rPr>
          <w:lang w:val="en-GB"/>
        </w:rPr>
        <w:t>s</w:t>
      </w:r>
      <w:r w:rsidRPr="00CD5BC5">
        <w:rPr>
          <w:lang w:val="en-GB"/>
        </w:rPr>
        <w:t xml:space="preserve">ed by it, taking into account the guidelines developed by the IMO. The middle point of rating level C shall be the value equivalent to the required annual operational CII set out in paragraph 4 of this regulation. A ship rated as D for three consecutive years or rated as </w:t>
      </w:r>
      <w:proofErr w:type="spellStart"/>
      <w:r w:rsidRPr="00CD5BC5">
        <w:rPr>
          <w:lang w:val="en-GB"/>
        </w:rPr>
        <w:t>E</w:t>
      </w:r>
      <w:proofErr w:type="spellEnd"/>
      <w:r w:rsidRPr="00CD5BC5">
        <w:rPr>
          <w:lang w:val="en-GB"/>
        </w:rPr>
        <w:t xml:space="preserve"> shall develop a plan of corrective actions to achieve the required annual operational CII. The shipowner is forced to take action to improve this indicator to a minimum rating C. Action </w:t>
      </w:r>
      <w:r w:rsidR="00575252">
        <w:rPr>
          <w:lang w:val="en-GB"/>
        </w:rPr>
        <w:t>should include a review of the SEEMP to find ways to achieve a better rating accordingly, considering</w:t>
      </w:r>
      <w:r w:rsidRPr="00CD5BC5">
        <w:rPr>
          <w:lang w:val="en-GB"/>
        </w:rPr>
        <w:t xml:space="preserve"> the guidelines to be developed by the IMO or Maritime Organization. The revised SEEMP shall be submitted to the Administration or any organi</w:t>
      </w:r>
      <w:r w:rsidR="00575252">
        <w:rPr>
          <w:lang w:val="en-GB"/>
        </w:rPr>
        <w:t>s</w:t>
      </w:r>
      <w:r w:rsidRPr="00CD5BC5">
        <w:rPr>
          <w:lang w:val="en-GB"/>
        </w:rPr>
        <w:t>ation duly authori</w:t>
      </w:r>
      <w:r w:rsidR="00575252">
        <w:rPr>
          <w:lang w:val="en-GB"/>
        </w:rPr>
        <w:t>s</w:t>
      </w:r>
      <w:r w:rsidRPr="00CD5BC5">
        <w:rPr>
          <w:lang w:val="en-GB"/>
        </w:rPr>
        <w:t xml:space="preserve">ed by it for verification, preferably together with, but in no case later than 1 month after reporting the attained annual operational CII </w:t>
      </w:r>
      <w:r w:rsidR="00575252">
        <w:rPr>
          <w:lang w:val="en-GB"/>
        </w:rPr>
        <w:t>following</w:t>
      </w:r>
      <w:r w:rsidRPr="00CD5BC5">
        <w:rPr>
          <w:lang w:val="en-GB"/>
        </w:rPr>
        <w:t xml:space="preserve"> paragraph 2 of this regulation.</w:t>
      </w:r>
    </w:p>
    <w:p w14:paraId="2C0EA93F" w14:textId="421537F9" w:rsidR="004E797C" w:rsidRPr="00CD5BC5" w:rsidRDefault="004E797C" w:rsidP="003F76C0">
      <w:pPr>
        <w:shd w:val="clear" w:color="auto" w:fill="FFFFFF"/>
        <w:ind w:firstLine="284"/>
        <w:rPr>
          <w:lang w:val="en-GB"/>
        </w:rPr>
      </w:pPr>
      <w:r w:rsidRPr="00CD5BC5">
        <w:rPr>
          <w:lang w:val="en-GB"/>
        </w:rPr>
        <w:t xml:space="preserve">A review shall be completed by 1 January 2026 by the </w:t>
      </w:r>
      <w:r w:rsidRPr="008A51B2">
        <w:rPr>
          <w:lang w:val="en-GB"/>
        </w:rPr>
        <w:t xml:space="preserve">IMO to assess </w:t>
      </w:r>
      <w:r w:rsidR="00750340" w:rsidRPr="008A51B2">
        <w:rPr>
          <w:lang w:val="en-GB"/>
        </w:rPr>
        <w:t>(</w:t>
      </w:r>
      <w:r w:rsidR="00C04B5C" w:rsidRPr="008A51B2">
        <w:rPr>
          <w:lang w:val="en-GB"/>
        </w:rPr>
        <w:t>IMO 2023b)</w:t>
      </w:r>
      <w:r w:rsidRPr="008A51B2">
        <w:rPr>
          <w:lang w:val="en-GB"/>
        </w:rPr>
        <w:t>:</w:t>
      </w:r>
    </w:p>
    <w:p w14:paraId="497FAA7B" w14:textId="0DE45880" w:rsidR="004E797C" w:rsidRPr="00CD5BC5" w:rsidRDefault="004E797C" w:rsidP="003F76C0">
      <w:pPr>
        <w:numPr>
          <w:ilvl w:val="0"/>
          <w:numId w:val="22"/>
        </w:numPr>
        <w:shd w:val="clear" w:color="auto" w:fill="FFFFFF"/>
        <w:tabs>
          <w:tab w:val="clear" w:pos="720"/>
        </w:tabs>
        <w:ind w:left="364"/>
        <w:rPr>
          <w:lang w:val="en-GB"/>
        </w:rPr>
      </w:pPr>
      <w:r w:rsidRPr="00CD5BC5">
        <w:rPr>
          <w:lang w:val="en-GB"/>
        </w:rPr>
        <w:t>the effectiveness of this regulation in reducing the carbon intensity of international shipping</w:t>
      </w:r>
      <w:r w:rsidR="008A51B2">
        <w:rPr>
          <w:lang w:val="en-GB"/>
        </w:rPr>
        <w:t>,</w:t>
      </w:r>
    </w:p>
    <w:p w14:paraId="41BC0D4C" w14:textId="56402B10" w:rsidR="004E797C" w:rsidRPr="00CD5BC5" w:rsidRDefault="004E797C" w:rsidP="003F76C0">
      <w:pPr>
        <w:numPr>
          <w:ilvl w:val="0"/>
          <w:numId w:val="22"/>
        </w:numPr>
        <w:shd w:val="clear" w:color="auto" w:fill="FFFFFF"/>
        <w:tabs>
          <w:tab w:val="clear" w:pos="720"/>
        </w:tabs>
        <w:ind w:left="364"/>
        <w:rPr>
          <w:lang w:val="en-GB"/>
        </w:rPr>
      </w:pPr>
      <w:r w:rsidRPr="00CD5BC5">
        <w:rPr>
          <w:lang w:val="en-GB"/>
        </w:rPr>
        <w:t>the need for reinforced corrective actions or other means of remedy, including possible additional EEXI requirements</w:t>
      </w:r>
      <w:r w:rsidR="008A51B2">
        <w:rPr>
          <w:lang w:val="en-GB"/>
        </w:rPr>
        <w:t>,</w:t>
      </w:r>
    </w:p>
    <w:p w14:paraId="6656E391" w14:textId="60AD487E" w:rsidR="004E797C" w:rsidRPr="00CD5BC5" w:rsidRDefault="004E797C" w:rsidP="003F76C0">
      <w:pPr>
        <w:numPr>
          <w:ilvl w:val="0"/>
          <w:numId w:val="22"/>
        </w:numPr>
        <w:shd w:val="clear" w:color="auto" w:fill="FFFFFF"/>
        <w:tabs>
          <w:tab w:val="clear" w:pos="720"/>
        </w:tabs>
        <w:ind w:left="364"/>
        <w:rPr>
          <w:lang w:val="en-GB"/>
        </w:rPr>
      </w:pPr>
      <w:r w:rsidRPr="00CD5BC5">
        <w:rPr>
          <w:lang w:val="en-GB"/>
        </w:rPr>
        <w:t>the need for enhancement of the enforcement mechanism</w:t>
      </w:r>
      <w:r w:rsidR="008A51B2">
        <w:rPr>
          <w:lang w:val="en-GB"/>
        </w:rPr>
        <w:t>,</w:t>
      </w:r>
    </w:p>
    <w:p w14:paraId="2E650C0A" w14:textId="3AC242C6" w:rsidR="004E797C" w:rsidRPr="00CD5BC5" w:rsidRDefault="004E797C" w:rsidP="003F76C0">
      <w:pPr>
        <w:numPr>
          <w:ilvl w:val="0"/>
          <w:numId w:val="22"/>
        </w:numPr>
        <w:shd w:val="clear" w:color="auto" w:fill="FFFFFF"/>
        <w:tabs>
          <w:tab w:val="clear" w:pos="720"/>
        </w:tabs>
        <w:ind w:left="364"/>
        <w:rPr>
          <w:lang w:val="en-GB"/>
        </w:rPr>
      </w:pPr>
      <w:r w:rsidRPr="00CD5BC5">
        <w:rPr>
          <w:lang w:val="en-GB"/>
        </w:rPr>
        <w:t>the need for enhancement of the data collection system</w:t>
      </w:r>
      <w:r w:rsidR="008A51B2">
        <w:rPr>
          <w:lang w:val="en-GB"/>
        </w:rPr>
        <w:t>,</w:t>
      </w:r>
    </w:p>
    <w:p w14:paraId="758BB7B7" w14:textId="202D2A54" w:rsidR="004E797C" w:rsidRPr="00CD5BC5" w:rsidRDefault="004E797C" w:rsidP="003F76C0">
      <w:pPr>
        <w:numPr>
          <w:ilvl w:val="0"/>
          <w:numId w:val="22"/>
        </w:numPr>
        <w:shd w:val="clear" w:color="auto" w:fill="FFFFFF"/>
        <w:tabs>
          <w:tab w:val="clear" w:pos="720"/>
        </w:tabs>
        <w:ind w:left="364"/>
        <w:rPr>
          <w:lang w:val="en-GB"/>
        </w:rPr>
      </w:pPr>
      <w:r w:rsidRPr="00CD5BC5">
        <w:rPr>
          <w:lang w:val="en-GB"/>
        </w:rPr>
        <w:t>the revision of the Z factor and CII</w:t>
      </w:r>
      <w:r w:rsidRPr="00CD5BC5">
        <w:rPr>
          <w:vertAlign w:val="subscript"/>
          <w:lang w:val="en-GB"/>
        </w:rPr>
        <w:t>R</w:t>
      </w:r>
      <w:r w:rsidR="00197159">
        <w:rPr>
          <w:lang w:val="en-GB"/>
        </w:rPr>
        <w:t xml:space="preserve"> </w:t>
      </w:r>
      <w:r w:rsidRPr="00CD5BC5">
        <w:rPr>
          <w:lang w:val="en-GB"/>
        </w:rPr>
        <w:t>values.</w:t>
      </w:r>
    </w:p>
    <w:p w14:paraId="0C13F0C1" w14:textId="277C0006" w:rsidR="004E797C" w:rsidRPr="00CD5BC5" w:rsidRDefault="004E797C" w:rsidP="003F76C0">
      <w:pPr>
        <w:pStyle w:val="Rn2"/>
        <w:rPr>
          <w:i/>
          <w:lang w:val="en-GB"/>
        </w:rPr>
      </w:pPr>
      <w:r w:rsidRPr="00CD5BC5">
        <w:rPr>
          <w:lang w:val="en-GB"/>
        </w:rPr>
        <w:lastRenderedPageBreak/>
        <w:t>3.3. Possibility of fulfilment CII regulation</w:t>
      </w:r>
    </w:p>
    <w:p w14:paraId="7407C698" w14:textId="02C095D5" w:rsidR="004E797C" w:rsidRPr="00CD5BC5" w:rsidRDefault="004E797C" w:rsidP="003F76C0">
      <w:pPr>
        <w:ind w:firstLine="284"/>
        <w:rPr>
          <w:lang w:val="en-GB"/>
        </w:rPr>
      </w:pPr>
      <w:r w:rsidRPr="00CD5BC5">
        <w:rPr>
          <w:lang w:val="en-GB"/>
        </w:rPr>
        <w:t>The introduction of regulations applicable to international shipping is very simple. It requires the consent of a certain number of states (usually 50), members of the IMO representing the total tonnage of ships flying their flags at the level of at least 35% of the world's tonnage. The introduction of CII essentially forces shipowners to moderni</w:t>
      </w:r>
      <w:r w:rsidR="00575252">
        <w:rPr>
          <w:lang w:val="en-GB"/>
        </w:rPr>
        <w:t>s</w:t>
      </w:r>
      <w:r w:rsidRPr="00CD5BC5">
        <w:rPr>
          <w:lang w:val="en-GB"/>
        </w:rPr>
        <w:t>e ship power systems. Even several different types of actions (anti-fouling paints, more frequent washing of the hull, optimi</w:t>
      </w:r>
      <w:r w:rsidR="00575252">
        <w:rPr>
          <w:lang w:val="en-GB"/>
        </w:rPr>
        <w:t>s</w:t>
      </w:r>
      <w:r w:rsidRPr="00CD5BC5">
        <w:rPr>
          <w:lang w:val="en-GB"/>
        </w:rPr>
        <w:t xml:space="preserve">ation of the voyage route, better voyage planning </w:t>
      </w:r>
      <w:r w:rsidR="008A51B2">
        <w:rPr>
          <w:lang w:val="en-GB"/>
        </w:rPr>
        <w:t>–</w:t>
      </w:r>
      <w:r w:rsidRPr="00CD5BC5">
        <w:rPr>
          <w:lang w:val="en-GB"/>
        </w:rPr>
        <w:t xml:space="preserve"> shorter stops in ports) undertaken simultaneously may not </w:t>
      </w:r>
      <w:r w:rsidR="00575252">
        <w:rPr>
          <w:lang w:val="en-GB"/>
        </w:rPr>
        <w:t>improve</w:t>
      </w:r>
      <w:r w:rsidRPr="00CD5BC5">
        <w:rPr>
          <w:lang w:val="en-GB"/>
        </w:rPr>
        <w:t xml:space="preserve"> this indicator. </w:t>
      </w:r>
    </w:p>
    <w:p w14:paraId="695AB50B" w14:textId="47362634" w:rsidR="004E797C" w:rsidRPr="00F93764" w:rsidRDefault="004E797C" w:rsidP="003F76C0">
      <w:pPr>
        <w:ind w:firstLine="284"/>
        <w:rPr>
          <w:lang w:val="en-GB"/>
        </w:rPr>
      </w:pPr>
      <w:r w:rsidRPr="00F93764">
        <w:rPr>
          <w:lang w:val="en-GB"/>
        </w:rPr>
        <w:t>The basic actions that give hope for improving the index to a level that will raise the category, at least to C, are</w:t>
      </w:r>
      <w:r w:rsidR="00C04B5C" w:rsidRPr="00F93764">
        <w:rPr>
          <w:lang w:val="en-GB"/>
        </w:rPr>
        <w:t xml:space="preserve"> (IRENA 2023)</w:t>
      </w:r>
      <w:r w:rsidRPr="00F93764">
        <w:rPr>
          <w:lang w:val="en-GB"/>
        </w:rPr>
        <w:t>:</w:t>
      </w:r>
    </w:p>
    <w:p w14:paraId="57E062B4" w14:textId="26C72B65" w:rsidR="004E797C" w:rsidRPr="00CD5BC5" w:rsidRDefault="004E797C" w:rsidP="003F76C0">
      <w:pPr>
        <w:numPr>
          <w:ilvl w:val="0"/>
          <w:numId w:val="23"/>
        </w:numPr>
        <w:ind w:left="378"/>
        <w:rPr>
          <w:lang w:val="en-GB"/>
        </w:rPr>
      </w:pPr>
      <w:r w:rsidRPr="00CD5BC5">
        <w:rPr>
          <w:lang w:val="en-GB"/>
        </w:rPr>
        <w:t>switch to carbon-free fuels with lower carbon content in the molecule or biofuels</w:t>
      </w:r>
      <w:r w:rsidR="008A51B2">
        <w:rPr>
          <w:lang w:val="en-GB"/>
        </w:rPr>
        <w:t>,</w:t>
      </w:r>
    </w:p>
    <w:p w14:paraId="563768F5" w14:textId="29755463" w:rsidR="004E797C" w:rsidRPr="00CD5BC5" w:rsidRDefault="004E797C" w:rsidP="003F76C0">
      <w:pPr>
        <w:numPr>
          <w:ilvl w:val="0"/>
          <w:numId w:val="23"/>
        </w:numPr>
        <w:ind w:left="378"/>
        <w:rPr>
          <w:lang w:val="en-GB"/>
        </w:rPr>
      </w:pPr>
      <w:r w:rsidRPr="00CD5BC5">
        <w:rPr>
          <w:lang w:val="en-GB"/>
        </w:rPr>
        <w:t xml:space="preserve">use of renewable energy (photovoltaics, </w:t>
      </w:r>
      <w:proofErr w:type="spellStart"/>
      <w:r w:rsidRPr="00CD5BC5">
        <w:rPr>
          <w:lang w:val="en-GB"/>
        </w:rPr>
        <w:t>Flettner</w:t>
      </w:r>
      <w:proofErr w:type="spellEnd"/>
      <w:r w:rsidRPr="00CD5BC5">
        <w:rPr>
          <w:lang w:val="en-GB"/>
        </w:rPr>
        <w:t xml:space="preserve"> rotors, sails), reducing the demand for energy from the basic energy system</w:t>
      </w:r>
      <w:r w:rsidR="008A51B2">
        <w:rPr>
          <w:lang w:val="en-GB"/>
        </w:rPr>
        <w:t>,</w:t>
      </w:r>
    </w:p>
    <w:p w14:paraId="26C2697B" w14:textId="670CA661" w:rsidR="004E797C" w:rsidRPr="00CD5BC5" w:rsidRDefault="004E797C" w:rsidP="003F76C0">
      <w:pPr>
        <w:numPr>
          <w:ilvl w:val="0"/>
          <w:numId w:val="23"/>
        </w:numPr>
        <w:ind w:left="378"/>
        <w:rPr>
          <w:lang w:val="en-GB"/>
        </w:rPr>
      </w:pPr>
      <w:r w:rsidRPr="00CD5BC5">
        <w:rPr>
          <w:lang w:val="en-GB"/>
        </w:rPr>
        <w:t>replacing the elements of the energy system with more efficient ones</w:t>
      </w:r>
      <w:r w:rsidR="008A51B2">
        <w:rPr>
          <w:lang w:val="en-GB"/>
        </w:rPr>
        <w:t>,</w:t>
      </w:r>
    </w:p>
    <w:p w14:paraId="0B554B6F" w14:textId="2028274F" w:rsidR="004E797C" w:rsidRPr="00CD5BC5" w:rsidRDefault="004E797C" w:rsidP="003F76C0">
      <w:pPr>
        <w:numPr>
          <w:ilvl w:val="0"/>
          <w:numId w:val="23"/>
        </w:numPr>
        <w:ind w:left="378"/>
        <w:rPr>
          <w:lang w:val="en-GB"/>
        </w:rPr>
      </w:pPr>
      <w:r w:rsidRPr="00CD5BC5">
        <w:rPr>
          <w:lang w:val="en-GB"/>
        </w:rPr>
        <w:t>reducing the ship's service speed</w:t>
      </w:r>
      <w:r w:rsidR="008A51B2">
        <w:rPr>
          <w:lang w:val="en-GB"/>
        </w:rPr>
        <w:t>,</w:t>
      </w:r>
    </w:p>
    <w:p w14:paraId="623B9A31" w14:textId="15E50459" w:rsidR="004E797C" w:rsidRPr="00CD5BC5" w:rsidRDefault="004E797C" w:rsidP="003F76C0">
      <w:pPr>
        <w:numPr>
          <w:ilvl w:val="0"/>
          <w:numId w:val="23"/>
        </w:numPr>
        <w:ind w:left="378"/>
        <w:rPr>
          <w:lang w:val="en-GB"/>
        </w:rPr>
      </w:pPr>
      <w:r w:rsidRPr="00CD5BC5">
        <w:rPr>
          <w:lang w:val="en-GB"/>
        </w:rPr>
        <w:t>batteries of electricity charged from the land grid</w:t>
      </w:r>
      <w:r w:rsidR="008A51B2">
        <w:rPr>
          <w:lang w:val="en-GB"/>
        </w:rPr>
        <w:t>,</w:t>
      </w:r>
    </w:p>
    <w:p w14:paraId="239744D6" w14:textId="3140C686" w:rsidR="004E797C" w:rsidRPr="00CD5BC5" w:rsidRDefault="004E797C" w:rsidP="003F76C0">
      <w:pPr>
        <w:numPr>
          <w:ilvl w:val="0"/>
          <w:numId w:val="23"/>
        </w:numPr>
        <w:ind w:left="378"/>
        <w:rPr>
          <w:lang w:val="en-GB"/>
        </w:rPr>
      </w:pPr>
      <w:r w:rsidRPr="00CD5BC5">
        <w:rPr>
          <w:lang w:val="en-GB"/>
        </w:rPr>
        <w:t>other, which may potentially be recogni</w:t>
      </w:r>
      <w:r w:rsidR="00575252">
        <w:rPr>
          <w:lang w:val="en-GB"/>
        </w:rPr>
        <w:t>s</w:t>
      </w:r>
      <w:r w:rsidRPr="00CD5BC5">
        <w:rPr>
          <w:lang w:val="en-GB"/>
        </w:rPr>
        <w:t>ed by the maritime administration of the state as meeting the requirements.</w:t>
      </w:r>
    </w:p>
    <w:p w14:paraId="7D3882F5" w14:textId="77777777" w:rsidR="004E797C" w:rsidRPr="00CD5BC5" w:rsidRDefault="004E797C" w:rsidP="003F76C0">
      <w:pPr>
        <w:pStyle w:val="Rn2"/>
        <w:rPr>
          <w:i/>
          <w:lang w:val="en-GB"/>
        </w:rPr>
      </w:pPr>
      <w:r w:rsidRPr="00CD5BC5">
        <w:rPr>
          <w:lang w:val="en-GB"/>
        </w:rPr>
        <w:t>3.4. Consequences of introduction CII regulation</w:t>
      </w:r>
    </w:p>
    <w:p w14:paraId="7C04DA33" w14:textId="251DD7C0" w:rsidR="004E797C" w:rsidRPr="008A51B2" w:rsidRDefault="004E797C" w:rsidP="003F76C0">
      <w:pPr>
        <w:ind w:firstLine="284"/>
        <w:rPr>
          <w:lang w:val="en-GB"/>
        </w:rPr>
      </w:pPr>
      <w:r w:rsidRPr="00CD5BC5">
        <w:rPr>
          <w:lang w:val="en-GB"/>
        </w:rPr>
        <w:t>The simplest action that gives a chance to significantly improve the indicator and maintain categories A and B in the coming years is to switch to biofuels (e.g. bio</w:t>
      </w:r>
      <w:r w:rsidR="000F25BE" w:rsidRPr="00CD5BC5">
        <w:rPr>
          <w:lang w:val="en-GB"/>
        </w:rPr>
        <w:t>-</w:t>
      </w:r>
      <w:r w:rsidRPr="00CD5BC5">
        <w:rPr>
          <w:lang w:val="en-GB"/>
        </w:rPr>
        <w:t>met</w:t>
      </w:r>
      <w:r w:rsidR="00750340" w:rsidRPr="00CD5BC5">
        <w:rPr>
          <w:lang w:val="en-GB"/>
        </w:rPr>
        <w:t>h</w:t>
      </w:r>
      <w:r w:rsidRPr="00CD5BC5">
        <w:rPr>
          <w:lang w:val="en-GB"/>
        </w:rPr>
        <w:t>anol, bio</w:t>
      </w:r>
      <w:r w:rsidR="000F25BE" w:rsidRPr="00CD5BC5">
        <w:rPr>
          <w:lang w:val="en-GB"/>
        </w:rPr>
        <w:t>-</w:t>
      </w:r>
      <w:r w:rsidRPr="00CD5BC5">
        <w:rPr>
          <w:lang w:val="en-GB"/>
        </w:rPr>
        <w:t>ethanol, bio</w:t>
      </w:r>
      <w:r w:rsidR="000F25BE" w:rsidRPr="00CD5BC5">
        <w:rPr>
          <w:lang w:val="en-GB"/>
        </w:rPr>
        <w:t>-</w:t>
      </w:r>
      <w:r w:rsidRPr="00CD5BC5">
        <w:rPr>
          <w:lang w:val="en-GB"/>
        </w:rPr>
        <w:t>diesel, FAME), which require adaptation of the fuel installation of the engines and their operation on these fuels. Moderni</w:t>
      </w:r>
      <w:r w:rsidR="00575252">
        <w:rPr>
          <w:lang w:val="en-GB"/>
        </w:rPr>
        <w:t>s</w:t>
      </w:r>
      <w:r w:rsidRPr="00CD5BC5">
        <w:rPr>
          <w:lang w:val="en-GB"/>
        </w:rPr>
        <w:t xml:space="preserve">ation costs may be acceptable to shipowners, but the main problem will be the availability of these fuels in ports. If a given port has the appropriate infrastructure for bunkering biofuels, then ships that sail close to this port or call at this port </w:t>
      </w:r>
      <w:r w:rsidR="00575252">
        <w:rPr>
          <w:lang w:val="en-GB"/>
        </w:rPr>
        <w:t>regularly may be an incentive to decide</w:t>
      </w:r>
      <w:r w:rsidRPr="00CD5BC5">
        <w:rPr>
          <w:lang w:val="en-GB"/>
        </w:rPr>
        <w:t xml:space="preserve"> on this form of moderni</w:t>
      </w:r>
      <w:r w:rsidR="00575252">
        <w:rPr>
          <w:lang w:val="en-GB"/>
        </w:rPr>
        <w:t>s</w:t>
      </w:r>
      <w:r w:rsidRPr="00CD5BC5">
        <w:rPr>
          <w:lang w:val="en-GB"/>
        </w:rPr>
        <w:t xml:space="preserve">ation. An important role will be played by the price of biofuel in energy equivalent </w:t>
      </w:r>
      <w:r w:rsidR="00575252">
        <w:rPr>
          <w:lang w:val="en-GB"/>
        </w:rPr>
        <w:t>concerning</w:t>
      </w:r>
      <w:r w:rsidRPr="00CD5BC5">
        <w:rPr>
          <w:lang w:val="en-GB"/>
        </w:rPr>
        <w:t xml:space="preserve"> petroleum </w:t>
      </w:r>
      <w:r w:rsidRPr="008A51B2">
        <w:rPr>
          <w:lang w:val="en-GB"/>
        </w:rPr>
        <w:t>fuels</w:t>
      </w:r>
      <w:r w:rsidR="00C04B5C" w:rsidRPr="008A51B2">
        <w:rPr>
          <w:lang w:val="en-GB"/>
        </w:rPr>
        <w:t xml:space="preserve"> (IRENA 2022a, IRENA 2022b)</w:t>
      </w:r>
      <w:r w:rsidRPr="008A51B2">
        <w:rPr>
          <w:lang w:val="en-GB"/>
        </w:rPr>
        <w:t>.</w:t>
      </w:r>
    </w:p>
    <w:p w14:paraId="6133D7A1" w14:textId="44440BC4" w:rsidR="004E797C" w:rsidRPr="00CD5BC5" w:rsidRDefault="004E797C" w:rsidP="003F76C0">
      <w:pPr>
        <w:ind w:firstLine="284"/>
        <w:rPr>
          <w:lang w:val="en-GB"/>
        </w:rPr>
      </w:pPr>
      <w:r w:rsidRPr="00CD5BC5">
        <w:rPr>
          <w:lang w:val="en-GB"/>
        </w:rPr>
        <w:t xml:space="preserve">Switching to biomethane (bio-LNG) makes sense in the ship design phase. The energy system </w:t>
      </w:r>
      <w:r w:rsidR="00575252">
        <w:rPr>
          <w:lang w:val="en-GB"/>
        </w:rPr>
        <w:t>and the required operational safety systems must be adapted to this type of fuel</w:t>
      </w:r>
      <w:r w:rsidRPr="00CD5BC5">
        <w:rPr>
          <w:lang w:val="en-GB"/>
        </w:rPr>
        <w:t>. Currently, dual-fuel engines should be used to switch to a different liquid fuel (diesel oil, biodiesel) in emergenc</w:t>
      </w:r>
      <w:r w:rsidR="00575252">
        <w:rPr>
          <w:lang w:val="en-GB"/>
        </w:rPr>
        <w:t>ie</w:t>
      </w:r>
      <w:r w:rsidRPr="00CD5BC5">
        <w:rPr>
          <w:lang w:val="en-GB"/>
        </w:rPr>
        <w:t xml:space="preserve">s. This results in the complication of the fuel system and the need to increase the space for fuel tanks, in addition to bio-LNG, also for liquid fuels (used in the amount of 15% as a pilot dose before methane is fed or injected). Of carbon-free fuels, ammonia is considered. The use of this fuel in marine engines has been positively verified. There is hope for </w:t>
      </w:r>
      <w:r w:rsidR="00575252">
        <w:rPr>
          <w:lang w:val="en-GB"/>
        </w:rPr>
        <w:t>disseminating</w:t>
      </w:r>
      <w:r w:rsidRPr="00CD5BC5">
        <w:rPr>
          <w:lang w:val="en-GB"/>
        </w:rPr>
        <w:t xml:space="preserve"> this type of fuel </w:t>
      </w:r>
      <w:r w:rsidR="008A51B2">
        <w:rPr>
          <w:lang w:val="en-GB"/>
        </w:rPr>
        <w:t>–</w:t>
      </w:r>
      <w:r w:rsidRPr="00CD5BC5">
        <w:rPr>
          <w:lang w:val="en-GB"/>
        </w:rPr>
        <w:t xml:space="preserve"> in the port of Singapore in 2023</w:t>
      </w:r>
      <w:r w:rsidR="00575252">
        <w:rPr>
          <w:lang w:val="en-GB"/>
        </w:rPr>
        <w:t>,</w:t>
      </w:r>
      <w:r w:rsidRPr="00CD5BC5">
        <w:rPr>
          <w:lang w:val="en-GB"/>
        </w:rPr>
        <w:t xml:space="preserve"> it is possible to bunker ammonia as a ship fuel. The availability of this fuel in many ports of the world and its price in energy equivalent (LHV for diesel oil is 42 MJ/kg and for ammonia 18 MJ/kg respectively) remains an open question.</w:t>
      </w:r>
    </w:p>
    <w:p w14:paraId="1CE41422" w14:textId="357A4415" w:rsidR="004E797C" w:rsidRPr="00CD5BC5" w:rsidRDefault="004E797C" w:rsidP="003F76C0">
      <w:pPr>
        <w:ind w:firstLine="284"/>
        <w:rPr>
          <w:lang w:val="en-GB"/>
        </w:rPr>
      </w:pPr>
      <w:r w:rsidRPr="00CD5BC5">
        <w:rPr>
          <w:lang w:val="en-GB"/>
        </w:rPr>
        <w:t xml:space="preserve">It is possible to support the ship's energy system with renewable energy obtained on board. The basic problem is the ability to generate energy from these sources so that their share is over 10%, and preferably about 50% of the current demand for energy by the ship. Currently, </w:t>
      </w:r>
      <w:r w:rsidR="00575252">
        <w:rPr>
          <w:lang w:val="en-GB"/>
        </w:rPr>
        <w:t>1-5% shares</w:t>
      </w:r>
      <w:r w:rsidRPr="00CD5BC5">
        <w:rPr>
          <w:lang w:val="en-GB"/>
        </w:rPr>
        <w:t xml:space="preserve"> are obtained, which is too small a</w:t>
      </w:r>
      <w:r w:rsidR="00FA31B5">
        <w:rPr>
          <w:lang w:val="en-GB"/>
        </w:rPr>
        <w:t> </w:t>
      </w:r>
      <w:r w:rsidRPr="00CD5BC5">
        <w:rPr>
          <w:lang w:val="en-GB"/>
        </w:rPr>
        <w:t>value for obtaining higher CII categories.</w:t>
      </w:r>
    </w:p>
    <w:p w14:paraId="74E50B41" w14:textId="07866ABE" w:rsidR="004E797C" w:rsidRPr="00CD5BC5" w:rsidRDefault="004E797C" w:rsidP="003F76C0">
      <w:pPr>
        <w:ind w:firstLine="284"/>
        <w:rPr>
          <w:lang w:val="en-GB"/>
        </w:rPr>
      </w:pPr>
      <w:r w:rsidRPr="00CD5BC5">
        <w:rPr>
          <w:lang w:val="en-GB"/>
        </w:rPr>
        <w:t xml:space="preserve">Replacing the elements of the ship's power system (engines and boilers) with more thermally efficient ones </w:t>
      </w:r>
      <w:r w:rsidR="00575252">
        <w:rPr>
          <w:lang w:val="en-GB"/>
        </w:rPr>
        <w:t>to increase the engine room's overall efficiency</w:t>
      </w:r>
      <w:r w:rsidRPr="00CD5BC5">
        <w:rPr>
          <w:lang w:val="en-GB"/>
        </w:rPr>
        <w:t xml:space="preserve"> is possible and sometimes used. </w:t>
      </w:r>
      <w:r w:rsidR="00575252">
        <w:rPr>
          <w:lang w:val="en-GB"/>
        </w:rPr>
        <w:t>It</w:t>
      </w:r>
      <w:r w:rsidRPr="00CD5BC5">
        <w:rPr>
          <w:lang w:val="en-GB"/>
        </w:rPr>
        <w:t xml:space="preserve"> applies mainly to those devices that need to be replaced due to their technical condition. Benefits resulting from the use of more modern and more efficient devices reach the value of 1</w:t>
      </w:r>
      <w:r w:rsidR="008A51B2">
        <w:rPr>
          <w:lang w:val="en-GB"/>
        </w:rPr>
        <w:t>-</w:t>
      </w:r>
      <w:r w:rsidRPr="00CD5BC5">
        <w:rPr>
          <w:lang w:val="en-GB"/>
        </w:rPr>
        <w:t>10%, which may be an unsatisfactory result to improve the CII category. Conversion of the drive system from steam turbines to combustion engine</w:t>
      </w:r>
      <w:r w:rsidR="00575252">
        <w:rPr>
          <w:lang w:val="en-GB"/>
        </w:rPr>
        <w:t>s significantly improves</w:t>
      </w:r>
      <w:r w:rsidRPr="00CD5BC5">
        <w:rPr>
          <w:lang w:val="en-GB"/>
        </w:rPr>
        <w:t xml:space="preserve"> the indicators. The increase in efficiency reaches 30</w:t>
      </w:r>
      <w:r w:rsidR="008A51B2">
        <w:rPr>
          <w:lang w:val="en-GB"/>
        </w:rPr>
        <w:t>-</w:t>
      </w:r>
      <w:r w:rsidRPr="00CD5BC5">
        <w:rPr>
          <w:lang w:val="en-GB"/>
        </w:rPr>
        <w:t xml:space="preserve">60% of the original value, is well received by the maritime administration, </w:t>
      </w:r>
      <w:r w:rsidR="00575252">
        <w:rPr>
          <w:lang w:val="en-GB"/>
        </w:rPr>
        <w:t xml:space="preserve">and </w:t>
      </w:r>
      <w:r w:rsidRPr="00CD5BC5">
        <w:rPr>
          <w:lang w:val="en-GB"/>
        </w:rPr>
        <w:t>improves all ship energy efficiency indicators, but will not necessarily be taken into account in a dozen or so years because the next improvement of these indicators for the new energy system may be minimal. Such actions may only make sense if the vessel is to be operated for at least 10</w:t>
      </w:r>
      <w:r w:rsidR="008A51B2">
        <w:rPr>
          <w:lang w:val="en-GB"/>
        </w:rPr>
        <w:t>-</w:t>
      </w:r>
      <w:r w:rsidRPr="00CD5BC5">
        <w:rPr>
          <w:lang w:val="en-GB"/>
        </w:rPr>
        <w:t>15 years. It should be noted that major overhauls of engines (</w:t>
      </w:r>
      <w:r w:rsidR="00575252">
        <w:rPr>
          <w:lang w:val="en-GB"/>
        </w:rPr>
        <w:t>under</w:t>
      </w:r>
      <w:r w:rsidRPr="00CD5BC5">
        <w:rPr>
          <w:lang w:val="en-GB"/>
        </w:rPr>
        <w:t xml:space="preserve"> the requirements of classification societies and IMO) require </w:t>
      </w:r>
      <w:r w:rsidR="00575252">
        <w:rPr>
          <w:lang w:val="en-GB"/>
        </w:rPr>
        <w:t>using</w:t>
      </w:r>
      <w:r w:rsidRPr="00CD5BC5">
        <w:rPr>
          <w:lang w:val="en-GB"/>
        </w:rPr>
        <w:t xml:space="preserve"> new elements in the air supply system, combustion process and exhaust gas treatment. Engine manufacturers are responsible for moderni</w:t>
      </w:r>
      <w:r w:rsidR="00575252">
        <w:rPr>
          <w:lang w:val="en-GB"/>
        </w:rPr>
        <w:t>s</w:t>
      </w:r>
      <w:r w:rsidRPr="00CD5BC5">
        <w:rPr>
          <w:lang w:val="en-GB"/>
        </w:rPr>
        <w:t>ing the engines and improving their energy parameters.</w:t>
      </w:r>
    </w:p>
    <w:p w14:paraId="11EDB194" w14:textId="40243E85" w:rsidR="004E797C" w:rsidRPr="00CD5BC5" w:rsidRDefault="00575252" w:rsidP="003F76C0">
      <w:pPr>
        <w:ind w:firstLine="284"/>
        <w:rPr>
          <w:lang w:val="en-GB"/>
        </w:rPr>
      </w:pPr>
      <w:r>
        <w:rPr>
          <w:lang w:val="en-GB"/>
        </w:rPr>
        <w:t>Reducing fuel consumption and, consequently, improving</w:t>
      </w:r>
      <w:r w:rsidR="004E797C" w:rsidRPr="00CD5BC5">
        <w:rPr>
          <w:lang w:val="en-GB"/>
        </w:rPr>
        <w:t xml:space="preserve"> emission factors into the atmosphere and energy efficiency is possible by reducing the ship's operating speed. </w:t>
      </w:r>
      <w:r>
        <w:rPr>
          <w:lang w:val="en-GB"/>
        </w:rPr>
        <w:t>It</w:t>
      </w:r>
      <w:r w:rsidR="004E797C" w:rsidRPr="00CD5BC5">
        <w:rPr>
          <w:lang w:val="en-GB"/>
        </w:rPr>
        <w:t xml:space="preserve"> is related to the resistance characteristics of the ship's hull. The resistance of a displacement hull (a typical ship) depends on the ship's speed to the second power, and therefore the engine load and fuel consumption. Unfortunately, despite its fairly common use, it has a basic disadvantage – it extends the </w:t>
      </w:r>
      <w:r>
        <w:rPr>
          <w:lang w:val="en-GB"/>
        </w:rPr>
        <w:t>cruise's time and all the associated costs</w:t>
      </w:r>
      <w:r w:rsidR="004E797C" w:rsidRPr="00CD5BC5">
        <w:rPr>
          <w:lang w:val="en-GB"/>
        </w:rPr>
        <w:t xml:space="preserve">. Systems limiting the power </w:t>
      </w:r>
      <w:r w:rsidR="004E797C" w:rsidRPr="00CD5BC5">
        <w:rPr>
          <w:lang w:val="en-GB"/>
        </w:rPr>
        <w:lastRenderedPageBreak/>
        <w:t>of the main engine have been introduced, which leads to limiting the ship's speed depending, for example, on the state of the sea. These are</w:t>
      </w:r>
      <w:r>
        <w:rPr>
          <w:lang w:val="en-GB"/>
        </w:rPr>
        <w:t>,</w:t>
      </w:r>
      <w:r w:rsidR="004E797C" w:rsidRPr="00CD5BC5">
        <w:rPr>
          <w:lang w:val="en-GB"/>
        </w:rPr>
        <w:t xml:space="preserve"> for example:</w:t>
      </w:r>
    </w:p>
    <w:p w14:paraId="66C24312" w14:textId="66EC4A92" w:rsidR="004E797C" w:rsidRPr="008A51B2" w:rsidRDefault="004E797C" w:rsidP="003F76C0">
      <w:pPr>
        <w:numPr>
          <w:ilvl w:val="0"/>
          <w:numId w:val="24"/>
        </w:numPr>
        <w:ind w:left="378"/>
        <w:rPr>
          <w:lang w:val="en-GB"/>
        </w:rPr>
      </w:pPr>
      <w:r w:rsidRPr="008A51B2">
        <w:rPr>
          <w:lang w:val="en-GB"/>
        </w:rPr>
        <w:t>Engine Power Limitation – EPL is a software functionality available as a</w:t>
      </w:r>
      <w:r w:rsidR="00575252">
        <w:rPr>
          <w:lang w:val="en-GB"/>
        </w:rPr>
        <w:t>n</w:t>
      </w:r>
      <w:r w:rsidRPr="008A51B2">
        <w:rPr>
          <w:lang w:val="en-GB"/>
        </w:rPr>
        <w:t xml:space="preserve"> upgrade of different Digital Governor Systems and other propulsion controls (</w:t>
      </w:r>
      <w:proofErr w:type="spellStart"/>
      <w:r w:rsidRPr="008A51B2">
        <w:rPr>
          <w:lang w:val="en-GB"/>
        </w:rPr>
        <w:t>AutoChief</w:t>
      </w:r>
      <w:proofErr w:type="spellEnd"/>
      <w:r w:rsidRPr="008A51B2">
        <w:rPr>
          <w:lang w:val="en-GB"/>
        </w:rPr>
        <w:t xml:space="preserve"> 600, </w:t>
      </w:r>
      <w:proofErr w:type="spellStart"/>
      <w:r w:rsidRPr="008A51B2">
        <w:rPr>
          <w:lang w:val="en-GB"/>
        </w:rPr>
        <w:t>AutoChief</w:t>
      </w:r>
      <w:proofErr w:type="spellEnd"/>
      <w:r w:rsidRPr="008A51B2">
        <w:rPr>
          <w:lang w:val="en-GB"/>
        </w:rPr>
        <w:t xml:space="preserve"> C20, </w:t>
      </w:r>
      <w:proofErr w:type="spellStart"/>
      <w:r w:rsidRPr="008A51B2">
        <w:rPr>
          <w:lang w:val="en-GB"/>
        </w:rPr>
        <w:t>CanMan</w:t>
      </w:r>
      <w:proofErr w:type="spellEnd"/>
      <w:r w:rsidRPr="008A51B2">
        <w:rPr>
          <w:lang w:val="en-GB"/>
        </w:rPr>
        <w:t xml:space="preserve">, Helicon X3, </w:t>
      </w:r>
      <w:proofErr w:type="spellStart"/>
      <w:r w:rsidRPr="008A51B2">
        <w:rPr>
          <w:lang w:val="en-GB"/>
        </w:rPr>
        <w:t>Mcon</w:t>
      </w:r>
      <w:proofErr w:type="spellEnd"/>
      <w:r w:rsidRPr="008A51B2">
        <w:rPr>
          <w:lang w:val="en-GB"/>
        </w:rPr>
        <w:t>). An important protection is an additional option in the system as the override function allows the operator to exceptionally run the vessel above the pre-defined engine power limit to handle emergenc</w:t>
      </w:r>
      <w:r w:rsidR="00575252">
        <w:rPr>
          <w:lang w:val="en-GB"/>
        </w:rPr>
        <w:t>ie</w:t>
      </w:r>
      <w:r w:rsidRPr="008A51B2">
        <w:rPr>
          <w:lang w:val="en-GB"/>
        </w:rPr>
        <w:t xml:space="preserve">s requiring the use of additional power (to the level of maximum continuous rating) </w:t>
      </w:r>
      <w:r w:rsidR="00C04B5C" w:rsidRPr="008A51B2">
        <w:rPr>
          <w:lang w:val="en-GB"/>
        </w:rPr>
        <w:t>(Kongsberg 2023a)</w:t>
      </w:r>
      <w:r w:rsidRPr="008A51B2">
        <w:rPr>
          <w:lang w:val="en-GB"/>
        </w:rPr>
        <w:t>;</w:t>
      </w:r>
    </w:p>
    <w:p w14:paraId="4593EE3E" w14:textId="5D004F2C" w:rsidR="004E797C" w:rsidRPr="008A51B2" w:rsidRDefault="004E797C" w:rsidP="003F76C0">
      <w:pPr>
        <w:numPr>
          <w:ilvl w:val="0"/>
          <w:numId w:val="24"/>
        </w:numPr>
        <w:ind w:left="378"/>
        <w:rPr>
          <w:lang w:val="en-GB"/>
        </w:rPr>
      </w:pPr>
      <w:r w:rsidRPr="008A51B2">
        <w:rPr>
          <w:lang w:val="en-GB"/>
        </w:rPr>
        <w:t xml:space="preserve">Shaft Power Limitation – </w:t>
      </w:r>
      <w:proofErr w:type="spellStart"/>
      <w:r w:rsidRPr="008A51B2">
        <w:rPr>
          <w:lang w:val="en-GB"/>
        </w:rPr>
        <w:t>ShaPoLi</w:t>
      </w:r>
      <w:proofErr w:type="spellEnd"/>
      <w:r w:rsidRPr="008A51B2">
        <w:rPr>
          <w:lang w:val="en-GB"/>
        </w:rPr>
        <w:t xml:space="preserve"> is an upgrade of KONGSBERG propulsion control systems. The system automatically limits shaft power </w:t>
      </w:r>
      <w:r w:rsidR="00575252">
        <w:rPr>
          <w:lang w:val="en-GB"/>
        </w:rPr>
        <w:t>not to</w:t>
      </w:r>
      <w:r w:rsidRPr="008A51B2">
        <w:rPr>
          <w:lang w:val="en-GB"/>
        </w:rPr>
        <w:t xml:space="preserve"> exceed a pre-set value. It allows the operator to control the vessel</w:t>
      </w:r>
      <w:r w:rsidR="00575252">
        <w:rPr>
          <w:lang w:val="en-GB"/>
        </w:rPr>
        <w:t>'</w:t>
      </w:r>
      <w:r w:rsidRPr="008A51B2">
        <w:rPr>
          <w:lang w:val="en-GB"/>
        </w:rPr>
        <w:t xml:space="preserve">s fuel consumption and </w:t>
      </w:r>
      <w:r w:rsidR="00575252">
        <w:rPr>
          <w:lang w:val="en-GB"/>
        </w:rPr>
        <w:t>emission level</w:t>
      </w:r>
      <w:r w:rsidRPr="008A51B2">
        <w:rPr>
          <w:lang w:val="en-GB"/>
        </w:rPr>
        <w:t xml:space="preserve"> </w:t>
      </w:r>
      <w:r w:rsidR="00750340" w:rsidRPr="008A51B2">
        <w:rPr>
          <w:lang w:val="en-GB"/>
        </w:rPr>
        <w:t>(</w:t>
      </w:r>
      <w:r w:rsidR="00C04B5C" w:rsidRPr="008A51B2">
        <w:rPr>
          <w:lang w:val="en-GB"/>
        </w:rPr>
        <w:t>Kongsberg 2023b</w:t>
      </w:r>
      <w:r w:rsidR="00750340" w:rsidRPr="008A51B2">
        <w:rPr>
          <w:lang w:val="en-GB"/>
        </w:rPr>
        <w:t>)</w:t>
      </w:r>
      <w:r w:rsidRPr="008A51B2">
        <w:rPr>
          <w:lang w:val="en-GB"/>
        </w:rPr>
        <w:t>.</w:t>
      </w:r>
    </w:p>
    <w:p w14:paraId="6B8DE450" w14:textId="77777777" w:rsidR="003F76C0" w:rsidRPr="008A51B2" w:rsidRDefault="003F76C0" w:rsidP="003F76C0">
      <w:pPr>
        <w:ind w:firstLine="284"/>
        <w:rPr>
          <w:lang w:val="en-GB"/>
        </w:rPr>
      </w:pPr>
    </w:p>
    <w:p w14:paraId="57279F28" w14:textId="2D15E7F0" w:rsidR="004E797C" w:rsidRPr="008A51B2" w:rsidRDefault="004E797C" w:rsidP="003F76C0">
      <w:pPr>
        <w:ind w:firstLine="284"/>
        <w:rPr>
          <w:lang w:val="en-GB"/>
        </w:rPr>
      </w:pPr>
      <w:r w:rsidRPr="008A51B2">
        <w:rPr>
          <w:lang w:val="en-GB"/>
        </w:rPr>
        <w:t>The use of electric energy stored in batteries on ships comes down mainly to securing the ship's power system in emergenc</w:t>
      </w:r>
      <w:r w:rsidR="00575252">
        <w:rPr>
          <w:lang w:val="en-GB"/>
        </w:rPr>
        <w:t>ie</w:t>
      </w:r>
      <w:r w:rsidRPr="008A51B2">
        <w:rPr>
          <w:lang w:val="en-GB"/>
        </w:rPr>
        <w:t>s, e.g. power failure in the main network. It functions as an uninterruptible power supply. The energy reserve in the batteries reaches the level of 10</w:t>
      </w:r>
      <w:r w:rsidR="008A51B2">
        <w:rPr>
          <w:lang w:val="en-GB"/>
        </w:rPr>
        <w:t>-</w:t>
      </w:r>
      <w:r w:rsidRPr="008A51B2">
        <w:rPr>
          <w:lang w:val="en-GB"/>
        </w:rPr>
        <w:t xml:space="preserve">1,000 kWh. </w:t>
      </w:r>
      <w:r w:rsidR="00575252">
        <w:rPr>
          <w:lang w:val="en-GB"/>
        </w:rPr>
        <w:t>It</w:t>
      </w:r>
      <w:r w:rsidRPr="008A51B2">
        <w:rPr>
          <w:lang w:val="en-GB"/>
        </w:rPr>
        <w:t xml:space="preserve"> is sufficient to provide power to the devices necessary to maintain the ship's safety (GMDSS system), emergency lighting, internal communication, device safety systems, etc. However, it is definitely not enough for the ship's propulsion. As a result, relatively small vessels (below 400 GRT) engaged in short-distance, coastal ferry shipping, e.g. in Norwegian fjords, can use this option. The information from July 2023 </w:t>
      </w:r>
      <w:r w:rsidR="00575252">
        <w:rPr>
          <w:lang w:val="en-GB"/>
        </w:rPr>
        <w:t xml:space="preserve">shows </w:t>
      </w:r>
      <w:r w:rsidRPr="008A51B2">
        <w:rPr>
          <w:lang w:val="en-GB"/>
        </w:rPr>
        <w:t xml:space="preserve">that a river vessel with the side number N997 is undergoing sea trials in China </w:t>
      </w:r>
      <w:r w:rsidR="008A51B2">
        <w:rPr>
          <w:lang w:val="en-GB"/>
        </w:rPr>
        <w:t>–</w:t>
      </w:r>
      <w:r w:rsidRPr="008A51B2">
        <w:rPr>
          <w:lang w:val="en-GB"/>
        </w:rPr>
        <w:t xml:space="preserve"> a container ship with a carrying capacity of 700 TEU and a length of 120 m, powered by two electric motors with a power of 900 kW in a two-shaft system, may be a swallow for the changes taking place. Electricity is stored in batteries in 36 TEU containers with a total capacity of 50 MWh. </w:t>
      </w:r>
      <w:r w:rsidR="00575252">
        <w:rPr>
          <w:lang w:val="en-GB"/>
        </w:rPr>
        <w:t>It</w:t>
      </w:r>
      <w:r w:rsidRPr="008A51B2">
        <w:rPr>
          <w:lang w:val="en-GB"/>
        </w:rPr>
        <w:t xml:space="preserve"> is to ensure the ship's autonomy at a distance of up to 1,100 km.</w:t>
      </w:r>
    </w:p>
    <w:p w14:paraId="2611AB2F" w14:textId="68C61BB2" w:rsidR="004E797C" w:rsidRPr="008A51B2" w:rsidRDefault="004E797C" w:rsidP="003F76C0">
      <w:pPr>
        <w:ind w:firstLine="284"/>
        <w:rPr>
          <w:lang w:val="en-GB"/>
        </w:rPr>
      </w:pPr>
      <w:r w:rsidRPr="008A51B2">
        <w:rPr>
          <w:lang w:val="en-GB"/>
        </w:rPr>
        <w:t>There are potentially (not defined yet) other options for introducing changes to the ship's energy system, but the</w:t>
      </w:r>
      <w:r w:rsidR="00575252">
        <w:rPr>
          <w:lang w:val="en-GB"/>
        </w:rPr>
        <w:t xml:space="preserve"> maritime administration must approve them</w:t>
      </w:r>
      <w:r w:rsidRPr="008A51B2">
        <w:rPr>
          <w:lang w:val="en-GB"/>
        </w:rPr>
        <w:t xml:space="preserve"> of the ship's flag state. The goal for the shipowner is to obtain the minimum category C as the CII indicator and to maintain it in the following years as long as the ship is planned to be operated</w:t>
      </w:r>
      <w:r w:rsidR="00C04B5C" w:rsidRPr="008A51B2">
        <w:rPr>
          <w:lang w:val="en-GB"/>
        </w:rPr>
        <w:t xml:space="preserve"> (IRENA 2023)</w:t>
      </w:r>
      <w:r w:rsidRPr="008A51B2">
        <w:rPr>
          <w:lang w:val="en-GB"/>
        </w:rPr>
        <w:t>.</w:t>
      </w:r>
    </w:p>
    <w:p w14:paraId="66DAB61A" w14:textId="04B11B4F" w:rsidR="001777C4" w:rsidRPr="00CD5BC5" w:rsidRDefault="004E797C" w:rsidP="003F76C0">
      <w:pPr>
        <w:pStyle w:val="Rn1"/>
        <w:rPr>
          <w:lang w:val="en-GB"/>
        </w:rPr>
      </w:pPr>
      <w:r w:rsidRPr="00CD5BC5">
        <w:rPr>
          <w:lang w:val="en-GB"/>
        </w:rPr>
        <w:t>4</w:t>
      </w:r>
      <w:r w:rsidR="001777C4" w:rsidRPr="00CD5BC5">
        <w:rPr>
          <w:lang w:val="en-GB"/>
        </w:rPr>
        <w:t xml:space="preserve">. Final </w:t>
      </w:r>
      <w:r w:rsidR="00575252">
        <w:rPr>
          <w:lang w:val="en-GB"/>
        </w:rPr>
        <w:t>R</w:t>
      </w:r>
      <w:r w:rsidR="001777C4" w:rsidRPr="00CD5BC5">
        <w:rPr>
          <w:lang w:val="en-GB"/>
        </w:rPr>
        <w:t>emarks</w:t>
      </w:r>
    </w:p>
    <w:p w14:paraId="68F80F95" w14:textId="658003B0" w:rsidR="004E797C" w:rsidRPr="00CD5BC5" w:rsidRDefault="004E797C" w:rsidP="003F76C0">
      <w:pPr>
        <w:ind w:firstLine="284"/>
        <w:rPr>
          <w:lang w:val="en-GB"/>
        </w:rPr>
      </w:pPr>
      <w:r w:rsidRPr="00CD5BC5">
        <w:rPr>
          <w:lang w:val="en-GB"/>
        </w:rPr>
        <w:t>The introduction by the IMO of successive indicators of emission of harmful substances into the atmosphere (recently Carbon Intensity Indicator) from ship engines sets out directions for necessary changes in ship operation for shipowners. Decisions must be well thought out to reduce the costs of ship moderni</w:t>
      </w:r>
      <w:r w:rsidR="00575252">
        <w:rPr>
          <w:lang w:val="en-GB"/>
        </w:rPr>
        <w:t>s</w:t>
      </w:r>
      <w:r w:rsidRPr="00CD5BC5">
        <w:rPr>
          <w:lang w:val="en-GB"/>
        </w:rPr>
        <w:t xml:space="preserve">ation. The barrier of costs that </w:t>
      </w:r>
      <w:r w:rsidR="00575252">
        <w:rPr>
          <w:lang w:val="en-GB"/>
        </w:rPr>
        <w:t>shipowners can incur</w:t>
      </w:r>
      <w:r w:rsidRPr="00CD5BC5">
        <w:rPr>
          <w:lang w:val="en-GB"/>
        </w:rPr>
        <w:t xml:space="preserve"> prefer the larger ones. The maritime administration of the flag state will </w:t>
      </w:r>
      <w:r w:rsidR="00575252">
        <w:rPr>
          <w:lang w:val="en-GB"/>
        </w:rPr>
        <w:t>greatly impact</w:t>
      </w:r>
      <w:r w:rsidRPr="00CD5BC5">
        <w:rPr>
          <w:lang w:val="en-GB"/>
        </w:rPr>
        <w:t xml:space="preserve"> the necessary moderni</w:t>
      </w:r>
      <w:r w:rsidR="00575252">
        <w:rPr>
          <w:lang w:val="en-GB"/>
        </w:rPr>
        <w:t>s</w:t>
      </w:r>
      <w:r w:rsidRPr="00CD5BC5">
        <w:rPr>
          <w:lang w:val="en-GB"/>
        </w:rPr>
        <w:t>ation of the ships' power systems and their scope, depending on whether it accepts the moderni</w:t>
      </w:r>
      <w:r w:rsidR="00575252">
        <w:rPr>
          <w:lang w:val="en-GB"/>
        </w:rPr>
        <w:t>s</w:t>
      </w:r>
      <w:r w:rsidRPr="00CD5BC5">
        <w:rPr>
          <w:lang w:val="en-GB"/>
        </w:rPr>
        <w:t>ations proposed by the shipowner.</w:t>
      </w:r>
    </w:p>
    <w:p w14:paraId="0F7AC769" w14:textId="7B1A6168" w:rsidR="004E797C" w:rsidRPr="00CD5BC5" w:rsidRDefault="004E797C" w:rsidP="003F76C0">
      <w:pPr>
        <w:ind w:firstLine="284"/>
        <w:rPr>
          <w:lang w:val="en-GB"/>
        </w:rPr>
      </w:pPr>
      <w:r w:rsidRPr="00CD5BC5">
        <w:rPr>
          <w:lang w:val="en-GB"/>
        </w:rPr>
        <w:t>There are few opportunities to meet the regulatory requirements. A move away from crude oil-derived fuels in favo</w:t>
      </w:r>
      <w:r w:rsidR="000F25BE" w:rsidRPr="00CD5BC5">
        <w:rPr>
          <w:lang w:val="en-GB"/>
        </w:rPr>
        <w:t>u</w:t>
      </w:r>
      <w:r w:rsidRPr="00CD5BC5">
        <w:rPr>
          <w:lang w:val="en-GB"/>
        </w:rPr>
        <w:t>r of biofuels seems to be a guarantee of success. Of course, as long as biofuels are considered green. More guarantees are provided by switching to carbon-free fuels, e.g. ammonia. These are the trends to be expected in the coming years.</w:t>
      </w:r>
    </w:p>
    <w:p w14:paraId="7440B96B" w14:textId="0C3EF110" w:rsidR="004E797C" w:rsidRDefault="004E797C" w:rsidP="003F76C0">
      <w:pPr>
        <w:ind w:firstLine="284"/>
        <w:rPr>
          <w:lang w:val="en-GB"/>
        </w:rPr>
      </w:pPr>
      <w:r w:rsidRPr="00CD5BC5">
        <w:rPr>
          <w:lang w:val="en-GB"/>
        </w:rPr>
        <w:t>The consequences of introducing new regulations can be serious for international shipping. They require appropriate actions by shipowners, behind which there are significant costs, worsening the economic effects of shipping and consequently lowering competitiveness. The goal of the actions is clear</w:t>
      </w:r>
      <w:r w:rsidR="00575252">
        <w:rPr>
          <w:lang w:val="en-GB"/>
        </w:rPr>
        <w:t>: to reduce the level of emissions and</w:t>
      </w:r>
      <w:r w:rsidRPr="00CD5BC5">
        <w:rPr>
          <w:lang w:val="en-GB"/>
        </w:rPr>
        <w:t xml:space="preserve"> the share of international shipping in global emissions, mainly of carbon dioxide. The final goal </w:t>
      </w:r>
      <w:r w:rsidR="00575252">
        <w:rPr>
          <w:lang w:val="en-GB"/>
        </w:rPr>
        <w:t xml:space="preserve">is the </w:t>
      </w:r>
      <w:r w:rsidRPr="00CD5BC5">
        <w:rPr>
          <w:lang w:val="en-GB"/>
        </w:rPr>
        <w:t xml:space="preserve">neutrality of shipping in terms of emissions of harmful substances into the atmosphere (climate neutrality). </w:t>
      </w:r>
      <w:r w:rsidR="00575252">
        <w:rPr>
          <w:lang w:val="en-GB"/>
        </w:rPr>
        <w:t>The next few years will show whether this will be achievable by 2050</w:t>
      </w:r>
      <w:r w:rsidRPr="00CD5BC5">
        <w:rPr>
          <w:lang w:val="en-GB"/>
        </w:rPr>
        <w:t>.</w:t>
      </w:r>
    </w:p>
    <w:p w14:paraId="37D0C2F2" w14:textId="77777777" w:rsidR="00CD5BC5" w:rsidRPr="00CD5BC5" w:rsidRDefault="00CD5BC5" w:rsidP="003F76C0">
      <w:pPr>
        <w:ind w:firstLine="284"/>
        <w:rPr>
          <w:lang w:val="en-GB"/>
        </w:rPr>
      </w:pPr>
    </w:p>
    <w:p w14:paraId="1224E142" w14:textId="77777777" w:rsidR="004E797C" w:rsidRPr="00CD5BC5" w:rsidRDefault="004E797C" w:rsidP="00CD5BC5">
      <w:pPr>
        <w:ind w:firstLine="0"/>
        <w:jc w:val="center"/>
        <w:rPr>
          <w:i/>
          <w:iCs/>
          <w:lang w:val="en-GB"/>
        </w:rPr>
      </w:pPr>
      <w:r w:rsidRPr="00CD5BC5">
        <w:rPr>
          <w:bCs/>
          <w:i/>
          <w:iCs/>
          <w:lang w:val="en-GB"/>
        </w:rPr>
        <w:t>Funding:</w:t>
      </w:r>
      <w:r w:rsidRPr="00CD5BC5">
        <w:rPr>
          <w:i/>
          <w:iCs/>
          <w:lang w:val="en-GB"/>
        </w:rPr>
        <w:t xml:space="preserve"> This research received no external funding.</w:t>
      </w:r>
    </w:p>
    <w:p w14:paraId="4F19C0A3" w14:textId="16B73C59" w:rsidR="001D41EC" w:rsidRPr="00CD5BC5" w:rsidRDefault="001D41EC" w:rsidP="003F76C0">
      <w:pPr>
        <w:pStyle w:val="Rn2"/>
        <w:rPr>
          <w:lang w:val="en-GB"/>
        </w:rPr>
      </w:pPr>
      <w:r w:rsidRPr="00CD5BC5">
        <w:rPr>
          <w:lang w:val="en-GB"/>
        </w:rPr>
        <w:t>References</w:t>
      </w:r>
    </w:p>
    <w:p w14:paraId="63DAE7B4" w14:textId="69C7D51D" w:rsidR="00030670" w:rsidRPr="00CD5BC5" w:rsidRDefault="00030670" w:rsidP="003F76C0">
      <w:pPr>
        <w:pStyle w:val="Rlit"/>
      </w:pPr>
      <w:r w:rsidRPr="00CD5BC5">
        <w:t>ABS (2017)</w:t>
      </w:r>
      <w:r w:rsidR="00C223A9">
        <w:t>.</w:t>
      </w:r>
      <w:r w:rsidRPr="00CD5BC5">
        <w:t xml:space="preserve"> Guide for exhaust emission abatement, </w:t>
      </w:r>
      <w:r w:rsidRPr="00CD5BC5">
        <w:rPr>
          <w:i/>
          <w:iCs/>
        </w:rPr>
        <w:t>American Bureau of Shipping</w:t>
      </w:r>
      <w:r w:rsidRPr="00CD5BC5">
        <w:t>, Jan 2018.</w:t>
      </w:r>
    </w:p>
    <w:p w14:paraId="34961BAC" w14:textId="6F4773C4" w:rsidR="003250D8" w:rsidRPr="00CD5BC5" w:rsidRDefault="003250D8" w:rsidP="003F76C0">
      <w:pPr>
        <w:pStyle w:val="Rlit"/>
      </w:pPr>
      <w:r w:rsidRPr="00CD5BC5">
        <w:t xml:space="preserve">Chang, C. </w:t>
      </w:r>
      <w:r w:rsidR="00C223A9">
        <w:t>&amp;</w:t>
      </w:r>
      <w:r w:rsidRPr="00CD5BC5">
        <w:t xml:space="preserve"> Wang, C. (2014)</w:t>
      </w:r>
      <w:r w:rsidR="00C223A9">
        <w:t>.</w:t>
      </w:r>
      <w:r w:rsidRPr="00CD5BC5">
        <w:t xml:space="preserve"> Evaluating the effects of speed reduce for shipping costs and CO</w:t>
      </w:r>
      <w:r w:rsidRPr="001A0074">
        <w:rPr>
          <w:vertAlign w:val="subscript"/>
        </w:rPr>
        <w:t>2</w:t>
      </w:r>
      <w:r w:rsidRPr="00CD5BC5">
        <w:t xml:space="preserve"> emission. </w:t>
      </w:r>
      <w:r w:rsidRPr="00CD5BC5">
        <w:rPr>
          <w:i/>
          <w:iCs/>
        </w:rPr>
        <w:t>Transportation Research Part D: Transport and Environment</w:t>
      </w:r>
      <w:r w:rsidR="00C223A9">
        <w:t xml:space="preserve">, </w:t>
      </w:r>
      <w:r w:rsidRPr="00C223A9">
        <w:rPr>
          <w:i/>
          <w:iCs/>
        </w:rPr>
        <w:t>31</w:t>
      </w:r>
      <w:r w:rsidRPr="00CD5BC5">
        <w:t>, 110-115.</w:t>
      </w:r>
    </w:p>
    <w:p w14:paraId="3729F700" w14:textId="15FC741A" w:rsidR="0056424A" w:rsidRPr="00CD5BC5" w:rsidRDefault="0056424A" w:rsidP="003F76C0">
      <w:pPr>
        <w:pStyle w:val="Rlit"/>
      </w:pPr>
      <w:r w:rsidRPr="00CD5BC5">
        <w:t>DNV (2023)</w:t>
      </w:r>
      <w:r w:rsidR="00C223A9">
        <w:t>.</w:t>
      </w:r>
      <w:r w:rsidRPr="00CD5BC5">
        <w:t xml:space="preserve"> https://www.dnv.com/maritime/insights/topics/eexi/index.html (accessed on: 31</w:t>
      </w:r>
      <w:r w:rsidRPr="00CD5BC5">
        <w:rPr>
          <w:vertAlign w:val="superscript"/>
        </w:rPr>
        <w:t>st</w:t>
      </w:r>
      <w:r w:rsidRPr="00CD5BC5">
        <w:t>, July 2023).</w:t>
      </w:r>
    </w:p>
    <w:p w14:paraId="4F4FFBAF" w14:textId="2BEA8207" w:rsidR="003250D8" w:rsidRPr="00CD5BC5" w:rsidRDefault="003250D8" w:rsidP="003F76C0">
      <w:pPr>
        <w:pStyle w:val="Rlit"/>
      </w:pPr>
      <w:r w:rsidRPr="00CD5BC5">
        <w:t>IEA (2022)</w:t>
      </w:r>
      <w:r w:rsidR="00C223A9">
        <w:t>.</w:t>
      </w:r>
      <w:r w:rsidR="004C7DDE" w:rsidRPr="00CD5BC5">
        <w:t xml:space="preserve"> </w:t>
      </w:r>
      <w:r w:rsidRPr="00CD5BC5">
        <w:t xml:space="preserve">World Energy Outlook 2022, </w:t>
      </w:r>
      <w:r w:rsidR="004C7DDE" w:rsidRPr="00CD5BC5">
        <w:rPr>
          <w:i/>
          <w:iCs/>
        </w:rPr>
        <w:t xml:space="preserve">International Energy Agency, </w:t>
      </w:r>
      <w:hyperlink r:id="rId9" w:history="1">
        <w:r w:rsidRPr="00CD5BC5">
          <w:t>www.iea.org/weo</w:t>
        </w:r>
      </w:hyperlink>
    </w:p>
    <w:p w14:paraId="51C80896" w14:textId="78C94F82" w:rsidR="003250D8" w:rsidRPr="00CD5BC5" w:rsidRDefault="003250D8" w:rsidP="003F76C0">
      <w:pPr>
        <w:pStyle w:val="Rlit"/>
      </w:pPr>
      <w:r w:rsidRPr="00CD5BC5">
        <w:t>IMO (2005)</w:t>
      </w:r>
      <w:r w:rsidR="00C223A9">
        <w:t>.</w:t>
      </w:r>
      <w:r w:rsidRPr="00CD5BC5">
        <w:t xml:space="preserve"> Amendments to the Annex of the Protocol of 1997 to amend the International Convention for the Prevention of Pollution from Ships, 1973, as modified by the protocol of 1978 relating thereto (Amendments to MARPOL Annex VI and the NO</w:t>
      </w:r>
      <w:r w:rsidRPr="001A0074">
        <w:rPr>
          <w:vertAlign w:val="subscript"/>
        </w:rPr>
        <w:t>x</w:t>
      </w:r>
      <w:r w:rsidRPr="00CD5BC5">
        <w:t xml:space="preserve"> Technical Code), </w:t>
      </w:r>
      <w:r w:rsidRPr="00CD5BC5">
        <w:rPr>
          <w:i/>
          <w:iCs/>
        </w:rPr>
        <w:t>IMO Resolution MEPC.132(53)</w:t>
      </w:r>
      <w:r w:rsidRPr="00CD5BC5">
        <w:t>, 2005.</w:t>
      </w:r>
    </w:p>
    <w:p w14:paraId="7D92918D" w14:textId="03900E19" w:rsidR="003250D8" w:rsidRPr="00CD5BC5" w:rsidRDefault="003250D8" w:rsidP="003F76C0">
      <w:pPr>
        <w:pStyle w:val="Rlit"/>
      </w:pPr>
      <w:r w:rsidRPr="00CD5BC5">
        <w:lastRenderedPageBreak/>
        <w:t>IMO (2018)</w:t>
      </w:r>
      <w:r w:rsidR="00C223A9">
        <w:t>.</w:t>
      </w:r>
      <w:r w:rsidRPr="00CD5BC5">
        <w:t xml:space="preserve"> </w:t>
      </w:r>
      <w:r w:rsidRPr="00CD5BC5">
        <w:rPr>
          <w:i/>
          <w:iCs/>
        </w:rPr>
        <w:t>MEPC 72/INF.5.</w:t>
      </w:r>
      <w:r w:rsidRPr="00C223A9">
        <w:t>,</w:t>
      </w:r>
      <w:r w:rsidRPr="00CD5BC5">
        <w:t xml:space="preserve"> Reduction of GHG from Ships. Understanding CO</w:t>
      </w:r>
      <w:r w:rsidRPr="00CD5BC5">
        <w:rPr>
          <w:vertAlign w:val="subscript"/>
        </w:rPr>
        <w:t>2</w:t>
      </w:r>
      <w:r w:rsidRPr="00CD5BC5">
        <w:t xml:space="preserve"> Emissions and Challenges in Assessing the Operational Efficiency for Ships; International Maritime Organization.</w:t>
      </w:r>
    </w:p>
    <w:p w14:paraId="62D7B7DB" w14:textId="71D3B3F2" w:rsidR="003250D8" w:rsidRPr="00CD5BC5" w:rsidRDefault="00B61C8F" w:rsidP="001A0074">
      <w:pPr>
        <w:pStyle w:val="Rlit"/>
        <w:jc w:val="left"/>
      </w:pPr>
      <w:r w:rsidRPr="00CD5BC5">
        <w:t>IMO</w:t>
      </w:r>
      <w:r w:rsidR="00634E2B" w:rsidRPr="00CD5BC5">
        <w:t xml:space="preserve"> (20</w:t>
      </w:r>
      <w:r w:rsidRPr="00CD5BC5">
        <w:t>23</w:t>
      </w:r>
      <w:r w:rsidR="003250D8" w:rsidRPr="00CD5BC5">
        <w:t>a</w:t>
      </w:r>
      <w:r w:rsidR="00634E2B" w:rsidRPr="00CD5BC5">
        <w:t>)</w:t>
      </w:r>
      <w:r w:rsidR="00C223A9">
        <w:t>.</w:t>
      </w:r>
      <w:r w:rsidR="00634E2B" w:rsidRPr="00CD5BC5">
        <w:t xml:space="preserve"> </w:t>
      </w:r>
      <w:r w:rsidRPr="00CD5BC5">
        <w:t>https://www.imo.org/en/MediaCentre/PressBriefings/pages/CII-and-EEXI-entry-into-force.aspx (accessed on 20</w:t>
      </w:r>
      <w:r w:rsidRPr="00CD5BC5">
        <w:rPr>
          <w:vertAlign w:val="superscript"/>
        </w:rPr>
        <w:t xml:space="preserve"> </w:t>
      </w:r>
      <w:r w:rsidRPr="00CD5BC5">
        <w:t>June, 2023).</w:t>
      </w:r>
    </w:p>
    <w:p w14:paraId="7908BB09" w14:textId="77777777" w:rsidR="003250D8" w:rsidRPr="00CD5BC5" w:rsidRDefault="003250D8" w:rsidP="003F76C0">
      <w:pPr>
        <w:pStyle w:val="Rlit"/>
      </w:pPr>
      <w:r w:rsidRPr="00CD5BC5">
        <w:t>IMO (2023b), https://www.imorules.com/MARPOL_ANNVI.html (accessed on: 31</w:t>
      </w:r>
      <w:r w:rsidRPr="00CD5BC5">
        <w:rPr>
          <w:vertAlign w:val="superscript"/>
        </w:rPr>
        <w:t>st</w:t>
      </w:r>
      <w:r w:rsidRPr="00CD5BC5">
        <w:t>, July 2023).</w:t>
      </w:r>
    </w:p>
    <w:p w14:paraId="03B16495" w14:textId="197E441D" w:rsidR="003250D8" w:rsidRPr="00CD5BC5" w:rsidRDefault="003250D8" w:rsidP="00C223A9">
      <w:pPr>
        <w:pStyle w:val="Rlit"/>
        <w:jc w:val="left"/>
      </w:pPr>
      <w:r w:rsidRPr="00CD5BC5">
        <w:t>IMO (2023</w:t>
      </w:r>
      <w:r w:rsidR="0056424A" w:rsidRPr="00CD5BC5">
        <w:t>c</w:t>
      </w:r>
      <w:r w:rsidRPr="00CD5BC5">
        <w:t>)</w:t>
      </w:r>
      <w:r w:rsidR="00C223A9">
        <w:t>.</w:t>
      </w:r>
      <w:r w:rsidRPr="00CD5BC5">
        <w:t xml:space="preserve"> </w:t>
      </w:r>
      <w:hyperlink r:id="rId10" w:history="1">
        <w:r w:rsidRPr="00CD5BC5">
          <w:t>https://www.imo.org/en/about/Conventions/Pages/International-Convention-for-the-Prevention-of-Pollution-from-Ships-(MARPOL).aspx</w:t>
        </w:r>
      </w:hyperlink>
      <w:r w:rsidRPr="00CD5BC5">
        <w:t xml:space="preserve"> (accessed on: 04</w:t>
      </w:r>
      <w:r w:rsidRPr="00CD5BC5">
        <w:rPr>
          <w:vertAlign w:val="superscript"/>
        </w:rPr>
        <w:t>th</w:t>
      </w:r>
      <w:r w:rsidRPr="00CD5BC5">
        <w:t>, July 2023).</w:t>
      </w:r>
    </w:p>
    <w:p w14:paraId="6C63DA93" w14:textId="570F67FD" w:rsidR="003250D8" w:rsidRPr="00CD5BC5" w:rsidRDefault="003250D8" w:rsidP="001A0074">
      <w:pPr>
        <w:pStyle w:val="Rlit"/>
        <w:jc w:val="left"/>
      </w:pPr>
      <w:r w:rsidRPr="00CD5BC5">
        <w:t>IMO (2023</w:t>
      </w:r>
      <w:r w:rsidR="0056424A" w:rsidRPr="00CD5BC5">
        <w:t>d</w:t>
      </w:r>
      <w:r w:rsidRPr="00CD5BC5">
        <w:t>)</w:t>
      </w:r>
      <w:r w:rsidR="00C223A9">
        <w:t>.</w:t>
      </w:r>
      <w:r w:rsidRPr="00CD5BC5">
        <w:t xml:space="preserve"> </w:t>
      </w:r>
      <w:hyperlink r:id="rId11" w:history="1">
        <w:r w:rsidRPr="00CD5BC5">
          <w:t>https://www.imorules.com/GUID-82DA0CF7-5A83-476B-A1F5-B455E4610E58.html</w:t>
        </w:r>
      </w:hyperlink>
      <w:r w:rsidRPr="00CD5BC5">
        <w:t xml:space="preserve"> </w:t>
      </w:r>
      <w:r w:rsidR="001A0074">
        <w:br/>
      </w:r>
      <w:r w:rsidRPr="00CD5BC5">
        <w:t>(accessed on: 04</w:t>
      </w:r>
      <w:r w:rsidRPr="00CD5BC5">
        <w:rPr>
          <w:vertAlign w:val="superscript"/>
        </w:rPr>
        <w:t>th</w:t>
      </w:r>
      <w:r w:rsidRPr="00CD5BC5">
        <w:t>, July 2023).</w:t>
      </w:r>
    </w:p>
    <w:p w14:paraId="293F1FF2" w14:textId="4308BC8C" w:rsidR="003250D8" w:rsidRPr="00CD5BC5" w:rsidRDefault="003250D8" w:rsidP="003F76C0">
      <w:pPr>
        <w:pStyle w:val="Rlit"/>
      </w:pPr>
      <w:r w:rsidRPr="00CD5BC5">
        <w:t>IMO (2023</w:t>
      </w:r>
      <w:r w:rsidR="0056424A" w:rsidRPr="00CD5BC5">
        <w:t>e</w:t>
      </w:r>
      <w:r w:rsidRPr="00CD5BC5">
        <w:t>)</w:t>
      </w:r>
      <w:r w:rsidR="00C223A9">
        <w:t>.</w:t>
      </w:r>
      <w:r w:rsidRPr="00CD5BC5">
        <w:t xml:space="preserve"> </w:t>
      </w:r>
      <w:hyperlink r:id="rId12" w:history="1">
        <w:r w:rsidRPr="00CD5BC5">
          <w:t>https://www.imorules.com/MARPOL_ANNVI_CH4.html</w:t>
        </w:r>
      </w:hyperlink>
      <w:r w:rsidRPr="00CD5BC5">
        <w:t xml:space="preserve"> (accessed on: 04</w:t>
      </w:r>
      <w:r w:rsidRPr="00CD5BC5">
        <w:rPr>
          <w:vertAlign w:val="superscript"/>
        </w:rPr>
        <w:t>th</w:t>
      </w:r>
      <w:r w:rsidRPr="00CD5BC5">
        <w:t>, July 2023).</w:t>
      </w:r>
    </w:p>
    <w:p w14:paraId="41971399" w14:textId="2FB06B6B" w:rsidR="003250D8" w:rsidRPr="00CD5BC5" w:rsidRDefault="003250D8" w:rsidP="003F76C0">
      <w:pPr>
        <w:pStyle w:val="Rlit"/>
        <w:rPr>
          <w:i/>
          <w:iCs/>
        </w:rPr>
      </w:pPr>
      <w:r w:rsidRPr="00CD5BC5">
        <w:t>IRENA (2022a)</w:t>
      </w:r>
      <w:r w:rsidR="00C223A9">
        <w:t>.</w:t>
      </w:r>
      <w:r w:rsidRPr="00CD5BC5">
        <w:t xml:space="preserve"> Global Energy Transformation, A Roadmap to 2050, </w:t>
      </w:r>
      <w:r w:rsidRPr="00CD5BC5">
        <w:rPr>
          <w:i/>
          <w:iCs/>
        </w:rPr>
        <w:t>International Renewable Energy Agency.</w:t>
      </w:r>
    </w:p>
    <w:p w14:paraId="41CAD73E" w14:textId="45C0451D" w:rsidR="003250D8" w:rsidRPr="00CD5BC5" w:rsidRDefault="003250D8" w:rsidP="003F76C0">
      <w:pPr>
        <w:pStyle w:val="Rlit"/>
        <w:rPr>
          <w:i/>
          <w:iCs/>
        </w:rPr>
      </w:pPr>
      <w:r w:rsidRPr="00CD5BC5">
        <w:t>IRENA (2022b)</w:t>
      </w:r>
      <w:r w:rsidR="00C223A9">
        <w:t>.</w:t>
      </w:r>
      <w:r w:rsidRPr="00CD5BC5">
        <w:t xml:space="preserve"> Global Energy Transitions Outlook 2022. 1.5</w:t>
      </w:r>
      <w:r w:rsidRPr="00CD5BC5">
        <w:rPr>
          <w:vertAlign w:val="superscript"/>
        </w:rPr>
        <w:t>o</w:t>
      </w:r>
      <w:r w:rsidRPr="00CD5BC5">
        <w:t xml:space="preserve">C Pathway, Executive Summary, </w:t>
      </w:r>
      <w:r w:rsidRPr="00CD5BC5">
        <w:rPr>
          <w:i/>
          <w:iCs/>
        </w:rPr>
        <w:t>International Renewable Energy Agency.</w:t>
      </w:r>
    </w:p>
    <w:p w14:paraId="76EFFE16" w14:textId="321E84E2" w:rsidR="003250D8" w:rsidRPr="00CD5BC5" w:rsidRDefault="003250D8" w:rsidP="001A0074">
      <w:pPr>
        <w:pStyle w:val="Rlit"/>
        <w:jc w:val="left"/>
      </w:pPr>
      <w:r w:rsidRPr="00CD5BC5">
        <w:t>IRENA (2023)</w:t>
      </w:r>
      <w:r w:rsidR="00C223A9">
        <w:t>.</w:t>
      </w:r>
      <w:r w:rsidRPr="00CD5BC5">
        <w:t xml:space="preserve"> https://www.irena.org/Energy-Transition/Technology/Power-generation-costs </w:t>
      </w:r>
      <w:r w:rsidR="001A0074">
        <w:br/>
      </w:r>
      <w:r w:rsidRPr="00CD5BC5">
        <w:t>(accessed on: 31</w:t>
      </w:r>
      <w:r w:rsidRPr="00CD5BC5">
        <w:rPr>
          <w:vertAlign w:val="superscript"/>
        </w:rPr>
        <w:t>st</w:t>
      </w:r>
      <w:r w:rsidRPr="00CD5BC5">
        <w:t>, July 2023).</w:t>
      </w:r>
    </w:p>
    <w:p w14:paraId="736881E1" w14:textId="753DE8C8" w:rsidR="003250D8" w:rsidRPr="00CD5BC5" w:rsidRDefault="003250D8" w:rsidP="001A0074">
      <w:pPr>
        <w:pStyle w:val="Rlit"/>
        <w:jc w:val="left"/>
      </w:pPr>
      <w:r w:rsidRPr="00CD5BC5">
        <w:t>Kongsberg (2023a)</w:t>
      </w:r>
      <w:r w:rsidR="00C223A9">
        <w:t>.</w:t>
      </w:r>
      <w:r w:rsidRPr="00CD5BC5">
        <w:t xml:space="preserve"> https://www.kongsberg.com/maritime/campaign/eexi_cii/epl/ </w:t>
      </w:r>
      <w:r w:rsidR="001A0074">
        <w:br/>
      </w:r>
      <w:r w:rsidRPr="00CD5BC5">
        <w:t>(accessed on: 31</w:t>
      </w:r>
      <w:r w:rsidRPr="00CD5BC5">
        <w:rPr>
          <w:vertAlign w:val="superscript"/>
        </w:rPr>
        <w:t>st</w:t>
      </w:r>
      <w:r w:rsidRPr="00CD5BC5">
        <w:t>, July 2023).</w:t>
      </w:r>
    </w:p>
    <w:p w14:paraId="1F5FC52E" w14:textId="186A4B44" w:rsidR="003250D8" w:rsidRPr="00CD5BC5" w:rsidRDefault="003250D8" w:rsidP="001A0074">
      <w:pPr>
        <w:pStyle w:val="Rlit"/>
        <w:jc w:val="left"/>
      </w:pPr>
      <w:r w:rsidRPr="00CD5BC5">
        <w:t>Kongsberg (2023b)</w:t>
      </w:r>
      <w:r w:rsidR="00C223A9">
        <w:t>.</w:t>
      </w:r>
      <w:r w:rsidRPr="00CD5BC5">
        <w:t xml:space="preserve"> https://www.kongsberg.com/maritime/campaign/eexi_cii/shapoli/ </w:t>
      </w:r>
      <w:r w:rsidR="001A0074">
        <w:br/>
      </w:r>
      <w:r w:rsidRPr="00CD5BC5">
        <w:t>(accessed on: 31</w:t>
      </w:r>
      <w:r w:rsidRPr="00CD5BC5">
        <w:rPr>
          <w:vertAlign w:val="superscript"/>
        </w:rPr>
        <w:t>st</w:t>
      </w:r>
      <w:r w:rsidRPr="00CD5BC5">
        <w:t>, July 2023).</w:t>
      </w:r>
    </w:p>
    <w:p w14:paraId="778AA4C3" w14:textId="317CB64C" w:rsidR="003250D8" w:rsidRPr="00CD5BC5" w:rsidRDefault="003250D8" w:rsidP="001A0074">
      <w:pPr>
        <w:pStyle w:val="Rlit"/>
        <w:jc w:val="left"/>
      </w:pPr>
      <w:r w:rsidRPr="00CD5BC5">
        <w:t xml:space="preserve">Parker S., Raucci C., Smith T., </w:t>
      </w:r>
      <w:proofErr w:type="spellStart"/>
      <w:r w:rsidRPr="00CD5BC5">
        <w:t>Laffineur</w:t>
      </w:r>
      <w:proofErr w:type="spellEnd"/>
      <w:r w:rsidRPr="00CD5BC5">
        <w:t xml:space="preserve"> L. (2015)</w:t>
      </w:r>
      <w:r w:rsidR="00C223A9">
        <w:t>.</w:t>
      </w:r>
      <w:r w:rsidRPr="00CD5BC5">
        <w:t xml:space="preserve"> Understanding the Energy Efficiency Operational Indicator: an empirical analysis of ships from the Royal Belgian Shipowners</w:t>
      </w:r>
      <w:r w:rsidR="00575252">
        <w:t>'</w:t>
      </w:r>
      <w:r w:rsidRPr="00CD5BC5">
        <w:t xml:space="preserve"> Association</w:t>
      </w:r>
      <w:r w:rsidRPr="00CD5BC5">
        <w:rPr>
          <w:i/>
          <w:iCs/>
        </w:rPr>
        <w:t>,</w:t>
      </w:r>
      <w:r w:rsidRPr="00CD5BC5">
        <w:t xml:space="preserve"> </w:t>
      </w:r>
      <w:r w:rsidRPr="00CD5BC5">
        <w:rPr>
          <w:i/>
          <w:iCs/>
        </w:rPr>
        <w:t>UCL Energy Institute</w:t>
      </w:r>
      <w:r w:rsidRPr="00CD5BC5">
        <w:t xml:space="preserve">, 2015. </w:t>
      </w:r>
      <w:hyperlink r:id="rId13" w:history="1">
        <w:r w:rsidRPr="00CD5BC5">
          <w:rPr>
            <w:color w:val="000000" w:themeColor="text1"/>
          </w:rPr>
          <w:t>https://www.seacargocharter.org/wp-content/uploads/2020/10/UCL-2015-Understanding-the-Energy-Efficiency-Operational-Indicator-Main.pdf</w:t>
        </w:r>
      </w:hyperlink>
      <w:r w:rsidRPr="00CD5BC5">
        <w:rPr>
          <w:color w:val="000000" w:themeColor="text1"/>
        </w:rPr>
        <w:t xml:space="preserve"> </w:t>
      </w:r>
      <w:r w:rsidRPr="00CD5BC5">
        <w:t>(accessed on 15</w:t>
      </w:r>
      <w:r w:rsidRPr="00CD5BC5">
        <w:rPr>
          <w:vertAlign w:val="superscript"/>
        </w:rPr>
        <w:t xml:space="preserve"> </w:t>
      </w:r>
      <w:r w:rsidRPr="00CD5BC5">
        <w:t>June, 2023).</w:t>
      </w:r>
    </w:p>
    <w:p w14:paraId="4451D8D8" w14:textId="606B6597" w:rsidR="00030670" w:rsidRDefault="00030670" w:rsidP="003F76C0">
      <w:pPr>
        <w:pStyle w:val="Rlit"/>
      </w:pPr>
      <w:r w:rsidRPr="00CD5BC5">
        <w:t>PRS (2023)</w:t>
      </w:r>
      <w:r w:rsidR="00C223A9">
        <w:t>.</w:t>
      </w:r>
      <w:r w:rsidRPr="00CD5BC5">
        <w:t xml:space="preserve"> </w:t>
      </w:r>
      <w:proofErr w:type="spellStart"/>
      <w:r w:rsidRPr="00CD5BC5">
        <w:t>Przepisy</w:t>
      </w:r>
      <w:proofErr w:type="spellEnd"/>
      <w:r w:rsidRPr="00CD5BC5">
        <w:t xml:space="preserve"> </w:t>
      </w:r>
      <w:proofErr w:type="spellStart"/>
      <w:r w:rsidRPr="00CD5BC5">
        <w:t>nadzoru</w:t>
      </w:r>
      <w:proofErr w:type="spellEnd"/>
      <w:r w:rsidRPr="00CD5BC5">
        <w:t xml:space="preserve"> </w:t>
      </w:r>
      <w:proofErr w:type="spellStart"/>
      <w:r w:rsidRPr="00CD5BC5">
        <w:t>konwencyjnego</w:t>
      </w:r>
      <w:proofErr w:type="spellEnd"/>
      <w:r w:rsidRPr="00CD5BC5">
        <w:t xml:space="preserve"> </w:t>
      </w:r>
      <w:proofErr w:type="spellStart"/>
      <w:r w:rsidRPr="00CD5BC5">
        <w:t>statków</w:t>
      </w:r>
      <w:proofErr w:type="spellEnd"/>
      <w:r w:rsidRPr="00CD5BC5">
        <w:t xml:space="preserve"> </w:t>
      </w:r>
      <w:proofErr w:type="spellStart"/>
      <w:r w:rsidRPr="00CD5BC5">
        <w:t>morskich</w:t>
      </w:r>
      <w:proofErr w:type="spellEnd"/>
      <w:r w:rsidRPr="00CD5BC5">
        <w:t xml:space="preserve">, </w:t>
      </w:r>
      <w:proofErr w:type="spellStart"/>
      <w:r w:rsidRPr="00CD5BC5">
        <w:t>część</w:t>
      </w:r>
      <w:proofErr w:type="spellEnd"/>
      <w:r w:rsidRPr="00CD5BC5">
        <w:t xml:space="preserve"> IX, </w:t>
      </w:r>
      <w:proofErr w:type="spellStart"/>
      <w:r w:rsidRPr="00CD5BC5">
        <w:t>Ochrona</w:t>
      </w:r>
      <w:proofErr w:type="spellEnd"/>
      <w:r w:rsidRPr="00CD5BC5">
        <w:t xml:space="preserve"> </w:t>
      </w:r>
      <w:proofErr w:type="spellStart"/>
      <w:r w:rsidRPr="00CD5BC5">
        <w:t>Środowiska</w:t>
      </w:r>
      <w:proofErr w:type="spellEnd"/>
      <w:r w:rsidRPr="00CD5BC5">
        <w:rPr>
          <w:i/>
          <w:iCs/>
        </w:rPr>
        <w:t>,</w:t>
      </w:r>
      <w:r w:rsidRPr="00CD5BC5">
        <w:t xml:space="preserve"> </w:t>
      </w:r>
      <w:r w:rsidRPr="00CD5BC5">
        <w:rPr>
          <w:i/>
          <w:iCs/>
        </w:rPr>
        <w:t>Polish Register of Shipping</w:t>
      </w:r>
      <w:r w:rsidRPr="00CD5BC5">
        <w:t xml:space="preserve">, </w:t>
      </w:r>
      <w:proofErr w:type="spellStart"/>
      <w:r w:rsidRPr="00CD5BC5">
        <w:t>Gdańsk</w:t>
      </w:r>
      <w:proofErr w:type="spellEnd"/>
      <w:r w:rsidRPr="00CD5BC5">
        <w:t>, 2023</w:t>
      </w:r>
      <w:r w:rsidR="00311E5E">
        <w:t>.</w:t>
      </w:r>
      <w:r w:rsidR="004C7DDE" w:rsidRPr="00CD5BC5">
        <w:t xml:space="preserve"> (in Polish)</w:t>
      </w:r>
    </w:p>
    <w:p w14:paraId="1FCB0B17" w14:textId="77777777" w:rsidR="00CD5BC5" w:rsidRPr="00CD5BC5" w:rsidRDefault="00CD5BC5" w:rsidP="003F76C0">
      <w:pPr>
        <w:pStyle w:val="Rlit"/>
      </w:pPr>
    </w:p>
    <w:sectPr w:rsidR="00CD5BC5" w:rsidRPr="00CD5BC5" w:rsidSect="00311E5E">
      <w:headerReference w:type="even" r:id="rId14"/>
      <w:headerReference w:type="default" r:id="rId15"/>
      <w:footerReference w:type="first" r:id="rId16"/>
      <w:pgSz w:w="11907" w:h="16840" w:code="9"/>
      <w:pgMar w:top="1134" w:right="1134" w:bottom="1134" w:left="1134" w:header="567" w:footer="567" w:gutter="0"/>
      <w:pgNumType w:start="2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79FB" w14:textId="77777777" w:rsidR="006E5B11" w:rsidRDefault="006E5B11" w:rsidP="0054042E">
      <w:r>
        <w:separator/>
      </w:r>
    </w:p>
  </w:endnote>
  <w:endnote w:type="continuationSeparator" w:id="0">
    <w:p w14:paraId="4C5B1E62" w14:textId="77777777" w:rsidR="006E5B11" w:rsidRDefault="006E5B11" w:rsidP="0054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2" w:type="dxa"/>
      <w:tblLook w:val="04A0" w:firstRow="1" w:lastRow="0" w:firstColumn="1" w:lastColumn="0" w:noHBand="0" w:noVBand="1"/>
    </w:tblPr>
    <w:tblGrid>
      <w:gridCol w:w="1384"/>
      <w:gridCol w:w="5387"/>
    </w:tblGrid>
    <w:tr w:rsidR="00A80C7A" w:rsidRPr="00006BE3" w14:paraId="632352F2" w14:textId="77777777" w:rsidTr="008457FC">
      <w:trPr>
        <w:trHeight w:val="198"/>
      </w:trPr>
      <w:tc>
        <w:tcPr>
          <w:tcW w:w="1384" w:type="dxa"/>
          <w:shd w:val="clear" w:color="auto" w:fill="auto"/>
          <w:vAlign w:val="center"/>
        </w:tcPr>
        <w:p w14:paraId="14436092" w14:textId="77777777" w:rsidR="00A80C7A" w:rsidRPr="00273DC1" w:rsidRDefault="00A80C7A" w:rsidP="00A80C7A">
          <w:pPr>
            <w:ind w:firstLine="0"/>
          </w:pPr>
          <w:bookmarkStart w:id="4" w:name="_Hlk104286226"/>
          <w:bookmarkStart w:id="5" w:name="_Hlk104286227"/>
          <w:r>
            <w:rPr>
              <w:noProof/>
            </w:rPr>
            <w:drawing>
              <wp:inline distT="0" distB="0" distL="0" distR="0" wp14:anchorId="61AE0517" wp14:editId="6C062A3B">
                <wp:extent cx="690245" cy="235585"/>
                <wp:effectExtent l="0" t="0" r="0" b="0"/>
                <wp:docPr id="127165066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235585"/>
                        </a:xfrm>
                        <a:prstGeom prst="rect">
                          <a:avLst/>
                        </a:prstGeom>
                        <a:noFill/>
                        <a:ln>
                          <a:noFill/>
                        </a:ln>
                      </pic:spPr>
                    </pic:pic>
                  </a:graphicData>
                </a:graphic>
              </wp:inline>
            </w:drawing>
          </w:r>
        </w:p>
      </w:tc>
      <w:tc>
        <w:tcPr>
          <w:tcW w:w="5387" w:type="dxa"/>
          <w:shd w:val="clear" w:color="auto" w:fill="auto"/>
          <w:vAlign w:val="center"/>
        </w:tcPr>
        <w:p w14:paraId="77DC8D3D" w14:textId="77777777" w:rsidR="00A80C7A" w:rsidRPr="00273DC1" w:rsidRDefault="00A80C7A" w:rsidP="00A80C7A">
          <w:pPr>
            <w:suppressAutoHyphens/>
            <w:ind w:firstLine="0"/>
            <w:rPr>
              <w:sz w:val="18"/>
              <w:szCs w:val="18"/>
              <w:lang w:val="en-GB"/>
            </w:rPr>
          </w:pPr>
          <w:r w:rsidRPr="00273DC1">
            <w:rPr>
              <w:sz w:val="18"/>
              <w:szCs w:val="18"/>
              <w:lang w:val="en-GB"/>
            </w:rPr>
            <w:t>© 2023. Author(s). This work is licensed under a Creative Commons Attribution 4.0 International License (CC BY-SA)</w:t>
          </w:r>
        </w:p>
      </w:tc>
    </w:tr>
    <w:bookmarkEnd w:id="4"/>
    <w:bookmarkEnd w:id="5"/>
  </w:tbl>
  <w:p w14:paraId="5D31FC6F" w14:textId="77777777" w:rsidR="00A80C7A" w:rsidRPr="00273DC1" w:rsidRDefault="00A80C7A" w:rsidP="00A80C7A">
    <w:pPr>
      <w:pStyle w:val="Stopka"/>
      <w:ind w:firstLine="0"/>
      <w:rPr>
        <w:sz w:val="8"/>
        <w:szCs w:val="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4D6F1" w14:textId="77777777" w:rsidR="006E5B11" w:rsidRDefault="006E5B11" w:rsidP="0054042E">
      <w:r>
        <w:separator/>
      </w:r>
    </w:p>
  </w:footnote>
  <w:footnote w:type="continuationSeparator" w:id="0">
    <w:p w14:paraId="04175706" w14:textId="77777777" w:rsidR="006E5B11" w:rsidRDefault="006E5B11" w:rsidP="0054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A80C7A" w:rsidRPr="00377DE9" w14:paraId="31ED68B1" w14:textId="77777777" w:rsidTr="008457FC">
      <w:trPr>
        <w:trHeight w:hRule="exact" w:val="284"/>
      </w:trPr>
      <w:tc>
        <w:tcPr>
          <w:tcW w:w="397" w:type="dxa"/>
          <w:shd w:val="clear" w:color="auto" w:fill="auto"/>
          <w:vAlign w:val="center"/>
        </w:tcPr>
        <w:p w14:paraId="12104E41" w14:textId="77777777" w:rsidR="00A80C7A" w:rsidRPr="00377DE9" w:rsidRDefault="00A80C7A" w:rsidP="00A80C7A">
          <w:pPr>
            <w:pStyle w:val="Nagwek"/>
            <w:ind w:firstLine="0"/>
            <w:rPr>
              <w:rFonts w:ascii="Arial" w:hAnsi="Arial" w:cs="Arial"/>
              <w:i/>
            </w:rPr>
          </w:pPr>
          <w:r w:rsidRPr="00377DE9">
            <w:rPr>
              <w:rFonts w:ascii="Arial" w:hAnsi="Arial" w:cs="Arial"/>
            </w:rPr>
            <w:fldChar w:fldCharType="begin"/>
          </w:r>
          <w:r w:rsidRPr="00377DE9">
            <w:rPr>
              <w:rFonts w:ascii="Arial" w:hAnsi="Arial" w:cs="Arial"/>
            </w:rPr>
            <w:instrText xml:space="preserve"> PAGE   \* MERGEFORMAT </w:instrText>
          </w:r>
          <w:r w:rsidRPr="00377DE9">
            <w:rPr>
              <w:rFonts w:ascii="Arial" w:hAnsi="Arial" w:cs="Arial"/>
            </w:rPr>
            <w:fldChar w:fldCharType="separate"/>
          </w:r>
          <w:r>
            <w:rPr>
              <w:rFonts w:ascii="Arial" w:hAnsi="Arial" w:cs="Arial"/>
            </w:rPr>
            <w:t>2</w:t>
          </w:r>
          <w:r w:rsidRPr="00377DE9">
            <w:rPr>
              <w:rFonts w:ascii="Arial" w:hAnsi="Arial" w:cs="Arial"/>
            </w:rPr>
            <w:fldChar w:fldCharType="end"/>
          </w:r>
        </w:p>
      </w:tc>
      <w:tc>
        <w:tcPr>
          <w:tcW w:w="9242" w:type="dxa"/>
          <w:shd w:val="clear" w:color="auto" w:fill="auto"/>
          <w:vAlign w:val="center"/>
        </w:tcPr>
        <w:p w14:paraId="1696CAC3" w14:textId="415EBF81" w:rsidR="00A80C7A" w:rsidRPr="00377DE9" w:rsidRDefault="0015748E" w:rsidP="00A80C7A">
          <w:pPr>
            <w:pStyle w:val="Nagwek"/>
            <w:ind w:firstLine="0"/>
            <w:jc w:val="center"/>
            <w:rPr>
              <w:rFonts w:ascii="Arial" w:hAnsi="Arial" w:cs="Arial"/>
              <w:i/>
            </w:rPr>
          </w:pPr>
          <w:r w:rsidRPr="0015748E">
            <w:rPr>
              <w:rFonts w:ascii="Arial" w:hAnsi="Arial" w:cs="Arial"/>
              <w:i/>
            </w:rPr>
            <w:t xml:space="preserve">Jerzy </w:t>
          </w:r>
          <w:proofErr w:type="spellStart"/>
          <w:r w:rsidRPr="0015748E">
            <w:rPr>
              <w:rFonts w:ascii="Arial" w:hAnsi="Arial" w:cs="Arial"/>
              <w:i/>
            </w:rPr>
            <w:t>Herdzik</w:t>
          </w:r>
          <w:proofErr w:type="spellEnd"/>
        </w:p>
      </w:tc>
    </w:tr>
  </w:tbl>
  <w:p w14:paraId="7BD61D92" w14:textId="77777777" w:rsidR="00A80C7A" w:rsidRPr="000A241A" w:rsidRDefault="00A80C7A" w:rsidP="00A80C7A">
    <w:pPr>
      <w:pStyle w:val="Nagwek"/>
      <w:ind w:firstLine="0"/>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A80C7A" w:rsidRPr="00911802" w14:paraId="3683A358" w14:textId="77777777" w:rsidTr="008457FC">
      <w:trPr>
        <w:trHeight w:hRule="exact" w:val="284"/>
        <w:jc w:val="right"/>
      </w:trPr>
      <w:tc>
        <w:tcPr>
          <w:tcW w:w="9243" w:type="dxa"/>
          <w:shd w:val="clear" w:color="auto" w:fill="auto"/>
          <w:vAlign w:val="center"/>
        </w:tcPr>
        <w:p w14:paraId="256F6755" w14:textId="5EB7C06F" w:rsidR="00A80C7A" w:rsidRPr="005117CD" w:rsidRDefault="0015748E" w:rsidP="00A80C7A">
          <w:pPr>
            <w:pStyle w:val="Nagwek"/>
            <w:ind w:firstLine="0"/>
            <w:jc w:val="center"/>
            <w:rPr>
              <w:rFonts w:ascii="Arial" w:hAnsi="Arial" w:cs="Arial"/>
              <w:i/>
              <w:szCs w:val="18"/>
              <w:lang w:val="en-GB"/>
            </w:rPr>
          </w:pPr>
          <w:r w:rsidRPr="0015748E">
            <w:rPr>
              <w:rFonts w:ascii="Arial" w:hAnsi="Arial" w:cs="Arial"/>
              <w:i/>
              <w:szCs w:val="18"/>
              <w:lang w:val="en-GB"/>
            </w:rPr>
            <w:t xml:space="preserve">Possibilities of </w:t>
          </w:r>
          <w:proofErr w:type="spellStart"/>
          <w:r w:rsidRPr="0015748E">
            <w:rPr>
              <w:rFonts w:ascii="Arial" w:hAnsi="Arial" w:cs="Arial"/>
              <w:i/>
              <w:szCs w:val="18"/>
              <w:lang w:val="en-GB"/>
            </w:rPr>
            <w:t>Fulfillment</w:t>
          </w:r>
          <w:proofErr w:type="spellEnd"/>
          <w:r w:rsidRPr="0015748E">
            <w:rPr>
              <w:rFonts w:ascii="Arial" w:hAnsi="Arial" w:cs="Arial"/>
              <w:i/>
              <w:szCs w:val="18"/>
              <w:lang w:val="en-GB"/>
            </w:rPr>
            <w:t xml:space="preserve"> and Consequences of Introducing</w:t>
          </w:r>
          <w:r w:rsidR="00A80C7A">
            <w:rPr>
              <w:rFonts w:ascii="Arial" w:hAnsi="Arial" w:cs="Arial"/>
              <w:i/>
              <w:szCs w:val="18"/>
              <w:lang w:val="en-GB"/>
            </w:rPr>
            <w:t>…</w:t>
          </w:r>
        </w:p>
      </w:tc>
      <w:tc>
        <w:tcPr>
          <w:tcW w:w="397" w:type="dxa"/>
          <w:shd w:val="clear" w:color="auto" w:fill="auto"/>
          <w:vAlign w:val="center"/>
        </w:tcPr>
        <w:p w14:paraId="3DDBDB94" w14:textId="77777777" w:rsidR="00A80C7A" w:rsidRPr="00911802" w:rsidRDefault="00A80C7A" w:rsidP="00A80C7A">
          <w:pPr>
            <w:pStyle w:val="Nagwek"/>
            <w:ind w:firstLine="0"/>
            <w:jc w:val="right"/>
            <w:rPr>
              <w:rFonts w:ascii="Arial" w:hAnsi="Arial" w:cs="Arial"/>
              <w:i/>
              <w:szCs w:val="18"/>
            </w:rPr>
          </w:pPr>
          <w:r w:rsidRPr="00911802">
            <w:rPr>
              <w:rFonts w:ascii="Arial" w:hAnsi="Arial" w:cs="Arial"/>
              <w:szCs w:val="18"/>
            </w:rPr>
            <w:fldChar w:fldCharType="begin"/>
          </w:r>
          <w:r w:rsidRPr="00911802">
            <w:rPr>
              <w:rFonts w:ascii="Arial" w:hAnsi="Arial" w:cs="Arial"/>
              <w:szCs w:val="18"/>
            </w:rPr>
            <w:instrText xml:space="preserve"> PAGE   \* MERGEFORMAT </w:instrText>
          </w:r>
          <w:r w:rsidRPr="00911802">
            <w:rPr>
              <w:rFonts w:ascii="Arial" w:hAnsi="Arial" w:cs="Arial"/>
              <w:szCs w:val="18"/>
            </w:rPr>
            <w:fldChar w:fldCharType="separate"/>
          </w:r>
          <w:r>
            <w:rPr>
              <w:rFonts w:ascii="Arial" w:hAnsi="Arial" w:cs="Arial"/>
              <w:szCs w:val="18"/>
            </w:rPr>
            <w:t>3</w:t>
          </w:r>
          <w:r w:rsidRPr="00911802">
            <w:rPr>
              <w:rFonts w:ascii="Arial" w:hAnsi="Arial" w:cs="Arial"/>
              <w:szCs w:val="18"/>
            </w:rPr>
            <w:fldChar w:fldCharType="end"/>
          </w:r>
        </w:p>
      </w:tc>
    </w:tr>
  </w:tbl>
  <w:p w14:paraId="731E33FE" w14:textId="77777777" w:rsidR="00A80C7A" w:rsidRPr="00911802" w:rsidRDefault="00A80C7A" w:rsidP="00A80C7A">
    <w:pPr>
      <w:pStyle w:val="Nagwek"/>
      <w:ind w:firstLine="0"/>
      <w:rPr>
        <w:rFonts w:ascii="Arial" w:hAnsi="Arial" w:cs="Arial"/>
        <w:sz w:val="8"/>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786"/>
    <w:multiLevelType w:val="multilevel"/>
    <w:tmpl w:val="A2F6581E"/>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hint="default"/>
      </w:rPr>
    </w:lvl>
    <w:lvl w:ilvl="8">
      <w:start w:val="1"/>
      <w:numFmt w:val="bullet"/>
      <w:lvlText w:val=""/>
      <w:lvlJc w:val="left"/>
      <w:pPr>
        <w:ind w:left="6820" w:hanging="360"/>
      </w:pPr>
      <w:rPr>
        <w:rFonts w:ascii="Wingdings" w:hAnsi="Wingdings" w:hint="default"/>
      </w:rPr>
    </w:lvl>
  </w:abstractNum>
  <w:abstractNum w:abstractNumId="1" w15:restartNumberingAfterBreak="0">
    <w:nsid w:val="01C17A4B"/>
    <w:multiLevelType w:val="hybridMultilevel"/>
    <w:tmpl w:val="C8085454"/>
    <w:lvl w:ilvl="0" w:tplc="04150001">
      <w:start w:val="1"/>
      <w:numFmt w:val="bullet"/>
      <w:lvlText w:val=""/>
      <w:lvlJc w:val="left"/>
      <w:pPr>
        <w:ind w:left="782" w:hanging="360"/>
      </w:pPr>
      <w:rPr>
        <w:rFonts w:ascii="Symbol" w:hAnsi="Symbol"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2" w15:restartNumberingAfterBreak="0">
    <w:nsid w:val="0F7D60C3"/>
    <w:multiLevelType w:val="hybridMultilevel"/>
    <w:tmpl w:val="EC9E0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547AC0"/>
    <w:multiLevelType w:val="multilevel"/>
    <w:tmpl w:val="DB5CF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D3541"/>
    <w:multiLevelType w:val="multilevel"/>
    <w:tmpl w:val="81AE9274"/>
    <w:lvl w:ilvl="0">
      <w:start w:val="1"/>
      <w:numFmt w:val="bullet"/>
      <w:lvlText w:val=""/>
      <w:lvlJc w:val="left"/>
      <w:pPr>
        <w:ind w:left="1060" w:hanging="360"/>
      </w:pPr>
      <w:rPr>
        <w:rFonts w:ascii="Symbol" w:hAnsi="Symbol" w:hint="default"/>
      </w:rPr>
    </w:lvl>
    <w:lvl w:ilvl="1">
      <w:start w:val="1"/>
      <w:numFmt w:val="bullet"/>
      <w:lvlText w:val="o"/>
      <w:lvlJc w:val="left"/>
      <w:pPr>
        <w:ind w:left="1780" w:hanging="360"/>
      </w:pPr>
      <w:rPr>
        <w:rFonts w:ascii="Courier New" w:hAnsi="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hint="default"/>
      </w:rPr>
    </w:lvl>
    <w:lvl w:ilvl="8">
      <w:start w:val="1"/>
      <w:numFmt w:val="bullet"/>
      <w:lvlText w:val=""/>
      <w:lvlJc w:val="left"/>
      <w:pPr>
        <w:ind w:left="6820" w:hanging="360"/>
      </w:pPr>
      <w:rPr>
        <w:rFonts w:ascii="Wingdings" w:hAnsi="Wingdings" w:hint="default"/>
      </w:rPr>
    </w:lvl>
  </w:abstractNum>
  <w:abstractNum w:abstractNumId="5" w15:restartNumberingAfterBreak="0">
    <w:nsid w:val="1984140B"/>
    <w:multiLevelType w:val="multilevel"/>
    <w:tmpl w:val="1A14EFFE"/>
    <w:lvl w:ilvl="0">
      <w:start w:val="1"/>
      <w:numFmt w:val="decimal"/>
      <w:lvlText w:val="%1."/>
      <w:lvlJc w:val="left"/>
      <w:pPr>
        <w:tabs>
          <w:tab w:val="num" w:pos="454"/>
        </w:tabs>
        <w:ind w:left="454" w:hanging="454"/>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7E5588"/>
    <w:multiLevelType w:val="hybridMultilevel"/>
    <w:tmpl w:val="1D5C9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27F66"/>
    <w:multiLevelType w:val="multilevel"/>
    <w:tmpl w:val="EB6E97D4"/>
    <w:lvl w:ilvl="0">
      <w:start w:val="2"/>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902E3F"/>
    <w:multiLevelType w:val="hybridMultilevel"/>
    <w:tmpl w:val="D37608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272D51"/>
    <w:multiLevelType w:val="hybridMultilevel"/>
    <w:tmpl w:val="621E92E6"/>
    <w:lvl w:ilvl="0" w:tplc="04150001">
      <w:start w:val="1"/>
      <w:numFmt w:val="bullet"/>
      <w:lvlText w:val=""/>
      <w:lvlJc w:val="left"/>
      <w:pPr>
        <w:ind w:left="866" w:hanging="360"/>
      </w:pPr>
      <w:rPr>
        <w:rFonts w:ascii="Symbol" w:hAnsi="Symbol" w:hint="default"/>
      </w:rPr>
    </w:lvl>
    <w:lvl w:ilvl="1" w:tplc="04150003" w:tentative="1">
      <w:start w:val="1"/>
      <w:numFmt w:val="bullet"/>
      <w:lvlText w:val="o"/>
      <w:lvlJc w:val="left"/>
      <w:pPr>
        <w:ind w:left="1586" w:hanging="360"/>
      </w:pPr>
      <w:rPr>
        <w:rFonts w:ascii="Courier New" w:hAnsi="Courier New" w:cs="Courier New" w:hint="default"/>
      </w:rPr>
    </w:lvl>
    <w:lvl w:ilvl="2" w:tplc="04150005" w:tentative="1">
      <w:start w:val="1"/>
      <w:numFmt w:val="bullet"/>
      <w:lvlText w:val=""/>
      <w:lvlJc w:val="left"/>
      <w:pPr>
        <w:ind w:left="2306" w:hanging="360"/>
      </w:pPr>
      <w:rPr>
        <w:rFonts w:ascii="Wingdings" w:hAnsi="Wingdings" w:hint="default"/>
      </w:rPr>
    </w:lvl>
    <w:lvl w:ilvl="3" w:tplc="04150001" w:tentative="1">
      <w:start w:val="1"/>
      <w:numFmt w:val="bullet"/>
      <w:lvlText w:val=""/>
      <w:lvlJc w:val="left"/>
      <w:pPr>
        <w:ind w:left="3026" w:hanging="360"/>
      </w:pPr>
      <w:rPr>
        <w:rFonts w:ascii="Symbol" w:hAnsi="Symbol" w:hint="default"/>
      </w:rPr>
    </w:lvl>
    <w:lvl w:ilvl="4" w:tplc="04150003" w:tentative="1">
      <w:start w:val="1"/>
      <w:numFmt w:val="bullet"/>
      <w:lvlText w:val="o"/>
      <w:lvlJc w:val="left"/>
      <w:pPr>
        <w:ind w:left="3746" w:hanging="360"/>
      </w:pPr>
      <w:rPr>
        <w:rFonts w:ascii="Courier New" w:hAnsi="Courier New" w:cs="Courier New" w:hint="default"/>
      </w:rPr>
    </w:lvl>
    <w:lvl w:ilvl="5" w:tplc="04150005" w:tentative="1">
      <w:start w:val="1"/>
      <w:numFmt w:val="bullet"/>
      <w:lvlText w:val=""/>
      <w:lvlJc w:val="left"/>
      <w:pPr>
        <w:ind w:left="4466" w:hanging="360"/>
      </w:pPr>
      <w:rPr>
        <w:rFonts w:ascii="Wingdings" w:hAnsi="Wingdings" w:hint="default"/>
      </w:rPr>
    </w:lvl>
    <w:lvl w:ilvl="6" w:tplc="04150001" w:tentative="1">
      <w:start w:val="1"/>
      <w:numFmt w:val="bullet"/>
      <w:lvlText w:val=""/>
      <w:lvlJc w:val="left"/>
      <w:pPr>
        <w:ind w:left="5186" w:hanging="360"/>
      </w:pPr>
      <w:rPr>
        <w:rFonts w:ascii="Symbol" w:hAnsi="Symbol" w:hint="default"/>
      </w:rPr>
    </w:lvl>
    <w:lvl w:ilvl="7" w:tplc="04150003" w:tentative="1">
      <w:start w:val="1"/>
      <w:numFmt w:val="bullet"/>
      <w:lvlText w:val="o"/>
      <w:lvlJc w:val="left"/>
      <w:pPr>
        <w:ind w:left="5906" w:hanging="360"/>
      </w:pPr>
      <w:rPr>
        <w:rFonts w:ascii="Courier New" w:hAnsi="Courier New" w:cs="Courier New" w:hint="default"/>
      </w:rPr>
    </w:lvl>
    <w:lvl w:ilvl="8" w:tplc="04150005" w:tentative="1">
      <w:start w:val="1"/>
      <w:numFmt w:val="bullet"/>
      <w:lvlText w:val=""/>
      <w:lvlJc w:val="left"/>
      <w:pPr>
        <w:ind w:left="6626" w:hanging="360"/>
      </w:pPr>
      <w:rPr>
        <w:rFonts w:ascii="Wingdings" w:hAnsi="Wingdings" w:hint="default"/>
      </w:rPr>
    </w:lvl>
  </w:abstractNum>
  <w:abstractNum w:abstractNumId="11" w15:restartNumberingAfterBreak="0">
    <w:nsid w:val="343A42D4"/>
    <w:multiLevelType w:val="hybridMultilevel"/>
    <w:tmpl w:val="F40C1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6054540"/>
    <w:multiLevelType w:val="hybridMultilevel"/>
    <w:tmpl w:val="2BFE33BC"/>
    <w:lvl w:ilvl="0" w:tplc="D9563CC2">
      <w:start w:val="1"/>
      <w:numFmt w:val="decimal"/>
      <w:lvlRestart w:val="0"/>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082191"/>
    <w:multiLevelType w:val="hybridMultilevel"/>
    <w:tmpl w:val="EBB89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9141169"/>
    <w:multiLevelType w:val="hybridMultilevel"/>
    <w:tmpl w:val="2AA0C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C6274B8"/>
    <w:multiLevelType w:val="hybridMultilevel"/>
    <w:tmpl w:val="1A2C6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D6D66FF"/>
    <w:multiLevelType w:val="hybridMultilevel"/>
    <w:tmpl w:val="0A4080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FB5664A"/>
    <w:multiLevelType w:val="multilevel"/>
    <w:tmpl w:val="DCD8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451023"/>
    <w:multiLevelType w:val="multilevel"/>
    <w:tmpl w:val="C5D4F240"/>
    <w:lvl w:ilvl="0">
      <w:start w:val="1"/>
      <w:numFmt w:val="decimal"/>
      <w:lvlText w:val="%1."/>
      <w:lvlJc w:val="left"/>
      <w:pPr>
        <w:ind w:left="360" w:hanging="360"/>
      </w:pPr>
      <w:rPr>
        <w:rFonts w:hint="default"/>
      </w:rPr>
    </w:lvl>
    <w:lvl w:ilvl="1">
      <w:start w:val="1"/>
      <w:numFmt w:val="decimal"/>
      <w:lvlText w:val="%1.%2."/>
      <w:lvlJc w:val="left"/>
      <w:pPr>
        <w:tabs>
          <w:tab w:val="num" w:pos="794"/>
        </w:tabs>
        <w:ind w:left="792" w:hanging="792"/>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0D94304"/>
    <w:multiLevelType w:val="multilevel"/>
    <w:tmpl w:val="64E8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371F6"/>
    <w:multiLevelType w:val="hybridMultilevel"/>
    <w:tmpl w:val="901859B6"/>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1" w15:restartNumberingAfterBreak="0">
    <w:nsid w:val="727B2206"/>
    <w:multiLevelType w:val="hybridMultilevel"/>
    <w:tmpl w:val="EEA603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5B90A71"/>
    <w:multiLevelType w:val="hybridMultilevel"/>
    <w:tmpl w:val="8B98F1C0"/>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23" w15:restartNumberingAfterBreak="0">
    <w:nsid w:val="770C673C"/>
    <w:multiLevelType w:val="hybridMultilevel"/>
    <w:tmpl w:val="84705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F8C753E"/>
    <w:multiLevelType w:val="hybridMultilevel"/>
    <w:tmpl w:val="2A205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16516765">
    <w:abstractNumId w:val="0"/>
  </w:num>
  <w:num w:numId="2" w16cid:durableId="112557689">
    <w:abstractNumId w:val="5"/>
  </w:num>
  <w:num w:numId="3" w16cid:durableId="133089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8451356">
    <w:abstractNumId w:val="4"/>
  </w:num>
  <w:num w:numId="5" w16cid:durableId="2006127069">
    <w:abstractNumId w:val="8"/>
  </w:num>
  <w:num w:numId="6" w16cid:durableId="1645963942">
    <w:abstractNumId w:val="21"/>
  </w:num>
  <w:num w:numId="7" w16cid:durableId="679821643">
    <w:abstractNumId w:val="24"/>
  </w:num>
  <w:num w:numId="8" w16cid:durableId="1047796805">
    <w:abstractNumId w:val="2"/>
  </w:num>
  <w:num w:numId="9" w16cid:durableId="1279604134">
    <w:abstractNumId w:val="23"/>
  </w:num>
  <w:num w:numId="10" w16cid:durableId="170146936">
    <w:abstractNumId w:val="18"/>
  </w:num>
  <w:num w:numId="11" w16cid:durableId="1449471470">
    <w:abstractNumId w:val="3"/>
  </w:num>
  <w:num w:numId="12" w16cid:durableId="545487845">
    <w:abstractNumId w:val="19"/>
  </w:num>
  <w:num w:numId="13" w16cid:durableId="1153567281">
    <w:abstractNumId w:val="6"/>
  </w:num>
  <w:num w:numId="14" w16cid:durableId="1363552010">
    <w:abstractNumId w:val="11"/>
  </w:num>
  <w:num w:numId="15" w16cid:durableId="554505939">
    <w:abstractNumId w:val="1"/>
  </w:num>
  <w:num w:numId="16" w16cid:durableId="789664873">
    <w:abstractNumId w:val="9"/>
  </w:num>
  <w:num w:numId="17" w16cid:durableId="1712993326">
    <w:abstractNumId w:val="22"/>
  </w:num>
  <w:num w:numId="18" w16cid:durableId="253438468">
    <w:abstractNumId w:val="20"/>
  </w:num>
  <w:num w:numId="19" w16cid:durableId="444036914">
    <w:abstractNumId w:val="15"/>
  </w:num>
  <w:num w:numId="20" w16cid:durableId="1372337863">
    <w:abstractNumId w:val="13"/>
  </w:num>
  <w:num w:numId="21" w16cid:durableId="1426882278">
    <w:abstractNumId w:val="10"/>
  </w:num>
  <w:num w:numId="22" w16cid:durableId="1851527736">
    <w:abstractNumId w:val="17"/>
  </w:num>
  <w:num w:numId="23" w16cid:durableId="1984310730">
    <w:abstractNumId w:val="16"/>
  </w:num>
  <w:num w:numId="24" w16cid:durableId="1686059919">
    <w:abstractNumId w:val="14"/>
  </w:num>
  <w:num w:numId="25" w16cid:durableId="146167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04861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wNDQwMrA0MLM0MzBW0lEKTi0uzszPAykwrAUA1oiV3SwAAAA="/>
  </w:docVars>
  <w:rsids>
    <w:rsidRoot w:val="001D41EC"/>
    <w:rsid w:val="00004545"/>
    <w:rsid w:val="00010E54"/>
    <w:rsid w:val="00022922"/>
    <w:rsid w:val="00030670"/>
    <w:rsid w:val="0003658E"/>
    <w:rsid w:val="00040B18"/>
    <w:rsid w:val="00041E08"/>
    <w:rsid w:val="00046461"/>
    <w:rsid w:val="00047D7D"/>
    <w:rsid w:val="000542FB"/>
    <w:rsid w:val="0005503A"/>
    <w:rsid w:val="000628EF"/>
    <w:rsid w:val="00071498"/>
    <w:rsid w:val="00073C22"/>
    <w:rsid w:val="0007579B"/>
    <w:rsid w:val="00080E45"/>
    <w:rsid w:val="00087703"/>
    <w:rsid w:val="000A5B4F"/>
    <w:rsid w:val="000C098F"/>
    <w:rsid w:val="000C39D0"/>
    <w:rsid w:val="000C6A78"/>
    <w:rsid w:val="000D3811"/>
    <w:rsid w:val="000E20ED"/>
    <w:rsid w:val="000E3355"/>
    <w:rsid w:val="000E5522"/>
    <w:rsid w:val="000F25BE"/>
    <w:rsid w:val="000F797B"/>
    <w:rsid w:val="00100033"/>
    <w:rsid w:val="00100F01"/>
    <w:rsid w:val="00104138"/>
    <w:rsid w:val="00111736"/>
    <w:rsid w:val="0011274B"/>
    <w:rsid w:val="001141BE"/>
    <w:rsid w:val="00115EA7"/>
    <w:rsid w:val="00116F62"/>
    <w:rsid w:val="00123287"/>
    <w:rsid w:val="00123AE0"/>
    <w:rsid w:val="00126C6F"/>
    <w:rsid w:val="00131873"/>
    <w:rsid w:val="00136D45"/>
    <w:rsid w:val="00137C18"/>
    <w:rsid w:val="00137CA3"/>
    <w:rsid w:val="0014231E"/>
    <w:rsid w:val="001434B0"/>
    <w:rsid w:val="001461A1"/>
    <w:rsid w:val="001568DB"/>
    <w:rsid w:val="0015748E"/>
    <w:rsid w:val="00163121"/>
    <w:rsid w:val="00164B81"/>
    <w:rsid w:val="001777C4"/>
    <w:rsid w:val="00177F62"/>
    <w:rsid w:val="001911BB"/>
    <w:rsid w:val="0019123C"/>
    <w:rsid w:val="001913C8"/>
    <w:rsid w:val="0019365C"/>
    <w:rsid w:val="00196E45"/>
    <w:rsid w:val="00197159"/>
    <w:rsid w:val="001A0074"/>
    <w:rsid w:val="001A0D62"/>
    <w:rsid w:val="001A4967"/>
    <w:rsid w:val="001B52B5"/>
    <w:rsid w:val="001C6347"/>
    <w:rsid w:val="001C72CE"/>
    <w:rsid w:val="001C7F95"/>
    <w:rsid w:val="001D0C7B"/>
    <w:rsid w:val="001D1345"/>
    <w:rsid w:val="001D41EC"/>
    <w:rsid w:val="001E2175"/>
    <w:rsid w:val="001F4922"/>
    <w:rsid w:val="002119EF"/>
    <w:rsid w:val="0021327B"/>
    <w:rsid w:val="00220619"/>
    <w:rsid w:val="00220B5F"/>
    <w:rsid w:val="00224AAD"/>
    <w:rsid w:val="00226F96"/>
    <w:rsid w:val="00227AAC"/>
    <w:rsid w:val="00227AF6"/>
    <w:rsid w:val="0023353A"/>
    <w:rsid w:val="00237879"/>
    <w:rsid w:val="002431DF"/>
    <w:rsid w:val="002433CE"/>
    <w:rsid w:val="00253E8A"/>
    <w:rsid w:val="0026255A"/>
    <w:rsid w:val="0026412A"/>
    <w:rsid w:val="00273342"/>
    <w:rsid w:val="00274921"/>
    <w:rsid w:val="00276650"/>
    <w:rsid w:val="00277D66"/>
    <w:rsid w:val="00281944"/>
    <w:rsid w:val="002868C1"/>
    <w:rsid w:val="00291AB0"/>
    <w:rsid w:val="00294335"/>
    <w:rsid w:val="002947BF"/>
    <w:rsid w:val="002A5441"/>
    <w:rsid w:val="002A5519"/>
    <w:rsid w:val="002B2085"/>
    <w:rsid w:val="002D0BE6"/>
    <w:rsid w:val="002D0D48"/>
    <w:rsid w:val="002F612B"/>
    <w:rsid w:val="002F77C6"/>
    <w:rsid w:val="003001A7"/>
    <w:rsid w:val="0030513F"/>
    <w:rsid w:val="00307796"/>
    <w:rsid w:val="00311E5E"/>
    <w:rsid w:val="00321E11"/>
    <w:rsid w:val="00323407"/>
    <w:rsid w:val="003250D8"/>
    <w:rsid w:val="00326D40"/>
    <w:rsid w:val="00334F9B"/>
    <w:rsid w:val="00336038"/>
    <w:rsid w:val="003431F6"/>
    <w:rsid w:val="0034498A"/>
    <w:rsid w:val="00344BAD"/>
    <w:rsid w:val="003464A5"/>
    <w:rsid w:val="00347478"/>
    <w:rsid w:val="0035089B"/>
    <w:rsid w:val="003535A0"/>
    <w:rsid w:val="00353E22"/>
    <w:rsid w:val="00360882"/>
    <w:rsid w:val="0036277D"/>
    <w:rsid w:val="0036355F"/>
    <w:rsid w:val="00365DC3"/>
    <w:rsid w:val="00366991"/>
    <w:rsid w:val="003711E1"/>
    <w:rsid w:val="0037132D"/>
    <w:rsid w:val="0037613A"/>
    <w:rsid w:val="0037752D"/>
    <w:rsid w:val="0038286E"/>
    <w:rsid w:val="003836FB"/>
    <w:rsid w:val="0038700C"/>
    <w:rsid w:val="00391E08"/>
    <w:rsid w:val="003A0996"/>
    <w:rsid w:val="003A295A"/>
    <w:rsid w:val="003A4123"/>
    <w:rsid w:val="003A513B"/>
    <w:rsid w:val="003B228F"/>
    <w:rsid w:val="003B3B53"/>
    <w:rsid w:val="003B53C5"/>
    <w:rsid w:val="003C07CB"/>
    <w:rsid w:val="003C3078"/>
    <w:rsid w:val="003C38CF"/>
    <w:rsid w:val="003C7DF4"/>
    <w:rsid w:val="003E108F"/>
    <w:rsid w:val="003E22B8"/>
    <w:rsid w:val="003F509E"/>
    <w:rsid w:val="003F76C0"/>
    <w:rsid w:val="0040340D"/>
    <w:rsid w:val="00407BF6"/>
    <w:rsid w:val="004168C1"/>
    <w:rsid w:val="004265EB"/>
    <w:rsid w:val="00426FBD"/>
    <w:rsid w:val="00430420"/>
    <w:rsid w:val="004316DE"/>
    <w:rsid w:val="004344B4"/>
    <w:rsid w:val="00437FBD"/>
    <w:rsid w:val="00443A39"/>
    <w:rsid w:val="0044540E"/>
    <w:rsid w:val="004468FD"/>
    <w:rsid w:val="0044742F"/>
    <w:rsid w:val="00457AC6"/>
    <w:rsid w:val="00466E68"/>
    <w:rsid w:val="0047158E"/>
    <w:rsid w:val="00474628"/>
    <w:rsid w:val="00475954"/>
    <w:rsid w:val="00484763"/>
    <w:rsid w:val="0048680E"/>
    <w:rsid w:val="00491D5B"/>
    <w:rsid w:val="00492143"/>
    <w:rsid w:val="004926B9"/>
    <w:rsid w:val="00494E14"/>
    <w:rsid w:val="004972D3"/>
    <w:rsid w:val="004A31E3"/>
    <w:rsid w:val="004A5292"/>
    <w:rsid w:val="004C7DDE"/>
    <w:rsid w:val="004D47AD"/>
    <w:rsid w:val="004D59FC"/>
    <w:rsid w:val="004E0888"/>
    <w:rsid w:val="004E0EAE"/>
    <w:rsid w:val="004E2F06"/>
    <w:rsid w:val="004E797C"/>
    <w:rsid w:val="00505DA2"/>
    <w:rsid w:val="00510BD8"/>
    <w:rsid w:val="00512DCF"/>
    <w:rsid w:val="00514B06"/>
    <w:rsid w:val="00520313"/>
    <w:rsid w:val="00521EF7"/>
    <w:rsid w:val="00522C93"/>
    <w:rsid w:val="005260C1"/>
    <w:rsid w:val="005315C4"/>
    <w:rsid w:val="00533D97"/>
    <w:rsid w:val="0054042E"/>
    <w:rsid w:val="00542B1A"/>
    <w:rsid w:val="005430A1"/>
    <w:rsid w:val="0055351A"/>
    <w:rsid w:val="005632C5"/>
    <w:rsid w:val="0056424A"/>
    <w:rsid w:val="0057029E"/>
    <w:rsid w:val="00573C10"/>
    <w:rsid w:val="005751DE"/>
    <w:rsid w:val="00575252"/>
    <w:rsid w:val="00575824"/>
    <w:rsid w:val="00580748"/>
    <w:rsid w:val="00580DD9"/>
    <w:rsid w:val="00581E9C"/>
    <w:rsid w:val="00581F7F"/>
    <w:rsid w:val="00582F5A"/>
    <w:rsid w:val="00591B6D"/>
    <w:rsid w:val="00596BCE"/>
    <w:rsid w:val="00597439"/>
    <w:rsid w:val="005A06AE"/>
    <w:rsid w:val="005A1AD7"/>
    <w:rsid w:val="005A772E"/>
    <w:rsid w:val="005B05A7"/>
    <w:rsid w:val="005B0E5F"/>
    <w:rsid w:val="005B26B2"/>
    <w:rsid w:val="005B26E6"/>
    <w:rsid w:val="005B2DB1"/>
    <w:rsid w:val="005B3256"/>
    <w:rsid w:val="005C020C"/>
    <w:rsid w:val="005C752E"/>
    <w:rsid w:val="005D13F1"/>
    <w:rsid w:val="005E4D4B"/>
    <w:rsid w:val="005F08CD"/>
    <w:rsid w:val="005F19CB"/>
    <w:rsid w:val="005F3794"/>
    <w:rsid w:val="005F74FE"/>
    <w:rsid w:val="006119A7"/>
    <w:rsid w:val="00615531"/>
    <w:rsid w:val="00621B0D"/>
    <w:rsid w:val="006262EF"/>
    <w:rsid w:val="00634E2B"/>
    <w:rsid w:val="0064095B"/>
    <w:rsid w:val="00641015"/>
    <w:rsid w:val="00650884"/>
    <w:rsid w:val="00660622"/>
    <w:rsid w:val="00665420"/>
    <w:rsid w:val="00673DED"/>
    <w:rsid w:val="006767D3"/>
    <w:rsid w:val="00691485"/>
    <w:rsid w:val="0069180F"/>
    <w:rsid w:val="00692B68"/>
    <w:rsid w:val="00695E27"/>
    <w:rsid w:val="0069634A"/>
    <w:rsid w:val="006A080E"/>
    <w:rsid w:val="006A7B38"/>
    <w:rsid w:val="006B4372"/>
    <w:rsid w:val="006C5298"/>
    <w:rsid w:val="006C7DFE"/>
    <w:rsid w:val="006D28D9"/>
    <w:rsid w:val="006E49F7"/>
    <w:rsid w:val="006E5193"/>
    <w:rsid w:val="006E5B11"/>
    <w:rsid w:val="006F4A2D"/>
    <w:rsid w:val="006F4F0E"/>
    <w:rsid w:val="0070197C"/>
    <w:rsid w:val="007030FB"/>
    <w:rsid w:val="00706943"/>
    <w:rsid w:val="007146D4"/>
    <w:rsid w:val="00714E05"/>
    <w:rsid w:val="0071623A"/>
    <w:rsid w:val="00724E84"/>
    <w:rsid w:val="00725365"/>
    <w:rsid w:val="0073135B"/>
    <w:rsid w:val="00734937"/>
    <w:rsid w:val="00742D29"/>
    <w:rsid w:val="00745F04"/>
    <w:rsid w:val="007472A9"/>
    <w:rsid w:val="00750340"/>
    <w:rsid w:val="007624BB"/>
    <w:rsid w:val="007713E2"/>
    <w:rsid w:val="00775BE4"/>
    <w:rsid w:val="00780E83"/>
    <w:rsid w:val="007820B6"/>
    <w:rsid w:val="00782EA7"/>
    <w:rsid w:val="0079196F"/>
    <w:rsid w:val="00792B0C"/>
    <w:rsid w:val="007A3995"/>
    <w:rsid w:val="007B2D08"/>
    <w:rsid w:val="007B3BDD"/>
    <w:rsid w:val="007B4D81"/>
    <w:rsid w:val="007B68CF"/>
    <w:rsid w:val="007B78C4"/>
    <w:rsid w:val="007C0515"/>
    <w:rsid w:val="007C188E"/>
    <w:rsid w:val="007D4E91"/>
    <w:rsid w:val="007D6530"/>
    <w:rsid w:val="007F22D7"/>
    <w:rsid w:val="007F3E7B"/>
    <w:rsid w:val="007F437B"/>
    <w:rsid w:val="007F46B7"/>
    <w:rsid w:val="00802391"/>
    <w:rsid w:val="00802DE1"/>
    <w:rsid w:val="008075BF"/>
    <w:rsid w:val="008127AC"/>
    <w:rsid w:val="0084111F"/>
    <w:rsid w:val="008456F4"/>
    <w:rsid w:val="00856BB0"/>
    <w:rsid w:val="00861359"/>
    <w:rsid w:val="00862352"/>
    <w:rsid w:val="00862FBB"/>
    <w:rsid w:val="0086597F"/>
    <w:rsid w:val="008724C4"/>
    <w:rsid w:val="0089571D"/>
    <w:rsid w:val="008964F7"/>
    <w:rsid w:val="008A2A47"/>
    <w:rsid w:val="008A51B2"/>
    <w:rsid w:val="008B0A9B"/>
    <w:rsid w:val="008B1FF3"/>
    <w:rsid w:val="008C4D5E"/>
    <w:rsid w:val="008C5330"/>
    <w:rsid w:val="008C7D7B"/>
    <w:rsid w:val="008D39DA"/>
    <w:rsid w:val="008D6982"/>
    <w:rsid w:val="008E2531"/>
    <w:rsid w:val="008E3021"/>
    <w:rsid w:val="008E4EF4"/>
    <w:rsid w:val="008F391E"/>
    <w:rsid w:val="008F4813"/>
    <w:rsid w:val="00901101"/>
    <w:rsid w:val="009028E2"/>
    <w:rsid w:val="0091127B"/>
    <w:rsid w:val="00913D21"/>
    <w:rsid w:val="00924208"/>
    <w:rsid w:val="00927BD8"/>
    <w:rsid w:val="00930D79"/>
    <w:rsid w:val="009352B6"/>
    <w:rsid w:val="009377C4"/>
    <w:rsid w:val="00943B67"/>
    <w:rsid w:val="00952109"/>
    <w:rsid w:val="00954EBE"/>
    <w:rsid w:val="009568C5"/>
    <w:rsid w:val="009602FB"/>
    <w:rsid w:val="009630F6"/>
    <w:rsid w:val="00963A07"/>
    <w:rsid w:val="00971624"/>
    <w:rsid w:val="009737B7"/>
    <w:rsid w:val="00974DE6"/>
    <w:rsid w:val="00982893"/>
    <w:rsid w:val="009914FD"/>
    <w:rsid w:val="00996ED4"/>
    <w:rsid w:val="009971D9"/>
    <w:rsid w:val="009A0963"/>
    <w:rsid w:val="009A1DF9"/>
    <w:rsid w:val="009A6968"/>
    <w:rsid w:val="009B1D93"/>
    <w:rsid w:val="009B47BA"/>
    <w:rsid w:val="009C3825"/>
    <w:rsid w:val="009C3D57"/>
    <w:rsid w:val="009C4AAA"/>
    <w:rsid w:val="009D04D9"/>
    <w:rsid w:val="009D33FF"/>
    <w:rsid w:val="009F15C3"/>
    <w:rsid w:val="009F45ED"/>
    <w:rsid w:val="00A00321"/>
    <w:rsid w:val="00A022D6"/>
    <w:rsid w:val="00A02A39"/>
    <w:rsid w:val="00A10C41"/>
    <w:rsid w:val="00A1168A"/>
    <w:rsid w:val="00A1201A"/>
    <w:rsid w:val="00A34CE7"/>
    <w:rsid w:val="00A372B7"/>
    <w:rsid w:val="00A41E9E"/>
    <w:rsid w:val="00A52CC7"/>
    <w:rsid w:val="00A556CC"/>
    <w:rsid w:val="00A56474"/>
    <w:rsid w:val="00A70404"/>
    <w:rsid w:val="00A760D7"/>
    <w:rsid w:val="00A80830"/>
    <w:rsid w:val="00A80C7A"/>
    <w:rsid w:val="00A8386E"/>
    <w:rsid w:val="00A931C9"/>
    <w:rsid w:val="00A97E7C"/>
    <w:rsid w:val="00AB6749"/>
    <w:rsid w:val="00AC42AF"/>
    <w:rsid w:val="00AC54D9"/>
    <w:rsid w:val="00AC667C"/>
    <w:rsid w:val="00AD0BEE"/>
    <w:rsid w:val="00AD41B7"/>
    <w:rsid w:val="00AE28D8"/>
    <w:rsid w:val="00AE310C"/>
    <w:rsid w:val="00AE3231"/>
    <w:rsid w:val="00AE5544"/>
    <w:rsid w:val="00B01FAF"/>
    <w:rsid w:val="00B12F14"/>
    <w:rsid w:val="00B14CF1"/>
    <w:rsid w:val="00B15D1B"/>
    <w:rsid w:val="00B20399"/>
    <w:rsid w:val="00B324CC"/>
    <w:rsid w:val="00B4084F"/>
    <w:rsid w:val="00B4383C"/>
    <w:rsid w:val="00B44D08"/>
    <w:rsid w:val="00B45DFE"/>
    <w:rsid w:val="00B4703A"/>
    <w:rsid w:val="00B50C5C"/>
    <w:rsid w:val="00B61C8F"/>
    <w:rsid w:val="00B64D42"/>
    <w:rsid w:val="00B65188"/>
    <w:rsid w:val="00B70B59"/>
    <w:rsid w:val="00B71A74"/>
    <w:rsid w:val="00B74C20"/>
    <w:rsid w:val="00B81DC6"/>
    <w:rsid w:val="00B83522"/>
    <w:rsid w:val="00B85FD5"/>
    <w:rsid w:val="00B922B2"/>
    <w:rsid w:val="00B93A00"/>
    <w:rsid w:val="00B93E38"/>
    <w:rsid w:val="00B9560A"/>
    <w:rsid w:val="00BA0991"/>
    <w:rsid w:val="00BA1CA3"/>
    <w:rsid w:val="00BA2037"/>
    <w:rsid w:val="00BA23C6"/>
    <w:rsid w:val="00BA7002"/>
    <w:rsid w:val="00BB0014"/>
    <w:rsid w:val="00BB3D76"/>
    <w:rsid w:val="00BC0D4A"/>
    <w:rsid w:val="00BC1C6A"/>
    <w:rsid w:val="00BC6381"/>
    <w:rsid w:val="00BC7957"/>
    <w:rsid w:val="00BD0603"/>
    <w:rsid w:val="00BD6D14"/>
    <w:rsid w:val="00BD6E8F"/>
    <w:rsid w:val="00BE5229"/>
    <w:rsid w:val="00BE6935"/>
    <w:rsid w:val="00BF5A60"/>
    <w:rsid w:val="00C04B5C"/>
    <w:rsid w:val="00C05F1D"/>
    <w:rsid w:val="00C12995"/>
    <w:rsid w:val="00C14F12"/>
    <w:rsid w:val="00C1583B"/>
    <w:rsid w:val="00C1735D"/>
    <w:rsid w:val="00C223A9"/>
    <w:rsid w:val="00C34453"/>
    <w:rsid w:val="00C46463"/>
    <w:rsid w:val="00C50564"/>
    <w:rsid w:val="00C53853"/>
    <w:rsid w:val="00C53CCC"/>
    <w:rsid w:val="00C55248"/>
    <w:rsid w:val="00C552C8"/>
    <w:rsid w:val="00C6216D"/>
    <w:rsid w:val="00C71625"/>
    <w:rsid w:val="00C72104"/>
    <w:rsid w:val="00C75603"/>
    <w:rsid w:val="00C81533"/>
    <w:rsid w:val="00C81999"/>
    <w:rsid w:val="00C85DA3"/>
    <w:rsid w:val="00C869D6"/>
    <w:rsid w:val="00C93DB2"/>
    <w:rsid w:val="00CA51D0"/>
    <w:rsid w:val="00CC0CF0"/>
    <w:rsid w:val="00CC6AC2"/>
    <w:rsid w:val="00CD2911"/>
    <w:rsid w:val="00CD31FF"/>
    <w:rsid w:val="00CD5BC5"/>
    <w:rsid w:val="00CE152D"/>
    <w:rsid w:val="00CE58C5"/>
    <w:rsid w:val="00CE5F28"/>
    <w:rsid w:val="00CE649E"/>
    <w:rsid w:val="00CE6816"/>
    <w:rsid w:val="00CE6A96"/>
    <w:rsid w:val="00CE6C64"/>
    <w:rsid w:val="00CF0469"/>
    <w:rsid w:val="00CF7B66"/>
    <w:rsid w:val="00D03122"/>
    <w:rsid w:val="00D07B57"/>
    <w:rsid w:val="00D1104E"/>
    <w:rsid w:val="00D135FC"/>
    <w:rsid w:val="00D250C9"/>
    <w:rsid w:val="00D27FAD"/>
    <w:rsid w:val="00D35CEC"/>
    <w:rsid w:val="00D371A5"/>
    <w:rsid w:val="00D41F91"/>
    <w:rsid w:val="00D42A35"/>
    <w:rsid w:val="00D42DC5"/>
    <w:rsid w:val="00D43A03"/>
    <w:rsid w:val="00D47116"/>
    <w:rsid w:val="00D47206"/>
    <w:rsid w:val="00D50689"/>
    <w:rsid w:val="00D508C1"/>
    <w:rsid w:val="00D50BC5"/>
    <w:rsid w:val="00D57534"/>
    <w:rsid w:val="00D64156"/>
    <w:rsid w:val="00D66092"/>
    <w:rsid w:val="00D66856"/>
    <w:rsid w:val="00D7209E"/>
    <w:rsid w:val="00D75544"/>
    <w:rsid w:val="00D825EE"/>
    <w:rsid w:val="00D83FB7"/>
    <w:rsid w:val="00D84A42"/>
    <w:rsid w:val="00D91582"/>
    <w:rsid w:val="00D93602"/>
    <w:rsid w:val="00D96362"/>
    <w:rsid w:val="00DA0B06"/>
    <w:rsid w:val="00DA2286"/>
    <w:rsid w:val="00DB651D"/>
    <w:rsid w:val="00DC08E9"/>
    <w:rsid w:val="00DD16F4"/>
    <w:rsid w:val="00DD5F83"/>
    <w:rsid w:val="00DE6440"/>
    <w:rsid w:val="00DF01C8"/>
    <w:rsid w:val="00DF054A"/>
    <w:rsid w:val="00DF13F7"/>
    <w:rsid w:val="00DF7046"/>
    <w:rsid w:val="00E01EC0"/>
    <w:rsid w:val="00E03A40"/>
    <w:rsid w:val="00E05B57"/>
    <w:rsid w:val="00E121A5"/>
    <w:rsid w:val="00E31EB8"/>
    <w:rsid w:val="00E356AF"/>
    <w:rsid w:val="00E417EB"/>
    <w:rsid w:val="00E4659F"/>
    <w:rsid w:val="00E707EF"/>
    <w:rsid w:val="00E733E0"/>
    <w:rsid w:val="00E7480D"/>
    <w:rsid w:val="00E74B1F"/>
    <w:rsid w:val="00E77AE5"/>
    <w:rsid w:val="00E84FF5"/>
    <w:rsid w:val="00E957FC"/>
    <w:rsid w:val="00E958D7"/>
    <w:rsid w:val="00EA4847"/>
    <w:rsid w:val="00EB7600"/>
    <w:rsid w:val="00EB7B9C"/>
    <w:rsid w:val="00EC46BF"/>
    <w:rsid w:val="00EC746C"/>
    <w:rsid w:val="00ED13F1"/>
    <w:rsid w:val="00ED2AD4"/>
    <w:rsid w:val="00ED46A6"/>
    <w:rsid w:val="00ED642E"/>
    <w:rsid w:val="00ED6757"/>
    <w:rsid w:val="00EE3E7F"/>
    <w:rsid w:val="00EE412C"/>
    <w:rsid w:val="00EE54AD"/>
    <w:rsid w:val="00EE61AE"/>
    <w:rsid w:val="00EF34E0"/>
    <w:rsid w:val="00EF43EA"/>
    <w:rsid w:val="00EF7C8E"/>
    <w:rsid w:val="00EF7DDE"/>
    <w:rsid w:val="00F05FBA"/>
    <w:rsid w:val="00F30241"/>
    <w:rsid w:val="00F345A9"/>
    <w:rsid w:val="00F34EC3"/>
    <w:rsid w:val="00F41272"/>
    <w:rsid w:val="00F424A8"/>
    <w:rsid w:val="00F527B2"/>
    <w:rsid w:val="00F55687"/>
    <w:rsid w:val="00F57A2E"/>
    <w:rsid w:val="00F641C3"/>
    <w:rsid w:val="00F76D2F"/>
    <w:rsid w:val="00F77992"/>
    <w:rsid w:val="00F82635"/>
    <w:rsid w:val="00F86F31"/>
    <w:rsid w:val="00F87C17"/>
    <w:rsid w:val="00F91026"/>
    <w:rsid w:val="00F93764"/>
    <w:rsid w:val="00F964AC"/>
    <w:rsid w:val="00F97B8B"/>
    <w:rsid w:val="00F97FD0"/>
    <w:rsid w:val="00FA31B5"/>
    <w:rsid w:val="00FA5ABF"/>
    <w:rsid w:val="00FA62F0"/>
    <w:rsid w:val="00FA7FBB"/>
    <w:rsid w:val="00FB1D22"/>
    <w:rsid w:val="00FB384B"/>
    <w:rsid w:val="00FB5C0B"/>
    <w:rsid w:val="00FB65AA"/>
    <w:rsid w:val="00FC20FD"/>
    <w:rsid w:val="00FD0CD2"/>
    <w:rsid w:val="00FD1C49"/>
    <w:rsid w:val="00FD2198"/>
    <w:rsid w:val="00FD4732"/>
    <w:rsid w:val="00FE2918"/>
    <w:rsid w:val="00FF00A1"/>
    <w:rsid w:val="00FF6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454C"/>
  <w15:chartTrackingRefBased/>
  <w15:docId w15:val="{6472967A-9C3F-49A7-9C77-E6CCA9B4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5BC5"/>
    <w:pPr>
      <w:spacing w:after="0" w:line="240" w:lineRule="auto"/>
      <w:ind w:firstLine="709"/>
      <w:jc w:val="both"/>
    </w:pPr>
    <w:rPr>
      <w:rFonts w:ascii="Times New Roman" w:hAnsi="Times New Roman"/>
      <w:kern w:val="2"/>
      <w14:ligatures w14:val="standardContextual"/>
    </w:rPr>
  </w:style>
  <w:style w:type="paragraph" w:styleId="Nagwek1">
    <w:name w:val="heading 1"/>
    <w:basedOn w:val="Normalny"/>
    <w:next w:val="Normalny"/>
    <w:link w:val="Nagwek1Znak"/>
    <w:rsid w:val="001D41EC"/>
    <w:pPr>
      <w:keepNext/>
      <w:jc w:val="center"/>
      <w:outlineLvl w:val="0"/>
    </w:pPr>
    <w:rPr>
      <w:b/>
      <w:lang w:val="en-US"/>
    </w:rPr>
  </w:style>
  <w:style w:type="paragraph" w:styleId="Nagwek2">
    <w:name w:val="heading 2"/>
    <w:basedOn w:val="Normalny"/>
    <w:next w:val="Normalny"/>
    <w:link w:val="Nagwek2Znak"/>
    <w:uiPriority w:val="9"/>
    <w:semiHidden/>
    <w:unhideWhenUsed/>
    <w:qFormat/>
    <w:rsid w:val="00927B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41EC"/>
    <w:rPr>
      <w:rFonts w:ascii="Times New Roman" w:eastAsia="Times New Roman" w:hAnsi="Times New Roman" w:cs="Times New Roman"/>
      <w:b/>
      <w:sz w:val="20"/>
      <w:szCs w:val="20"/>
      <w:lang w:val="en-US" w:eastAsia="pl-PL"/>
    </w:rPr>
  </w:style>
  <w:style w:type="paragraph" w:customStyle="1" w:styleId="Rab1">
    <w:name w:val="R_ab1"/>
    <w:next w:val="Normalny"/>
    <w:autoRedefine/>
    <w:qFormat/>
    <w:rsid w:val="00CD5BC5"/>
    <w:pPr>
      <w:suppressAutoHyphens/>
      <w:spacing w:before="120" w:after="0" w:line="240" w:lineRule="auto"/>
      <w:ind w:left="567" w:right="567"/>
      <w:jc w:val="both"/>
    </w:pPr>
    <w:rPr>
      <w:rFonts w:ascii="Times New Roman" w:eastAsia="SimSun" w:hAnsi="Times New Roman" w:cs="Times New Roman"/>
      <w:kern w:val="2"/>
      <w:sz w:val="18"/>
      <w:szCs w:val="20"/>
      <w:lang w:val="en-GB" w:eastAsia="pl-PL"/>
      <w14:ligatures w14:val="standardContextual"/>
    </w:rPr>
  </w:style>
  <w:style w:type="paragraph" w:customStyle="1" w:styleId="Rab2">
    <w:name w:val="R_ab2"/>
    <w:basedOn w:val="Rab1"/>
    <w:next w:val="Normalny"/>
    <w:autoRedefine/>
    <w:qFormat/>
    <w:rsid w:val="00311E5E"/>
    <w:pPr>
      <w:spacing w:before="60"/>
      <w:jc w:val="left"/>
    </w:pPr>
  </w:style>
  <w:style w:type="paragraph" w:customStyle="1" w:styleId="Rafiliacja">
    <w:name w:val="R_afiliacja"/>
    <w:basedOn w:val="Normalny"/>
    <w:link w:val="RafiliacjaZnak"/>
    <w:qFormat/>
    <w:rsid w:val="00CD5BC5"/>
    <w:pPr>
      <w:suppressAutoHyphens/>
      <w:jc w:val="center"/>
    </w:pPr>
    <w:rPr>
      <w:i/>
      <w:szCs w:val="28"/>
    </w:rPr>
  </w:style>
  <w:style w:type="character" w:customStyle="1" w:styleId="RafiliacjaZnak">
    <w:name w:val="R_afiliacja Znak"/>
    <w:basedOn w:val="Domylnaczcionkaakapitu"/>
    <w:link w:val="Rafiliacja"/>
    <w:rsid w:val="00CD5BC5"/>
    <w:rPr>
      <w:rFonts w:ascii="Times New Roman" w:hAnsi="Times New Roman" w:cs="Times New Roman"/>
      <w:i/>
      <w:kern w:val="2"/>
      <w:sz w:val="20"/>
      <w:szCs w:val="28"/>
      <w14:ligatures w14:val="standardContextual"/>
    </w:rPr>
  </w:style>
  <w:style w:type="paragraph" w:customStyle="1" w:styleId="Rauco">
    <w:name w:val="R_au_co"/>
    <w:basedOn w:val="Rafiliacja"/>
    <w:autoRedefine/>
    <w:qFormat/>
    <w:rsid w:val="00CD5BC5"/>
    <w:pPr>
      <w:spacing w:before="120"/>
    </w:pPr>
    <w:rPr>
      <w:lang w:val="en-GB"/>
    </w:rPr>
  </w:style>
  <w:style w:type="paragraph" w:customStyle="1" w:styleId="Rn1">
    <w:name w:val="R_n1"/>
    <w:basedOn w:val="Normalny"/>
    <w:link w:val="Rn1Znak"/>
    <w:qFormat/>
    <w:rsid w:val="003F76C0"/>
    <w:pPr>
      <w:suppressAutoHyphens/>
      <w:spacing w:before="240" w:after="120"/>
      <w:ind w:firstLine="0"/>
    </w:pPr>
    <w:rPr>
      <w:b/>
      <w:sz w:val="24"/>
    </w:rPr>
  </w:style>
  <w:style w:type="character" w:customStyle="1" w:styleId="Nagwek2Znak">
    <w:name w:val="Nagłówek 2 Znak"/>
    <w:basedOn w:val="Domylnaczcionkaakapitu"/>
    <w:link w:val="Nagwek2"/>
    <w:uiPriority w:val="9"/>
    <w:semiHidden/>
    <w:rsid w:val="00927BD8"/>
    <w:rPr>
      <w:rFonts w:asciiTheme="majorHAnsi" w:eastAsiaTheme="majorEastAsia" w:hAnsiTheme="majorHAnsi" w:cstheme="majorBidi"/>
      <w:color w:val="2F5496" w:themeColor="accent1" w:themeShade="BF"/>
      <w:sz w:val="26"/>
      <w:szCs w:val="26"/>
      <w:lang w:eastAsia="pl-PL"/>
    </w:rPr>
  </w:style>
  <w:style w:type="character" w:customStyle="1" w:styleId="Rn1Znak">
    <w:name w:val="R_n1 Znak"/>
    <w:basedOn w:val="Domylnaczcionkaakapitu"/>
    <w:link w:val="Rn1"/>
    <w:rsid w:val="003F76C0"/>
    <w:rPr>
      <w:rFonts w:ascii="Times New Roman" w:hAnsi="Times New Roman"/>
      <w:b/>
      <w:kern w:val="2"/>
      <w:sz w:val="24"/>
      <w14:ligatures w14:val="standardContextual"/>
    </w:rPr>
  </w:style>
  <w:style w:type="paragraph" w:customStyle="1" w:styleId="Rn2">
    <w:name w:val="R_n2"/>
    <w:basedOn w:val="Rn1"/>
    <w:link w:val="Rn2Znak"/>
    <w:qFormat/>
    <w:rsid w:val="00CD5BC5"/>
    <w:pPr>
      <w:spacing w:before="120"/>
      <w:jc w:val="left"/>
    </w:pPr>
    <w:rPr>
      <w:sz w:val="22"/>
    </w:rPr>
  </w:style>
  <w:style w:type="character" w:customStyle="1" w:styleId="Rn2Znak">
    <w:name w:val="R_n2 Znak"/>
    <w:link w:val="Rn2"/>
    <w:rsid w:val="00CD5BC5"/>
    <w:rPr>
      <w:rFonts w:ascii="Times New Roman" w:hAnsi="Times New Roman"/>
      <w:b/>
      <w:kern w:val="2"/>
      <w14:ligatures w14:val="standardContextual"/>
    </w:rPr>
  </w:style>
  <w:style w:type="paragraph" w:customStyle="1" w:styleId="Rtytu">
    <w:name w:val="R_tytuł"/>
    <w:basedOn w:val="Rn2"/>
    <w:link w:val="RtytuZnak"/>
    <w:autoRedefine/>
    <w:qFormat/>
    <w:rsid w:val="00CD5BC5"/>
    <w:pPr>
      <w:spacing w:before="240" w:after="0"/>
      <w:jc w:val="center"/>
    </w:pPr>
    <w:rPr>
      <w:sz w:val="24"/>
      <w:szCs w:val="28"/>
    </w:rPr>
  </w:style>
  <w:style w:type="character" w:customStyle="1" w:styleId="RtytuZnak">
    <w:name w:val="R_tytuł Znak"/>
    <w:basedOn w:val="Rn2Znak"/>
    <w:link w:val="Rtytu"/>
    <w:rsid w:val="00CD5BC5"/>
    <w:rPr>
      <w:rFonts w:ascii="Times New Roman" w:hAnsi="Times New Roman"/>
      <w:b/>
      <w:kern w:val="2"/>
      <w:sz w:val="24"/>
      <w:szCs w:val="28"/>
      <w14:ligatures w14:val="standardContextual"/>
    </w:rPr>
  </w:style>
  <w:style w:type="paragraph" w:customStyle="1" w:styleId="Rautor">
    <w:name w:val="R_autor"/>
    <w:basedOn w:val="Rtytu"/>
    <w:link w:val="RautorZnak"/>
    <w:autoRedefine/>
    <w:qFormat/>
    <w:rsid w:val="00CD5BC5"/>
    <w:pPr>
      <w:spacing w:before="120"/>
    </w:pPr>
    <w:rPr>
      <w:rFonts w:eastAsia="Calibri" w:cs="Times New Roman"/>
      <w:b w:val="0"/>
      <w:i/>
    </w:rPr>
  </w:style>
  <w:style w:type="character" w:customStyle="1" w:styleId="RautorZnak">
    <w:name w:val="R_autor Znak"/>
    <w:link w:val="Rautor"/>
    <w:rsid w:val="00CD5BC5"/>
    <w:rPr>
      <w:rFonts w:ascii="Times New Roman" w:eastAsia="Calibri" w:hAnsi="Times New Roman" w:cs="Times New Roman"/>
      <w:i/>
      <w:kern w:val="2"/>
      <w:sz w:val="24"/>
      <w:szCs w:val="28"/>
      <w14:ligatures w14:val="standardContextual"/>
    </w:rPr>
  </w:style>
  <w:style w:type="paragraph" w:customStyle="1" w:styleId="Rlit">
    <w:name w:val="R_lit"/>
    <w:basedOn w:val="Normalny"/>
    <w:link w:val="RlitZnak"/>
    <w:qFormat/>
    <w:rsid w:val="00CD5BC5"/>
    <w:pPr>
      <w:ind w:left="425" w:hanging="425"/>
    </w:pPr>
    <w:rPr>
      <w:lang w:val="en-US"/>
    </w:rPr>
  </w:style>
  <w:style w:type="character" w:customStyle="1" w:styleId="RlitZnak">
    <w:name w:val="R_lit Znak"/>
    <w:basedOn w:val="Domylnaczcionkaakapitu"/>
    <w:link w:val="Rlit"/>
    <w:rsid w:val="00CD5BC5"/>
    <w:rPr>
      <w:rFonts w:ascii="Times New Roman" w:eastAsia="Times New Roman" w:hAnsi="Times New Roman" w:cs="Times New Roman"/>
      <w:kern w:val="2"/>
      <w:sz w:val="20"/>
      <w:szCs w:val="20"/>
      <w:lang w:val="en-US" w:eastAsia="pl-PL"/>
      <w14:ligatures w14:val="standardContextual"/>
    </w:rPr>
  </w:style>
  <w:style w:type="paragraph" w:customStyle="1" w:styleId="Rtab">
    <w:name w:val="R_tab"/>
    <w:basedOn w:val="Normalny"/>
    <w:link w:val="RtabZnak"/>
    <w:qFormat/>
    <w:rsid w:val="008A51B2"/>
    <w:pPr>
      <w:suppressAutoHyphens/>
      <w:spacing w:after="120"/>
      <w:ind w:firstLine="0"/>
    </w:pPr>
  </w:style>
  <w:style w:type="character" w:customStyle="1" w:styleId="RtabZnak">
    <w:name w:val="R_tab Znak"/>
    <w:basedOn w:val="Domylnaczcionkaakapitu"/>
    <w:link w:val="Rtab"/>
    <w:rsid w:val="008A51B2"/>
    <w:rPr>
      <w:rFonts w:ascii="Times New Roman" w:hAnsi="Times New Roman"/>
      <w:kern w:val="2"/>
      <w14:ligatures w14:val="standardContextual"/>
    </w:rPr>
  </w:style>
  <w:style w:type="paragraph" w:customStyle="1" w:styleId="Rn3">
    <w:name w:val="R_n3"/>
    <w:basedOn w:val="Rtab"/>
    <w:link w:val="Rn3Znak"/>
    <w:qFormat/>
    <w:rsid w:val="00CD5BC5"/>
    <w:pPr>
      <w:spacing w:before="120"/>
    </w:pPr>
    <w:rPr>
      <w:i/>
    </w:rPr>
  </w:style>
  <w:style w:type="character" w:customStyle="1" w:styleId="Rn3Znak">
    <w:name w:val="R_n3 Znak"/>
    <w:basedOn w:val="RtabZnak"/>
    <w:link w:val="Rn3"/>
    <w:rsid w:val="00CD5BC5"/>
    <w:rPr>
      <w:rFonts w:ascii="Times New Roman" w:hAnsi="Times New Roman"/>
      <w:i/>
      <w:kern w:val="2"/>
      <w14:ligatures w14:val="standardContextual"/>
    </w:rPr>
  </w:style>
  <w:style w:type="paragraph" w:customStyle="1" w:styleId="Rrys">
    <w:name w:val="R_rys"/>
    <w:basedOn w:val="Rafiliacja"/>
    <w:link w:val="RrysZnak"/>
    <w:qFormat/>
    <w:rsid w:val="008A51B2"/>
    <w:pPr>
      <w:spacing w:before="120"/>
      <w:ind w:firstLine="0"/>
      <w:jc w:val="left"/>
    </w:pPr>
    <w:rPr>
      <w:i w:val="0"/>
    </w:rPr>
  </w:style>
  <w:style w:type="character" w:customStyle="1" w:styleId="RrysZnak">
    <w:name w:val="R_rys Znak"/>
    <w:basedOn w:val="RafiliacjaZnak"/>
    <w:link w:val="Rrys"/>
    <w:rsid w:val="008A51B2"/>
    <w:rPr>
      <w:rFonts w:ascii="Times New Roman" w:hAnsi="Times New Roman" w:cs="Times New Roman"/>
      <w:i w:val="0"/>
      <w:kern w:val="2"/>
      <w:sz w:val="20"/>
      <w:szCs w:val="28"/>
      <w14:ligatures w14:val="standardContextual"/>
    </w:rPr>
  </w:style>
  <w:style w:type="character" w:styleId="Hipercze">
    <w:name w:val="Hyperlink"/>
    <w:basedOn w:val="Domylnaczcionkaakapitu"/>
    <w:uiPriority w:val="99"/>
    <w:unhideWhenUsed/>
    <w:rsid w:val="00CD5BC5"/>
    <w:rPr>
      <w:color w:val="0563C1" w:themeColor="hyperlink"/>
      <w:u w:val="single"/>
    </w:rPr>
  </w:style>
  <w:style w:type="character" w:styleId="Nierozpoznanawzmianka">
    <w:name w:val="Unresolved Mention"/>
    <w:basedOn w:val="Domylnaczcionkaakapitu"/>
    <w:uiPriority w:val="99"/>
    <w:semiHidden/>
    <w:unhideWhenUsed/>
    <w:rsid w:val="00CD5BC5"/>
    <w:rPr>
      <w:color w:val="605E5C"/>
      <w:shd w:val="clear" w:color="auto" w:fill="E1DFDD"/>
    </w:rPr>
  </w:style>
  <w:style w:type="paragraph" w:styleId="Nagwek">
    <w:name w:val="header"/>
    <w:basedOn w:val="Normalny"/>
    <w:link w:val="NagwekZnak"/>
    <w:uiPriority w:val="99"/>
    <w:unhideWhenUsed/>
    <w:rsid w:val="00A80C7A"/>
    <w:pPr>
      <w:tabs>
        <w:tab w:val="center" w:pos="4536"/>
        <w:tab w:val="right" w:pos="9072"/>
      </w:tabs>
    </w:pPr>
  </w:style>
  <w:style w:type="character" w:customStyle="1" w:styleId="NagwekZnak">
    <w:name w:val="Nagłówek Znak"/>
    <w:basedOn w:val="Domylnaczcionkaakapitu"/>
    <w:link w:val="Nagwek"/>
    <w:uiPriority w:val="99"/>
    <w:rsid w:val="00A80C7A"/>
    <w:rPr>
      <w:rFonts w:ascii="Times New Roman" w:hAnsi="Times New Roman"/>
      <w:kern w:val="2"/>
      <w14:ligatures w14:val="standardContextual"/>
    </w:rPr>
  </w:style>
  <w:style w:type="paragraph" w:styleId="Stopka">
    <w:name w:val="footer"/>
    <w:basedOn w:val="Normalny"/>
    <w:link w:val="StopkaZnak"/>
    <w:uiPriority w:val="99"/>
    <w:unhideWhenUsed/>
    <w:rsid w:val="00A80C7A"/>
    <w:pPr>
      <w:tabs>
        <w:tab w:val="center" w:pos="4536"/>
        <w:tab w:val="right" w:pos="9072"/>
      </w:tabs>
    </w:pPr>
  </w:style>
  <w:style w:type="character" w:customStyle="1" w:styleId="StopkaZnak">
    <w:name w:val="Stopka Znak"/>
    <w:basedOn w:val="Domylnaczcionkaakapitu"/>
    <w:link w:val="Stopka"/>
    <w:uiPriority w:val="99"/>
    <w:rsid w:val="00A80C7A"/>
    <w:rPr>
      <w:rFonts w:ascii="Times New Roman" w:hAnsi="Times New Roman"/>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86481">
      <w:bodyDiv w:val="1"/>
      <w:marLeft w:val="0"/>
      <w:marRight w:val="0"/>
      <w:marTop w:val="0"/>
      <w:marBottom w:val="0"/>
      <w:divBdr>
        <w:top w:val="none" w:sz="0" w:space="0" w:color="auto"/>
        <w:left w:val="none" w:sz="0" w:space="0" w:color="auto"/>
        <w:bottom w:val="none" w:sz="0" w:space="0" w:color="auto"/>
        <w:right w:val="none" w:sz="0" w:space="0" w:color="auto"/>
      </w:divBdr>
    </w:div>
    <w:div w:id="672998449">
      <w:bodyDiv w:val="1"/>
      <w:marLeft w:val="0"/>
      <w:marRight w:val="0"/>
      <w:marTop w:val="0"/>
      <w:marBottom w:val="0"/>
      <w:divBdr>
        <w:top w:val="none" w:sz="0" w:space="0" w:color="auto"/>
        <w:left w:val="none" w:sz="0" w:space="0" w:color="auto"/>
        <w:bottom w:val="none" w:sz="0" w:space="0" w:color="auto"/>
        <w:right w:val="none" w:sz="0" w:space="0" w:color="auto"/>
      </w:divBdr>
      <w:divsChild>
        <w:div w:id="1628587140">
          <w:marLeft w:val="0"/>
          <w:marRight w:val="0"/>
          <w:marTop w:val="480"/>
          <w:marBottom w:val="480"/>
          <w:divBdr>
            <w:top w:val="none" w:sz="0" w:space="0" w:color="auto"/>
            <w:left w:val="none" w:sz="0" w:space="0" w:color="auto"/>
            <w:bottom w:val="none" w:sz="0" w:space="0" w:color="auto"/>
            <w:right w:val="none" w:sz="0" w:space="0" w:color="auto"/>
          </w:divBdr>
        </w:div>
      </w:divsChild>
    </w:div>
    <w:div w:id="1360861476">
      <w:bodyDiv w:val="1"/>
      <w:marLeft w:val="0"/>
      <w:marRight w:val="0"/>
      <w:marTop w:val="0"/>
      <w:marBottom w:val="0"/>
      <w:divBdr>
        <w:top w:val="none" w:sz="0" w:space="0" w:color="auto"/>
        <w:left w:val="none" w:sz="0" w:space="0" w:color="auto"/>
        <w:bottom w:val="none" w:sz="0" w:space="0" w:color="auto"/>
        <w:right w:val="none" w:sz="0" w:space="0" w:color="auto"/>
      </w:divBdr>
    </w:div>
    <w:div w:id="1539582211">
      <w:bodyDiv w:val="1"/>
      <w:marLeft w:val="0"/>
      <w:marRight w:val="0"/>
      <w:marTop w:val="0"/>
      <w:marBottom w:val="0"/>
      <w:divBdr>
        <w:top w:val="none" w:sz="0" w:space="0" w:color="auto"/>
        <w:left w:val="none" w:sz="0" w:space="0" w:color="auto"/>
        <w:bottom w:val="none" w:sz="0" w:space="0" w:color="auto"/>
        <w:right w:val="none" w:sz="0" w:space="0" w:color="auto"/>
      </w:divBdr>
    </w:div>
    <w:div w:id="1900743941">
      <w:bodyDiv w:val="1"/>
      <w:marLeft w:val="0"/>
      <w:marRight w:val="0"/>
      <w:marTop w:val="0"/>
      <w:marBottom w:val="0"/>
      <w:divBdr>
        <w:top w:val="none" w:sz="0" w:space="0" w:color="auto"/>
        <w:left w:val="none" w:sz="0" w:space="0" w:color="auto"/>
        <w:bottom w:val="none" w:sz="0" w:space="0" w:color="auto"/>
        <w:right w:val="none" w:sz="0" w:space="0" w:color="auto"/>
      </w:divBdr>
      <w:divsChild>
        <w:div w:id="1251308200">
          <w:marLeft w:val="-6255"/>
          <w:marRight w:val="0"/>
          <w:marTop w:val="0"/>
          <w:marBottom w:val="0"/>
          <w:divBdr>
            <w:top w:val="none" w:sz="0" w:space="0" w:color="auto"/>
            <w:left w:val="none" w:sz="0" w:space="0" w:color="auto"/>
            <w:bottom w:val="none" w:sz="0" w:space="0" w:color="auto"/>
            <w:right w:val="none" w:sz="0" w:space="0" w:color="auto"/>
          </w:divBdr>
        </w:div>
        <w:div w:id="957874539">
          <w:marLeft w:val="0"/>
          <w:marRight w:val="0"/>
          <w:marTop w:val="0"/>
          <w:marBottom w:val="0"/>
          <w:divBdr>
            <w:top w:val="none" w:sz="0" w:space="0" w:color="auto"/>
            <w:left w:val="none" w:sz="0" w:space="0" w:color="auto"/>
            <w:bottom w:val="none" w:sz="0" w:space="0" w:color="auto"/>
            <w:right w:val="none" w:sz="0" w:space="0" w:color="auto"/>
          </w:divBdr>
        </w:div>
      </w:divsChild>
    </w:div>
    <w:div w:id="1971549756">
      <w:bodyDiv w:val="1"/>
      <w:marLeft w:val="0"/>
      <w:marRight w:val="0"/>
      <w:marTop w:val="0"/>
      <w:marBottom w:val="0"/>
      <w:divBdr>
        <w:top w:val="none" w:sz="0" w:space="0" w:color="auto"/>
        <w:left w:val="none" w:sz="0" w:space="0" w:color="auto"/>
        <w:bottom w:val="none" w:sz="0" w:space="0" w:color="auto"/>
        <w:right w:val="none" w:sz="0" w:space="0" w:color="auto"/>
      </w:divBdr>
    </w:div>
    <w:div w:id="20923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acargocharter.org/wp-content/uploads/2020/10/UCL-2015-Understanding-the-Energy-Efficiency-Operational-Indicator-Mai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morules.com/MARPOL_ANNVI_CH4.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morules.com/GUID-82DA0CF7-5A83-476B-A1F5-B455E4610E58.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mo.org/en/about/Conventions/Pages/International-Convention-for-the-Prevention-of-Pollution-from-Ships-(MARPOL).aspx" TargetMode="External"/><Relationship Id="rId4" Type="http://schemas.openxmlformats.org/officeDocument/2006/relationships/settings" Target="settings.xml"/><Relationship Id="rId9" Type="http://schemas.openxmlformats.org/officeDocument/2006/relationships/hyperlink" Target="http://www.iea.org/we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746A6-1F12-49F1-BCC7-D2C1B7F0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3498</Words>
  <Characters>20989</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Jurek</dc:creator>
  <cp:keywords/>
  <dc:description/>
  <cp:lastModifiedBy>Janusz Dabrowski NA</cp:lastModifiedBy>
  <cp:revision>22</cp:revision>
  <cp:lastPrinted>2023-10-31T11:31:00Z</cp:lastPrinted>
  <dcterms:created xsi:type="dcterms:W3CDTF">2023-10-02T07:12:00Z</dcterms:created>
  <dcterms:modified xsi:type="dcterms:W3CDTF">2023-10-31T11:33:00Z</dcterms:modified>
</cp:coreProperties>
</file>