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B23921" w:rsidRPr="007E3687" w14:paraId="0A2D818F" w14:textId="77777777" w:rsidTr="00032257">
        <w:trPr>
          <w:trHeight w:hRule="exact" w:val="142"/>
        </w:trPr>
        <w:tc>
          <w:tcPr>
            <w:tcW w:w="709" w:type="dxa"/>
            <w:vMerge w:val="restart"/>
            <w:shd w:val="clear" w:color="auto" w:fill="auto"/>
            <w:vAlign w:val="center"/>
          </w:tcPr>
          <w:p w14:paraId="7AE5539A" w14:textId="77777777" w:rsidR="00B23921" w:rsidRPr="007E3687" w:rsidRDefault="00B23921" w:rsidP="00B23921">
            <w:pPr>
              <w:ind w:firstLine="0"/>
              <w:rPr>
                <w:sz w:val="20"/>
                <w:lang w:val="en-GB"/>
              </w:rPr>
            </w:pPr>
            <w:bookmarkStart w:id="0" w:name="_Hlk103340665"/>
            <w:bookmarkStart w:id="1" w:name="_Hlk24804592"/>
            <w:bookmarkEnd w:id="0"/>
            <w:r w:rsidRPr="007E3687">
              <w:rPr>
                <w:noProof/>
                <w:lang w:val="en-GB"/>
              </w:rPr>
              <w:drawing>
                <wp:anchor distT="0" distB="0" distL="114300" distR="114300" simplePos="0" relativeHeight="251659264" behindDoc="0" locked="0" layoutInCell="1" allowOverlap="1" wp14:anchorId="1C48CE61" wp14:editId="3022156A">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4AC53275" w14:textId="77777777" w:rsidR="00B23921" w:rsidRPr="007E3687" w:rsidRDefault="00B23921" w:rsidP="00B23921">
            <w:pPr>
              <w:ind w:firstLine="0"/>
              <w:jc w:val="center"/>
              <w:rPr>
                <w:lang w:val="en-GB"/>
              </w:rPr>
            </w:pPr>
          </w:p>
        </w:tc>
      </w:tr>
      <w:tr w:rsidR="00B23921" w:rsidRPr="007E3687" w14:paraId="10509C20" w14:textId="77777777" w:rsidTr="00032257">
        <w:trPr>
          <w:trHeight w:hRule="exact" w:val="283"/>
        </w:trPr>
        <w:tc>
          <w:tcPr>
            <w:tcW w:w="709" w:type="dxa"/>
            <w:vMerge/>
            <w:shd w:val="clear" w:color="auto" w:fill="auto"/>
          </w:tcPr>
          <w:p w14:paraId="0ECFF044" w14:textId="77777777" w:rsidR="00B23921" w:rsidRPr="007E3687" w:rsidRDefault="00B23921" w:rsidP="00B23921">
            <w:pPr>
              <w:ind w:firstLine="0"/>
              <w:jc w:val="center"/>
              <w:rPr>
                <w:lang w:val="en-GB"/>
              </w:rPr>
            </w:pPr>
          </w:p>
        </w:tc>
        <w:tc>
          <w:tcPr>
            <w:tcW w:w="8930" w:type="dxa"/>
            <w:gridSpan w:val="3"/>
            <w:tcBorders>
              <w:bottom w:val="single" w:sz="2" w:space="0" w:color="auto"/>
            </w:tcBorders>
            <w:shd w:val="clear" w:color="auto" w:fill="auto"/>
            <w:vAlign w:val="center"/>
          </w:tcPr>
          <w:p w14:paraId="5A4125B6" w14:textId="77777777" w:rsidR="00B23921" w:rsidRPr="007E3687" w:rsidRDefault="00B23921" w:rsidP="00B23921">
            <w:pPr>
              <w:ind w:firstLine="0"/>
              <w:jc w:val="center"/>
              <w:rPr>
                <w:lang w:val="en-GB"/>
              </w:rPr>
            </w:pPr>
            <w:proofErr w:type="spellStart"/>
            <w:r w:rsidRPr="007E3687">
              <w:rPr>
                <w:b/>
                <w:sz w:val="20"/>
                <w:lang w:val="en-GB"/>
              </w:rPr>
              <w:t>Rocznik</w:t>
            </w:r>
            <w:proofErr w:type="spellEnd"/>
            <w:r w:rsidRPr="007E3687">
              <w:rPr>
                <w:b/>
                <w:sz w:val="20"/>
                <w:lang w:val="en-GB"/>
              </w:rPr>
              <w:t xml:space="preserve"> </w:t>
            </w:r>
            <w:proofErr w:type="spellStart"/>
            <w:r w:rsidRPr="007E3687">
              <w:rPr>
                <w:b/>
                <w:sz w:val="20"/>
                <w:lang w:val="en-GB"/>
              </w:rPr>
              <w:t>Ochrona</w:t>
            </w:r>
            <w:proofErr w:type="spellEnd"/>
            <w:r w:rsidRPr="007E3687">
              <w:rPr>
                <w:b/>
                <w:sz w:val="20"/>
                <w:lang w:val="en-GB"/>
              </w:rPr>
              <w:t xml:space="preserve"> </w:t>
            </w:r>
            <w:proofErr w:type="spellStart"/>
            <w:r w:rsidRPr="007E3687">
              <w:rPr>
                <w:b/>
                <w:sz w:val="20"/>
                <w:lang w:val="en-GB"/>
              </w:rPr>
              <w:t>Środowiska</w:t>
            </w:r>
            <w:proofErr w:type="spellEnd"/>
          </w:p>
        </w:tc>
      </w:tr>
      <w:tr w:rsidR="00B23921" w:rsidRPr="007E3687" w14:paraId="5DFDD8CF" w14:textId="77777777" w:rsidTr="00032257">
        <w:trPr>
          <w:trHeight w:hRule="exact" w:val="283"/>
        </w:trPr>
        <w:tc>
          <w:tcPr>
            <w:tcW w:w="709" w:type="dxa"/>
            <w:vMerge/>
            <w:shd w:val="clear" w:color="auto" w:fill="auto"/>
          </w:tcPr>
          <w:p w14:paraId="7F822567" w14:textId="77777777" w:rsidR="00B23921" w:rsidRPr="007E3687" w:rsidRDefault="00B23921" w:rsidP="00B23921">
            <w:pPr>
              <w:ind w:firstLine="0"/>
              <w:jc w:val="center"/>
              <w:rPr>
                <w:lang w:val="en-GB"/>
              </w:rPr>
            </w:pPr>
          </w:p>
        </w:tc>
        <w:tc>
          <w:tcPr>
            <w:tcW w:w="992" w:type="dxa"/>
            <w:tcBorders>
              <w:top w:val="single" w:sz="2" w:space="0" w:color="auto"/>
              <w:bottom w:val="single" w:sz="2" w:space="0" w:color="auto"/>
            </w:tcBorders>
            <w:shd w:val="clear" w:color="auto" w:fill="auto"/>
            <w:vAlign w:val="center"/>
          </w:tcPr>
          <w:p w14:paraId="3EE1DFF2" w14:textId="77777777" w:rsidR="00B23921" w:rsidRPr="007E3687" w:rsidRDefault="00B23921" w:rsidP="00B23921">
            <w:pPr>
              <w:ind w:firstLine="0"/>
              <w:rPr>
                <w:sz w:val="18"/>
                <w:szCs w:val="18"/>
                <w:lang w:val="en-GB"/>
              </w:rPr>
            </w:pPr>
            <w:r w:rsidRPr="007E3687">
              <w:rPr>
                <w:sz w:val="18"/>
                <w:szCs w:val="18"/>
                <w:lang w:val="en-GB"/>
              </w:rPr>
              <w:t>Volume 25</w:t>
            </w:r>
          </w:p>
        </w:tc>
        <w:tc>
          <w:tcPr>
            <w:tcW w:w="6304" w:type="dxa"/>
            <w:tcBorders>
              <w:top w:val="single" w:sz="2" w:space="0" w:color="auto"/>
              <w:bottom w:val="single" w:sz="2" w:space="0" w:color="auto"/>
            </w:tcBorders>
            <w:shd w:val="clear" w:color="auto" w:fill="auto"/>
            <w:vAlign w:val="center"/>
          </w:tcPr>
          <w:p w14:paraId="7A5926BE" w14:textId="77777777" w:rsidR="00B23921" w:rsidRPr="007E3687" w:rsidRDefault="00B23921" w:rsidP="00B23921">
            <w:pPr>
              <w:tabs>
                <w:tab w:val="left" w:pos="3057"/>
              </w:tabs>
              <w:ind w:left="227" w:firstLine="0"/>
              <w:rPr>
                <w:sz w:val="18"/>
                <w:szCs w:val="18"/>
                <w:lang w:val="en-GB"/>
              </w:rPr>
            </w:pPr>
            <w:r w:rsidRPr="007E3687">
              <w:rPr>
                <w:sz w:val="18"/>
                <w:szCs w:val="18"/>
                <w:lang w:val="en-GB"/>
              </w:rPr>
              <w:t>Year 2023</w:t>
            </w:r>
            <w:r w:rsidRPr="007E3687">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49305370" w14:textId="5BEC7428" w:rsidR="00B23921" w:rsidRPr="007E3687" w:rsidRDefault="00B23921" w:rsidP="00B23921">
            <w:pPr>
              <w:ind w:firstLine="0"/>
              <w:jc w:val="right"/>
              <w:rPr>
                <w:sz w:val="18"/>
                <w:szCs w:val="18"/>
                <w:lang w:val="en-GB"/>
              </w:rPr>
            </w:pPr>
            <w:r w:rsidRPr="007E3687">
              <w:rPr>
                <w:sz w:val="18"/>
                <w:szCs w:val="18"/>
                <w:lang w:val="en-GB"/>
              </w:rPr>
              <w:t xml:space="preserve">pp. </w:t>
            </w:r>
            <w:r w:rsidR="00D63970">
              <w:rPr>
                <w:sz w:val="18"/>
                <w:szCs w:val="18"/>
                <w:lang w:val="en-GB"/>
              </w:rPr>
              <w:t>2</w:t>
            </w:r>
            <w:r w:rsidR="005F090D">
              <w:rPr>
                <w:sz w:val="18"/>
                <w:szCs w:val="18"/>
                <w:lang w:val="en-GB"/>
              </w:rPr>
              <w:t>35</w:t>
            </w:r>
            <w:r w:rsidRPr="007E3687">
              <w:rPr>
                <w:sz w:val="18"/>
                <w:szCs w:val="18"/>
                <w:lang w:val="en-GB"/>
              </w:rPr>
              <w:t>-</w:t>
            </w:r>
            <w:r w:rsidR="00D63970">
              <w:rPr>
                <w:sz w:val="18"/>
                <w:szCs w:val="18"/>
                <w:lang w:val="en-GB"/>
              </w:rPr>
              <w:t>2</w:t>
            </w:r>
            <w:r w:rsidR="005F090D">
              <w:rPr>
                <w:sz w:val="18"/>
                <w:szCs w:val="18"/>
                <w:lang w:val="en-GB"/>
              </w:rPr>
              <w:t>41</w:t>
            </w:r>
          </w:p>
        </w:tc>
      </w:tr>
      <w:tr w:rsidR="00B23921" w:rsidRPr="007E3687" w14:paraId="00A88CAE" w14:textId="77777777" w:rsidTr="00032257">
        <w:trPr>
          <w:trHeight w:hRule="exact" w:val="283"/>
        </w:trPr>
        <w:tc>
          <w:tcPr>
            <w:tcW w:w="709" w:type="dxa"/>
            <w:shd w:val="clear" w:color="auto" w:fill="auto"/>
          </w:tcPr>
          <w:p w14:paraId="6E737754" w14:textId="77777777" w:rsidR="00B23921" w:rsidRPr="007E3687" w:rsidRDefault="00B23921" w:rsidP="00B23921">
            <w:pPr>
              <w:ind w:firstLine="0"/>
              <w:jc w:val="center"/>
              <w:rPr>
                <w:lang w:val="en-GB"/>
              </w:rPr>
            </w:pPr>
          </w:p>
        </w:tc>
        <w:tc>
          <w:tcPr>
            <w:tcW w:w="8930" w:type="dxa"/>
            <w:gridSpan w:val="3"/>
            <w:tcBorders>
              <w:top w:val="single" w:sz="2" w:space="0" w:color="auto"/>
              <w:bottom w:val="single" w:sz="2" w:space="0" w:color="auto"/>
            </w:tcBorders>
            <w:shd w:val="clear" w:color="auto" w:fill="auto"/>
            <w:vAlign w:val="center"/>
          </w:tcPr>
          <w:p w14:paraId="5EB5D490" w14:textId="056DF92E" w:rsidR="00B23921" w:rsidRPr="007E3687" w:rsidRDefault="00B23921" w:rsidP="00B23921">
            <w:pPr>
              <w:tabs>
                <w:tab w:val="right" w:pos="8928"/>
              </w:tabs>
              <w:ind w:firstLine="0"/>
              <w:rPr>
                <w:sz w:val="18"/>
                <w:szCs w:val="18"/>
                <w:lang w:val="en-GB"/>
              </w:rPr>
            </w:pPr>
            <w:r w:rsidRPr="007E3687">
              <w:rPr>
                <w:sz w:val="18"/>
                <w:szCs w:val="18"/>
                <w:lang w:val="en-GB"/>
              </w:rPr>
              <w:t>https://doi.org/10.54740/ros.2023.0</w:t>
            </w:r>
            <w:r w:rsidR="00D63970">
              <w:rPr>
                <w:sz w:val="18"/>
                <w:szCs w:val="18"/>
                <w:lang w:val="en-GB"/>
              </w:rPr>
              <w:t>2</w:t>
            </w:r>
            <w:r w:rsidR="005F090D">
              <w:rPr>
                <w:sz w:val="18"/>
                <w:szCs w:val="18"/>
                <w:lang w:val="en-GB"/>
              </w:rPr>
              <w:t>4</w:t>
            </w:r>
            <w:r w:rsidRPr="007E3687">
              <w:rPr>
                <w:sz w:val="18"/>
                <w:szCs w:val="18"/>
                <w:lang w:val="en-GB"/>
              </w:rPr>
              <w:tab/>
              <w:t>open access</w:t>
            </w:r>
          </w:p>
        </w:tc>
      </w:tr>
      <w:tr w:rsidR="00B23921" w:rsidRPr="007E3687" w14:paraId="6C51E19A" w14:textId="77777777" w:rsidTr="00032257">
        <w:trPr>
          <w:trHeight w:hRule="exact" w:val="283"/>
        </w:trPr>
        <w:tc>
          <w:tcPr>
            <w:tcW w:w="709" w:type="dxa"/>
            <w:shd w:val="clear" w:color="auto" w:fill="auto"/>
          </w:tcPr>
          <w:p w14:paraId="5D29A60F" w14:textId="77777777" w:rsidR="00B23921" w:rsidRPr="007E3687" w:rsidRDefault="00B23921" w:rsidP="00B23921">
            <w:pPr>
              <w:ind w:firstLine="0"/>
              <w:jc w:val="center"/>
              <w:rPr>
                <w:lang w:val="en-GB"/>
              </w:rPr>
            </w:pPr>
          </w:p>
        </w:tc>
        <w:tc>
          <w:tcPr>
            <w:tcW w:w="8930" w:type="dxa"/>
            <w:gridSpan w:val="3"/>
            <w:tcBorders>
              <w:top w:val="single" w:sz="2" w:space="0" w:color="auto"/>
            </w:tcBorders>
            <w:shd w:val="clear" w:color="auto" w:fill="auto"/>
            <w:vAlign w:val="center"/>
          </w:tcPr>
          <w:p w14:paraId="21D465CB" w14:textId="71F6FC47" w:rsidR="00B23921" w:rsidRPr="007E3687" w:rsidRDefault="00B23921" w:rsidP="00B23921">
            <w:pPr>
              <w:tabs>
                <w:tab w:val="left" w:pos="3828"/>
                <w:tab w:val="right" w:pos="8928"/>
              </w:tabs>
              <w:ind w:firstLine="0"/>
              <w:rPr>
                <w:sz w:val="18"/>
                <w:szCs w:val="18"/>
                <w:lang w:val="en-GB"/>
              </w:rPr>
            </w:pPr>
            <w:r w:rsidRPr="007E3687">
              <w:rPr>
                <w:sz w:val="18"/>
                <w:szCs w:val="18"/>
                <w:lang w:val="en-GB"/>
              </w:rPr>
              <w:t xml:space="preserve">Received: </w:t>
            </w:r>
            <w:r w:rsidR="00087CD9">
              <w:rPr>
                <w:sz w:val="18"/>
                <w:szCs w:val="18"/>
                <w:lang w:val="en-GB"/>
              </w:rPr>
              <w:t>August</w:t>
            </w:r>
            <w:r w:rsidRPr="007E3687">
              <w:rPr>
                <w:sz w:val="18"/>
                <w:szCs w:val="18"/>
                <w:lang w:val="en-GB"/>
              </w:rPr>
              <w:t xml:space="preserve"> 2023</w:t>
            </w:r>
            <w:r w:rsidRPr="007E3687">
              <w:rPr>
                <w:sz w:val="18"/>
                <w:szCs w:val="18"/>
                <w:lang w:val="en-GB"/>
              </w:rPr>
              <w:tab/>
              <w:t xml:space="preserve">Accepted: </w:t>
            </w:r>
            <w:r w:rsidR="00087CD9">
              <w:rPr>
                <w:sz w:val="18"/>
                <w:szCs w:val="18"/>
                <w:lang w:val="en-GB"/>
              </w:rPr>
              <w:t>September</w:t>
            </w:r>
            <w:r w:rsidRPr="007E3687">
              <w:rPr>
                <w:sz w:val="18"/>
                <w:szCs w:val="18"/>
                <w:lang w:val="en-GB"/>
              </w:rPr>
              <w:t xml:space="preserve"> 2023</w:t>
            </w:r>
            <w:r w:rsidRPr="007E3687">
              <w:rPr>
                <w:sz w:val="18"/>
                <w:szCs w:val="18"/>
                <w:lang w:val="en-GB"/>
              </w:rPr>
              <w:tab/>
              <w:t xml:space="preserve">Published: </w:t>
            </w:r>
            <w:r w:rsidR="00087CD9">
              <w:rPr>
                <w:sz w:val="18"/>
                <w:szCs w:val="18"/>
                <w:lang w:val="en-GB"/>
              </w:rPr>
              <w:t>October</w:t>
            </w:r>
            <w:r w:rsidRPr="007E3687">
              <w:rPr>
                <w:sz w:val="18"/>
                <w:szCs w:val="18"/>
                <w:lang w:val="en-GB"/>
              </w:rPr>
              <w:t xml:space="preserve"> 2023</w:t>
            </w:r>
          </w:p>
        </w:tc>
      </w:tr>
    </w:tbl>
    <w:bookmarkEnd w:id="1"/>
    <w:p w14:paraId="1D0DDCEA" w14:textId="7B56672C" w:rsidR="006561E8" w:rsidRPr="006561E8" w:rsidRDefault="006561E8" w:rsidP="006561E8">
      <w:pPr>
        <w:pStyle w:val="Rtytu"/>
        <w:rPr>
          <w:lang w:val="en-GB"/>
        </w:rPr>
      </w:pPr>
      <w:r w:rsidRPr="006561E8">
        <w:rPr>
          <w:lang w:val="en-GB"/>
        </w:rPr>
        <w:t xml:space="preserve">Predicting the </w:t>
      </w:r>
      <w:r w:rsidR="00B23921">
        <w:rPr>
          <w:lang w:val="en-GB"/>
        </w:rPr>
        <w:t>L</w:t>
      </w:r>
      <w:r w:rsidRPr="006561E8">
        <w:rPr>
          <w:lang w:val="en-GB"/>
        </w:rPr>
        <w:t xml:space="preserve">evel of </w:t>
      </w:r>
      <w:r w:rsidR="00B23921">
        <w:rPr>
          <w:lang w:val="en-GB"/>
        </w:rPr>
        <w:t>E</w:t>
      </w:r>
      <w:r w:rsidRPr="006561E8">
        <w:rPr>
          <w:lang w:val="en-GB"/>
        </w:rPr>
        <w:t xml:space="preserve">cological </w:t>
      </w:r>
      <w:r w:rsidR="00B23921">
        <w:rPr>
          <w:lang w:val="en-GB"/>
        </w:rPr>
        <w:t>S</w:t>
      </w:r>
      <w:r w:rsidRPr="006561E8">
        <w:rPr>
          <w:lang w:val="en-GB"/>
        </w:rPr>
        <w:t xml:space="preserve">afety for </w:t>
      </w:r>
      <w:r w:rsidR="00B23921">
        <w:rPr>
          <w:lang w:val="en-GB"/>
        </w:rPr>
        <w:t>M</w:t>
      </w:r>
      <w:r w:rsidRPr="006561E8">
        <w:rPr>
          <w:lang w:val="en-GB"/>
        </w:rPr>
        <w:t xml:space="preserve">an-made </w:t>
      </w:r>
      <w:r w:rsidR="00B23921">
        <w:rPr>
          <w:lang w:val="en-GB"/>
        </w:rPr>
        <w:t>O</w:t>
      </w:r>
      <w:r w:rsidRPr="006561E8">
        <w:rPr>
          <w:lang w:val="en-GB"/>
        </w:rPr>
        <w:t>bjects</w:t>
      </w:r>
    </w:p>
    <w:p w14:paraId="37E0C145" w14:textId="4249FC0D" w:rsidR="006561E8" w:rsidRPr="005B5106" w:rsidRDefault="006561E8" w:rsidP="006561E8">
      <w:pPr>
        <w:pStyle w:val="Rautor"/>
        <w:rPr>
          <w:vertAlign w:val="subscript"/>
          <w:lang w:val="en-GB"/>
        </w:rPr>
      </w:pPr>
      <w:r w:rsidRPr="006561E8">
        <w:rPr>
          <w:lang w:val="en-GB"/>
        </w:rPr>
        <w:t>Elena Smirnova</w:t>
      </w:r>
      <w:r w:rsidR="005B5106" w:rsidRPr="005B5106">
        <w:rPr>
          <w:vertAlign w:val="superscript"/>
          <w:lang w:val="en-GB"/>
        </w:rPr>
        <w:t>1</w:t>
      </w:r>
      <w:r w:rsidRPr="006561E8">
        <w:rPr>
          <w:vertAlign w:val="superscript"/>
          <w:lang w:val="en-GB"/>
        </w:rPr>
        <w:t>*</w:t>
      </w:r>
      <w:r w:rsidR="005B5106" w:rsidRPr="005B5106">
        <w:rPr>
          <w:lang w:val="en-GB"/>
        </w:rPr>
        <w:t xml:space="preserve">, </w:t>
      </w:r>
      <w:r w:rsidR="005B5106" w:rsidRPr="006561E8">
        <w:rPr>
          <w:lang w:val="en-GB"/>
        </w:rPr>
        <w:t>Shirali Mamedov</w:t>
      </w:r>
      <w:r w:rsidR="005B5106">
        <w:rPr>
          <w:vertAlign w:val="superscript"/>
          <w:lang w:val="en-GB"/>
        </w:rPr>
        <w:t>2</w:t>
      </w:r>
      <w:r w:rsidR="005B5106">
        <w:rPr>
          <w:lang w:val="en-GB"/>
        </w:rPr>
        <w:t xml:space="preserve">, </w:t>
      </w:r>
      <w:r w:rsidR="005B5106" w:rsidRPr="006561E8">
        <w:rPr>
          <w:lang w:val="en-GB"/>
        </w:rPr>
        <w:t>Alexander Shkarovskiy</w:t>
      </w:r>
      <w:r w:rsidR="005B5106">
        <w:rPr>
          <w:vertAlign w:val="superscript"/>
          <w:lang w:val="en-GB"/>
        </w:rPr>
        <w:t>3</w:t>
      </w:r>
    </w:p>
    <w:p w14:paraId="446339C0" w14:textId="380EB560" w:rsidR="006561E8" w:rsidRPr="006561E8" w:rsidRDefault="005B5106" w:rsidP="006561E8">
      <w:pPr>
        <w:pStyle w:val="Rafiliacja"/>
        <w:rPr>
          <w:lang w:val="en-GB"/>
        </w:rPr>
      </w:pPr>
      <w:r w:rsidRPr="005B5106">
        <w:rPr>
          <w:vertAlign w:val="superscript"/>
          <w:lang w:val="en-GB"/>
        </w:rPr>
        <w:t>1</w:t>
      </w:r>
      <w:r w:rsidR="006561E8" w:rsidRPr="006561E8">
        <w:rPr>
          <w:lang w:val="en-GB"/>
        </w:rPr>
        <w:t>Saint Petersburg State University of Architecture and Civil Engineering, Russia</w:t>
      </w:r>
    </w:p>
    <w:p w14:paraId="2DAB51BE" w14:textId="77777777" w:rsidR="006561E8" w:rsidRPr="006561E8" w:rsidRDefault="006561E8" w:rsidP="006561E8">
      <w:pPr>
        <w:pStyle w:val="Rafiliacja"/>
        <w:rPr>
          <w:lang w:val="en-GB"/>
        </w:rPr>
      </w:pPr>
      <w:bookmarkStart w:id="2" w:name="_Hlk148439870"/>
      <w:r w:rsidRPr="006561E8">
        <w:rPr>
          <w:lang w:val="en-GB"/>
        </w:rPr>
        <w:t>https://orcid.org/</w:t>
      </w:r>
      <w:bookmarkEnd w:id="2"/>
      <w:r w:rsidRPr="006561E8">
        <w:rPr>
          <w:lang w:val="en-GB"/>
        </w:rPr>
        <w:t>0000-0002-9860-9230</w:t>
      </w:r>
    </w:p>
    <w:p w14:paraId="63BCF2D8" w14:textId="622305E2" w:rsidR="006561E8" w:rsidRPr="006561E8" w:rsidRDefault="005B5106" w:rsidP="006561E8">
      <w:pPr>
        <w:pStyle w:val="Rafiliacja"/>
        <w:rPr>
          <w:lang w:val="en-GB"/>
        </w:rPr>
      </w:pPr>
      <w:r>
        <w:rPr>
          <w:vertAlign w:val="superscript"/>
          <w:lang w:val="en-GB"/>
        </w:rPr>
        <w:t>2</w:t>
      </w:r>
      <w:r w:rsidR="006561E8" w:rsidRPr="006561E8">
        <w:rPr>
          <w:lang w:val="en-GB"/>
        </w:rPr>
        <w:t>Saint Petersburg State University of Architecture and Civil Engineering, Russia</w:t>
      </w:r>
    </w:p>
    <w:p w14:paraId="62BD26F4" w14:textId="77777777" w:rsidR="006561E8" w:rsidRPr="006561E8" w:rsidRDefault="006561E8" w:rsidP="006561E8">
      <w:pPr>
        <w:pStyle w:val="Rafiliacja"/>
        <w:rPr>
          <w:lang w:val="en-GB"/>
        </w:rPr>
      </w:pPr>
      <w:r w:rsidRPr="006561E8">
        <w:rPr>
          <w:lang w:val="en-GB"/>
        </w:rPr>
        <w:t>https://orcid.org/0000-0003-0366-1085</w:t>
      </w:r>
    </w:p>
    <w:p w14:paraId="4E450BB7" w14:textId="39B8370C" w:rsidR="006561E8" w:rsidRPr="006561E8" w:rsidRDefault="00D63970" w:rsidP="006561E8">
      <w:pPr>
        <w:pStyle w:val="Rafiliacja"/>
        <w:rPr>
          <w:lang w:val="en-GB"/>
        </w:rPr>
      </w:pPr>
      <w:r>
        <w:rPr>
          <w:vertAlign w:val="superscript"/>
          <w:lang w:val="en-GB"/>
        </w:rPr>
        <w:t>3</w:t>
      </w:r>
      <w:r w:rsidR="006561E8" w:rsidRPr="006561E8">
        <w:rPr>
          <w:lang w:val="en-GB"/>
        </w:rPr>
        <w:t>Koszalin University of Technology, Poland</w:t>
      </w:r>
    </w:p>
    <w:p w14:paraId="49DF4312" w14:textId="071E8A9C" w:rsidR="006561E8" w:rsidRPr="006561E8" w:rsidRDefault="006561E8" w:rsidP="006561E8">
      <w:pPr>
        <w:pStyle w:val="Rafiliacja"/>
        <w:rPr>
          <w:lang w:val="en-GB"/>
        </w:rPr>
      </w:pPr>
      <w:r w:rsidRPr="006561E8">
        <w:rPr>
          <w:lang w:val="en-GB"/>
        </w:rPr>
        <w:t>Saint Petersburg State University of Architecture and Civil Engineering, Russia</w:t>
      </w:r>
    </w:p>
    <w:p w14:paraId="151CF058" w14:textId="77777777" w:rsidR="006561E8" w:rsidRPr="006561E8" w:rsidRDefault="006561E8" w:rsidP="006561E8">
      <w:pPr>
        <w:pStyle w:val="Rafiliacja"/>
        <w:rPr>
          <w:lang w:val="en-GB"/>
        </w:rPr>
      </w:pPr>
      <w:r w:rsidRPr="006561E8">
        <w:rPr>
          <w:lang w:val="en-GB"/>
        </w:rPr>
        <w:t>https://orcid.org/0000-0002-2381-6534</w:t>
      </w:r>
    </w:p>
    <w:p w14:paraId="4D56401E" w14:textId="6041CA6B" w:rsidR="006561E8" w:rsidRPr="006561E8" w:rsidRDefault="006561E8" w:rsidP="006561E8">
      <w:pPr>
        <w:pStyle w:val="Rauco"/>
      </w:pPr>
      <w:r w:rsidRPr="006561E8">
        <w:rPr>
          <w:vertAlign w:val="superscript"/>
        </w:rPr>
        <w:t>*</w:t>
      </w:r>
      <w:r w:rsidRPr="006561E8">
        <w:t>corresponding author</w:t>
      </w:r>
      <w:r w:rsidR="002B737D">
        <w:t>'</w:t>
      </w:r>
      <w:r w:rsidRPr="006561E8">
        <w:t>s e-mail: esmirnovaee@mail.ru</w:t>
      </w:r>
    </w:p>
    <w:p w14:paraId="3A1EE89F" w14:textId="11872AD1" w:rsidR="006561E8" w:rsidRPr="006561E8" w:rsidRDefault="006561E8" w:rsidP="006561E8">
      <w:pPr>
        <w:pStyle w:val="Rab1"/>
      </w:pPr>
      <w:r w:rsidRPr="006561E8">
        <w:rPr>
          <w:b/>
          <w:bCs/>
        </w:rPr>
        <w:t>Abstract:</w:t>
      </w:r>
      <w:r w:rsidRPr="006561E8">
        <w:t xml:space="preserve"> The authors explored the utilization of simulation models as a means to ensure environmental safety, using the industrial hub of Kemerovo as an illustrative example. The article </w:t>
      </w:r>
      <w:proofErr w:type="spellStart"/>
      <w:r w:rsidRPr="006561E8">
        <w:t>analyzes</w:t>
      </w:r>
      <w:proofErr w:type="spellEnd"/>
      <w:r w:rsidRPr="006561E8">
        <w:t xml:space="preserve"> the factors that have contributed to the deterioration of the environment in the region for decades. It has been established that in terms of the overall percentage distribution of emissions from stationary sources, energy enterprises (73.0%), chemical and petrochemical industries (4.7%), and black metallurgy enterprises (7.8%) are leading in the city of Kemerovo. Simulation mode</w:t>
      </w:r>
      <w:r w:rsidR="002B737D">
        <w:t>l</w:t>
      </w:r>
      <w:r w:rsidRPr="006561E8">
        <w:t xml:space="preserve">ling has shown that the cause of high concentrations of harmful substances in the atmosphere of Kemerovo is due to the negative factors of industrial and household activities and their impact on environmental safety. High correlation and sensitivity coefficients indicate a lack of new available technologies in the region's industry and transport that could prevent air pollution. The forecasting model has indicated a potential two, three or even greater increase in emissions. For example, in the long-term perspective, by 2063, </w:t>
      </w:r>
      <w:r w:rsidR="002B737D">
        <w:t>manufacturing emissions</w:t>
      </w:r>
      <w:r w:rsidRPr="006561E8">
        <w:t xml:space="preserve"> could potentially increase by 35 times, leading to irreversible ecological consequences. Extreme pollution and depletion of natural resources could make living in this region impossible.</w:t>
      </w:r>
    </w:p>
    <w:p w14:paraId="744ADB2B" w14:textId="77777777" w:rsidR="006561E8" w:rsidRPr="006561E8" w:rsidRDefault="006561E8" w:rsidP="006561E8">
      <w:pPr>
        <w:pStyle w:val="Rab2"/>
      </w:pPr>
      <w:r w:rsidRPr="006561E8">
        <w:rPr>
          <w:b/>
          <w:bCs/>
        </w:rPr>
        <w:t>Keywords:</w:t>
      </w:r>
      <w:r w:rsidRPr="006561E8">
        <w:t xml:space="preserve"> atmospheric pollution, ecological risk, ecological disaster, environmental safety zone, hazardous industries</w:t>
      </w:r>
    </w:p>
    <w:p w14:paraId="49CE038A" w14:textId="77777777" w:rsidR="006561E8" w:rsidRPr="006561E8" w:rsidRDefault="006561E8" w:rsidP="006561E8">
      <w:pPr>
        <w:pStyle w:val="Rn1"/>
        <w:rPr>
          <w:lang w:val="en-GB"/>
        </w:rPr>
      </w:pPr>
      <w:r w:rsidRPr="006561E8">
        <w:rPr>
          <w:lang w:val="en-GB"/>
        </w:rPr>
        <w:t>1. Introduction</w:t>
      </w:r>
    </w:p>
    <w:p w14:paraId="7F6AA1AA" w14:textId="37CF2B67" w:rsidR="006561E8" w:rsidRPr="006561E8" w:rsidRDefault="006561E8" w:rsidP="006561E8">
      <w:pPr>
        <w:ind w:firstLine="284"/>
        <w:jc w:val="both"/>
        <w:rPr>
          <w:lang w:val="en-GB"/>
        </w:rPr>
      </w:pPr>
      <w:r w:rsidRPr="006561E8">
        <w:rPr>
          <w:lang w:val="en-GB"/>
        </w:rPr>
        <w:t xml:space="preserve">This article </w:t>
      </w:r>
      <w:r w:rsidR="002B737D">
        <w:rPr>
          <w:lang w:val="en-GB"/>
        </w:rPr>
        <w:t>assesses and forecasts</w:t>
      </w:r>
      <w:r w:rsidRPr="006561E8">
        <w:rPr>
          <w:lang w:val="en-GB"/>
        </w:rPr>
        <w:t xml:space="preserve"> the level of ecological safety in </w:t>
      </w:r>
      <w:proofErr w:type="spellStart"/>
      <w:r w:rsidRPr="006561E8">
        <w:rPr>
          <w:lang w:val="en-GB"/>
        </w:rPr>
        <w:t>Kuzbass</w:t>
      </w:r>
      <w:proofErr w:type="spellEnd"/>
      <w:r w:rsidRPr="006561E8">
        <w:rPr>
          <w:lang w:val="en-GB"/>
        </w:rPr>
        <w:t xml:space="preserve">, a region where </w:t>
      </w:r>
      <w:r w:rsidR="002B737D">
        <w:rPr>
          <w:lang w:val="en-GB"/>
        </w:rPr>
        <w:t xml:space="preserve">the </w:t>
      </w:r>
      <w:r w:rsidRPr="006561E8">
        <w:rPr>
          <w:lang w:val="en-GB"/>
        </w:rPr>
        <w:t xml:space="preserve">anthropogenic landscape covers half of the territory. Kemerovo, Prokopyevsk, </w:t>
      </w:r>
      <w:proofErr w:type="spellStart"/>
      <w:r w:rsidRPr="006561E8">
        <w:rPr>
          <w:lang w:val="en-GB"/>
        </w:rPr>
        <w:t>Kiselevsk</w:t>
      </w:r>
      <w:proofErr w:type="spellEnd"/>
      <w:r w:rsidRPr="006561E8">
        <w:rPr>
          <w:lang w:val="en-GB"/>
        </w:rPr>
        <w:t xml:space="preserve">, </w:t>
      </w:r>
      <w:proofErr w:type="spellStart"/>
      <w:r w:rsidRPr="006561E8">
        <w:rPr>
          <w:lang w:val="en-GB"/>
        </w:rPr>
        <w:t>Belovo</w:t>
      </w:r>
      <w:proofErr w:type="spellEnd"/>
      <w:r w:rsidRPr="006561E8">
        <w:rPr>
          <w:lang w:val="en-GB"/>
        </w:rPr>
        <w:t xml:space="preserve">, </w:t>
      </w:r>
      <w:proofErr w:type="spellStart"/>
      <w:r w:rsidRPr="006561E8">
        <w:rPr>
          <w:lang w:val="en-GB"/>
        </w:rPr>
        <w:t>Leninsk</w:t>
      </w:r>
      <w:proofErr w:type="spellEnd"/>
      <w:r w:rsidRPr="006561E8">
        <w:rPr>
          <w:lang w:val="en-GB"/>
        </w:rPr>
        <w:t>-Kuznetsky, and many other cities have been declared ecological disaster zones. In general, normal functioning of the biosphere there is no longer possible. In the Prokopyevsk-</w:t>
      </w:r>
      <w:proofErr w:type="spellStart"/>
      <w:r w:rsidRPr="006561E8">
        <w:rPr>
          <w:lang w:val="en-GB"/>
        </w:rPr>
        <w:t>Kiselevsk</w:t>
      </w:r>
      <w:proofErr w:type="spellEnd"/>
      <w:r w:rsidRPr="006561E8">
        <w:rPr>
          <w:lang w:val="en-GB"/>
        </w:rPr>
        <w:t xml:space="preserve"> region, atmospheric pollution reaches 300</w:t>
      </w:r>
      <w:r w:rsidR="00CD105C">
        <w:rPr>
          <w:lang w:val="en-GB"/>
        </w:rPr>
        <w:t> </w:t>
      </w:r>
      <w:r w:rsidRPr="006561E8">
        <w:rPr>
          <w:lang w:val="en-GB"/>
        </w:rPr>
        <w:t xml:space="preserve">tons of dust and soot per hectare per year. The threat of an ecological crisis in the area, which </w:t>
      </w:r>
      <w:r w:rsidR="002B737D">
        <w:rPr>
          <w:lang w:val="en-GB"/>
        </w:rPr>
        <w:t>many authors have discussed</w:t>
      </w:r>
      <w:r w:rsidRPr="006561E8">
        <w:rPr>
          <w:lang w:val="en-GB"/>
        </w:rPr>
        <w:t>, has already arrived (Schastlivtsev</w:t>
      </w:r>
      <w:r w:rsidR="00B63D50">
        <w:rPr>
          <w:lang w:val="en-GB"/>
        </w:rPr>
        <w:t xml:space="preserve"> &amp;</w:t>
      </w:r>
      <w:r w:rsidRPr="006561E8">
        <w:rPr>
          <w:lang w:val="en-GB"/>
        </w:rPr>
        <w:t xml:space="preserve"> Bragin 2007). Due to the intensification of metallurgical, chemical, coal mining, and energy industries, Kemerovo and its surrounding region have emerged as one of the primary industrial areas in Siberia and Russia. Unfortunately, this has led to Kemerovo becoming the most polluted region in terms of air pollution. With even greater intensification of the metallurgical, chemical, coal mining, and energy industries, one of the leading industrial regions of Siberia and Russia (Kemerovo and Kemerovo region) has become the most environmentally disadvantaged area in terms of atmospheric pollution. Due to the prevailing wind direction, the city of Kemerovo is directly affected by emissions from nearby mines; the operation of numerous environmentally hazardous enterprises contributes to the increase in environmental pollution; year after year, the volume of benzopyrene (which is a combustion product of various types of fuel) continues to grow, and it has become a real disaster for the city. The rapid growth of coal mining in the </w:t>
      </w:r>
      <w:proofErr w:type="spellStart"/>
      <w:r w:rsidRPr="006561E8">
        <w:rPr>
          <w:lang w:val="en-GB"/>
        </w:rPr>
        <w:t>Kuzbass</w:t>
      </w:r>
      <w:proofErr w:type="spellEnd"/>
      <w:r w:rsidRPr="006561E8">
        <w:rPr>
          <w:lang w:val="en-GB"/>
        </w:rPr>
        <w:t xml:space="preserve"> region, predominantly through open-pit mining, is leading to a rapid development of an environmental and social disaster in the area.</w:t>
      </w:r>
    </w:p>
    <w:p w14:paraId="38C90379" w14:textId="23D2BA99" w:rsidR="006561E8" w:rsidRPr="006561E8" w:rsidRDefault="006561E8" w:rsidP="006561E8">
      <w:pPr>
        <w:ind w:firstLine="284"/>
        <w:jc w:val="both"/>
        <w:rPr>
          <w:lang w:val="en-GB"/>
        </w:rPr>
      </w:pPr>
      <w:r w:rsidRPr="006561E8">
        <w:rPr>
          <w:lang w:val="en-GB"/>
        </w:rPr>
        <w:t>In 1943, Kemerovo, a city in the Novosibirsk region, was designated as the administrative cent</w:t>
      </w:r>
      <w:r w:rsidR="002B737D">
        <w:rPr>
          <w:lang w:val="en-GB"/>
        </w:rPr>
        <w:t>re</w:t>
      </w:r>
      <w:r w:rsidRPr="006561E8">
        <w:rPr>
          <w:lang w:val="en-GB"/>
        </w:rPr>
        <w:t xml:space="preserve"> of the Kemerovo region. This decision was primarily influenced by the Kuznetsk coal basin becoming a major supplier of coal and iron ore during World War II, leading to the relocation of numerous industrial enterprises to the area. However, the concentration of these industrial facilities in the region had a negative impact on production and economic activities, resulting in a significant anthropogenic burden on the environment. For example, the industrial complex of Novokuznetsk includes two metallurgical plants, alumin</w:t>
      </w:r>
      <w:r w:rsidR="002B737D">
        <w:rPr>
          <w:lang w:val="en-GB"/>
        </w:rPr>
        <w:t>i</w:t>
      </w:r>
      <w:r w:rsidRPr="006561E8">
        <w:rPr>
          <w:lang w:val="en-GB"/>
        </w:rPr>
        <w:t xml:space="preserve">um and ferroalloy factories, agglomeration and coal enrichment plants, </w:t>
      </w:r>
      <w:r w:rsidR="002B737D">
        <w:rPr>
          <w:lang w:val="en-GB"/>
        </w:rPr>
        <w:t>several</w:t>
      </w:r>
      <w:r w:rsidRPr="006561E8">
        <w:rPr>
          <w:lang w:val="en-GB"/>
        </w:rPr>
        <w:t xml:space="preserve"> mines and open pits, three major thermal power plants, and over 60 small boiler houses. Currently, the region is home to roughly 2.6 million people, exacerbating the challenges of ensuring environmental safety due to the presence of numerous mining and </w:t>
      </w:r>
      <w:r w:rsidRPr="006561E8">
        <w:rPr>
          <w:lang w:val="en-GB"/>
        </w:rPr>
        <w:lastRenderedPageBreak/>
        <w:t>metallurgical enterprises that provide employment opportunities but also pose environmental risks (</w:t>
      </w:r>
      <w:proofErr w:type="spellStart"/>
      <w:r w:rsidRPr="006561E8">
        <w:rPr>
          <w:lang w:val="en-GB"/>
        </w:rPr>
        <w:t>Levakova</w:t>
      </w:r>
      <w:proofErr w:type="spellEnd"/>
      <w:r w:rsidR="00B63D50">
        <w:rPr>
          <w:lang w:val="en-GB"/>
        </w:rPr>
        <w:t xml:space="preserve"> &amp;</w:t>
      </w:r>
      <w:r w:rsidRPr="006561E8">
        <w:rPr>
          <w:lang w:val="en-GB"/>
        </w:rPr>
        <w:t xml:space="preserve"> </w:t>
      </w:r>
      <w:proofErr w:type="spellStart"/>
      <w:r w:rsidRPr="006561E8">
        <w:rPr>
          <w:lang w:val="en-GB"/>
        </w:rPr>
        <w:t>Arustamov</w:t>
      </w:r>
      <w:proofErr w:type="spellEnd"/>
      <w:r w:rsidRPr="006561E8">
        <w:rPr>
          <w:lang w:val="en-GB"/>
        </w:rPr>
        <w:t xml:space="preserve"> 2019, </w:t>
      </w:r>
      <w:proofErr w:type="spellStart"/>
      <w:r w:rsidRPr="006561E8">
        <w:rPr>
          <w:lang w:val="en-GB"/>
        </w:rPr>
        <w:t>Galanina</w:t>
      </w:r>
      <w:proofErr w:type="spellEnd"/>
      <w:r w:rsidR="00B63D50">
        <w:rPr>
          <w:lang w:val="en-GB"/>
        </w:rPr>
        <w:t xml:space="preserve"> &amp;</w:t>
      </w:r>
      <w:r w:rsidRPr="006561E8">
        <w:rPr>
          <w:lang w:val="en-GB"/>
        </w:rPr>
        <w:t xml:space="preserve"> </w:t>
      </w:r>
      <w:proofErr w:type="spellStart"/>
      <w:r w:rsidRPr="006561E8">
        <w:rPr>
          <w:lang w:val="en-GB"/>
        </w:rPr>
        <w:t>Ovsiannikova</w:t>
      </w:r>
      <w:proofErr w:type="spellEnd"/>
      <w:r w:rsidRPr="006561E8">
        <w:rPr>
          <w:lang w:val="en-GB"/>
        </w:rPr>
        <w:t xml:space="preserve"> 2012).</w:t>
      </w:r>
    </w:p>
    <w:p w14:paraId="12971798" w14:textId="2ED93D40" w:rsidR="006561E8" w:rsidRPr="006561E8" w:rsidRDefault="006561E8" w:rsidP="006561E8">
      <w:pPr>
        <w:ind w:firstLine="284"/>
        <w:jc w:val="both"/>
        <w:rPr>
          <w:lang w:val="en-GB"/>
        </w:rPr>
      </w:pPr>
      <w:r w:rsidRPr="006561E8">
        <w:rPr>
          <w:lang w:val="en-GB"/>
        </w:rPr>
        <w:t xml:space="preserve">The </w:t>
      </w:r>
      <w:proofErr w:type="spellStart"/>
      <w:r w:rsidRPr="006561E8">
        <w:rPr>
          <w:lang w:val="en-GB"/>
        </w:rPr>
        <w:t>Kuzbass</w:t>
      </w:r>
      <w:proofErr w:type="spellEnd"/>
      <w:r w:rsidRPr="006561E8">
        <w:rPr>
          <w:lang w:val="en-GB"/>
        </w:rPr>
        <w:t xml:space="preserve"> region is characterized by vast lunar landscapes, which experts attribute to the lack of thoughtful and rational legislation, disregard for environmental safety principles, and wasteful practices. The region's overreliance on resource-dependent industries poses risks of resource depletion and environmental degradation (Ryabov</w:t>
      </w:r>
      <w:r w:rsidR="00B63D50">
        <w:rPr>
          <w:lang w:val="en-GB"/>
        </w:rPr>
        <w:t xml:space="preserve"> et al.</w:t>
      </w:r>
      <w:r w:rsidRPr="006561E8">
        <w:rPr>
          <w:lang w:val="en-GB"/>
        </w:rPr>
        <w:t xml:space="preserve"> 2018, </w:t>
      </w:r>
      <w:proofErr w:type="spellStart"/>
      <w:r w:rsidRPr="006561E8">
        <w:rPr>
          <w:lang w:val="en-GB"/>
        </w:rPr>
        <w:t>Zaushintsena</w:t>
      </w:r>
      <w:proofErr w:type="spellEnd"/>
      <w:r w:rsidR="00B63D50">
        <w:rPr>
          <w:lang w:val="en-GB"/>
        </w:rPr>
        <w:t xml:space="preserve"> &amp;</w:t>
      </w:r>
      <w:r w:rsidRPr="006561E8">
        <w:rPr>
          <w:lang w:val="en-GB"/>
        </w:rPr>
        <w:t xml:space="preserve"> </w:t>
      </w:r>
      <w:proofErr w:type="spellStart"/>
      <w:r w:rsidRPr="006561E8">
        <w:rPr>
          <w:lang w:val="en-GB"/>
        </w:rPr>
        <w:t>Koghevnikov</w:t>
      </w:r>
      <w:proofErr w:type="spellEnd"/>
      <w:r w:rsidRPr="006561E8">
        <w:rPr>
          <w:lang w:val="en-GB"/>
        </w:rPr>
        <w:t xml:space="preserve"> 2017, Pashkevich</w:t>
      </w:r>
      <w:r w:rsidR="00C6097C">
        <w:rPr>
          <w:lang w:val="en-GB"/>
        </w:rPr>
        <w:t xml:space="preserve"> &amp;</w:t>
      </w:r>
      <w:r w:rsidRPr="006561E8">
        <w:rPr>
          <w:lang w:val="en-GB"/>
        </w:rPr>
        <w:t xml:space="preserve"> Shuvalov 2006). Scientists evaluating the region's natural assets have found that the existing enterprises have a limited coal supply: the remaining resource in mines is projected to last for 47 years, while the open-pit mines are expected to be operational for 30 years. However, enterprise owners often strive to exceed production volumes if they acquire modern equipment. </w:t>
      </w:r>
      <w:r w:rsidRPr="00B23921">
        <w:rPr>
          <w:spacing w:val="-2"/>
          <w:lang w:val="en-GB"/>
        </w:rPr>
        <w:t>It would have been logical to invest the income generated from coal sales into shaping a non-resource-based future for the region, but unfortunately, this has not occurred. The rapid and often uncontrolled intensification of natural resource extraction, urbanization, and significant emissions have contributed to a critical and dangerous situation (</w:t>
      </w:r>
      <w:proofErr w:type="spellStart"/>
      <w:r w:rsidRPr="00B23921">
        <w:rPr>
          <w:spacing w:val="-2"/>
          <w:lang w:val="en-GB"/>
        </w:rPr>
        <w:t>Golokhvast</w:t>
      </w:r>
      <w:proofErr w:type="spellEnd"/>
      <w:r w:rsidRPr="00B23921">
        <w:rPr>
          <w:spacing w:val="-2"/>
          <w:lang w:val="en-GB"/>
        </w:rPr>
        <w:t xml:space="preserve"> et al. 2017, Smirnova</w:t>
      </w:r>
      <w:r w:rsidR="00C6097C">
        <w:rPr>
          <w:spacing w:val="-2"/>
          <w:lang w:val="en-GB"/>
        </w:rPr>
        <w:t xml:space="preserve"> &amp;</w:t>
      </w:r>
      <w:r w:rsidRPr="00B23921">
        <w:rPr>
          <w:spacing w:val="-2"/>
          <w:lang w:val="en-GB"/>
        </w:rPr>
        <w:t xml:space="preserve"> Larionov 2020, Smirnova</w:t>
      </w:r>
      <w:r w:rsidR="00C6097C">
        <w:rPr>
          <w:spacing w:val="-2"/>
          <w:lang w:val="en-GB"/>
        </w:rPr>
        <w:t xml:space="preserve"> &amp;</w:t>
      </w:r>
      <w:r w:rsidRPr="00B23921">
        <w:rPr>
          <w:spacing w:val="-2"/>
          <w:lang w:val="en-GB"/>
        </w:rPr>
        <w:t xml:space="preserve"> Larionova 2020).</w:t>
      </w:r>
    </w:p>
    <w:p w14:paraId="4970E581" w14:textId="44DF340F" w:rsidR="006561E8" w:rsidRPr="006561E8" w:rsidRDefault="006561E8" w:rsidP="006561E8">
      <w:pPr>
        <w:ind w:firstLine="284"/>
        <w:jc w:val="both"/>
        <w:rPr>
          <w:lang w:val="en-GB"/>
        </w:rPr>
      </w:pPr>
      <w:r w:rsidRPr="006561E8">
        <w:rPr>
          <w:lang w:val="en-GB"/>
        </w:rPr>
        <w:t xml:space="preserve">In the 1990s, Kemerovo ranked third in terms of pollution levels. </w:t>
      </w:r>
      <w:r w:rsidR="002B737D">
        <w:rPr>
          <w:lang w:val="en-GB"/>
        </w:rPr>
        <w:t>T</w:t>
      </w:r>
      <w:r w:rsidRPr="006561E8">
        <w:rPr>
          <w:lang w:val="en-GB"/>
        </w:rPr>
        <w:t>he city constantly grapples with smog and is considered an "ecological disaster zone." This issue is mainly attributed to its unfavo</w:t>
      </w:r>
      <w:r w:rsidR="002B737D">
        <w:rPr>
          <w:lang w:val="en-GB"/>
        </w:rPr>
        <w:t>u</w:t>
      </w:r>
      <w:r w:rsidRPr="006561E8">
        <w:rPr>
          <w:lang w:val="en-GB"/>
        </w:rPr>
        <w:t xml:space="preserve">rable location, which results in the accumulation of industrial emissions </w:t>
      </w:r>
      <w:r w:rsidR="002B737D">
        <w:rPr>
          <w:lang w:val="en-GB"/>
        </w:rPr>
        <w:t>in</w:t>
      </w:r>
      <w:r w:rsidRPr="006561E8">
        <w:rPr>
          <w:lang w:val="en-GB"/>
        </w:rPr>
        <w:t xml:space="preserve"> the city. Air pollution is the most pressing problem in the region, with cities such as Kemerovo, Novokuznetsk, and Prokopyevsk consistently ranking high on the list of most polluted urban areas in the country. On average, stationary and mobile sources contribute to the emission of almost 2 (1718.8) million tons of pollutants into the atmosphere of Kemerovo and the Kemerovo region (</w:t>
      </w:r>
      <w:proofErr w:type="spellStart"/>
      <w:r w:rsidRPr="006561E8">
        <w:rPr>
          <w:lang w:val="en-GB"/>
        </w:rPr>
        <w:t>Levakova</w:t>
      </w:r>
      <w:proofErr w:type="spellEnd"/>
      <w:r w:rsidR="00C6097C">
        <w:rPr>
          <w:lang w:val="en-GB"/>
        </w:rPr>
        <w:t xml:space="preserve"> &amp;</w:t>
      </w:r>
      <w:r w:rsidRPr="006561E8">
        <w:rPr>
          <w:lang w:val="en-GB"/>
        </w:rPr>
        <w:t xml:space="preserve"> </w:t>
      </w:r>
      <w:proofErr w:type="spellStart"/>
      <w:r w:rsidRPr="006561E8">
        <w:rPr>
          <w:lang w:val="en-GB"/>
        </w:rPr>
        <w:t>Arustamov</w:t>
      </w:r>
      <w:proofErr w:type="spellEnd"/>
      <w:r w:rsidRPr="006561E8">
        <w:rPr>
          <w:lang w:val="en-GB"/>
        </w:rPr>
        <w:t xml:space="preserve"> 2019).</w:t>
      </w:r>
    </w:p>
    <w:p w14:paraId="0B21640D" w14:textId="2508D565" w:rsidR="006561E8" w:rsidRPr="006561E8" w:rsidRDefault="006561E8" w:rsidP="006561E8">
      <w:pPr>
        <w:ind w:firstLine="284"/>
        <w:jc w:val="both"/>
        <w:rPr>
          <w:lang w:val="en-GB"/>
        </w:rPr>
      </w:pPr>
      <w:r w:rsidRPr="006561E8">
        <w:rPr>
          <w:lang w:val="en-GB"/>
        </w:rPr>
        <w:t xml:space="preserve">It is important to note that the majority of emissions in the Kemerovo region consist of extremely hazardous and highly dangerous substances, with carbon monoxide (51.6%), sulfuric anhydride (15%), nitrogen oxides (8%), hydrocarbons (3.5%), and suspended solids being the main pollutants. The largest contributors to emissions in </w:t>
      </w:r>
      <w:r w:rsidR="002B737D">
        <w:rPr>
          <w:lang w:val="en-GB"/>
        </w:rPr>
        <w:t>Kemerovo are energy enterprises, chemical and petrochemical industries,</w:t>
      </w:r>
      <w:r w:rsidRPr="006561E8">
        <w:rPr>
          <w:lang w:val="en-GB"/>
        </w:rPr>
        <w:t xml:space="preserve"> and ferrous metallurgy enterprises. It is evident that atmospheric pollution from coal mining (Kemerovo region) is directly linked to the </w:t>
      </w:r>
      <w:r w:rsidR="002B737D">
        <w:rPr>
          <w:lang w:val="en-GB"/>
        </w:rPr>
        <w:t>production volume</w:t>
      </w:r>
      <w:r w:rsidRPr="006561E8">
        <w:rPr>
          <w:lang w:val="en-GB"/>
        </w:rPr>
        <w:t>, with each thousand tons of coal mined leading to the emission of approximately 2.17 tons of harmful substances into the atmosphere (Nevzorov</w:t>
      </w:r>
      <w:r w:rsidR="00C6097C">
        <w:rPr>
          <w:lang w:val="en-GB"/>
        </w:rPr>
        <w:t xml:space="preserve"> &amp;</w:t>
      </w:r>
      <w:r w:rsidRPr="006561E8">
        <w:rPr>
          <w:lang w:val="en-GB"/>
        </w:rPr>
        <w:t xml:space="preserve"> </w:t>
      </w:r>
      <w:proofErr w:type="spellStart"/>
      <w:r w:rsidRPr="006561E8">
        <w:rPr>
          <w:lang w:val="en-GB"/>
        </w:rPr>
        <w:t>Manakov</w:t>
      </w:r>
      <w:proofErr w:type="spellEnd"/>
      <w:r w:rsidRPr="006561E8">
        <w:rPr>
          <w:lang w:val="en-GB"/>
        </w:rPr>
        <w:t xml:space="preserve"> 2017).</w:t>
      </w:r>
    </w:p>
    <w:p w14:paraId="1B080690" w14:textId="1E688D27" w:rsidR="006561E8" w:rsidRPr="006561E8" w:rsidRDefault="006561E8" w:rsidP="006561E8">
      <w:pPr>
        <w:ind w:firstLine="284"/>
        <w:jc w:val="both"/>
        <w:rPr>
          <w:lang w:val="en-GB"/>
        </w:rPr>
      </w:pPr>
      <w:r w:rsidRPr="006561E8">
        <w:rPr>
          <w:lang w:val="en-GB"/>
        </w:rPr>
        <w:t>However, the current legislation in Russia primarily focuses on regulating stationary sources of pollution, which is inadequate when estimating emissions in urban environments where transportation is a major contributor. There is a significant lack of control over emissions from mobile vehicles. Existing systems for mode</w:t>
      </w:r>
      <w:r w:rsidR="002B737D">
        <w:rPr>
          <w:lang w:val="en-GB"/>
        </w:rPr>
        <w:t>l</w:t>
      </w:r>
      <w:r w:rsidRPr="006561E8">
        <w:rPr>
          <w:lang w:val="en-GB"/>
        </w:rPr>
        <w:t>ling emissions, such as the Unified Program for the Calculation of Atmospheric Pollution (UPRZA "Ecologist" v. 4.70), provide calculations on the dispersion of pollutants in the air. Although UPRZA is relevant and aligned with current methods and standards, it does not fully address the issue of forecasting air pollution in the city</w:t>
      </w:r>
      <w:r w:rsidR="002B737D">
        <w:rPr>
          <w:lang w:val="en-GB"/>
        </w:rPr>
        <w:t>,</w:t>
      </w:r>
      <w:r w:rsidRPr="006561E8">
        <w:rPr>
          <w:lang w:val="en-GB"/>
        </w:rPr>
        <w:t xml:space="preserve"> as its calculations are not comprehensive.</w:t>
      </w:r>
    </w:p>
    <w:p w14:paraId="1DF092DD" w14:textId="27EFCA96" w:rsidR="006561E8" w:rsidRPr="006561E8" w:rsidRDefault="006561E8" w:rsidP="006561E8">
      <w:pPr>
        <w:ind w:firstLine="284"/>
        <w:jc w:val="both"/>
        <w:rPr>
          <w:lang w:val="en-GB"/>
        </w:rPr>
      </w:pPr>
      <w:r w:rsidRPr="006561E8">
        <w:rPr>
          <w:lang w:val="en-GB"/>
        </w:rPr>
        <w:t>To address these challenges and ensure environmental safety in urban atmospheric conditions, the author presents the objective of developing a model capable of predicting criteria related to environmental safety. Such a model would be crucial in effectively managing and mitigating air pollution in the Kemerovo and Kemerovo region.</w:t>
      </w:r>
    </w:p>
    <w:p w14:paraId="5505A80D" w14:textId="77777777" w:rsidR="006561E8" w:rsidRPr="006561E8" w:rsidRDefault="006561E8" w:rsidP="006561E8">
      <w:pPr>
        <w:pStyle w:val="Rn1"/>
        <w:rPr>
          <w:lang w:val="en-GB"/>
        </w:rPr>
      </w:pPr>
      <w:r w:rsidRPr="006561E8">
        <w:rPr>
          <w:lang w:val="en-GB"/>
        </w:rPr>
        <w:t>2. Materials and Methods</w:t>
      </w:r>
    </w:p>
    <w:p w14:paraId="550CE738" w14:textId="53FAA7BA" w:rsidR="006561E8" w:rsidRPr="006561E8" w:rsidRDefault="006561E8" w:rsidP="006561E8">
      <w:pPr>
        <w:pStyle w:val="Rn2"/>
        <w:rPr>
          <w:lang w:val="en-GB"/>
        </w:rPr>
      </w:pPr>
      <w:r w:rsidRPr="006561E8">
        <w:rPr>
          <w:lang w:val="en-GB"/>
        </w:rPr>
        <w:t>2.1</w:t>
      </w:r>
      <w:r w:rsidR="000F468A">
        <w:rPr>
          <w:lang w:val="en-GB"/>
        </w:rPr>
        <w:t>.</w:t>
      </w:r>
      <w:r w:rsidRPr="006561E8">
        <w:rPr>
          <w:lang w:val="en-GB"/>
        </w:rPr>
        <w:t xml:space="preserve"> Model analyses</w:t>
      </w:r>
    </w:p>
    <w:p w14:paraId="6B0F29C8" w14:textId="00D47B11" w:rsidR="006561E8" w:rsidRPr="006561E8" w:rsidRDefault="002B737D" w:rsidP="006561E8">
      <w:pPr>
        <w:ind w:firstLine="284"/>
        <w:jc w:val="both"/>
        <w:rPr>
          <w:lang w:val="en-GB"/>
        </w:rPr>
      </w:pPr>
      <w:r>
        <w:rPr>
          <w:lang w:val="en-GB"/>
        </w:rPr>
        <w:t>T</w:t>
      </w:r>
      <w:r w:rsidR="006561E8" w:rsidRPr="006561E8">
        <w:rPr>
          <w:lang w:val="en-GB"/>
        </w:rPr>
        <w:t>hree important tests were conducted: model calibration, model validation, and sensitivity testing (Xing</w:t>
      </w:r>
      <w:r w:rsidR="00C6097C">
        <w:rPr>
          <w:lang w:val="en-GB"/>
        </w:rPr>
        <w:t xml:space="preserve"> et</w:t>
      </w:r>
      <w:r w:rsidR="00CD105C">
        <w:rPr>
          <w:lang w:val="en-GB"/>
        </w:rPr>
        <w:t> </w:t>
      </w:r>
      <w:r w:rsidR="00C6097C">
        <w:rPr>
          <w:lang w:val="en-GB"/>
        </w:rPr>
        <w:t>al.</w:t>
      </w:r>
      <w:r w:rsidR="006561E8" w:rsidRPr="006561E8">
        <w:rPr>
          <w:lang w:val="en-GB"/>
        </w:rPr>
        <w:t xml:space="preserve"> 2019)</w:t>
      </w:r>
      <w:r>
        <w:rPr>
          <w:lang w:val="en-GB"/>
        </w:rPr>
        <w:t>,</w:t>
      </w:r>
      <w:r w:rsidRPr="002B737D">
        <w:rPr>
          <w:lang w:val="en-GB"/>
        </w:rPr>
        <w:t xml:space="preserve"> </w:t>
      </w:r>
      <w:r>
        <w:rPr>
          <w:lang w:val="en-GB"/>
        </w:rPr>
        <w:t>t</w:t>
      </w:r>
      <w:r w:rsidRPr="006561E8">
        <w:rPr>
          <w:lang w:val="en-GB"/>
        </w:rPr>
        <w:t>o ensure the validity of the model structure</w:t>
      </w:r>
    </w:p>
    <w:p w14:paraId="3FC2C0B6" w14:textId="0E62D765" w:rsidR="006561E8" w:rsidRPr="006561E8" w:rsidRDefault="006561E8" w:rsidP="006561E8">
      <w:pPr>
        <w:pStyle w:val="Rn3"/>
        <w:rPr>
          <w:lang w:val="en-GB"/>
        </w:rPr>
      </w:pPr>
      <w:r w:rsidRPr="006561E8">
        <w:rPr>
          <w:lang w:val="en-GB"/>
        </w:rPr>
        <w:t>2.1.1</w:t>
      </w:r>
      <w:r w:rsidR="00C00908">
        <w:rPr>
          <w:lang w:val="en-GB"/>
        </w:rPr>
        <w:t>.</w:t>
      </w:r>
      <w:r w:rsidRPr="006561E8">
        <w:rPr>
          <w:lang w:val="en-GB"/>
        </w:rPr>
        <w:t xml:space="preserve"> Calibration</w:t>
      </w:r>
    </w:p>
    <w:p w14:paraId="2D67E50E" w14:textId="1FAF6D83" w:rsidR="006561E8" w:rsidRPr="006561E8" w:rsidRDefault="006561E8" w:rsidP="006561E8">
      <w:pPr>
        <w:ind w:firstLine="284"/>
        <w:jc w:val="both"/>
        <w:rPr>
          <w:lang w:val="en-GB"/>
        </w:rPr>
      </w:pPr>
      <w:r w:rsidRPr="006561E8">
        <w:rPr>
          <w:lang w:val="en-GB"/>
        </w:rPr>
        <w:t xml:space="preserve">Calibration provides values for unknown parameters </w:t>
      </w:r>
      <w:r w:rsidR="002B737D">
        <w:rPr>
          <w:lang w:val="en-GB"/>
        </w:rPr>
        <w:t>not</w:t>
      </w:r>
      <w:r w:rsidRPr="006561E8">
        <w:rPr>
          <w:lang w:val="en-GB"/>
        </w:rPr>
        <w:t xml:space="preserve"> considered in the model (Batty 2009). </w:t>
      </w:r>
      <w:r w:rsidR="002B737D">
        <w:rPr>
          <w:lang w:val="en-GB"/>
        </w:rPr>
        <w:t>A</w:t>
      </w:r>
      <w:r w:rsidRPr="006561E8">
        <w:rPr>
          <w:lang w:val="en-GB"/>
        </w:rPr>
        <w:t xml:space="preserve"> calibration index was included</w:t>
      </w:r>
      <w:r w:rsidR="002B737D" w:rsidRPr="002B737D">
        <w:rPr>
          <w:lang w:val="en-GB"/>
        </w:rPr>
        <w:t xml:space="preserve"> </w:t>
      </w:r>
      <w:r w:rsidR="002B737D">
        <w:rPr>
          <w:lang w:val="en-GB"/>
        </w:rPr>
        <w:t>t</w:t>
      </w:r>
      <w:r w:rsidR="002B737D" w:rsidRPr="006561E8">
        <w:rPr>
          <w:lang w:val="en-GB"/>
        </w:rPr>
        <w:t>o set an acceptable value for each sector of the model</w:t>
      </w:r>
      <w:r w:rsidRPr="006561E8">
        <w:rPr>
          <w:lang w:val="en-GB"/>
        </w:rPr>
        <w:t xml:space="preserve">. Predictions were divided into two parts. The first part of 2022 was used for model calibration, </w:t>
      </w:r>
      <w:r w:rsidR="002B737D">
        <w:rPr>
          <w:lang w:val="en-GB"/>
        </w:rPr>
        <w:t>then validated</w:t>
      </w:r>
      <w:r w:rsidRPr="006561E8">
        <w:rPr>
          <w:lang w:val="en-GB"/>
        </w:rPr>
        <w:t xml:space="preserve"> with the second part data for 2023 (Luo et al. 2010). Thus, data for 2022 was initial year data.</w:t>
      </w:r>
    </w:p>
    <w:p w14:paraId="05CB02E3" w14:textId="5767A8C8" w:rsidR="006561E8" w:rsidRPr="006561E8" w:rsidRDefault="006561E8" w:rsidP="006561E8">
      <w:pPr>
        <w:ind w:firstLine="284"/>
        <w:jc w:val="both"/>
        <w:rPr>
          <w:lang w:val="en-GB"/>
        </w:rPr>
      </w:pPr>
      <w:r w:rsidRPr="006561E8">
        <w:rPr>
          <w:lang w:val="en-GB"/>
        </w:rPr>
        <w:t xml:space="preserve">For calibration as an additional parameter to optimize values of Particulate Matter Emissions (PM emissions) results for minimizing the difference between actual and simulated values a calibration rate (index) </w:t>
      </w:r>
      <w:r w:rsidR="002B737D" w:rsidRPr="006561E8">
        <w:rPr>
          <w:lang w:val="en-GB"/>
        </w:rPr>
        <w:t xml:space="preserve">was applied </w:t>
      </w:r>
      <w:r w:rsidRPr="006561E8">
        <w:rPr>
          <w:lang w:val="en-GB"/>
        </w:rPr>
        <w:t>(Pinto</w:t>
      </w:r>
      <w:r w:rsidR="00C6097C">
        <w:rPr>
          <w:lang w:val="en-GB"/>
        </w:rPr>
        <w:t xml:space="preserve"> et al.</w:t>
      </w:r>
      <w:r w:rsidRPr="006561E8">
        <w:rPr>
          <w:lang w:val="en-GB"/>
        </w:rPr>
        <w:t xml:space="preserve"> 2017):</w:t>
      </w:r>
    </w:p>
    <w:p w14:paraId="583A65CD" w14:textId="582B0F38" w:rsidR="006561E8" w:rsidRPr="006561E8" w:rsidRDefault="00000000" w:rsidP="00E9412D">
      <w:pPr>
        <w:tabs>
          <w:tab w:val="right" w:pos="9638"/>
        </w:tabs>
        <w:spacing w:before="120" w:after="120"/>
        <w:ind w:left="2977" w:firstLine="0"/>
        <w:rPr>
          <w:lang w:val="en-GB"/>
        </w:rPr>
      </w:pPr>
      <w:r>
        <w:rPr>
          <w:rFonts w:eastAsia="SimSun"/>
          <w:bCs/>
          <w:iCs/>
          <w:position w:val="-26"/>
        </w:rPr>
        <w:pict w14:anchorId="09D1F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7pt;height:30.05pt">
            <v:imagedata r:id="rId7" o:title=""/>
          </v:shape>
        </w:pict>
      </w:r>
      <w:r w:rsidR="006561E8" w:rsidRPr="006561E8">
        <w:rPr>
          <w:lang w:val="en-GB"/>
        </w:rPr>
        <w:t xml:space="preserve">, </w:t>
      </w:r>
      <w:r w:rsidR="006561E8" w:rsidRPr="006561E8">
        <w:rPr>
          <w:lang w:val="en-GB"/>
        </w:rPr>
        <w:tab/>
        <w:t>(1)</w:t>
      </w:r>
    </w:p>
    <w:p w14:paraId="5360512C" w14:textId="75DBD3EA" w:rsidR="006561E8" w:rsidRPr="006561E8" w:rsidRDefault="006561E8" w:rsidP="006561E8">
      <w:pPr>
        <w:ind w:firstLine="0"/>
        <w:rPr>
          <w:lang w:val="en-GB"/>
        </w:rPr>
      </w:pPr>
      <w:r w:rsidRPr="006561E8">
        <w:rPr>
          <w:lang w:val="en-GB"/>
        </w:rPr>
        <w:t xml:space="preserve">where </w:t>
      </w:r>
      <w:r w:rsidRPr="006561E8">
        <w:rPr>
          <w:rFonts w:ascii="Cambria Math" w:hAnsi="Cambria Math" w:cs="Cambria Math"/>
          <w:lang w:val="en-GB"/>
        </w:rPr>
        <w:t>𝑎𝑐𝑡𝑢𝑎𝑙</w:t>
      </w:r>
      <w:r w:rsidRPr="006561E8">
        <w:rPr>
          <w:lang w:val="en-GB"/>
        </w:rPr>
        <w:t xml:space="preserve"> is </w:t>
      </w:r>
      <w:r w:rsidR="002B737D">
        <w:rPr>
          <w:lang w:val="en-GB"/>
        </w:rPr>
        <w:t xml:space="preserve">the </w:t>
      </w:r>
      <w:r w:rsidRPr="006561E8">
        <w:rPr>
          <w:lang w:val="en-GB"/>
        </w:rPr>
        <w:t>actual data value,</w:t>
      </w:r>
      <w:r w:rsidR="003D0E03">
        <w:rPr>
          <w:lang w:val="en-GB"/>
        </w:rPr>
        <w:t xml:space="preserve"> </w:t>
      </w:r>
      <w:r w:rsidR="003D0E03" w:rsidRPr="003D0E03">
        <w:rPr>
          <w:i/>
          <w:iCs/>
          <w:lang w:val="en-GB"/>
        </w:rPr>
        <w:t>predicted</w:t>
      </w:r>
      <w:r w:rsidRPr="003D0E03">
        <w:rPr>
          <w:rFonts w:cs="Times New Roman"/>
          <w:lang w:val="en-GB"/>
        </w:rPr>
        <w:t xml:space="preserve"> </w:t>
      </w:r>
      <w:r w:rsidRPr="006561E8">
        <w:rPr>
          <w:lang w:val="en-GB"/>
        </w:rPr>
        <w:t xml:space="preserve">is </w:t>
      </w:r>
      <w:r w:rsidR="002B737D">
        <w:rPr>
          <w:lang w:val="en-GB"/>
        </w:rPr>
        <w:t xml:space="preserve">the </w:t>
      </w:r>
      <w:r w:rsidRPr="006561E8">
        <w:rPr>
          <w:lang w:val="en-GB"/>
        </w:rPr>
        <w:t>simulated data value.</w:t>
      </w:r>
    </w:p>
    <w:p w14:paraId="3116EDCF" w14:textId="00EE0301" w:rsidR="006561E8" w:rsidRPr="006561E8" w:rsidRDefault="006561E8" w:rsidP="006561E8">
      <w:pPr>
        <w:pStyle w:val="Rn3"/>
        <w:rPr>
          <w:lang w:val="en-GB"/>
        </w:rPr>
      </w:pPr>
      <w:r w:rsidRPr="006561E8">
        <w:rPr>
          <w:lang w:val="en-GB"/>
        </w:rPr>
        <w:lastRenderedPageBreak/>
        <w:t>2.1.2</w:t>
      </w:r>
      <w:r w:rsidR="00C00908">
        <w:rPr>
          <w:lang w:val="en-GB"/>
        </w:rPr>
        <w:t>.</w:t>
      </w:r>
      <w:r w:rsidRPr="006561E8">
        <w:rPr>
          <w:lang w:val="en-GB"/>
        </w:rPr>
        <w:t xml:space="preserve"> Validation</w:t>
      </w:r>
    </w:p>
    <w:p w14:paraId="57ADFC75" w14:textId="6AB036A9" w:rsidR="006561E8" w:rsidRPr="006561E8" w:rsidRDefault="006561E8" w:rsidP="006561E8">
      <w:pPr>
        <w:ind w:firstLine="284"/>
        <w:jc w:val="both"/>
        <w:rPr>
          <w:lang w:val="en-GB"/>
        </w:rPr>
      </w:pPr>
      <w:r w:rsidRPr="006561E8">
        <w:rPr>
          <w:lang w:val="en-GB"/>
        </w:rPr>
        <w:t xml:space="preserve">The Simulation Error coefficient (hereafter SER) is widely used to evaluate the performance of an environmental dynamic model for model validation. SER measures the difference between model predictions and observed data and can be used to assess the accuracy of model simulations. Thus, SER can be used to optimize model parameters and reduce prediction errors (Xu et al. 2015). </w:t>
      </w:r>
      <w:r w:rsidR="002B737D">
        <w:rPr>
          <w:lang w:val="en-GB"/>
        </w:rPr>
        <w:t>P</w:t>
      </w:r>
      <w:r w:rsidRPr="006561E8">
        <w:rPr>
          <w:lang w:val="en-GB"/>
        </w:rPr>
        <w:t>redicted values can be compared with actual data from 2022</w:t>
      </w:r>
      <w:r w:rsidR="002B737D" w:rsidRPr="002B737D">
        <w:rPr>
          <w:lang w:val="en-GB"/>
        </w:rPr>
        <w:t xml:space="preserve"> </w:t>
      </w:r>
      <w:r w:rsidR="002B737D">
        <w:rPr>
          <w:lang w:val="en-GB"/>
        </w:rPr>
        <w:t>t</w:t>
      </w:r>
      <w:r w:rsidR="002B737D" w:rsidRPr="006561E8">
        <w:rPr>
          <w:lang w:val="en-GB"/>
        </w:rPr>
        <w:t>o determine the accuracy of the simulation</w:t>
      </w:r>
      <w:r w:rsidRPr="006561E8">
        <w:rPr>
          <w:lang w:val="en-GB"/>
        </w:rPr>
        <w:t xml:space="preserve">. If the simulation error rate is low and the errors are less than 10%, then </w:t>
      </w:r>
      <w:r w:rsidR="002B737D">
        <w:rPr>
          <w:lang w:val="en-GB"/>
        </w:rPr>
        <w:t xml:space="preserve">it </w:t>
      </w:r>
      <w:r w:rsidRPr="006561E8">
        <w:rPr>
          <w:lang w:val="en-GB"/>
        </w:rPr>
        <w:t xml:space="preserve">can be concluded that the sector has passed the validation test and can be considered an effective model sector (Liu </w:t>
      </w:r>
      <w:r w:rsidR="00C6097C">
        <w:rPr>
          <w:lang w:val="en-GB"/>
        </w:rPr>
        <w:t>et al.</w:t>
      </w:r>
      <w:r w:rsidRPr="006561E8">
        <w:rPr>
          <w:lang w:val="en-GB"/>
        </w:rPr>
        <w:t xml:space="preserve"> 2020). </w:t>
      </w:r>
      <w:r w:rsidR="002B737D">
        <w:rPr>
          <w:lang w:val="en-GB"/>
        </w:rPr>
        <w:t>D</w:t>
      </w:r>
      <w:r w:rsidRPr="006561E8">
        <w:rPr>
          <w:lang w:val="en-GB"/>
        </w:rPr>
        <w:t xml:space="preserve">ata </w:t>
      </w:r>
      <w:r w:rsidR="002B737D">
        <w:rPr>
          <w:lang w:val="en-GB"/>
        </w:rPr>
        <w:t>from</w:t>
      </w:r>
      <w:r w:rsidRPr="006561E8">
        <w:rPr>
          <w:lang w:val="en-GB"/>
        </w:rPr>
        <w:t xml:space="preserve"> 2023</w:t>
      </w:r>
      <w:r w:rsidR="002B737D" w:rsidRPr="006561E8">
        <w:rPr>
          <w:lang w:val="en-GB"/>
        </w:rPr>
        <w:t xml:space="preserve"> was used</w:t>
      </w:r>
      <w:r w:rsidR="002B737D" w:rsidRPr="002B737D">
        <w:rPr>
          <w:lang w:val="en-GB"/>
        </w:rPr>
        <w:t xml:space="preserve"> </w:t>
      </w:r>
      <w:r w:rsidR="002B737D">
        <w:rPr>
          <w:lang w:val="en-GB"/>
        </w:rPr>
        <w:t>t</w:t>
      </w:r>
      <w:r w:rsidR="002B737D" w:rsidRPr="006561E8">
        <w:rPr>
          <w:lang w:val="en-GB"/>
        </w:rPr>
        <w:t>o validate data of further predictions</w:t>
      </w:r>
      <w:r w:rsidRPr="006561E8">
        <w:rPr>
          <w:lang w:val="en-GB"/>
        </w:rPr>
        <w:t>. T</w:t>
      </w:r>
      <w:r w:rsidR="002B737D">
        <w:rPr>
          <w:lang w:val="en-GB"/>
        </w:rPr>
        <w:t>he mean of the percentage difference was used to evaluate a simulation error rat</w:t>
      </w:r>
      <w:r w:rsidRPr="006561E8">
        <w:rPr>
          <w:lang w:val="en-GB"/>
        </w:rPr>
        <w:t>e (Xing</w:t>
      </w:r>
      <w:r w:rsidR="00C6097C">
        <w:rPr>
          <w:lang w:val="en-GB"/>
        </w:rPr>
        <w:t xml:space="preserve"> et al.</w:t>
      </w:r>
      <w:r w:rsidRPr="006561E8">
        <w:rPr>
          <w:lang w:val="en-GB"/>
        </w:rPr>
        <w:t xml:space="preserve"> 2019). The mean of the absolute difference (hereafter MAD) represents </w:t>
      </w:r>
      <w:r w:rsidR="002B737D">
        <w:rPr>
          <w:lang w:val="en-GB"/>
        </w:rPr>
        <w:t xml:space="preserve">the </w:t>
      </w:r>
      <w:r w:rsidRPr="006561E8">
        <w:rPr>
          <w:lang w:val="en-GB"/>
        </w:rPr>
        <w:t>next equation:</w:t>
      </w:r>
    </w:p>
    <w:p w14:paraId="48BB01AD" w14:textId="3C6C9032" w:rsidR="006561E8" w:rsidRPr="006561E8" w:rsidRDefault="006561E8" w:rsidP="00E9412D">
      <w:pPr>
        <w:tabs>
          <w:tab w:val="right" w:pos="9638"/>
        </w:tabs>
        <w:spacing w:before="120" w:after="120"/>
        <w:ind w:left="3119" w:firstLine="0"/>
        <w:rPr>
          <w:lang w:val="en-GB"/>
        </w:rPr>
      </w:pPr>
      <w:r w:rsidRPr="00FA086B">
        <w:rPr>
          <w:bCs/>
          <w:iCs/>
          <w:position w:val="-12"/>
        </w:rPr>
        <w:object w:dxaOrig="3040" w:dyaOrig="340" w14:anchorId="1ADA1BE3">
          <v:shape id="_x0000_i1026" type="#_x0000_t75" style="width:151.5pt;height:17.25pt" o:ole="">
            <v:imagedata r:id="rId8" o:title=""/>
          </v:shape>
          <o:OLEObject Type="Embed" ProgID="Equation.DSMT4" ShapeID="_x0000_i1026" DrawAspect="Content" ObjectID="_1760167200" r:id="rId9"/>
        </w:object>
      </w:r>
      <w:r w:rsidRPr="006561E8">
        <w:rPr>
          <w:lang w:val="en-GB"/>
        </w:rPr>
        <w:t xml:space="preserve"> </w:t>
      </w:r>
      <w:r w:rsidRPr="006561E8">
        <w:rPr>
          <w:lang w:val="en-GB"/>
        </w:rPr>
        <w:tab/>
        <w:t>(2)</w:t>
      </w:r>
    </w:p>
    <w:p w14:paraId="493C1646" w14:textId="77777777" w:rsidR="006561E8" w:rsidRPr="006561E8" w:rsidRDefault="006561E8" w:rsidP="006561E8">
      <w:pPr>
        <w:ind w:firstLine="0"/>
        <w:rPr>
          <w:lang w:val="en-GB"/>
        </w:rPr>
      </w:pPr>
      <w:r w:rsidRPr="006561E8">
        <w:rPr>
          <w:lang w:val="en-GB"/>
        </w:rPr>
        <w:t>The Mean Absolute Percentage Error (MAPE) is represented by equation 3 (%):</w:t>
      </w:r>
    </w:p>
    <w:p w14:paraId="212F5FC3" w14:textId="7298E96E" w:rsidR="006561E8" w:rsidRPr="006561E8" w:rsidRDefault="006561E8" w:rsidP="00E9412D">
      <w:pPr>
        <w:tabs>
          <w:tab w:val="right" w:pos="9638"/>
        </w:tabs>
        <w:spacing w:before="120" w:after="120"/>
        <w:ind w:left="2977" w:firstLine="0"/>
        <w:rPr>
          <w:lang w:val="en-GB"/>
        </w:rPr>
      </w:pPr>
      <w:r w:rsidRPr="00FA086B">
        <w:rPr>
          <w:bCs/>
          <w:iCs/>
          <w:position w:val="-22"/>
        </w:rPr>
        <w:object w:dxaOrig="3340" w:dyaOrig="560" w14:anchorId="37988E53">
          <v:shape id="_x0000_i1027" type="#_x0000_t75" style="width:166.95pt;height:28.7pt" o:ole="">
            <v:imagedata r:id="rId10" o:title=""/>
          </v:shape>
          <o:OLEObject Type="Embed" ProgID="Equation.DSMT4" ShapeID="_x0000_i1027" DrawAspect="Content" ObjectID="_1760167201" r:id="rId11"/>
        </w:object>
      </w:r>
      <w:r w:rsidRPr="006561E8">
        <w:rPr>
          <w:lang w:val="en-GB"/>
        </w:rPr>
        <w:t xml:space="preserve"> </w:t>
      </w:r>
      <w:r w:rsidRPr="006561E8">
        <w:rPr>
          <w:lang w:val="en-GB"/>
        </w:rPr>
        <w:tab/>
        <w:t>(3)</w:t>
      </w:r>
    </w:p>
    <w:p w14:paraId="317977A2" w14:textId="45F5F183" w:rsidR="006561E8" w:rsidRPr="006561E8" w:rsidRDefault="006561E8" w:rsidP="006561E8">
      <w:pPr>
        <w:pStyle w:val="Rn3"/>
        <w:rPr>
          <w:lang w:val="en-GB"/>
        </w:rPr>
      </w:pPr>
      <w:r w:rsidRPr="006561E8">
        <w:rPr>
          <w:lang w:val="en-GB"/>
        </w:rPr>
        <w:t>2.1.3</w:t>
      </w:r>
      <w:r w:rsidR="00C00908">
        <w:rPr>
          <w:lang w:val="en-GB"/>
        </w:rPr>
        <w:t>.</w:t>
      </w:r>
      <w:r w:rsidRPr="006561E8">
        <w:rPr>
          <w:lang w:val="en-GB"/>
        </w:rPr>
        <w:t xml:space="preserve"> Sensitivity analyses</w:t>
      </w:r>
    </w:p>
    <w:p w14:paraId="1BEF59BF" w14:textId="44C8BEA0" w:rsidR="006561E8" w:rsidRPr="006561E8" w:rsidRDefault="002B737D" w:rsidP="006561E8">
      <w:pPr>
        <w:ind w:firstLine="284"/>
        <w:jc w:val="both"/>
        <w:rPr>
          <w:lang w:val="en-GB"/>
        </w:rPr>
      </w:pPr>
      <w:r>
        <w:rPr>
          <w:lang w:val="en-GB"/>
        </w:rPr>
        <w:t>S</w:t>
      </w:r>
      <w:r w:rsidR="006561E8" w:rsidRPr="006561E8">
        <w:rPr>
          <w:lang w:val="en-GB"/>
        </w:rPr>
        <w:t>ensitivity analysis was used</w:t>
      </w:r>
      <w:r w:rsidRPr="002B737D">
        <w:rPr>
          <w:lang w:val="en-GB"/>
        </w:rPr>
        <w:t xml:space="preserve"> </w:t>
      </w:r>
      <w:r>
        <w:rPr>
          <w:lang w:val="en-GB"/>
        </w:rPr>
        <w:t>t</w:t>
      </w:r>
      <w:r w:rsidRPr="006561E8">
        <w:rPr>
          <w:lang w:val="en-GB"/>
        </w:rPr>
        <w:t>o validate data from 2023</w:t>
      </w:r>
      <w:r w:rsidR="006561E8" w:rsidRPr="006561E8">
        <w:rPr>
          <w:lang w:val="en-GB"/>
        </w:rPr>
        <w:t>. Sensitivity analysis is conducted to determine how changes in the initial parameters affect the model. Sensitivity analysis shows the model response to small changes. The method is mainly used to identify the key input data of the model and the associated variability in model predictions.</w:t>
      </w:r>
    </w:p>
    <w:p w14:paraId="4852AA56" w14:textId="77777777" w:rsidR="006561E8" w:rsidRPr="006561E8" w:rsidRDefault="006561E8" w:rsidP="006561E8">
      <w:pPr>
        <w:ind w:firstLine="284"/>
        <w:jc w:val="both"/>
        <w:rPr>
          <w:lang w:val="en-GB"/>
        </w:rPr>
      </w:pPr>
      <w:r w:rsidRPr="006561E8">
        <w:rPr>
          <w:lang w:val="en-GB"/>
        </w:rPr>
        <w:t>The steps of the sensitivity analyses:</w:t>
      </w:r>
    </w:p>
    <w:p w14:paraId="265D76B1" w14:textId="69D24E55" w:rsidR="006561E8" w:rsidRPr="006561E8" w:rsidRDefault="006561E8" w:rsidP="00E9412D">
      <w:pPr>
        <w:ind w:left="238" w:hanging="238"/>
        <w:jc w:val="both"/>
        <w:rPr>
          <w:lang w:val="en-GB"/>
        </w:rPr>
      </w:pPr>
      <w:r w:rsidRPr="006561E8">
        <w:rPr>
          <w:lang w:val="en-GB"/>
        </w:rPr>
        <w:t xml:space="preserve">1. Defining the input variables. Identifying the variables that influence the model's predictions for PM emissions. For this step, </w:t>
      </w:r>
      <w:r w:rsidR="002B737D">
        <w:rPr>
          <w:lang w:val="en-GB"/>
        </w:rPr>
        <w:t>correlation and Root Mean Square Error (RMSER) analysis methods are used (</w:t>
      </w:r>
      <w:proofErr w:type="spellStart"/>
      <w:r w:rsidR="002B737D">
        <w:rPr>
          <w:lang w:val="en-GB"/>
        </w:rPr>
        <w:t>Pianosi</w:t>
      </w:r>
      <w:proofErr w:type="spellEnd"/>
      <w:r w:rsidR="002B737D">
        <w:rPr>
          <w:lang w:val="en-GB"/>
        </w:rPr>
        <w:t xml:space="preserve"> et al. 2016) to determine the strength of </w:t>
      </w:r>
      <w:r w:rsidRPr="006561E8">
        <w:rPr>
          <w:lang w:val="en-GB"/>
        </w:rPr>
        <w:t>relationships between variables. The study used these methods to detect the most significant variables that influence PM emissions.</w:t>
      </w:r>
    </w:p>
    <w:p w14:paraId="6A9F28C8" w14:textId="595842D9" w:rsidR="006561E8" w:rsidRPr="006561E8" w:rsidRDefault="006561E8" w:rsidP="00E9412D">
      <w:pPr>
        <w:ind w:left="238" w:hanging="238"/>
        <w:jc w:val="both"/>
        <w:rPr>
          <w:lang w:val="en-GB"/>
        </w:rPr>
      </w:pPr>
      <w:r w:rsidRPr="006561E8">
        <w:rPr>
          <w:lang w:val="en-GB"/>
        </w:rPr>
        <w:t>2. Determining the range of variation. Determining the range of values for each input variable that will be used in the sensitivity analysis. The values were changed by 10%, 15%, 20%, 25%, and 30% (Wei et al. 2012).</w:t>
      </w:r>
    </w:p>
    <w:p w14:paraId="76EC819B" w14:textId="6868AD31" w:rsidR="006561E8" w:rsidRPr="006561E8" w:rsidRDefault="006561E8" w:rsidP="00E9412D">
      <w:pPr>
        <w:ind w:left="238" w:hanging="238"/>
        <w:jc w:val="both"/>
        <w:rPr>
          <w:lang w:val="en-GB"/>
        </w:rPr>
      </w:pPr>
      <w:r w:rsidRPr="006561E8">
        <w:rPr>
          <w:lang w:val="en-GB"/>
        </w:rPr>
        <w:t xml:space="preserve">3. Implementation and validation. After the </w:t>
      </w:r>
      <w:r w:rsidR="002B737D">
        <w:rPr>
          <w:lang w:val="en-GB"/>
        </w:rPr>
        <w:t>model's simulation, the output's sensitivity</w:t>
      </w:r>
      <w:r w:rsidRPr="006561E8">
        <w:rPr>
          <w:lang w:val="en-GB"/>
        </w:rPr>
        <w:t xml:space="preserve"> must be evaluated. A</w:t>
      </w:r>
      <w:r w:rsidR="00087CD9">
        <w:rPr>
          <w:lang w:val="en-GB"/>
        </w:rPr>
        <w:t> </w:t>
      </w:r>
      <w:r w:rsidRPr="006561E8">
        <w:rPr>
          <w:lang w:val="en-GB"/>
        </w:rPr>
        <w:t>sensitivity coefficient was evaluated (</w:t>
      </w:r>
      <w:proofErr w:type="spellStart"/>
      <w:r w:rsidRPr="006561E8">
        <w:rPr>
          <w:lang w:val="en-GB"/>
        </w:rPr>
        <w:t>Sourisseau</w:t>
      </w:r>
      <w:proofErr w:type="spellEnd"/>
      <w:r w:rsidRPr="006561E8">
        <w:rPr>
          <w:lang w:val="en-GB"/>
        </w:rPr>
        <w:t xml:space="preserve"> et al. 2008). Equation 4 represents the equation for the sensitivity coefficient.</w:t>
      </w:r>
    </w:p>
    <w:p w14:paraId="6A35084C" w14:textId="0E892B4A" w:rsidR="006561E8" w:rsidRPr="006561E8" w:rsidRDefault="006561E8" w:rsidP="006561E8">
      <w:pPr>
        <w:tabs>
          <w:tab w:val="right" w:pos="9638"/>
        </w:tabs>
        <w:ind w:left="3119" w:firstLine="0"/>
        <w:rPr>
          <w:lang w:val="en-GB"/>
        </w:rPr>
      </w:pPr>
      <w:r w:rsidRPr="00FA086B">
        <w:rPr>
          <w:bCs/>
          <w:iCs/>
          <w:position w:val="-22"/>
        </w:rPr>
        <w:object w:dxaOrig="2840" w:dyaOrig="580" w14:anchorId="04E8570B">
          <v:shape id="_x0000_i1028" type="#_x0000_t75" style="width:141.8pt;height:28.7pt" o:ole="">
            <v:imagedata r:id="rId12" o:title=""/>
          </v:shape>
          <o:OLEObject Type="Embed" ProgID="Equation.DSMT4" ShapeID="_x0000_i1028" DrawAspect="Content" ObjectID="_1760167202" r:id="rId13"/>
        </w:object>
      </w:r>
      <w:r w:rsidRPr="006561E8">
        <w:rPr>
          <w:lang w:val="en-GB"/>
        </w:rPr>
        <w:t>,</w:t>
      </w:r>
      <w:r w:rsidRPr="006561E8">
        <w:rPr>
          <w:lang w:val="en-GB"/>
        </w:rPr>
        <w:tab/>
        <w:t>(4)</w:t>
      </w:r>
    </w:p>
    <w:p w14:paraId="0F8C4885" w14:textId="77777777" w:rsidR="006561E8" w:rsidRPr="006561E8" w:rsidRDefault="006561E8" w:rsidP="006561E8">
      <w:pPr>
        <w:ind w:firstLine="0"/>
        <w:rPr>
          <w:lang w:val="en-GB"/>
        </w:rPr>
      </w:pPr>
    </w:p>
    <w:p w14:paraId="13C6C1ED" w14:textId="77777777" w:rsidR="006561E8" w:rsidRPr="006561E8" w:rsidRDefault="006561E8" w:rsidP="00CD105C">
      <w:pPr>
        <w:ind w:firstLine="0"/>
        <w:jc w:val="both"/>
        <w:rPr>
          <w:lang w:val="en-GB"/>
        </w:rPr>
      </w:pPr>
      <w:r w:rsidRPr="006561E8">
        <w:rPr>
          <w:lang w:val="en-GB"/>
        </w:rPr>
        <w:t>where ∆</w:t>
      </w:r>
      <w:r w:rsidRPr="006561E8">
        <w:rPr>
          <w:rFonts w:ascii="Cambria Math" w:hAnsi="Cambria Math" w:cs="Cambria Math"/>
          <w:lang w:val="en-GB"/>
        </w:rPr>
        <w:t>𝑦</w:t>
      </w:r>
      <w:r w:rsidRPr="006561E8">
        <w:rPr>
          <w:lang w:val="en-GB"/>
        </w:rPr>
        <w:t>(</w:t>
      </w:r>
      <w:r w:rsidRPr="006561E8">
        <w:rPr>
          <w:rFonts w:ascii="Cambria Math" w:hAnsi="Cambria Math" w:cs="Cambria Math"/>
          <w:lang w:val="en-GB"/>
        </w:rPr>
        <w:t>𝑥</w:t>
      </w:r>
      <w:r w:rsidRPr="006561E8">
        <w:rPr>
          <w:lang w:val="en-GB"/>
        </w:rPr>
        <w:t>) change of dependent variable, ∆</w:t>
      </w:r>
      <w:r w:rsidRPr="006561E8">
        <w:rPr>
          <w:rFonts w:ascii="Cambria Math" w:hAnsi="Cambria Math" w:cs="Cambria Math"/>
          <w:lang w:val="en-GB"/>
        </w:rPr>
        <w:t>𝑥</w:t>
      </w:r>
      <w:r w:rsidRPr="006561E8">
        <w:rPr>
          <w:lang w:val="en-GB"/>
        </w:rPr>
        <w:t xml:space="preserve"> change of independent variable. The general sensitivity degree index, i.e. the sensitivity of a dependent variable is given in equation 5:</w:t>
      </w:r>
    </w:p>
    <w:p w14:paraId="4B0A6FFF" w14:textId="65636210" w:rsidR="006561E8" w:rsidRPr="006561E8" w:rsidRDefault="006561E8" w:rsidP="006561E8">
      <w:pPr>
        <w:tabs>
          <w:tab w:val="right" w:pos="9638"/>
        </w:tabs>
        <w:ind w:left="2410" w:firstLine="0"/>
        <w:rPr>
          <w:lang w:val="en-GB"/>
        </w:rPr>
      </w:pPr>
      <w:r w:rsidRPr="00FA086B">
        <w:rPr>
          <w:bCs/>
          <w:iCs/>
          <w:position w:val="-22"/>
        </w:rPr>
        <w:object w:dxaOrig="4500" w:dyaOrig="580" w14:anchorId="784DFF6E">
          <v:shape id="_x0000_i1029" type="#_x0000_t75" style="width:224.85pt;height:28.7pt" o:ole="">
            <v:imagedata r:id="rId14" o:title=""/>
          </v:shape>
          <o:OLEObject Type="Embed" ProgID="Equation.DSMT4" ShapeID="_x0000_i1029" DrawAspect="Content" ObjectID="_1760167203" r:id="rId15"/>
        </w:object>
      </w:r>
      <w:r w:rsidRPr="006561E8">
        <w:rPr>
          <w:lang w:val="en-GB"/>
        </w:rPr>
        <w:t xml:space="preserve"> </w:t>
      </w:r>
      <w:r w:rsidRPr="006561E8">
        <w:rPr>
          <w:lang w:val="en-GB"/>
        </w:rPr>
        <w:tab/>
        <w:t>(5)</w:t>
      </w:r>
    </w:p>
    <w:p w14:paraId="6A776DBD" w14:textId="1A38C97A" w:rsidR="006561E8" w:rsidRPr="006561E8" w:rsidRDefault="006561E8" w:rsidP="006561E8">
      <w:pPr>
        <w:ind w:firstLine="0"/>
        <w:jc w:val="both"/>
        <w:rPr>
          <w:lang w:val="en-GB"/>
        </w:rPr>
      </w:pPr>
      <w:r w:rsidRPr="006561E8">
        <w:rPr>
          <w:lang w:val="en-GB"/>
        </w:rPr>
        <w:t xml:space="preserve">where </w:t>
      </w:r>
      <w:r w:rsidRPr="006561E8">
        <w:rPr>
          <w:rFonts w:ascii="Cambria Math" w:hAnsi="Cambria Math" w:cs="Cambria Math"/>
          <w:lang w:val="en-GB"/>
        </w:rPr>
        <w:t>𝑛</w:t>
      </w:r>
      <w:r w:rsidRPr="006561E8">
        <w:rPr>
          <w:lang w:val="en-GB"/>
        </w:rPr>
        <w:t xml:space="preserve"> is </w:t>
      </w:r>
      <w:r w:rsidR="002B737D">
        <w:rPr>
          <w:lang w:val="en-GB"/>
        </w:rPr>
        <w:t xml:space="preserve">the </w:t>
      </w:r>
      <w:r w:rsidRPr="006561E8">
        <w:rPr>
          <w:lang w:val="en-GB"/>
        </w:rPr>
        <w:t>number of indexes.</w:t>
      </w:r>
    </w:p>
    <w:p w14:paraId="02B9DF47" w14:textId="085BC747" w:rsidR="006561E8" w:rsidRPr="00D8488E" w:rsidRDefault="006561E8" w:rsidP="006561E8">
      <w:pPr>
        <w:ind w:firstLine="284"/>
        <w:jc w:val="both"/>
        <w:rPr>
          <w:spacing w:val="-2"/>
          <w:lang w:val="en-GB"/>
        </w:rPr>
      </w:pPr>
      <w:r w:rsidRPr="00D8488E">
        <w:rPr>
          <w:spacing w:val="-2"/>
          <w:lang w:val="en-GB"/>
        </w:rPr>
        <w:t xml:space="preserve">The sensitivity analysis was performed through the ''one-at-a-time'' approach, where </w:t>
      </w:r>
      <w:r w:rsidR="002B737D" w:rsidRPr="00D8488E">
        <w:rPr>
          <w:spacing w:val="-2"/>
          <w:lang w:val="en-GB"/>
        </w:rPr>
        <w:t>the value of a single parameter was modified</w:t>
      </w:r>
      <w:r w:rsidRPr="00D8488E">
        <w:rPr>
          <w:spacing w:val="-2"/>
          <w:lang w:val="en-GB"/>
        </w:rPr>
        <w:t xml:space="preserve"> at a time while maintaining the values of the other parameters constant (Wei et al. 2012).</w:t>
      </w:r>
    </w:p>
    <w:p w14:paraId="299E68C4" w14:textId="77777777" w:rsidR="006561E8" w:rsidRPr="006561E8" w:rsidRDefault="006561E8" w:rsidP="006561E8">
      <w:pPr>
        <w:pStyle w:val="Rn1"/>
        <w:rPr>
          <w:lang w:val="en-GB"/>
        </w:rPr>
      </w:pPr>
      <w:r w:rsidRPr="006561E8">
        <w:rPr>
          <w:lang w:val="en-GB"/>
        </w:rPr>
        <w:t>3. Results</w:t>
      </w:r>
    </w:p>
    <w:p w14:paraId="3D25F3DB" w14:textId="520177AA" w:rsidR="006561E8" w:rsidRPr="006561E8" w:rsidRDefault="006561E8" w:rsidP="006561E8">
      <w:pPr>
        <w:pStyle w:val="Rn2"/>
        <w:rPr>
          <w:lang w:val="en-GB"/>
        </w:rPr>
      </w:pPr>
      <w:r w:rsidRPr="006561E8">
        <w:rPr>
          <w:lang w:val="en-GB"/>
        </w:rPr>
        <w:t>3.1</w:t>
      </w:r>
      <w:r w:rsidR="000F468A">
        <w:rPr>
          <w:lang w:val="en-GB"/>
        </w:rPr>
        <w:t>.</w:t>
      </w:r>
      <w:r w:rsidRPr="006561E8">
        <w:rPr>
          <w:lang w:val="en-GB"/>
        </w:rPr>
        <w:t xml:space="preserve"> Model predictions: Total PM emissions</w:t>
      </w:r>
    </w:p>
    <w:p w14:paraId="7408EB6D" w14:textId="073F189E" w:rsidR="006561E8" w:rsidRPr="006561E8" w:rsidRDefault="006561E8" w:rsidP="006561E8">
      <w:pPr>
        <w:pStyle w:val="Rn3"/>
        <w:rPr>
          <w:lang w:val="en-GB"/>
        </w:rPr>
      </w:pPr>
      <w:r w:rsidRPr="006561E8">
        <w:rPr>
          <w:lang w:val="en-GB"/>
        </w:rPr>
        <w:t>3.1.1</w:t>
      </w:r>
      <w:r w:rsidR="00C00908">
        <w:rPr>
          <w:lang w:val="en-GB"/>
        </w:rPr>
        <w:t>.</w:t>
      </w:r>
      <w:r w:rsidRPr="006561E8">
        <w:rPr>
          <w:lang w:val="en-GB"/>
        </w:rPr>
        <w:t xml:space="preserve"> Calibration results</w:t>
      </w:r>
    </w:p>
    <w:p w14:paraId="153CB0C2" w14:textId="01BE1D9E" w:rsidR="006561E8" w:rsidRPr="006561E8" w:rsidRDefault="006561E8" w:rsidP="006561E8">
      <w:pPr>
        <w:ind w:firstLine="284"/>
        <w:jc w:val="both"/>
        <w:rPr>
          <w:lang w:val="en-GB"/>
        </w:rPr>
      </w:pPr>
      <w:r w:rsidRPr="006561E8">
        <w:rPr>
          <w:lang w:val="en-GB"/>
        </w:rPr>
        <w:t xml:space="preserve">Results of the simulation of PM emissions in the model include six values: (1) emission from the household sector, (2) transport sector, industrial sector, which includes (3) manufacturing, (4) power plants and (5) mining sub-sectors. </w:t>
      </w:r>
      <w:r w:rsidR="002B737D">
        <w:rPr>
          <w:lang w:val="en-GB"/>
        </w:rPr>
        <w:t>T</w:t>
      </w:r>
      <w:r w:rsidRPr="006561E8">
        <w:rPr>
          <w:lang w:val="en-GB"/>
        </w:rPr>
        <w:t>he model was calibrated against actual data collected from air quality monitoring stations in Kemerovo city</w:t>
      </w:r>
      <w:r w:rsidR="002B737D" w:rsidRPr="002B737D">
        <w:rPr>
          <w:lang w:val="en-GB"/>
        </w:rPr>
        <w:t xml:space="preserve"> </w:t>
      </w:r>
      <w:r w:rsidR="002B737D">
        <w:rPr>
          <w:lang w:val="en-GB"/>
        </w:rPr>
        <w:t>t</w:t>
      </w:r>
      <w:r w:rsidR="002B737D" w:rsidRPr="006561E8">
        <w:rPr>
          <w:lang w:val="en-GB"/>
        </w:rPr>
        <w:t>o ensure the accuracy of the model predictions</w:t>
      </w:r>
      <w:r w:rsidRPr="006561E8">
        <w:rPr>
          <w:lang w:val="en-GB"/>
        </w:rPr>
        <w:t>.</w:t>
      </w:r>
    </w:p>
    <w:p w14:paraId="5455B534" w14:textId="01353B07" w:rsidR="006561E8" w:rsidRPr="006561E8" w:rsidRDefault="006561E8" w:rsidP="006561E8">
      <w:pPr>
        <w:ind w:firstLine="284"/>
        <w:jc w:val="both"/>
        <w:rPr>
          <w:lang w:val="en-GB"/>
        </w:rPr>
      </w:pPr>
      <w:r w:rsidRPr="006561E8">
        <w:rPr>
          <w:lang w:val="en-GB"/>
        </w:rPr>
        <w:t xml:space="preserve">It should be noted that there is a large discrepancy in the statistical data on emissions of pollutants into the atmosphere from stationary sources of pollution in Kemerovo and the Kemerovo region. For example, the state report for 2017 tells about 1 487.7 </w:t>
      </w:r>
      <w:proofErr w:type="spellStart"/>
      <w:r w:rsidRPr="006561E8">
        <w:rPr>
          <w:lang w:val="en-GB"/>
        </w:rPr>
        <w:t>ths</w:t>
      </w:r>
      <w:proofErr w:type="spellEnd"/>
      <w:r w:rsidRPr="006561E8">
        <w:rPr>
          <w:lang w:val="en-GB"/>
        </w:rPr>
        <w:t xml:space="preserve"> tons </w:t>
      </w:r>
      <w:r w:rsidR="006B4F7E" w:rsidRPr="005E6AA6">
        <w:rPr>
          <w:lang w:val="en-GB"/>
        </w:rPr>
        <w:t>(</w:t>
      </w:r>
      <w:proofErr w:type="spellStart"/>
      <w:r w:rsidR="006B4F7E" w:rsidRPr="005E6AA6">
        <w:rPr>
          <w:lang w:val="en-GB"/>
        </w:rPr>
        <w:t>Rosprirodnadzor</w:t>
      </w:r>
      <w:proofErr w:type="spellEnd"/>
      <w:r w:rsidR="006B4F7E" w:rsidRPr="005E6AA6">
        <w:rPr>
          <w:lang w:val="en-GB"/>
        </w:rPr>
        <w:t xml:space="preserve"> 2017)</w:t>
      </w:r>
      <w:r w:rsidRPr="006561E8">
        <w:rPr>
          <w:lang w:val="en-GB"/>
        </w:rPr>
        <w:t xml:space="preserve">. </w:t>
      </w:r>
      <w:r w:rsidR="002B737D">
        <w:rPr>
          <w:lang w:val="en-GB"/>
        </w:rPr>
        <w:t>T</w:t>
      </w:r>
      <w:r w:rsidRPr="006561E8">
        <w:rPr>
          <w:lang w:val="en-GB"/>
        </w:rPr>
        <w:t xml:space="preserve">he article by </w:t>
      </w:r>
      <w:proofErr w:type="spellStart"/>
      <w:r w:rsidRPr="006561E8">
        <w:rPr>
          <w:lang w:val="en-GB"/>
        </w:rPr>
        <w:t>Levakova</w:t>
      </w:r>
      <w:proofErr w:type="spellEnd"/>
      <w:r w:rsidRPr="006561E8">
        <w:rPr>
          <w:lang w:val="en-GB"/>
        </w:rPr>
        <w:t xml:space="preserve"> and </w:t>
      </w:r>
      <w:proofErr w:type="spellStart"/>
      <w:r w:rsidRPr="006561E8">
        <w:rPr>
          <w:lang w:val="en-GB"/>
        </w:rPr>
        <w:t>Arustamov</w:t>
      </w:r>
      <w:proofErr w:type="spellEnd"/>
      <w:r w:rsidRPr="006561E8">
        <w:rPr>
          <w:lang w:val="en-GB"/>
        </w:rPr>
        <w:t xml:space="preserve"> indicated 1 348.7 </w:t>
      </w:r>
      <w:proofErr w:type="spellStart"/>
      <w:r w:rsidRPr="006561E8">
        <w:rPr>
          <w:lang w:val="en-GB"/>
        </w:rPr>
        <w:t>ths</w:t>
      </w:r>
      <w:proofErr w:type="spellEnd"/>
      <w:r w:rsidRPr="006561E8">
        <w:rPr>
          <w:lang w:val="en-GB"/>
        </w:rPr>
        <w:t xml:space="preserve"> tons (</w:t>
      </w:r>
      <w:proofErr w:type="spellStart"/>
      <w:r w:rsidRPr="006561E8">
        <w:rPr>
          <w:lang w:val="en-GB"/>
        </w:rPr>
        <w:t>Levakova</w:t>
      </w:r>
      <w:proofErr w:type="spellEnd"/>
      <w:r w:rsidR="00C6097C">
        <w:rPr>
          <w:lang w:val="en-GB"/>
        </w:rPr>
        <w:t xml:space="preserve"> &amp;</w:t>
      </w:r>
      <w:r w:rsidRPr="006561E8">
        <w:rPr>
          <w:lang w:val="en-GB"/>
        </w:rPr>
        <w:t xml:space="preserve"> </w:t>
      </w:r>
      <w:proofErr w:type="spellStart"/>
      <w:r w:rsidRPr="006561E8">
        <w:rPr>
          <w:lang w:val="en-GB"/>
        </w:rPr>
        <w:t>Arustamov</w:t>
      </w:r>
      <w:proofErr w:type="spellEnd"/>
      <w:r w:rsidRPr="006561E8">
        <w:rPr>
          <w:lang w:val="en-GB"/>
        </w:rPr>
        <w:t xml:space="preserve"> 2019).</w:t>
      </w:r>
    </w:p>
    <w:p w14:paraId="7715649A" w14:textId="06C7A52E" w:rsidR="006561E8" w:rsidRPr="006561E8" w:rsidRDefault="006561E8" w:rsidP="006561E8">
      <w:pPr>
        <w:ind w:firstLine="284"/>
        <w:jc w:val="both"/>
        <w:rPr>
          <w:lang w:val="en-GB"/>
        </w:rPr>
      </w:pPr>
      <w:r w:rsidRPr="006561E8">
        <w:rPr>
          <w:lang w:val="en-GB"/>
        </w:rPr>
        <w:lastRenderedPageBreak/>
        <w:t xml:space="preserve">According to the South Siberian Interregional Department of </w:t>
      </w:r>
      <w:proofErr w:type="spellStart"/>
      <w:r w:rsidRPr="006561E8">
        <w:rPr>
          <w:lang w:val="en-GB"/>
        </w:rPr>
        <w:t>Rosprirodnadzor</w:t>
      </w:r>
      <w:proofErr w:type="spellEnd"/>
      <w:r w:rsidRPr="006561E8">
        <w:rPr>
          <w:lang w:val="en-GB"/>
        </w:rPr>
        <w:t xml:space="preserve"> (2017), 4</w:t>
      </w:r>
      <w:r w:rsidR="000F468A">
        <w:rPr>
          <w:lang w:val="en-GB"/>
        </w:rPr>
        <w:t xml:space="preserve"> </w:t>
      </w:r>
      <w:r w:rsidRPr="006561E8">
        <w:rPr>
          <w:lang w:val="en-GB"/>
        </w:rPr>
        <w:t xml:space="preserve">912 </w:t>
      </w:r>
      <w:proofErr w:type="spellStart"/>
      <w:r w:rsidRPr="006561E8">
        <w:rPr>
          <w:lang w:val="en-GB"/>
        </w:rPr>
        <w:t>ths</w:t>
      </w:r>
      <w:proofErr w:type="spellEnd"/>
      <w:r w:rsidRPr="006561E8">
        <w:rPr>
          <w:lang w:val="en-GB"/>
        </w:rPr>
        <w:t xml:space="preserve"> tons of pollutants were released into the atmosphere, of which 1 603 </w:t>
      </w:r>
      <w:proofErr w:type="spellStart"/>
      <w:r w:rsidRPr="006561E8">
        <w:rPr>
          <w:lang w:val="en-GB"/>
        </w:rPr>
        <w:t>ths</w:t>
      </w:r>
      <w:proofErr w:type="spellEnd"/>
      <w:r w:rsidRPr="006561E8">
        <w:rPr>
          <w:lang w:val="en-GB"/>
        </w:rPr>
        <w:t xml:space="preserve"> tons f</w:t>
      </w:r>
      <w:r w:rsidR="002B737D">
        <w:rPr>
          <w:lang w:val="en-GB"/>
        </w:rPr>
        <w:t>e</w:t>
      </w:r>
      <w:r w:rsidRPr="006561E8">
        <w:rPr>
          <w:lang w:val="en-GB"/>
        </w:rPr>
        <w:t xml:space="preserve">ll </w:t>
      </w:r>
      <w:r w:rsidR="002B737D">
        <w:rPr>
          <w:lang w:val="en-GB"/>
        </w:rPr>
        <w:t>i</w:t>
      </w:r>
      <w:r w:rsidRPr="006561E8">
        <w:rPr>
          <w:lang w:val="en-GB"/>
        </w:rPr>
        <w:t>n the Kemerovo region (</w:t>
      </w:r>
      <w:proofErr w:type="spellStart"/>
      <w:r w:rsidRPr="006561E8">
        <w:rPr>
          <w:lang w:val="en-GB"/>
        </w:rPr>
        <w:t>Rosprirodnadzor</w:t>
      </w:r>
      <w:proofErr w:type="spellEnd"/>
      <w:r w:rsidRPr="006561E8">
        <w:rPr>
          <w:lang w:val="en-GB"/>
        </w:rPr>
        <w:t xml:space="preserve"> 2017). In 2020, emissions amounted to 1</w:t>
      </w:r>
      <w:r w:rsidR="006B4F7E">
        <w:rPr>
          <w:lang w:val="en-GB"/>
        </w:rPr>
        <w:t xml:space="preserve"> </w:t>
      </w:r>
      <w:r w:rsidRPr="006561E8">
        <w:rPr>
          <w:lang w:val="en-GB"/>
        </w:rPr>
        <w:t xml:space="preserve">612 </w:t>
      </w:r>
      <w:proofErr w:type="spellStart"/>
      <w:r w:rsidRPr="006561E8">
        <w:rPr>
          <w:lang w:val="en-GB"/>
        </w:rPr>
        <w:t>ths</w:t>
      </w:r>
      <w:proofErr w:type="spellEnd"/>
      <w:r w:rsidRPr="006561E8">
        <w:rPr>
          <w:lang w:val="en-GB"/>
        </w:rPr>
        <w:t xml:space="preserve"> tons (</w:t>
      </w:r>
      <w:proofErr w:type="spellStart"/>
      <w:r w:rsidR="006B4F7E" w:rsidRPr="005E6AA6">
        <w:rPr>
          <w:lang w:val="en-GB"/>
        </w:rPr>
        <w:t>Rosprirodnadzor</w:t>
      </w:r>
      <w:proofErr w:type="spellEnd"/>
      <w:r w:rsidR="006B4F7E" w:rsidRPr="005E6AA6">
        <w:rPr>
          <w:lang w:val="en-GB"/>
        </w:rPr>
        <w:t xml:space="preserve"> </w:t>
      </w:r>
      <w:r w:rsidRPr="006561E8">
        <w:rPr>
          <w:lang w:val="en-GB"/>
        </w:rPr>
        <w:t xml:space="preserve">2021). The maximum allowable emissions (solid particles) set for power plants is exceeded by 5 814.75 </w:t>
      </w:r>
      <w:proofErr w:type="spellStart"/>
      <w:r w:rsidRPr="006561E8">
        <w:rPr>
          <w:lang w:val="en-GB"/>
        </w:rPr>
        <w:t>ths</w:t>
      </w:r>
      <w:proofErr w:type="spellEnd"/>
      <w:r w:rsidRPr="006561E8">
        <w:rPr>
          <w:lang w:val="en-GB"/>
        </w:rPr>
        <w:t xml:space="preserve"> tons per year (Kemerovo Administration 2022).</w:t>
      </w:r>
    </w:p>
    <w:p w14:paraId="0AC16A8D" w14:textId="7384ED6A" w:rsidR="006561E8" w:rsidRDefault="006561E8" w:rsidP="006561E8">
      <w:pPr>
        <w:ind w:firstLine="284"/>
        <w:jc w:val="both"/>
        <w:rPr>
          <w:lang w:val="en-GB"/>
        </w:rPr>
      </w:pPr>
      <w:r w:rsidRPr="006561E8">
        <w:rPr>
          <w:lang w:val="en-GB"/>
        </w:rPr>
        <w:t xml:space="preserve">The article uses up-to-date data received in 2022 at the request of </w:t>
      </w:r>
      <w:proofErr w:type="spellStart"/>
      <w:r w:rsidRPr="006561E8">
        <w:rPr>
          <w:lang w:val="en-GB"/>
        </w:rPr>
        <w:t>Rosprirodnadzor</w:t>
      </w:r>
      <w:proofErr w:type="spellEnd"/>
      <w:r w:rsidRPr="006561E8">
        <w:rPr>
          <w:lang w:val="en-GB"/>
        </w:rPr>
        <w:t xml:space="preserve"> in Kemerovo. The final calibration results are illustrated in</w:t>
      </w:r>
      <w:r w:rsidR="00C8463E">
        <w:rPr>
          <w:lang w:val="en-GB"/>
        </w:rPr>
        <w:t xml:space="preserve"> </w:t>
      </w:r>
      <w:r w:rsidRPr="006561E8">
        <w:rPr>
          <w:lang w:val="en-GB"/>
        </w:rPr>
        <w:t>Tabl</w:t>
      </w:r>
      <w:r w:rsidR="00C8463E">
        <w:rPr>
          <w:lang w:val="en-GB"/>
        </w:rPr>
        <w:t>e</w:t>
      </w:r>
      <w:r w:rsidRPr="006561E8">
        <w:rPr>
          <w:lang w:val="en-GB"/>
        </w:rPr>
        <w:t xml:space="preserve"> 1</w:t>
      </w:r>
      <w:r w:rsidR="002B737D">
        <w:rPr>
          <w:lang w:val="en-GB"/>
        </w:rPr>
        <w:t>,</w:t>
      </w:r>
      <w:r w:rsidRPr="006561E8">
        <w:rPr>
          <w:lang w:val="en-GB"/>
        </w:rPr>
        <w:t xml:space="preserve"> where </w:t>
      </w:r>
      <w:r w:rsidR="002B737D">
        <w:rPr>
          <w:lang w:val="en-GB"/>
        </w:rPr>
        <w:t>actual data for 2022, predicted values and the index of calibration are presented</w:t>
      </w:r>
      <w:r w:rsidRPr="006561E8">
        <w:rPr>
          <w:lang w:val="en-GB"/>
        </w:rPr>
        <w:t>.</w:t>
      </w:r>
    </w:p>
    <w:p w14:paraId="027F0545" w14:textId="77777777" w:rsidR="006561E8" w:rsidRPr="006561E8" w:rsidRDefault="006561E8" w:rsidP="006561E8">
      <w:pPr>
        <w:ind w:firstLine="284"/>
        <w:jc w:val="both"/>
        <w:rPr>
          <w:lang w:val="en-GB"/>
        </w:rPr>
      </w:pPr>
    </w:p>
    <w:p w14:paraId="3921476A" w14:textId="77777777" w:rsidR="006561E8" w:rsidRPr="006561E8" w:rsidRDefault="006561E8" w:rsidP="006561E8">
      <w:pPr>
        <w:pStyle w:val="Rtab"/>
        <w:rPr>
          <w:lang w:val="en-GB"/>
        </w:rPr>
      </w:pPr>
      <w:r w:rsidRPr="006561E8">
        <w:rPr>
          <w:b/>
          <w:bCs/>
          <w:lang w:val="en-GB"/>
        </w:rPr>
        <w:t>Table 1.</w:t>
      </w:r>
      <w:r w:rsidRPr="006561E8">
        <w:rPr>
          <w:lang w:val="en-GB"/>
        </w:rPr>
        <w:t xml:space="preserve"> Comparison of actual and predicted data for 2022 with the calibration index</w:t>
      </w:r>
    </w:p>
    <w:tbl>
      <w:tblPr>
        <w:tblStyle w:val="Tabela-Siatka"/>
        <w:tblW w:w="0" w:type="auto"/>
        <w:tblLook w:val="04A0" w:firstRow="1" w:lastRow="0" w:firstColumn="1" w:lastColumn="0" w:noHBand="0" w:noVBand="1"/>
      </w:tblPr>
      <w:tblGrid>
        <w:gridCol w:w="2407"/>
        <w:gridCol w:w="2407"/>
        <w:gridCol w:w="2407"/>
        <w:gridCol w:w="2407"/>
      </w:tblGrid>
      <w:tr w:rsidR="006561E8" w:rsidRPr="006561E8" w14:paraId="048AF5F9" w14:textId="77777777" w:rsidTr="00E6233B">
        <w:trPr>
          <w:trHeight w:val="340"/>
        </w:trPr>
        <w:tc>
          <w:tcPr>
            <w:tcW w:w="2407" w:type="dxa"/>
            <w:vAlign w:val="center"/>
          </w:tcPr>
          <w:p w14:paraId="7ED6E01E" w14:textId="77777777" w:rsidR="006561E8" w:rsidRPr="006561E8" w:rsidRDefault="006561E8" w:rsidP="006561E8">
            <w:pPr>
              <w:ind w:firstLine="0"/>
              <w:rPr>
                <w:lang w:val="en-GB"/>
              </w:rPr>
            </w:pPr>
            <w:r w:rsidRPr="006561E8">
              <w:rPr>
                <w:lang w:val="en-GB"/>
              </w:rPr>
              <w:t>Sector</w:t>
            </w:r>
          </w:p>
        </w:tc>
        <w:tc>
          <w:tcPr>
            <w:tcW w:w="2407" w:type="dxa"/>
            <w:vAlign w:val="center"/>
          </w:tcPr>
          <w:p w14:paraId="1460CB8C" w14:textId="77777777" w:rsidR="006561E8" w:rsidRPr="006561E8" w:rsidRDefault="006561E8" w:rsidP="006561E8">
            <w:pPr>
              <w:ind w:firstLine="0"/>
              <w:jc w:val="center"/>
              <w:rPr>
                <w:lang w:val="en-GB"/>
              </w:rPr>
            </w:pPr>
            <w:r w:rsidRPr="006561E8">
              <w:rPr>
                <w:lang w:val="en-GB"/>
              </w:rPr>
              <w:t>Predicted</w:t>
            </w:r>
          </w:p>
        </w:tc>
        <w:tc>
          <w:tcPr>
            <w:tcW w:w="2407" w:type="dxa"/>
            <w:vAlign w:val="center"/>
          </w:tcPr>
          <w:p w14:paraId="606D7C05" w14:textId="77777777" w:rsidR="006561E8" w:rsidRPr="006561E8" w:rsidRDefault="006561E8" w:rsidP="006561E8">
            <w:pPr>
              <w:ind w:firstLine="0"/>
              <w:jc w:val="center"/>
              <w:rPr>
                <w:lang w:val="en-GB"/>
              </w:rPr>
            </w:pPr>
            <w:r w:rsidRPr="006561E8">
              <w:rPr>
                <w:lang w:val="en-GB"/>
              </w:rPr>
              <w:t>Actual</w:t>
            </w:r>
          </w:p>
        </w:tc>
        <w:tc>
          <w:tcPr>
            <w:tcW w:w="2407" w:type="dxa"/>
            <w:vAlign w:val="center"/>
          </w:tcPr>
          <w:p w14:paraId="633BB490" w14:textId="77777777" w:rsidR="006561E8" w:rsidRPr="006561E8" w:rsidRDefault="006561E8" w:rsidP="006561E8">
            <w:pPr>
              <w:ind w:firstLine="0"/>
              <w:jc w:val="center"/>
              <w:rPr>
                <w:lang w:val="en-GB"/>
              </w:rPr>
            </w:pPr>
            <w:r w:rsidRPr="006561E8">
              <w:rPr>
                <w:lang w:val="en-GB"/>
              </w:rPr>
              <w:t>Calibration index</w:t>
            </w:r>
          </w:p>
        </w:tc>
      </w:tr>
      <w:tr w:rsidR="006561E8" w:rsidRPr="006561E8" w14:paraId="70A81463" w14:textId="77777777" w:rsidTr="00DE4292">
        <w:trPr>
          <w:trHeight w:val="283"/>
        </w:trPr>
        <w:tc>
          <w:tcPr>
            <w:tcW w:w="2407" w:type="dxa"/>
            <w:vAlign w:val="center"/>
          </w:tcPr>
          <w:p w14:paraId="620AF605" w14:textId="77777777" w:rsidR="006561E8" w:rsidRPr="006561E8" w:rsidRDefault="006561E8" w:rsidP="006561E8">
            <w:pPr>
              <w:ind w:firstLine="0"/>
              <w:rPr>
                <w:lang w:val="en-GB"/>
              </w:rPr>
            </w:pPr>
            <w:r w:rsidRPr="006561E8">
              <w:rPr>
                <w:lang w:val="en-GB"/>
              </w:rPr>
              <w:t>Household</w:t>
            </w:r>
          </w:p>
        </w:tc>
        <w:tc>
          <w:tcPr>
            <w:tcW w:w="2407" w:type="dxa"/>
            <w:vAlign w:val="center"/>
          </w:tcPr>
          <w:p w14:paraId="598D103B" w14:textId="77777777" w:rsidR="006561E8" w:rsidRPr="006561E8" w:rsidRDefault="006561E8" w:rsidP="006561E8">
            <w:pPr>
              <w:ind w:firstLine="0"/>
              <w:jc w:val="center"/>
              <w:rPr>
                <w:lang w:val="en-GB"/>
              </w:rPr>
            </w:pPr>
            <w:r w:rsidRPr="006561E8">
              <w:rPr>
                <w:lang w:val="en-GB"/>
              </w:rPr>
              <w:t>232.26</w:t>
            </w:r>
          </w:p>
        </w:tc>
        <w:tc>
          <w:tcPr>
            <w:tcW w:w="2407" w:type="dxa"/>
            <w:vAlign w:val="center"/>
          </w:tcPr>
          <w:p w14:paraId="13B48F4A" w14:textId="77777777" w:rsidR="006561E8" w:rsidRPr="006561E8" w:rsidRDefault="006561E8" w:rsidP="006561E8">
            <w:pPr>
              <w:ind w:firstLine="0"/>
              <w:jc w:val="center"/>
              <w:rPr>
                <w:lang w:val="en-GB"/>
              </w:rPr>
            </w:pPr>
            <w:r w:rsidRPr="006561E8">
              <w:rPr>
                <w:lang w:val="en-GB"/>
              </w:rPr>
              <w:t>243.87</w:t>
            </w:r>
          </w:p>
        </w:tc>
        <w:tc>
          <w:tcPr>
            <w:tcW w:w="2407" w:type="dxa"/>
            <w:vAlign w:val="center"/>
          </w:tcPr>
          <w:p w14:paraId="10E9B3EC" w14:textId="77777777" w:rsidR="006561E8" w:rsidRPr="006561E8" w:rsidRDefault="006561E8" w:rsidP="006561E8">
            <w:pPr>
              <w:ind w:firstLine="0"/>
              <w:jc w:val="center"/>
              <w:rPr>
                <w:lang w:val="en-GB"/>
              </w:rPr>
            </w:pPr>
            <w:r w:rsidRPr="006561E8">
              <w:rPr>
                <w:lang w:val="en-GB"/>
              </w:rPr>
              <w:t>1.049</w:t>
            </w:r>
          </w:p>
        </w:tc>
      </w:tr>
      <w:tr w:rsidR="006561E8" w:rsidRPr="006561E8" w14:paraId="4AA96CDD" w14:textId="77777777" w:rsidTr="00DE4292">
        <w:trPr>
          <w:trHeight w:val="283"/>
        </w:trPr>
        <w:tc>
          <w:tcPr>
            <w:tcW w:w="2407" w:type="dxa"/>
            <w:vAlign w:val="center"/>
          </w:tcPr>
          <w:p w14:paraId="7B2307E2" w14:textId="77777777" w:rsidR="006561E8" w:rsidRPr="006561E8" w:rsidRDefault="006561E8" w:rsidP="006561E8">
            <w:pPr>
              <w:ind w:firstLine="0"/>
              <w:rPr>
                <w:lang w:val="en-GB"/>
              </w:rPr>
            </w:pPr>
            <w:r w:rsidRPr="006561E8">
              <w:rPr>
                <w:lang w:val="en-GB"/>
              </w:rPr>
              <w:t>Transport</w:t>
            </w:r>
          </w:p>
        </w:tc>
        <w:tc>
          <w:tcPr>
            <w:tcW w:w="2407" w:type="dxa"/>
            <w:vAlign w:val="center"/>
          </w:tcPr>
          <w:p w14:paraId="09F254ED" w14:textId="77777777" w:rsidR="006561E8" w:rsidRPr="006561E8" w:rsidRDefault="006561E8" w:rsidP="006561E8">
            <w:pPr>
              <w:ind w:firstLine="0"/>
              <w:jc w:val="center"/>
              <w:rPr>
                <w:lang w:val="en-GB"/>
              </w:rPr>
            </w:pPr>
            <w:r w:rsidRPr="006561E8">
              <w:rPr>
                <w:lang w:val="en-GB"/>
              </w:rPr>
              <w:t>256.40</w:t>
            </w:r>
          </w:p>
        </w:tc>
        <w:tc>
          <w:tcPr>
            <w:tcW w:w="2407" w:type="dxa"/>
            <w:vAlign w:val="center"/>
          </w:tcPr>
          <w:p w14:paraId="30B0CA43" w14:textId="77777777" w:rsidR="006561E8" w:rsidRPr="006561E8" w:rsidRDefault="006561E8" w:rsidP="006561E8">
            <w:pPr>
              <w:ind w:firstLine="0"/>
              <w:jc w:val="center"/>
              <w:rPr>
                <w:lang w:val="en-GB"/>
              </w:rPr>
            </w:pPr>
            <w:r w:rsidRPr="006561E8">
              <w:rPr>
                <w:lang w:val="en-GB"/>
              </w:rPr>
              <w:t>256.66</w:t>
            </w:r>
          </w:p>
        </w:tc>
        <w:tc>
          <w:tcPr>
            <w:tcW w:w="2407" w:type="dxa"/>
            <w:vAlign w:val="center"/>
          </w:tcPr>
          <w:p w14:paraId="094C2EBB" w14:textId="77777777" w:rsidR="006561E8" w:rsidRPr="006561E8" w:rsidRDefault="006561E8" w:rsidP="006561E8">
            <w:pPr>
              <w:ind w:firstLine="0"/>
              <w:jc w:val="center"/>
              <w:rPr>
                <w:lang w:val="en-GB"/>
              </w:rPr>
            </w:pPr>
            <w:r w:rsidRPr="006561E8">
              <w:rPr>
                <w:lang w:val="en-GB"/>
              </w:rPr>
              <w:t>1.001</w:t>
            </w:r>
          </w:p>
        </w:tc>
      </w:tr>
      <w:tr w:rsidR="006561E8" w:rsidRPr="006561E8" w14:paraId="2ED25278" w14:textId="77777777" w:rsidTr="00DE4292">
        <w:trPr>
          <w:trHeight w:val="283"/>
        </w:trPr>
        <w:tc>
          <w:tcPr>
            <w:tcW w:w="2407" w:type="dxa"/>
            <w:vAlign w:val="center"/>
          </w:tcPr>
          <w:p w14:paraId="60C22536" w14:textId="77777777" w:rsidR="006561E8" w:rsidRPr="006561E8" w:rsidRDefault="006561E8" w:rsidP="006561E8">
            <w:pPr>
              <w:ind w:firstLine="0"/>
              <w:rPr>
                <w:lang w:val="en-GB"/>
              </w:rPr>
            </w:pPr>
            <w:r w:rsidRPr="006561E8">
              <w:rPr>
                <w:lang w:val="en-GB"/>
              </w:rPr>
              <w:t>Manufacture</w:t>
            </w:r>
          </w:p>
        </w:tc>
        <w:tc>
          <w:tcPr>
            <w:tcW w:w="2407" w:type="dxa"/>
            <w:vAlign w:val="center"/>
          </w:tcPr>
          <w:p w14:paraId="131A7B09" w14:textId="77777777" w:rsidR="006561E8" w:rsidRPr="006561E8" w:rsidRDefault="006561E8" w:rsidP="006561E8">
            <w:pPr>
              <w:ind w:firstLine="0"/>
              <w:jc w:val="center"/>
              <w:rPr>
                <w:lang w:val="en-GB"/>
              </w:rPr>
            </w:pPr>
            <w:r w:rsidRPr="006561E8">
              <w:rPr>
                <w:lang w:val="en-GB"/>
              </w:rPr>
              <w:t>283.59</w:t>
            </w:r>
          </w:p>
        </w:tc>
        <w:tc>
          <w:tcPr>
            <w:tcW w:w="2407" w:type="dxa"/>
            <w:vAlign w:val="center"/>
          </w:tcPr>
          <w:p w14:paraId="79EEC9C1" w14:textId="77777777" w:rsidR="006561E8" w:rsidRPr="006561E8" w:rsidRDefault="006561E8" w:rsidP="006561E8">
            <w:pPr>
              <w:ind w:firstLine="0"/>
              <w:jc w:val="center"/>
              <w:rPr>
                <w:lang w:val="en-GB"/>
              </w:rPr>
            </w:pPr>
            <w:r w:rsidRPr="006561E8">
              <w:rPr>
                <w:lang w:val="en-GB"/>
              </w:rPr>
              <w:t>256.40</w:t>
            </w:r>
          </w:p>
        </w:tc>
        <w:tc>
          <w:tcPr>
            <w:tcW w:w="2407" w:type="dxa"/>
            <w:vAlign w:val="center"/>
          </w:tcPr>
          <w:p w14:paraId="58BEE7E0" w14:textId="77777777" w:rsidR="006561E8" w:rsidRPr="006561E8" w:rsidRDefault="006561E8" w:rsidP="006561E8">
            <w:pPr>
              <w:ind w:firstLine="0"/>
              <w:jc w:val="center"/>
              <w:rPr>
                <w:lang w:val="en-GB"/>
              </w:rPr>
            </w:pPr>
            <w:r w:rsidRPr="006561E8">
              <w:rPr>
                <w:lang w:val="en-GB"/>
              </w:rPr>
              <w:t>0.904</w:t>
            </w:r>
          </w:p>
        </w:tc>
      </w:tr>
      <w:tr w:rsidR="006561E8" w:rsidRPr="006561E8" w14:paraId="19CF189A" w14:textId="77777777" w:rsidTr="00DE4292">
        <w:trPr>
          <w:trHeight w:val="283"/>
        </w:trPr>
        <w:tc>
          <w:tcPr>
            <w:tcW w:w="2407" w:type="dxa"/>
            <w:vAlign w:val="center"/>
          </w:tcPr>
          <w:p w14:paraId="55B2941E" w14:textId="77777777" w:rsidR="006561E8" w:rsidRPr="006561E8" w:rsidRDefault="006561E8" w:rsidP="006561E8">
            <w:pPr>
              <w:ind w:firstLine="0"/>
              <w:rPr>
                <w:lang w:val="en-GB"/>
              </w:rPr>
            </w:pPr>
            <w:r w:rsidRPr="006561E8">
              <w:rPr>
                <w:lang w:val="en-GB"/>
              </w:rPr>
              <w:t>Power Plants</w:t>
            </w:r>
          </w:p>
        </w:tc>
        <w:tc>
          <w:tcPr>
            <w:tcW w:w="2407" w:type="dxa"/>
            <w:vAlign w:val="center"/>
          </w:tcPr>
          <w:p w14:paraId="3EE92A86" w14:textId="77777777" w:rsidR="006561E8" w:rsidRPr="006561E8" w:rsidRDefault="006561E8" w:rsidP="006561E8">
            <w:pPr>
              <w:ind w:firstLine="0"/>
              <w:jc w:val="center"/>
              <w:rPr>
                <w:lang w:val="en-GB"/>
              </w:rPr>
            </w:pPr>
            <w:r w:rsidRPr="006561E8">
              <w:rPr>
                <w:lang w:val="en-GB"/>
              </w:rPr>
              <w:t>748.49</w:t>
            </w:r>
          </w:p>
        </w:tc>
        <w:tc>
          <w:tcPr>
            <w:tcW w:w="2407" w:type="dxa"/>
            <w:vAlign w:val="center"/>
          </w:tcPr>
          <w:p w14:paraId="1211388A" w14:textId="77777777" w:rsidR="006561E8" w:rsidRPr="006561E8" w:rsidRDefault="006561E8" w:rsidP="006561E8">
            <w:pPr>
              <w:ind w:firstLine="0"/>
              <w:jc w:val="center"/>
              <w:rPr>
                <w:lang w:val="en-GB"/>
              </w:rPr>
            </w:pPr>
            <w:r w:rsidRPr="006561E8">
              <w:rPr>
                <w:lang w:val="en-GB"/>
              </w:rPr>
              <w:t>672.74</w:t>
            </w:r>
          </w:p>
        </w:tc>
        <w:tc>
          <w:tcPr>
            <w:tcW w:w="2407" w:type="dxa"/>
            <w:vAlign w:val="center"/>
          </w:tcPr>
          <w:p w14:paraId="39B2C227" w14:textId="77777777" w:rsidR="006561E8" w:rsidRPr="006561E8" w:rsidRDefault="006561E8" w:rsidP="006561E8">
            <w:pPr>
              <w:ind w:firstLine="0"/>
              <w:jc w:val="center"/>
              <w:rPr>
                <w:lang w:val="en-GB"/>
              </w:rPr>
            </w:pPr>
            <w:r w:rsidRPr="006561E8">
              <w:rPr>
                <w:lang w:val="en-GB"/>
              </w:rPr>
              <w:t>0.899</w:t>
            </w:r>
          </w:p>
        </w:tc>
      </w:tr>
      <w:tr w:rsidR="006561E8" w:rsidRPr="006561E8" w14:paraId="125F7A17" w14:textId="77777777" w:rsidTr="00DE4292">
        <w:trPr>
          <w:trHeight w:val="283"/>
        </w:trPr>
        <w:tc>
          <w:tcPr>
            <w:tcW w:w="2407" w:type="dxa"/>
            <w:vAlign w:val="center"/>
          </w:tcPr>
          <w:p w14:paraId="38EF9BE5" w14:textId="77777777" w:rsidR="006561E8" w:rsidRPr="006561E8" w:rsidRDefault="006561E8" w:rsidP="006561E8">
            <w:pPr>
              <w:ind w:firstLine="0"/>
              <w:rPr>
                <w:lang w:val="en-GB"/>
              </w:rPr>
            </w:pPr>
            <w:r w:rsidRPr="006561E8">
              <w:rPr>
                <w:lang w:val="en-GB"/>
              </w:rPr>
              <w:t>Mining</w:t>
            </w:r>
          </w:p>
        </w:tc>
        <w:tc>
          <w:tcPr>
            <w:tcW w:w="2407" w:type="dxa"/>
            <w:vAlign w:val="center"/>
          </w:tcPr>
          <w:p w14:paraId="5B3C72C3" w14:textId="77777777" w:rsidR="006561E8" w:rsidRPr="006561E8" w:rsidRDefault="006561E8" w:rsidP="006561E8">
            <w:pPr>
              <w:ind w:firstLine="0"/>
              <w:jc w:val="center"/>
              <w:rPr>
                <w:lang w:val="en-GB"/>
              </w:rPr>
            </w:pPr>
            <w:r w:rsidRPr="006561E8">
              <w:rPr>
                <w:lang w:val="en-GB"/>
              </w:rPr>
              <w:t>2342.96</w:t>
            </w:r>
          </w:p>
        </w:tc>
        <w:tc>
          <w:tcPr>
            <w:tcW w:w="2407" w:type="dxa"/>
            <w:vAlign w:val="center"/>
          </w:tcPr>
          <w:p w14:paraId="390B8320" w14:textId="77777777" w:rsidR="006561E8" w:rsidRPr="006561E8" w:rsidRDefault="006561E8" w:rsidP="006561E8">
            <w:pPr>
              <w:ind w:firstLine="0"/>
              <w:jc w:val="center"/>
              <w:rPr>
                <w:lang w:val="en-GB"/>
              </w:rPr>
            </w:pPr>
            <w:r w:rsidRPr="006561E8">
              <w:rPr>
                <w:lang w:val="en-GB"/>
              </w:rPr>
              <w:t>2056.44</w:t>
            </w:r>
          </w:p>
        </w:tc>
        <w:tc>
          <w:tcPr>
            <w:tcW w:w="2407" w:type="dxa"/>
            <w:vAlign w:val="center"/>
          </w:tcPr>
          <w:p w14:paraId="09B225C4" w14:textId="77777777" w:rsidR="006561E8" w:rsidRPr="006561E8" w:rsidRDefault="006561E8" w:rsidP="006561E8">
            <w:pPr>
              <w:ind w:firstLine="0"/>
              <w:jc w:val="center"/>
              <w:rPr>
                <w:lang w:val="en-GB"/>
              </w:rPr>
            </w:pPr>
            <w:r w:rsidRPr="006561E8">
              <w:rPr>
                <w:lang w:val="en-GB"/>
              </w:rPr>
              <w:t>0.878</w:t>
            </w:r>
          </w:p>
        </w:tc>
      </w:tr>
    </w:tbl>
    <w:p w14:paraId="545161B7" w14:textId="77777777" w:rsidR="006561E8" w:rsidRDefault="006561E8" w:rsidP="006561E8">
      <w:pPr>
        <w:ind w:firstLine="284"/>
        <w:jc w:val="both"/>
        <w:rPr>
          <w:lang w:val="en-GB"/>
        </w:rPr>
      </w:pPr>
    </w:p>
    <w:p w14:paraId="076FBADB" w14:textId="2AC73121" w:rsidR="006561E8" w:rsidRPr="006561E8" w:rsidRDefault="006561E8" w:rsidP="006561E8">
      <w:pPr>
        <w:ind w:firstLine="284"/>
        <w:jc w:val="both"/>
        <w:rPr>
          <w:lang w:val="en-GB"/>
        </w:rPr>
      </w:pPr>
      <w:r w:rsidRPr="006561E8">
        <w:rPr>
          <w:lang w:val="en-GB"/>
        </w:rPr>
        <w:t xml:space="preserve">The closer the calibration index is to 1, the more reliable the results of the model are considered. The values closest to 1 are those of the household and transport, while other sectors </w:t>
      </w:r>
      <w:r w:rsidR="002B737D">
        <w:rPr>
          <w:lang w:val="en-GB"/>
        </w:rPr>
        <w:t>also show low differences between actual and predicted values</w:t>
      </w:r>
      <w:r w:rsidRPr="006561E8">
        <w:rPr>
          <w:lang w:val="en-GB"/>
        </w:rPr>
        <w:t>. Forecasting emissions for these two pollution sources (household</w:t>
      </w:r>
      <w:r w:rsidR="002B737D">
        <w:rPr>
          <w:lang w:val="en-GB"/>
        </w:rPr>
        <w:t xml:space="preserve"> and</w:t>
      </w:r>
      <w:r w:rsidRPr="006561E8">
        <w:rPr>
          <w:lang w:val="en-GB"/>
        </w:rPr>
        <w:t xml:space="preserve"> transport) shows that the calculation results have the smallest relative error.</w:t>
      </w:r>
    </w:p>
    <w:p w14:paraId="6460142F" w14:textId="1AA0252A" w:rsidR="006561E8" w:rsidRPr="006561E8" w:rsidRDefault="006561E8" w:rsidP="006561E8">
      <w:pPr>
        <w:pStyle w:val="Rn3"/>
        <w:rPr>
          <w:lang w:val="en-GB"/>
        </w:rPr>
      </w:pPr>
      <w:r w:rsidRPr="006561E8">
        <w:rPr>
          <w:lang w:val="en-GB"/>
        </w:rPr>
        <w:t>3.1.2</w:t>
      </w:r>
      <w:r w:rsidR="00C00908">
        <w:rPr>
          <w:lang w:val="en-GB"/>
        </w:rPr>
        <w:t>.</w:t>
      </w:r>
      <w:r w:rsidRPr="006561E8">
        <w:rPr>
          <w:lang w:val="en-GB"/>
        </w:rPr>
        <w:t xml:space="preserve"> Validation results</w:t>
      </w:r>
    </w:p>
    <w:p w14:paraId="54F34ADB" w14:textId="476C44CD" w:rsidR="006561E8" w:rsidRDefault="006561E8" w:rsidP="006561E8">
      <w:pPr>
        <w:ind w:firstLine="284"/>
        <w:jc w:val="both"/>
        <w:rPr>
          <w:lang w:val="en-GB"/>
        </w:rPr>
      </w:pPr>
      <w:r w:rsidRPr="006561E8">
        <w:rPr>
          <w:lang w:val="en-GB"/>
        </w:rPr>
        <w:t>The validation of results using SER is first conducted using 2022 data to compare the actual and predicted data without calibration. The SER results for the 2022 data without calibration, presented in Tabl</w:t>
      </w:r>
      <w:r w:rsidR="00C8463E">
        <w:rPr>
          <w:lang w:val="en-GB"/>
        </w:rPr>
        <w:t>e</w:t>
      </w:r>
      <w:r w:rsidRPr="006561E8">
        <w:rPr>
          <w:lang w:val="en-GB"/>
        </w:rPr>
        <w:t xml:space="preserve"> 2, demonstrate the high efficiency of the household and transport sectors, with a MAPE test result of less than 5%.</w:t>
      </w:r>
    </w:p>
    <w:p w14:paraId="1A8FBA6A" w14:textId="77777777" w:rsidR="006561E8" w:rsidRPr="006561E8" w:rsidRDefault="006561E8" w:rsidP="006561E8">
      <w:pPr>
        <w:ind w:firstLine="284"/>
        <w:jc w:val="both"/>
        <w:rPr>
          <w:lang w:val="en-GB"/>
        </w:rPr>
      </w:pPr>
    </w:p>
    <w:p w14:paraId="148B9019" w14:textId="77777777" w:rsidR="006561E8" w:rsidRPr="006561E8" w:rsidRDefault="006561E8" w:rsidP="006561E8">
      <w:pPr>
        <w:pStyle w:val="Rtab"/>
        <w:rPr>
          <w:lang w:val="en-GB"/>
        </w:rPr>
      </w:pPr>
      <w:r w:rsidRPr="00E6233B">
        <w:rPr>
          <w:b/>
          <w:bCs/>
          <w:lang w:val="en-GB"/>
        </w:rPr>
        <w:t>Table 2.</w:t>
      </w:r>
      <w:r w:rsidRPr="006561E8">
        <w:rPr>
          <w:lang w:val="en-GB"/>
        </w:rPr>
        <w:t xml:space="preserve"> Comparison of predicted and actual data (tons/year) for 2022 without calibration</w:t>
      </w:r>
    </w:p>
    <w:tbl>
      <w:tblPr>
        <w:tblStyle w:val="Tabela-Siatka"/>
        <w:tblW w:w="0" w:type="auto"/>
        <w:tblLook w:val="04A0" w:firstRow="1" w:lastRow="0" w:firstColumn="1" w:lastColumn="0" w:noHBand="0" w:noVBand="1"/>
      </w:tblPr>
      <w:tblGrid>
        <w:gridCol w:w="1604"/>
        <w:gridCol w:w="1604"/>
        <w:gridCol w:w="1605"/>
        <w:gridCol w:w="1605"/>
        <w:gridCol w:w="1374"/>
        <w:gridCol w:w="1836"/>
      </w:tblGrid>
      <w:tr w:rsidR="006561E8" w:rsidRPr="006561E8" w14:paraId="3465B1B3" w14:textId="77777777" w:rsidTr="00E6233B">
        <w:trPr>
          <w:trHeight w:val="340"/>
        </w:trPr>
        <w:tc>
          <w:tcPr>
            <w:tcW w:w="1604" w:type="dxa"/>
            <w:vAlign w:val="center"/>
          </w:tcPr>
          <w:p w14:paraId="341E689E" w14:textId="77777777" w:rsidR="006561E8" w:rsidRPr="006561E8" w:rsidRDefault="006561E8" w:rsidP="006561E8">
            <w:pPr>
              <w:ind w:firstLine="0"/>
              <w:rPr>
                <w:lang w:val="en-GB"/>
              </w:rPr>
            </w:pPr>
            <w:r w:rsidRPr="006561E8">
              <w:rPr>
                <w:lang w:val="en-GB"/>
              </w:rPr>
              <w:t>Sector</w:t>
            </w:r>
          </w:p>
        </w:tc>
        <w:tc>
          <w:tcPr>
            <w:tcW w:w="1604" w:type="dxa"/>
            <w:vAlign w:val="center"/>
          </w:tcPr>
          <w:p w14:paraId="0DA0370A" w14:textId="173E3E9D" w:rsidR="006561E8" w:rsidRPr="006561E8" w:rsidRDefault="006561E8" w:rsidP="006561E8">
            <w:pPr>
              <w:ind w:firstLine="0"/>
              <w:jc w:val="center"/>
              <w:rPr>
                <w:lang w:val="en-GB"/>
              </w:rPr>
            </w:pPr>
            <w:r w:rsidRPr="006561E8">
              <w:rPr>
                <w:lang w:val="en-GB"/>
              </w:rPr>
              <w:t>Predicted</w:t>
            </w:r>
          </w:p>
        </w:tc>
        <w:tc>
          <w:tcPr>
            <w:tcW w:w="1605" w:type="dxa"/>
            <w:vAlign w:val="center"/>
          </w:tcPr>
          <w:p w14:paraId="566C329A" w14:textId="77777777" w:rsidR="006561E8" w:rsidRPr="006561E8" w:rsidRDefault="006561E8" w:rsidP="006561E8">
            <w:pPr>
              <w:ind w:firstLine="0"/>
              <w:jc w:val="center"/>
              <w:rPr>
                <w:lang w:val="en-GB"/>
              </w:rPr>
            </w:pPr>
            <w:r w:rsidRPr="006561E8">
              <w:rPr>
                <w:lang w:val="en-GB"/>
              </w:rPr>
              <w:t>Actual</w:t>
            </w:r>
          </w:p>
        </w:tc>
        <w:tc>
          <w:tcPr>
            <w:tcW w:w="1605" w:type="dxa"/>
            <w:vAlign w:val="center"/>
          </w:tcPr>
          <w:p w14:paraId="0FDE3216" w14:textId="77777777" w:rsidR="006561E8" w:rsidRPr="006561E8" w:rsidRDefault="006561E8" w:rsidP="006561E8">
            <w:pPr>
              <w:ind w:firstLine="0"/>
              <w:jc w:val="center"/>
              <w:rPr>
                <w:lang w:val="en-GB"/>
              </w:rPr>
            </w:pPr>
            <w:r w:rsidRPr="006561E8">
              <w:rPr>
                <w:lang w:val="en-GB"/>
              </w:rPr>
              <w:t>MAD</w:t>
            </w:r>
          </w:p>
        </w:tc>
        <w:tc>
          <w:tcPr>
            <w:tcW w:w="1374" w:type="dxa"/>
            <w:vAlign w:val="center"/>
          </w:tcPr>
          <w:p w14:paraId="5A343E4C" w14:textId="77777777" w:rsidR="006561E8" w:rsidRPr="006561E8" w:rsidRDefault="006561E8" w:rsidP="006561E8">
            <w:pPr>
              <w:ind w:firstLine="0"/>
              <w:jc w:val="center"/>
              <w:rPr>
                <w:lang w:val="en-GB"/>
              </w:rPr>
            </w:pPr>
            <w:r w:rsidRPr="006561E8">
              <w:rPr>
                <w:lang w:val="en-GB"/>
              </w:rPr>
              <w:t>MAPE, %</w:t>
            </w:r>
          </w:p>
        </w:tc>
        <w:tc>
          <w:tcPr>
            <w:tcW w:w="1836" w:type="dxa"/>
            <w:vAlign w:val="center"/>
          </w:tcPr>
          <w:p w14:paraId="2146CE51" w14:textId="47FEDBAC" w:rsidR="006561E8" w:rsidRPr="006561E8" w:rsidRDefault="006561E8" w:rsidP="006561E8">
            <w:pPr>
              <w:ind w:firstLine="0"/>
              <w:jc w:val="center"/>
              <w:rPr>
                <w:lang w:val="en-GB"/>
              </w:rPr>
            </w:pPr>
            <w:r w:rsidRPr="006561E8">
              <w:rPr>
                <w:lang w:val="en-GB"/>
              </w:rPr>
              <w:t>Sector efficiency</w:t>
            </w:r>
          </w:p>
        </w:tc>
      </w:tr>
      <w:tr w:rsidR="006561E8" w:rsidRPr="006561E8" w14:paraId="2B544A53" w14:textId="77777777" w:rsidTr="00E6233B">
        <w:trPr>
          <w:trHeight w:val="283"/>
        </w:trPr>
        <w:tc>
          <w:tcPr>
            <w:tcW w:w="1604" w:type="dxa"/>
            <w:vAlign w:val="center"/>
          </w:tcPr>
          <w:p w14:paraId="3C5EE350" w14:textId="77777777" w:rsidR="006561E8" w:rsidRPr="006561E8" w:rsidRDefault="006561E8" w:rsidP="006561E8">
            <w:pPr>
              <w:ind w:firstLine="0"/>
              <w:rPr>
                <w:lang w:val="en-GB"/>
              </w:rPr>
            </w:pPr>
            <w:r w:rsidRPr="006561E8">
              <w:rPr>
                <w:lang w:val="en-GB"/>
              </w:rPr>
              <w:t>Household</w:t>
            </w:r>
          </w:p>
        </w:tc>
        <w:tc>
          <w:tcPr>
            <w:tcW w:w="1604" w:type="dxa"/>
            <w:vAlign w:val="center"/>
          </w:tcPr>
          <w:p w14:paraId="1F435240" w14:textId="77777777" w:rsidR="006561E8" w:rsidRPr="006561E8" w:rsidRDefault="006561E8" w:rsidP="006561E8">
            <w:pPr>
              <w:ind w:firstLine="0"/>
              <w:jc w:val="center"/>
              <w:rPr>
                <w:lang w:val="en-GB"/>
              </w:rPr>
            </w:pPr>
            <w:r w:rsidRPr="006561E8">
              <w:rPr>
                <w:lang w:val="en-GB"/>
              </w:rPr>
              <w:t>232.26</w:t>
            </w:r>
          </w:p>
        </w:tc>
        <w:tc>
          <w:tcPr>
            <w:tcW w:w="1605" w:type="dxa"/>
            <w:vAlign w:val="center"/>
          </w:tcPr>
          <w:p w14:paraId="74B72116" w14:textId="77777777" w:rsidR="006561E8" w:rsidRPr="006561E8" w:rsidRDefault="006561E8" w:rsidP="006561E8">
            <w:pPr>
              <w:ind w:firstLine="0"/>
              <w:jc w:val="center"/>
              <w:rPr>
                <w:lang w:val="en-GB"/>
              </w:rPr>
            </w:pPr>
            <w:r w:rsidRPr="006561E8">
              <w:rPr>
                <w:lang w:val="en-GB"/>
              </w:rPr>
              <w:t>243.87</w:t>
            </w:r>
          </w:p>
        </w:tc>
        <w:tc>
          <w:tcPr>
            <w:tcW w:w="1605" w:type="dxa"/>
            <w:vAlign w:val="center"/>
          </w:tcPr>
          <w:p w14:paraId="307D3FE8" w14:textId="77777777" w:rsidR="006561E8" w:rsidRPr="006561E8" w:rsidRDefault="006561E8" w:rsidP="006561E8">
            <w:pPr>
              <w:ind w:firstLine="0"/>
              <w:jc w:val="center"/>
              <w:rPr>
                <w:lang w:val="en-GB"/>
              </w:rPr>
            </w:pPr>
            <w:r w:rsidRPr="006561E8">
              <w:rPr>
                <w:lang w:val="en-GB"/>
              </w:rPr>
              <w:t>11.61</w:t>
            </w:r>
          </w:p>
        </w:tc>
        <w:tc>
          <w:tcPr>
            <w:tcW w:w="1374" w:type="dxa"/>
            <w:vAlign w:val="center"/>
          </w:tcPr>
          <w:p w14:paraId="500964F2" w14:textId="552C9F63" w:rsidR="006561E8" w:rsidRPr="006561E8" w:rsidRDefault="006561E8" w:rsidP="006561E8">
            <w:pPr>
              <w:ind w:firstLine="0"/>
              <w:jc w:val="center"/>
              <w:rPr>
                <w:lang w:val="en-GB"/>
              </w:rPr>
            </w:pPr>
            <w:r w:rsidRPr="006561E8">
              <w:rPr>
                <w:lang w:val="en-GB"/>
              </w:rPr>
              <w:t>4</w:t>
            </w:r>
            <w:r w:rsidR="00A876D3">
              <w:rPr>
                <w:lang w:val="en-GB"/>
              </w:rPr>
              <w:t>.</w:t>
            </w:r>
            <w:r w:rsidRPr="006561E8">
              <w:rPr>
                <w:lang w:val="en-GB"/>
              </w:rPr>
              <w:t>76</w:t>
            </w:r>
          </w:p>
        </w:tc>
        <w:tc>
          <w:tcPr>
            <w:tcW w:w="1836" w:type="dxa"/>
            <w:vAlign w:val="center"/>
          </w:tcPr>
          <w:p w14:paraId="13728490" w14:textId="77777777" w:rsidR="006561E8" w:rsidRPr="006561E8" w:rsidRDefault="006561E8" w:rsidP="006561E8">
            <w:pPr>
              <w:ind w:firstLine="0"/>
              <w:jc w:val="center"/>
              <w:rPr>
                <w:lang w:val="en-GB"/>
              </w:rPr>
            </w:pPr>
            <w:r w:rsidRPr="006561E8">
              <w:rPr>
                <w:lang w:val="en-GB"/>
              </w:rPr>
              <w:t>yes</w:t>
            </w:r>
          </w:p>
        </w:tc>
      </w:tr>
      <w:tr w:rsidR="006561E8" w:rsidRPr="006561E8" w14:paraId="072D7610" w14:textId="77777777" w:rsidTr="00E6233B">
        <w:trPr>
          <w:trHeight w:val="283"/>
        </w:trPr>
        <w:tc>
          <w:tcPr>
            <w:tcW w:w="1604" w:type="dxa"/>
            <w:vAlign w:val="center"/>
          </w:tcPr>
          <w:p w14:paraId="5BB42CF7" w14:textId="77777777" w:rsidR="006561E8" w:rsidRPr="006561E8" w:rsidRDefault="006561E8" w:rsidP="006561E8">
            <w:pPr>
              <w:ind w:firstLine="0"/>
              <w:rPr>
                <w:lang w:val="en-GB"/>
              </w:rPr>
            </w:pPr>
            <w:r w:rsidRPr="006561E8">
              <w:rPr>
                <w:lang w:val="en-GB"/>
              </w:rPr>
              <w:t>Transport</w:t>
            </w:r>
          </w:p>
        </w:tc>
        <w:tc>
          <w:tcPr>
            <w:tcW w:w="1604" w:type="dxa"/>
            <w:vAlign w:val="center"/>
          </w:tcPr>
          <w:p w14:paraId="2A2DDF44" w14:textId="77777777" w:rsidR="006561E8" w:rsidRPr="006561E8" w:rsidRDefault="006561E8" w:rsidP="006561E8">
            <w:pPr>
              <w:ind w:firstLine="0"/>
              <w:jc w:val="center"/>
              <w:rPr>
                <w:lang w:val="en-GB"/>
              </w:rPr>
            </w:pPr>
            <w:r w:rsidRPr="006561E8">
              <w:rPr>
                <w:lang w:val="en-GB"/>
              </w:rPr>
              <w:t>256.40</w:t>
            </w:r>
          </w:p>
        </w:tc>
        <w:tc>
          <w:tcPr>
            <w:tcW w:w="1605" w:type="dxa"/>
            <w:vAlign w:val="center"/>
          </w:tcPr>
          <w:p w14:paraId="3CDAFDE2" w14:textId="77777777" w:rsidR="006561E8" w:rsidRPr="006561E8" w:rsidRDefault="006561E8" w:rsidP="006561E8">
            <w:pPr>
              <w:ind w:firstLine="0"/>
              <w:jc w:val="center"/>
              <w:rPr>
                <w:lang w:val="en-GB"/>
              </w:rPr>
            </w:pPr>
            <w:r w:rsidRPr="006561E8">
              <w:rPr>
                <w:lang w:val="en-GB"/>
              </w:rPr>
              <w:t>256.66</w:t>
            </w:r>
          </w:p>
        </w:tc>
        <w:tc>
          <w:tcPr>
            <w:tcW w:w="1605" w:type="dxa"/>
            <w:vAlign w:val="center"/>
          </w:tcPr>
          <w:p w14:paraId="384A9A33" w14:textId="77777777" w:rsidR="006561E8" w:rsidRPr="006561E8" w:rsidRDefault="006561E8" w:rsidP="006561E8">
            <w:pPr>
              <w:ind w:firstLine="0"/>
              <w:jc w:val="center"/>
              <w:rPr>
                <w:lang w:val="en-GB"/>
              </w:rPr>
            </w:pPr>
            <w:r w:rsidRPr="006561E8">
              <w:rPr>
                <w:lang w:val="en-GB"/>
              </w:rPr>
              <w:t>0.26</w:t>
            </w:r>
          </w:p>
        </w:tc>
        <w:tc>
          <w:tcPr>
            <w:tcW w:w="1374" w:type="dxa"/>
            <w:vAlign w:val="center"/>
          </w:tcPr>
          <w:p w14:paraId="210A5ADD" w14:textId="03B6EDF8" w:rsidR="006561E8" w:rsidRPr="006561E8" w:rsidRDefault="006561E8" w:rsidP="006561E8">
            <w:pPr>
              <w:ind w:firstLine="0"/>
              <w:jc w:val="center"/>
              <w:rPr>
                <w:lang w:val="en-GB"/>
              </w:rPr>
            </w:pPr>
            <w:r w:rsidRPr="006561E8">
              <w:rPr>
                <w:lang w:val="en-GB"/>
              </w:rPr>
              <w:t>0</w:t>
            </w:r>
            <w:r w:rsidR="00A876D3">
              <w:rPr>
                <w:lang w:val="en-GB"/>
              </w:rPr>
              <w:t>.</w:t>
            </w:r>
            <w:r w:rsidRPr="006561E8">
              <w:rPr>
                <w:lang w:val="en-GB"/>
              </w:rPr>
              <w:t>10</w:t>
            </w:r>
          </w:p>
        </w:tc>
        <w:tc>
          <w:tcPr>
            <w:tcW w:w="1836" w:type="dxa"/>
            <w:vAlign w:val="center"/>
          </w:tcPr>
          <w:p w14:paraId="254C9CF0" w14:textId="77777777" w:rsidR="006561E8" w:rsidRPr="006561E8" w:rsidRDefault="006561E8" w:rsidP="006561E8">
            <w:pPr>
              <w:ind w:firstLine="0"/>
              <w:jc w:val="center"/>
              <w:rPr>
                <w:lang w:val="en-GB"/>
              </w:rPr>
            </w:pPr>
            <w:r w:rsidRPr="006561E8">
              <w:rPr>
                <w:lang w:val="en-GB"/>
              </w:rPr>
              <w:t>yes</w:t>
            </w:r>
          </w:p>
        </w:tc>
      </w:tr>
      <w:tr w:rsidR="006561E8" w:rsidRPr="006561E8" w14:paraId="580EC621" w14:textId="77777777" w:rsidTr="00E6233B">
        <w:trPr>
          <w:trHeight w:val="283"/>
        </w:trPr>
        <w:tc>
          <w:tcPr>
            <w:tcW w:w="1604" w:type="dxa"/>
            <w:vAlign w:val="center"/>
          </w:tcPr>
          <w:p w14:paraId="7616F33D" w14:textId="77777777" w:rsidR="006561E8" w:rsidRPr="006561E8" w:rsidRDefault="006561E8" w:rsidP="006561E8">
            <w:pPr>
              <w:ind w:firstLine="0"/>
              <w:rPr>
                <w:lang w:val="en-GB"/>
              </w:rPr>
            </w:pPr>
            <w:r w:rsidRPr="006561E8">
              <w:rPr>
                <w:lang w:val="en-GB"/>
              </w:rPr>
              <w:t>Manufacture</w:t>
            </w:r>
          </w:p>
        </w:tc>
        <w:tc>
          <w:tcPr>
            <w:tcW w:w="1604" w:type="dxa"/>
            <w:vAlign w:val="center"/>
          </w:tcPr>
          <w:p w14:paraId="697E6A89" w14:textId="77777777" w:rsidR="006561E8" w:rsidRPr="006561E8" w:rsidRDefault="006561E8" w:rsidP="006561E8">
            <w:pPr>
              <w:ind w:firstLine="0"/>
              <w:jc w:val="center"/>
              <w:rPr>
                <w:lang w:val="en-GB"/>
              </w:rPr>
            </w:pPr>
            <w:r w:rsidRPr="006561E8">
              <w:rPr>
                <w:lang w:val="en-GB"/>
              </w:rPr>
              <w:t>283.59</w:t>
            </w:r>
          </w:p>
        </w:tc>
        <w:tc>
          <w:tcPr>
            <w:tcW w:w="1605" w:type="dxa"/>
            <w:vAlign w:val="center"/>
          </w:tcPr>
          <w:p w14:paraId="31CA01E1" w14:textId="77777777" w:rsidR="006561E8" w:rsidRPr="006561E8" w:rsidRDefault="006561E8" w:rsidP="006561E8">
            <w:pPr>
              <w:ind w:firstLine="0"/>
              <w:jc w:val="center"/>
              <w:rPr>
                <w:lang w:val="en-GB"/>
              </w:rPr>
            </w:pPr>
            <w:r w:rsidRPr="006561E8">
              <w:rPr>
                <w:lang w:val="en-GB"/>
              </w:rPr>
              <w:t>256.40</w:t>
            </w:r>
          </w:p>
        </w:tc>
        <w:tc>
          <w:tcPr>
            <w:tcW w:w="1605" w:type="dxa"/>
            <w:vAlign w:val="center"/>
          </w:tcPr>
          <w:p w14:paraId="2DB6F519" w14:textId="77777777" w:rsidR="006561E8" w:rsidRPr="006561E8" w:rsidRDefault="006561E8" w:rsidP="006561E8">
            <w:pPr>
              <w:ind w:firstLine="0"/>
              <w:jc w:val="center"/>
              <w:rPr>
                <w:lang w:val="en-GB"/>
              </w:rPr>
            </w:pPr>
            <w:r w:rsidRPr="006561E8">
              <w:rPr>
                <w:lang w:val="en-GB"/>
              </w:rPr>
              <w:t>27.19</w:t>
            </w:r>
          </w:p>
        </w:tc>
        <w:tc>
          <w:tcPr>
            <w:tcW w:w="1374" w:type="dxa"/>
            <w:vAlign w:val="center"/>
          </w:tcPr>
          <w:p w14:paraId="5EE58A2F" w14:textId="77777777" w:rsidR="006561E8" w:rsidRPr="006561E8" w:rsidRDefault="006561E8" w:rsidP="006561E8">
            <w:pPr>
              <w:ind w:firstLine="0"/>
              <w:jc w:val="center"/>
              <w:rPr>
                <w:lang w:val="en-GB"/>
              </w:rPr>
            </w:pPr>
            <w:r w:rsidRPr="006561E8">
              <w:rPr>
                <w:lang w:val="en-GB"/>
              </w:rPr>
              <w:t>10.60</w:t>
            </w:r>
          </w:p>
        </w:tc>
        <w:tc>
          <w:tcPr>
            <w:tcW w:w="1836" w:type="dxa"/>
            <w:vAlign w:val="center"/>
          </w:tcPr>
          <w:p w14:paraId="26F31F91" w14:textId="77777777" w:rsidR="006561E8" w:rsidRPr="006561E8" w:rsidRDefault="006561E8" w:rsidP="006561E8">
            <w:pPr>
              <w:ind w:firstLine="0"/>
              <w:jc w:val="center"/>
              <w:rPr>
                <w:lang w:val="en-GB"/>
              </w:rPr>
            </w:pPr>
            <w:r w:rsidRPr="006561E8">
              <w:rPr>
                <w:lang w:val="en-GB"/>
              </w:rPr>
              <w:t>no</w:t>
            </w:r>
          </w:p>
        </w:tc>
      </w:tr>
      <w:tr w:rsidR="006561E8" w:rsidRPr="006561E8" w14:paraId="75BB4AF6" w14:textId="77777777" w:rsidTr="00E6233B">
        <w:trPr>
          <w:trHeight w:val="283"/>
        </w:trPr>
        <w:tc>
          <w:tcPr>
            <w:tcW w:w="1604" w:type="dxa"/>
            <w:vAlign w:val="center"/>
          </w:tcPr>
          <w:p w14:paraId="49D3D2A1" w14:textId="77777777" w:rsidR="006561E8" w:rsidRPr="006561E8" w:rsidRDefault="006561E8" w:rsidP="006561E8">
            <w:pPr>
              <w:ind w:firstLine="0"/>
              <w:rPr>
                <w:lang w:val="en-GB"/>
              </w:rPr>
            </w:pPr>
            <w:r w:rsidRPr="006561E8">
              <w:rPr>
                <w:lang w:val="en-GB"/>
              </w:rPr>
              <w:t>Power Plants</w:t>
            </w:r>
          </w:p>
        </w:tc>
        <w:tc>
          <w:tcPr>
            <w:tcW w:w="1604" w:type="dxa"/>
            <w:vAlign w:val="center"/>
          </w:tcPr>
          <w:p w14:paraId="5E4440E1" w14:textId="77777777" w:rsidR="006561E8" w:rsidRPr="006561E8" w:rsidRDefault="006561E8" w:rsidP="006561E8">
            <w:pPr>
              <w:ind w:firstLine="0"/>
              <w:jc w:val="center"/>
              <w:rPr>
                <w:lang w:val="en-GB"/>
              </w:rPr>
            </w:pPr>
            <w:r w:rsidRPr="006561E8">
              <w:rPr>
                <w:lang w:val="en-GB"/>
              </w:rPr>
              <w:t>748.49</w:t>
            </w:r>
          </w:p>
        </w:tc>
        <w:tc>
          <w:tcPr>
            <w:tcW w:w="1605" w:type="dxa"/>
            <w:vAlign w:val="center"/>
          </w:tcPr>
          <w:p w14:paraId="7B79E222" w14:textId="77777777" w:rsidR="006561E8" w:rsidRPr="006561E8" w:rsidRDefault="006561E8" w:rsidP="006561E8">
            <w:pPr>
              <w:ind w:firstLine="0"/>
              <w:jc w:val="center"/>
              <w:rPr>
                <w:lang w:val="en-GB"/>
              </w:rPr>
            </w:pPr>
            <w:r w:rsidRPr="006561E8">
              <w:rPr>
                <w:lang w:val="en-GB"/>
              </w:rPr>
              <w:t>672.74</w:t>
            </w:r>
          </w:p>
        </w:tc>
        <w:tc>
          <w:tcPr>
            <w:tcW w:w="1605" w:type="dxa"/>
            <w:vAlign w:val="center"/>
          </w:tcPr>
          <w:p w14:paraId="0DE52FDC" w14:textId="77777777" w:rsidR="006561E8" w:rsidRPr="006561E8" w:rsidRDefault="006561E8" w:rsidP="006561E8">
            <w:pPr>
              <w:ind w:firstLine="0"/>
              <w:jc w:val="center"/>
              <w:rPr>
                <w:lang w:val="en-GB"/>
              </w:rPr>
            </w:pPr>
            <w:r w:rsidRPr="006561E8">
              <w:rPr>
                <w:lang w:val="en-GB"/>
              </w:rPr>
              <w:t>75.75</w:t>
            </w:r>
          </w:p>
        </w:tc>
        <w:tc>
          <w:tcPr>
            <w:tcW w:w="1374" w:type="dxa"/>
            <w:vAlign w:val="center"/>
          </w:tcPr>
          <w:p w14:paraId="2C69C7FD" w14:textId="77777777" w:rsidR="006561E8" w:rsidRPr="006561E8" w:rsidRDefault="006561E8" w:rsidP="006561E8">
            <w:pPr>
              <w:ind w:firstLine="0"/>
              <w:jc w:val="center"/>
              <w:rPr>
                <w:lang w:val="en-GB"/>
              </w:rPr>
            </w:pPr>
            <w:r w:rsidRPr="006561E8">
              <w:rPr>
                <w:lang w:val="en-GB"/>
              </w:rPr>
              <w:t>11.25</w:t>
            </w:r>
          </w:p>
        </w:tc>
        <w:tc>
          <w:tcPr>
            <w:tcW w:w="1836" w:type="dxa"/>
            <w:vAlign w:val="center"/>
          </w:tcPr>
          <w:p w14:paraId="712A102C" w14:textId="77777777" w:rsidR="006561E8" w:rsidRPr="006561E8" w:rsidRDefault="006561E8" w:rsidP="006561E8">
            <w:pPr>
              <w:ind w:firstLine="0"/>
              <w:jc w:val="center"/>
              <w:rPr>
                <w:lang w:val="en-GB"/>
              </w:rPr>
            </w:pPr>
            <w:r w:rsidRPr="006561E8">
              <w:rPr>
                <w:lang w:val="en-GB"/>
              </w:rPr>
              <w:t>no</w:t>
            </w:r>
          </w:p>
        </w:tc>
      </w:tr>
      <w:tr w:rsidR="006561E8" w:rsidRPr="006561E8" w14:paraId="09101C66" w14:textId="77777777" w:rsidTr="00E6233B">
        <w:trPr>
          <w:trHeight w:val="283"/>
        </w:trPr>
        <w:tc>
          <w:tcPr>
            <w:tcW w:w="1604" w:type="dxa"/>
            <w:vAlign w:val="center"/>
          </w:tcPr>
          <w:p w14:paraId="2D37BD9F" w14:textId="77777777" w:rsidR="006561E8" w:rsidRPr="006561E8" w:rsidRDefault="006561E8" w:rsidP="006561E8">
            <w:pPr>
              <w:ind w:firstLine="0"/>
              <w:rPr>
                <w:lang w:val="en-GB"/>
              </w:rPr>
            </w:pPr>
            <w:r w:rsidRPr="006561E8">
              <w:rPr>
                <w:lang w:val="en-GB"/>
              </w:rPr>
              <w:t>Mining</w:t>
            </w:r>
          </w:p>
        </w:tc>
        <w:tc>
          <w:tcPr>
            <w:tcW w:w="1604" w:type="dxa"/>
            <w:vAlign w:val="center"/>
          </w:tcPr>
          <w:p w14:paraId="4E725926" w14:textId="77777777" w:rsidR="006561E8" w:rsidRPr="006561E8" w:rsidRDefault="006561E8" w:rsidP="006561E8">
            <w:pPr>
              <w:ind w:firstLine="0"/>
              <w:jc w:val="center"/>
              <w:rPr>
                <w:lang w:val="en-GB"/>
              </w:rPr>
            </w:pPr>
            <w:r w:rsidRPr="006561E8">
              <w:rPr>
                <w:lang w:val="en-GB"/>
              </w:rPr>
              <w:t>2342.96</w:t>
            </w:r>
          </w:p>
        </w:tc>
        <w:tc>
          <w:tcPr>
            <w:tcW w:w="1605" w:type="dxa"/>
            <w:vAlign w:val="center"/>
          </w:tcPr>
          <w:p w14:paraId="13D2DF39" w14:textId="77777777" w:rsidR="006561E8" w:rsidRPr="006561E8" w:rsidRDefault="006561E8" w:rsidP="006561E8">
            <w:pPr>
              <w:ind w:firstLine="0"/>
              <w:jc w:val="center"/>
              <w:rPr>
                <w:lang w:val="en-GB"/>
              </w:rPr>
            </w:pPr>
            <w:r w:rsidRPr="006561E8">
              <w:rPr>
                <w:lang w:val="en-GB"/>
              </w:rPr>
              <w:t>2056.44</w:t>
            </w:r>
          </w:p>
        </w:tc>
        <w:tc>
          <w:tcPr>
            <w:tcW w:w="1605" w:type="dxa"/>
            <w:vAlign w:val="center"/>
          </w:tcPr>
          <w:p w14:paraId="1BCA4E13" w14:textId="77777777" w:rsidR="006561E8" w:rsidRPr="006561E8" w:rsidRDefault="006561E8" w:rsidP="006561E8">
            <w:pPr>
              <w:ind w:firstLine="0"/>
              <w:jc w:val="center"/>
              <w:rPr>
                <w:lang w:val="en-GB"/>
              </w:rPr>
            </w:pPr>
            <w:r w:rsidRPr="006561E8">
              <w:rPr>
                <w:lang w:val="en-GB"/>
              </w:rPr>
              <w:t>286.52</w:t>
            </w:r>
          </w:p>
        </w:tc>
        <w:tc>
          <w:tcPr>
            <w:tcW w:w="1374" w:type="dxa"/>
            <w:vAlign w:val="center"/>
          </w:tcPr>
          <w:p w14:paraId="3B21E381" w14:textId="77777777" w:rsidR="006561E8" w:rsidRPr="006561E8" w:rsidRDefault="006561E8" w:rsidP="006561E8">
            <w:pPr>
              <w:ind w:firstLine="0"/>
              <w:jc w:val="center"/>
              <w:rPr>
                <w:lang w:val="en-GB"/>
              </w:rPr>
            </w:pPr>
            <w:r w:rsidRPr="006561E8">
              <w:rPr>
                <w:lang w:val="en-GB"/>
              </w:rPr>
              <w:t>13.93</w:t>
            </w:r>
          </w:p>
        </w:tc>
        <w:tc>
          <w:tcPr>
            <w:tcW w:w="1836" w:type="dxa"/>
            <w:vAlign w:val="center"/>
          </w:tcPr>
          <w:p w14:paraId="1E2192F9" w14:textId="77777777" w:rsidR="006561E8" w:rsidRPr="006561E8" w:rsidRDefault="006561E8" w:rsidP="006561E8">
            <w:pPr>
              <w:ind w:firstLine="0"/>
              <w:jc w:val="center"/>
              <w:rPr>
                <w:lang w:val="en-GB"/>
              </w:rPr>
            </w:pPr>
            <w:r w:rsidRPr="006561E8">
              <w:rPr>
                <w:lang w:val="en-GB"/>
              </w:rPr>
              <w:t>no</w:t>
            </w:r>
          </w:p>
        </w:tc>
      </w:tr>
    </w:tbl>
    <w:p w14:paraId="4A033036" w14:textId="77777777" w:rsidR="006561E8" w:rsidRDefault="006561E8" w:rsidP="006561E8">
      <w:pPr>
        <w:ind w:firstLine="284"/>
        <w:jc w:val="both"/>
        <w:rPr>
          <w:lang w:val="en-GB"/>
        </w:rPr>
      </w:pPr>
    </w:p>
    <w:p w14:paraId="31399202" w14:textId="4AEEE63B" w:rsidR="006561E8" w:rsidRPr="006561E8" w:rsidRDefault="006561E8" w:rsidP="006561E8">
      <w:pPr>
        <w:ind w:firstLine="284"/>
        <w:jc w:val="both"/>
        <w:rPr>
          <w:lang w:val="en-GB"/>
        </w:rPr>
      </w:pPr>
      <w:r w:rsidRPr="006561E8">
        <w:rPr>
          <w:lang w:val="en-GB"/>
        </w:rPr>
        <w:t>The efficiency of other sectors is significantly lower, particularly for the power plants and mining subsectors, indicating the absence of additional parameters that should have been included in the model.</w:t>
      </w:r>
    </w:p>
    <w:p w14:paraId="08A3124C" w14:textId="7A927044" w:rsidR="006561E8" w:rsidRPr="006561E8" w:rsidRDefault="006561E8" w:rsidP="006561E8">
      <w:pPr>
        <w:ind w:firstLine="284"/>
        <w:jc w:val="both"/>
        <w:rPr>
          <w:lang w:val="en-GB"/>
        </w:rPr>
      </w:pPr>
      <w:r w:rsidRPr="006561E8">
        <w:rPr>
          <w:lang w:val="en-GB"/>
        </w:rPr>
        <w:t xml:space="preserve">After calibrating the parameters, SER is performed using the 2023 data. The results, </w:t>
      </w:r>
      <w:r w:rsidR="002B737D">
        <w:rPr>
          <w:lang w:val="en-GB"/>
        </w:rPr>
        <w:t>presented in Table 3, demonstrate a high-efficiency level</w:t>
      </w:r>
      <w:r w:rsidRPr="006561E8">
        <w:rPr>
          <w:lang w:val="en-GB"/>
        </w:rPr>
        <w:t xml:space="preserve"> across all sectors.</w:t>
      </w:r>
    </w:p>
    <w:p w14:paraId="7301B098" w14:textId="3FEF980F" w:rsidR="006561E8" w:rsidRPr="006561E8" w:rsidRDefault="006561E8" w:rsidP="006561E8">
      <w:pPr>
        <w:ind w:firstLine="284"/>
        <w:jc w:val="both"/>
        <w:rPr>
          <w:lang w:val="en-GB"/>
        </w:rPr>
      </w:pPr>
    </w:p>
    <w:p w14:paraId="22E09FE5" w14:textId="77777777" w:rsidR="006561E8" w:rsidRPr="006561E8" w:rsidRDefault="006561E8" w:rsidP="006561E8">
      <w:pPr>
        <w:pStyle w:val="Rtab"/>
        <w:rPr>
          <w:lang w:val="en-GB"/>
        </w:rPr>
      </w:pPr>
      <w:r w:rsidRPr="00E9412D">
        <w:rPr>
          <w:b/>
          <w:bCs/>
          <w:lang w:val="en-GB"/>
        </w:rPr>
        <w:t>Table 3.</w:t>
      </w:r>
      <w:r w:rsidRPr="006561E8">
        <w:rPr>
          <w:lang w:val="en-GB"/>
        </w:rPr>
        <w:t xml:space="preserve"> Comparison of predicted and actual data for 2023 without calibration</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134"/>
        <w:gridCol w:w="1134"/>
        <w:gridCol w:w="1872"/>
      </w:tblGrid>
      <w:tr w:rsidR="00323D7A" w:rsidRPr="00323D7A" w14:paraId="26C06BC1" w14:textId="77777777" w:rsidTr="00E6233B">
        <w:trPr>
          <w:trHeight w:val="340"/>
        </w:trPr>
        <w:tc>
          <w:tcPr>
            <w:tcW w:w="1701" w:type="dxa"/>
            <w:vAlign w:val="center"/>
            <w:hideMark/>
          </w:tcPr>
          <w:p w14:paraId="043095C8" w14:textId="77777777" w:rsidR="00323D7A" w:rsidRPr="00323D7A" w:rsidRDefault="00323D7A" w:rsidP="00323D7A">
            <w:pPr>
              <w:ind w:firstLine="0"/>
              <w:rPr>
                <w:rFonts w:eastAsia="SimSun"/>
                <w:bCs/>
                <w:lang w:val="en-GB"/>
              </w:rPr>
            </w:pPr>
            <w:r w:rsidRPr="00323D7A">
              <w:rPr>
                <w:rFonts w:eastAsia="SimSun"/>
                <w:bCs/>
                <w:lang w:val="en-GB"/>
              </w:rPr>
              <w:t>Sector</w:t>
            </w:r>
          </w:p>
        </w:tc>
        <w:tc>
          <w:tcPr>
            <w:tcW w:w="1134" w:type="dxa"/>
            <w:vAlign w:val="center"/>
          </w:tcPr>
          <w:p w14:paraId="56EED573" w14:textId="77777777" w:rsidR="00323D7A" w:rsidRPr="00323D7A" w:rsidRDefault="00323D7A" w:rsidP="00323D7A">
            <w:pPr>
              <w:ind w:firstLine="0"/>
              <w:jc w:val="center"/>
              <w:rPr>
                <w:rFonts w:eastAsia="SimSun"/>
                <w:bCs/>
                <w:lang w:val="en-GB"/>
              </w:rPr>
            </w:pPr>
            <w:r w:rsidRPr="00323D7A">
              <w:rPr>
                <w:rFonts w:eastAsia="SimSun"/>
                <w:bCs/>
                <w:lang w:val="en-GB"/>
              </w:rPr>
              <w:t>Predicted</w:t>
            </w:r>
          </w:p>
        </w:tc>
        <w:tc>
          <w:tcPr>
            <w:tcW w:w="1134" w:type="dxa"/>
            <w:vAlign w:val="center"/>
          </w:tcPr>
          <w:p w14:paraId="237F74AC" w14:textId="77777777" w:rsidR="00323D7A" w:rsidRPr="00323D7A" w:rsidRDefault="00323D7A" w:rsidP="00323D7A">
            <w:pPr>
              <w:ind w:firstLine="0"/>
              <w:jc w:val="center"/>
              <w:rPr>
                <w:rFonts w:eastAsia="SimSun"/>
                <w:bCs/>
                <w:lang w:val="en-GB"/>
              </w:rPr>
            </w:pPr>
            <w:r w:rsidRPr="00323D7A">
              <w:rPr>
                <w:rFonts w:eastAsia="SimSun"/>
                <w:bCs/>
                <w:lang w:val="en-GB"/>
              </w:rPr>
              <w:t>Actual</w:t>
            </w:r>
          </w:p>
        </w:tc>
        <w:tc>
          <w:tcPr>
            <w:tcW w:w="1134" w:type="dxa"/>
            <w:vAlign w:val="center"/>
            <w:hideMark/>
          </w:tcPr>
          <w:p w14:paraId="6BABA06E" w14:textId="77777777" w:rsidR="00323D7A" w:rsidRPr="00323D7A" w:rsidRDefault="00323D7A" w:rsidP="00323D7A">
            <w:pPr>
              <w:ind w:firstLine="0"/>
              <w:jc w:val="center"/>
              <w:rPr>
                <w:rFonts w:eastAsia="SimSun"/>
                <w:bCs/>
                <w:lang w:val="en-GB"/>
              </w:rPr>
            </w:pPr>
            <w:r w:rsidRPr="00323D7A">
              <w:rPr>
                <w:rFonts w:eastAsia="SimSun"/>
                <w:bCs/>
                <w:lang w:val="en-GB"/>
              </w:rPr>
              <w:t>MAD</w:t>
            </w:r>
          </w:p>
        </w:tc>
        <w:tc>
          <w:tcPr>
            <w:tcW w:w="1134" w:type="dxa"/>
            <w:vAlign w:val="center"/>
          </w:tcPr>
          <w:p w14:paraId="323693C6" w14:textId="77777777" w:rsidR="00323D7A" w:rsidRPr="00323D7A" w:rsidRDefault="00323D7A" w:rsidP="00323D7A">
            <w:pPr>
              <w:ind w:firstLine="0"/>
              <w:jc w:val="center"/>
              <w:rPr>
                <w:rFonts w:eastAsia="SimSun"/>
                <w:bCs/>
                <w:lang w:val="en-GB"/>
              </w:rPr>
            </w:pPr>
            <w:r w:rsidRPr="00323D7A">
              <w:rPr>
                <w:rFonts w:eastAsia="SimSun"/>
                <w:bCs/>
                <w:lang w:val="en-GB"/>
              </w:rPr>
              <w:t>MAPE, %</w:t>
            </w:r>
          </w:p>
        </w:tc>
        <w:tc>
          <w:tcPr>
            <w:tcW w:w="1872" w:type="dxa"/>
            <w:vAlign w:val="center"/>
            <w:hideMark/>
          </w:tcPr>
          <w:p w14:paraId="2A8AB7F8" w14:textId="4C5C7255" w:rsidR="00323D7A" w:rsidRPr="00323D7A" w:rsidRDefault="00323D7A" w:rsidP="00323D7A">
            <w:pPr>
              <w:ind w:firstLine="0"/>
              <w:jc w:val="center"/>
              <w:rPr>
                <w:rFonts w:eastAsia="SimSun"/>
                <w:bCs/>
                <w:lang w:val="en-GB"/>
              </w:rPr>
            </w:pPr>
            <w:r w:rsidRPr="00323D7A">
              <w:rPr>
                <w:rFonts w:eastAsia="SimSun"/>
                <w:bCs/>
                <w:lang w:val="en-GB"/>
              </w:rPr>
              <w:t>Sector efficiency</w:t>
            </w:r>
          </w:p>
        </w:tc>
      </w:tr>
      <w:tr w:rsidR="00323D7A" w:rsidRPr="00323D7A" w14:paraId="212BE3FF" w14:textId="77777777" w:rsidTr="004866CD">
        <w:trPr>
          <w:trHeight w:val="283"/>
        </w:trPr>
        <w:tc>
          <w:tcPr>
            <w:tcW w:w="1701" w:type="dxa"/>
            <w:vAlign w:val="center"/>
          </w:tcPr>
          <w:p w14:paraId="3EF2899B" w14:textId="77777777" w:rsidR="00323D7A" w:rsidRPr="00323D7A" w:rsidRDefault="00323D7A" w:rsidP="00323D7A">
            <w:pPr>
              <w:ind w:firstLine="0"/>
              <w:rPr>
                <w:rFonts w:eastAsia="SimSun"/>
                <w:bCs/>
                <w:lang w:val="en-GB"/>
              </w:rPr>
            </w:pPr>
            <w:r w:rsidRPr="00323D7A">
              <w:rPr>
                <w:rFonts w:eastAsia="SimSun"/>
                <w:bCs/>
                <w:lang w:val="en-GB"/>
              </w:rPr>
              <w:t>Household</w:t>
            </w:r>
          </w:p>
        </w:tc>
        <w:tc>
          <w:tcPr>
            <w:tcW w:w="1134" w:type="dxa"/>
            <w:vAlign w:val="center"/>
          </w:tcPr>
          <w:p w14:paraId="7995C583" w14:textId="77777777" w:rsidR="00323D7A" w:rsidRPr="00323D7A" w:rsidRDefault="00323D7A" w:rsidP="00323D7A">
            <w:pPr>
              <w:ind w:firstLine="0"/>
              <w:jc w:val="center"/>
              <w:rPr>
                <w:rFonts w:eastAsia="SimSun"/>
                <w:bCs/>
                <w:lang w:val="en-GB"/>
              </w:rPr>
            </w:pPr>
            <w:r w:rsidRPr="00323D7A">
              <w:rPr>
                <w:rFonts w:eastAsia="SimSun"/>
                <w:bCs/>
                <w:lang w:val="en-GB"/>
              </w:rPr>
              <w:t>244.98</w:t>
            </w:r>
          </w:p>
        </w:tc>
        <w:tc>
          <w:tcPr>
            <w:tcW w:w="1134" w:type="dxa"/>
            <w:vAlign w:val="center"/>
          </w:tcPr>
          <w:p w14:paraId="01C73A5D" w14:textId="77777777" w:rsidR="00323D7A" w:rsidRPr="00323D7A" w:rsidRDefault="00323D7A" w:rsidP="00323D7A">
            <w:pPr>
              <w:ind w:firstLine="0"/>
              <w:jc w:val="center"/>
              <w:rPr>
                <w:rFonts w:eastAsia="SimSun"/>
                <w:bCs/>
                <w:lang w:val="en-GB"/>
              </w:rPr>
            </w:pPr>
            <w:r w:rsidRPr="00323D7A">
              <w:rPr>
                <w:rFonts w:eastAsia="SimSun"/>
                <w:bCs/>
                <w:lang w:val="en-GB"/>
              </w:rPr>
              <w:t>270.25</w:t>
            </w:r>
          </w:p>
        </w:tc>
        <w:tc>
          <w:tcPr>
            <w:tcW w:w="1134" w:type="dxa"/>
            <w:shd w:val="clear" w:color="auto" w:fill="FFFFFF"/>
            <w:vAlign w:val="center"/>
          </w:tcPr>
          <w:p w14:paraId="5316BA5B" w14:textId="77777777" w:rsidR="00323D7A" w:rsidRPr="00323D7A" w:rsidRDefault="00323D7A" w:rsidP="00323D7A">
            <w:pPr>
              <w:ind w:firstLine="0"/>
              <w:jc w:val="center"/>
              <w:rPr>
                <w:rFonts w:eastAsia="SimSun"/>
                <w:bCs/>
                <w:lang w:val="en-GB"/>
              </w:rPr>
            </w:pPr>
            <w:r w:rsidRPr="00323D7A">
              <w:rPr>
                <w:rFonts w:eastAsia="SimSun"/>
                <w:bCs/>
                <w:lang w:val="en-GB"/>
              </w:rPr>
              <w:t>25.27</w:t>
            </w:r>
          </w:p>
        </w:tc>
        <w:tc>
          <w:tcPr>
            <w:tcW w:w="1134" w:type="dxa"/>
            <w:shd w:val="clear" w:color="auto" w:fill="FFFFFF"/>
            <w:vAlign w:val="center"/>
          </w:tcPr>
          <w:p w14:paraId="29F81439" w14:textId="77777777" w:rsidR="00323D7A" w:rsidRPr="00323D7A" w:rsidRDefault="00323D7A" w:rsidP="00323D7A">
            <w:pPr>
              <w:ind w:firstLine="0"/>
              <w:jc w:val="center"/>
              <w:rPr>
                <w:rFonts w:eastAsia="SimSun"/>
                <w:bCs/>
                <w:lang w:val="en-GB"/>
              </w:rPr>
            </w:pPr>
            <w:r w:rsidRPr="00323D7A">
              <w:rPr>
                <w:rFonts w:eastAsia="SimSun"/>
                <w:bCs/>
                <w:lang w:val="en-GB"/>
              </w:rPr>
              <w:t>9.35</w:t>
            </w:r>
          </w:p>
        </w:tc>
        <w:tc>
          <w:tcPr>
            <w:tcW w:w="1872" w:type="dxa"/>
            <w:shd w:val="clear" w:color="auto" w:fill="FFFFFF"/>
            <w:vAlign w:val="center"/>
          </w:tcPr>
          <w:p w14:paraId="2D2C8D0D" w14:textId="77777777" w:rsidR="00323D7A" w:rsidRPr="00323D7A" w:rsidRDefault="00323D7A" w:rsidP="00323D7A">
            <w:pPr>
              <w:ind w:firstLine="0"/>
              <w:jc w:val="center"/>
              <w:rPr>
                <w:rFonts w:eastAsia="SimSun"/>
                <w:bCs/>
                <w:lang w:val="en-GB"/>
              </w:rPr>
            </w:pPr>
            <w:r w:rsidRPr="00323D7A">
              <w:rPr>
                <w:rFonts w:eastAsia="SimSun"/>
                <w:bCs/>
                <w:lang w:val="en-GB"/>
              </w:rPr>
              <w:t>yes</w:t>
            </w:r>
          </w:p>
        </w:tc>
      </w:tr>
      <w:tr w:rsidR="00323D7A" w:rsidRPr="00323D7A" w14:paraId="131BDE90" w14:textId="77777777" w:rsidTr="004866CD">
        <w:trPr>
          <w:trHeight w:val="283"/>
        </w:trPr>
        <w:tc>
          <w:tcPr>
            <w:tcW w:w="1701" w:type="dxa"/>
            <w:vAlign w:val="center"/>
          </w:tcPr>
          <w:p w14:paraId="2BD670ED" w14:textId="77777777" w:rsidR="00323D7A" w:rsidRPr="00323D7A" w:rsidRDefault="00323D7A" w:rsidP="00323D7A">
            <w:pPr>
              <w:ind w:firstLine="0"/>
              <w:rPr>
                <w:rFonts w:eastAsia="SimSun"/>
                <w:bCs/>
                <w:lang w:val="en-GB"/>
              </w:rPr>
            </w:pPr>
            <w:r w:rsidRPr="00323D7A">
              <w:rPr>
                <w:rFonts w:eastAsia="SimSun"/>
                <w:bCs/>
                <w:lang w:val="en-GB"/>
              </w:rPr>
              <w:t>Transport</w:t>
            </w:r>
          </w:p>
        </w:tc>
        <w:tc>
          <w:tcPr>
            <w:tcW w:w="1134" w:type="dxa"/>
            <w:vAlign w:val="center"/>
          </w:tcPr>
          <w:p w14:paraId="5CB6EBEB" w14:textId="77777777" w:rsidR="00323D7A" w:rsidRPr="00323D7A" w:rsidRDefault="00323D7A" w:rsidP="00323D7A">
            <w:pPr>
              <w:ind w:firstLine="0"/>
              <w:jc w:val="center"/>
              <w:rPr>
                <w:rFonts w:eastAsia="SimSun"/>
                <w:bCs/>
                <w:lang w:val="en-GB"/>
              </w:rPr>
            </w:pPr>
            <w:r w:rsidRPr="00323D7A">
              <w:rPr>
                <w:rFonts w:eastAsia="SimSun"/>
                <w:bCs/>
                <w:lang w:val="en-GB"/>
              </w:rPr>
              <w:t>275.13</w:t>
            </w:r>
          </w:p>
        </w:tc>
        <w:tc>
          <w:tcPr>
            <w:tcW w:w="1134" w:type="dxa"/>
            <w:shd w:val="clear" w:color="auto" w:fill="FFFFFF"/>
            <w:vAlign w:val="center"/>
          </w:tcPr>
          <w:p w14:paraId="70857C92" w14:textId="77777777" w:rsidR="00323D7A" w:rsidRPr="00323D7A" w:rsidRDefault="00323D7A" w:rsidP="00323D7A">
            <w:pPr>
              <w:ind w:firstLine="0"/>
              <w:jc w:val="center"/>
              <w:rPr>
                <w:rFonts w:eastAsia="SimSun"/>
                <w:bCs/>
                <w:lang w:val="en-GB"/>
              </w:rPr>
            </w:pPr>
            <w:r w:rsidRPr="00323D7A">
              <w:rPr>
                <w:rFonts w:eastAsia="SimSun"/>
                <w:bCs/>
                <w:lang w:val="en-GB"/>
              </w:rPr>
              <w:t>284.42</w:t>
            </w:r>
          </w:p>
        </w:tc>
        <w:tc>
          <w:tcPr>
            <w:tcW w:w="1134" w:type="dxa"/>
            <w:shd w:val="clear" w:color="auto" w:fill="FFFFFF"/>
            <w:vAlign w:val="center"/>
          </w:tcPr>
          <w:p w14:paraId="4C08E3F3" w14:textId="77777777" w:rsidR="00323D7A" w:rsidRPr="00323D7A" w:rsidRDefault="00323D7A" w:rsidP="00323D7A">
            <w:pPr>
              <w:ind w:firstLine="0"/>
              <w:jc w:val="center"/>
              <w:rPr>
                <w:rFonts w:eastAsia="SimSun"/>
                <w:bCs/>
                <w:lang w:val="en-GB"/>
              </w:rPr>
            </w:pPr>
            <w:r w:rsidRPr="00323D7A">
              <w:rPr>
                <w:rFonts w:eastAsia="SimSun"/>
                <w:bCs/>
                <w:lang w:val="en-GB"/>
              </w:rPr>
              <w:t>9.29</w:t>
            </w:r>
          </w:p>
        </w:tc>
        <w:tc>
          <w:tcPr>
            <w:tcW w:w="1134" w:type="dxa"/>
            <w:shd w:val="clear" w:color="auto" w:fill="FFFFFF"/>
            <w:vAlign w:val="center"/>
          </w:tcPr>
          <w:p w14:paraId="0C1DC54F" w14:textId="77777777" w:rsidR="00323D7A" w:rsidRPr="00323D7A" w:rsidRDefault="00323D7A" w:rsidP="00323D7A">
            <w:pPr>
              <w:ind w:firstLine="0"/>
              <w:jc w:val="center"/>
              <w:rPr>
                <w:rFonts w:eastAsia="SimSun"/>
                <w:bCs/>
                <w:lang w:val="en-GB"/>
              </w:rPr>
            </w:pPr>
            <w:r w:rsidRPr="00323D7A">
              <w:rPr>
                <w:rFonts w:eastAsia="SimSun"/>
                <w:bCs/>
                <w:lang w:val="en-GB"/>
              </w:rPr>
              <w:t>3.27</w:t>
            </w:r>
          </w:p>
        </w:tc>
        <w:tc>
          <w:tcPr>
            <w:tcW w:w="1872" w:type="dxa"/>
            <w:shd w:val="clear" w:color="auto" w:fill="FFFFFF"/>
            <w:vAlign w:val="center"/>
          </w:tcPr>
          <w:p w14:paraId="6D272DFB" w14:textId="77777777" w:rsidR="00323D7A" w:rsidRPr="00323D7A" w:rsidRDefault="00323D7A" w:rsidP="00323D7A">
            <w:pPr>
              <w:ind w:firstLine="0"/>
              <w:jc w:val="center"/>
              <w:rPr>
                <w:rFonts w:eastAsia="SimSun"/>
                <w:bCs/>
                <w:lang w:val="en-GB"/>
              </w:rPr>
            </w:pPr>
            <w:r w:rsidRPr="00323D7A">
              <w:rPr>
                <w:rFonts w:eastAsia="SimSun"/>
                <w:bCs/>
                <w:lang w:val="en-GB"/>
              </w:rPr>
              <w:t>yes</w:t>
            </w:r>
          </w:p>
        </w:tc>
      </w:tr>
      <w:tr w:rsidR="00323D7A" w:rsidRPr="00323D7A" w14:paraId="565FE322" w14:textId="77777777" w:rsidTr="004866CD">
        <w:trPr>
          <w:trHeight w:val="283"/>
        </w:trPr>
        <w:tc>
          <w:tcPr>
            <w:tcW w:w="1701" w:type="dxa"/>
            <w:vAlign w:val="center"/>
            <w:hideMark/>
          </w:tcPr>
          <w:p w14:paraId="2F35EED7" w14:textId="77777777" w:rsidR="00323D7A" w:rsidRPr="00323D7A" w:rsidRDefault="00323D7A" w:rsidP="00323D7A">
            <w:pPr>
              <w:ind w:firstLine="0"/>
              <w:rPr>
                <w:rFonts w:eastAsia="SimSun"/>
                <w:bCs/>
                <w:lang w:val="en-GB"/>
              </w:rPr>
            </w:pPr>
            <w:r w:rsidRPr="00323D7A">
              <w:rPr>
                <w:rFonts w:eastAsia="SimSun"/>
                <w:bCs/>
                <w:lang w:val="en-GB"/>
              </w:rPr>
              <w:t>Manufacture</w:t>
            </w:r>
          </w:p>
        </w:tc>
        <w:tc>
          <w:tcPr>
            <w:tcW w:w="1134" w:type="dxa"/>
            <w:vAlign w:val="center"/>
          </w:tcPr>
          <w:p w14:paraId="43186E3F" w14:textId="77777777" w:rsidR="00323D7A" w:rsidRPr="00323D7A" w:rsidRDefault="00323D7A" w:rsidP="00323D7A">
            <w:pPr>
              <w:ind w:firstLine="0"/>
              <w:jc w:val="center"/>
              <w:rPr>
                <w:rFonts w:eastAsia="SimSun"/>
                <w:bCs/>
                <w:lang w:val="en-GB"/>
              </w:rPr>
            </w:pPr>
            <w:r w:rsidRPr="00323D7A">
              <w:rPr>
                <w:rFonts w:eastAsia="SimSun"/>
                <w:bCs/>
                <w:lang w:val="en-GB"/>
              </w:rPr>
              <w:t>1 338.44</w:t>
            </w:r>
          </w:p>
        </w:tc>
        <w:tc>
          <w:tcPr>
            <w:tcW w:w="1134" w:type="dxa"/>
            <w:shd w:val="clear" w:color="auto" w:fill="FFFFFF"/>
            <w:vAlign w:val="center"/>
          </w:tcPr>
          <w:p w14:paraId="1B4A2CF2" w14:textId="77777777" w:rsidR="00323D7A" w:rsidRPr="00323D7A" w:rsidRDefault="00323D7A" w:rsidP="00323D7A">
            <w:pPr>
              <w:ind w:firstLine="0"/>
              <w:jc w:val="center"/>
              <w:rPr>
                <w:rFonts w:eastAsia="SimSun"/>
                <w:bCs/>
                <w:lang w:val="en-GB"/>
              </w:rPr>
            </w:pPr>
            <w:r w:rsidRPr="00323D7A">
              <w:rPr>
                <w:rFonts w:eastAsia="SimSun"/>
                <w:bCs/>
                <w:lang w:val="en-GB"/>
              </w:rPr>
              <w:t>1 483.2</w:t>
            </w:r>
          </w:p>
        </w:tc>
        <w:tc>
          <w:tcPr>
            <w:tcW w:w="1134" w:type="dxa"/>
            <w:shd w:val="clear" w:color="auto" w:fill="FFFFFF"/>
            <w:vAlign w:val="center"/>
            <w:hideMark/>
          </w:tcPr>
          <w:p w14:paraId="07AB1363" w14:textId="77777777" w:rsidR="00323D7A" w:rsidRPr="00323D7A" w:rsidRDefault="00323D7A" w:rsidP="00323D7A">
            <w:pPr>
              <w:ind w:firstLine="0"/>
              <w:jc w:val="center"/>
              <w:rPr>
                <w:rFonts w:eastAsia="SimSun"/>
                <w:bCs/>
                <w:lang w:val="en-GB"/>
              </w:rPr>
            </w:pPr>
            <w:r w:rsidRPr="00323D7A">
              <w:rPr>
                <w:rFonts w:eastAsia="SimSun"/>
                <w:bCs/>
                <w:lang w:val="en-GB"/>
              </w:rPr>
              <w:t>144.76</w:t>
            </w:r>
          </w:p>
        </w:tc>
        <w:tc>
          <w:tcPr>
            <w:tcW w:w="1134" w:type="dxa"/>
            <w:shd w:val="clear" w:color="auto" w:fill="FFFFFF"/>
            <w:vAlign w:val="center"/>
          </w:tcPr>
          <w:p w14:paraId="49137DC7" w14:textId="77777777" w:rsidR="00323D7A" w:rsidRPr="00323D7A" w:rsidRDefault="00323D7A" w:rsidP="00323D7A">
            <w:pPr>
              <w:ind w:firstLine="0"/>
              <w:jc w:val="center"/>
              <w:rPr>
                <w:rFonts w:eastAsia="SimSun"/>
                <w:bCs/>
                <w:lang w:val="en-GB"/>
              </w:rPr>
            </w:pPr>
            <w:r w:rsidRPr="00323D7A">
              <w:rPr>
                <w:rFonts w:eastAsia="SimSun"/>
                <w:bCs/>
                <w:lang w:val="en-GB"/>
              </w:rPr>
              <w:t>9.76</w:t>
            </w:r>
          </w:p>
        </w:tc>
        <w:tc>
          <w:tcPr>
            <w:tcW w:w="1872" w:type="dxa"/>
            <w:shd w:val="clear" w:color="auto" w:fill="FFFFFF"/>
            <w:vAlign w:val="center"/>
            <w:hideMark/>
          </w:tcPr>
          <w:p w14:paraId="0BCD19B5" w14:textId="77777777" w:rsidR="00323D7A" w:rsidRPr="00323D7A" w:rsidRDefault="00323D7A" w:rsidP="00323D7A">
            <w:pPr>
              <w:ind w:firstLine="0"/>
              <w:jc w:val="center"/>
              <w:rPr>
                <w:rFonts w:eastAsia="SimSun"/>
                <w:bCs/>
                <w:lang w:val="en-GB"/>
              </w:rPr>
            </w:pPr>
            <w:r w:rsidRPr="00323D7A">
              <w:rPr>
                <w:rFonts w:eastAsia="SimSun"/>
                <w:bCs/>
                <w:lang w:val="en-GB"/>
              </w:rPr>
              <w:t>yes</w:t>
            </w:r>
          </w:p>
        </w:tc>
      </w:tr>
      <w:tr w:rsidR="00323D7A" w:rsidRPr="00323D7A" w14:paraId="28CE807A" w14:textId="77777777" w:rsidTr="004866CD">
        <w:trPr>
          <w:trHeight w:val="283"/>
        </w:trPr>
        <w:tc>
          <w:tcPr>
            <w:tcW w:w="1701" w:type="dxa"/>
            <w:vAlign w:val="center"/>
            <w:hideMark/>
          </w:tcPr>
          <w:p w14:paraId="379979E7" w14:textId="77777777" w:rsidR="00323D7A" w:rsidRPr="00323D7A" w:rsidRDefault="00323D7A" w:rsidP="00323D7A">
            <w:pPr>
              <w:ind w:firstLine="0"/>
              <w:rPr>
                <w:rFonts w:eastAsia="SimSun"/>
                <w:bCs/>
                <w:lang w:val="en-GB"/>
              </w:rPr>
            </w:pPr>
            <w:r w:rsidRPr="00323D7A">
              <w:rPr>
                <w:rFonts w:eastAsia="SimSun"/>
                <w:bCs/>
                <w:lang w:val="en-GB"/>
              </w:rPr>
              <w:t>Power Plants</w:t>
            </w:r>
          </w:p>
        </w:tc>
        <w:tc>
          <w:tcPr>
            <w:tcW w:w="1134" w:type="dxa"/>
            <w:vAlign w:val="center"/>
          </w:tcPr>
          <w:p w14:paraId="15E651A3" w14:textId="77777777" w:rsidR="00323D7A" w:rsidRPr="00323D7A" w:rsidRDefault="00323D7A" w:rsidP="00323D7A">
            <w:pPr>
              <w:ind w:firstLine="0"/>
              <w:jc w:val="center"/>
              <w:rPr>
                <w:rFonts w:eastAsia="SimSun"/>
                <w:bCs/>
                <w:lang w:val="en-GB"/>
              </w:rPr>
            </w:pPr>
            <w:r w:rsidRPr="00323D7A">
              <w:rPr>
                <w:rFonts w:eastAsia="SimSun"/>
                <w:bCs/>
                <w:lang w:val="en-GB"/>
              </w:rPr>
              <w:t>669.65</w:t>
            </w:r>
          </w:p>
        </w:tc>
        <w:tc>
          <w:tcPr>
            <w:tcW w:w="1134" w:type="dxa"/>
            <w:shd w:val="clear" w:color="auto" w:fill="FFFFFF"/>
            <w:vAlign w:val="center"/>
          </w:tcPr>
          <w:p w14:paraId="3FD68EF7" w14:textId="77777777" w:rsidR="00323D7A" w:rsidRPr="00323D7A" w:rsidRDefault="00323D7A" w:rsidP="00323D7A">
            <w:pPr>
              <w:ind w:firstLine="0"/>
              <w:jc w:val="center"/>
              <w:rPr>
                <w:rFonts w:eastAsia="SimSun"/>
                <w:bCs/>
                <w:lang w:val="en-GB"/>
              </w:rPr>
            </w:pPr>
            <w:r w:rsidRPr="00323D7A">
              <w:rPr>
                <w:rFonts w:eastAsia="SimSun"/>
                <w:bCs/>
                <w:lang w:val="en-GB"/>
              </w:rPr>
              <w:t>745.50</w:t>
            </w:r>
          </w:p>
        </w:tc>
        <w:tc>
          <w:tcPr>
            <w:tcW w:w="1134" w:type="dxa"/>
            <w:shd w:val="clear" w:color="auto" w:fill="FFFFFF"/>
            <w:vAlign w:val="center"/>
          </w:tcPr>
          <w:p w14:paraId="25376EC7" w14:textId="77777777" w:rsidR="00323D7A" w:rsidRPr="00323D7A" w:rsidRDefault="00323D7A" w:rsidP="00323D7A">
            <w:pPr>
              <w:ind w:firstLine="0"/>
              <w:jc w:val="center"/>
              <w:rPr>
                <w:rFonts w:eastAsia="SimSun"/>
                <w:bCs/>
                <w:lang w:val="en-GB"/>
              </w:rPr>
            </w:pPr>
            <w:r w:rsidRPr="00323D7A">
              <w:rPr>
                <w:rFonts w:eastAsia="SimSun"/>
                <w:bCs/>
                <w:lang w:val="en-GB"/>
              </w:rPr>
              <w:t>75.85</w:t>
            </w:r>
          </w:p>
        </w:tc>
        <w:tc>
          <w:tcPr>
            <w:tcW w:w="1134" w:type="dxa"/>
            <w:shd w:val="clear" w:color="auto" w:fill="FFFFFF"/>
            <w:vAlign w:val="center"/>
          </w:tcPr>
          <w:p w14:paraId="5AA181FD" w14:textId="77777777" w:rsidR="00323D7A" w:rsidRPr="00323D7A" w:rsidRDefault="00323D7A" w:rsidP="00323D7A">
            <w:pPr>
              <w:ind w:firstLine="0"/>
              <w:jc w:val="center"/>
              <w:rPr>
                <w:rFonts w:eastAsia="SimSun"/>
                <w:bCs/>
                <w:lang w:val="en-GB"/>
              </w:rPr>
            </w:pPr>
            <w:r w:rsidRPr="00323D7A">
              <w:rPr>
                <w:rFonts w:eastAsia="SimSun"/>
                <w:bCs/>
                <w:lang w:val="en-GB"/>
              </w:rPr>
              <w:t>10.17</w:t>
            </w:r>
          </w:p>
        </w:tc>
        <w:tc>
          <w:tcPr>
            <w:tcW w:w="1872" w:type="dxa"/>
            <w:shd w:val="clear" w:color="auto" w:fill="FFFFFF"/>
            <w:vAlign w:val="center"/>
          </w:tcPr>
          <w:p w14:paraId="01049B82" w14:textId="77777777" w:rsidR="00323D7A" w:rsidRPr="00323D7A" w:rsidRDefault="00323D7A" w:rsidP="00323D7A">
            <w:pPr>
              <w:ind w:firstLine="0"/>
              <w:jc w:val="center"/>
              <w:rPr>
                <w:rFonts w:eastAsia="SimSun"/>
                <w:bCs/>
                <w:lang w:val="en-GB"/>
              </w:rPr>
            </w:pPr>
            <w:r w:rsidRPr="00323D7A">
              <w:rPr>
                <w:rFonts w:eastAsia="SimSun"/>
                <w:bCs/>
                <w:lang w:val="en-GB"/>
              </w:rPr>
              <w:t>no</w:t>
            </w:r>
          </w:p>
        </w:tc>
      </w:tr>
      <w:tr w:rsidR="00323D7A" w:rsidRPr="00323D7A" w14:paraId="13635A6A" w14:textId="77777777" w:rsidTr="004866CD">
        <w:trPr>
          <w:trHeight w:val="283"/>
        </w:trPr>
        <w:tc>
          <w:tcPr>
            <w:tcW w:w="1701" w:type="dxa"/>
            <w:vAlign w:val="center"/>
            <w:hideMark/>
          </w:tcPr>
          <w:p w14:paraId="15238F48" w14:textId="77777777" w:rsidR="00323D7A" w:rsidRPr="00323D7A" w:rsidRDefault="00323D7A" w:rsidP="00323D7A">
            <w:pPr>
              <w:ind w:firstLine="0"/>
              <w:rPr>
                <w:rFonts w:eastAsia="SimSun"/>
                <w:bCs/>
                <w:lang w:val="en-GB"/>
              </w:rPr>
            </w:pPr>
            <w:r w:rsidRPr="00323D7A">
              <w:rPr>
                <w:rFonts w:eastAsia="SimSun"/>
                <w:bCs/>
                <w:lang w:val="en-GB"/>
              </w:rPr>
              <w:t>Mining</w:t>
            </w:r>
          </w:p>
        </w:tc>
        <w:tc>
          <w:tcPr>
            <w:tcW w:w="1134" w:type="dxa"/>
            <w:vAlign w:val="center"/>
          </w:tcPr>
          <w:p w14:paraId="103C7CA9" w14:textId="77777777" w:rsidR="00323D7A" w:rsidRPr="00323D7A" w:rsidRDefault="00323D7A" w:rsidP="00323D7A">
            <w:pPr>
              <w:ind w:firstLine="0"/>
              <w:jc w:val="center"/>
              <w:rPr>
                <w:rFonts w:eastAsia="SimSun"/>
                <w:bCs/>
                <w:lang w:val="en-GB"/>
              </w:rPr>
            </w:pPr>
            <w:r w:rsidRPr="00323D7A">
              <w:rPr>
                <w:rFonts w:eastAsia="SimSun"/>
                <w:bCs/>
                <w:lang w:val="en-GB"/>
              </w:rPr>
              <w:t>2 254.91</w:t>
            </w:r>
          </w:p>
        </w:tc>
        <w:tc>
          <w:tcPr>
            <w:tcW w:w="1134" w:type="dxa"/>
            <w:shd w:val="clear" w:color="auto" w:fill="FFFFFF"/>
            <w:vAlign w:val="center"/>
          </w:tcPr>
          <w:p w14:paraId="7B8723C3" w14:textId="77777777" w:rsidR="00323D7A" w:rsidRPr="00323D7A" w:rsidRDefault="00323D7A" w:rsidP="00323D7A">
            <w:pPr>
              <w:ind w:firstLine="0"/>
              <w:jc w:val="center"/>
              <w:rPr>
                <w:rFonts w:eastAsia="SimSun"/>
                <w:bCs/>
                <w:lang w:val="en-GB"/>
              </w:rPr>
            </w:pPr>
            <w:r w:rsidRPr="00323D7A">
              <w:rPr>
                <w:rFonts w:eastAsia="SimSun"/>
                <w:bCs/>
                <w:lang w:val="en-GB"/>
              </w:rPr>
              <w:t>2 278.86</w:t>
            </w:r>
          </w:p>
        </w:tc>
        <w:tc>
          <w:tcPr>
            <w:tcW w:w="1134" w:type="dxa"/>
            <w:shd w:val="clear" w:color="auto" w:fill="FFFFFF"/>
            <w:vAlign w:val="center"/>
          </w:tcPr>
          <w:p w14:paraId="0A73F986" w14:textId="77777777" w:rsidR="00323D7A" w:rsidRPr="00323D7A" w:rsidRDefault="00323D7A" w:rsidP="00323D7A">
            <w:pPr>
              <w:ind w:firstLine="0"/>
              <w:jc w:val="center"/>
              <w:rPr>
                <w:rFonts w:eastAsia="SimSun"/>
                <w:bCs/>
                <w:lang w:val="en-GB"/>
              </w:rPr>
            </w:pPr>
            <w:r w:rsidRPr="00323D7A">
              <w:rPr>
                <w:rFonts w:eastAsia="SimSun"/>
                <w:bCs/>
                <w:lang w:val="en-GB"/>
              </w:rPr>
              <w:t>23.95</w:t>
            </w:r>
          </w:p>
        </w:tc>
        <w:tc>
          <w:tcPr>
            <w:tcW w:w="1134" w:type="dxa"/>
            <w:shd w:val="clear" w:color="auto" w:fill="FFFFFF"/>
            <w:vAlign w:val="center"/>
          </w:tcPr>
          <w:p w14:paraId="1E384759" w14:textId="77777777" w:rsidR="00323D7A" w:rsidRPr="00323D7A" w:rsidRDefault="00323D7A" w:rsidP="00323D7A">
            <w:pPr>
              <w:ind w:firstLine="0"/>
              <w:jc w:val="center"/>
              <w:rPr>
                <w:rFonts w:eastAsia="SimSun"/>
                <w:bCs/>
                <w:lang w:val="en-GB"/>
              </w:rPr>
            </w:pPr>
            <w:r w:rsidRPr="00323D7A">
              <w:rPr>
                <w:rFonts w:eastAsia="SimSun"/>
                <w:bCs/>
                <w:lang w:val="en-GB"/>
              </w:rPr>
              <w:t>1.05</w:t>
            </w:r>
          </w:p>
        </w:tc>
        <w:tc>
          <w:tcPr>
            <w:tcW w:w="1872" w:type="dxa"/>
            <w:shd w:val="clear" w:color="auto" w:fill="FFFFFF"/>
            <w:vAlign w:val="center"/>
          </w:tcPr>
          <w:p w14:paraId="7015E79D" w14:textId="77777777" w:rsidR="00323D7A" w:rsidRPr="00323D7A" w:rsidRDefault="00323D7A" w:rsidP="00323D7A">
            <w:pPr>
              <w:ind w:firstLine="0"/>
              <w:jc w:val="center"/>
              <w:rPr>
                <w:rFonts w:eastAsia="SimSun"/>
                <w:bCs/>
                <w:lang w:val="en-GB"/>
              </w:rPr>
            </w:pPr>
            <w:r w:rsidRPr="00323D7A">
              <w:rPr>
                <w:rFonts w:eastAsia="SimSun"/>
                <w:bCs/>
                <w:lang w:val="en-GB"/>
              </w:rPr>
              <w:t>yes</w:t>
            </w:r>
          </w:p>
        </w:tc>
      </w:tr>
    </w:tbl>
    <w:p w14:paraId="4C71A118" w14:textId="77777777" w:rsidR="002B737D" w:rsidRDefault="002B737D" w:rsidP="00323D7A">
      <w:pPr>
        <w:ind w:firstLine="284"/>
        <w:jc w:val="both"/>
        <w:rPr>
          <w:lang w:val="en-GB"/>
        </w:rPr>
      </w:pPr>
    </w:p>
    <w:p w14:paraId="39CB0FC0" w14:textId="757C4E47" w:rsidR="006561E8" w:rsidRPr="006561E8" w:rsidRDefault="006561E8" w:rsidP="00323D7A">
      <w:pPr>
        <w:ind w:firstLine="284"/>
        <w:jc w:val="both"/>
        <w:rPr>
          <w:lang w:val="en-GB"/>
        </w:rPr>
      </w:pPr>
      <w:r w:rsidRPr="006561E8">
        <w:rPr>
          <w:lang w:val="en-GB"/>
        </w:rPr>
        <w:t xml:space="preserve">The efficiency of the power plants sector is slightly lower than the others, with a MAPE value of more than 10%, exceeding the threshold by 0.17%. However, it can be said that the results have approximately the same relative error, </w:t>
      </w:r>
      <w:r w:rsidR="002B737D">
        <w:rPr>
          <w:lang w:val="en-GB"/>
        </w:rPr>
        <w:t>indicating that</w:t>
      </w:r>
      <w:r w:rsidRPr="006561E8">
        <w:rPr>
          <w:lang w:val="en-GB"/>
        </w:rPr>
        <w:t xml:space="preserve"> an additional unaccounted for external factor and an additional calibration index </w:t>
      </w:r>
      <w:r w:rsidR="002B737D">
        <w:rPr>
          <w:lang w:val="en-GB"/>
        </w:rPr>
        <w:t>are</w:t>
      </w:r>
      <w:r w:rsidRPr="006561E8">
        <w:rPr>
          <w:lang w:val="en-GB"/>
        </w:rPr>
        <w:t xml:space="preserve"> applied to further forecasts.</w:t>
      </w:r>
    </w:p>
    <w:p w14:paraId="3E281D14" w14:textId="2C91CD25" w:rsidR="006561E8" w:rsidRDefault="006561E8" w:rsidP="00323D7A">
      <w:pPr>
        <w:ind w:firstLine="284"/>
        <w:jc w:val="both"/>
        <w:rPr>
          <w:lang w:val="en-GB"/>
        </w:rPr>
      </w:pPr>
      <w:r w:rsidRPr="006561E8">
        <w:rPr>
          <w:lang w:val="en-GB"/>
        </w:rPr>
        <w:lastRenderedPageBreak/>
        <w:t>The correlation coefficient shows the highest direct proportional relationship between total emissions and e</w:t>
      </w:r>
      <w:r w:rsidR="002B737D">
        <w:rPr>
          <w:lang w:val="en-GB"/>
        </w:rPr>
        <w:t>nterprise emission</w:t>
      </w:r>
      <w:r w:rsidRPr="006561E8">
        <w:rPr>
          <w:lang w:val="en-GB"/>
        </w:rPr>
        <w:t>s, as shown in Tabl</w:t>
      </w:r>
      <w:r w:rsidR="00323D7A">
        <w:rPr>
          <w:lang w:val="en-GB"/>
        </w:rPr>
        <w:t>e</w:t>
      </w:r>
      <w:r w:rsidRPr="006561E8">
        <w:rPr>
          <w:lang w:val="en-GB"/>
        </w:rPr>
        <w:t xml:space="preserve"> 4.</w:t>
      </w:r>
    </w:p>
    <w:p w14:paraId="6E6218FE" w14:textId="77777777" w:rsidR="00323D7A" w:rsidRPr="006561E8" w:rsidRDefault="00323D7A" w:rsidP="00323D7A">
      <w:pPr>
        <w:ind w:firstLine="284"/>
        <w:jc w:val="both"/>
        <w:rPr>
          <w:lang w:val="en-GB"/>
        </w:rPr>
      </w:pPr>
    </w:p>
    <w:p w14:paraId="23F06A6C" w14:textId="77777777" w:rsidR="006561E8" w:rsidRPr="006561E8" w:rsidRDefault="006561E8" w:rsidP="00323D7A">
      <w:pPr>
        <w:pStyle w:val="Rtab"/>
        <w:rPr>
          <w:lang w:val="en-GB"/>
        </w:rPr>
      </w:pPr>
      <w:r w:rsidRPr="00E9412D">
        <w:rPr>
          <w:b/>
          <w:bCs/>
          <w:lang w:val="en-GB"/>
        </w:rPr>
        <w:t>Table 4.</w:t>
      </w:r>
      <w:r w:rsidRPr="006561E8">
        <w:rPr>
          <w:lang w:val="en-GB"/>
        </w:rPr>
        <w:t xml:space="preserve"> Correlation coefficients of emissions by types of agents</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530"/>
        <w:gridCol w:w="1701"/>
        <w:gridCol w:w="1701"/>
      </w:tblGrid>
      <w:tr w:rsidR="00323D7A" w:rsidRPr="00FA086B" w14:paraId="17A1086E" w14:textId="77777777" w:rsidTr="00E6233B">
        <w:trPr>
          <w:trHeight w:val="340"/>
        </w:trPr>
        <w:tc>
          <w:tcPr>
            <w:tcW w:w="2439" w:type="dxa"/>
            <w:vAlign w:val="center"/>
            <w:hideMark/>
          </w:tcPr>
          <w:p w14:paraId="5B1F258C" w14:textId="77777777" w:rsidR="00323D7A" w:rsidRPr="00323D7A" w:rsidRDefault="00323D7A" w:rsidP="00323D7A">
            <w:pPr>
              <w:ind w:firstLine="0"/>
              <w:jc w:val="center"/>
              <w:rPr>
                <w:rFonts w:eastAsia="SimSun"/>
                <w:bCs/>
              </w:rPr>
            </w:pPr>
            <w:r w:rsidRPr="00323D7A">
              <w:rPr>
                <w:rFonts w:eastAsia="SimSun"/>
                <w:bCs/>
              </w:rPr>
              <w:t>Agent</w:t>
            </w:r>
          </w:p>
        </w:tc>
        <w:tc>
          <w:tcPr>
            <w:tcW w:w="1530" w:type="dxa"/>
            <w:vAlign w:val="center"/>
          </w:tcPr>
          <w:p w14:paraId="54F04EB0" w14:textId="77777777" w:rsidR="00323D7A" w:rsidRPr="00323D7A" w:rsidRDefault="00323D7A" w:rsidP="00323D7A">
            <w:pPr>
              <w:ind w:firstLine="0"/>
              <w:jc w:val="center"/>
              <w:rPr>
                <w:rFonts w:eastAsia="SimSun"/>
                <w:bCs/>
              </w:rPr>
            </w:pPr>
            <w:r w:rsidRPr="00323D7A">
              <w:rPr>
                <w:rFonts w:eastAsia="SimSun"/>
                <w:bCs/>
              </w:rPr>
              <w:t>Transport</w:t>
            </w:r>
          </w:p>
        </w:tc>
        <w:tc>
          <w:tcPr>
            <w:tcW w:w="1701" w:type="dxa"/>
            <w:vAlign w:val="center"/>
          </w:tcPr>
          <w:p w14:paraId="2207A62F" w14:textId="77777777" w:rsidR="00323D7A" w:rsidRPr="00323D7A" w:rsidRDefault="00323D7A" w:rsidP="00323D7A">
            <w:pPr>
              <w:ind w:firstLine="0"/>
              <w:jc w:val="center"/>
              <w:rPr>
                <w:rFonts w:eastAsia="SimSun"/>
                <w:bCs/>
              </w:rPr>
            </w:pPr>
            <w:proofErr w:type="spellStart"/>
            <w:r w:rsidRPr="00323D7A">
              <w:rPr>
                <w:rFonts w:eastAsia="SimSun"/>
                <w:bCs/>
              </w:rPr>
              <w:t>Manufacture</w:t>
            </w:r>
            <w:proofErr w:type="spellEnd"/>
          </w:p>
        </w:tc>
        <w:tc>
          <w:tcPr>
            <w:tcW w:w="1701" w:type="dxa"/>
            <w:vAlign w:val="center"/>
            <w:hideMark/>
          </w:tcPr>
          <w:p w14:paraId="1A7F104D" w14:textId="77777777" w:rsidR="00323D7A" w:rsidRPr="00323D7A" w:rsidRDefault="00323D7A" w:rsidP="00323D7A">
            <w:pPr>
              <w:ind w:firstLine="0"/>
              <w:jc w:val="center"/>
              <w:rPr>
                <w:rFonts w:eastAsia="SimSun"/>
                <w:bCs/>
              </w:rPr>
            </w:pPr>
            <w:proofErr w:type="spellStart"/>
            <w:r w:rsidRPr="00323D7A">
              <w:rPr>
                <w:rFonts w:eastAsia="SimSun"/>
                <w:bCs/>
              </w:rPr>
              <w:t>Household</w:t>
            </w:r>
            <w:proofErr w:type="spellEnd"/>
          </w:p>
        </w:tc>
      </w:tr>
      <w:tr w:rsidR="00323D7A" w:rsidRPr="00FA086B" w14:paraId="3FCB7E21" w14:textId="77777777" w:rsidTr="00E6233B">
        <w:trPr>
          <w:trHeight w:val="283"/>
        </w:trPr>
        <w:tc>
          <w:tcPr>
            <w:tcW w:w="2439" w:type="dxa"/>
            <w:vAlign w:val="center"/>
          </w:tcPr>
          <w:p w14:paraId="35954C7E" w14:textId="552F9F0D" w:rsidR="00323D7A" w:rsidRPr="00323D7A" w:rsidRDefault="00323D7A" w:rsidP="00323D7A">
            <w:pPr>
              <w:ind w:firstLine="0"/>
              <w:rPr>
                <w:rFonts w:eastAsia="SimSun"/>
                <w:bCs/>
              </w:rPr>
            </w:pPr>
            <w:proofErr w:type="spellStart"/>
            <w:r w:rsidRPr="00323D7A">
              <w:rPr>
                <w:rFonts w:eastAsia="SimSun"/>
                <w:bCs/>
              </w:rPr>
              <w:t>Correlation</w:t>
            </w:r>
            <w:proofErr w:type="spellEnd"/>
            <w:r>
              <w:rPr>
                <w:rFonts w:eastAsia="SimSun"/>
                <w:bCs/>
              </w:rPr>
              <w:t xml:space="preserve"> </w:t>
            </w:r>
            <w:proofErr w:type="spellStart"/>
            <w:r w:rsidRPr="00323D7A">
              <w:rPr>
                <w:rFonts w:eastAsia="SimSun"/>
                <w:bCs/>
              </w:rPr>
              <w:t>coefficients</w:t>
            </w:r>
            <w:proofErr w:type="spellEnd"/>
          </w:p>
        </w:tc>
        <w:tc>
          <w:tcPr>
            <w:tcW w:w="1530" w:type="dxa"/>
            <w:vAlign w:val="center"/>
          </w:tcPr>
          <w:p w14:paraId="3BA45943" w14:textId="6B7C9879" w:rsidR="00323D7A" w:rsidRPr="00323D7A" w:rsidRDefault="00323D7A" w:rsidP="00323D7A">
            <w:pPr>
              <w:ind w:firstLine="0"/>
              <w:jc w:val="center"/>
              <w:rPr>
                <w:rFonts w:eastAsia="SimSun"/>
                <w:bCs/>
              </w:rPr>
            </w:pPr>
            <w:r w:rsidRPr="00323D7A">
              <w:rPr>
                <w:rFonts w:eastAsia="SimSun"/>
                <w:bCs/>
              </w:rPr>
              <w:t>-0</w:t>
            </w:r>
            <w:r w:rsidR="00E9412D">
              <w:rPr>
                <w:rFonts w:eastAsia="SimSun"/>
                <w:bCs/>
              </w:rPr>
              <w:t>.</w:t>
            </w:r>
            <w:r w:rsidRPr="00323D7A">
              <w:rPr>
                <w:rFonts w:eastAsia="SimSun"/>
                <w:bCs/>
              </w:rPr>
              <w:t>292</w:t>
            </w:r>
          </w:p>
        </w:tc>
        <w:tc>
          <w:tcPr>
            <w:tcW w:w="1701" w:type="dxa"/>
            <w:vAlign w:val="center"/>
          </w:tcPr>
          <w:p w14:paraId="2B0130DD" w14:textId="5AB0C8B6" w:rsidR="00323D7A" w:rsidRPr="00323D7A" w:rsidRDefault="00323D7A" w:rsidP="00323D7A">
            <w:pPr>
              <w:ind w:firstLine="0"/>
              <w:jc w:val="center"/>
              <w:rPr>
                <w:rFonts w:eastAsia="SimSun"/>
                <w:bCs/>
              </w:rPr>
            </w:pPr>
            <w:r w:rsidRPr="00323D7A">
              <w:rPr>
                <w:rFonts w:eastAsia="SimSun"/>
                <w:bCs/>
              </w:rPr>
              <w:t>1</w:t>
            </w:r>
            <w:r w:rsidR="00E9412D">
              <w:rPr>
                <w:rFonts w:eastAsia="SimSun"/>
                <w:bCs/>
              </w:rPr>
              <w:t>.</w:t>
            </w:r>
            <w:r w:rsidRPr="00323D7A">
              <w:rPr>
                <w:rFonts w:eastAsia="SimSun"/>
                <w:bCs/>
              </w:rPr>
              <w:t>0</w:t>
            </w:r>
          </w:p>
        </w:tc>
        <w:tc>
          <w:tcPr>
            <w:tcW w:w="1701" w:type="dxa"/>
            <w:vAlign w:val="center"/>
          </w:tcPr>
          <w:p w14:paraId="67BC59BC" w14:textId="627CBE01" w:rsidR="00323D7A" w:rsidRPr="00323D7A" w:rsidRDefault="00323D7A" w:rsidP="00323D7A">
            <w:pPr>
              <w:ind w:firstLine="0"/>
              <w:jc w:val="center"/>
              <w:rPr>
                <w:rFonts w:eastAsia="SimSun"/>
                <w:bCs/>
              </w:rPr>
            </w:pPr>
            <w:r w:rsidRPr="00323D7A">
              <w:rPr>
                <w:rFonts w:eastAsia="SimSun"/>
                <w:bCs/>
              </w:rPr>
              <w:t>0</w:t>
            </w:r>
            <w:r w:rsidR="00E9412D">
              <w:rPr>
                <w:rFonts w:eastAsia="SimSun"/>
                <w:bCs/>
              </w:rPr>
              <w:t>.</w:t>
            </w:r>
            <w:r w:rsidRPr="00323D7A">
              <w:rPr>
                <w:rFonts w:eastAsia="SimSun"/>
                <w:bCs/>
              </w:rPr>
              <w:t>313</w:t>
            </w:r>
          </w:p>
        </w:tc>
      </w:tr>
    </w:tbl>
    <w:p w14:paraId="1FEB1F69" w14:textId="77777777" w:rsidR="00323D7A" w:rsidRDefault="00323D7A" w:rsidP="006561E8">
      <w:pPr>
        <w:ind w:firstLine="0"/>
        <w:rPr>
          <w:lang w:val="en-GB"/>
        </w:rPr>
      </w:pPr>
    </w:p>
    <w:p w14:paraId="67AAA5B2" w14:textId="5D753541" w:rsidR="006561E8" w:rsidRPr="006561E8" w:rsidRDefault="006561E8" w:rsidP="00323D7A">
      <w:pPr>
        <w:ind w:firstLine="284"/>
        <w:jc w:val="both"/>
        <w:rPr>
          <w:lang w:val="en-GB"/>
        </w:rPr>
      </w:pPr>
      <w:r w:rsidRPr="006561E8">
        <w:rPr>
          <w:lang w:val="en-GB"/>
        </w:rPr>
        <w:t>Th</w:t>
      </w:r>
      <w:r w:rsidR="002B737D">
        <w:rPr>
          <w:lang w:val="en-GB"/>
        </w:rPr>
        <w:t>at</w:t>
      </w:r>
      <w:r w:rsidRPr="006561E8">
        <w:rPr>
          <w:lang w:val="en-GB"/>
        </w:rPr>
        <w:t xml:space="preserve"> means that enterprises are the main source of pollution in the city of Kemerovo.</w:t>
      </w:r>
    </w:p>
    <w:p w14:paraId="18A39E9E" w14:textId="0CBE85D7" w:rsidR="006561E8" w:rsidRPr="006561E8" w:rsidRDefault="006561E8" w:rsidP="00323D7A">
      <w:pPr>
        <w:pStyle w:val="Rn3"/>
        <w:rPr>
          <w:lang w:val="en-GB"/>
        </w:rPr>
      </w:pPr>
      <w:r w:rsidRPr="006561E8">
        <w:rPr>
          <w:lang w:val="en-GB"/>
        </w:rPr>
        <w:t>3.1.3</w:t>
      </w:r>
      <w:r w:rsidR="00C00908">
        <w:rPr>
          <w:lang w:val="en-GB"/>
        </w:rPr>
        <w:t>.</w:t>
      </w:r>
      <w:r w:rsidRPr="006561E8">
        <w:rPr>
          <w:lang w:val="en-GB"/>
        </w:rPr>
        <w:t xml:space="preserve"> Sensitivity analyses</w:t>
      </w:r>
    </w:p>
    <w:p w14:paraId="5808DE07" w14:textId="78D3CE21" w:rsidR="006561E8" w:rsidRPr="006561E8" w:rsidRDefault="006561E8" w:rsidP="00323D7A">
      <w:pPr>
        <w:ind w:firstLine="284"/>
        <w:jc w:val="both"/>
        <w:rPr>
          <w:lang w:val="en-GB"/>
        </w:rPr>
      </w:pPr>
      <w:r w:rsidRPr="006561E8">
        <w:rPr>
          <w:lang w:val="en-GB"/>
        </w:rPr>
        <w:t xml:space="preserve">A series of sensitivity analyses were conducted in the study to investigate how </w:t>
      </w:r>
      <w:r w:rsidR="002B737D">
        <w:rPr>
          <w:lang w:val="en-GB"/>
        </w:rPr>
        <w:t>input parameter changes affect the system's responses</w:t>
      </w:r>
      <w:r w:rsidRPr="006561E8">
        <w:rPr>
          <w:lang w:val="en-GB"/>
        </w:rPr>
        <w:t xml:space="preserve">. The model consists of 12 initial parameters, 3 initial variables, 2 table (lookup) functions, and 37 constants (parameters) that change the values of 109 variables, driving changes in 9 stocks overall. </w:t>
      </w:r>
      <w:r w:rsidR="002B737D">
        <w:rPr>
          <w:lang w:val="en-GB"/>
        </w:rPr>
        <w:t>T</w:t>
      </w:r>
      <w:r w:rsidRPr="006561E8">
        <w:rPr>
          <w:lang w:val="en-GB"/>
        </w:rPr>
        <w:t>he sectors with the greatest impact on final PM emissions from all sectors were first identified with a correlation test</w:t>
      </w:r>
      <w:r w:rsidR="002B737D" w:rsidRPr="002B737D">
        <w:rPr>
          <w:lang w:val="en-GB"/>
        </w:rPr>
        <w:t xml:space="preserve"> </w:t>
      </w:r>
      <w:r w:rsidR="002B737D">
        <w:rPr>
          <w:lang w:val="en-GB"/>
        </w:rPr>
        <w:t>t</w:t>
      </w:r>
      <w:r w:rsidR="002B737D" w:rsidRPr="006561E8">
        <w:rPr>
          <w:lang w:val="en-GB"/>
        </w:rPr>
        <w:t>o select the most significant parameters for the test</w:t>
      </w:r>
      <w:r w:rsidRPr="006561E8">
        <w:rPr>
          <w:lang w:val="en-GB"/>
        </w:rPr>
        <w:t>.</w:t>
      </w:r>
    </w:p>
    <w:p w14:paraId="673A8915" w14:textId="4FB2B7B5" w:rsidR="006561E8" w:rsidRPr="006561E8" w:rsidRDefault="006561E8" w:rsidP="00323D7A">
      <w:pPr>
        <w:ind w:firstLine="284"/>
        <w:jc w:val="both"/>
        <w:rPr>
          <w:lang w:val="en-GB"/>
        </w:rPr>
      </w:pPr>
      <w:r w:rsidRPr="006561E8">
        <w:rPr>
          <w:lang w:val="en-GB"/>
        </w:rPr>
        <w:t xml:space="preserve">There </w:t>
      </w:r>
      <w:r w:rsidR="002B737D">
        <w:rPr>
          <w:lang w:val="en-GB"/>
        </w:rPr>
        <w:t>is</w:t>
      </w:r>
      <w:r w:rsidRPr="006561E8">
        <w:rPr>
          <w:lang w:val="en-GB"/>
        </w:rPr>
        <w:t xml:space="preserve"> the emissions output for 2022</w:t>
      </w:r>
      <w:r w:rsidR="00E9412D">
        <w:rPr>
          <w:lang w:val="en-GB"/>
        </w:rPr>
        <w:t>-</w:t>
      </w:r>
      <w:r w:rsidRPr="006561E8">
        <w:rPr>
          <w:lang w:val="en-GB"/>
        </w:rPr>
        <w:t>2063 and correlation results. All sectors show a high correlation coefficient between simulated final emissions and emissions from their respective sectors: the industrial sector (R</w:t>
      </w:r>
      <w:r w:rsidR="00E9412D">
        <w:rPr>
          <w:lang w:val="en-GB"/>
        </w:rPr>
        <w:t xml:space="preserve"> </w:t>
      </w:r>
      <w:r w:rsidRPr="006561E8">
        <w:rPr>
          <w:lang w:val="en-GB"/>
        </w:rPr>
        <w:t>= 1.0), the transport sector (R</w:t>
      </w:r>
      <w:r w:rsidR="00E9412D">
        <w:rPr>
          <w:lang w:val="en-GB"/>
        </w:rPr>
        <w:t xml:space="preserve"> </w:t>
      </w:r>
      <w:r w:rsidRPr="006561E8">
        <w:rPr>
          <w:lang w:val="en-GB"/>
        </w:rPr>
        <w:t xml:space="preserve">= 1.0), </w:t>
      </w:r>
      <w:r w:rsidR="002B737D">
        <w:rPr>
          <w:lang w:val="en-GB"/>
        </w:rPr>
        <w:t xml:space="preserve">and </w:t>
      </w:r>
      <w:r w:rsidRPr="006561E8">
        <w:rPr>
          <w:lang w:val="en-GB"/>
        </w:rPr>
        <w:t>the household sector (R</w:t>
      </w:r>
      <w:r w:rsidR="00E9412D">
        <w:rPr>
          <w:lang w:val="en-GB"/>
        </w:rPr>
        <w:t xml:space="preserve"> </w:t>
      </w:r>
      <w:r w:rsidRPr="006561E8">
        <w:rPr>
          <w:lang w:val="en-GB"/>
        </w:rPr>
        <w:t xml:space="preserve">= 0.88). The regression test identified the most significant inputs from the transport and industrial sectors. It can be concluded that the presence of solid particles in the gas composition of the air can double. First of all, this growth occurs in connection with the activity of the coal mining industry and the industry associated with </w:t>
      </w:r>
      <w:r w:rsidR="002B737D">
        <w:rPr>
          <w:lang w:val="en-GB"/>
        </w:rPr>
        <w:t>energy production</w:t>
      </w:r>
      <w:r w:rsidRPr="006561E8">
        <w:rPr>
          <w:lang w:val="en-GB"/>
        </w:rPr>
        <w:t xml:space="preserve">. There is also a significant increase in emissions from transport, which can also be associated with </w:t>
      </w:r>
      <w:r w:rsidR="002B737D">
        <w:rPr>
          <w:lang w:val="en-GB"/>
        </w:rPr>
        <w:t>industry growth</w:t>
      </w:r>
      <w:r w:rsidRPr="006561E8">
        <w:rPr>
          <w:lang w:val="en-GB"/>
        </w:rPr>
        <w:t>.</w:t>
      </w:r>
    </w:p>
    <w:p w14:paraId="4BA9E2F7" w14:textId="4C2AB0ED" w:rsidR="006561E8" w:rsidRPr="006561E8" w:rsidRDefault="006561E8" w:rsidP="00323D7A">
      <w:pPr>
        <w:ind w:firstLine="284"/>
        <w:jc w:val="both"/>
        <w:rPr>
          <w:lang w:val="en-GB"/>
        </w:rPr>
      </w:pPr>
      <w:r w:rsidRPr="006561E8">
        <w:rPr>
          <w:lang w:val="en-GB"/>
        </w:rPr>
        <w:t xml:space="preserve">The contribution to the result of the model is all the more significant </w:t>
      </w:r>
      <w:r w:rsidR="002B737D">
        <w:rPr>
          <w:lang w:val="en-GB"/>
        </w:rPr>
        <w:t xml:space="preserve">as </w:t>
      </w:r>
      <w:r w:rsidRPr="006561E8">
        <w:rPr>
          <w:lang w:val="en-GB"/>
        </w:rPr>
        <w:t>the value of the sensitivity coefficient is greater. The variable with the highest response to changes in input values was "</w:t>
      </w:r>
      <w:proofErr w:type="spellStart"/>
      <w:r w:rsidRPr="006561E8">
        <w:rPr>
          <w:lang w:val="en-GB"/>
        </w:rPr>
        <w:t>energy_consumption_dynamic</w:t>
      </w:r>
      <w:proofErr w:type="spellEnd"/>
      <w:r w:rsidRPr="006561E8">
        <w:rPr>
          <w:lang w:val="en-GB"/>
        </w:rPr>
        <w:t>", with a sensitivity degree index of 80.453. Th</w:t>
      </w:r>
      <w:r w:rsidR="002B737D">
        <w:rPr>
          <w:lang w:val="en-GB"/>
        </w:rPr>
        <w:t>at</w:t>
      </w:r>
      <w:r w:rsidRPr="006561E8">
        <w:rPr>
          <w:lang w:val="en-GB"/>
        </w:rPr>
        <w:t xml:space="preserve"> means that even small changes in the independent variable (Fig. 1a), which is a </w:t>
      </w:r>
      <w:r w:rsidR="002B737D">
        <w:rPr>
          <w:lang w:val="en-GB"/>
        </w:rPr>
        <w:t>stock driver, significantly influence</w:t>
      </w:r>
      <w:r w:rsidRPr="006561E8">
        <w:rPr>
          <w:lang w:val="en-GB"/>
        </w:rPr>
        <w:t xml:space="preserve"> the value of all PM emissions, which is a</w:t>
      </w:r>
      <w:r w:rsidR="003C3851">
        <w:rPr>
          <w:lang w:val="en-GB"/>
        </w:rPr>
        <w:t> </w:t>
      </w:r>
      <w:r w:rsidRPr="006561E8">
        <w:rPr>
          <w:lang w:val="en-GB"/>
        </w:rPr>
        <w:t>dependent variable (Fig. 1b).</w:t>
      </w:r>
    </w:p>
    <w:p w14:paraId="2B1E5820" w14:textId="77777777" w:rsidR="00323D7A" w:rsidRDefault="00323D7A" w:rsidP="006561E8">
      <w:pPr>
        <w:ind w:firstLine="0"/>
        <w:rPr>
          <w:lang w:val="en-GB"/>
        </w:rPr>
      </w:pPr>
    </w:p>
    <w:tbl>
      <w:tblPr>
        <w:tblW w:w="0" w:type="auto"/>
        <w:tblInd w:w="108" w:type="dxa"/>
        <w:tblLook w:val="04A0" w:firstRow="1" w:lastRow="0" w:firstColumn="1" w:lastColumn="0" w:noHBand="0" w:noVBand="1"/>
      </w:tblPr>
      <w:tblGrid>
        <w:gridCol w:w="8155"/>
      </w:tblGrid>
      <w:tr w:rsidR="00323D7A" w:rsidRPr="00FA086B" w14:paraId="5775F1CE" w14:textId="77777777" w:rsidTr="00496C69">
        <w:tc>
          <w:tcPr>
            <w:tcW w:w="7447" w:type="dxa"/>
            <w:shd w:val="clear" w:color="auto" w:fill="auto"/>
          </w:tcPr>
          <w:p w14:paraId="7B1B0AB0" w14:textId="77777777" w:rsidR="00323D7A" w:rsidRPr="00FA086B" w:rsidRDefault="00323D7A" w:rsidP="00496C69">
            <w:pPr>
              <w:rPr>
                <w:rFonts w:eastAsia="SimSun"/>
              </w:rPr>
            </w:pPr>
            <w:r w:rsidRPr="00FA086B">
              <w:rPr>
                <w:rFonts w:eastAsia="SimSun"/>
              </w:rPr>
              <w:t>a.</w:t>
            </w:r>
          </w:p>
        </w:tc>
      </w:tr>
      <w:tr w:rsidR="00323D7A" w:rsidRPr="00FA086B" w14:paraId="05F982D9" w14:textId="77777777" w:rsidTr="00496C69">
        <w:tc>
          <w:tcPr>
            <w:tcW w:w="7447" w:type="dxa"/>
            <w:shd w:val="clear" w:color="auto" w:fill="auto"/>
          </w:tcPr>
          <w:p w14:paraId="62CA4D04" w14:textId="5282F71F" w:rsidR="00323D7A" w:rsidRPr="00FA086B" w:rsidRDefault="00323D7A" w:rsidP="00496C69">
            <w:pPr>
              <w:rPr>
                <w:rFonts w:eastAsia="SimSun"/>
              </w:rPr>
            </w:pPr>
            <w:r w:rsidRPr="00FA086B">
              <w:rPr>
                <w:rFonts w:eastAsia="SimSun"/>
                <w:noProof/>
                <w:sz w:val="21"/>
                <w:lang w:val="ru-RU" w:eastAsia="ru-RU"/>
              </w:rPr>
              <w:drawing>
                <wp:inline distT="0" distB="0" distL="0" distR="0" wp14:anchorId="580853B0" wp14:editId="74072E2A">
                  <wp:extent cx="4591050" cy="1327150"/>
                  <wp:effectExtent l="0" t="0" r="0" b="6350"/>
                  <wp:docPr id="1043192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1050" cy="1327150"/>
                          </a:xfrm>
                          <a:prstGeom prst="rect">
                            <a:avLst/>
                          </a:prstGeom>
                          <a:noFill/>
                          <a:ln>
                            <a:noFill/>
                          </a:ln>
                        </pic:spPr>
                      </pic:pic>
                    </a:graphicData>
                  </a:graphic>
                </wp:inline>
              </w:drawing>
            </w:r>
          </w:p>
        </w:tc>
      </w:tr>
      <w:tr w:rsidR="00323D7A" w:rsidRPr="00FA086B" w14:paraId="175D73DA" w14:textId="77777777" w:rsidTr="00496C69">
        <w:tc>
          <w:tcPr>
            <w:tcW w:w="7447" w:type="dxa"/>
            <w:shd w:val="clear" w:color="auto" w:fill="auto"/>
          </w:tcPr>
          <w:p w14:paraId="501D83FD" w14:textId="77777777" w:rsidR="00323D7A" w:rsidRPr="00FA086B" w:rsidRDefault="00323D7A" w:rsidP="00496C69">
            <w:pPr>
              <w:rPr>
                <w:rFonts w:eastAsia="SimSun"/>
              </w:rPr>
            </w:pPr>
            <w:r w:rsidRPr="00FA086B">
              <w:rPr>
                <w:rFonts w:eastAsia="SimSun"/>
              </w:rPr>
              <w:t>b.</w:t>
            </w:r>
          </w:p>
        </w:tc>
      </w:tr>
      <w:tr w:rsidR="00323D7A" w:rsidRPr="00FA086B" w14:paraId="5D851EFF" w14:textId="77777777" w:rsidTr="00496C69">
        <w:tc>
          <w:tcPr>
            <w:tcW w:w="7447" w:type="dxa"/>
            <w:shd w:val="clear" w:color="auto" w:fill="auto"/>
          </w:tcPr>
          <w:p w14:paraId="77323E18" w14:textId="6D1D2865" w:rsidR="00323D7A" w:rsidRPr="00FA086B" w:rsidRDefault="00323D7A" w:rsidP="00496C69">
            <w:pPr>
              <w:rPr>
                <w:rFonts w:eastAsia="SimSun"/>
              </w:rPr>
            </w:pPr>
            <w:r w:rsidRPr="00FA086B">
              <w:rPr>
                <w:rFonts w:eastAsia="SimSun"/>
                <w:noProof/>
                <w:sz w:val="21"/>
                <w:lang w:val="ru-RU" w:eastAsia="ru-RU"/>
              </w:rPr>
              <w:drawing>
                <wp:inline distT="0" distB="0" distL="0" distR="0" wp14:anchorId="527F5CE1" wp14:editId="039458BE">
                  <wp:extent cx="4591050" cy="1390650"/>
                  <wp:effectExtent l="0" t="0" r="0" b="0"/>
                  <wp:docPr id="17921040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1390650"/>
                          </a:xfrm>
                          <a:prstGeom prst="rect">
                            <a:avLst/>
                          </a:prstGeom>
                          <a:noFill/>
                          <a:ln>
                            <a:noFill/>
                          </a:ln>
                        </pic:spPr>
                      </pic:pic>
                    </a:graphicData>
                  </a:graphic>
                </wp:inline>
              </w:drawing>
            </w:r>
          </w:p>
        </w:tc>
      </w:tr>
    </w:tbl>
    <w:p w14:paraId="3C6A3EF4" w14:textId="7373C8D9" w:rsidR="006561E8" w:rsidRPr="00E9412D" w:rsidRDefault="006561E8" w:rsidP="00E9412D">
      <w:pPr>
        <w:pStyle w:val="Rrys"/>
      </w:pPr>
      <w:r w:rsidRPr="00E9412D">
        <w:rPr>
          <w:b/>
          <w:bCs/>
        </w:rPr>
        <w:t>Fig. 1</w:t>
      </w:r>
      <w:r w:rsidR="00C00908" w:rsidRPr="00E9412D">
        <w:rPr>
          <w:b/>
          <w:bCs/>
        </w:rPr>
        <w:t>.</w:t>
      </w:r>
      <w:r w:rsidRPr="00E9412D">
        <w:t xml:space="preserve"> (a, b). </w:t>
      </w:r>
      <w:proofErr w:type="spellStart"/>
      <w:r w:rsidRPr="00E9412D">
        <w:t>Sensitivity</w:t>
      </w:r>
      <w:proofErr w:type="spellEnd"/>
      <w:r w:rsidRPr="00E9412D">
        <w:t xml:space="preserve"> test: </w:t>
      </w:r>
      <w:proofErr w:type="spellStart"/>
      <w:r w:rsidRPr="00E9412D">
        <w:t>change</w:t>
      </w:r>
      <w:proofErr w:type="spellEnd"/>
      <w:r w:rsidRPr="00E9412D">
        <w:t xml:space="preserve"> of independent </w:t>
      </w:r>
      <w:proofErr w:type="spellStart"/>
      <w:r w:rsidRPr="00E9412D">
        <w:t>variable</w:t>
      </w:r>
      <w:proofErr w:type="spellEnd"/>
      <w:r w:rsidRPr="00E9412D">
        <w:t xml:space="preserve"> </w:t>
      </w:r>
      <w:r w:rsidR="002B737D">
        <w:t>"</w:t>
      </w:r>
      <w:proofErr w:type="spellStart"/>
      <w:r w:rsidRPr="00E9412D">
        <w:t>energy</w:t>
      </w:r>
      <w:proofErr w:type="spellEnd"/>
      <w:r w:rsidRPr="00E9412D">
        <w:t xml:space="preserve"> </w:t>
      </w:r>
      <w:proofErr w:type="spellStart"/>
      <w:r w:rsidRPr="00E9412D">
        <w:t>consumption</w:t>
      </w:r>
      <w:proofErr w:type="spellEnd"/>
      <w:r w:rsidRPr="00E9412D">
        <w:t xml:space="preserve">_ </w:t>
      </w:r>
      <w:proofErr w:type="spellStart"/>
      <w:r w:rsidRPr="00E9412D">
        <w:t>dynamic</w:t>
      </w:r>
      <w:proofErr w:type="spellEnd"/>
      <w:r w:rsidR="002B737D">
        <w:t>"</w:t>
      </w:r>
      <w:r w:rsidRPr="00E9412D">
        <w:t xml:space="preserve"> (a) and the dependent </w:t>
      </w:r>
      <w:proofErr w:type="spellStart"/>
      <w:r w:rsidRPr="00E9412D">
        <w:t>variable</w:t>
      </w:r>
      <w:proofErr w:type="spellEnd"/>
      <w:r w:rsidRPr="00E9412D">
        <w:t xml:space="preserve"> </w:t>
      </w:r>
      <w:r w:rsidR="002B737D">
        <w:t>"</w:t>
      </w:r>
      <w:r w:rsidRPr="00E9412D">
        <w:t xml:space="preserve">PM </w:t>
      </w:r>
      <w:proofErr w:type="spellStart"/>
      <w:r w:rsidRPr="00E9412D">
        <w:t>emissions</w:t>
      </w:r>
      <w:proofErr w:type="spellEnd"/>
      <w:r w:rsidR="002B737D">
        <w:t>"</w:t>
      </w:r>
      <w:r w:rsidRPr="00E9412D">
        <w:t xml:space="preserve"> (b)</w:t>
      </w:r>
    </w:p>
    <w:p w14:paraId="5116F183" w14:textId="77777777" w:rsidR="00C6097C" w:rsidRDefault="00C6097C" w:rsidP="00323D7A">
      <w:pPr>
        <w:ind w:firstLine="284"/>
        <w:jc w:val="both"/>
        <w:rPr>
          <w:lang w:val="en-GB"/>
        </w:rPr>
      </w:pPr>
    </w:p>
    <w:p w14:paraId="724498C2" w14:textId="64D86987" w:rsidR="006561E8" w:rsidRPr="006561E8" w:rsidRDefault="006561E8" w:rsidP="00323D7A">
      <w:pPr>
        <w:ind w:firstLine="284"/>
        <w:jc w:val="both"/>
        <w:rPr>
          <w:lang w:val="en-GB"/>
        </w:rPr>
      </w:pPr>
      <w:r w:rsidRPr="006561E8">
        <w:rPr>
          <w:lang w:val="en-GB"/>
        </w:rPr>
        <w:t>Fig. 2 shows that the sensitivity coefficient starts showing significant changes (70</w:t>
      </w:r>
      <w:r w:rsidR="006B4F7E">
        <w:rPr>
          <w:lang w:val="en-GB"/>
        </w:rPr>
        <w:t>.</w:t>
      </w:r>
      <w:r w:rsidRPr="006561E8">
        <w:rPr>
          <w:lang w:val="en-GB"/>
        </w:rPr>
        <w:t xml:space="preserve">895) even with the smallest change of 10% and continues to </w:t>
      </w:r>
      <w:r w:rsidR="002B737D">
        <w:rPr>
          <w:lang w:val="en-GB"/>
        </w:rPr>
        <w:t>grow proportionately</w:t>
      </w:r>
      <w:r w:rsidRPr="006561E8">
        <w:rPr>
          <w:lang w:val="en-GB"/>
        </w:rPr>
        <w:t>.</w:t>
      </w:r>
    </w:p>
    <w:p w14:paraId="1721918E" w14:textId="63F832B6" w:rsidR="00323D7A" w:rsidRPr="00FA086B" w:rsidRDefault="00323D7A" w:rsidP="00E6233B">
      <w:pPr>
        <w:pStyle w:val="MDPI31text"/>
        <w:widowControl w:val="0"/>
        <w:spacing w:line="240" w:lineRule="auto"/>
        <w:ind w:left="0" w:firstLine="0"/>
        <w:jc w:val="center"/>
        <w:rPr>
          <w:rFonts w:ascii="Times New Roman" w:hAnsi="Times New Roman"/>
          <w:sz w:val="22"/>
        </w:rPr>
      </w:pPr>
      <w:r w:rsidRPr="00FA086B">
        <w:rPr>
          <w:noProof/>
          <w:lang w:val="ru-RU" w:eastAsia="ru-RU"/>
        </w:rPr>
        <w:lastRenderedPageBreak/>
        <w:drawing>
          <wp:inline distT="0" distB="0" distL="0" distR="0" wp14:anchorId="5FCEAF22" wp14:editId="1B995254">
            <wp:extent cx="4686300" cy="1371600"/>
            <wp:effectExtent l="0" t="0" r="0" b="0"/>
            <wp:docPr id="202071628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1371600"/>
                    </a:xfrm>
                    <a:prstGeom prst="rect">
                      <a:avLst/>
                    </a:prstGeom>
                    <a:noFill/>
                    <a:ln>
                      <a:noFill/>
                    </a:ln>
                  </pic:spPr>
                </pic:pic>
              </a:graphicData>
            </a:graphic>
          </wp:inline>
        </w:drawing>
      </w:r>
    </w:p>
    <w:p w14:paraId="33707122" w14:textId="77777777" w:rsidR="006561E8" w:rsidRPr="006561E8" w:rsidRDefault="006561E8" w:rsidP="00323D7A">
      <w:pPr>
        <w:pStyle w:val="Rrys"/>
        <w:rPr>
          <w:lang w:val="en-GB"/>
        </w:rPr>
      </w:pPr>
      <w:r w:rsidRPr="00E9412D">
        <w:rPr>
          <w:b/>
          <w:bCs/>
          <w:lang w:val="en-GB"/>
        </w:rPr>
        <w:t>Fig. 2.</w:t>
      </w:r>
      <w:r w:rsidRPr="006561E8">
        <w:rPr>
          <w:lang w:val="en-GB"/>
        </w:rPr>
        <w:t xml:space="preserve"> The sensitivity coefficient change</w:t>
      </w:r>
    </w:p>
    <w:p w14:paraId="6552BA5C" w14:textId="77777777" w:rsidR="00323D7A" w:rsidRDefault="00323D7A" w:rsidP="00323D7A">
      <w:pPr>
        <w:ind w:firstLine="284"/>
        <w:jc w:val="both"/>
        <w:rPr>
          <w:lang w:val="en-GB"/>
        </w:rPr>
      </w:pPr>
    </w:p>
    <w:p w14:paraId="7BB0EE1B" w14:textId="50B28D2E" w:rsidR="006561E8" w:rsidRPr="006561E8" w:rsidRDefault="006561E8" w:rsidP="00323D7A">
      <w:pPr>
        <w:ind w:firstLine="284"/>
        <w:jc w:val="both"/>
        <w:rPr>
          <w:lang w:val="en-GB"/>
        </w:rPr>
      </w:pPr>
      <w:r w:rsidRPr="006561E8">
        <w:rPr>
          <w:lang w:val="en-GB"/>
        </w:rPr>
        <w:t xml:space="preserve">During the calibration phase of the model, which aimed to incorporate unaccounted parameters and improve the accuracy of predictions, the predicted values for two sectors (transport and household) were found to be close to the real values. </w:t>
      </w:r>
      <w:r w:rsidR="002B737D">
        <w:rPr>
          <w:lang w:val="en-GB"/>
        </w:rPr>
        <w:t>A difference between the actual and simulated values was noticed for other sectors, which is not unexpected given the high level of abstraction involved in dynamic simulation modelling</w:t>
      </w:r>
      <w:r w:rsidRPr="006561E8">
        <w:rPr>
          <w:lang w:val="en-GB"/>
        </w:rPr>
        <w:t xml:space="preserve"> compared to discrete-event or agent-based modelling approaches.</w:t>
      </w:r>
    </w:p>
    <w:p w14:paraId="4DAB69F5" w14:textId="6CDEEE1B" w:rsidR="006561E8" w:rsidRPr="006561E8" w:rsidRDefault="006561E8" w:rsidP="00323D7A">
      <w:pPr>
        <w:ind w:firstLine="284"/>
        <w:jc w:val="both"/>
        <w:rPr>
          <w:lang w:val="en-GB"/>
        </w:rPr>
      </w:pPr>
      <w:r w:rsidRPr="006561E8">
        <w:rPr>
          <w:lang w:val="en-GB"/>
        </w:rPr>
        <w:t>The mining and power plants sub-sectors have the lowest sector efficiency, according to the results of the sector validation before applied calibration. These findings suggest that the parameters used to model these sectors may be insufficient, and additional data collection may be necessary to obtain more accurate results. A</w:t>
      </w:r>
      <w:r w:rsidR="00E9412D">
        <w:rPr>
          <w:lang w:val="en-GB"/>
        </w:rPr>
        <w:t> </w:t>
      </w:r>
      <w:r w:rsidRPr="006561E8">
        <w:rPr>
          <w:lang w:val="en-GB"/>
        </w:rPr>
        <w:t>common practice for validating and calibrating simulation model predictions is to use data covering at least five years (Van Vliet et al. 2016). However, in this study, only two years of data were used for validation, which may have a negative impact on the accuracy and reliability of the validation results.</w:t>
      </w:r>
    </w:p>
    <w:p w14:paraId="440CC86D" w14:textId="1A32E55C" w:rsidR="006561E8" w:rsidRPr="006561E8" w:rsidRDefault="006561E8" w:rsidP="00323D7A">
      <w:pPr>
        <w:ind w:firstLine="284"/>
        <w:jc w:val="both"/>
        <w:rPr>
          <w:lang w:val="en-GB"/>
        </w:rPr>
      </w:pPr>
      <w:r w:rsidRPr="006561E8">
        <w:rPr>
          <w:lang w:val="en-GB"/>
        </w:rPr>
        <w:t>The predicted values until 2063 show a doubling, tripling</w:t>
      </w:r>
      <w:r w:rsidR="002B737D">
        <w:rPr>
          <w:lang w:val="en-GB"/>
        </w:rPr>
        <w:t>, and more</w:t>
      </w:r>
      <w:r w:rsidRPr="006561E8">
        <w:rPr>
          <w:lang w:val="en-GB"/>
        </w:rPr>
        <w:t xml:space="preserve"> harmful emissions into the atmosphere (Tabl</w:t>
      </w:r>
      <w:r w:rsidR="00C8463E">
        <w:rPr>
          <w:lang w:val="en-GB"/>
        </w:rPr>
        <w:t xml:space="preserve">e </w:t>
      </w:r>
      <w:r w:rsidRPr="006561E8">
        <w:rPr>
          <w:lang w:val="en-GB"/>
        </w:rPr>
        <w:t>5).</w:t>
      </w:r>
    </w:p>
    <w:p w14:paraId="5E6E605A" w14:textId="77777777" w:rsidR="006561E8" w:rsidRPr="006561E8" w:rsidRDefault="006561E8" w:rsidP="00323D7A">
      <w:pPr>
        <w:ind w:firstLine="284"/>
        <w:jc w:val="both"/>
        <w:rPr>
          <w:lang w:val="en-GB"/>
        </w:rPr>
      </w:pPr>
    </w:p>
    <w:p w14:paraId="4B733B1B" w14:textId="77777777" w:rsidR="006561E8" w:rsidRPr="006561E8" w:rsidRDefault="006561E8" w:rsidP="00323D7A">
      <w:pPr>
        <w:pStyle w:val="Rtab"/>
        <w:rPr>
          <w:lang w:val="en-GB"/>
        </w:rPr>
      </w:pPr>
      <w:r w:rsidRPr="00E9412D">
        <w:rPr>
          <w:b/>
          <w:bCs/>
          <w:lang w:val="en-GB"/>
        </w:rPr>
        <w:t>Table 5.</w:t>
      </w:r>
      <w:r w:rsidRPr="006561E8">
        <w:rPr>
          <w:lang w:val="en-GB"/>
        </w:rPr>
        <w:t xml:space="preserve"> Emissions of pollutants into the atmosphere in 2022 and forecast for 2063 by pollution sources</w:t>
      </w:r>
    </w:p>
    <w:tbl>
      <w:tblPr>
        <w:tblW w:w="738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1"/>
        <w:gridCol w:w="2835"/>
        <w:gridCol w:w="2976"/>
      </w:tblGrid>
      <w:tr w:rsidR="00323D7A" w:rsidRPr="00FA086B" w14:paraId="0FD4CC5C" w14:textId="77777777" w:rsidTr="00E6233B">
        <w:trPr>
          <w:trHeight w:val="340"/>
        </w:trPr>
        <w:tc>
          <w:tcPr>
            <w:tcW w:w="1571" w:type="dxa"/>
            <w:shd w:val="clear" w:color="auto" w:fill="FFFFFF"/>
            <w:vAlign w:val="center"/>
          </w:tcPr>
          <w:p w14:paraId="2C563178" w14:textId="77777777" w:rsidR="00323D7A" w:rsidRPr="00323D7A" w:rsidRDefault="00323D7A" w:rsidP="00E9412D">
            <w:pPr>
              <w:ind w:left="142" w:firstLine="0"/>
              <w:rPr>
                <w:rFonts w:eastAsia="SimSun"/>
                <w:bCs/>
                <w:lang w:val="ru-RU"/>
              </w:rPr>
            </w:pPr>
            <w:proofErr w:type="spellStart"/>
            <w:r w:rsidRPr="00323D7A">
              <w:rPr>
                <w:rFonts w:eastAsia="SimSun"/>
                <w:bCs/>
              </w:rPr>
              <w:t>Sources</w:t>
            </w:r>
            <w:proofErr w:type="spellEnd"/>
          </w:p>
        </w:tc>
        <w:tc>
          <w:tcPr>
            <w:tcW w:w="2835" w:type="dxa"/>
            <w:shd w:val="clear" w:color="auto" w:fill="FFFFFF"/>
            <w:vAlign w:val="center"/>
          </w:tcPr>
          <w:p w14:paraId="0794E759" w14:textId="5B5E74BE" w:rsidR="00323D7A" w:rsidRPr="00323D7A" w:rsidRDefault="00323D7A" w:rsidP="00323D7A">
            <w:pPr>
              <w:ind w:firstLine="0"/>
              <w:jc w:val="center"/>
              <w:rPr>
                <w:rFonts w:eastAsia="SimSun"/>
                <w:bCs/>
              </w:rPr>
            </w:pPr>
            <w:r w:rsidRPr="00323D7A">
              <w:rPr>
                <w:rFonts w:eastAsia="SimSun"/>
                <w:bCs/>
                <w:lang w:val="ru-RU"/>
              </w:rPr>
              <w:t>2022</w:t>
            </w:r>
            <w:r>
              <w:rPr>
                <w:rFonts w:eastAsia="SimSun"/>
                <w:bCs/>
              </w:rPr>
              <w:t xml:space="preserve"> </w:t>
            </w:r>
            <w:r w:rsidR="004F57F3">
              <w:rPr>
                <w:rFonts w:eastAsia="SimSun"/>
                <w:bCs/>
              </w:rPr>
              <w:br/>
            </w:r>
            <w:proofErr w:type="spellStart"/>
            <w:r w:rsidRPr="00323D7A">
              <w:rPr>
                <w:rFonts w:eastAsia="SimSun"/>
                <w:bCs/>
              </w:rPr>
              <w:t>ths</w:t>
            </w:r>
            <w:proofErr w:type="spellEnd"/>
            <w:r w:rsidRPr="00323D7A">
              <w:rPr>
                <w:rFonts w:eastAsia="SimSun"/>
                <w:bCs/>
              </w:rPr>
              <w:t xml:space="preserve"> </w:t>
            </w:r>
            <w:proofErr w:type="spellStart"/>
            <w:r w:rsidRPr="00323D7A">
              <w:rPr>
                <w:rFonts w:eastAsia="SimSun"/>
                <w:bCs/>
              </w:rPr>
              <w:t>tonn</w:t>
            </w:r>
            <w:proofErr w:type="spellEnd"/>
          </w:p>
        </w:tc>
        <w:tc>
          <w:tcPr>
            <w:tcW w:w="2976" w:type="dxa"/>
            <w:shd w:val="clear" w:color="auto" w:fill="FFFFFF"/>
            <w:vAlign w:val="center"/>
          </w:tcPr>
          <w:p w14:paraId="0CAACF06" w14:textId="51B181F3" w:rsidR="00323D7A" w:rsidRPr="00323D7A" w:rsidRDefault="00323D7A" w:rsidP="00323D7A">
            <w:pPr>
              <w:ind w:firstLine="0"/>
              <w:jc w:val="center"/>
              <w:rPr>
                <w:rFonts w:eastAsia="SimSun"/>
                <w:bCs/>
                <w:lang w:val="ru-RU"/>
              </w:rPr>
            </w:pPr>
            <w:r w:rsidRPr="00323D7A">
              <w:rPr>
                <w:rFonts w:eastAsia="SimSun"/>
                <w:bCs/>
                <w:lang w:val="ru-RU"/>
              </w:rPr>
              <w:t>2063</w:t>
            </w:r>
            <w:r>
              <w:rPr>
                <w:rFonts w:eastAsia="SimSun"/>
                <w:bCs/>
              </w:rPr>
              <w:t xml:space="preserve"> </w:t>
            </w:r>
            <w:r w:rsidR="004F57F3">
              <w:rPr>
                <w:rFonts w:eastAsia="SimSun"/>
                <w:bCs/>
              </w:rPr>
              <w:br/>
            </w:r>
            <w:proofErr w:type="spellStart"/>
            <w:r w:rsidRPr="00323D7A">
              <w:rPr>
                <w:rFonts w:eastAsia="SimSun"/>
                <w:bCs/>
              </w:rPr>
              <w:t>ths</w:t>
            </w:r>
            <w:proofErr w:type="spellEnd"/>
            <w:r w:rsidRPr="00323D7A">
              <w:rPr>
                <w:rFonts w:eastAsia="SimSun"/>
                <w:bCs/>
                <w:lang w:val="ru-RU"/>
              </w:rPr>
              <w:t xml:space="preserve"> </w:t>
            </w:r>
            <w:proofErr w:type="spellStart"/>
            <w:r w:rsidRPr="00323D7A">
              <w:rPr>
                <w:rFonts w:eastAsia="SimSun"/>
                <w:bCs/>
              </w:rPr>
              <w:t>tonn</w:t>
            </w:r>
            <w:proofErr w:type="spellEnd"/>
          </w:p>
        </w:tc>
      </w:tr>
      <w:tr w:rsidR="00323D7A" w:rsidRPr="00FA086B" w14:paraId="39E67E40" w14:textId="77777777" w:rsidTr="00E6233B">
        <w:trPr>
          <w:trHeight w:val="283"/>
        </w:trPr>
        <w:tc>
          <w:tcPr>
            <w:tcW w:w="1571" w:type="dxa"/>
            <w:vAlign w:val="center"/>
          </w:tcPr>
          <w:p w14:paraId="71B09B38" w14:textId="77777777" w:rsidR="00323D7A" w:rsidRPr="00323D7A" w:rsidRDefault="00323D7A" w:rsidP="00E9412D">
            <w:pPr>
              <w:ind w:left="142" w:firstLine="0"/>
              <w:rPr>
                <w:rFonts w:eastAsia="SimSun"/>
                <w:bCs/>
              </w:rPr>
            </w:pPr>
            <w:proofErr w:type="spellStart"/>
            <w:r w:rsidRPr="00323D7A">
              <w:rPr>
                <w:rFonts w:eastAsia="SimSun"/>
                <w:bCs/>
              </w:rPr>
              <w:t>Household</w:t>
            </w:r>
            <w:proofErr w:type="spellEnd"/>
          </w:p>
        </w:tc>
        <w:tc>
          <w:tcPr>
            <w:tcW w:w="2835" w:type="dxa"/>
            <w:vAlign w:val="center"/>
          </w:tcPr>
          <w:p w14:paraId="1F3F9D38" w14:textId="77777777" w:rsidR="00323D7A" w:rsidRPr="00323D7A" w:rsidRDefault="00323D7A" w:rsidP="00323D7A">
            <w:pPr>
              <w:ind w:firstLine="0"/>
              <w:jc w:val="center"/>
              <w:rPr>
                <w:rFonts w:eastAsia="SimSun"/>
                <w:bCs/>
              </w:rPr>
            </w:pPr>
            <w:r w:rsidRPr="00323D7A">
              <w:rPr>
                <w:rFonts w:eastAsia="SimSun"/>
                <w:bCs/>
              </w:rPr>
              <w:t>243.87</w:t>
            </w:r>
          </w:p>
        </w:tc>
        <w:tc>
          <w:tcPr>
            <w:tcW w:w="2976" w:type="dxa"/>
            <w:shd w:val="clear" w:color="auto" w:fill="FFFFFF"/>
            <w:vAlign w:val="center"/>
          </w:tcPr>
          <w:p w14:paraId="667F3A25" w14:textId="77777777" w:rsidR="00323D7A" w:rsidRPr="00323D7A" w:rsidRDefault="00323D7A" w:rsidP="00323D7A">
            <w:pPr>
              <w:ind w:firstLine="0"/>
              <w:jc w:val="center"/>
              <w:rPr>
                <w:rFonts w:eastAsia="SimSun"/>
                <w:bCs/>
                <w:lang w:val="ru-RU"/>
              </w:rPr>
            </w:pPr>
            <w:r w:rsidRPr="00323D7A">
              <w:rPr>
                <w:rFonts w:eastAsia="SimSun"/>
                <w:bCs/>
                <w:lang w:val="ru-RU"/>
              </w:rPr>
              <w:t>686.00</w:t>
            </w:r>
          </w:p>
        </w:tc>
      </w:tr>
      <w:tr w:rsidR="00323D7A" w:rsidRPr="00FA086B" w14:paraId="54E7E5CB" w14:textId="77777777" w:rsidTr="00E6233B">
        <w:trPr>
          <w:trHeight w:val="283"/>
        </w:trPr>
        <w:tc>
          <w:tcPr>
            <w:tcW w:w="1571" w:type="dxa"/>
            <w:vAlign w:val="center"/>
          </w:tcPr>
          <w:p w14:paraId="5A862ACD" w14:textId="77777777" w:rsidR="00323D7A" w:rsidRPr="00323D7A" w:rsidRDefault="00323D7A" w:rsidP="00E9412D">
            <w:pPr>
              <w:ind w:left="142" w:firstLine="0"/>
              <w:rPr>
                <w:rFonts w:eastAsia="SimSun"/>
                <w:bCs/>
              </w:rPr>
            </w:pPr>
            <w:r w:rsidRPr="00323D7A">
              <w:rPr>
                <w:rFonts w:eastAsia="SimSun"/>
                <w:bCs/>
              </w:rPr>
              <w:t>Transport</w:t>
            </w:r>
          </w:p>
        </w:tc>
        <w:tc>
          <w:tcPr>
            <w:tcW w:w="2835" w:type="dxa"/>
            <w:shd w:val="clear" w:color="auto" w:fill="FFFFFF"/>
            <w:vAlign w:val="center"/>
          </w:tcPr>
          <w:p w14:paraId="6824D43C" w14:textId="77777777" w:rsidR="00323D7A" w:rsidRPr="00323D7A" w:rsidRDefault="00323D7A" w:rsidP="00323D7A">
            <w:pPr>
              <w:ind w:firstLine="0"/>
              <w:jc w:val="center"/>
              <w:rPr>
                <w:rFonts w:eastAsia="SimSun"/>
                <w:bCs/>
              </w:rPr>
            </w:pPr>
            <w:r w:rsidRPr="00323D7A">
              <w:rPr>
                <w:rFonts w:eastAsia="SimSun"/>
                <w:bCs/>
              </w:rPr>
              <w:t>256.66</w:t>
            </w:r>
          </w:p>
        </w:tc>
        <w:tc>
          <w:tcPr>
            <w:tcW w:w="2976" w:type="dxa"/>
            <w:shd w:val="clear" w:color="auto" w:fill="FFFFFF"/>
            <w:vAlign w:val="center"/>
          </w:tcPr>
          <w:p w14:paraId="67EEF2DD" w14:textId="77777777" w:rsidR="00323D7A" w:rsidRPr="00323D7A" w:rsidRDefault="00323D7A" w:rsidP="00323D7A">
            <w:pPr>
              <w:ind w:firstLine="0"/>
              <w:jc w:val="center"/>
              <w:rPr>
                <w:rFonts w:eastAsia="SimSun"/>
                <w:bCs/>
                <w:lang w:val="ru-RU"/>
              </w:rPr>
            </w:pPr>
            <w:r w:rsidRPr="00323D7A">
              <w:rPr>
                <w:rFonts w:eastAsia="SimSun"/>
                <w:bCs/>
                <w:lang w:val="ru-RU"/>
              </w:rPr>
              <w:t>1</w:t>
            </w:r>
            <w:r w:rsidRPr="00323D7A">
              <w:rPr>
                <w:rFonts w:eastAsia="SimSun"/>
                <w:bCs/>
              </w:rPr>
              <w:t> </w:t>
            </w:r>
            <w:r w:rsidRPr="00323D7A">
              <w:rPr>
                <w:rFonts w:eastAsia="SimSun"/>
                <w:bCs/>
                <w:lang w:val="ru-RU"/>
              </w:rPr>
              <w:t>230.00</w:t>
            </w:r>
          </w:p>
        </w:tc>
      </w:tr>
      <w:tr w:rsidR="00323D7A" w:rsidRPr="00FA086B" w14:paraId="566803E7" w14:textId="77777777" w:rsidTr="00E6233B">
        <w:trPr>
          <w:trHeight w:val="283"/>
        </w:trPr>
        <w:tc>
          <w:tcPr>
            <w:tcW w:w="1571" w:type="dxa"/>
            <w:vAlign w:val="center"/>
          </w:tcPr>
          <w:p w14:paraId="5F6790F5" w14:textId="77777777" w:rsidR="00323D7A" w:rsidRPr="00323D7A" w:rsidRDefault="00323D7A" w:rsidP="00E9412D">
            <w:pPr>
              <w:ind w:left="142" w:firstLine="0"/>
              <w:rPr>
                <w:rFonts w:eastAsia="SimSun"/>
                <w:bCs/>
              </w:rPr>
            </w:pPr>
            <w:proofErr w:type="spellStart"/>
            <w:r w:rsidRPr="00323D7A">
              <w:rPr>
                <w:rFonts w:eastAsia="SimSun"/>
                <w:bCs/>
              </w:rPr>
              <w:t>Manufacture</w:t>
            </w:r>
            <w:proofErr w:type="spellEnd"/>
          </w:p>
        </w:tc>
        <w:tc>
          <w:tcPr>
            <w:tcW w:w="2835" w:type="dxa"/>
            <w:shd w:val="clear" w:color="auto" w:fill="FFFFFF"/>
            <w:vAlign w:val="center"/>
          </w:tcPr>
          <w:p w14:paraId="2330FCA5" w14:textId="77777777" w:rsidR="00323D7A" w:rsidRPr="00323D7A" w:rsidRDefault="00323D7A" w:rsidP="00323D7A">
            <w:pPr>
              <w:ind w:firstLine="0"/>
              <w:jc w:val="center"/>
              <w:rPr>
                <w:rFonts w:eastAsia="SimSun"/>
                <w:bCs/>
              </w:rPr>
            </w:pPr>
            <w:r w:rsidRPr="00323D7A">
              <w:rPr>
                <w:rFonts w:eastAsia="SimSun"/>
                <w:bCs/>
              </w:rPr>
              <w:t>256.40</w:t>
            </w:r>
          </w:p>
        </w:tc>
        <w:tc>
          <w:tcPr>
            <w:tcW w:w="2976" w:type="dxa"/>
            <w:shd w:val="clear" w:color="auto" w:fill="FFFFFF"/>
            <w:vAlign w:val="center"/>
          </w:tcPr>
          <w:p w14:paraId="2959002A" w14:textId="77777777" w:rsidR="00323D7A" w:rsidRPr="00323D7A" w:rsidRDefault="00323D7A" w:rsidP="00323D7A">
            <w:pPr>
              <w:ind w:firstLine="0"/>
              <w:jc w:val="center"/>
              <w:rPr>
                <w:rFonts w:eastAsia="SimSun"/>
                <w:bCs/>
                <w:lang w:val="ru-RU"/>
              </w:rPr>
            </w:pPr>
            <w:r w:rsidRPr="00323D7A">
              <w:rPr>
                <w:rFonts w:eastAsia="SimSun"/>
                <w:bCs/>
                <w:lang w:val="ru-RU"/>
              </w:rPr>
              <w:t>9</w:t>
            </w:r>
            <w:r w:rsidRPr="00323D7A">
              <w:rPr>
                <w:rFonts w:eastAsia="SimSun"/>
                <w:bCs/>
              </w:rPr>
              <w:t> </w:t>
            </w:r>
            <w:r w:rsidRPr="00323D7A">
              <w:rPr>
                <w:rFonts w:eastAsia="SimSun"/>
                <w:bCs/>
                <w:lang w:val="ru-RU"/>
              </w:rPr>
              <w:t>054.03</w:t>
            </w:r>
          </w:p>
        </w:tc>
      </w:tr>
      <w:tr w:rsidR="00323D7A" w:rsidRPr="00FA086B" w14:paraId="2198B663" w14:textId="77777777" w:rsidTr="00E6233B">
        <w:trPr>
          <w:trHeight w:val="283"/>
        </w:trPr>
        <w:tc>
          <w:tcPr>
            <w:tcW w:w="1571" w:type="dxa"/>
            <w:vAlign w:val="center"/>
          </w:tcPr>
          <w:p w14:paraId="6F6A9B0B" w14:textId="77777777" w:rsidR="00323D7A" w:rsidRPr="00323D7A" w:rsidRDefault="00323D7A" w:rsidP="00E9412D">
            <w:pPr>
              <w:ind w:left="142" w:firstLine="0"/>
              <w:rPr>
                <w:rFonts w:eastAsia="SimSun"/>
                <w:bCs/>
              </w:rPr>
            </w:pPr>
            <w:r w:rsidRPr="00323D7A">
              <w:rPr>
                <w:rFonts w:eastAsia="SimSun"/>
                <w:bCs/>
              </w:rPr>
              <w:t xml:space="preserve">Power </w:t>
            </w:r>
            <w:proofErr w:type="spellStart"/>
            <w:r w:rsidRPr="00323D7A">
              <w:rPr>
                <w:rFonts w:eastAsia="SimSun"/>
                <w:bCs/>
              </w:rPr>
              <w:t>Plants</w:t>
            </w:r>
            <w:proofErr w:type="spellEnd"/>
          </w:p>
        </w:tc>
        <w:tc>
          <w:tcPr>
            <w:tcW w:w="2835" w:type="dxa"/>
            <w:shd w:val="clear" w:color="auto" w:fill="FFFFFF"/>
            <w:vAlign w:val="center"/>
          </w:tcPr>
          <w:p w14:paraId="67CAE4F0" w14:textId="77777777" w:rsidR="00323D7A" w:rsidRPr="00323D7A" w:rsidRDefault="00323D7A" w:rsidP="00323D7A">
            <w:pPr>
              <w:ind w:firstLine="0"/>
              <w:jc w:val="center"/>
              <w:rPr>
                <w:rFonts w:eastAsia="SimSun"/>
                <w:bCs/>
              </w:rPr>
            </w:pPr>
            <w:r w:rsidRPr="00323D7A">
              <w:rPr>
                <w:rFonts w:eastAsia="SimSun"/>
                <w:bCs/>
              </w:rPr>
              <w:t>672.74</w:t>
            </w:r>
          </w:p>
        </w:tc>
        <w:tc>
          <w:tcPr>
            <w:tcW w:w="2976" w:type="dxa"/>
            <w:shd w:val="clear" w:color="auto" w:fill="FFFFFF"/>
            <w:vAlign w:val="center"/>
          </w:tcPr>
          <w:p w14:paraId="6DBDB369" w14:textId="77777777" w:rsidR="00323D7A" w:rsidRPr="00323D7A" w:rsidRDefault="00323D7A" w:rsidP="00323D7A">
            <w:pPr>
              <w:ind w:firstLine="0"/>
              <w:jc w:val="center"/>
              <w:rPr>
                <w:rFonts w:eastAsia="SimSun"/>
                <w:bCs/>
                <w:lang w:val="ru-RU"/>
              </w:rPr>
            </w:pPr>
            <w:r w:rsidRPr="00323D7A">
              <w:rPr>
                <w:rFonts w:eastAsia="SimSun"/>
                <w:bCs/>
                <w:lang w:val="ru-RU"/>
              </w:rPr>
              <w:t>1</w:t>
            </w:r>
            <w:r w:rsidRPr="00323D7A">
              <w:rPr>
                <w:rFonts w:eastAsia="SimSun"/>
                <w:bCs/>
              </w:rPr>
              <w:t> </w:t>
            </w:r>
            <w:r w:rsidRPr="00323D7A">
              <w:rPr>
                <w:rFonts w:eastAsia="SimSun"/>
                <w:bCs/>
                <w:lang w:val="ru-RU"/>
              </w:rPr>
              <w:t>292.00</w:t>
            </w:r>
          </w:p>
        </w:tc>
      </w:tr>
      <w:tr w:rsidR="00323D7A" w:rsidRPr="00FA086B" w14:paraId="00316EBF" w14:textId="77777777" w:rsidTr="00E6233B">
        <w:trPr>
          <w:trHeight w:val="283"/>
        </w:trPr>
        <w:tc>
          <w:tcPr>
            <w:tcW w:w="1571" w:type="dxa"/>
            <w:vAlign w:val="center"/>
          </w:tcPr>
          <w:p w14:paraId="7A99B586" w14:textId="77777777" w:rsidR="00323D7A" w:rsidRPr="00323D7A" w:rsidRDefault="00323D7A" w:rsidP="00E9412D">
            <w:pPr>
              <w:ind w:left="142" w:firstLine="0"/>
              <w:rPr>
                <w:rFonts w:eastAsia="SimSun"/>
                <w:bCs/>
              </w:rPr>
            </w:pPr>
            <w:proofErr w:type="spellStart"/>
            <w:r w:rsidRPr="00323D7A">
              <w:rPr>
                <w:rFonts w:eastAsia="SimSun"/>
                <w:bCs/>
              </w:rPr>
              <w:t>Mining</w:t>
            </w:r>
            <w:proofErr w:type="spellEnd"/>
          </w:p>
        </w:tc>
        <w:tc>
          <w:tcPr>
            <w:tcW w:w="2835" w:type="dxa"/>
            <w:shd w:val="clear" w:color="auto" w:fill="FFFFFF"/>
            <w:vAlign w:val="center"/>
          </w:tcPr>
          <w:p w14:paraId="75D5D368" w14:textId="77777777" w:rsidR="00323D7A" w:rsidRPr="00323D7A" w:rsidRDefault="00323D7A" w:rsidP="00323D7A">
            <w:pPr>
              <w:ind w:firstLine="0"/>
              <w:jc w:val="center"/>
              <w:rPr>
                <w:rFonts w:eastAsia="SimSun"/>
                <w:bCs/>
              </w:rPr>
            </w:pPr>
            <w:r w:rsidRPr="00323D7A">
              <w:rPr>
                <w:rFonts w:eastAsia="SimSun"/>
                <w:bCs/>
              </w:rPr>
              <w:t>2 056.44</w:t>
            </w:r>
          </w:p>
        </w:tc>
        <w:tc>
          <w:tcPr>
            <w:tcW w:w="2976" w:type="dxa"/>
            <w:shd w:val="clear" w:color="auto" w:fill="FFFFFF"/>
            <w:vAlign w:val="center"/>
          </w:tcPr>
          <w:p w14:paraId="271C3531" w14:textId="77777777" w:rsidR="00323D7A" w:rsidRPr="00323D7A" w:rsidRDefault="00323D7A" w:rsidP="00323D7A">
            <w:pPr>
              <w:ind w:firstLine="0"/>
              <w:jc w:val="center"/>
              <w:rPr>
                <w:rFonts w:eastAsia="SimSun"/>
                <w:bCs/>
              </w:rPr>
            </w:pPr>
            <w:r w:rsidRPr="00323D7A">
              <w:rPr>
                <w:rFonts w:eastAsia="SimSun"/>
                <w:bCs/>
              </w:rPr>
              <w:t>6 </w:t>
            </w:r>
            <w:r w:rsidRPr="00323D7A">
              <w:rPr>
                <w:rFonts w:eastAsia="SimSun"/>
                <w:bCs/>
                <w:lang w:val="ru-RU"/>
              </w:rPr>
              <w:t>33</w:t>
            </w:r>
            <w:r w:rsidRPr="00323D7A">
              <w:rPr>
                <w:rFonts w:eastAsia="SimSun"/>
                <w:bCs/>
              </w:rPr>
              <w:t>0.00</w:t>
            </w:r>
          </w:p>
        </w:tc>
      </w:tr>
    </w:tbl>
    <w:p w14:paraId="1553BA3A" w14:textId="4D4D1557" w:rsidR="006561E8" w:rsidRPr="006561E8" w:rsidRDefault="000F468A" w:rsidP="00323D7A">
      <w:pPr>
        <w:pStyle w:val="Rn1"/>
        <w:rPr>
          <w:lang w:val="en-GB"/>
        </w:rPr>
      </w:pPr>
      <w:r>
        <w:rPr>
          <w:lang w:val="en-GB"/>
        </w:rPr>
        <w:t>4</w:t>
      </w:r>
      <w:r w:rsidR="006561E8" w:rsidRPr="006561E8">
        <w:rPr>
          <w:lang w:val="en-GB"/>
        </w:rPr>
        <w:t>. Conclusions</w:t>
      </w:r>
    </w:p>
    <w:p w14:paraId="481BF3D9" w14:textId="1805B00C" w:rsidR="006561E8" w:rsidRPr="006561E8" w:rsidRDefault="006561E8" w:rsidP="00323D7A">
      <w:pPr>
        <w:ind w:firstLine="284"/>
        <w:jc w:val="both"/>
        <w:rPr>
          <w:lang w:val="en-GB"/>
        </w:rPr>
      </w:pPr>
      <w:r w:rsidRPr="006561E8">
        <w:rPr>
          <w:lang w:val="en-GB"/>
        </w:rPr>
        <w:t xml:space="preserve">Testing of the constructed model showed the dynamics of pollutant emissions from different sources in the city of Kemerovo and the Kemerovo region. Correlation results indicate that industries, especially coal mining and power generation, are the main sources of particulate matter emissions. The </w:t>
      </w:r>
      <w:r w:rsidR="002B737D">
        <w:rPr>
          <w:lang w:val="en-GB"/>
        </w:rPr>
        <w:t>modelling results show the projected</w:t>
      </w:r>
      <w:r w:rsidRPr="006561E8">
        <w:rPr>
          <w:lang w:val="en-GB"/>
        </w:rPr>
        <w:t xml:space="preserve"> growth of industrial emissions, emphasizing the need to regulate and prevent environmental hazards. The forecasting model indicated a potential two, three, or even greater increase in emissions. For instance, </w:t>
      </w:r>
      <w:r w:rsidR="002B737D">
        <w:rPr>
          <w:lang w:val="en-GB"/>
        </w:rPr>
        <w:t>by 2063, production-related emissions could rise up to 35 times in the long term</w:t>
      </w:r>
      <w:r w:rsidRPr="006561E8">
        <w:rPr>
          <w:lang w:val="en-GB"/>
        </w:rPr>
        <w:t xml:space="preserve">, leading to irreversible environmental consequences. This extreme pollution and depletion of natural resources could make habitation in this region impossible. In Kemerovo, benzopyrene, a combustion byproduct of various </w:t>
      </w:r>
      <w:r w:rsidR="002B737D">
        <w:rPr>
          <w:lang w:val="en-GB"/>
        </w:rPr>
        <w:t>fuel types</w:t>
      </w:r>
      <w:r w:rsidRPr="006561E8">
        <w:rPr>
          <w:lang w:val="en-GB"/>
        </w:rPr>
        <w:t>, remains predominant despite the absence of active mines. Th</w:t>
      </w:r>
      <w:r w:rsidR="002B737D">
        <w:rPr>
          <w:lang w:val="en-GB"/>
        </w:rPr>
        <w:t>at</w:t>
      </w:r>
      <w:r w:rsidRPr="006561E8">
        <w:rPr>
          <w:lang w:val="en-GB"/>
        </w:rPr>
        <w:t xml:space="preserve"> indicates that zones where fuel combustion is used are the </w:t>
      </w:r>
      <w:r w:rsidR="002B737D">
        <w:rPr>
          <w:lang w:val="en-GB"/>
        </w:rPr>
        <w:t>city's primary pollution sources</w:t>
      </w:r>
      <w:r w:rsidRPr="006561E8">
        <w:rPr>
          <w:lang w:val="en-GB"/>
        </w:rPr>
        <w:t xml:space="preserve">. These sources include industrial enterprises (including numerous chemical plants), transportation, and the private sector. Despite the availability of new technologies, the intensive development of environmental and social catastrophes in the region has not been prevented. The Kemerovo region is characterized as a collection of "hot spots" with significant chemical pollution that </w:t>
      </w:r>
      <w:r w:rsidR="002B737D">
        <w:rPr>
          <w:lang w:val="en-GB"/>
        </w:rPr>
        <w:t>threatens the environment and the population's health</w:t>
      </w:r>
      <w:r w:rsidRPr="006561E8">
        <w:rPr>
          <w:lang w:val="en-GB"/>
        </w:rPr>
        <w:t xml:space="preserve">. The depletion of natural assets cannot </w:t>
      </w:r>
      <w:r w:rsidR="002B737D">
        <w:rPr>
          <w:lang w:val="en-GB"/>
        </w:rPr>
        <w:t>be</w:t>
      </w:r>
      <w:r w:rsidRPr="006561E8">
        <w:rPr>
          <w:lang w:val="en-GB"/>
        </w:rPr>
        <w:t xml:space="preserve"> a stabilizing factor or a strategic direction for ensuring environmental safety and protecting the atmosphere from pollution caused by household, transportation, and industrial waste. </w:t>
      </w:r>
      <w:r w:rsidR="002B737D">
        <w:rPr>
          <w:lang w:val="en-GB"/>
        </w:rPr>
        <w:t>T</w:t>
      </w:r>
      <w:r w:rsidRPr="006561E8">
        <w:rPr>
          <w:lang w:val="en-GB"/>
        </w:rPr>
        <w:t>he region has successfully achieved an appropriate level of production and consumption of mineral and biological resources</w:t>
      </w:r>
      <w:r w:rsidR="002B737D" w:rsidRPr="002B737D">
        <w:rPr>
          <w:lang w:val="en-GB"/>
        </w:rPr>
        <w:t xml:space="preserve"> </w:t>
      </w:r>
      <w:r w:rsidR="002B737D">
        <w:rPr>
          <w:lang w:val="en-GB"/>
        </w:rPr>
        <w:t>t</w:t>
      </w:r>
      <w:r w:rsidR="002B737D" w:rsidRPr="006561E8">
        <w:rPr>
          <w:lang w:val="en-GB"/>
        </w:rPr>
        <w:t>o ensure the sustainable utilization of the natural environment</w:t>
      </w:r>
      <w:r w:rsidRPr="006561E8">
        <w:rPr>
          <w:lang w:val="en-GB"/>
        </w:rPr>
        <w:t xml:space="preserve">. </w:t>
      </w:r>
      <w:r w:rsidRPr="006109E4">
        <w:rPr>
          <w:spacing w:val="-4"/>
          <w:lang w:val="en-GB"/>
        </w:rPr>
        <w:t>Consequently, it is crucial for the activities of industrial facilities and the population in all parts of the region to be structured in a manner that effectively mitigates atmospheric air pollution and aligns the high concentration of raw material and processing industries with the principles of green management and environmental safety.</w:t>
      </w:r>
    </w:p>
    <w:p w14:paraId="7366AF2F" w14:textId="77777777" w:rsidR="006561E8" w:rsidRPr="006561E8" w:rsidRDefault="006561E8" w:rsidP="00323D7A">
      <w:pPr>
        <w:pStyle w:val="Rn2"/>
        <w:rPr>
          <w:lang w:val="en-GB"/>
        </w:rPr>
      </w:pPr>
      <w:r w:rsidRPr="006561E8">
        <w:rPr>
          <w:lang w:val="en-GB"/>
        </w:rPr>
        <w:lastRenderedPageBreak/>
        <w:t>References</w:t>
      </w:r>
    </w:p>
    <w:p w14:paraId="455B98BB" w14:textId="49C946C1" w:rsidR="006561E8" w:rsidRPr="006561E8" w:rsidRDefault="006561E8" w:rsidP="00087CD9">
      <w:pPr>
        <w:pStyle w:val="Rlit"/>
        <w:jc w:val="left"/>
      </w:pPr>
      <w:r w:rsidRPr="006561E8">
        <w:t xml:space="preserve">Batty, M. (2009). </w:t>
      </w:r>
      <w:r w:rsidRPr="0087780F">
        <w:rPr>
          <w:i/>
          <w:iCs/>
        </w:rPr>
        <w:t>Urban Modelling: Algorithms, Calibrations, Predictions</w:t>
      </w:r>
      <w:r w:rsidRPr="006561E8">
        <w:t>. In: R. Kitchin, N. Thrift (Eds.), International Encyclopedia of Human Geography</w:t>
      </w:r>
      <w:r w:rsidR="0087780F">
        <w:t>.</w:t>
      </w:r>
      <w:r w:rsidRPr="006561E8">
        <w:t xml:space="preserve"> pp. 51</w:t>
      </w:r>
      <w:r w:rsidR="0087780F">
        <w:t>-</w:t>
      </w:r>
      <w:r w:rsidRPr="006561E8">
        <w:t xml:space="preserve">58. London: University College. </w:t>
      </w:r>
      <w:r w:rsidR="00087CD9">
        <w:br/>
      </w:r>
      <w:r w:rsidR="0087780F" w:rsidRPr="0087780F">
        <w:t>https://doi.org/</w:t>
      </w:r>
      <w:r w:rsidRPr="006561E8">
        <w:t>10.1016/B978-008044910-4.01092-0</w:t>
      </w:r>
    </w:p>
    <w:p w14:paraId="65FF251C" w14:textId="261EC482" w:rsidR="006561E8" w:rsidRPr="006561E8" w:rsidRDefault="006561E8" w:rsidP="00323D7A">
      <w:pPr>
        <w:pStyle w:val="Rlit"/>
      </w:pPr>
      <w:proofErr w:type="spellStart"/>
      <w:r w:rsidRPr="006561E8">
        <w:t>Galanina</w:t>
      </w:r>
      <w:proofErr w:type="spellEnd"/>
      <w:r w:rsidRPr="006561E8">
        <w:t xml:space="preserve">, T.V., </w:t>
      </w:r>
      <w:proofErr w:type="spellStart"/>
      <w:r w:rsidRPr="006561E8">
        <w:t>Ovsiannikova</w:t>
      </w:r>
      <w:proofErr w:type="spellEnd"/>
      <w:r w:rsidRPr="006561E8">
        <w:t xml:space="preserve">, S.V. (2012). The environmental situation in the coal mining industry of </w:t>
      </w:r>
      <w:proofErr w:type="spellStart"/>
      <w:r w:rsidRPr="006561E8">
        <w:t>Kuzbass</w:t>
      </w:r>
      <w:proofErr w:type="spellEnd"/>
      <w:r w:rsidRPr="006561E8">
        <w:t xml:space="preserve">: Problems and solutions. </w:t>
      </w:r>
      <w:proofErr w:type="spellStart"/>
      <w:r w:rsidRPr="00406A65">
        <w:rPr>
          <w:i/>
          <w:iCs/>
        </w:rPr>
        <w:t>Gornyi</w:t>
      </w:r>
      <w:proofErr w:type="spellEnd"/>
      <w:r w:rsidRPr="00406A65">
        <w:rPr>
          <w:i/>
          <w:iCs/>
        </w:rPr>
        <w:t xml:space="preserve"> </w:t>
      </w:r>
      <w:proofErr w:type="spellStart"/>
      <w:r w:rsidRPr="00406A65">
        <w:rPr>
          <w:i/>
          <w:iCs/>
        </w:rPr>
        <w:t>informatsionno-analiticheskii</w:t>
      </w:r>
      <w:proofErr w:type="spellEnd"/>
      <w:r w:rsidRPr="00406A65">
        <w:rPr>
          <w:i/>
          <w:iCs/>
        </w:rPr>
        <w:t xml:space="preserve"> </w:t>
      </w:r>
      <w:proofErr w:type="spellStart"/>
      <w:r w:rsidRPr="00406A65">
        <w:rPr>
          <w:i/>
          <w:iCs/>
        </w:rPr>
        <w:t>biulleten</w:t>
      </w:r>
      <w:proofErr w:type="spellEnd"/>
      <w:r w:rsidRPr="00406A65">
        <w:rPr>
          <w:i/>
          <w:iCs/>
        </w:rPr>
        <w:t xml:space="preserve"> </w:t>
      </w:r>
      <w:r w:rsidR="00406A65">
        <w:rPr>
          <w:i/>
          <w:iCs/>
        </w:rPr>
        <w:t>=</w:t>
      </w:r>
      <w:r w:rsidRPr="00406A65">
        <w:rPr>
          <w:i/>
          <w:iCs/>
        </w:rPr>
        <w:t xml:space="preserve"> Mining Information-Analytical Bulletin</w:t>
      </w:r>
      <w:r w:rsidRPr="006561E8">
        <w:t xml:space="preserve">, </w:t>
      </w:r>
      <w:r w:rsidRPr="00406A65">
        <w:rPr>
          <w:i/>
          <w:iCs/>
        </w:rPr>
        <w:t>3</w:t>
      </w:r>
      <w:r w:rsidRPr="006561E8">
        <w:t>, 187</w:t>
      </w:r>
      <w:r w:rsidR="0087780F">
        <w:t>-</w:t>
      </w:r>
      <w:r w:rsidRPr="006561E8">
        <w:t>194. (in Russian)</w:t>
      </w:r>
    </w:p>
    <w:p w14:paraId="083F8196" w14:textId="4338B06E" w:rsidR="006561E8" w:rsidRPr="006561E8" w:rsidRDefault="006561E8" w:rsidP="00323D7A">
      <w:pPr>
        <w:pStyle w:val="Rlit"/>
      </w:pPr>
      <w:proofErr w:type="spellStart"/>
      <w:r w:rsidRPr="006561E8">
        <w:t>Golokhvast</w:t>
      </w:r>
      <w:proofErr w:type="spellEnd"/>
      <w:r w:rsidRPr="006561E8">
        <w:t xml:space="preserve">, K., </w:t>
      </w:r>
      <w:proofErr w:type="spellStart"/>
      <w:r w:rsidRPr="006561E8">
        <w:t>Manakov</w:t>
      </w:r>
      <w:proofErr w:type="spellEnd"/>
      <w:r w:rsidRPr="006561E8">
        <w:t xml:space="preserve">, Y.A., Bykov, A.A., Chayka, V.V. (2017). Some characteristics of dust particles in atmosphere of Kemerovo city according to pollution data of snow cover. </w:t>
      </w:r>
      <w:r w:rsidRPr="00406A65">
        <w:rPr>
          <w:i/>
          <w:iCs/>
        </w:rPr>
        <w:t>IOP Conference Series: Earth and Environmental Science</w:t>
      </w:r>
      <w:r w:rsidRPr="006561E8">
        <w:t xml:space="preserve">, </w:t>
      </w:r>
      <w:r w:rsidRPr="00406A65">
        <w:rPr>
          <w:i/>
          <w:iCs/>
        </w:rPr>
        <w:t>87</w:t>
      </w:r>
      <w:r w:rsidRPr="006561E8">
        <w:t xml:space="preserve">(4), 042005. </w:t>
      </w:r>
      <w:r w:rsidR="0087780F" w:rsidRPr="0087780F">
        <w:t>https://doi.org/</w:t>
      </w:r>
      <w:r w:rsidRPr="006561E8">
        <w:t>10.1088/1755</w:t>
      </w:r>
      <w:r w:rsidR="0087780F">
        <w:t>-</w:t>
      </w:r>
      <w:r w:rsidRPr="006561E8">
        <w:t>1315/87/4/042005</w:t>
      </w:r>
    </w:p>
    <w:p w14:paraId="075B05E0" w14:textId="05658699" w:rsidR="006561E8" w:rsidRPr="006561E8" w:rsidRDefault="006561E8" w:rsidP="00323D7A">
      <w:pPr>
        <w:pStyle w:val="Rlit"/>
      </w:pPr>
      <w:r w:rsidRPr="006561E8">
        <w:t>Kemerovo Administration (2022). Report "On the state and protection of the environment of the Kemerovo region –</w:t>
      </w:r>
      <w:r w:rsidR="00087CD9">
        <w:t> </w:t>
      </w:r>
      <w:proofErr w:type="spellStart"/>
      <w:r w:rsidRPr="006561E8">
        <w:t>Kuzbass</w:t>
      </w:r>
      <w:proofErr w:type="spellEnd"/>
      <w:r w:rsidRPr="006561E8">
        <w:t xml:space="preserve"> in 2022". Kemerovo: Administration of the government of the Kemerovo region, Ministry of natural resources and ecology of </w:t>
      </w:r>
      <w:proofErr w:type="spellStart"/>
      <w:r w:rsidRPr="006561E8">
        <w:t>Kuzbass</w:t>
      </w:r>
      <w:proofErr w:type="spellEnd"/>
      <w:r w:rsidRPr="006561E8">
        <w:t>. 2023. (in Russian)</w:t>
      </w:r>
    </w:p>
    <w:p w14:paraId="49FD268F" w14:textId="22E9471E" w:rsidR="006561E8" w:rsidRPr="006561E8" w:rsidRDefault="006561E8" w:rsidP="00323D7A">
      <w:pPr>
        <w:pStyle w:val="Rlit"/>
      </w:pPr>
      <w:proofErr w:type="spellStart"/>
      <w:r w:rsidRPr="006561E8">
        <w:t>Levakova</w:t>
      </w:r>
      <w:proofErr w:type="spellEnd"/>
      <w:r w:rsidRPr="006561E8">
        <w:t xml:space="preserve">, I.V., </w:t>
      </w:r>
      <w:proofErr w:type="spellStart"/>
      <w:r w:rsidRPr="006561E8">
        <w:t>Arustamov</w:t>
      </w:r>
      <w:proofErr w:type="spellEnd"/>
      <w:r w:rsidRPr="006561E8">
        <w:t xml:space="preserve">, E.A. (2019). Some aspects of the environmental assessment of the Kemerovo region. </w:t>
      </w:r>
      <w:r w:rsidRPr="00406A65">
        <w:rPr>
          <w:i/>
          <w:iCs/>
        </w:rPr>
        <w:t>The Eurasian Scientific Journal</w:t>
      </w:r>
      <w:r w:rsidRPr="006561E8">
        <w:t xml:space="preserve">, </w:t>
      </w:r>
      <w:r w:rsidRPr="00406A65">
        <w:rPr>
          <w:i/>
          <w:iCs/>
        </w:rPr>
        <w:t>6</w:t>
      </w:r>
      <w:r w:rsidRPr="006561E8">
        <w:t>(11), 35. (in Russian)</w:t>
      </w:r>
    </w:p>
    <w:p w14:paraId="0FBD2108" w14:textId="076BA54B" w:rsidR="006561E8" w:rsidRPr="006561E8" w:rsidRDefault="006561E8" w:rsidP="00323D7A">
      <w:pPr>
        <w:pStyle w:val="Rlit"/>
      </w:pPr>
      <w:r w:rsidRPr="006561E8">
        <w:t xml:space="preserve">Liu, J., Liu, Y., Wang, X. (2020). An environmental assessment model of construction and demolition waste based on system dynamics: A case study in Guangzhou. </w:t>
      </w:r>
      <w:r w:rsidRPr="00406A65">
        <w:rPr>
          <w:i/>
          <w:iCs/>
        </w:rPr>
        <w:t>Environmental Science and Pollution Research</w:t>
      </w:r>
      <w:r w:rsidRPr="006561E8">
        <w:t xml:space="preserve">, </w:t>
      </w:r>
      <w:r w:rsidRPr="00406A65">
        <w:rPr>
          <w:i/>
          <w:iCs/>
        </w:rPr>
        <w:t>27</w:t>
      </w:r>
      <w:r w:rsidRPr="006561E8">
        <w:t>(8), 37237</w:t>
      </w:r>
      <w:r w:rsidR="00406A65">
        <w:t>-</w:t>
      </w:r>
      <w:r w:rsidRPr="006561E8">
        <w:t xml:space="preserve">37259. </w:t>
      </w:r>
      <w:r w:rsidR="0087780F" w:rsidRPr="0087780F">
        <w:t>https://doi.org/</w:t>
      </w:r>
      <w:r w:rsidRPr="006561E8">
        <w:t>10.1007/s11356</w:t>
      </w:r>
      <w:r w:rsidR="0087780F">
        <w:t>-</w:t>
      </w:r>
      <w:r w:rsidRPr="006561E8">
        <w:t>019</w:t>
      </w:r>
      <w:r w:rsidR="0087780F">
        <w:t>-</w:t>
      </w:r>
      <w:r w:rsidRPr="006561E8">
        <w:t>07107</w:t>
      </w:r>
      <w:r w:rsidR="0087780F">
        <w:t>-</w:t>
      </w:r>
      <w:r w:rsidRPr="006561E8">
        <w:t>5</w:t>
      </w:r>
    </w:p>
    <w:p w14:paraId="65A8E4A7" w14:textId="659CE13A" w:rsidR="006561E8" w:rsidRPr="006561E8" w:rsidRDefault="006561E8" w:rsidP="00323D7A">
      <w:pPr>
        <w:pStyle w:val="Rlit"/>
      </w:pPr>
      <w:r w:rsidRPr="006561E8">
        <w:t xml:space="preserve">Luo, G., Yin, C., Chen, X., Xu, W., Lu, L. (2010). Combining system dynamic model and CLUE–S model to improve land use scenario analyses at regional scale: A case study of </w:t>
      </w:r>
      <w:proofErr w:type="spellStart"/>
      <w:r w:rsidRPr="006561E8">
        <w:t>Sangong</w:t>
      </w:r>
      <w:proofErr w:type="spellEnd"/>
      <w:r w:rsidRPr="006561E8">
        <w:t xml:space="preserve"> watershed in Xinjiang, China. </w:t>
      </w:r>
      <w:r w:rsidRPr="00406A65">
        <w:rPr>
          <w:i/>
          <w:iCs/>
        </w:rPr>
        <w:t>Ecological Com-</w:t>
      </w:r>
      <w:proofErr w:type="spellStart"/>
      <w:r w:rsidRPr="00406A65">
        <w:rPr>
          <w:i/>
          <w:iCs/>
        </w:rPr>
        <w:t>plexity</w:t>
      </w:r>
      <w:proofErr w:type="spellEnd"/>
      <w:r w:rsidRPr="006561E8">
        <w:t xml:space="preserve">, </w:t>
      </w:r>
      <w:r w:rsidRPr="00406A65">
        <w:rPr>
          <w:i/>
          <w:iCs/>
        </w:rPr>
        <w:t>7</w:t>
      </w:r>
      <w:r w:rsidRPr="006561E8">
        <w:t>(2), 198</w:t>
      </w:r>
      <w:r w:rsidR="00406A65">
        <w:t>-</w:t>
      </w:r>
      <w:r w:rsidRPr="006561E8">
        <w:t xml:space="preserve">207. </w:t>
      </w:r>
      <w:r w:rsidR="0087780F" w:rsidRPr="0087780F">
        <w:t>https://doi.org/</w:t>
      </w:r>
      <w:r w:rsidRPr="006561E8">
        <w:t>10.1016/j.ecocom.2010.02.001</w:t>
      </w:r>
    </w:p>
    <w:p w14:paraId="1B58D614" w14:textId="6A5A11D4" w:rsidR="006561E8" w:rsidRPr="006561E8" w:rsidRDefault="006561E8" w:rsidP="00323D7A">
      <w:pPr>
        <w:pStyle w:val="Rlit"/>
      </w:pPr>
      <w:r w:rsidRPr="006561E8">
        <w:t xml:space="preserve">Nevzorov, T.B., </w:t>
      </w:r>
      <w:proofErr w:type="spellStart"/>
      <w:r w:rsidRPr="006561E8">
        <w:t>Manakov</w:t>
      </w:r>
      <w:proofErr w:type="spellEnd"/>
      <w:r w:rsidRPr="006561E8">
        <w:t xml:space="preserve">, D.A. (2017). Implementation problems of the environmental law norms in the industrial regions of Russia (the case of </w:t>
      </w:r>
      <w:proofErr w:type="spellStart"/>
      <w:r w:rsidRPr="006561E8">
        <w:t>Kuzbass</w:t>
      </w:r>
      <w:proofErr w:type="spellEnd"/>
      <w:r w:rsidRPr="006561E8">
        <w:t xml:space="preserve">). </w:t>
      </w:r>
      <w:r w:rsidRPr="00406A65">
        <w:rPr>
          <w:i/>
          <w:iCs/>
        </w:rPr>
        <w:t>Bulletin of Kemerovo State University</w:t>
      </w:r>
      <w:r w:rsidRPr="006561E8">
        <w:t xml:space="preserve">. Ser.: Humanities and Social Sciences, </w:t>
      </w:r>
      <w:r w:rsidRPr="00406A65">
        <w:rPr>
          <w:i/>
          <w:iCs/>
        </w:rPr>
        <w:t>4</w:t>
      </w:r>
      <w:r w:rsidRPr="006561E8">
        <w:t>, 77</w:t>
      </w:r>
      <w:r w:rsidR="00406A65">
        <w:t>-</w:t>
      </w:r>
      <w:r w:rsidRPr="006561E8">
        <w:t xml:space="preserve">87. </w:t>
      </w:r>
      <w:r w:rsidR="0087780F" w:rsidRPr="0087780F">
        <w:t>https://doi.org/</w:t>
      </w:r>
      <w:r w:rsidRPr="006561E8">
        <w:t>10.21603/2542-1840-2017-4-77-87</w:t>
      </w:r>
    </w:p>
    <w:p w14:paraId="3A1976F6" w14:textId="1C6ADA3E" w:rsidR="006561E8" w:rsidRPr="006561E8" w:rsidRDefault="006561E8" w:rsidP="00323D7A">
      <w:pPr>
        <w:pStyle w:val="Rlit"/>
      </w:pPr>
      <w:r w:rsidRPr="006561E8">
        <w:t>Pashkevich, N.V., Shuvalov, Y.V. (2006). Current problems of the mineral and raw complex. Appendix to the "Notes of the Mining Institute" St. Petersburg Mining University. Ecological capacity of the natural environment of the Ke-</w:t>
      </w:r>
      <w:proofErr w:type="spellStart"/>
      <w:r w:rsidRPr="006561E8">
        <w:t>merovo</w:t>
      </w:r>
      <w:proofErr w:type="spellEnd"/>
      <w:r w:rsidRPr="006561E8">
        <w:t xml:space="preserve"> region. </w:t>
      </w:r>
      <w:r w:rsidRPr="00406A65">
        <w:rPr>
          <w:i/>
          <w:iCs/>
        </w:rPr>
        <w:t>Prospects for the development of industry</w:t>
      </w:r>
      <w:r w:rsidRPr="006561E8">
        <w:t xml:space="preserve">, </w:t>
      </w:r>
      <w:r w:rsidRPr="00406A65">
        <w:rPr>
          <w:i/>
          <w:iCs/>
        </w:rPr>
        <w:t>168</w:t>
      </w:r>
      <w:r w:rsidRPr="006561E8">
        <w:t>(1), 1</w:t>
      </w:r>
      <w:r w:rsidR="00406A65">
        <w:t>-</w:t>
      </w:r>
      <w:r w:rsidRPr="006561E8">
        <w:t>24. (in Russian)</w:t>
      </w:r>
    </w:p>
    <w:p w14:paraId="7DF58FF5" w14:textId="5CDA4CD8" w:rsidR="006561E8" w:rsidRPr="006561E8" w:rsidRDefault="006561E8" w:rsidP="00323D7A">
      <w:pPr>
        <w:pStyle w:val="Rlit"/>
      </w:pPr>
      <w:proofErr w:type="spellStart"/>
      <w:r w:rsidRPr="006561E8">
        <w:t>Pianosi</w:t>
      </w:r>
      <w:proofErr w:type="spellEnd"/>
      <w:r w:rsidRPr="006561E8">
        <w:t xml:space="preserve">, F., Beven K., Freer, J., Hall, J.W., Rougier, J., Stephenson, D.B., Wagener, T. (2016). Sensitivity analysis of environmental models: A systematic review with practical workflow. </w:t>
      </w:r>
      <w:r w:rsidRPr="00406A65">
        <w:rPr>
          <w:i/>
          <w:iCs/>
        </w:rPr>
        <w:t>Environmental Modelling &amp; Software</w:t>
      </w:r>
      <w:r w:rsidRPr="006561E8">
        <w:t xml:space="preserve">, </w:t>
      </w:r>
      <w:r w:rsidRPr="00406A65">
        <w:rPr>
          <w:i/>
          <w:iCs/>
        </w:rPr>
        <w:t>79</w:t>
      </w:r>
      <w:r w:rsidRPr="006561E8">
        <w:t xml:space="preserve">, </w:t>
      </w:r>
      <w:r w:rsidR="000F468A">
        <w:br/>
      </w:r>
      <w:r w:rsidRPr="006561E8">
        <w:t>214</w:t>
      </w:r>
      <w:r w:rsidR="00406A65">
        <w:t>-</w:t>
      </w:r>
      <w:r w:rsidRPr="006561E8">
        <w:t xml:space="preserve">232. </w:t>
      </w:r>
      <w:r w:rsidR="0087780F" w:rsidRPr="0087780F">
        <w:t>https://doi.org/</w:t>
      </w:r>
      <w:r w:rsidRPr="006561E8">
        <w:t>10.1016/j.envsoft.2016.02.008</w:t>
      </w:r>
    </w:p>
    <w:p w14:paraId="50A0ACFA" w14:textId="3A093A32" w:rsidR="006561E8" w:rsidRPr="00814570" w:rsidRDefault="006561E8" w:rsidP="00323D7A">
      <w:pPr>
        <w:pStyle w:val="Rlit"/>
        <w:rPr>
          <w:spacing w:val="-4"/>
        </w:rPr>
      </w:pPr>
      <w:r w:rsidRPr="00814570">
        <w:rPr>
          <w:spacing w:val="-4"/>
        </w:rPr>
        <w:t xml:space="preserve">Pinto, N., Antunes, A.P., Roca, J. (2017). Applicability and calibration of an irregular cellular automata model for land use change. </w:t>
      </w:r>
      <w:r w:rsidRPr="00814570">
        <w:rPr>
          <w:i/>
          <w:iCs/>
          <w:spacing w:val="-4"/>
        </w:rPr>
        <w:t>Computers, Environment and Urban Systems</w:t>
      </w:r>
      <w:r w:rsidRPr="00814570">
        <w:rPr>
          <w:spacing w:val="-4"/>
        </w:rPr>
        <w:t xml:space="preserve">, </w:t>
      </w:r>
      <w:r w:rsidRPr="00814570">
        <w:rPr>
          <w:i/>
          <w:iCs/>
          <w:spacing w:val="-4"/>
        </w:rPr>
        <w:t>65</w:t>
      </w:r>
      <w:r w:rsidRPr="00814570">
        <w:rPr>
          <w:spacing w:val="-4"/>
        </w:rPr>
        <w:t>, 93</w:t>
      </w:r>
      <w:r w:rsidR="00406A65" w:rsidRPr="00814570">
        <w:rPr>
          <w:spacing w:val="-4"/>
        </w:rPr>
        <w:t>-</w:t>
      </w:r>
      <w:r w:rsidRPr="00814570">
        <w:rPr>
          <w:spacing w:val="-4"/>
        </w:rPr>
        <w:t xml:space="preserve">102. </w:t>
      </w:r>
      <w:r w:rsidR="0087780F" w:rsidRPr="00814570">
        <w:rPr>
          <w:spacing w:val="-4"/>
        </w:rPr>
        <w:t>https://doi.org/</w:t>
      </w:r>
      <w:r w:rsidRPr="00814570">
        <w:rPr>
          <w:spacing w:val="-4"/>
        </w:rPr>
        <w:t>10.1016/j.compenvurbsys.2017.05.005</w:t>
      </w:r>
    </w:p>
    <w:p w14:paraId="3F18E024" w14:textId="4A434966" w:rsidR="006561E8" w:rsidRPr="006561E8" w:rsidRDefault="006561E8" w:rsidP="00323D7A">
      <w:pPr>
        <w:pStyle w:val="Rlit"/>
      </w:pPr>
      <w:proofErr w:type="spellStart"/>
      <w:r w:rsidRPr="006561E8">
        <w:t>Rosprirodnadzor</w:t>
      </w:r>
      <w:proofErr w:type="spellEnd"/>
      <w:r w:rsidRPr="006561E8">
        <w:t xml:space="preserve"> (2017). State report "On the state and protection of the environment of the Russian Federation in 2017". Retrieved from: https://gosdoklad-ecology.ru/2017/subjects/sfo/kemerovskaya-oblast/ (26-07-2023). (in Russian)</w:t>
      </w:r>
    </w:p>
    <w:p w14:paraId="385B9F71" w14:textId="350B6057" w:rsidR="006561E8" w:rsidRPr="006561E8" w:rsidRDefault="006561E8" w:rsidP="00323D7A">
      <w:pPr>
        <w:pStyle w:val="Rlit"/>
      </w:pPr>
      <w:proofErr w:type="spellStart"/>
      <w:r w:rsidRPr="006561E8">
        <w:t>Rosprirodnadzor</w:t>
      </w:r>
      <w:proofErr w:type="spellEnd"/>
      <w:r w:rsidRPr="006561E8">
        <w:t xml:space="preserve"> (2021). Report "On the state and protection of the environment of the Kemerovo region – </w:t>
      </w:r>
      <w:proofErr w:type="spellStart"/>
      <w:r w:rsidRPr="006561E8">
        <w:t>Kuzbass</w:t>
      </w:r>
      <w:proofErr w:type="spellEnd"/>
      <w:r w:rsidRPr="006561E8">
        <w:t xml:space="preserve"> in 2021". </w:t>
      </w:r>
      <w:r w:rsidR="000F468A" w:rsidRPr="006561E8">
        <w:t>(in Russian)</w:t>
      </w:r>
      <w:r w:rsidR="000F468A">
        <w:t xml:space="preserve">. </w:t>
      </w:r>
      <w:r w:rsidRPr="006561E8">
        <w:t>Available at: http://kuzbasseco.ru/wp-content/uploads/2022/08/doklad_2021.pdf (26-07-2023)</w:t>
      </w:r>
    </w:p>
    <w:p w14:paraId="2E008E24" w14:textId="1263B5D5" w:rsidR="006561E8" w:rsidRPr="006561E8" w:rsidRDefault="006561E8" w:rsidP="00323D7A">
      <w:pPr>
        <w:pStyle w:val="Rlit"/>
      </w:pPr>
      <w:r w:rsidRPr="006561E8">
        <w:t xml:space="preserve">Ryabov, V.A., </w:t>
      </w:r>
      <w:proofErr w:type="spellStart"/>
      <w:r w:rsidRPr="006561E8">
        <w:t>Mamasev</w:t>
      </w:r>
      <w:proofErr w:type="spellEnd"/>
      <w:r w:rsidRPr="006561E8">
        <w:t xml:space="preserve">, P.S., Egorova, N.T. (2018). Anthropogenic load on the natural environment as a factor shaping the quality of life of the population of industrial </w:t>
      </w:r>
      <w:proofErr w:type="spellStart"/>
      <w:r w:rsidRPr="006561E8">
        <w:t>Kuzbass</w:t>
      </w:r>
      <w:proofErr w:type="spellEnd"/>
      <w:r w:rsidRPr="006561E8">
        <w:t xml:space="preserve">. </w:t>
      </w:r>
      <w:proofErr w:type="spellStart"/>
      <w:r w:rsidRPr="00406A65">
        <w:rPr>
          <w:i/>
          <w:iCs/>
        </w:rPr>
        <w:t>Ekologiya</w:t>
      </w:r>
      <w:proofErr w:type="spellEnd"/>
      <w:r w:rsidRPr="00406A65">
        <w:rPr>
          <w:i/>
          <w:iCs/>
        </w:rPr>
        <w:t xml:space="preserve"> </w:t>
      </w:r>
      <w:proofErr w:type="spellStart"/>
      <w:r w:rsidRPr="00406A65">
        <w:rPr>
          <w:i/>
          <w:iCs/>
        </w:rPr>
        <w:t>urbanizirovannykh</w:t>
      </w:r>
      <w:proofErr w:type="spellEnd"/>
      <w:r w:rsidRPr="00406A65">
        <w:rPr>
          <w:i/>
          <w:iCs/>
        </w:rPr>
        <w:t xml:space="preserve"> </w:t>
      </w:r>
      <w:proofErr w:type="spellStart"/>
      <w:r w:rsidRPr="00406A65">
        <w:rPr>
          <w:i/>
          <w:iCs/>
        </w:rPr>
        <w:t>territoriy</w:t>
      </w:r>
      <w:proofErr w:type="spellEnd"/>
      <w:r w:rsidRPr="00406A65">
        <w:rPr>
          <w:i/>
          <w:iCs/>
        </w:rPr>
        <w:t xml:space="preserve"> </w:t>
      </w:r>
      <w:r w:rsidR="00406A65" w:rsidRPr="00406A65">
        <w:rPr>
          <w:i/>
          <w:iCs/>
        </w:rPr>
        <w:t>=</w:t>
      </w:r>
      <w:r w:rsidRPr="00406A65">
        <w:rPr>
          <w:i/>
          <w:iCs/>
        </w:rPr>
        <w:t xml:space="preserve"> Ecology of Urban Areas</w:t>
      </w:r>
      <w:r w:rsidRPr="006561E8">
        <w:t xml:space="preserve">, </w:t>
      </w:r>
      <w:r w:rsidRPr="00406A65">
        <w:rPr>
          <w:i/>
          <w:iCs/>
        </w:rPr>
        <w:t>2</w:t>
      </w:r>
      <w:r w:rsidRPr="006561E8">
        <w:t>, 84</w:t>
      </w:r>
      <w:r w:rsidR="00406A65">
        <w:t>-</w:t>
      </w:r>
      <w:r w:rsidRPr="006561E8">
        <w:t xml:space="preserve">90. </w:t>
      </w:r>
      <w:r w:rsidR="000F468A" w:rsidRPr="006561E8">
        <w:t>(in Russian)</w:t>
      </w:r>
      <w:r w:rsidR="000F468A">
        <w:t xml:space="preserve"> </w:t>
      </w:r>
      <w:r w:rsidR="0087780F" w:rsidRPr="0087780F">
        <w:t>https://doi.org/</w:t>
      </w:r>
      <w:r w:rsidRPr="006561E8">
        <w:t>10.24411/1816-1863-2018-12084</w:t>
      </w:r>
    </w:p>
    <w:p w14:paraId="6659B79E" w14:textId="731B3101" w:rsidR="006561E8" w:rsidRPr="000F468A" w:rsidRDefault="006561E8" w:rsidP="00323D7A">
      <w:pPr>
        <w:pStyle w:val="Rlit"/>
        <w:rPr>
          <w:spacing w:val="-2"/>
        </w:rPr>
      </w:pPr>
      <w:r w:rsidRPr="000F468A">
        <w:rPr>
          <w:spacing w:val="-2"/>
        </w:rPr>
        <w:t xml:space="preserve">Schastlivtsev, E.L., Bragin, V.E. (2007). </w:t>
      </w:r>
      <w:proofErr w:type="spellStart"/>
      <w:r w:rsidRPr="000F468A">
        <w:rPr>
          <w:spacing w:val="-2"/>
        </w:rPr>
        <w:t>Geoekologicheskiye</w:t>
      </w:r>
      <w:proofErr w:type="spellEnd"/>
      <w:r w:rsidRPr="000F468A">
        <w:rPr>
          <w:spacing w:val="-2"/>
        </w:rPr>
        <w:t xml:space="preserve"> </w:t>
      </w:r>
      <w:proofErr w:type="spellStart"/>
      <w:r w:rsidRPr="000F468A">
        <w:rPr>
          <w:spacing w:val="-2"/>
        </w:rPr>
        <w:t>problemy</w:t>
      </w:r>
      <w:proofErr w:type="spellEnd"/>
      <w:r w:rsidRPr="000F468A">
        <w:rPr>
          <w:spacing w:val="-2"/>
        </w:rPr>
        <w:t xml:space="preserve"> </w:t>
      </w:r>
      <w:proofErr w:type="spellStart"/>
      <w:r w:rsidRPr="000F468A">
        <w:rPr>
          <w:spacing w:val="-2"/>
        </w:rPr>
        <w:t>ugledobyvayushchikh</w:t>
      </w:r>
      <w:proofErr w:type="spellEnd"/>
      <w:r w:rsidRPr="000F468A">
        <w:rPr>
          <w:spacing w:val="-2"/>
        </w:rPr>
        <w:t xml:space="preserve"> </w:t>
      </w:r>
      <w:proofErr w:type="spellStart"/>
      <w:r w:rsidRPr="000F468A">
        <w:rPr>
          <w:spacing w:val="-2"/>
        </w:rPr>
        <w:t>rayonov</w:t>
      </w:r>
      <w:proofErr w:type="spellEnd"/>
      <w:r w:rsidRPr="000F468A">
        <w:rPr>
          <w:spacing w:val="-2"/>
        </w:rPr>
        <w:t xml:space="preserve"> </w:t>
      </w:r>
      <w:proofErr w:type="spellStart"/>
      <w:r w:rsidRPr="000F468A">
        <w:rPr>
          <w:spacing w:val="-2"/>
        </w:rPr>
        <w:t>Kuzbassa</w:t>
      </w:r>
      <w:proofErr w:type="spellEnd"/>
      <w:r w:rsidRPr="000F468A">
        <w:rPr>
          <w:spacing w:val="-2"/>
        </w:rPr>
        <w:t xml:space="preserve"> </w:t>
      </w:r>
      <w:proofErr w:type="spellStart"/>
      <w:r w:rsidRPr="000F468A">
        <w:rPr>
          <w:spacing w:val="-2"/>
        </w:rPr>
        <w:t>i</w:t>
      </w:r>
      <w:proofErr w:type="spellEnd"/>
      <w:r w:rsidRPr="000F468A">
        <w:rPr>
          <w:spacing w:val="-2"/>
        </w:rPr>
        <w:t xml:space="preserve"> </w:t>
      </w:r>
      <w:proofErr w:type="spellStart"/>
      <w:r w:rsidRPr="000F468A">
        <w:rPr>
          <w:spacing w:val="-2"/>
        </w:rPr>
        <w:t>puti</w:t>
      </w:r>
      <w:proofErr w:type="spellEnd"/>
      <w:r w:rsidRPr="000F468A">
        <w:rPr>
          <w:spacing w:val="-2"/>
        </w:rPr>
        <w:t xml:space="preserve"> </w:t>
      </w:r>
      <w:proofErr w:type="spellStart"/>
      <w:r w:rsidRPr="000F468A">
        <w:rPr>
          <w:spacing w:val="-2"/>
        </w:rPr>
        <w:t>ikh</w:t>
      </w:r>
      <w:proofErr w:type="spellEnd"/>
      <w:r w:rsidRPr="000F468A">
        <w:rPr>
          <w:spacing w:val="-2"/>
        </w:rPr>
        <w:t xml:space="preserve"> </w:t>
      </w:r>
      <w:proofErr w:type="spellStart"/>
      <w:r w:rsidRPr="000F468A">
        <w:rPr>
          <w:spacing w:val="-2"/>
        </w:rPr>
        <w:t>resheniya</w:t>
      </w:r>
      <w:proofErr w:type="spellEnd"/>
      <w:r w:rsidRPr="000F468A">
        <w:rPr>
          <w:spacing w:val="-2"/>
        </w:rPr>
        <w:t xml:space="preserve"> [</w:t>
      </w:r>
      <w:proofErr w:type="spellStart"/>
      <w:r w:rsidRPr="000F468A">
        <w:rPr>
          <w:spacing w:val="-2"/>
        </w:rPr>
        <w:t>Geoenvironmental</w:t>
      </w:r>
      <w:proofErr w:type="spellEnd"/>
      <w:r w:rsidRPr="000F468A">
        <w:rPr>
          <w:spacing w:val="-2"/>
        </w:rPr>
        <w:t xml:space="preserve"> problems of coal-mining areas of </w:t>
      </w:r>
      <w:proofErr w:type="spellStart"/>
      <w:r w:rsidRPr="000F468A">
        <w:rPr>
          <w:spacing w:val="-2"/>
        </w:rPr>
        <w:t>Kuzbass</w:t>
      </w:r>
      <w:proofErr w:type="spellEnd"/>
      <w:r w:rsidRPr="000F468A">
        <w:rPr>
          <w:spacing w:val="-2"/>
        </w:rPr>
        <w:t xml:space="preserve"> and way of their decision]. </w:t>
      </w:r>
      <w:proofErr w:type="spellStart"/>
      <w:r w:rsidRPr="000F468A">
        <w:rPr>
          <w:i/>
          <w:iCs/>
          <w:spacing w:val="-2"/>
        </w:rPr>
        <w:t>Ugol</w:t>
      </w:r>
      <w:proofErr w:type="spellEnd"/>
      <w:r w:rsidRPr="000F468A">
        <w:rPr>
          <w:i/>
          <w:iCs/>
          <w:spacing w:val="-2"/>
        </w:rPr>
        <w:t xml:space="preserve"> = Coal</w:t>
      </w:r>
      <w:r w:rsidRPr="000F468A">
        <w:rPr>
          <w:spacing w:val="-2"/>
        </w:rPr>
        <w:t xml:space="preserve">, </w:t>
      </w:r>
      <w:r w:rsidRPr="000F468A">
        <w:rPr>
          <w:i/>
          <w:iCs/>
          <w:spacing w:val="-2"/>
        </w:rPr>
        <w:t>7</w:t>
      </w:r>
      <w:r w:rsidRPr="000F468A">
        <w:rPr>
          <w:spacing w:val="-2"/>
        </w:rPr>
        <w:t>, 65</w:t>
      </w:r>
      <w:r w:rsidR="00406A65" w:rsidRPr="000F468A">
        <w:rPr>
          <w:spacing w:val="-2"/>
        </w:rPr>
        <w:t>-</w:t>
      </w:r>
      <w:r w:rsidRPr="000F468A">
        <w:rPr>
          <w:spacing w:val="-2"/>
        </w:rPr>
        <w:t>67.</w:t>
      </w:r>
    </w:p>
    <w:p w14:paraId="1AE61F9D" w14:textId="3AA349E8" w:rsidR="006561E8" w:rsidRPr="000F468A" w:rsidRDefault="006561E8" w:rsidP="0087780F">
      <w:pPr>
        <w:pStyle w:val="Rlit"/>
        <w:jc w:val="left"/>
        <w:rPr>
          <w:spacing w:val="-2"/>
        </w:rPr>
      </w:pPr>
      <w:r w:rsidRPr="000F468A">
        <w:rPr>
          <w:spacing w:val="-2"/>
        </w:rPr>
        <w:t>Smirnova, E., Larionov, A. (2020). Justification of environmental safety criteria in the context of sustainable develop-</w:t>
      </w:r>
      <w:proofErr w:type="spellStart"/>
      <w:r w:rsidRPr="000F468A">
        <w:rPr>
          <w:spacing w:val="-2"/>
        </w:rPr>
        <w:t>ment</w:t>
      </w:r>
      <w:proofErr w:type="spellEnd"/>
      <w:r w:rsidRPr="000F468A">
        <w:rPr>
          <w:spacing w:val="-2"/>
        </w:rPr>
        <w:t xml:space="preserve"> of the construction sector. </w:t>
      </w:r>
      <w:r w:rsidRPr="000F468A">
        <w:rPr>
          <w:i/>
          <w:iCs/>
          <w:spacing w:val="-2"/>
        </w:rPr>
        <w:t>E3S Web of Conferences</w:t>
      </w:r>
      <w:r w:rsidRPr="000F468A">
        <w:rPr>
          <w:spacing w:val="-2"/>
        </w:rPr>
        <w:t xml:space="preserve">, </w:t>
      </w:r>
      <w:r w:rsidRPr="000F468A">
        <w:rPr>
          <w:i/>
          <w:iCs/>
          <w:spacing w:val="-2"/>
        </w:rPr>
        <w:t>157</w:t>
      </w:r>
      <w:r w:rsidRPr="000F468A">
        <w:rPr>
          <w:spacing w:val="-2"/>
        </w:rPr>
        <w:t xml:space="preserve">, 06011. </w:t>
      </w:r>
      <w:r w:rsidR="0087780F" w:rsidRPr="000F468A">
        <w:rPr>
          <w:spacing w:val="-2"/>
        </w:rPr>
        <w:t>https://doi.org/</w:t>
      </w:r>
      <w:r w:rsidRPr="000F468A">
        <w:rPr>
          <w:spacing w:val="-2"/>
        </w:rPr>
        <w:t>10.1051/e3sconf/202015706011</w:t>
      </w:r>
    </w:p>
    <w:p w14:paraId="09577D24" w14:textId="19222280" w:rsidR="006561E8" w:rsidRPr="006561E8" w:rsidRDefault="006561E8" w:rsidP="00323D7A">
      <w:pPr>
        <w:pStyle w:val="Rlit"/>
      </w:pPr>
      <w:r w:rsidRPr="006561E8">
        <w:t xml:space="preserve">Smirnova, E., Larionova, Y. (2020). Problem of environmental safety during construction (analysis of construction impact on environment). </w:t>
      </w:r>
      <w:r w:rsidRPr="00406A65">
        <w:rPr>
          <w:i/>
          <w:iCs/>
        </w:rPr>
        <w:t>E3S Web of Conferences</w:t>
      </w:r>
      <w:r w:rsidRPr="006561E8">
        <w:t xml:space="preserve">, </w:t>
      </w:r>
      <w:r w:rsidRPr="00406A65">
        <w:rPr>
          <w:i/>
          <w:iCs/>
        </w:rPr>
        <w:t>164</w:t>
      </w:r>
      <w:r w:rsidRPr="006561E8">
        <w:t xml:space="preserve">, 07006. </w:t>
      </w:r>
      <w:r w:rsidR="0087780F" w:rsidRPr="0087780F">
        <w:t>https://doi.org/</w:t>
      </w:r>
      <w:r w:rsidRPr="006561E8">
        <w:t>10.1051/e3sconf /202016407006</w:t>
      </w:r>
    </w:p>
    <w:p w14:paraId="7C687CE8" w14:textId="7E2EAA57" w:rsidR="006561E8" w:rsidRPr="006561E8" w:rsidRDefault="006561E8" w:rsidP="00406A65">
      <w:pPr>
        <w:pStyle w:val="Rlit"/>
        <w:jc w:val="left"/>
      </w:pPr>
      <w:proofErr w:type="spellStart"/>
      <w:r w:rsidRPr="006561E8">
        <w:t>Sourisseau</w:t>
      </w:r>
      <w:proofErr w:type="spellEnd"/>
      <w:r w:rsidRPr="006561E8">
        <w:t xml:space="preserve">, S., </w:t>
      </w:r>
      <w:proofErr w:type="spellStart"/>
      <w:r w:rsidRPr="006561E8">
        <w:t>Bassères</w:t>
      </w:r>
      <w:proofErr w:type="spellEnd"/>
      <w:r w:rsidRPr="006561E8">
        <w:t xml:space="preserve">, A., </w:t>
      </w:r>
      <w:proofErr w:type="spellStart"/>
      <w:r w:rsidRPr="006561E8">
        <w:t>Périé</w:t>
      </w:r>
      <w:proofErr w:type="spellEnd"/>
      <w:r w:rsidRPr="006561E8">
        <w:t xml:space="preserve">, F., </w:t>
      </w:r>
      <w:proofErr w:type="spellStart"/>
      <w:r w:rsidRPr="006561E8">
        <w:t>Caquet</w:t>
      </w:r>
      <w:proofErr w:type="spellEnd"/>
      <w:r w:rsidRPr="006561E8">
        <w:t xml:space="preserve">, T. (2008). Calibration, validation and sensitivity analysis of an ecosystem model applied to artificial streams. </w:t>
      </w:r>
      <w:r w:rsidRPr="00406A65">
        <w:rPr>
          <w:i/>
          <w:iCs/>
        </w:rPr>
        <w:t>Water Research</w:t>
      </w:r>
      <w:r w:rsidRPr="006561E8">
        <w:t xml:space="preserve">, </w:t>
      </w:r>
      <w:r w:rsidRPr="00406A65">
        <w:rPr>
          <w:i/>
          <w:iCs/>
        </w:rPr>
        <w:t>42</w:t>
      </w:r>
      <w:r w:rsidRPr="006561E8">
        <w:t>(4</w:t>
      </w:r>
      <w:r w:rsidR="00406A65">
        <w:t>-</w:t>
      </w:r>
      <w:r w:rsidRPr="006561E8">
        <w:t>5), 1167</w:t>
      </w:r>
      <w:r w:rsidR="00406A65">
        <w:rPr>
          <w:i/>
          <w:iCs/>
        </w:rPr>
        <w:t>-</w:t>
      </w:r>
      <w:r w:rsidRPr="006561E8">
        <w:t xml:space="preserve">1181. </w:t>
      </w:r>
      <w:r w:rsidR="00406A65">
        <w:br/>
      </w:r>
      <w:r w:rsidR="0087780F" w:rsidRPr="0087780F">
        <w:t>https://doi.org/</w:t>
      </w:r>
      <w:r w:rsidRPr="006561E8">
        <w:t>10.1016/j.watres.2007.08.039</w:t>
      </w:r>
    </w:p>
    <w:p w14:paraId="4F8CBE46" w14:textId="30714E9C" w:rsidR="006561E8" w:rsidRPr="006561E8" w:rsidRDefault="006561E8" w:rsidP="00406A65">
      <w:pPr>
        <w:pStyle w:val="Rlit"/>
        <w:jc w:val="left"/>
      </w:pPr>
      <w:r w:rsidRPr="006561E8">
        <w:t xml:space="preserve">Van Vliet, J., Bregt, A.K., Brown, D.G., van </w:t>
      </w:r>
      <w:proofErr w:type="spellStart"/>
      <w:r w:rsidRPr="006561E8">
        <w:t>Delden</w:t>
      </w:r>
      <w:proofErr w:type="spellEnd"/>
      <w:r w:rsidRPr="006561E8">
        <w:t>, H., Heckbert, S., Verburg, P.H. (2016). A review of current calibration and validation practices in land</w:t>
      </w:r>
      <w:r w:rsidR="00406A65">
        <w:t>-</w:t>
      </w:r>
      <w:r w:rsidRPr="006561E8">
        <w:t xml:space="preserve">change modelling. </w:t>
      </w:r>
      <w:r w:rsidRPr="00406A65">
        <w:rPr>
          <w:i/>
          <w:iCs/>
        </w:rPr>
        <w:t>Environmental Modelling &amp; Software</w:t>
      </w:r>
      <w:r w:rsidRPr="006561E8">
        <w:t xml:space="preserve">, </w:t>
      </w:r>
      <w:r w:rsidRPr="00406A65">
        <w:rPr>
          <w:i/>
          <w:iCs/>
        </w:rPr>
        <w:t>82</w:t>
      </w:r>
      <w:r w:rsidRPr="006561E8">
        <w:t>, 174</w:t>
      </w:r>
      <w:r w:rsidR="00406A65">
        <w:t>-</w:t>
      </w:r>
      <w:r w:rsidRPr="006561E8">
        <w:t xml:space="preserve">182. </w:t>
      </w:r>
      <w:r w:rsidR="0087780F" w:rsidRPr="0087780F">
        <w:t>https://doi.org/</w:t>
      </w:r>
      <w:r w:rsidRPr="006561E8">
        <w:t>10.1016/j.envsoft.2016.04.017</w:t>
      </w:r>
    </w:p>
    <w:p w14:paraId="656C7625" w14:textId="38D3AA60" w:rsidR="006561E8" w:rsidRPr="006561E8" w:rsidRDefault="006561E8" w:rsidP="00323D7A">
      <w:pPr>
        <w:pStyle w:val="Rlit"/>
      </w:pPr>
      <w:r w:rsidRPr="006561E8">
        <w:t>Wei, S., Yang, H., Song, J., Abbaspour, K.C., Xu, Z. (2012). System dynamics simulation model for assessing socio</w:t>
      </w:r>
      <w:r w:rsidR="00C8463E">
        <w:t>-</w:t>
      </w:r>
      <w:r w:rsidRPr="006561E8">
        <w:t xml:space="preserve">economic impacts of different levels of environmental flow allocation in the Weihe River Basin, China. </w:t>
      </w:r>
      <w:r w:rsidRPr="00406A65">
        <w:rPr>
          <w:i/>
          <w:iCs/>
        </w:rPr>
        <w:t>European Journal of Operational Research</w:t>
      </w:r>
      <w:r w:rsidRPr="006561E8">
        <w:t xml:space="preserve">, </w:t>
      </w:r>
      <w:r w:rsidRPr="00406A65">
        <w:rPr>
          <w:i/>
          <w:iCs/>
        </w:rPr>
        <w:t>221</w:t>
      </w:r>
      <w:r w:rsidRPr="006561E8">
        <w:t>(1), 248</w:t>
      </w:r>
      <w:r w:rsidR="00406A65">
        <w:t>-</w:t>
      </w:r>
      <w:r w:rsidRPr="006561E8">
        <w:t xml:space="preserve">262. </w:t>
      </w:r>
      <w:r w:rsidR="0087780F" w:rsidRPr="0087780F">
        <w:t>https://doi.org/</w:t>
      </w:r>
      <w:r w:rsidRPr="006561E8">
        <w:t>10.1016/j.ejor.2012.03.014</w:t>
      </w:r>
    </w:p>
    <w:p w14:paraId="0CFD46CE" w14:textId="370F2B02" w:rsidR="006561E8" w:rsidRPr="006561E8" w:rsidRDefault="006561E8" w:rsidP="00323D7A">
      <w:pPr>
        <w:pStyle w:val="Rlit"/>
      </w:pPr>
      <w:r w:rsidRPr="006561E8">
        <w:t xml:space="preserve">Xing, L., Xue, M., Hu, M. (2019). Dynamic simulation and assessment of the coupling coordination degree of the economy–resource–environment system: Case of Wuhan City in China. </w:t>
      </w:r>
      <w:r w:rsidRPr="00406A65">
        <w:rPr>
          <w:i/>
          <w:iCs/>
        </w:rPr>
        <w:t>Journal of Environmental Management</w:t>
      </w:r>
      <w:r w:rsidRPr="006561E8">
        <w:t xml:space="preserve">, </w:t>
      </w:r>
      <w:r w:rsidRPr="00406A65">
        <w:rPr>
          <w:i/>
          <w:iCs/>
        </w:rPr>
        <w:t>230</w:t>
      </w:r>
      <w:r w:rsidRPr="006561E8">
        <w:t>, 474</w:t>
      </w:r>
      <w:r w:rsidR="00406A65">
        <w:t>-</w:t>
      </w:r>
      <w:r w:rsidRPr="006561E8">
        <w:t xml:space="preserve">487. </w:t>
      </w:r>
      <w:r w:rsidR="0087780F" w:rsidRPr="0087780F">
        <w:t>https://doi.org/</w:t>
      </w:r>
      <w:r w:rsidRPr="006561E8">
        <w:t>10.1016/j.jenvman.2018.09.065</w:t>
      </w:r>
    </w:p>
    <w:p w14:paraId="6B920CBF" w14:textId="6360926D" w:rsidR="006561E8" w:rsidRPr="006561E8" w:rsidRDefault="006561E8" w:rsidP="00323D7A">
      <w:pPr>
        <w:pStyle w:val="Rlit"/>
      </w:pPr>
      <w:r w:rsidRPr="006561E8">
        <w:t xml:space="preserve">Xu, J., Kang, J., Shao, L., Zhao, T. (2015). System dynamic modelling of industrial growth and landscape ecology in China. </w:t>
      </w:r>
      <w:r w:rsidRPr="00406A65">
        <w:rPr>
          <w:i/>
          <w:iCs/>
        </w:rPr>
        <w:t>Journal of Environmental Management</w:t>
      </w:r>
      <w:r w:rsidRPr="006561E8">
        <w:t xml:space="preserve">, </w:t>
      </w:r>
      <w:r w:rsidRPr="00406A65">
        <w:rPr>
          <w:i/>
          <w:iCs/>
        </w:rPr>
        <w:t>161</w:t>
      </w:r>
      <w:r w:rsidRPr="006561E8">
        <w:t>, 92</w:t>
      </w:r>
      <w:r w:rsidR="00406A65">
        <w:t>-</w:t>
      </w:r>
      <w:r w:rsidRPr="006561E8">
        <w:t xml:space="preserve">105. </w:t>
      </w:r>
      <w:r w:rsidR="0087780F" w:rsidRPr="0087780F">
        <w:t>https://doi.org/</w:t>
      </w:r>
      <w:r w:rsidRPr="006561E8">
        <w:t>10.1016/j.jenvman.2015.06.026</w:t>
      </w:r>
    </w:p>
    <w:p w14:paraId="09B7BE7F" w14:textId="164375D0" w:rsidR="00406A65" w:rsidRPr="006561E8" w:rsidRDefault="006561E8" w:rsidP="00323D7A">
      <w:pPr>
        <w:pStyle w:val="Rlit"/>
      </w:pPr>
      <w:proofErr w:type="spellStart"/>
      <w:r w:rsidRPr="006561E8">
        <w:t>Zaushintsena</w:t>
      </w:r>
      <w:proofErr w:type="spellEnd"/>
      <w:r w:rsidRPr="006561E8">
        <w:t xml:space="preserve">, A., </w:t>
      </w:r>
      <w:proofErr w:type="spellStart"/>
      <w:r w:rsidRPr="006561E8">
        <w:t>Koghevnikov</w:t>
      </w:r>
      <w:proofErr w:type="spellEnd"/>
      <w:r w:rsidRPr="006561E8">
        <w:t xml:space="preserve">, N. (2017). </w:t>
      </w:r>
      <w:proofErr w:type="spellStart"/>
      <w:r w:rsidRPr="006561E8">
        <w:t>Technogenesis</w:t>
      </w:r>
      <w:proofErr w:type="spellEnd"/>
      <w:r w:rsidRPr="006561E8">
        <w:t xml:space="preserve"> of soil in coal mining areas of </w:t>
      </w:r>
      <w:proofErr w:type="spellStart"/>
      <w:r w:rsidRPr="006561E8">
        <w:t>Kuzbass</w:t>
      </w:r>
      <w:proofErr w:type="spellEnd"/>
      <w:r w:rsidRPr="006561E8">
        <w:t xml:space="preserve">. </w:t>
      </w:r>
      <w:r w:rsidRPr="00406A65">
        <w:rPr>
          <w:i/>
          <w:iCs/>
        </w:rPr>
        <w:t>Bulletin of Kemerovo State University</w:t>
      </w:r>
      <w:r w:rsidRPr="006561E8">
        <w:t xml:space="preserve">. Ser.: Biological, Engineering and Earth Sciences, </w:t>
      </w:r>
      <w:r w:rsidRPr="00406A65">
        <w:rPr>
          <w:i/>
          <w:iCs/>
        </w:rPr>
        <w:t>1</w:t>
      </w:r>
      <w:r w:rsidRPr="006561E8">
        <w:t>, 4</w:t>
      </w:r>
      <w:r w:rsidR="00406A65">
        <w:t>-</w:t>
      </w:r>
      <w:r w:rsidRPr="006561E8">
        <w:t>9. (in Russian)</w:t>
      </w:r>
    </w:p>
    <w:sectPr w:rsidR="00406A65" w:rsidRPr="006561E8" w:rsidSect="005F090D">
      <w:headerReference w:type="even" r:id="rId19"/>
      <w:headerReference w:type="default" r:id="rId20"/>
      <w:footerReference w:type="first" r:id="rId21"/>
      <w:pgSz w:w="11906" w:h="16838" w:code="9"/>
      <w:pgMar w:top="1134" w:right="1134" w:bottom="1134" w:left="1134" w:header="567" w:footer="567" w:gutter="0"/>
      <w:pgNumType w:start="2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AD34" w14:textId="77777777" w:rsidR="00AA0428" w:rsidRDefault="00AA0428" w:rsidP="00FA1D4C">
      <w:r>
        <w:separator/>
      </w:r>
    </w:p>
  </w:endnote>
  <w:endnote w:type="continuationSeparator" w:id="0">
    <w:p w14:paraId="195312DC" w14:textId="77777777" w:rsidR="00AA0428" w:rsidRDefault="00AA0428" w:rsidP="00FA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B23921" w:rsidRPr="00006BE3" w14:paraId="24E04556" w14:textId="77777777" w:rsidTr="00032257">
      <w:trPr>
        <w:trHeight w:val="198"/>
      </w:trPr>
      <w:tc>
        <w:tcPr>
          <w:tcW w:w="1384" w:type="dxa"/>
          <w:shd w:val="clear" w:color="auto" w:fill="auto"/>
          <w:vAlign w:val="center"/>
        </w:tcPr>
        <w:p w14:paraId="7685C4A6" w14:textId="77777777" w:rsidR="00B23921" w:rsidRPr="00273DC1" w:rsidRDefault="00B23921" w:rsidP="00B23921">
          <w:pPr>
            <w:ind w:left="-142" w:firstLine="0"/>
          </w:pPr>
          <w:bookmarkStart w:id="3" w:name="_Hlk104286226"/>
          <w:bookmarkStart w:id="4" w:name="_Hlk104286227"/>
          <w:r w:rsidRPr="00273DC1">
            <w:rPr>
              <w:noProof/>
            </w:rPr>
            <w:drawing>
              <wp:inline distT="0" distB="0" distL="0" distR="0" wp14:anchorId="44A1CE47" wp14:editId="0E73623F">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04D61B41" w14:textId="77777777" w:rsidR="00B23921" w:rsidRPr="00273DC1" w:rsidRDefault="00B23921" w:rsidP="0041460F">
          <w:pPr>
            <w:suppressAutoHyphens/>
            <w:ind w:left="-79" w:firstLine="0"/>
            <w:rPr>
              <w:sz w:val="18"/>
              <w:szCs w:val="18"/>
              <w:lang w:val="en-GB"/>
            </w:rPr>
          </w:pPr>
          <w:r w:rsidRPr="00273DC1">
            <w:rPr>
              <w:sz w:val="18"/>
              <w:szCs w:val="18"/>
              <w:lang w:val="en-GB"/>
            </w:rPr>
            <w:t>© 2023. Author(s). This work is licensed under a Creative Commons Attribution 4.0 International License (CC BY-SA)</w:t>
          </w:r>
        </w:p>
      </w:tc>
    </w:tr>
    <w:bookmarkEnd w:id="3"/>
    <w:bookmarkEnd w:id="4"/>
  </w:tbl>
  <w:p w14:paraId="4AD0BAF9" w14:textId="77777777" w:rsidR="00B23921" w:rsidRPr="00273DC1" w:rsidRDefault="00B23921" w:rsidP="00B23921">
    <w:pPr>
      <w:pStyle w:val="Stopka"/>
      <w:ind w:firstLine="0"/>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7BAD" w14:textId="77777777" w:rsidR="00AA0428" w:rsidRDefault="00AA0428" w:rsidP="00FA1D4C">
      <w:r>
        <w:separator/>
      </w:r>
    </w:p>
  </w:footnote>
  <w:footnote w:type="continuationSeparator" w:id="0">
    <w:p w14:paraId="1979EC8D" w14:textId="77777777" w:rsidR="00AA0428" w:rsidRDefault="00AA0428" w:rsidP="00FA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B23921" w:rsidRPr="00377DE9" w14:paraId="0D9E5655" w14:textId="77777777" w:rsidTr="00032257">
      <w:trPr>
        <w:trHeight w:hRule="exact" w:val="284"/>
      </w:trPr>
      <w:tc>
        <w:tcPr>
          <w:tcW w:w="397" w:type="dxa"/>
          <w:shd w:val="clear" w:color="auto" w:fill="auto"/>
          <w:vAlign w:val="center"/>
        </w:tcPr>
        <w:p w14:paraId="13FAE19A" w14:textId="77777777" w:rsidR="00B23921" w:rsidRPr="00377DE9" w:rsidRDefault="00B23921" w:rsidP="00B23921">
          <w:pPr>
            <w:pStyle w:val="Nagwek"/>
            <w:ind w:firstLine="0"/>
            <w:rPr>
              <w:rFonts w:ascii="Arial" w:hAnsi="Arial" w:cs="Arial"/>
              <w:i/>
              <w:sz w:val="20"/>
              <w:szCs w:val="20"/>
            </w:rPr>
          </w:pPr>
          <w:r w:rsidRPr="00377DE9">
            <w:rPr>
              <w:rFonts w:ascii="Arial" w:hAnsi="Arial" w:cs="Arial"/>
              <w:sz w:val="20"/>
              <w:szCs w:val="20"/>
            </w:rPr>
            <w:fldChar w:fldCharType="begin"/>
          </w:r>
          <w:r w:rsidRPr="00377DE9">
            <w:rPr>
              <w:rFonts w:ascii="Arial" w:hAnsi="Arial" w:cs="Arial"/>
              <w:sz w:val="20"/>
              <w:szCs w:val="20"/>
            </w:rPr>
            <w:instrText xml:space="preserve"> PAGE   \* MERGEFORMAT </w:instrText>
          </w:r>
          <w:r w:rsidRPr="00377DE9">
            <w:rPr>
              <w:rFonts w:ascii="Arial" w:hAnsi="Arial" w:cs="Arial"/>
              <w:sz w:val="20"/>
              <w:szCs w:val="20"/>
            </w:rPr>
            <w:fldChar w:fldCharType="separate"/>
          </w:r>
          <w:r>
            <w:rPr>
              <w:rFonts w:ascii="Arial" w:hAnsi="Arial" w:cs="Arial"/>
              <w:sz w:val="20"/>
              <w:szCs w:val="20"/>
            </w:rPr>
            <w:t>2</w:t>
          </w:r>
          <w:r w:rsidRPr="00377DE9">
            <w:rPr>
              <w:rFonts w:ascii="Arial" w:hAnsi="Arial" w:cs="Arial"/>
              <w:sz w:val="20"/>
              <w:szCs w:val="20"/>
            </w:rPr>
            <w:fldChar w:fldCharType="end"/>
          </w:r>
        </w:p>
      </w:tc>
      <w:tc>
        <w:tcPr>
          <w:tcW w:w="9242" w:type="dxa"/>
          <w:shd w:val="clear" w:color="auto" w:fill="auto"/>
          <w:vAlign w:val="center"/>
        </w:tcPr>
        <w:p w14:paraId="1AAD8399" w14:textId="3BC88DC0" w:rsidR="00B23921" w:rsidRPr="00377DE9" w:rsidRDefault="00B23921" w:rsidP="00B23921">
          <w:pPr>
            <w:pStyle w:val="Nagwek"/>
            <w:ind w:firstLine="0"/>
            <w:jc w:val="center"/>
            <w:rPr>
              <w:rFonts w:ascii="Arial" w:hAnsi="Arial" w:cs="Arial"/>
              <w:i/>
              <w:sz w:val="20"/>
              <w:szCs w:val="20"/>
            </w:rPr>
          </w:pPr>
          <w:r w:rsidRPr="00B23921">
            <w:rPr>
              <w:rFonts w:ascii="Arial" w:hAnsi="Arial" w:cs="Arial"/>
              <w:i/>
              <w:sz w:val="20"/>
              <w:szCs w:val="20"/>
            </w:rPr>
            <w:t xml:space="preserve">Elena </w:t>
          </w:r>
          <w:proofErr w:type="spellStart"/>
          <w:r w:rsidRPr="00B23921">
            <w:rPr>
              <w:rFonts w:ascii="Arial" w:hAnsi="Arial" w:cs="Arial"/>
              <w:i/>
              <w:sz w:val="20"/>
              <w:szCs w:val="20"/>
            </w:rPr>
            <w:t>Smirnova</w:t>
          </w:r>
          <w:proofErr w:type="spellEnd"/>
          <w:r w:rsidRPr="00377DE9">
            <w:rPr>
              <w:rFonts w:ascii="Arial" w:hAnsi="Arial" w:cs="Arial"/>
              <w:i/>
              <w:sz w:val="20"/>
              <w:szCs w:val="20"/>
            </w:rPr>
            <w:t xml:space="preserve"> et al.</w:t>
          </w:r>
        </w:p>
      </w:tc>
    </w:tr>
  </w:tbl>
  <w:p w14:paraId="0E62B4E0" w14:textId="77777777" w:rsidR="00B23921" w:rsidRPr="000A241A" w:rsidRDefault="00B23921" w:rsidP="00B23921">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B23921" w:rsidRPr="00911802" w14:paraId="29101BD2" w14:textId="77777777" w:rsidTr="00032257">
      <w:trPr>
        <w:trHeight w:hRule="exact" w:val="284"/>
        <w:jc w:val="right"/>
      </w:trPr>
      <w:tc>
        <w:tcPr>
          <w:tcW w:w="9243" w:type="dxa"/>
          <w:shd w:val="clear" w:color="auto" w:fill="auto"/>
          <w:vAlign w:val="center"/>
        </w:tcPr>
        <w:p w14:paraId="301022AA" w14:textId="3011DC14" w:rsidR="00B23921" w:rsidRPr="005117CD" w:rsidRDefault="00B23921" w:rsidP="00B23921">
          <w:pPr>
            <w:pStyle w:val="Nagwek"/>
            <w:ind w:firstLine="0"/>
            <w:jc w:val="center"/>
            <w:rPr>
              <w:rFonts w:ascii="Arial" w:hAnsi="Arial" w:cs="Arial"/>
              <w:i/>
              <w:sz w:val="20"/>
              <w:szCs w:val="18"/>
              <w:lang w:val="en-GB"/>
            </w:rPr>
          </w:pPr>
          <w:r w:rsidRPr="00B23921">
            <w:rPr>
              <w:rFonts w:ascii="Arial" w:hAnsi="Arial" w:cs="Arial"/>
              <w:i/>
              <w:sz w:val="20"/>
              <w:szCs w:val="18"/>
              <w:lang w:val="en-GB"/>
            </w:rPr>
            <w:t>Predicting the Level of Ecological Safety</w:t>
          </w:r>
          <w:r>
            <w:rPr>
              <w:rFonts w:ascii="Arial" w:hAnsi="Arial" w:cs="Arial"/>
              <w:i/>
              <w:sz w:val="20"/>
              <w:szCs w:val="18"/>
              <w:lang w:val="en-GB"/>
            </w:rPr>
            <w:t>…</w:t>
          </w:r>
        </w:p>
      </w:tc>
      <w:tc>
        <w:tcPr>
          <w:tcW w:w="397" w:type="dxa"/>
          <w:shd w:val="clear" w:color="auto" w:fill="auto"/>
          <w:vAlign w:val="center"/>
        </w:tcPr>
        <w:p w14:paraId="760E98FD" w14:textId="77777777" w:rsidR="00B23921" w:rsidRPr="00911802" w:rsidRDefault="00B23921" w:rsidP="00B23921">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w:t>
          </w:r>
          <w:r w:rsidRPr="00911802">
            <w:rPr>
              <w:rFonts w:ascii="Arial" w:hAnsi="Arial" w:cs="Arial"/>
              <w:sz w:val="20"/>
              <w:szCs w:val="18"/>
            </w:rPr>
            <w:fldChar w:fldCharType="end"/>
          </w:r>
        </w:p>
      </w:tc>
    </w:tr>
  </w:tbl>
  <w:p w14:paraId="6A080F25" w14:textId="77777777" w:rsidR="00B23921" w:rsidRPr="00911802" w:rsidRDefault="00B23921" w:rsidP="00B23921">
    <w:pPr>
      <w:pStyle w:val="Nagwek"/>
      <w:ind w:firstLine="0"/>
      <w:rPr>
        <w:rFonts w:ascii="Arial" w:hAnsi="Arial" w:cs="Arial"/>
        <w:sz w:val="8"/>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sbQ0MTc2NbWwtDRS0lEKTi0uzszPAykwrAUAxLjIWywAAAA="/>
  </w:docVars>
  <w:rsids>
    <w:rsidRoot w:val="006561E8"/>
    <w:rsid w:val="00087CD9"/>
    <w:rsid w:val="000D017F"/>
    <w:rsid w:val="000F468A"/>
    <w:rsid w:val="001341A4"/>
    <w:rsid w:val="001B52EF"/>
    <w:rsid w:val="001F2973"/>
    <w:rsid w:val="002B737D"/>
    <w:rsid w:val="002D21EB"/>
    <w:rsid w:val="002F5ED3"/>
    <w:rsid w:val="00311951"/>
    <w:rsid w:val="00323D7A"/>
    <w:rsid w:val="00355A85"/>
    <w:rsid w:val="00356ABB"/>
    <w:rsid w:val="003C3851"/>
    <w:rsid w:val="003D0E03"/>
    <w:rsid w:val="00406A65"/>
    <w:rsid w:val="0041460F"/>
    <w:rsid w:val="004866CD"/>
    <w:rsid w:val="004F57F3"/>
    <w:rsid w:val="005B16F4"/>
    <w:rsid w:val="005B5106"/>
    <w:rsid w:val="005F090D"/>
    <w:rsid w:val="006109E4"/>
    <w:rsid w:val="006561E8"/>
    <w:rsid w:val="00677601"/>
    <w:rsid w:val="006A3748"/>
    <w:rsid w:val="006B4F7E"/>
    <w:rsid w:val="007067E1"/>
    <w:rsid w:val="00725D20"/>
    <w:rsid w:val="00754BD9"/>
    <w:rsid w:val="00767E57"/>
    <w:rsid w:val="00786C14"/>
    <w:rsid w:val="007C30AC"/>
    <w:rsid w:val="007E10DB"/>
    <w:rsid w:val="00814570"/>
    <w:rsid w:val="0087780F"/>
    <w:rsid w:val="009B62DD"/>
    <w:rsid w:val="009B6FCA"/>
    <w:rsid w:val="00A876D3"/>
    <w:rsid w:val="00AA0428"/>
    <w:rsid w:val="00AE12E0"/>
    <w:rsid w:val="00B21687"/>
    <w:rsid w:val="00B227AB"/>
    <w:rsid w:val="00B23921"/>
    <w:rsid w:val="00B63D50"/>
    <w:rsid w:val="00BB52A7"/>
    <w:rsid w:val="00BD08C5"/>
    <w:rsid w:val="00C00908"/>
    <w:rsid w:val="00C1507D"/>
    <w:rsid w:val="00C6097C"/>
    <w:rsid w:val="00C8463E"/>
    <w:rsid w:val="00CD105C"/>
    <w:rsid w:val="00CF617E"/>
    <w:rsid w:val="00CF6D3B"/>
    <w:rsid w:val="00D02E93"/>
    <w:rsid w:val="00D55834"/>
    <w:rsid w:val="00D63970"/>
    <w:rsid w:val="00D70F98"/>
    <w:rsid w:val="00D8488E"/>
    <w:rsid w:val="00DE4292"/>
    <w:rsid w:val="00E0193D"/>
    <w:rsid w:val="00E31763"/>
    <w:rsid w:val="00E32ED4"/>
    <w:rsid w:val="00E341A9"/>
    <w:rsid w:val="00E6233B"/>
    <w:rsid w:val="00E9412D"/>
    <w:rsid w:val="00F04F0C"/>
    <w:rsid w:val="00F9024D"/>
    <w:rsid w:val="00FA1D4C"/>
    <w:rsid w:val="00FB7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65B42"/>
  <w15:chartTrackingRefBased/>
  <w15:docId w15:val="{AB4B0F41-4913-48BD-853F-C917E5E7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748"/>
    <w:pPr>
      <w:spacing w:after="0" w:line="240" w:lineRule="auto"/>
      <w:ind w:firstLine="709"/>
    </w:pPr>
    <w:rPr>
      <w:rFonts w:ascii="Times New Roman" w:hAnsi="Times New Roman"/>
    </w:rPr>
  </w:style>
  <w:style w:type="paragraph" w:styleId="Nagwek1">
    <w:name w:val="heading 1"/>
    <w:basedOn w:val="Normalny"/>
    <w:next w:val="Normalny"/>
    <w:link w:val="Nagwek1Znak"/>
    <w:uiPriority w:val="9"/>
    <w:rsid w:val="0072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725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25D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25D2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25D2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25D2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356AB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356ABB"/>
    <w:pPr>
      <w:spacing w:before="60"/>
    </w:pPr>
  </w:style>
  <w:style w:type="paragraph" w:customStyle="1" w:styleId="Rafiliacja">
    <w:name w:val="R_afiliacja"/>
    <w:basedOn w:val="Normalny"/>
    <w:link w:val="RafiliacjaZnak"/>
    <w:qFormat/>
    <w:rsid w:val="00356ABB"/>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356ABB"/>
    <w:rPr>
      <w:rFonts w:ascii="Times New Roman" w:hAnsi="Times New Roman" w:cs="Times New Roman"/>
      <w:i/>
      <w:sz w:val="20"/>
      <w:szCs w:val="28"/>
    </w:rPr>
  </w:style>
  <w:style w:type="paragraph" w:customStyle="1" w:styleId="Rauco">
    <w:name w:val="R_au_co"/>
    <w:basedOn w:val="Rafiliacja"/>
    <w:autoRedefine/>
    <w:qFormat/>
    <w:rsid w:val="00356ABB"/>
    <w:pPr>
      <w:spacing w:before="120"/>
    </w:pPr>
    <w:rPr>
      <w:lang w:val="en-GB"/>
    </w:rPr>
  </w:style>
  <w:style w:type="paragraph" w:customStyle="1" w:styleId="Rn1">
    <w:name w:val="R_n1"/>
    <w:basedOn w:val="Normalny"/>
    <w:link w:val="Rn1Znak"/>
    <w:qFormat/>
    <w:rsid w:val="00356ABB"/>
    <w:pPr>
      <w:suppressAutoHyphens/>
      <w:spacing w:before="240" w:after="120"/>
      <w:ind w:firstLine="0"/>
      <w:jc w:val="both"/>
    </w:pPr>
    <w:rPr>
      <w:b/>
      <w:sz w:val="24"/>
    </w:rPr>
  </w:style>
  <w:style w:type="character" w:customStyle="1" w:styleId="Rn1Znak">
    <w:name w:val="R_n1 Znak"/>
    <w:basedOn w:val="Domylnaczcionkaakapitu"/>
    <w:link w:val="Rn1"/>
    <w:rsid w:val="00356ABB"/>
    <w:rPr>
      <w:rFonts w:ascii="Times New Roman" w:hAnsi="Times New Roman"/>
      <w:b/>
      <w:sz w:val="24"/>
    </w:rPr>
  </w:style>
  <w:style w:type="paragraph" w:customStyle="1" w:styleId="Rn2">
    <w:name w:val="R_n2"/>
    <w:basedOn w:val="Rn1"/>
    <w:link w:val="Rn2Znak"/>
    <w:qFormat/>
    <w:rsid w:val="00356ABB"/>
    <w:pPr>
      <w:spacing w:before="120"/>
      <w:jc w:val="left"/>
    </w:pPr>
    <w:rPr>
      <w:sz w:val="22"/>
    </w:rPr>
  </w:style>
  <w:style w:type="character" w:customStyle="1" w:styleId="Rn2Znak">
    <w:name w:val="R_n2 Znak"/>
    <w:link w:val="Rn2"/>
    <w:rsid w:val="00356ABB"/>
    <w:rPr>
      <w:rFonts w:ascii="Times New Roman" w:hAnsi="Times New Roman"/>
      <w:b/>
    </w:rPr>
  </w:style>
  <w:style w:type="paragraph" w:customStyle="1" w:styleId="Rtytu">
    <w:name w:val="R_tytuł"/>
    <w:basedOn w:val="Rn2"/>
    <w:link w:val="RtytuZnak"/>
    <w:autoRedefine/>
    <w:qFormat/>
    <w:rsid w:val="00356ABB"/>
    <w:pPr>
      <w:spacing w:before="240" w:after="0"/>
      <w:jc w:val="center"/>
    </w:pPr>
    <w:rPr>
      <w:sz w:val="24"/>
      <w:szCs w:val="28"/>
    </w:rPr>
  </w:style>
  <w:style w:type="character" w:customStyle="1" w:styleId="RtytuZnak">
    <w:name w:val="R_tytuł Znak"/>
    <w:basedOn w:val="Rn2Znak"/>
    <w:link w:val="Rtytu"/>
    <w:rsid w:val="00356ABB"/>
    <w:rPr>
      <w:rFonts w:ascii="Times New Roman" w:hAnsi="Times New Roman"/>
      <w:b/>
      <w:sz w:val="24"/>
      <w:szCs w:val="28"/>
    </w:rPr>
  </w:style>
  <w:style w:type="paragraph" w:customStyle="1" w:styleId="Rautor">
    <w:name w:val="R_autor"/>
    <w:basedOn w:val="Rtytu"/>
    <w:link w:val="RautorZnak"/>
    <w:autoRedefine/>
    <w:qFormat/>
    <w:rsid w:val="00356ABB"/>
    <w:pPr>
      <w:spacing w:before="120"/>
    </w:pPr>
    <w:rPr>
      <w:rFonts w:eastAsia="Calibri" w:cs="Times New Roman"/>
      <w:b w:val="0"/>
      <w:i/>
    </w:rPr>
  </w:style>
  <w:style w:type="character" w:customStyle="1" w:styleId="RautorZnak">
    <w:name w:val="R_autor Znak"/>
    <w:link w:val="Rautor"/>
    <w:rsid w:val="00356ABB"/>
    <w:rPr>
      <w:rFonts w:ascii="Times New Roman" w:eastAsia="Calibri" w:hAnsi="Times New Roman" w:cs="Times New Roman"/>
      <w:i/>
      <w:sz w:val="24"/>
      <w:szCs w:val="28"/>
    </w:rPr>
  </w:style>
  <w:style w:type="paragraph" w:customStyle="1" w:styleId="Rlit">
    <w:name w:val="R_lit"/>
    <w:basedOn w:val="Normalny"/>
    <w:link w:val="RlitZnak"/>
    <w:qFormat/>
    <w:rsid w:val="00356ABB"/>
    <w:pPr>
      <w:ind w:left="425" w:hanging="425"/>
      <w:jc w:val="both"/>
    </w:pPr>
    <w:rPr>
      <w:rFonts w:eastAsia="Times New Roman" w:cs="Times New Roman"/>
      <w:sz w:val="20"/>
      <w:szCs w:val="20"/>
      <w:lang w:val="en-US" w:eastAsia="pl-PL"/>
    </w:rPr>
  </w:style>
  <w:style w:type="character" w:customStyle="1" w:styleId="RlitZnak">
    <w:name w:val="R_lit Znak"/>
    <w:basedOn w:val="Domylnaczcionkaakapitu"/>
    <w:link w:val="Rlit"/>
    <w:rsid w:val="00356AB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356ABB"/>
    <w:pPr>
      <w:suppressAutoHyphens/>
      <w:spacing w:after="120"/>
      <w:ind w:firstLine="0"/>
    </w:pPr>
    <w:rPr>
      <w:sz w:val="20"/>
    </w:rPr>
  </w:style>
  <w:style w:type="character" w:customStyle="1" w:styleId="RtabZnak">
    <w:name w:val="R_tab Znak"/>
    <w:basedOn w:val="Domylnaczcionkaakapitu"/>
    <w:link w:val="Rtab"/>
    <w:rsid w:val="00356ABB"/>
    <w:rPr>
      <w:rFonts w:ascii="Times New Roman" w:hAnsi="Times New Roman"/>
      <w:sz w:val="20"/>
    </w:rPr>
  </w:style>
  <w:style w:type="paragraph" w:customStyle="1" w:styleId="Rn3">
    <w:name w:val="R_n3"/>
    <w:basedOn w:val="Rtab"/>
    <w:link w:val="Rn3Znak"/>
    <w:qFormat/>
    <w:rsid w:val="00B21687"/>
    <w:pPr>
      <w:spacing w:before="120"/>
      <w:jc w:val="both"/>
    </w:pPr>
    <w:rPr>
      <w:i/>
    </w:rPr>
  </w:style>
  <w:style w:type="character" w:customStyle="1" w:styleId="Rn3Znak">
    <w:name w:val="R_n3 Znak"/>
    <w:basedOn w:val="RtabZnak"/>
    <w:link w:val="Rn3"/>
    <w:rsid w:val="00B21687"/>
    <w:rPr>
      <w:rFonts w:ascii="Times New Roman" w:hAnsi="Times New Roman"/>
      <w:i/>
      <w:sz w:val="20"/>
    </w:rPr>
  </w:style>
  <w:style w:type="paragraph" w:customStyle="1" w:styleId="Rrys">
    <w:name w:val="R_rys"/>
    <w:basedOn w:val="Rafiliacja"/>
    <w:link w:val="RrysZnak"/>
    <w:qFormat/>
    <w:rsid w:val="00356ABB"/>
    <w:pPr>
      <w:spacing w:before="120"/>
      <w:jc w:val="left"/>
    </w:pPr>
    <w:rPr>
      <w:i w:val="0"/>
    </w:rPr>
  </w:style>
  <w:style w:type="paragraph" w:customStyle="1" w:styleId="Wn2">
    <w:name w:val="W_n2"/>
    <w:basedOn w:val="Normalny"/>
    <w:link w:val="Wn2Znak"/>
    <w:qFormat/>
    <w:rsid w:val="00767E57"/>
    <w:pPr>
      <w:spacing w:before="360" w:after="80" w:line="312" w:lineRule="auto"/>
    </w:pPr>
    <w:rPr>
      <w:rFonts w:eastAsia="Calibri"/>
      <w:b/>
      <w:sz w:val="26"/>
      <w:szCs w:val="52"/>
      <w:lang w:val="x-none"/>
    </w:rPr>
  </w:style>
  <w:style w:type="character" w:customStyle="1" w:styleId="Wn2Znak">
    <w:name w:val="W_n2 Znak"/>
    <w:link w:val="Wn2"/>
    <w:rsid w:val="00767E57"/>
    <w:rPr>
      <w:rFonts w:ascii="Times New Roman" w:eastAsia="Calibri" w:hAnsi="Times New Roman" w:cs="Times New Roman"/>
      <w:b/>
      <w:sz w:val="26"/>
      <w:szCs w:val="52"/>
      <w:lang w:val="x-none"/>
    </w:rPr>
  </w:style>
  <w:style w:type="paragraph" w:customStyle="1" w:styleId="Wn3">
    <w:name w:val="W_n3"/>
    <w:basedOn w:val="Akapitzlist"/>
    <w:link w:val="Wn3Znak"/>
    <w:qFormat/>
    <w:rsid w:val="00767E57"/>
    <w:pPr>
      <w:tabs>
        <w:tab w:val="left" w:pos="1134"/>
      </w:tabs>
      <w:spacing w:before="240" w:after="40"/>
      <w:ind w:left="0"/>
      <w:contextualSpacing w:val="0"/>
    </w:pPr>
    <w:rPr>
      <w:rFonts w:eastAsia="Calibri"/>
      <w:b/>
      <w:sz w:val="24"/>
      <w:szCs w:val="26"/>
      <w:lang w:val="x-none"/>
    </w:rPr>
  </w:style>
  <w:style w:type="character" w:customStyle="1" w:styleId="Wn3Znak">
    <w:name w:val="W_n3 Znak"/>
    <w:link w:val="Wn3"/>
    <w:rsid w:val="00767E57"/>
    <w:rPr>
      <w:rFonts w:ascii="Times New Roman" w:eastAsia="Calibri" w:hAnsi="Times New Roman" w:cs="Times New Roman"/>
      <w:b/>
      <w:sz w:val="24"/>
      <w:szCs w:val="26"/>
      <w:lang w:val="x-none"/>
    </w:rPr>
  </w:style>
  <w:style w:type="paragraph" w:styleId="Akapitzlist">
    <w:name w:val="List Paragraph"/>
    <w:basedOn w:val="Normalny"/>
    <w:uiPriority w:val="34"/>
    <w:rsid w:val="00725D20"/>
    <w:pPr>
      <w:ind w:left="720"/>
      <w:contextualSpacing/>
    </w:pPr>
  </w:style>
  <w:style w:type="paragraph" w:customStyle="1" w:styleId="Wn1">
    <w:name w:val="W_n1"/>
    <w:basedOn w:val="Normalny"/>
    <w:link w:val="Wn1Znak"/>
    <w:qFormat/>
    <w:rsid w:val="002F5ED3"/>
    <w:pPr>
      <w:spacing w:before="720" w:after="480"/>
    </w:pPr>
    <w:rPr>
      <w:rFonts w:eastAsia="Calibri"/>
      <w:b/>
      <w:sz w:val="30"/>
      <w:szCs w:val="24"/>
      <w:lang w:val="x-none"/>
    </w:rPr>
  </w:style>
  <w:style w:type="character" w:customStyle="1" w:styleId="Wn1Znak">
    <w:name w:val="W_n1 Znak"/>
    <w:link w:val="Wn1"/>
    <w:rsid w:val="002F5ED3"/>
    <w:rPr>
      <w:rFonts w:ascii="Times New Roman" w:eastAsia="Calibri" w:hAnsi="Times New Roman" w:cs="Times New Roman"/>
      <w:b/>
      <w:sz w:val="30"/>
      <w:szCs w:val="24"/>
      <w:lang w:val="x-none"/>
    </w:rPr>
  </w:style>
  <w:style w:type="paragraph" w:customStyle="1" w:styleId="Wrys">
    <w:name w:val="W_rys"/>
    <w:basedOn w:val="Normalny"/>
    <w:link w:val="WrysZnak"/>
    <w:qFormat/>
    <w:rsid w:val="00356ABB"/>
    <w:pPr>
      <w:spacing w:before="120"/>
    </w:pPr>
    <w:rPr>
      <w:rFonts w:eastAsia="Calibri"/>
      <w:i/>
    </w:rPr>
  </w:style>
  <w:style w:type="character" w:customStyle="1" w:styleId="WrysZnak">
    <w:name w:val="W_rys Znak"/>
    <w:basedOn w:val="Domylnaczcionkaakapitu"/>
    <w:link w:val="Wrys"/>
    <w:rsid w:val="00356ABB"/>
    <w:rPr>
      <w:rFonts w:ascii="Times New Roman" w:eastAsia="Calibri" w:hAnsi="Times New Roman" w:cs="Times New Roman"/>
      <w:i/>
      <w:sz w:val="20"/>
      <w:szCs w:val="22"/>
    </w:rPr>
  </w:style>
  <w:style w:type="paragraph" w:customStyle="1" w:styleId="Wtab">
    <w:name w:val="W_tab"/>
    <w:basedOn w:val="Normalny"/>
    <w:link w:val="WtabZnak"/>
    <w:qFormat/>
    <w:rsid w:val="00311951"/>
    <w:pPr>
      <w:suppressAutoHyphens/>
      <w:spacing w:after="120"/>
    </w:pPr>
    <w:rPr>
      <w:sz w:val="20"/>
    </w:rPr>
  </w:style>
  <w:style w:type="character" w:customStyle="1" w:styleId="WtabZnak">
    <w:name w:val="W_tab Znak"/>
    <w:basedOn w:val="Domylnaczcionkaakapitu"/>
    <w:link w:val="Wtab"/>
    <w:rsid w:val="00311951"/>
    <w:rPr>
      <w:rFonts w:ascii="Times New Roman" w:hAnsi="Times New Roman"/>
      <w:sz w:val="20"/>
    </w:rPr>
  </w:style>
  <w:style w:type="character" w:customStyle="1" w:styleId="Nagwek1Znak">
    <w:name w:val="Nagłówek 1 Znak"/>
    <w:basedOn w:val="Domylnaczcionkaakapitu"/>
    <w:link w:val="Nagwek1"/>
    <w:uiPriority w:val="9"/>
    <w:rsid w:val="00725D2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25D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25D2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25D20"/>
    <w:rPr>
      <w:rFonts w:asciiTheme="majorHAnsi" w:eastAsiaTheme="majorEastAsia" w:hAnsiTheme="majorHAnsi" w:cstheme="majorBidi"/>
      <w:i/>
      <w:iCs/>
      <w:color w:val="2F5496" w:themeColor="accent1" w:themeShade="BF"/>
      <w:sz w:val="22"/>
      <w:szCs w:val="22"/>
    </w:rPr>
  </w:style>
  <w:style w:type="character" w:customStyle="1" w:styleId="Nagwek5Znak">
    <w:name w:val="Nagłówek 5 Znak"/>
    <w:basedOn w:val="Domylnaczcionkaakapitu"/>
    <w:link w:val="Nagwek5"/>
    <w:uiPriority w:val="9"/>
    <w:semiHidden/>
    <w:rsid w:val="00725D20"/>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725D20"/>
    <w:rPr>
      <w:rFonts w:asciiTheme="majorHAnsi" w:eastAsiaTheme="majorEastAsia" w:hAnsiTheme="majorHAnsi" w:cstheme="majorBidi"/>
      <w:color w:val="1F3763" w:themeColor="accent1" w:themeShade="7F"/>
      <w:sz w:val="22"/>
      <w:szCs w:val="22"/>
    </w:rPr>
  </w:style>
  <w:style w:type="character" w:customStyle="1" w:styleId="RrysZnak">
    <w:name w:val="R_rys Znak"/>
    <w:basedOn w:val="RafiliacjaZnak"/>
    <w:link w:val="Rrys"/>
    <w:rsid w:val="00356ABB"/>
    <w:rPr>
      <w:rFonts w:ascii="Times New Roman" w:hAnsi="Times New Roman" w:cs="Times New Roman"/>
      <w:i w:val="0"/>
      <w:sz w:val="20"/>
      <w:szCs w:val="28"/>
    </w:rPr>
  </w:style>
  <w:style w:type="table" w:styleId="Tabela-Siatka">
    <w:name w:val="Table Grid"/>
    <w:basedOn w:val="Standardowy"/>
    <w:uiPriority w:val="39"/>
    <w:rsid w:val="0065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rsid w:val="00323D7A"/>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paragraph" w:styleId="Nagwek">
    <w:name w:val="header"/>
    <w:basedOn w:val="Normalny"/>
    <w:link w:val="NagwekZnak"/>
    <w:uiPriority w:val="99"/>
    <w:unhideWhenUsed/>
    <w:rsid w:val="00FA1D4C"/>
    <w:pPr>
      <w:tabs>
        <w:tab w:val="center" w:pos="4536"/>
        <w:tab w:val="right" w:pos="9072"/>
      </w:tabs>
    </w:pPr>
  </w:style>
  <w:style w:type="character" w:customStyle="1" w:styleId="NagwekZnak">
    <w:name w:val="Nagłówek Znak"/>
    <w:basedOn w:val="Domylnaczcionkaakapitu"/>
    <w:link w:val="Nagwek"/>
    <w:uiPriority w:val="99"/>
    <w:rsid w:val="00FA1D4C"/>
    <w:rPr>
      <w:rFonts w:ascii="Times New Roman" w:hAnsi="Times New Roman"/>
    </w:rPr>
  </w:style>
  <w:style w:type="paragraph" w:styleId="Stopka">
    <w:name w:val="footer"/>
    <w:basedOn w:val="Normalny"/>
    <w:link w:val="StopkaZnak"/>
    <w:uiPriority w:val="99"/>
    <w:unhideWhenUsed/>
    <w:rsid w:val="00FA1D4C"/>
    <w:pPr>
      <w:tabs>
        <w:tab w:val="center" w:pos="4536"/>
        <w:tab w:val="right" w:pos="9072"/>
      </w:tabs>
    </w:pPr>
  </w:style>
  <w:style w:type="character" w:customStyle="1" w:styleId="StopkaZnak">
    <w:name w:val="Stopka Znak"/>
    <w:basedOn w:val="Domylnaczcionkaakapitu"/>
    <w:link w:val="Stopka"/>
    <w:uiPriority w:val="99"/>
    <w:rsid w:val="00FA1D4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7</Pages>
  <Words>4113</Words>
  <Characters>24684</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ROS</dc:creator>
  <cp:keywords/>
  <dc:description/>
  <cp:lastModifiedBy>Janusz Dabrowski NA</cp:lastModifiedBy>
  <cp:revision>28</cp:revision>
  <cp:lastPrinted>2023-08-31T12:46:00Z</cp:lastPrinted>
  <dcterms:created xsi:type="dcterms:W3CDTF">2023-08-31T12:11:00Z</dcterms:created>
  <dcterms:modified xsi:type="dcterms:W3CDTF">2023-10-30T09:34:00Z</dcterms:modified>
</cp:coreProperties>
</file>